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sz w:val="56"/>
        </w:rPr>
        <w:t>VR/AR 沉浸式场景制作实训</w:t>
      </w:r>
    </w:p>
    <w:p>
      <w:pPr>
        <w:jc w:val="center"/>
      </w:pPr>
      <w:r>
        <w:rPr>
          <w:rFonts w:ascii="黑体" w:hAnsi="黑体" w:eastAsia="黑体"/>
          <w:sz w:val="32"/>
        </w:rPr>
        <w:t>基于 I.M.M.E.R.S.E. 七维框架</w:t>
      </w:r>
    </w:p>
    <w:p/>
    <w:p/>
    <w:p/>
    <w:p/>
    <w:p/>
    <w:p/>
    <w:p/>
    <w:p/>
    <w:p>
      <w:pPr>
        <w:jc w:val="center"/>
      </w:pPr>
      <w:r>
        <w:drawing>
          <wp:inline xmlns:a="http://schemas.openxmlformats.org/drawingml/2006/main" xmlns:pic="http://schemas.openxmlformats.org/drawingml/2006/picture">
            <wp:extent cx="5040000" cy="3345882"/>
            <wp:docPr id="1" name="Picture 1"/>
            <wp:cNvGraphicFramePr>
              <a:graphicFrameLocks noChangeAspect="1"/>
            </wp:cNvGraphicFramePr>
            <a:graphic>
              <a:graphicData uri="http://schemas.openxmlformats.org/drawingml/2006/picture">
                <pic:pic>
                  <pic:nvPicPr>
                    <pic:cNvPr id="0" name="fig01_IMMERS_framework.png"/>
                    <pic:cNvPicPr/>
                  </pic:nvPicPr>
                  <pic:blipFill>
                    <a:blip r:embed="rId9"/>
                    <a:stretch>
                      <a:fillRect/>
                    </a:stretch>
                  </pic:blipFill>
                  <pic:spPr>
                    <a:xfrm>
                      <a:off x="0" y="0"/>
                      <a:ext cx="5040000" cy="3345882"/>
                    </a:xfrm>
                    <a:prstGeom prst="rect"/>
                  </pic:spPr>
                </pic:pic>
              </a:graphicData>
            </a:graphic>
          </wp:inline>
        </w:drawing>
      </w:r>
    </w:p>
    <w:p/>
    <w:p/>
    <w:p/>
    <w:p/>
    <w:p>
      <w:pPr>
        <w:jc w:val="center"/>
      </w:pPr>
      <w:r>
        <w:rPr>
          <w:rFonts w:ascii="宋体" w:hAnsi="宋体" w:eastAsia="宋体"/>
          <w:sz w:val="28"/>
        </w:rPr>
        <w:t>2026 年</w:t>
      </w:r>
    </w:p>
    <w:p>
      <w:r>
        <w:br w:type="page"/>
      </w:r>
    </w:p>
    <w:p>
      <w:pPr>
        <w:jc w:val="center"/>
      </w:pPr>
      <w:r>
        <w:rPr>
          <w:rFonts w:ascii="黑体" w:hAnsi="黑体" w:eastAsia="黑体"/>
          <w:b/>
          <w:sz w:val="44"/>
        </w:rPr>
        <w:t>目  录</w:t>
      </w:r>
    </w:p>
    <w:p/>
    <w:p>
      <w:pPr>
        <w:spacing w:before="120" w:line="360" w:lineRule="auto"/>
      </w:pPr>
      <w:r>
        <w:rPr>
          <w:rFonts w:ascii="黑体" w:hAnsi="黑体" w:eastAsia="黑体"/>
          <w:b/>
          <w:sz w:val="28"/>
        </w:rPr>
        <w:t>第一篇  基础理论</w:t>
      </w:r>
    </w:p>
    <w:p>
      <w:pPr>
        <w:spacing w:line="360" w:lineRule="auto"/>
      </w:pPr>
      <w:r>
        <w:rPr>
          <w:rFonts w:ascii="宋体" w:hAnsi="宋体" w:eastAsia="宋体"/>
          <w:sz w:val="24"/>
        </w:rPr>
        <w:t xml:space="preserve">    第01章  VR/AR 技术概述与发展演进</w:t>
      </w:r>
    </w:p>
    <w:p>
      <w:pPr>
        <w:spacing w:line="360" w:lineRule="auto"/>
      </w:pPr>
      <w:r>
        <w:rPr>
          <w:rFonts w:ascii="宋体" w:hAnsi="宋体" w:eastAsia="宋体"/>
          <w:sz w:val="24"/>
        </w:rPr>
        <w:t xml:space="preserve">    第02章  VR/AR 硬件设备与技术原理</w:t>
      </w:r>
    </w:p>
    <w:p>
      <w:pPr>
        <w:spacing w:line="360" w:lineRule="auto"/>
      </w:pPr>
      <w:r>
        <w:rPr>
          <w:rFonts w:ascii="宋体" w:hAnsi="宋体" w:eastAsia="宋体"/>
          <w:sz w:val="24"/>
        </w:rPr>
        <w:t xml:space="preserve">    第03章  沉浸感理论与体验设计基础</w:t>
      </w:r>
    </w:p>
    <w:p>
      <w:pPr>
        <w:spacing w:before="120" w:line="360" w:lineRule="auto"/>
      </w:pPr>
      <w:r>
        <w:rPr>
          <w:rFonts w:ascii="黑体" w:hAnsi="黑体" w:eastAsia="黑体"/>
          <w:b/>
          <w:sz w:val="28"/>
        </w:rPr>
        <w:t>第二篇  技术方法</w:t>
      </w:r>
    </w:p>
    <w:p>
      <w:pPr>
        <w:spacing w:line="360" w:lineRule="auto"/>
      </w:pPr>
      <w:r>
        <w:rPr>
          <w:rFonts w:ascii="宋体" w:hAnsi="宋体" w:eastAsia="宋体"/>
          <w:sz w:val="24"/>
        </w:rPr>
        <w:t xml:space="preserve">    第04章  3D 建模与数字资产创建</w:t>
      </w:r>
    </w:p>
    <w:p>
      <w:pPr>
        <w:spacing w:line="360" w:lineRule="auto"/>
      </w:pPr>
      <w:r>
        <w:rPr>
          <w:rFonts w:ascii="宋体" w:hAnsi="宋体" w:eastAsia="宋体"/>
          <w:sz w:val="24"/>
        </w:rPr>
        <w:t xml:space="preserve">    第05章  多模态交互设计与实现</w:t>
      </w:r>
    </w:p>
    <w:p>
      <w:pPr>
        <w:spacing w:line="360" w:lineRule="auto"/>
      </w:pPr>
      <w:r>
        <w:rPr>
          <w:rFonts w:ascii="宋体" w:hAnsi="宋体" w:eastAsia="宋体"/>
          <w:sz w:val="24"/>
        </w:rPr>
        <w:t xml:space="preserve">    第06章  开发引擎与渲染优化</w:t>
      </w:r>
    </w:p>
    <w:p>
      <w:pPr>
        <w:spacing w:before="120" w:line="360" w:lineRule="auto"/>
      </w:pPr>
      <w:r>
        <w:rPr>
          <w:rFonts w:ascii="黑体" w:hAnsi="黑体" w:eastAsia="黑体"/>
          <w:b/>
          <w:sz w:val="28"/>
        </w:rPr>
        <w:t>第三篇  应用领域</w:t>
      </w:r>
    </w:p>
    <w:p>
      <w:pPr>
        <w:spacing w:line="360" w:lineRule="auto"/>
      </w:pPr>
      <w:r>
        <w:rPr>
          <w:rFonts w:ascii="宋体" w:hAnsi="宋体" w:eastAsia="宋体"/>
          <w:sz w:val="24"/>
        </w:rPr>
        <w:t xml:space="preserve">    第07章  文旅沉浸式场景设计</w:t>
      </w:r>
    </w:p>
    <w:p>
      <w:pPr>
        <w:spacing w:line="360" w:lineRule="auto"/>
      </w:pPr>
      <w:r>
        <w:rPr>
          <w:rFonts w:ascii="宋体" w:hAnsi="宋体" w:eastAsia="宋体"/>
          <w:sz w:val="24"/>
        </w:rPr>
        <w:t xml:space="preserve">    第08章  文化遗产数字化与沉浸式展示</w:t>
      </w:r>
    </w:p>
    <w:p>
      <w:pPr>
        <w:spacing w:line="360" w:lineRule="auto"/>
      </w:pPr>
      <w:r>
        <w:rPr>
          <w:rFonts w:ascii="宋体" w:hAnsi="宋体" w:eastAsia="宋体"/>
          <w:sz w:val="24"/>
        </w:rPr>
        <w:t xml:space="preserve">    第09章  VR/AR 教育培训与实训设计</w:t>
      </w:r>
    </w:p>
    <w:p>
      <w:pPr>
        <w:spacing w:before="120" w:line="360" w:lineRule="auto"/>
      </w:pPr>
      <w:r>
        <w:rPr>
          <w:rFonts w:ascii="黑体" w:hAnsi="黑体" w:eastAsia="黑体"/>
          <w:b/>
          <w:sz w:val="28"/>
        </w:rPr>
        <w:t>第四篇  实训项目</w:t>
      </w:r>
    </w:p>
    <w:p>
      <w:pPr>
        <w:spacing w:line="360" w:lineRule="auto"/>
      </w:pPr>
      <w:r>
        <w:rPr>
          <w:rFonts w:ascii="宋体" w:hAnsi="宋体" w:eastAsia="宋体"/>
          <w:sz w:val="24"/>
        </w:rPr>
        <w:t xml:space="preserve">    第10章  实训一：VR 全景景区漫游制作</w:t>
      </w:r>
    </w:p>
    <w:p>
      <w:pPr>
        <w:spacing w:line="360" w:lineRule="auto"/>
      </w:pPr>
      <w:r>
        <w:rPr>
          <w:rFonts w:ascii="宋体" w:hAnsi="宋体" w:eastAsia="宋体"/>
          <w:sz w:val="24"/>
        </w:rPr>
        <w:t xml:space="preserve">    第11章  实训二：AR 文化导览应用开发</w:t>
      </w:r>
    </w:p>
    <w:p>
      <w:pPr>
        <w:spacing w:line="360" w:lineRule="auto"/>
      </w:pPr>
      <w:r>
        <w:rPr>
          <w:rFonts w:ascii="宋体" w:hAnsi="宋体" w:eastAsia="宋体"/>
          <w:sz w:val="24"/>
        </w:rPr>
        <w:t xml:space="preserve">    第12章  实训三：沉浸式文旅元宇宙场景制作</w:t>
      </w:r>
    </w:p>
    <w:p>
      <w:pPr>
        <w:spacing w:before="120" w:line="360" w:lineRule="auto"/>
      </w:pPr>
      <w:r>
        <w:rPr>
          <w:rFonts w:ascii="黑体" w:hAnsi="黑体" w:eastAsia="黑体"/>
          <w:b/>
          <w:sz w:val="28"/>
        </w:rPr>
        <w:t>附录</w:t>
      </w:r>
    </w:p>
    <w:p>
      <w:pPr>
        <w:spacing w:line="360" w:lineRule="auto"/>
      </w:pPr>
      <w:r>
        <w:rPr>
          <w:rFonts w:ascii="宋体" w:hAnsi="宋体" w:eastAsia="宋体"/>
          <w:sz w:val="24"/>
        </w:rPr>
        <w:t xml:space="preserve">    附录 A  VR/AR 沉浸式场景制作术语表</w:t>
      </w:r>
    </w:p>
    <w:p>
      <w:pPr>
        <w:spacing w:line="360" w:lineRule="auto"/>
      </w:pPr>
      <w:r>
        <w:rPr>
          <w:rFonts w:ascii="宋体" w:hAnsi="宋体" w:eastAsia="宋体"/>
          <w:sz w:val="24"/>
        </w:rPr>
        <w:t xml:space="preserve">    附录 B  VR/AR 工具平台速查手册</w:t>
      </w:r>
    </w:p>
    <w:p>
      <w:pPr>
        <w:spacing w:line="360" w:lineRule="auto"/>
      </w:pPr>
      <w:r>
        <w:rPr>
          <w:rFonts w:ascii="宋体" w:hAnsi="宋体" w:eastAsia="宋体"/>
          <w:sz w:val="24"/>
        </w:rPr>
        <w:t xml:space="preserve">    附录 C  VR/AR 沉浸式场景案例库</w:t>
      </w:r>
    </w:p>
    <w:p>
      <w:pPr>
        <w:spacing w:line="360" w:lineRule="auto"/>
      </w:pPr>
      <w:r>
        <w:rPr>
          <w:rFonts w:ascii="宋体" w:hAnsi="宋体" w:eastAsia="宋体"/>
          <w:sz w:val="24"/>
        </w:rPr>
        <w:t xml:space="preserve">    附录 D  沉浸式场景设计模板</w:t>
      </w:r>
    </w:p>
    <w:p>
      <w:pPr>
        <w:spacing w:line="360" w:lineRule="auto"/>
      </w:pPr>
      <w:r>
        <w:rPr>
          <w:rFonts w:ascii="宋体" w:hAnsi="宋体" w:eastAsia="宋体"/>
          <w:sz w:val="24"/>
        </w:rPr>
        <w:t xml:space="preserve">    附录 E  教学大纲</w:t>
      </w:r>
    </w:p>
    <w:p>
      <w:pPr>
        <w:spacing w:line="360" w:lineRule="auto"/>
      </w:pPr>
      <w:r>
        <w:rPr>
          <w:rFonts w:ascii="宋体" w:hAnsi="宋体" w:eastAsia="宋体"/>
          <w:sz w:val="24"/>
        </w:rPr>
        <w:t xml:space="preserve">    附录 F  实训项目扩展集</w:t>
      </w:r>
    </w:p>
    <w:p>
      <w:pPr>
        <w:spacing w:line="360" w:lineRule="auto"/>
      </w:pPr>
      <w:r>
        <w:rPr>
          <w:rFonts w:ascii="宋体" w:hAnsi="宋体" w:eastAsia="宋体"/>
          <w:sz w:val="24"/>
        </w:rPr>
        <w:t xml:space="preserve">    附录 G  VR/AR 沉浸式技术发展大事记</w:t>
      </w:r>
    </w:p>
    <w:p>
      <w:r>
        <w:br w:type="page"/>
      </w:r>
    </w:p>
    <w:p>
      <w:pPr>
        <w:pStyle w:val="Heading1"/>
      </w:pPr>
      <w:r>
        <w:t>第1章 VR/AR 技术概述与发展演进</w:t>
      </w:r>
    </w:p>
    <w:p>
      <w:pPr>
        <w:jc w:val="center"/>
      </w:pPr>
      <w:r>
        <w:drawing>
          <wp:inline xmlns:a="http://schemas.openxmlformats.org/drawingml/2006/main" xmlns:pic="http://schemas.openxmlformats.org/drawingml/2006/picture">
            <wp:extent cx="5040000" cy="3345882"/>
            <wp:docPr id="2" name="Picture 2"/>
            <wp:cNvGraphicFramePr>
              <a:graphicFrameLocks noChangeAspect="1"/>
            </wp:cNvGraphicFramePr>
            <a:graphic>
              <a:graphicData uri="http://schemas.openxmlformats.org/drawingml/2006/picture">
                <pic:pic>
                  <pic:nvPicPr>
                    <pic:cNvPr id="0" name="fig01_IMMERS_framework.png"/>
                    <pic:cNvPicPr/>
                  </pic:nvPicPr>
                  <pic:blipFill>
                    <a:blip r:embed="rId9"/>
                    <a:stretch>
                      <a:fillRect/>
                    </a:stretch>
                  </pic:blipFill>
                  <pic:spPr>
                    <a:xfrm>
                      <a:off x="0" y="0"/>
                      <a:ext cx="5040000" cy="3345882"/>
                    </a:xfrm>
                    <a:prstGeom prst="rect"/>
                  </pic:spPr>
                </pic:pic>
              </a:graphicData>
            </a:graphic>
          </wp:inline>
        </w:drawing>
      </w:r>
    </w:p>
    <w:p/>
    <w:p>
      <w:pPr>
        <w:pStyle w:val="Heading2"/>
      </w:pPr>
      <w:r>
        <w:t>学习目标</w:t>
      </w:r>
    </w:p>
    <w:p/>
    <w:p>
      <w:pPr>
        <w:ind w:firstLine="482"/>
      </w:pPr>
      <w:r>
        <w:rPr>
          <w:rFonts w:ascii="宋体" w:hAnsi="宋体" w:eastAsia="宋体"/>
          <w:sz w:val="24"/>
        </w:rPr>
        <w:t>完成本章学习后，读者应当能够：</w:t>
      </w:r>
    </w:p>
    <w:p/>
    <w:p>
      <w:pPr>
        <w:pStyle w:val="ListNumber"/>
      </w:pPr>
      <w:r>
        <w:rPr>
          <w:rFonts w:ascii="宋体" w:hAnsi="宋体" w:eastAsia="宋体"/>
          <w:b/>
          <w:sz w:val="24"/>
        </w:rPr>
        <w:t>识记</w:t>
      </w:r>
      <w:r>
        <w:rPr>
          <w:rFonts w:ascii="宋体" w:hAnsi="宋体" w:eastAsia="宋体"/>
          <w:sz w:val="24"/>
        </w:rPr>
        <w:t>：VR、AR、MR、XR 的基本定义与技术特征，Milgram-Kishino 现实-虚拟连续体理论的核心内容。</w:t>
      </w:r>
    </w:p>
    <w:p>
      <w:pPr>
        <w:pStyle w:val="ListNumber"/>
      </w:pPr>
      <w:r>
        <w:rPr>
          <w:rFonts w:ascii="宋体" w:hAnsi="宋体" w:eastAsia="宋体"/>
          <w:b/>
          <w:sz w:val="24"/>
        </w:rPr>
        <w:t>理解</w:t>
      </w:r>
      <w:r>
        <w:rPr>
          <w:rFonts w:ascii="宋体" w:hAnsi="宋体" w:eastAsia="宋体"/>
          <w:sz w:val="24"/>
        </w:rPr>
        <w:t>：VR/AR 技术从萌芽期到产业融合期的发展脉络，各阶段的关键技术突破与标志性产品。</w:t>
      </w:r>
    </w:p>
    <w:p>
      <w:pPr>
        <w:pStyle w:val="ListNumber"/>
      </w:pPr>
      <w:r>
        <w:rPr>
          <w:rFonts w:ascii="宋体" w:hAnsi="宋体" w:eastAsia="宋体"/>
          <w:b/>
          <w:sz w:val="24"/>
        </w:rPr>
        <w:t>应用</w:t>
      </w:r>
      <w:r>
        <w:rPr>
          <w:rFonts w:ascii="宋体" w:hAnsi="宋体" w:eastAsia="宋体"/>
          <w:sz w:val="24"/>
        </w:rPr>
        <w:t>：运用 I.M.M.E.R.S.E. 七维框架分析现有 VR/AR 沉浸式场景项目的技术构成与设计逻辑。</w:t>
      </w:r>
    </w:p>
    <w:p>
      <w:pPr>
        <w:pStyle w:val="ListNumber"/>
      </w:pPr>
      <w:r>
        <w:rPr>
          <w:rFonts w:ascii="宋体" w:hAnsi="宋体" w:eastAsia="宋体"/>
          <w:b/>
          <w:sz w:val="24"/>
        </w:rPr>
        <w:t>分析</w:t>
      </w:r>
      <w:r>
        <w:rPr>
          <w:rFonts w:ascii="宋体" w:hAnsi="宋体" w:eastAsia="宋体"/>
          <w:sz w:val="24"/>
        </w:rPr>
        <w:t>：比较全球 VR/AR 产业生态中各核心厂商的技术路线与竞争策略，分析 5G/AI 赋能下的技术演进趋势。</w:t>
      </w:r>
    </w:p>
    <w:p>
      <w:pPr>
        <w:pStyle w:val="ListNumber"/>
      </w:pPr>
      <w:r>
        <w:rPr>
          <w:rFonts w:ascii="宋体" w:hAnsi="宋体" w:eastAsia="宋体"/>
          <w:b/>
          <w:sz w:val="24"/>
        </w:rPr>
        <w:t>评价</w:t>
      </w:r>
      <w:r>
        <w:rPr>
          <w:rFonts w:ascii="宋体" w:hAnsi="宋体" w:eastAsia="宋体"/>
          <w:sz w:val="24"/>
        </w:rPr>
        <w:t>：评估 VR/AR 技术在不同应用领域（文旅、教育、工业、医疗）的成熟度与落地可行性。</w:t>
      </w:r>
    </w:p>
    <w:p>
      <w:pPr>
        <w:pStyle w:val="ListNumber"/>
      </w:pPr>
      <w:r>
        <w:rPr>
          <w:rFonts w:ascii="宋体" w:hAnsi="宋体" w:eastAsia="宋体"/>
          <w:b/>
          <w:sz w:val="24"/>
        </w:rPr>
        <w:t>创造</w:t>
      </w:r>
      <w:r>
        <w:rPr>
          <w:rFonts w:ascii="宋体" w:hAnsi="宋体" w:eastAsia="宋体"/>
          <w:sz w:val="24"/>
        </w:rPr>
        <w:t>：基于 I.M.M.E.R.S.E. 框架，设计一个面向特定文旅场景的 VR/AR 沉浸式体验初步方案。</w:t>
      </w:r>
    </w:p>
    <w:p/>
    <w:p>
      <w:pPr>
        <w:pStyle w:val="Heading2"/>
      </w:pPr>
      <w:r>
        <w:t>导入案例：Apple Vision Pro 发布——空间计算时代的开启</w:t>
      </w:r>
    </w:p>
    <w:p/>
    <w:p>
      <w:pPr>
        <w:ind w:firstLine="482"/>
      </w:pPr>
      <w:r>
        <w:rPr>
          <w:rFonts w:ascii="宋体" w:hAnsi="宋体" w:eastAsia="宋体"/>
          <w:sz w:val="24"/>
        </w:rPr>
        <w:t>2023年6月5日，苹果公司在全球开发者大会（WWDC）上正式发布 Apple Vision Pro 头显设备，并将这一产品品类命名为"空间计算"（Spatial Computing）设备。这一事件被视为 VR/AR 技术发展史上的重要里程碑，标志着沉浸式技术从"虚拟现实"向"空间计算"的范式转换。</w:t>
      </w:r>
    </w:p>
    <w:p/>
    <w:p>
      <w:pPr>
        <w:ind w:firstLine="482"/>
      </w:pPr>
      <w:r>
        <w:rPr>
          <w:rFonts w:ascii="宋体" w:hAnsi="宋体" w:eastAsia="宋体"/>
          <w:sz w:val="24"/>
        </w:rPr>
        <w:t>Vision Pro 搭载了两块 2300 万像素的 micro-OLED 显示屏，单眼分辨率超过 4K，配备 M2 芯片和全新的 R1 芯片（专用于实时传感器处理），实现了 12 毫秒的光子到光子延迟。设备外部搭载一块"EyeSight"显示屏，可以向外界显示用户眼部表情，降低 VR 设备带来的社交隔离感。更重要的是，Vision Pro 引入了"数字旋钮"（Digital Crown）交互范式，用户可以通过旋钮在完全沉浸的虚拟环境与真实环境之间无缝切换，这一设计理念正是 Milgram-Kishino 现实-虚拟连续体理论在产品层面的工程化实现[1]。</w:t>
      </w:r>
    </w:p>
    <w:p/>
    <w:p>
      <w:pPr>
        <w:ind w:firstLine="482"/>
      </w:pPr>
      <w:r>
        <w:rPr>
          <w:rFonts w:ascii="宋体" w:hAnsi="宋体" w:eastAsia="宋体"/>
          <w:sz w:val="24"/>
        </w:rPr>
        <w:t>这一案例引发我们思考：VR/AR 技术经历了怎样的发展历程？不同技术路线之间的边界如何界定？面向文旅、教育等垂直领域的沉浸式场景制作，需要怎样的理论框架来指导？本章将系统回答这些问题，并引入贯穿全书的 I.M.M.E.R.S.E. 七维沉浸式场景制作框架。</w:t>
      </w:r>
    </w:p>
    <w:p/>
    <w:p>
      <w:pPr>
        <w:ind w:firstLine="482"/>
      </w:pPr>
      <w:r>
        <w:rPr>
          <w:rFonts w:ascii="宋体" w:hAnsi="宋体" w:eastAsia="宋体"/>
          <w:sz w:val="24"/>
        </w:rPr>
        <w:t>---</w:t>
      </w:r>
    </w:p>
    <w:p/>
    <w:p>
      <w:pPr>
        <w:pStyle w:val="Heading2"/>
      </w:pPr>
      <w:r>
        <w:t>1.1 VR/AR/MR/XR 概念辨析与技术谱系</w:t>
      </w:r>
    </w:p>
    <w:p/>
    <w:p>
      <w:pPr>
        <w:pStyle w:val="Heading3"/>
      </w:pPr>
      <w:r>
        <w:t>1.1.1 虚拟现实（VR）的定义与技术特征</w:t>
      </w:r>
    </w:p>
    <w:p/>
    <w:p>
      <w:pPr>
        <w:ind w:firstLine="482"/>
      </w:pPr>
      <w:r>
        <w:rPr>
          <w:rFonts w:ascii="宋体" w:hAnsi="宋体" w:eastAsia="宋体"/>
          <w:sz w:val="24"/>
        </w:rPr>
        <w:t>虚拟现实（Virtual Reality，VR）是指利用计算机技术生成的沉浸式三维环境，用户通过头戴式显示器（HMD）等设备进入完全虚拟的世界，并通过交互设备与之进行实时互动。VR 的核心特征可以概括为"3I"：沉浸感（Immersion）、交互性（Interaction）和想象力（Imagination）[2]。</w:t>
      </w:r>
    </w:p>
    <w:p/>
    <w:p>
      <w:pPr>
        <w:ind w:firstLine="482"/>
      </w:pPr>
      <w:r>
        <w:rPr>
          <w:rFonts w:ascii="宋体" w:hAnsi="宋体" w:eastAsia="宋体"/>
          <w:sz w:val="24"/>
        </w:rPr>
        <w:t>从技术层面来看，VR 系统需要满足三个基本条件：第一，通过立体显示技术为用户的左右眼分别提供具有视差的图像，从而产生深度感知；第二，通过头动追踪技术实时更新渲染视角，使用户的视觉感知与头部运动保持一致；第三，通过交互设备（手柄、手势、语音等）允许用户对虚拟环境中的对象进行操作[3]。</w:t>
      </w:r>
    </w:p>
    <w:p/>
    <w:p>
      <w:pPr>
        <w:ind w:firstLine="482"/>
      </w:pPr>
      <w:r>
        <w:rPr>
          <w:rFonts w:ascii="宋体" w:hAnsi="宋体" w:eastAsia="宋体"/>
          <w:sz w:val="24"/>
        </w:rPr>
        <w:t>Steuer 在其经典论文中提出了定义虚拟现实的两个核心维度：生动性（Vividness）和交互性（Interactivity）。生动性指感官信息的丰富程度，包括分辨率、色彩深度、视场角等；交互性指用户对环境形式的控制程度，包括实时性、可控性和可修改性[4]。这一定义超越了纯硬件视角，将 VR 理解为一种体验变量而非设备类别，对后来的研究产生了深远影响。</w:t>
      </w:r>
    </w:p>
    <w:p/>
    <w:p>
      <w:pPr>
        <w:ind w:firstLine="482"/>
      </w:pPr>
      <w:r>
        <w:rPr>
          <w:rFonts w:ascii="宋体" w:hAnsi="宋体" w:eastAsia="宋体"/>
          <w:sz w:val="24"/>
        </w:rPr>
        <w:t>VR 系统按照沉浸程度可分为三类：非沉浸式 VR（Desktop VR，如传统 3D 游戏）、半沉浸式 VR（如 CAVE 系统、大屏幕投影）和完全沉浸式 VR（如 HMD 系统）。其中，完全沉浸式 VR 通过封闭用户视觉和听觉，提供最高程度的沉浸体验，是当前消费级 VR 产品的主流形态[5]。</w:t>
      </w:r>
    </w:p>
    <w:p/>
    <w:p>
      <w:pPr>
        <w:ind w:firstLine="482"/>
      </w:pPr>
      <w:r>
        <w:rPr>
          <w:rFonts w:ascii="宋体" w:hAnsi="宋体" w:eastAsia="宋体"/>
          <w:sz w:val="24"/>
        </w:rPr>
        <w:t>从系统架构角度，VR 又可分为 PC VR 和一体机（Standalone VR）两种形态。PC VR 以 Oculus Rift CV1、HTC Vive 和 Valve Index为代表，需要连接高性能游戏 PC 运行，优点是计算能力强、画质高，缺点是价格昂贵且受限于线缆连接。一体机以 Meta Quest 系列、PICO 4 为代表，将处理器、电池和显示系统集成在头显内部，无需外部设备即可运行，代表了当前消费级 VR 的主流发展方向。一体机的关键优势在于便携性和低使用门槛——用户无需配置昂贵的 PC 主机，开箱即可体验 VR 内容，且不受线缆束缚，可在任意空间使用。然而，受限于移动端处理器的性能和散热能力，一体机在画面质量和复杂场景渲染方面仍不及 PC VR。为弥合这一差距，业界发展出了 PC 串流（PC Streaming）技术，允许一体机通过 Wi-Fi 6 网络连接 PC，以无线方式运行 PC 级别的 VR 应用，代表方案包括 Meta Air Link 和 Steam Link。这一技术路线在便携性与性能之间提供了灵活的折中方案。</w:t>
      </w:r>
    </w:p>
    <w:p/>
    <w:p>
      <w:pPr>
        <w:ind w:firstLine="482"/>
      </w:pPr>
      <w:r>
        <w:rPr>
          <w:rFonts w:ascii="宋体" w:hAnsi="宋体" w:eastAsia="宋体"/>
          <w:sz w:val="24"/>
        </w:rPr>
        <w:t>在 VR 系统的感知通道方面，视觉通道无疑是最核心的——人类获取外界信息约有 80% 依赖视觉。但仅靠视觉并不足以创建完整的沉浸体验，听觉通道同样重要。空间音频（Spatial Audio）技术通过模拟声波在三维空间中的传播特性（包括距离衰减、方向定位和环境反射），为用户提供听觉上的临场感。触觉反馈则通过手柄振动、力反馈手套或触觉背心等设备，使用户能够"感受"虚拟物体，进一步提升沉浸感。多感官通道的协同工作是 VR 技术从"看"到"在"的关键转变——当用户不仅看到虚拟世界，还能听到声音从正确方向传来、触碰到虚拟物体并获得反馈时，大脑才会真正接受"我存在于这个虚拟空间中"的错觉。这一多感官一致性原则构成了第3章沉浸感理论的核心主题</w:t>
      </w:r>
    </w:p>
    <w:p/>
    <w:p>
      <w:pPr>
        <w:pStyle w:val="Heading3"/>
      </w:pPr>
      <w:r>
        <w:t>1.1.2 增强现实（AR）的定义与技术特征</w:t>
      </w:r>
    </w:p>
    <w:p/>
    <w:p>
      <w:pPr>
        <w:ind w:firstLine="482"/>
      </w:pPr>
      <w:r>
        <w:rPr>
          <w:rFonts w:ascii="宋体" w:hAnsi="宋体" w:eastAsia="宋体"/>
          <w:sz w:val="24"/>
        </w:rPr>
        <w:t>增强现实（Augmented Reality，AR）是指将计算机生成的虚拟信息（文字、图像、3D 模型、视频等）叠加到用户对真实世界的感知之上，从而增强用户对现实环境的理解和交互能力。与 VR 创建完全虚拟的环境不同，AR 的核心理念是"增强"而非"替代"现实[6]。</w:t>
      </w:r>
    </w:p>
    <w:p/>
    <w:p>
      <w:pPr>
        <w:ind w:firstLine="482"/>
      </w:pPr>
      <w:r>
        <w:rPr>
          <w:rFonts w:ascii="宋体" w:hAnsi="宋体" w:eastAsia="宋体"/>
          <w:sz w:val="24"/>
        </w:rPr>
        <w:t>Azuma 在 1997 年发表的 AR 综述论文是该领域的奠基性文献，他提出了 AR 的三个定义特征：第一，虚实结合——将虚拟内容与现实世界融合；第二，实时交互——用户能够实时地与增强内容进行交互；第三，三维注册——虚拟内容精确地锚定在真实世界的三维空间中[6]。这三个特征至今仍是判断一个系统是否属于 AR 的基本准则。</w:t>
      </w:r>
    </w:p>
    <w:p/>
    <w:p>
      <w:pPr>
        <w:ind w:firstLine="482"/>
      </w:pPr>
      <w:r>
        <w:rPr>
          <w:rFonts w:ascii="宋体" w:hAnsi="宋体" w:eastAsia="宋体"/>
          <w:sz w:val="24"/>
        </w:rPr>
        <w:t>2001 年，Azuma 等人发表了 AR 综述的更新版本，系统总结了 AR 在显示技术、追踪技术、交互技术和应用领域方面的最新进展[7]。该综述指出，AR 技术从最初的军事航空应用，逐步扩展到医学、制造、维修、机器人路径规划、娱乐等多个领域，技术成熟度和应用广度都有了显著提升。</w:t>
      </w:r>
    </w:p>
    <w:p/>
    <w:p>
      <w:pPr>
        <w:ind w:firstLine="482"/>
      </w:pPr>
      <w:r>
        <w:rPr>
          <w:rFonts w:ascii="宋体" w:hAnsi="宋体" w:eastAsia="宋体"/>
          <w:sz w:val="24"/>
        </w:rPr>
        <w:t>AR 系统的显示方式主要分为三类：视频透视式（Video See-Through），通过摄像头捕获真实场景并在其中叠加虚拟内容后显示给用户；光学透视式（Optical See-Through），通过半透明光学元件（如光波导、棱镜）使用户直接看到真实世界的同时叠加虚拟图像；以及投射式（Projection-based），将虚拟信息直接投射到真实物体表面[8]。</w:t>
      </w:r>
    </w:p>
    <w:p/>
    <w:p>
      <w:pPr>
        <w:ind w:firstLine="482"/>
      </w:pPr>
      <w:r>
        <w:rPr>
          <w:rFonts w:ascii="宋体" w:hAnsi="宋体" w:eastAsia="宋体"/>
          <w:sz w:val="24"/>
        </w:rPr>
        <w:t>三种显示方式各有优劣，适用于不同的应用场景。视频透视式 AR 的优势在于虚实融合的精确控制——由于真实场景和虚拟内容都经过同一渲染管线处理，系统可以精确控制虚实遮挡关系和光照一致性，实现高度逼真的融合效果。但其缺点是用户看到的真实世界经过摄像头采集和屏幕显示的两次转换，存在分辨率损失和延迟。光学透视式 AR 的优势在于用户直接看到真实世界，无分辨率损失和延迟，更适合需要保持对真实环境完全感知的场景（如工业维修、军事训练）。但其技术挑战在于光学元件的视场角限制和虚实对齐精度。投射式 AR 则适用于多人共享场景，如博物馆展品上的信息投影，但受限于环境光照条件和投影设备的固定位置。</w:t>
      </w:r>
    </w:p>
    <w:p/>
    <w:p>
      <w:pPr>
        <w:ind w:firstLine="482"/>
      </w:pPr>
      <w:r>
        <w:rPr>
          <w:rFonts w:ascii="宋体" w:hAnsi="宋体" w:eastAsia="宋体"/>
          <w:sz w:val="24"/>
        </w:rPr>
        <w:t>近年来，随着全彩透视技术（Full-Color Passthrough）的成熟，视频透视式 AR 正在成为一体机 VR 设备的标准功能。Meta Quest 3 和 PICO 4 Ultra 搭载了高分辨率全彩 RGB 摄像头，能够将真实环境以接近自然色彩的画质呈现在用户眼前，同时叠加虚拟内容。这一技术进步使一体机设备能够同时充当 VR 和 AR 设备，进一步模糊了 VR 和 AR 的产品边界，验证了 Milgram-Kishino 连续体理论中"VR 和 AR 是同一光谱上的不同位置"这一核心论断。</w:t>
      </w:r>
    </w:p>
    <w:p/>
    <w:p>
      <w:pPr>
        <w:pStyle w:val="Heading3"/>
      </w:pPr>
      <w:r>
        <w:t>1.1.3 混合现实（MR）与扩展现实（XR）的演进</w:t>
      </w:r>
    </w:p>
    <w:p/>
    <w:p>
      <w:pPr>
        <w:ind w:firstLine="482"/>
      </w:pPr>
      <w:r>
        <w:rPr>
          <w:rFonts w:ascii="宋体" w:hAnsi="宋体" w:eastAsia="宋体"/>
          <w:sz w:val="24"/>
        </w:rPr>
        <w:t>混合现实（Mixed Reality，MR）的概念源于 Milgram 和 Kishino 在 1994 年提出的现实-虚拟连续体（Reality-Virtuality Continuum）理论[9]。该理论认为，真实环境和虚拟环境并非截然对立的两个类别，而是构成一个连续的光谱。在这个光谱上，AR 和增强虚拟（Augmented Virtuality，AV）都是介于真实和虚拟之间的混合形态，统称为混合现实。</w:t>
      </w:r>
    </w:p>
    <w:p/>
    <w:p>
      <w:pPr>
        <w:ind w:firstLine="482"/>
      </w:pPr>
      <w:r>
        <w:rPr>
          <w:rFonts w:ascii="宋体" w:hAnsi="宋体" w:eastAsia="宋体"/>
          <w:sz w:val="24"/>
        </w:rPr>
        <w:t>MR 的核心特征是虚实内容的深度融合——虚拟物体不仅叠加在真实环境之上，还能与真实物体发生遮挡、碰撞等物理交互。例如，Microsoft HoloLens 能够让虚拟物体被真实桌子遮挡，给人以一种虚拟物体"真实存在"于物理空间中的错觉[3]。</w:t>
      </w:r>
    </w:p>
    <w:p/>
    <w:p>
      <w:pPr>
        <w:ind w:firstLine="482"/>
      </w:pPr>
      <w:r>
        <w:rPr>
          <w:rFonts w:ascii="宋体" w:hAnsi="宋体" w:eastAsia="宋体"/>
          <w:sz w:val="24"/>
        </w:rPr>
        <w:t>扩展现实（Extended Reality，XR）是 VR、AR、MR 的统称，是一个伞形术语。XR 的提出反映了沉浸式技术领域对统一概念框架的需求——随着技术边界的日益模糊，同一设备往往能同时支持 VR 和 AR 模式（如 Meta Quest 3 的全彩透视功能、Apple Vision Pro 的数字旋钮切换），传统的分类方式已难以准确描述产品的功能范围[10]。</w:t>
      </w:r>
    </w:p>
    <w:p/>
    <w:p>
      <w:pPr>
        <w:pStyle w:val="Heading3"/>
      </w:pPr>
      <w:r>
        <w:t>1.1.4 Milgram-Kishino 现实-虚拟连续体理论</w:t>
      </w:r>
    </w:p>
    <w:p/>
    <w:p>
      <w:pPr>
        <w:ind w:firstLine="482"/>
      </w:pPr>
      <w:r>
        <w:rPr>
          <w:rFonts w:ascii="宋体" w:hAnsi="宋体" w:eastAsia="宋体"/>
          <w:sz w:val="24"/>
        </w:rPr>
        <w:t>Milgram 和 Kishino 的现实-虚拟连续体理论是理解 VR/AR/MR 技术谱系最重要的理论框架之一[9]。该理论将沉浸式技术置于一个从"真实环境"（Real Environment）到"虚拟环境"（Virtual Environment）的连续光谱上：</w:t>
      </w:r>
    </w:p>
    <w:p/>
    <w:p>
      <w:pPr>
        <w:pStyle w:val="ListBullet"/>
      </w:pPr>
      <w:r>
        <w:rPr>
          <w:rFonts w:ascii="宋体" w:hAnsi="宋体" w:eastAsia="宋体"/>
          <w:b/>
          <w:sz w:val="24"/>
        </w:rPr>
        <w:t>真实环境（RE）</w:t>
      </w:r>
      <w:r>
        <w:rPr>
          <w:rFonts w:ascii="宋体" w:hAnsi="宋体" w:eastAsia="宋体"/>
          <w:sz w:val="24"/>
        </w:rPr>
        <w:t>：未经任何数字增强的物理世界。</w:t>
      </w:r>
    </w:p>
    <w:p>
      <w:pPr>
        <w:pStyle w:val="ListBullet"/>
      </w:pPr>
      <w:r>
        <w:rPr>
          <w:rFonts w:ascii="宋体" w:hAnsi="宋体" w:eastAsia="宋体"/>
          <w:b/>
          <w:sz w:val="24"/>
        </w:rPr>
        <w:t>增强现实（AR）</w:t>
      </w:r>
      <w:r>
        <w:rPr>
          <w:rFonts w:ascii="宋体" w:hAnsi="宋体" w:eastAsia="宋体"/>
          <w:sz w:val="24"/>
        </w:rPr>
        <w:t>：真实环境为主，叠加少量虚拟信息。如 AR 导航应用中，街道实景为主，导航箭头为辅。</w:t>
      </w:r>
    </w:p>
    <w:p>
      <w:pPr>
        <w:pStyle w:val="ListBullet"/>
      </w:pPr>
      <w:r>
        <w:rPr>
          <w:rFonts w:ascii="宋体" w:hAnsi="宋体" w:eastAsia="宋体"/>
          <w:b/>
          <w:sz w:val="24"/>
        </w:rPr>
        <w:t>增强虚拟（AV）</w:t>
      </w:r>
      <w:r>
        <w:rPr>
          <w:rFonts w:ascii="宋体" w:hAnsi="宋体" w:eastAsia="宋体"/>
          <w:sz w:val="24"/>
        </w:rPr>
        <w:t>：虚拟环境为主，叠加少量真实信息。如 VR 游戏中融入用户的实时面部表情。</w:t>
      </w:r>
    </w:p>
    <w:p>
      <w:pPr>
        <w:pStyle w:val="ListBullet"/>
      </w:pPr>
      <w:r>
        <w:rPr>
          <w:rFonts w:ascii="宋体" w:hAnsi="宋体" w:eastAsia="宋体"/>
          <w:b/>
          <w:sz w:val="24"/>
        </w:rPr>
        <w:t>虚拟环境（VE）</w:t>
      </w:r>
      <w:r>
        <w:rPr>
          <w:rFonts w:ascii="宋体" w:hAnsi="宋体" w:eastAsia="宋体"/>
          <w:sz w:val="24"/>
        </w:rPr>
        <w:t>：完全由计算机生成的沉浸式虚拟世界。</w:t>
      </w:r>
    </w:p>
    <w:p>
      <w:pPr>
        <w:pStyle w:val="ListBullet"/>
      </w:pPr>
      <w:r>
        <w:rPr>
          <w:rFonts w:ascii="宋体" w:hAnsi="宋体" w:eastAsia="宋体"/>
          <w:b/>
          <w:sz w:val="24"/>
        </w:rPr>
        <w:t>混合现实（MR）</w:t>
      </w:r>
      <w:r>
        <w:rPr>
          <w:rFonts w:ascii="宋体" w:hAnsi="宋体" w:eastAsia="宋体"/>
          <w:sz w:val="24"/>
        </w:rPr>
        <w:t>：AR 和 AV 的统称，涵盖所有虚实融合的中间状态。</w:t>
      </w:r>
    </w:p>
    <w:p/>
    <w:p>
      <w:pPr>
        <w:spacing w:before="60" w:after="60"/>
        <w:ind w:left="567"/>
      </w:pPr>
      <w:r>
        <w:rPr>
          <w:rFonts w:ascii="楷体" w:hAnsi="楷体" w:eastAsia="楷体"/>
          <w:i/>
          <w:sz w:val="22"/>
        </w:rPr>
        <w:t>**知识卡片：Milgram-Kishino 连续体的启示**</w:t>
      </w:r>
    </w:p>
    <w:p>
      <w:pPr>
        <w:spacing w:before="60" w:after="60"/>
        <w:ind w:left="567"/>
      </w:pPr>
      <w:r>
        <w:rPr>
          <w:rFonts w:ascii="楷体" w:hAnsi="楷体" w:eastAsia="楷体"/>
          <w:i/>
          <w:sz w:val="22"/>
        </w:rPr>
        <w:t>连续体理论最重要的启示在于：VR 和 AR 并非互斥的技术路线，而是同一技术光谱上的不同位置。这一认识指导了产品设计的方向——现代沉浸式设备普遍采用"通透模式"（Passthrough Mode），允许用户在 VR 和 AR 之间无缝切换。Apple Vision Pro 的"数字旋钮"设计正是这一理念的产品化体现：用户旋转旋钮即可在完全沉浸（VR 端）和环境融合（AR 端）之间自由调节[1]。</w:t>
      </w:r>
    </w:p>
    <w:p/>
    <w:p>
      <w:pPr>
        <w:pStyle w:val="Heading2"/>
      </w:pPr>
      <w:r>
        <w:t>1.2 VR/AR 技术发展史</w:t>
      </w:r>
    </w:p>
    <w:p/>
    <w:p>
      <w:pPr>
        <w:pStyle w:val="Heading3"/>
      </w:pPr>
      <w:r>
        <w:t>1.2.1 1960s-1980s：技术萌芽期</w:t>
      </w:r>
    </w:p>
    <w:p/>
    <w:p>
      <w:pPr>
        <w:ind w:firstLine="482"/>
      </w:pPr>
      <w:r>
        <w:rPr>
          <w:rFonts w:ascii="宋体" w:hAnsi="宋体" w:eastAsia="宋体"/>
          <w:sz w:val="24"/>
        </w:rPr>
        <w:t>VR/AR 技术的历史可以追溯到 20 世纪 60 年代。1962 年，Morton Heilig 发明了 Sensorama——一台多感官模拟器，能够同时提供视觉、听觉、嗅觉和触觉刺激，被视为沉浸式技术的先驱装置。1968 年，哈佛大学的 Ivan Sutherland 开发了第一个头戴式显示器系统，因为其机械臂支撑结构过于沉重，被戏称为"达摩克利斯之剑"（Sword of Damocles）。该系统通过悬挂式机械臂追踪头部位置，在 CRT 显示器上显示线框图形，开创了 HMD 技术的先河[5]。</w:t>
      </w:r>
    </w:p>
    <w:p/>
    <w:p>
      <w:pPr>
        <w:ind w:firstLine="482"/>
      </w:pPr>
      <w:r>
        <w:rPr>
          <w:rFonts w:ascii="宋体" w:hAnsi="宋体" w:eastAsia="宋体"/>
          <w:sz w:val="24"/>
        </w:rPr>
        <w:t>1985 年，NASA Ames 研究中心开发了 VIEW（Virtual Interactive Environment Workstation）项目，使用了第一个基于 LCD 的 HMD 和数据手套（DataGlove）。1989 年，VPL Research 公司的创始人 Jaron Lanier 正式提出"Virtual Reality"一词，VR 作为独立技术领域开始进入公众视野。VPL Research 同时开发了 DataGlove 数据手套和 EyePhone HMD，成为早期 VR 产业化的先驱[3]。</w:t>
      </w:r>
    </w:p>
    <w:p/>
    <w:p>
      <w:pPr>
        <w:ind w:firstLine="482"/>
      </w:pPr>
      <w:r>
        <w:rPr>
          <w:rFonts w:ascii="宋体" w:hAnsi="宋体" w:eastAsia="宋体"/>
          <w:sz w:val="24"/>
        </w:rPr>
        <w:t>在 AR 领域，1968 年 Sutherland 的 HMD 系统本身就可以被视为最早的 AR 设备之一——它将线框图形叠加在用户对真实环境的视觉感知之上。1980 年代末，波音公司的 Tom Caudell 和 David Mizell 首次使用"Augmented Reality"一词来描述他们在飞机制造中使用的头戴式显示系统，该系统将装配指令叠加在工人的真实视野上[7]。</w:t>
      </w:r>
    </w:p>
    <w:p/>
    <w:p>
      <w:pPr>
        <w:pStyle w:val="Heading3"/>
      </w:pPr>
      <w:r>
        <w:t>1.2.2 1990s-2000s：概念成熟期</w:t>
      </w:r>
    </w:p>
    <w:p/>
    <w:p>
      <w:pPr>
        <w:ind w:firstLine="482"/>
      </w:pPr>
      <w:r>
        <w:rPr>
          <w:rFonts w:ascii="宋体" w:hAnsi="宋体" w:eastAsia="宋体"/>
          <w:sz w:val="24"/>
        </w:rPr>
        <w:t>1992 年，伊利诺伊大学芝加哥分校的 Carolina Cruz-Neira 等人开发了 CAVE（Cave Automatic Virtual Environment）系统——一个由多个投影面组成的房间式 VR 环境。用户佩戴立体眼镜在房间内自由移动，四面墙壁和地板均投射立体图像，提供了比 HMD 更宽广的视场和更自然的社交互动。CAVE 系统在科学可视化、建筑设计等领域获得了广泛应用[5]。</w:t>
      </w:r>
    </w:p>
    <w:p/>
    <w:p>
      <w:pPr>
        <w:ind w:firstLine="482"/>
      </w:pPr>
      <w:r>
        <w:rPr>
          <w:rFonts w:ascii="宋体" w:hAnsi="宋体" w:eastAsia="宋体"/>
          <w:sz w:val="24"/>
        </w:rPr>
        <w:t>1994 年，Milgram 和 Kishino 发表了现实-虚拟连续体理论论文，为 VR/AR/MR 领域提供了最基本的概念框架[9]。1997 年，Azuma 发表的 AR 综述论文系统梳理了 AR 的定义、技术特征和应用场景，成为该领域被引用次数最多的文献之一[6]。</w:t>
      </w:r>
    </w:p>
    <w:p/>
    <w:p>
      <w:pPr>
        <w:ind w:firstLine="482"/>
      </w:pPr>
      <w:r>
        <w:rPr>
          <w:rFonts w:ascii="宋体" w:hAnsi="宋体" w:eastAsia="宋体"/>
          <w:sz w:val="24"/>
        </w:rPr>
        <w:t>这一时期，VR/AR 技术虽然在军事、航空航天、医学等专业领域取得了一些应用，但受限于硬件成本和计算能力，未能进入消费市场。1995 年，Nintendo 推出了 Virtual Boy 游戏机，但由于单色显示、缺乏头动追踪和内容不足等问题，以商业失败告终。这一失败在一定程度上反映了早期 VR 技术的不成熟和市场对沉浸式体验的过高期望之间的落差[3]。</w:t>
      </w:r>
    </w:p>
    <w:p/>
    <w:p>
      <w:pPr>
        <w:pStyle w:val="Heading3"/>
      </w:pPr>
      <w:r>
        <w:t>1.2.3 2010s：消费级爆发期</w:t>
      </w:r>
    </w:p>
    <w:p/>
    <w:p>
      <w:pPr>
        <w:ind w:firstLine="482"/>
      </w:pPr>
      <w:r>
        <w:rPr>
          <w:rFonts w:ascii="宋体" w:hAnsi="宋体" w:eastAsia="宋体"/>
          <w:sz w:val="24"/>
        </w:rPr>
        <w:t>2012 年，Palmer Luckey 在 Kickstarter 上发起了 Oculus Rift VR 头显的众筹项目，迅速筹集了超过 240 万美元，标志着消费级 VR 时代的到来。2014 年，Facebook（现 Meta）以 20 亿美元收购 Oculus，向市场释放了强烈信号——VR 技术即将迎来大规模商业化。同年，Google 发布了 Cardboard VR 眼镜，以极低的价格（约 15 美元）让用户通过智能手机体验 VR，极大降低了 VR 的体验门槛[5]。</w:t>
      </w:r>
    </w:p>
    <w:p/>
    <w:p>
      <w:pPr>
        <w:ind w:firstLine="482"/>
      </w:pPr>
      <w:r>
        <w:rPr>
          <w:rFonts w:ascii="宋体" w:hAnsi="宋体" w:eastAsia="宋体"/>
          <w:sz w:val="24"/>
        </w:rPr>
        <w:t>2016 年被称为"VR 元年"：Oculus Rift CV1、HTC Vive 和 PlayStation VR 三大消费级 VR 头显相继发布，VR 技术正式进入消费市场。同年，Niantic 公司发布的 Pokémon GO 成为全球现象级 AR 应用，上线一个月内下载量超过 5 亿次，证明了 AR 技术在移动端的巨大潜力[10]。</w:t>
      </w:r>
    </w:p>
    <w:p/>
    <w:p>
      <w:pPr>
        <w:ind w:firstLine="482"/>
      </w:pPr>
      <w:r>
        <w:rPr>
          <w:rFonts w:ascii="宋体" w:hAnsi="宋体" w:eastAsia="宋体"/>
          <w:sz w:val="24"/>
        </w:rPr>
        <w:t>在 AR 领域，2015 年 Microsoft 发布了 HoloLens 全息眼镜，这是第一款运行 Windows Holographic 操作系统的独立 MR 设备。HoloLens 采用光学透视显示方案，内置深度传感器和环境理解能力，无需外部标记即可在真实环境中放置虚拟全息图像[3]。</w:t>
      </w:r>
    </w:p>
    <w:p/>
    <w:p>
      <w:pPr>
        <w:ind w:firstLine="482"/>
      </w:pPr>
      <w:r>
        <w:rPr>
          <w:rFonts w:ascii="宋体" w:hAnsi="宋体" w:eastAsia="宋体"/>
          <w:sz w:val="24"/>
        </w:rPr>
        <w:t>2019 年，Oculus Quest 的发布标志着"一体机"（Standalone VR）成为消费级 VR 的主流形态——无需连接 PC 或手机，设备内置处理器和电池即可运行 VR 应用。这一产品形态大幅降低了 VR 的使用门槛和成本，为 VR 的普及奠定了硬件基础[11]。</w:t>
      </w:r>
    </w:p>
    <w:p/>
    <w:p>
      <w:pPr>
        <w:pStyle w:val="Heading3"/>
      </w:pPr>
      <w:r>
        <w:t>1.2.4 2020s：产业融合期</w:t>
      </w:r>
    </w:p>
    <w:p/>
    <w:p>
      <w:pPr>
        <w:ind w:firstLine="482"/>
      </w:pPr>
      <w:r>
        <w:rPr>
          <w:rFonts w:ascii="宋体" w:hAnsi="宋体" w:eastAsia="宋体"/>
          <w:sz w:val="24"/>
        </w:rPr>
        <w:t>2020 年发布的 Oculus Quest 2（后更名为 Meta Quest 2）成为 VR 史上最畅销的头显设备，累计销量超过 2000 万台，证明了 VR 技术在消费市场的可持续性。2021 年，Facebook 公司更名为 Meta，宣布"All-in 元宇宙"战略，VR/AR 技术被提升为公司核心业务方向[12]。</w:t>
      </w:r>
    </w:p>
    <w:p/>
    <w:p>
      <w:pPr>
        <w:ind w:firstLine="482"/>
      </w:pPr>
      <w:r>
        <w:rPr>
          <w:rFonts w:ascii="宋体" w:hAnsi="宋体" w:eastAsia="宋体"/>
          <w:sz w:val="24"/>
        </w:rPr>
        <w:t>2023年是 VR/AR 领域具有里程碑意义的一年。Apple 正式发布 Vision Pro，将"空间计算"概念推向公众视野[1]；Meta 发布 Quest 3，首次在消费级 VR 头显上实现了全彩透视（Full-Color Passthrough），使设备兼具 VR 和 MR 功能；ByteDance 旗下 PICO 发布 PICO 4，在中国市场持续发力。</w:t>
      </w:r>
    </w:p>
    <w:p/>
    <w:p>
      <w:pPr>
        <w:ind w:firstLine="482"/>
      </w:pPr>
      <w:r>
        <w:rPr>
          <w:rFonts w:ascii="宋体" w:hAnsi="宋体" w:eastAsia="宋体"/>
          <w:sz w:val="24"/>
        </w:rPr>
        <w:t>2024年以来，VR/AR 技术与人工智能的融合加速。生成式 AI 技术开始应用于 VR/AR 内容创作——通过文本描述生成 3D 模型、虚拟场景和交互脚本，大幅降低了内容制作成本。AI 驱动的 NPC（非玩家角色）对话系统使虚拟导游、虚拟教师等应用场景的体验质量显著提升[12]。</w:t>
      </w:r>
    </w:p>
    <w:p/>
    <w:p>
      <w:pPr>
        <w:ind w:firstLine="482"/>
      </w:pPr>
      <w:r>
        <w:rPr>
          <w:rFonts w:ascii="宋体" w:hAnsi="宋体" w:eastAsia="宋体"/>
          <w:sz w:val="24"/>
        </w:rPr>
        <w:t>元宇宙（Metaverse）概念的兴起进一步推动了 VR/AR 技术的发展。元宇宙一词源自 Neal Stephenson 1992 年的科幻小说《雪崩》（Snow Crash），指一个平行于现实世界的虚拟数字世界。2021年 Facebook 更名为 Meta 后，元宇宙概念成为全球科技产业的焦点。虽然早期的元宇宙叙事存在过度承诺的问题，但它确实推动了 VR/AR 技术在社交、协作、商业等领域的探索。Lin 等人在其元宇宙交互综述中指出，元宇宙的核心交互特征包括持久性（Persistent）、多用户共存（Multi-user Coexistence）和经济系统（Economic System），这些特征对 VR/AR 技术提出了新的要求[10]。Dienhart 等人进一步提出了"城市元宇宙"（Urban Metaverse）概念，探讨了元宇宙技术在智慧城市和工业场景中的应用前景[20]。</w:t>
      </w:r>
    </w:p>
    <w:p/>
    <w:p>
      <w:pPr>
        <w:ind w:firstLine="482"/>
      </w:pPr>
      <w:r>
        <w:rPr>
          <w:rFonts w:ascii="宋体" w:hAnsi="宋体" w:eastAsia="宋体"/>
          <w:sz w:val="24"/>
        </w:rPr>
        <w:t>与此同时，VR/AR 技术的标准化工作也在加速推进。OpenXR 标准由 Khronos Group 制定，旨在为 VR/AR 应用程序提供统一的 API 接口，使开发者无需为不同硬件平台重复编写适配代码。截至 2024 年，OpenXR 已获得 Meta、Microsoft、Sony、Valve 等主要厂商的支持，成为 VR/AR 开发的事实标准。这一标准化进程对于降低开发门槛、促进内容生态繁荣具有重要意义，也是本书第6章讨论引擎与开发工具时的重要背景。</w:t>
      </w:r>
    </w:p>
    <w:p/>
    <w:p>
      <w:pPr>
        <w:spacing w:before="60" w:after="60"/>
        <w:ind w:left="567"/>
      </w:pPr>
      <w:r>
        <w:rPr>
          <w:rFonts w:ascii="楷体" w:hAnsi="楷体" w:eastAsia="楷体"/>
          <w:i/>
          <w:sz w:val="22"/>
        </w:rPr>
        <w:t>**知识卡片：VR/AR 发展大事记（精简版）**</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&gt;</w:t>
            </w:r>
          </w:p>
        </w:tc>
        <w:tc>
          <w:tcPr>
            <w:tcW w:type="dxa" w:w="2078"/>
            <w:shd w:fill="D9E2F3" w:val="clear"/>
          </w:tcPr>
          <w:p>
            <w:pPr>
              <w:jc w:val="center"/>
            </w:pPr>
            <w:r/>
            <w:r>
              <w:rPr>
                <w:rFonts w:ascii="黑体" w:hAnsi="黑体" w:eastAsia="黑体"/>
                <w:b/>
                <w:sz w:val="20"/>
              </w:rPr>
              <w:t>年份</w:t>
            </w:r>
          </w:p>
        </w:tc>
        <w:tc>
          <w:tcPr>
            <w:tcW w:type="dxa" w:w="2078"/>
            <w:shd w:fill="D9E2F3" w:val="clear"/>
          </w:tcPr>
          <w:p>
            <w:pPr>
              <w:jc w:val="center"/>
            </w:pPr>
            <w:r/>
            <w:r>
              <w:rPr>
                <w:rFonts w:ascii="黑体" w:hAnsi="黑体" w:eastAsia="黑体"/>
                <w:b/>
                <w:sz w:val="20"/>
              </w:rPr>
              <w:t>事件</w:t>
            </w:r>
          </w:p>
        </w:tc>
        <w:tc>
          <w:tcPr>
            <w:tcW w:type="dxa" w:w="2078"/>
            <w:shd w:fill="D9E2F3" w:val="clear"/>
          </w:tcPr>
          <w:p>
            <w:pPr>
              <w:jc w:val="center"/>
            </w:pPr>
            <w:r/>
            <w:r>
              <w:rPr>
                <w:rFonts w:ascii="黑体" w:hAnsi="黑体" w:eastAsia="黑体"/>
                <w:b/>
                <w:sz w:val="20"/>
              </w:rPr>
              <w:t>意义</w:t>
            </w:r>
          </w:p>
        </w:tc>
      </w:tr>
      <w:tr>
        <w:tc>
          <w:tcPr>
            <w:tcW w:type="dxa" w:w="2078"/>
          </w:tcPr>
          <w:p>
            <w:r/>
            <w:r>
              <w:rPr>
                <w:rFonts w:ascii="宋体" w:hAnsi="宋体" w:eastAsia="宋体"/>
                <w:sz w:val="20"/>
              </w:rPr>
              <w:t>&gt;</w:t>
            </w:r>
          </w:p>
        </w:tc>
        <w:tc>
          <w:tcPr>
            <w:tcW w:type="dxa" w:w="2078"/>
          </w:tcPr>
          <w:p>
            <w:r/>
            <w:r>
              <w:rPr>
                <w:rFonts w:ascii="宋体" w:hAnsi="宋体" w:eastAsia="宋体"/>
                <w:sz w:val="20"/>
              </w:rPr>
              <w:t>1962</w:t>
            </w:r>
          </w:p>
        </w:tc>
        <w:tc>
          <w:tcPr>
            <w:tcW w:type="dxa" w:w="2078"/>
          </w:tcPr>
          <w:p>
            <w:r/>
            <w:r>
              <w:rPr>
                <w:rFonts w:ascii="宋体" w:hAnsi="宋体" w:eastAsia="宋体"/>
                <w:sz w:val="20"/>
              </w:rPr>
              <w:t>Sensorama 发明</w:t>
            </w:r>
          </w:p>
        </w:tc>
        <w:tc>
          <w:tcPr>
            <w:tcW w:type="dxa" w:w="2078"/>
          </w:tcPr>
          <w:p>
            <w:r/>
            <w:r>
              <w:rPr>
                <w:rFonts w:ascii="宋体" w:hAnsi="宋体" w:eastAsia="宋体"/>
                <w:sz w:val="20"/>
              </w:rPr>
              <w:t>首台多感官模拟器</w:t>
            </w:r>
          </w:p>
        </w:tc>
      </w:tr>
      <w:tr>
        <w:tc>
          <w:tcPr>
            <w:tcW w:type="dxa" w:w="2078"/>
          </w:tcPr>
          <w:p>
            <w:r/>
            <w:r>
              <w:rPr>
                <w:rFonts w:ascii="宋体" w:hAnsi="宋体" w:eastAsia="宋体"/>
                <w:sz w:val="20"/>
              </w:rPr>
              <w:t>&gt;</w:t>
            </w:r>
          </w:p>
        </w:tc>
        <w:tc>
          <w:tcPr>
            <w:tcW w:type="dxa" w:w="2078"/>
          </w:tcPr>
          <w:p>
            <w:r/>
            <w:r>
              <w:rPr>
                <w:rFonts w:ascii="宋体" w:hAnsi="宋体" w:eastAsia="宋体"/>
                <w:sz w:val="20"/>
              </w:rPr>
              <w:t>1968</w:t>
            </w:r>
          </w:p>
        </w:tc>
        <w:tc>
          <w:tcPr>
            <w:tcW w:type="dxa" w:w="2078"/>
          </w:tcPr>
          <w:p>
            <w:r/>
            <w:r>
              <w:rPr>
                <w:rFonts w:ascii="宋体" w:hAnsi="宋体" w:eastAsia="宋体"/>
                <w:sz w:val="20"/>
              </w:rPr>
              <w:t>达摩克利斯之剑</w:t>
            </w:r>
          </w:p>
        </w:tc>
        <w:tc>
          <w:tcPr>
            <w:tcW w:type="dxa" w:w="2078"/>
          </w:tcPr>
          <w:p>
            <w:r/>
            <w:r>
              <w:rPr>
                <w:rFonts w:ascii="宋体" w:hAnsi="宋体" w:eastAsia="宋体"/>
                <w:sz w:val="20"/>
              </w:rPr>
              <w:t>首个 HMD 系统</w:t>
            </w:r>
          </w:p>
        </w:tc>
      </w:tr>
      <w:tr>
        <w:tc>
          <w:tcPr>
            <w:tcW w:type="dxa" w:w="2078"/>
          </w:tcPr>
          <w:p>
            <w:r/>
            <w:r>
              <w:rPr>
                <w:rFonts w:ascii="宋体" w:hAnsi="宋体" w:eastAsia="宋体"/>
                <w:sz w:val="20"/>
              </w:rPr>
              <w:t>&gt;</w:t>
            </w:r>
          </w:p>
        </w:tc>
        <w:tc>
          <w:tcPr>
            <w:tcW w:type="dxa" w:w="2078"/>
          </w:tcPr>
          <w:p>
            <w:r/>
            <w:r>
              <w:rPr>
                <w:rFonts w:ascii="宋体" w:hAnsi="宋体" w:eastAsia="宋体"/>
                <w:sz w:val="20"/>
              </w:rPr>
              <w:t>1989</w:t>
            </w:r>
          </w:p>
        </w:tc>
        <w:tc>
          <w:tcPr>
            <w:tcW w:type="dxa" w:w="2078"/>
          </w:tcPr>
          <w:p>
            <w:r/>
            <w:r>
              <w:rPr>
                <w:rFonts w:ascii="宋体" w:hAnsi="宋体" w:eastAsia="宋体"/>
                <w:sz w:val="20"/>
              </w:rPr>
              <w:t>VPL Research 提出"VR"</w:t>
            </w:r>
          </w:p>
        </w:tc>
        <w:tc>
          <w:tcPr>
            <w:tcW w:type="dxa" w:w="2078"/>
          </w:tcPr>
          <w:p>
            <w:r/>
            <w:r>
              <w:rPr>
                <w:rFonts w:ascii="宋体" w:hAnsi="宋体" w:eastAsia="宋体"/>
                <w:sz w:val="20"/>
              </w:rPr>
              <w:t>概念正式确立</w:t>
            </w:r>
          </w:p>
        </w:tc>
      </w:tr>
      <w:tr>
        <w:tc>
          <w:tcPr>
            <w:tcW w:type="dxa" w:w="2078"/>
          </w:tcPr>
          <w:p>
            <w:r/>
            <w:r>
              <w:rPr>
                <w:rFonts w:ascii="宋体" w:hAnsi="宋体" w:eastAsia="宋体"/>
                <w:sz w:val="20"/>
              </w:rPr>
              <w:t>&gt;</w:t>
            </w:r>
          </w:p>
        </w:tc>
        <w:tc>
          <w:tcPr>
            <w:tcW w:type="dxa" w:w="2078"/>
          </w:tcPr>
          <w:p>
            <w:r/>
            <w:r>
              <w:rPr>
                <w:rFonts w:ascii="宋体" w:hAnsi="宋体" w:eastAsia="宋体"/>
                <w:sz w:val="20"/>
              </w:rPr>
              <w:t>1992</w:t>
            </w:r>
          </w:p>
        </w:tc>
        <w:tc>
          <w:tcPr>
            <w:tcW w:type="dxa" w:w="2078"/>
          </w:tcPr>
          <w:p>
            <w:r/>
            <w:r>
              <w:rPr>
                <w:rFonts w:ascii="宋体" w:hAnsi="宋体" w:eastAsia="宋体"/>
                <w:sz w:val="20"/>
              </w:rPr>
              <w:t>CAVE 系统</w:t>
            </w:r>
          </w:p>
        </w:tc>
        <w:tc>
          <w:tcPr>
            <w:tcW w:type="dxa" w:w="2078"/>
          </w:tcPr>
          <w:p>
            <w:r/>
            <w:r>
              <w:rPr>
                <w:rFonts w:ascii="宋体" w:hAnsi="宋体" w:eastAsia="宋体"/>
                <w:sz w:val="20"/>
              </w:rPr>
              <w:t>房间式 VR 开创</w:t>
            </w:r>
          </w:p>
        </w:tc>
      </w:tr>
      <w:tr>
        <w:tc>
          <w:tcPr>
            <w:tcW w:type="dxa" w:w="2078"/>
          </w:tcPr>
          <w:p>
            <w:r/>
            <w:r>
              <w:rPr>
                <w:rFonts w:ascii="宋体" w:hAnsi="宋体" w:eastAsia="宋体"/>
                <w:sz w:val="20"/>
              </w:rPr>
              <w:t>&gt;</w:t>
            </w:r>
          </w:p>
        </w:tc>
        <w:tc>
          <w:tcPr>
            <w:tcW w:type="dxa" w:w="2078"/>
          </w:tcPr>
          <w:p>
            <w:r/>
            <w:r>
              <w:rPr>
                <w:rFonts w:ascii="宋体" w:hAnsi="宋体" w:eastAsia="宋体"/>
                <w:sz w:val="20"/>
              </w:rPr>
              <w:t>1994</w:t>
            </w:r>
          </w:p>
        </w:tc>
        <w:tc>
          <w:tcPr>
            <w:tcW w:type="dxa" w:w="2078"/>
          </w:tcPr>
          <w:p>
            <w:r/>
            <w:r>
              <w:rPr>
                <w:rFonts w:ascii="宋体" w:hAnsi="宋体" w:eastAsia="宋体"/>
                <w:sz w:val="20"/>
              </w:rPr>
              <w:t>Milgram-Kishino 连续体</w:t>
            </w:r>
          </w:p>
        </w:tc>
        <w:tc>
          <w:tcPr>
            <w:tcW w:type="dxa" w:w="2078"/>
          </w:tcPr>
          <w:p>
            <w:r/>
            <w:r>
              <w:rPr>
                <w:rFonts w:ascii="宋体" w:hAnsi="宋体" w:eastAsia="宋体"/>
                <w:sz w:val="20"/>
              </w:rPr>
              <w:t>理论框架奠基</w:t>
            </w:r>
          </w:p>
        </w:tc>
      </w:tr>
      <w:tr>
        <w:tc>
          <w:tcPr>
            <w:tcW w:type="dxa" w:w="2078"/>
          </w:tcPr>
          <w:p>
            <w:r/>
            <w:r>
              <w:rPr>
                <w:rFonts w:ascii="宋体" w:hAnsi="宋体" w:eastAsia="宋体"/>
                <w:sz w:val="20"/>
              </w:rPr>
              <w:t>&gt;</w:t>
            </w:r>
          </w:p>
        </w:tc>
        <w:tc>
          <w:tcPr>
            <w:tcW w:type="dxa" w:w="2078"/>
          </w:tcPr>
          <w:p>
            <w:r/>
            <w:r>
              <w:rPr>
                <w:rFonts w:ascii="宋体" w:hAnsi="宋体" w:eastAsia="宋体"/>
                <w:sz w:val="20"/>
              </w:rPr>
              <w:t>1997</w:t>
            </w:r>
          </w:p>
        </w:tc>
        <w:tc>
          <w:tcPr>
            <w:tcW w:type="dxa" w:w="2078"/>
          </w:tcPr>
          <w:p>
            <w:r/>
            <w:r>
              <w:rPr>
                <w:rFonts w:ascii="宋体" w:hAnsi="宋体" w:eastAsia="宋体"/>
                <w:sz w:val="20"/>
              </w:rPr>
              <w:t>Azuma AR 综述</w:t>
            </w:r>
          </w:p>
        </w:tc>
        <w:tc>
          <w:tcPr>
            <w:tcW w:type="dxa" w:w="2078"/>
          </w:tcPr>
          <w:p>
            <w:r/>
            <w:r>
              <w:rPr>
                <w:rFonts w:ascii="宋体" w:hAnsi="宋体" w:eastAsia="宋体"/>
                <w:sz w:val="20"/>
              </w:rPr>
              <w:t>AR 领域奠基</w:t>
            </w:r>
          </w:p>
        </w:tc>
      </w:tr>
      <w:tr>
        <w:tc>
          <w:tcPr>
            <w:tcW w:type="dxa" w:w="2078"/>
          </w:tcPr>
          <w:p>
            <w:r/>
            <w:r>
              <w:rPr>
                <w:rFonts w:ascii="宋体" w:hAnsi="宋体" w:eastAsia="宋体"/>
                <w:sz w:val="20"/>
              </w:rPr>
              <w:t>&gt;</w:t>
            </w:r>
          </w:p>
        </w:tc>
        <w:tc>
          <w:tcPr>
            <w:tcW w:type="dxa" w:w="2078"/>
          </w:tcPr>
          <w:p>
            <w:r/>
            <w:r>
              <w:rPr>
                <w:rFonts w:ascii="宋体" w:hAnsi="宋体" w:eastAsia="宋体"/>
                <w:sz w:val="20"/>
              </w:rPr>
              <w:t>2012</w:t>
            </w:r>
          </w:p>
        </w:tc>
        <w:tc>
          <w:tcPr>
            <w:tcW w:type="dxa" w:w="2078"/>
          </w:tcPr>
          <w:p>
            <w:r/>
            <w:r>
              <w:rPr>
                <w:rFonts w:ascii="宋体" w:hAnsi="宋体" w:eastAsia="宋体"/>
                <w:sz w:val="20"/>
              </w:rPr>
              <w:t>Oculus Rift 众筹</w:t>
            </w:r>
          </w:p>
        </w:tc>
        <w:tc>
          <w:tcPr>
            <w:tcW w:type="dxa" w:w="2078"/>
          </w:tcPr>
          <w:p>
            <w:r/>
            <w:r>
              <w:rPr>
                <w:rFonts w:ascii="宋体" w:hAnsi="宋体" w:eastAsia="宋体"/>
                <w:sz w:val="20"/>
              </w:rPr>
              <w:t>消费级 VR 起点</w:t>
            </w:r>
          </w:p>
        </w:tc>
      </w:tr>
      <w:tr>
        <w:tc>
          <w:tcPr>
            <w:tcW w:type="dxa" w:w="2078"/>
          </w:tcPr>
          <w:p>
            <w:r/>
            <w:r>
              <w:rPr>
                <w:rFonts w:ascii="宋体" w:hAnsi="宋体" w:eastAsia="宋体"/>
                <w:sz w:val="20"/>
              </w:rPr>
              <w:t>&gt;</w:t>
            </w:r>
          </w:p>
        </w:tc>
        <w:tc>
          <w:tcPr>
            <w:tcW w:type="dxa" w:w="2078"/>
          </w:tcPr>
          <w:p>
            <w:r/>
            <w:r>
              <w:rPr>
                <w:rFonts w:ascii="宋体" w:hAnsi="宋体" w:eastAsia="宋体"/>
                <w:sz w:val="20"/>
              </w:rPr>
              <w:t>2016</w:t>
            </w:r>
          </w:p>
        </w:tc>
        <w:tc>
          <w:tcPr>
            <w:tcW w:type="dxa" w:w="2078"/>
          </w:tcPr>
          <w:p>
            <w:r/>
            <w:r>
              <w:rPr>
                <w:rFonts w:ascii="宋体" w:hAnsi="宋体" w:eastAsia="宋体"/>
                <w:sz w:val="20"/>
              </w:rPr>
              <w:t>VR 元年三巨头发布</w:t>
            </w:r>
          </w:p>
        </w:tc>
        <w:tc>
          <w:tcPr>
            <w:tcW w:type="dxa" w:w="2078"/>
          </w:tcPr>
          <w:p>
            <w:r/>
            <w:r>
              <w:rPr>
                <w:rFonts w:ascii="宋体" w:hAnsi="宋体" w:eastAsia="宋体"/>
                <w:sz w:val="20"/>
              </w:rPr>
              <w:t>VR 进入消费市场</w:t>
            </w:r>
          </w:p>
        </w:tc>
      </w:tr>
      <w:tr>
        <w:tc>
          <w:tcPr>
            <w:tcW w:type="dxa" w:w="2078"/>
          </w:tcPr>
          <w:p>
            <w:r/>
            <w:r>
              <w:rPr>
                <w:rFonts w:ascii="宋体" w:hAnsi="宋体" w:eastAsia="宋体"/>
                <w:sz w:val="20"/>
              </w:rPr>
              <w:t>&gt;</w:t>
            </w:r>
          </w:p>
        </w:tc>
        <w:tc>
          <w:tcPr>
            <w:tcW w:type="dxa" w:w="2078"/>
          </w:tcPr>
          <w:p>
            <w:r/>
            <w:r>
              <w:rPr>
                <w:rFonts w:ascii="宋体" w:hAnsi="宋体" w:eastAsia="宋体"/>
                <w:sz w:val="20"/>
              </w:rPr>
              <w:t>2019</w:t>
            </w:r>
          </w:p>
        </w:tc>
        <w:tc>
          <w:tcPr>
            <w:tcW w:type="dxa" w:w="2078"/>
          </w:tcPr>
          <w:p>
            <w:r/>
            <w:r>
              <w:rPr>
                <w:rFonts w:ascii="宋体" w:hAnsi="宋体" w:eastAsia="宋体"/>
                <w:sz w:val="20"/>
              </w:rPr>
              <w:t>Oculus Quest 发布</w:t>
            </w:r>
          </w:p>
        </w:tc>
        <w:tc>
          <w:tcPr>
            <w:tcW w:type="dxa" w:w="2078"/>
          </w:tcPr>
          <w:p>
            <w:r/>
            <w:r>
              <w:rPr>
                <w:rFonts w:ascii="宋体" w:hAnsi="宋体" w:eastAsia="宋体"/>
                <w:sz w:val="20"/>
              </w:rPr>
              <w:t>一体机时代开启</w:t>
            </w:r>
          </w:p>
        </w:tc>
      </w:tr>
      <w:tr>
        <w:tc>
          <w:tcPr>
            <w:tcW w:type="dxa" w:w="2078"/>
          </w:tcPr>
          <w:p>
            <w:r/>
            <w:r>
              <w:rPr>
                <w:rFonts w:ascii="宋体" w:hAnsi="宋体" w:eastAsia="宋体"/>
                <w:sz w:val="20"/>
              </w:rPr>
              <w:t>&gt;</w:t>
            </w:r>
          </w:p>
        </w:tc>
        <w:tc>
          <w:tcPr>
            <w:tcW w:type="dxa" w:w="2078"/>
          </w:tcPr>
          <w:p>
            <w:r/>
            <w:r>
              <w:rPr>
                <w:rFonts w:ascii="宋体" w:hAnsi="宋体" w:eastAsia="宋体"/>
                <w:sz w:val="20"/>
              </w:rPr>
              <w:t>2021</w:t>
            </w:r>
          </w:p>
        </w:tc>
        <w:tc>
          <w:tcPr>
            <w:tcW w:type="dxa" w:w="2078"/>
          </w:tcPr>
          <w:p>
            <w:r/>
            <w:r>
              <w:rPr>
                <w:rFonts w:ascii="宋体" w:hAnsi="宋体" w:eastAsia="宋体"/>
                <w:sz w:val="20"/>
              </w:rPr>
              <w:t>Facebook 更名 Meta</w:t>
            </w:r>
          </w:p>
        </w:tc>
        <w:tc>
          <w:tcPr>
            <w:tcW w:type="dxa" w:w="2078"/>
          </w:tcPr>
          <w:p>
            <w:r/>
            <w:r>
              <w:rPr>
                <w:rFonts w:ascii="宋体" w:hAnsi="宋体" w:eastAsia="宋体"/>
                <w:sz w:val="20"/>
              </w:rPr>
              <w:t>元宇宙战略</w:t>
            </w:r>
          </w:p>
        </w:tc>
      </w:tr>
      <w:tr>
        <w:tc>
          <w:tcPr>
            <w:tcW w:type="dxa" w:w="2078"/>
          </w:tcPr>
          <w:p>
            <w:r/>
            <w:r>
              <w:rPr>
                <w:rFonts w:ascii="宋体" w:hAnsi="宋体" w:eastAsia="宋体"/>
                <w:sz w:val="20"/>
              </w:rPr>
              <w:t>&gt;</w:t>
            </w:r>
          </w:p>
        </w:tc>
        <w:tc>
          <w:tcPr>
            <w:tcW w:type="dxa" w:w="2078"/>
          </w:tcPr>
          <w:p>
            <w:r/>
            <w:r>
              <w:rPr>
                <w:rFonts w:ascii="宋体" w:hAnsi="宋体" w:eastAsia="宋体"/>
                <w:sz w:val="20"/>
              </w:rPr>
              <w:t>2023</w:t>
            </w:r>
          </w:p>
        </w:tc>
        <w:tc>
          <w:tcPr>
            <w:tcW w:type="dxa" w:w="2078"/>
          </w:tcPr>
          <w:p>
            <w:r/>
            <w:r>
              <w:rPr>
                <w:rFonts w:ascii="宋体" w:hAnsi="宋体" w:eastAsia="宋体"/>
                <w:sz w:val="20"/>
              </w:rPr>
              <w:t>Apple Vision Pro 发布</w:t>
            </w:r>
          </w:p>
        </w:tc>
        <w:tc>
          <w:tcPr>
            <w:tcW w:type="dxa" w:w="2078"/>
          </w:tcPr>
          <w:p>
            <w:r/>
            <w:r>
              <w:rPr>
                <w:rFonts w:ascii="宋体" w:hAnsi="宋体" w:eastAsia="宋体"/>
                <w:sz w:val="20"/>
              </w:rPr>
              <w:t>空间计算时代</w:t>
            </w:r>
          </w:p>
        </w:tc>
      </w:tr>
    </w:tbl>
    <w:p/>
    <w:p/>
    <w:p>
      <w:pPr>
        <w:pStyle w:val="Heading2"/>
      </w:pPr>
      <w:r>
        <w:t>1.3 VR/AR 产业生态与市场格局</w:t>
      </w:r>
    </w:p>
    <w:p/>
    <w:p>
      <w:pPr>
        <w:pStyle w:val="Heading3"/>
      </w:pPr>
      <w:r>
        <w:t>1.3.1 全球 VR/AR 市场规模与增长趋势</w:t>
      </w:r>
    </w:p>
    <w:p/>
    <w:p>
      <w:pPr>
        <w:ind w:firstLine="482"/>
      </w:pPr>
      <w:r>
        <w:rPr>
          <w:rFonts w:ascii="宋体" w:hAnsi="宋体" w:eastAsia="宋体"/>
          <w:sz w:val="24"/>
        </w:rPr>
        <w:t>全球 VR/AR 市场在过去十年中经历了从概念热炒到理性增长的转变。根据行业分析报告，全球 XR（扩展现实）市场预计到 2030 年将达到 3570 亿美元规模[13]。VR 行业预计到 2027 年达到 209 亿美元，AR 市场增速更快，预计将超过 VR[14]。</w:t>
      </w:r>
    </w:p>
    <w:p/>
    <w:p>
      <w:pPr>
        <w:ind w:firstLine="482"/>
      </w:pPr>
      <w:r>
        <w:rPr>
          <w:rFonts w:ascii="宋体" w:hAnsi="宋体" w:eastAsia="宋体"/>
          <w:sz w:val="24"/>
        </w:rPr>
        <w:t>VR/AR 产业的发展并非线性增长，而是经历了典型的"期望膨胀-泡沫破裂-稳步增长"周期。2016 年 VR 元年前后，市场对 VR/AR 的期望达到顶峰，高盛预测 2025 年 VR/AR 市场规模将达到 1100 亿美元[15]。然而，由于硬件体验不足、内容生态匮乏和应用场景不明确等问题，2017-2019 年行业进入了所谓的"VR 寒冬"。2020 年 Meta Quest 2 的发布扭转了这一局面，一体机形态解决了使用便捷性问题，疫情催生的远程交互需求进一步推动了市场增长[11]。</w:t>
      </w:r>
    </w:p>
    <w:p/>
    <w:p>
      <w:pPr>
        <w:ind w:firstLine="482"/>
      </w:pPr>
      <w:r>
        <w:rPr>
          <w:rFonts w:ascii="宋体" w:hAnsi="宋体" w:eastAsia="宋体"/>
          <w:sz w:val="24"/>
        </w:rPr>
        <w:t>当前 VR/AR 市场呈现"硬件趋稳、内容发力"的特征。硬件方面，消费级 VR 头显的年出货量稳定在 800-1000 万台区间，AR 眼镜出货量虽小但增速明显。内容方面，游戏仍是最主要的消费场景，但企业级应用（培训、协作、设计）的占比正在快速上升[10]。</w:t>
      </w:r>
    </w:p>
    <w:p/>
    <w:p>
      <w:pPr>
        <w:pStyle w:val="Heading3"/>
      </w:pPr>
      <w:r>
        <w:t>1.3.2 核心厂商竞争格局</w:t>
      </w:r>
    </w:p>
    <w:p/>
    <w:p>
      <w:pPr>
        <w:ind w:firstLine="482"/>
      </w:pPr>
      <w:r>
        <w:rPr>
          <w:rFonts w:ascii="宋体" w:hAnsi="宋体" w:eastAsia="宋体"/>
          <w:sz w:val="24"/>
        </w:rPr>
        <w:t>全球 VR/AR 产业的核心厂商可以按技术路线分为三个阵营：</w:t>
      </w:r>
    </w:p>
    <w:p/>
    <w:p>
      <w:pPr>
        <w:ind w:firstLine="482"/>
      </w:pPr>
      <w:r>
        <w:rPr>
          <w:rFonts w:ascii="宋体" w:hAnsi="宋体" w:eastAsia="宋体"/>
          <w:b/>
          <w:sz w:val="24"/>
        </w:rPr>
        <w:t>第一阵营：Meta（Facebook/Meta）</w:t>
      </w:r>
      <w:r>
        <w:rPr>
          <w:rFonts w:ascii="宋体" w:hAnsi="宋体" w:eastAsia="宋体"/>
          <w:sz w:val="24"/>
        </w:rPr>
        <w:t>。Meta 是消费级 VR 市场的绝对领导者，Quest 系列头显占据了全球 VR 市场约 70% 的份额。Meta 的战略核心是通过硬件补贴降低门槛，构建以社交和游戏为核心的 VR 生态。Meta 同时在 AR 眼镜领域进行大量研发投入，其 Reality Labs 部门年研发支出超过 100 亿美元[12]。</w:t>
      </w:r>
    </w:p>
    <w:p/>
    <w:p>
      <w:pPr>
        <w:ind w:firstLine="482"/>
      </w:pPr>
      <w:r>
        <w:rPr>
          <w:rFonts w:ascii="宋体" w:hAnsi="宋体" w:eastAsia="宋体"/>
          <w:b/>
          <w:sz w:val="24"/>
        </w:rPr>
        <w:t>第二阵营：Apple</w:t>
      </w:r>
      <w:r>
        <w:rPr>
          <w:rFonts w:ascii="宋体" w:hAnsi="宋体" w:eastAsia="宋体"/>
          <w:sz w:val="24"/>
        </w:rPr>
        <w:t>。Apple Vision Pro 是 Apple 进入沉浸式技术领域的首款产品。与 Meta 的低价策略不同，Apple 定位高端市场（3499 美元起），强调技术品质和用户体验。Apple 的核心优势在于其自研芯片（M2+R1）和成熟的软硬件生态系统，visionOS 操作系统为开发者提供了统一的开发框架[1]。</w:t>
      </w:r>
    </w:p>
    <w:p/>
    <w:p>
      <w:pPr>
        <w:ind w:firstLine="482"/>
      </w:pPr>
      <w:r>
        <w:rPr>
          <w:rFonts w:ascii="宋体" w:hAnsi="宋体" w:eastAsia="宋体"/>
          <w:b/>
          <w:sz w:val="24"/>
        </w:rPr>
        <w:t>第三阵营：中国厂商（PICO/HTC/XREAL/Rokid）</w:t>
      </w:r>
      <w:r>
        <w:rPr>
          <w:rFonts w:ascii="宋体" w:hAnsi="宋体" w:eastAsia="宋体"/>
          <w:sz w:val="24"/>
        </w:rPr>
        <w:t>。PICO（字节跳动旗下）是中国 VR 市场的领导者，PICO 4 系列在硬件参数上与 Meta Quest 3 接近，但在内容生态方面仍有差距。HTC Vive 专注于企业级市场，其 XR Elite 设备在教育培训和工业仿真领域有一定优势。XREAL 和 Rokid 则专注于 AR 眼镜市场，产品形态更接近日常眼镜[10]。</w:t>
      </w:r>
    </w:p>
    <w:p/>
    <w:p>
      <w:pPr>
        <w:ind w:firstLine="482"/>
      </w:pPr>
      <w:r>
        <w:rPr>
          <w:rFonts w:ascii="宋体" w:hAnsi="宋体" w:eastAsia="宋体"/>
          <w:sz w:val="24"/>
        </w:rPr>
        <w:t>除了硬件厂商，VR/AR 产业生态还包括内容平台、开发工具提供商和行业解决方案商三个重要层级。内容平台方面，Meta 的 Horizon Worlds、Steam VR 和 SideQuest 是主要的 VR 内容分发渠道。开发工具方面，Unity 和 Unreal Engine 是 VR/AR 开发的两大引擎，占据了全球 VR/AR 开发市场 90% 以上的份额。行业解决方案商则针对特定垂直领域提供端到端服务，如文旅场景的 VR 全景制作公司、教育培训领域的 VR 实训平台提供商等。</w:t>
      </w:r>
    </w:p>
    <w:p/>
    <w:p>
      <w:pPr>
        <w:ind w:firstLine="482"/>
      </w:pPr>
      <w:r>
        <w:rPr>
          <w:rFonts w:ascii="宋体" w:hAnsi="宋体" w:eastAsia="宋体"/>
          <w:sz w:val="24"/>
        </w:rPr>
        <w:t>Saha 等人在 2025 年发表的综述中全面回顾了 AR/VR 在制造业中的新兴技术，指出边缘计算、数字孪生和工业元宇宙正在成为推动 VR/AR 产业发展的新引擎[21]。Guo 等人对不同环境下 AR 和 MR 头戴设备的测量方法进行了系统综述，为设备性能评估提供了方法论参考[22]。这些研究反映了 VR/AR 产业正在从消费娱乐向产业应用扩展的趋势。</w:t>
      </w:r>
    </w:p>
    <w:p/>
    <w:p>
      <w:pPr>
        <w:pStyle w:val="Heading3"/>
      </w:pPr>
      <w:r>
        <w:t>1.3.3 中国 VR/AR 产业发展政策与规划</w:t>
      </w:r>
    </w:p>
    <w:p/>
    <w:p>
      <w:pPr>
        <w:ind w:firstLine="482"/>
      </w:pPr>
      <w:r>
        <w:rPr>
          <w:rFonts w:ascii="宋体" w:hAnsi="宋体" w:eastAsia="宋体"/>
          <w:sz w:val="24"/>
        </w:rPr>
        <w:t>中国高度重视 VR/AR 产业发展。2018 年，工信部发布《关于加快推进虚拟现实产业发展的指导意见》，提出到 2025 年使中国成为全球 VR 产业创新先导区。2022 年，工信部等五部门联合发布《虚拟现实与行业应用融合发展行动计划（2022—2026 年）》，明确提出了"虚拟现实+"的概念，推动 VR/AR 在工业、教育、文旅、健康、商贸等十大领域的融合应用[12]。</w:t>
      </w:r>
    </w:p>
    <w:p/>
    <w:p>
      <w:pPr>
        <w:ind w:firstLine="482"/>
      </w:pPr>
      <w:r>
        <w:rPr>
          <w:rFonts w:ascii="宋体" w:hAnsi="宋体" w:eastAsia="宋体"/>
          <w:sz w:val="24"/>
        </w:rPr>
        <w:t>该行动计划设定了明确的目标：到 2026 年，中国 VR 产业总体规模（含相关硬件、软件、应用等）超过 3500 亿元，VR 终端销量超过 2500 万台，培育 100 家具有较强创新能力和行业影响力的骨干企业。政策还特别强调了 VR/AR 在文旅领域的应用，鼓励开发基于 VR/AR 的沉浸式旅游体验产品[12]。</w:t>
      </w:r>
    </w:p>
    <w:p/>
    <w:p>
      <w:pPr>
        <w:ind w:firstLine="482"/>
      </w:pPr>
      <w:r>
        <w:rPr>
          <w:rFonts w:ascii="宋体" w:hAnsi="宋体" w:eastAsia="宋体"/>
          <w:sz w:val="24"/>
        </w:rPr>
        <w:t>文化和旅游部也在积极推进"数字文旅"战略，将 VR/AR 技术列为智慧旅游建设的关键技术之一。多地景区已开始部署 VR 体验项目——如故宫博物院的 VR 虚拟展览、敦煌莫高窟的数字洞窟漫游、圆明园的 VR 数字复原等，这些项目为 VR/AR 在文旅领域的规模化应用提供了宝贵经验。贵州省作为国家大数据综合试验区，积极推动"数字文旅"融合发展，将 VR/AR 技术应用于黄果树瀑布、西江千户苗寨等景区的沉浸式体验项目中，为本书实训章节提供了丰富的本土案例素材。</w:t>
      </w:r>
    </w:p>
    <w:p/>
    <w:p>
      <w:pPr>
        <w:pStyle w:val="Heading3"/>
      </w:pPr>
      <w:r>
        <w:t>1.3.4 5G/AI 赋能下的 VR/AR 新机遇</w:t>
      </w:r>
    </w:p>
    <w:p/>
    <w:p>
      <w:pPr>
        <w:ind w:firstLine="482"/>
      </w:pPr>
      <w:r>
        <w:rPr>
          <w:rFonts w:ascii="宋体" w:hAnsi="宋体" w:eastAsia="宋体"/>
          <w:sz w:val="24"/>
        </w:rPr>
        <w:t>5G 技术的商用为 VR/AR 带来了新的发展机遇。VR/AR 应用对网络的核心需求是"大带宽+低延迟"——高分辨率立体图像的传输需要百兆级带宽，而头部运动的实时渲染更新需要毫秒级延迟。5G 的 eMBB（增强移动宽带）和 uRLLC（超可靠低延迟通信）特性恰好满足了这些需求[16]。</w:t>
      </w:r>
    </w:p>
    <w:p/>
    <w:p>
      <w:pPr>
        <w:ind w:firstLine="482"/>
      </w:pPr>
      <w:r>
        <w:rPr>
          <w:rFonts w:ascii="宋体" w:hAnsi="宋体" w:eastAsia="宋体"/>
          <w:sz w:val="24"/>
        </w:rPr>
        <w:t>Jun 和 Kim 在分析 2018 年平昌冬奥会的 5G VR 应用时指出，5G 网络使观众能够通过 VR 头盔实时观看比赛的不同视角，这一体验是 4G 网络无法支撑的[16]。Hazarika 和 Rahmati 进一步探讨了 5G 及未来 6G 网络在 AR/VR 中的应用前景，指出超低延迟通信将使"云端渲染+终端显示"的云 VR/AR 架构成为可能，从而大幅降低终端设备的计算负担和成本[17]。</w:t>
      </w:r>
    </w:p>
    <w:p/>
    <w:p>
      <w:pPr>
        <w:ind w:firstLine="482"/>
      </w:pPr>
      <w:r>
        <w:rPr>
          <w:rFonts w:ascii="宋体" w:hAnsi="宋体" w:eastAsia="宋体"/>
          <w:sz w:val="24"/>
        </w:rPr>
        <w:t>人工智能技术的突破正在深刻改变 VR/AR 的内容创作方式。生成式 AI（如 Stable Diffusion、Midjourney）可以快速生成纹理、概念图和 3D 资产；大语言模型（如 GPT 系列）可以驱动虚拟 NPC 的自然语言对话；计算机视觉算法的进步提升了手势识别和空间理解能力[12]。这些技术的融合正在降低 VR/AR 内容制作的门槛，使更多非技术背景的创作者能够参与沉浸式场景的制作。</w:t>
      </w:r>
    </w:p>
    <w:p/>
    <w:p>
      <w:pPr>
        <w:spacing w:before="60" w:after="60"/>
        <w:ind w:left="567"/>
      </w:pPr>
      <w:r>
        <w:rPr>
          <w:rFonts w:ascii="楷体" w:hAnsi="楷体" w:eastAsia="楷体"/>
          <w:i/>
          <w:sz w:val="22"/>
        </w:rPr>
        <w:t>**知识卡片：全球 VR/AR 市场关键数据**</w:t>
      </w:r>
    </w:p>
    <w:p>
      <w:pPr>
        <w:spacing w:before="60" w:after="60"/>
        <w:ind w:left="567"/>
      </w:pPr>
      <w:r>
        <w:rPr>
          <w:rFonts w:ascii="楷体" w:hAnsi="楷体" w:eastAsia="楷体"/>
          <w:i/>
          <w:sz w:val="22"/>
        </w:rPr>
        <w:t>- 全球 XR 市场预测：2030 年达 3570 亿美元[13]</w:t>
      </w:r>
    </w:p>
    <w:p>
      <w:pPr>
        <w:spacing w:before="60" w:after="60"/>
        <w:ind w:left="567"/>
      </w:pPr>
      <w:r>
        <w:rPr>
          <w:rFonts w:ascii="楷体" w:hAnsi="楷体" w:eastAsia="楷体"/>
          <w:i/>
          <w:sz w:val="22"/>
        </w:rPr>
        <w:t>- Meta Quest 2 累计销量：超 2000 万台</w:t>
      </w:r>
    </w:p>
    <w:p>
      <w:pPr>
        <w:spacing w:before="60" w:after="60"/>
        <w:ind w:left="567"/>
      </w:pPr>
      <w:r>
        <w:rPr>
          <w:rFonts w:ascii="楷体" w:hAnsi="楷体" w:eastAsia="楷体"/>
          <w:i/>
          <w:sz w:val="22"/>
        </w:rPr>
        <w:t>- 中国 VR 产业目标：2026 年超 3500 亿元</w:t>
      </w:r>
    </w:p>
    <w:p>
      <w:pPr>
        <w:spacing w:before="60" w:after="60"/>
        <w:ind w:left="567"/>
      </w:pPr>
      <w:r>
        <w:rPr>
          <w:rFonts w:ascii="楷体" w:hAnsi="楷体" w:eastAsia="楷体"/>
          <w:i/>
          <w:sz w:val="22"/>
        </w:rPr>
        <w:t>- 5G 网络延迟：理论 &lt;10ms（uRLLC），满足 VR 90fps 渲染需求</w:t>
      </w:r>
    </w:p>
    <w:p>
      <w:pPr>
        <w:spacing w:before="60" w:after="60"/>
        <w:ind w:left="567"/>
      </w:pPr>
      <w:r>
        <w:rPr>
          <w:rFonts w:ascii="楷体" w:hAnsi="楷体" w:eastAsia="楷体"/>
          <w:i/>
          <w:sz w:val="22"/>
        </w:rPr>
        <w:t>- AI 生成 3D 资产时间：从手工数小时缩短至数分钟</w:t>
      </w:r>
    </w:p>
    <w:p/>
    <w:p>
      <w:pPr>
        <w:pStyle w:val="Heading2"/>
      </w:pPr>
      <w:r>
        <w:t>1.4 I.M.M.E.R.S.E. 框架导论</w:t>
      </w:r>
    </w:p>
    <w:p/>
    <w:p>
      <w:pPr>
        <w:pStyle w:val="Heading3"/>
      </w:pPr>
      <w:r>
        <w:t>1.4.1 框架设计理念与七维关系</w:t>
      </w:r>
    </w:p>
    <w:p/>
    <w:p>
      <w:pPr>
        <w:ind w:firstLine="482"/>
      </w:pPr>
      <w:r>
        <w:rPr>
          <w:rFonts w:ascii="宋体" w:hAnsi="宋体" w:eastAsia="宋体"/>
          <w:sz w:val="24"/>
        </w:rPr>
        <w:t>I.M.M.E.R.S.E.（Immersive Multimodal Methodology for Experiential Reality Scenario Engineering）框架是本书提出的沉浸式场景制作方法论体系，其设计理念源于对现有 VR/AR 开发方法的系统性反思。传统的 VR/AR 开发往往以技术实现为中心，缺乏统一的体验设计方法论指导，导致"技术先进但体验平庸"的问题普遍存在。I.M.M.E.R.S.E. 框架试图弥合技术开发与体验设计之间的鸿沟，提供一个从理论到实践的完整方法论框架。</w:t>
      </w:r>
    </w:p>
    <w:p/>
    <w:p>
      <w:pPr>
        <w:ind w:firstLine="482"/>
      </w:pPr>
      <w:r>
        <w:rPr>
          <w:rFonts w:ascii="宋体" w:hAnsi="宋体" w:eastAsia="宋体"/>
          <w:sz w:val="24"/>
        </w:rPr>
        <w:t>七维之间的关系呈现"金字塔-网状"结构。I（沉浸感设计）位于顶层，是整个框架的理论基石和体验目标；M（建模与资产）、M（多模态交互）、E（引擎与渲染）三个维度构成中间技术层，是场景制作的核心技术支柱；R（虚实融合）和 S（场景应用）构成应用层，将技术转化为具体场景中的体验；E（评估与迭代）贯穿始终，形成闭环优化机制。</w:t>
      </w:r>
    </w:p>
    <w:p/>
    <w:p>
      <w:pPr>
        <w:ind w:firstLine="482"/>
      </w:pPr>
      <w:r>
        <w:rPr>
          <w:rFonts w:ascii="宋体" w:hAnsi="宋体" w:eastAsia="宋体"/>
          <w:sz w:val="24"/>
        </w:rPr>
        <w:t>具体而言，七个维度之间的逻辑关系可以概括为"目标→能力→落地→优化"的递进链路。I 维度明确了"什么是好的沉浸式体验"这一目标问题，为后续所有设计和开发活动提供评价标准。三个技术维度（M/M/E）回答了"如何实现"的能力问题：M（建模与资产）解决"场景里有什么"，M（多模态交互）解决"用户如何与场景互动"，E（引擎与渲染）解决"如何高效运行"。R（虚实融合）和 S（场景应用）回答了"在哪里用、用来做什么"的落地问题，将技术能力映射到具体的文旅、教育、遗产保护等垂直场景。最后的 E（评估与迭代）回答了"做得好不好、如何改进"的优化问题，通过数据驱动的评估方法形成持续改进的闭环。</w:t>
      </w:r>
    </w:p>
    <w:p/>
    <w:p>
      <w:pPr>
        <w:ind w:firstLine="482"/>
      </w:pPr>
      <w:r>
        <w:rPr>
          <w:rFonts w:ascii="宋体" w:hAnsi="宋体" w:eastAsia="宋体"/>
          <w:sz w:val="24"/>
        </w:rPr>
        <w:t>这一框架设计参考了多个已有理论模型的核心思想。Mulders 等人提出的沉浸式 VR 学习环境框架强调了学习目标与技术实现的匹配[23]；Checa 等人的教育 VR 框架关注了体验设计的系统化[24]；Bec 等人的遗产旅游沉浸式体验管理模型提出了从规划到运营的全流程方法论[19]。I.M.M.E.R.S.E. 框架在整合这些理论资源的基础上，增加了制作实训的实践导向——它不仅是一个分析框架，更是一个指导动手制作的操作指南，这也是本书作为"实训"教材的定位所决定的。</w:t>
      </w:r>
    </w:p>
    <w:p/>
    <w:p>
      <w:pPr>
        <w:pStyle w:val="Heading3"/>
      </w:pPr>
      <w:r>
        <w:t>1.4.2 与现有理论模型的比较分析</w:t>
      </w:r>
    </w:p>
    <w:p/>
    <w:p>
      <w:pPr>
        <w:ind w:firstLine="482"/>
      </w:pPr>
      <w:r>
        <w:rPr>
          <w:rFonts w:ascii="宋体" w:hAnsi="宋体" w:eastAsia="宋体"/>
          <w:sz w:val="24"/>
        </w:rPr>
        <w:t>I.M.M.E.R.S.E. 框架与现有的 VR/AR 理论模型形成了互补关系。Steuer 的远程临场维度理论（生动性+交互性）提供了 VR 体验的描述性维度[4]，但未涵盖开发流程；Checa 和 Bustillo 的教育 VR 严肃游戏框架关注学习效果[18]，但局限于教育场景；Bec 等人的沉浸式遗产旅游四阶段管理模型聚焦于文旅运营[19]，但缺乏技术实现指导。I.M.M.E.R.S.E. 框架的独特价值在于：它同时覆盖了技术实现（M/M/E）、设计理论（I）、应用场景（R/S）和评估迭代（E）四个层面，形成了一个面向实训教学的完整方法论闭环。</w:t>
      </w:r>
    </w:p>
    <w:p/>
    <w:p>
      <w:pPr>
        <w:ind w:firstLine="482"/>
      </w:pPr>
      <w:r>
        <w:rPr>
          <w:rFonts w:ascii="宋体" w:hAnsi="宋体" w:eastAsia="宋体"/>
          <w:sz w:val="24"/>
        </w:rPr>
        <w:t>从理论谱系来看，I.M.M.E.R.S.E. 框架的"I"维度继承了 Steuer 的远程临场理论[4]和 Slater 的临场感理论的核心思想，但将其从描述性概念转化为可操作的设计指导原则；"M"维度吸收了 Rubio-Tamayo 等人关于沉浸式环境交互与通信的系统性研究成果[2]；"E"维度引入了 Checa 和 Bustillo 关于严肃游戏评估的方法论[18]；"R"和"S"维度则融合了 Bec 等人的遗产旅游管理模型[19]和 Boboc 等人的文化遗产 AR 应用综述[25]中的实践洞察。这种多元理论整合使框架具有跨领域适用性，不仅限于文旅场景，也可推广至教育、工业、医疗等领域的沉浸式场景制作。</w:t>
      </w:r>
    </w:p>
    <w:p/>
    <w:p>
      <w:pPr>
        <w:ind w:firstLine="482"/>
      </w:pPr>
      <w:r>
        <w:rPr>
          <w:rFonts w:ascii="宋体" w:hAnsi="宋体" w:eastAsia="宋体"/>
          <w:sz w:val="24"/>
        </w:rPr>
        <w:t>此外，I.M.M.E.R.S.E. 框架与 Gavish 等人提出的 VR/AR 训练系统设计指南形成了互补[26]。Gavish 的指南聚焦于维护和装配任务的训练系统设计，提供了具体的技术实现建议；而 I.M.M.E.R.S.E. 框架提供了更高层次的方法论指导，两者结合可以为实训教学提供从宏观设计到微观实现的完整路径。</w:t>
      </w:r>
    </w:p>
    <w:p/>
    <w:p>
      <w:pPr>
        <w:pStyle w:val="Heading3"/>
      </w:pPr>
      <w:r>
        <w:t>1.4.3 本书结构导读</w:t>
      </w:r>
    </w:p>
    <w:p/>
    <w:p>
      <w:pPr>
        <w:ind w:firstLine="482"/>
      </w:pPr>
      <w:r>
        <w:rPr>
          <w:rFonts w:ascii="宋体" w:hAnsi="宋体" w:eastAsia="宋体"/>
          <w:sz w:val="24"/>
        </w:rPr>
        <w:t>本书按照 I.M.M.E.R.S.E. 框架的逻辑组织内容：</w:t>
      </w:r>
    </w:p>
    <w:p/>
    <w:p>
      <w:pPr>
        <w:pStyle w:val="ListBullet"/>
      </w:pPr>
      <w:r>
        <w:rPr>
          <w:rFonts w:ascii="宋体" w:hAnsi="宋体" w:eastAsia="宋体"/>
          <w:b/>
          <w:sz w:val="24"/>
        </w:rPr>
        <w:t>第1篇（第1-3章）</w:t>
      </w:r>
      <w:r>
        <w:rPr>
          <w:rFonts w:ascii="宋体" w:hAnsi="宋体" w:eastAsia="宋体"/>
          <w:sz w:val="24"/>
        </w:rPr>
        <w:t xml:space="preserve"> 对应 </w:t>
      </w:r>
      <w:r>
        <w:rPr>
          <w:rFonts w:ascii="宋体" w:hAnsi="宋体" w:eastAsia="宋体"/>
          <w:b/>
          <w:sz w:val="24"/>
        </w:rPr>
        <w:t>I（沉浸感设计）</w:t>
      </w:r>
      <w:r>
        <w:rPr>
          <w:rFonts w:ascii="宋体" w:hAnsi="宋体" w:eastAsia="宋体"/>
          <w:sz w:val="24"/>
        </w:rPr>
        <w:t>，建立技术认知和理论坐标系。第1章总览 VR/AR 技术全貌，第2章深入硬件原理，第3章构建沉浸感理论体系。</w:t>
      </w:r>
    </w:p>
    <w:p>
      <w:pPr>
        <w:pStyle w:val="ListBullet"/>
      </w:pPr>
      <w:r>
        <w:rPr>
          <w:rFonts w:ascii="宋体" w:hAnsi="宋体" w:eastAsia="宋体"/>
          <w:b/>
          <w:sz w:val="24"/>
        </w:rPr>
        <w:t>第2篇（第4-6章）</w:t>
      </w:r>
      <w:r>
        <w:rPr>
          <w:rFonts w:ascii="宋体" w:hAnsi="宋体" w:eastAsia="宋体"/>
          <w:sz w:val="24"/>
        </w:rPr>
        <w:t xml:space="preserve"> 对应 </w:t>
      </w:r>
      <w:r>
        <w:rPr>
          <w:rFonts w:ascii="宋体" w:hAnsi="宋体" w:eastAsia="宋体"/>
          <w:b/>
          <w:sz w:val="24"/>
        </w:rPr>
        <w:t>M（建模与资产）、M（多模态交互）、E（引擎与渲染）</w:t>
      </w:r>
      <w:r>
        <w:rPr>
          <w:rFonts w:ascii="宋体" w:hAnsi="宋体" w:eastAsia="宋体"/>
          <w:sz w:val="24"/>
        </w:rPr>
        <w:t>，系统讲解场景制作的三大技术支柱。第4章 3D 建模与资产创建，第5章多模态交互设计，第6章开发引擎与渲染优化。</w:t>
      </w:r>
    </w:p>
    <w:p>
      <w:pPr>
        <w:pStyle w:val="ListBullet"/>
      </w:pPr>
      <w:r>
        <w:rPr>
          <w:rFonts w:ascii="宋体" w:hAnsi="宋体" w:eastAsia="宋体"/>
          <w:b/>
          <w:sz w:val="24"/>
        </w:rPr>
        <w:t>第3篇（第7-9章）</w:t>
      </w:r>
      <w:r>
        <w:rPr>
          <w:rFonts w:ascii="宋体" w:hAnsi="宋体" w:eastAsia="宋体"/>
          <w:sz w:val="24"/>
        </w:rPr>
        <w:t xml:space="preserve"> 对应 </w:t>
      </w:r>
      <w:r>
        <w:rPr>
          <w:rFonts w:ascii="宋体" w:hAnsi="宋体" w:eastAsia="宋体"/>
          <w:b/>
          <w:sz w:val="24"/>
        </w:rPr>
        <w:t>R（虚实融合）、S（场景应用）</w:t>
      </w:r>
      <w:r>
        <w:rPr>
          <w:rFonts w:ascii="宋体" w:hAnsi="宋体" w:eastAsia="宋体"/>
          <w:sz w:val="24"/>
        </w:rPr>
        <w:t>，从技术走向应用。第7章文旅沉浸式场景设计，第8章文化遗产数字化，第9章教育培训与实训设计。</w:t>
      </w:r>
    </w:p>
    <w:p>
      <w:pPr>
        <w:pStyle w:val="ListBullet"/>
      </w:pPr>
      <w:r>
        <w:rPr>
          <w:rFonts w:ascii="宋体" w:hAnsi="宋体" w:eastAsia="宋体"/>
          <w:b/>
          <w:sz w:val="24"/>
        </w:rPr>
        <w:t>第4篇（第10-12章）</w:t>
      </w:r>
      <w:r>
        <w:rPr>
          <w:rFonts w:ascii="宋体" w:hAnsi="宋体" w:eastAsia="宋体"/>
          <w:sz w:val="24"/>
        </w:rPr>
        <w:t xml:space="preserve"> 对应 </w:t>
      </w:r>
      <w:r>
        <w:rPr>
          <w:rFonts w:ascii="宋体" w:hAnsi="宋体" w:eastAsia="宋体"/>
          <w:b/>
          <w:sz w:val="24"/>
        </w:rPr>
        <w:t>E（评估与迭代）</w:t>
      </w:r>
      <w:r>
        <w:rPr>
          <w:rFonts w:ascii="宋体" w:hAnsi="宋体" w:eastAsia="宋体"/>
          <w:sz w:val="24"/>
        </w:rPr>
        <w:t>，通过三个递进式实训项目综合运用前述理论和技术。第10章 VR 全景景区漫游制作（基础级），第11章 AR 文化导览应用开发（进阶级），第12章沉浸式文旅元宇宙场景制作（综合级）。</w:t>
      </w:r>
    </w:p>
    <w:p/>
    <w:p>
      <w:pPr>
        <w:ind w:firstLine="482"/>
      </w:pPr>
      <w:r>
        <w:rPr>
          <w:rFonts w:ascii="宋体" w:hAnsi="宋体" w:eastAsia="宋体"/>
          <w:sz w:val="24"/>
        </w:rPr>
        <w:t>---</w:t>
      </w:r>
    </w:p>
    <w:p/>
    <w:p>
      <w:pPr>
        <w:pStyle w:val="Heading2"/>
      </w:pPr>
      <w:r>
        <w:t>本章小结</w:t>
      </w:r>
    </w:p>
    <w:p/>
    <w:p>
      <w:pPr>
        <w:ind w:firstLine="482"/>
      </w:pPr>
      <w:r>
        <w:rPr>
          <w:rFonts w:ascii="宋体" w:hAnsi="宋体" w:eastAsia="宋体"/>
          <w:sz w:val="24"/>
        </w:rPr>
        <w:t>本章建立了 VR/AR 沉浸式场景制作的理论坐标系。首先，我们辨析了 VR、AR、MR、XR 四个核心概念的技术边界，引入了 Milgram-Kishino 现实-虚拟连续体理论作为理解技术谱系的基础框架。其次，回顾了 VR/AR 技术从 1960s 萌芽期到 2020s 产业融合期的发展历程，识别了各阶段的关键技术突破与标志性产品。然后，分析了全球 VR/AR 产业生态的市场格局和核心厂商竞争策略，重点讨论了 5G 和 AI 技术对 VR/AR 发展的赋能作用。最后，提出了贯穿全书的 I.M.M.E.R.S.E. 七维沉浸式场景制作框架，阐述了其设计理念、与现有理论的关系以及全书结构导览。</w:t>
      </w:r>
    </w:p>
    <w:p/>
    <w:p>
      <w:pPr>
        <w:ind w:firstLine="482"/>
      </w:pPr>
      <w:r>
        <w:rPr>
          <w:rFonts w:ascii="宋体" w:hAnsi="宋体" w:eastAsia="宋体"/>
          <w:sz w:val="24"/>
        </w:rPr>
        <w:t>需要特别强调的是，VR/AR 技术仍处于快速演进阶段。Apple Vision Pro 引入的"空间计算"概念、生成式 AI 对内容创作范式的革新、5G/6G 网络对云渲染架构的支撑，这些趋势正在重新定义沉浸式技术的边界和可能性。作为沉浸式场景的制作人员，不仅需要掌握当前的技术工具，更需要建立面向未来的方法论思维——这正是 I.M.M.E.R.S.E. 框架的设计初衷。</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VR、AR、MR、XR 各自的定义是什么？Azuma 提出的 AR 三个定义特征是什么？</w:t>
      </w:r>
    </w:p>
    <w:p>
      <w:pPr>
        <w:pStyle w:val="ListNumber"/>
      </w:pPr>
      <w:r>
        <w:rPr>
          <w:rFonts w:ascii="宋体" w:hAnsi="宋体" w:eastAsia="宋体"/>
          <w:b/>
          <w:sz w:val="24"/>
        </w:rPr>
        <w:t>（理解）</w:t>
      </w:r>
      <w:r>
        <w:rPr>
          <w:rFonts w:ascii="宋体" w:hAnsi="宋体" w:eastAsia="宋体"/>
          <w:sz w:val="24"/>
        </w:rPr>
        <w:t xml:space="preserve"> 结合 Milgram-Kishino 现实-虚拟连续体理论，解释 Apple Vision Pro 的"数字旋钮"设计如何实现了 VR 与 AR 的无缝切换。</w:t>
      </w:r>
    </w:p>
    <w:p>
      <w:pPr>
        <w:pStyle w:val="ListNumber"/>
      </w:pPr>
      <w:r>
        <w:rPr>
          <w:rFonts w:ascii="宋体" w:hAnsi="宋体" w:eastAsia="宋体"/>
          <w:b/>
          <w:sz w:val="24"/>
        </w:rPr>
        <w:t>（应用）</w:t>
      </w:r>
      <w:r>
        <w:rPr>
          <w:rFonts w:ascii="宋体" w:hAnsi="宋体" w:eastAsia="宋体"/>
          <w:sz w:val="24"/>
        </w:rPr>
        <w:t xml:space="preserve"> 运用 I.M.M.E.R.S.E. 七维框架，分析一款你使用过的 VR/AR 应用（如 Pokémon GO、VR 博物馆导览等），指出其在七个维度上的实现情况。</w:t>
      </w:r>
    </w:p>
    <w:p>
      <w:pPr>
        <w:pStyle w:val="ListNumber"/>
      </w:pPr>
      <w:r>
        <w:rPr>
          <w:rFonts w:ascii="宋体" w:hAnsi="宋体" w:eastAsia="宋体"/>
          <w:b/>
          <w:sz w:val="24"/>
        </w:rPr>
        <w:t>（分析）</w:t>
      </w:r>
      <w:r>
        <w:rPr>
          <w:rFonts w:ascii="宋体" w:hAnsi="宋体" w:eastAsia="宋体"/>
          <w:sz w:val="24"/>
        </w:rPr>
        <w:t xml:space="preserve"> 比较 Meta Quest 3 和 Apple Vision Pro 在技术路线和市场定位上的差异，分析两种策略各自的优劣。</w:t>
      </w:r>
    </w:p>
    <w:p>
      <w:pPr>
        <w:pStyle w:val="ListNumber"/>
      </w:pPr>
      <w:r>
        <w:rPr>
          <w:rFonts w:ascii="宋体" w:hAnsi="宋体" w:eastAsia="宋体"/>
          <w:b/>
          <w:sz w:val="24"/>
        </w:rPr>
        <w:t>（评价）</w:t>
      </w:r>
      <w:r>
        <w:rPr>
          <w:rFonts w:ascii="宋体" w:hAnsi="宋体" w:eastAsia="宋体"/>
          <w:sz w:val="24"/>
        </w:rPr>
        <w:t xml:space="preserve"> 2016 年"VR 元年"后行业经历了"VR 寒冬"，而 2020 年 Meta Quest 2 的发布重新激活了市场。评价造成这一转折的关键技术因素和市场需求因素。</w:t>
      </w:r>
    </w:p>
    <w:p>
      <w:pPr>
        <w:pStyle w:val="ListNumber"/>
      </w:pPr>
      <w:r>
        <w:rPr>
          <w:rFonts w:ascii="宋体" w:hAnsi="宋体" w:eastAsia="宋体"/>
          <w:b/>
          <w:sz w:val="24"/>
        </w:rPr>
        <w:t>（创造）</w:t>
      </w:r>
      <w:r>
        <w:rPr>
          <w:rFonts w:ascii="宋体" w:hAnsi="宋体" w:eastAsia="宋体"/>
          <w:sz w:val="24"/>
        </w:rPr>
        <w:t xml:space="preserve"> 基于本章所学的 I.M.M.E.R.S.E. 框架，设计一个面向贵州某景区的 VR/AR 沉浸式体验方案概要，说明在七个维度上的初步设想。</w:t>
      </w:r>
    </w:p>
    <w:p/>
    <w:p>
      <w:pPr>
        <w:pStyle w:val="Heading2"/>
      </w:pPr>
      <w:r>
        <w:t>参考文献</w:t>
      </w:r>
    </w:p>
    <w:p/>
    <w:p>
      <w:pPr>
        <w:ind w:firstLine="482"/>
      </w:pPr>
      <w:r>
        <w:rPr>
          <w:rFonts w:ascii="宋体" w:hAnsi="宋体" w:eastAsia="宋体"/>
          <w:sz w:val="24"/>
        </w:rPr>
        <w:t>[1] de Quinto, C., Navarro, A., Otero, G., et al. (2024). On the impact of VR/AR applications on optical transport networks: First experiments with Meta Quest 3 gaming and conferencing applications. IEEE ICTON. https://doi.org/10.1109/ICTON62926.2024.10647326</w:t>
      </w:r>
    </w:p>
    <w:p/>
    <w:p>
      <w:pPr>
        <w:ind w:firstLine="482"/>
      </w:pPr>
      <w:r>
        <w:rPr>
          <w:rFonts w:ascii="宋体" w:hAnsi="宋体" w:eastAsia="宋体"/>
          <w:sz w:val="24"/>
        </w:rPr>
        <w:t>[2] Rubio-Tamayo, J. L., Barrio, M. G., &amp; García, F. G. (2017). Immersive Environments and Virtual Reality: Systematic Review and Advances in Communication, Interaction and Simulation. Multimodal Technologies and Interaction, 1(4), 21. https://doi.org/10.3390/MTI1040021</w:t>
      </w:r>
    </w:p>
    <w:p/>
    <w:p>
      <w:pPr>
        <w:ind w:firstLine="482"/>
      </w:pPr>
      <w:r>
        <w:rPr>
          <w:rFonts w:ascii="宋体" w:hAnsi="宋体" w:eastAsia="宋体"/>
          <w:sz w:val="24"/>
        </w:rPr>
        <w:t>[3] Slater, M., &amp; Sanchez-Vives, M. V. (2016). Enhancing Our Lives with Immersive Virtual Reality. Frontiers in Robotics and AI, 3, 74. https://doi.org/10.3389/frobt.2016.00074</w:t>
      </w:r>
    </w:p>
    <w:p/>
    <w:p>
      <w:pPr>
        <w:ind w:firstLine="482"/>
      </w:pPr>
      <w:r>
        <w:rPr>
          <w:rFonts w:ascii="宋体" w:hAnsi="宋体" w:eastAsia="宋体"/>
          <w:sz w:val="24"/>
        </w:rPr>
        <w:t>[4] Steuer, J. (1992). Defining virtual reality: dimensions determining telepresence. Journal of Communication, 42(4), 73-93. https://doi.org/10.1111/J.1460-2466.1992.TB00812.X</w:t>
      </w:r>
    </w:p>
    <w:p/>
    <w:p>
      <w:pPr>
        <w:ind w:firstLine="482"/>
      </w:pPr>
      <w:r>
        <w:rPr>
          <w:rFonts w:ascii="宋体" w:hAnsi="宋体" w:eastAsia="宋体"/>
          <w:sz w:val="24"/>
        </w:rPr>
        <w:t>[5] 刘崇进, 贺佐成, 叶雯, 吴应良, 张云霏. (2018). 沉浸式VR在教育培训中的应用概况和展望. 万方数据.</w:t>
      </w:r>
    </w:p>
    <w:p/>
    <w:p>
      <w:pPr>
        <w:ind w:firstLine="482"/>
      </w:pPr>
      <w:r>
        <w:rPr>
          <w:rFonts w:ascii="宋体" w:hAnsi="宋体" w:eastAsia="宋体"/>
          <w:sz w:val="24"/>
        </w:rPr>
        <w:t>[6] Azuma, R. T. (1997). A Survey of Augmented Reality. Presence: Teleoperators and Virtual Environments, 6(4), 355-385. https://doi.org/10.1162/pres.1997.6.4.355</w:t>
      </w:r>
    </w:p>
    <w:p/>
    <w:p>
      <w:pPr>
        <w:ind w:firstLine="482"/>
      </w:pPr>
      <w:r>
        <w:rPr>
          <w:rFonts w:ascii="宋体" w:hAnsi="宋体" w:eastAsia="宋体"/>
          <w:sz w:val="24"/>
        </w:rPr>
        <w:t>[7] Azuma, R. T., Baillot, Y., Behringer, R., Feiner, S. K., Julier, S., &amp; MacIntyre, B. (2001). Recent Advances in Augmented Reality. IEEE Computer Graphics and Applications, 21(6), 34-47. https://doi.org/10.1109/38.963459</w:t>
      </w:r>
    </w:p>
    <w:p/>
    <w:p>
      <w:pPr>
        <w:ind w:firstLine="482"/>
      </w:pPr>
      <w:r>
        <w:rPr>
          <w:rFonts w:ascii="宋体" w:hAnsi="宋体" w:eastAsia="宋体"/>
          <w:sz w:val="24"/>
        </w:rPr>
        <w:t>[8] Koulieris, G. A., Akşit, K., Stengel, M., Mantiuk, R. K., Mania, K., &amp; Richardt, C. (2019). Near-Eye Display and Tracking Technologies for Virtual and Augmented Reality. Computer Graphics Forum, 38(2), 493-519. https://doi.org/10.1111/cgf.13654</w:t>
      </w:r>
    </w:p>
    <w:p/>
    <w:p>
      <w:pPr>
        <w:ind w:firstLine="482"/>
      </w:pPr>
      <w:r>
        <w:rPr>
          <w:rFonts w:ascii="宋体" w:hAnsi="宋体" w:eastAsia="宋体"/>
          <w:sz w:val="24"/>
        </w:rPr>
        <w:t>[9] Milgram, P., &amp; Kishino, F. (1994). A Taxonomy of Mixed Reality Visual Displays. IEICE Transactions on Information Systems, E77-D(12), 1321-1329.</w:t>
      </w:r>
    </w:p>
    <w:p/>
    <w:p>
      <w:pPr>
        <w:ind w:firstLine="482"/>
      </w:pPr>
      <w:r>
        <w:rPr>
          <w:rFonts w:ascii="宋体" w:hAnsi="宋体" w:eastAsia="宋体"/>
          <w:sz w:val="24"/>
        </w:rPr>
        <w:t>[10] Lin, H., Gan, Z., Gan, W., et al. (2023). Interaction in Metaverse: A Survey. arXiv:2310.13699. https://arxiv.org/abs/2310.13699</w:t>
      </w:r>
    </w:p>
    <w:p/>
    <w:p>
      <w:pPr>
        <w:ind w:firstLine="482"/>
      </w:pPr>
      <w:r>
        <w:rPr>
          <w:rFonts w:ascii="宋体" w:hAnsi="宋体" w:eastAsia="宋体"/>
          <w:sz w:val="24"/>
        </w:rPr>
        <w:t>[11] Kourtesis, P., Collina, S., Doumas, L. A. A., &amp; MacPherson, S. E. (2019). Technological Competence Is a Pre-condition for Effective Implementation of Virtual Reality Head Mounted Displays in Human Neuroscience: A Technological Review and Meta-Analysis. Frontiers in Human Neuroscience, 13, 342. https://doi.org/10.3389/fnhum.2019.00342</w:t>
      </w:r>
    </w:p>
    <w:p/>
    <w:p>
      <w:pPr>
        <w:ind w:firstLine="482"/>
      </w:pPr>
      <w:r>
        <w:rPr>
          <w:rFonts w:ascii="宋体" w:hAnsi="宋体" w:eastAsia="宋体"/>
          <w:sz w:val="24"/>
        </w:rPr>
        <w:t>[12] 陈功. (2018). 虚拟技术在媒体应用中的前景展望. 万方数据.</w:t>
      </w:r>
    </w:p>
    <w:p/>
    <w:p>
      <w:pPr>
        <w:ind w:firstLine="482"/>
      </w:pPr>
      <w:r>
        <w:rPr>
          <w:rFonts w:ascii="宋体" w:hAnsi="宋体" w:eastAsia="宋体"/>
          <w:sz w:val="24"/>
        </w:rPr>
        <w:t>[13] 佚名. (2023). Tackling the network challenges for XR: Understanding, developing and delivering an E2E XR connectivity solution. Nokia White Paper. Semantic Scholar.</w:t>
      </w:r>
    </w:p>
    <w:p/>
    <w:p>
      <w:pPr>
        <w:ind w:firstLine="482"/>
      </w:pPr>
      <w:r>
        <w:rPr>
          <w:rFonts w:ascii="宋体" w:hAnsi="宋体" w:eastAsia="宋体"/>
          <w:sz w:val="24"/>
        </w:rPr>
        <w:t>[14] Khadka, R., &amp; Koudelka, J. A. (2023). Immersive Visualization Lab at Idaho National Laboratory. IEEE VRW. https://doi.org/10.1109/VRW58643.2023.00055</w:t>
      </w:r>
    </w:p>
    <w:p/>
    <w:p>
      <w:pPr>
        <w:ind w:firstLine="482"/>
      </w:pPr>
      <w:r>
        <w:rPr>
          <w:rFonts w:ascii="宋体" w:hAnsi="宋体" w:eastAsia="宋体"/>
          <w:sz w:val="24"/>
        </w:rPr>
        <w:t>[15] 佚名. (2016). 虚拟现实和增强现实会像PC一样改变世界. 维普.</w:t>
      </w:r>
    </w:p>
    <w:p/>
    <w:p>
      <w:pPr>
        <w:ind w:firstLine="482"/>
      </w:pPr>
      <w:r>
        <w:rPr>
          <w:rFonts w:ascii="宋体" w:hAnsi="宋体" w:eastAsia="宋体"/>
          <w:sz w:val="24"/>
        </w:rPr>
        <w:t>[16] Jun, S.-H., &amp; Kim, J.-H. (2017). 5G will popularize virtual and augmented reality: KT's trials for world's first 5G olympics in Pyeongchang. ACM. https://doi.org/10.1145/3154943.3154947</w:t>
      </w:r>
    </w:p>
    <w:p/>
    <w:p>
      <w:pPr>
        <w:ind w:firstLine="482"/>
      </w:pPr>
      <w:r>
        <w:rPr>
          <w:rFonts w:ascii="宋体" w:hAnsi="宋体" w:eastAsia="宋体"/>
          <w:sz w:val="24"/>
        </w:rPr>
        <w:t>[17] Hazarika, A., &amp; Rahmati, M. (2023). Towards an Evolved Immersive Experience: Exploring 5G- and Beyond-Enabled Ultra-Low-Latency Communications for Augmented and Virtual Reality. Sensors, 23(7), 3682. https://doi.org/10.3390/s23073682</w:t>
      </w:r>
    </w:p>
    <w:p/>
    <w:p>
      <w:pPr>
        <w:ind w:firstLine="482"/>
      </w:pPr>
      <w:r>
        <w:rPr>
          <w:rFonts w:ascii="宋体" w:hAnsi="宋体" w:eastAsia="宋体"/>
          <w:sz w:val="24"/>
        </w:rPr>
        <w:t>[18] Checa, D., &amp; Bustillo, A. (2019). A review of immersive virtual reality serious games to enhance learning and training. Multimedia Tools and Applications, 79, 5501-5527. https://doi.org/10.1007/s11042-019-08348-9</w:t>
      </w:r>
    </w:p>
    <w:p/>
    <w:p>
      <w:pPr>
        <w:ind w:firstLine="482"/>
      </w:pPr>
      <w:r>
        <w:rPr>
          <w:rFonts w:ascii="宋体" w:hAnsi="宋体" w:eastAsia="宋体"/>
          <w:sz w:val="24"/>
        </w:rPr>
        <w:t>[19] Bec, A., Moyle, B., Timms, K., Schaffer, V., Skavronskaia, L., &amp; Little, C. (2019). Management of immersive heritage tourism experiences: A conceptual model. Tourism Management, 71, 72-85. https://doi.org/10.1016/J.TOURMAN.2018.10.033</w:t>
      </w:r>
    </w:p>
    <w:p/>
    <w:p>
      <w:pPr>
        <w:ind w:firstLine="482"/>
      </w:pPr>
      <w:r>
        <w:rPr>
          <w:rFonts w:ascii="宋体" w:hAnsi="宋体" w:eastAsia="宋体"/>
          <w:sz w:val="24"/>
        </w:rPr>
        <w:t>[20] Dienhart, C., Kaufhold, L., &amp; Piller, F. T. (2025). Urban Metaverse: The Smart City in the Industrial Metaverse. arXiv:2503.04729. https://arxiv.org/abs/2503.04729</w:t>
      </w:r>
    </w:p>
    <w:p/>
    <w:p>
      <w:pPr>
        <w:ind w:firstLine="482"/>
      </w:pPr>
      <w:r>
        <w:rPr>
          <w:rFonts w:ascii="宋体" w:hAnsi="宋体" w:eastAsia="宋体"/>
          <w:sz w:val="24"/>
        </w:rPr>
        <w:t>[21] Saha, N., Gadow, V., &amp; Harik, R. (2025). Emerging Technologies in Augmented Reality (AR) and Virtual Reality (VR) for Manufacturing Applications: A Comprehensive Review. Journal of Manufacturing and Materials Processing, 9(9), 297. https://doi.org/10.3390/jmmp9090297</w:t>
      </w:r>
    </w:p>
    <w:p/>
    <w:p>
      <w:pPr>
        <w:ind w:firstLine="482"/>
      </w:pPr>
      <w:r>
        <w:rPr>
          <w:rFonts w:ascii="宋体" w:hAnsi="宋体" w:eastAsia="宋体"/>
          <w:sz w:val="24"/>
        </w:rPr>
        <w:t>[22] Guo, H.-J., Bakdash, J. Z., Marusich, L. R., &amp; Prabhakaran, B. (2022). Augmented Reality and Mixed Reality Measurement Under Different Environments: A Survey on Head-Mounted Devices. IEEE Transactions on Instrumentation and Measurement, 71, 1-16. https://doi.org/10.1109/TIM.2022.3218303</w:t>
      </w:r>
    </w:p>
    <w:p/>
    <w:p>
      <w:pPr>
        <w:ind w:firstLine="482"/>
      </w:pPr>
      <w:r>
        <w:rPr>
          <w:rFonts w:ascii="宋体" w:hAnsi="宋体" w:eastAsia="宋体"/>
          <w:sz w:val="24"/>
        </w:rPr>
        <w:t>[23] Mulders, M., Buchner, J., &amp; Kerres, M. (2020). A Framework for the Use of Immersive Virtual Reality in Learning Environments. International Journal of Emerging Technologies in Learning, 15(24), 208-222. https://doi.org/10.3991/ijet.v15i24.16615</w:t>
      </w:r>
    </w:p>
    <w:p/>
    <w:p>
      <w:pPr>
        <w:ind w:firstLine="482"/>
      </w:pPr>
      <w:r>
        <w:rPr>
          <w:rFonts w:ascii="宋体" w:hAnsi="宋体" w:eastAsia="宋体"/>
          <w:sz w:val="24"/>
        </w:rPr>
        <w:t>[24] Checa, D., Gatto, C., Cisternino, D., Paolis, L. D., &amp; Bustillo, A. (2020). A Framework for Educational and Training Immersive Virtual Reality Experiences. In Lecture Notes in Computer Science (Vol. 12288, pp. 139-149). Springer. https://doi.org/10.1007/978-3-030-58468-9_17</w:t>
      </w:r>
    </w:p>
    <w:p/>
    <w:p>
      <w:pPr>
        <w:ind w:firstLine="482"/>
      </w:pPr>
      <w:r>
        <w:rPr>
          <w:rFonts w:ascii="宋体" w:hAnsi="宋体" w:eastAsia="宋体"/>
          <w:sz w:val="24"/>
        </w:rPr>
        <w:t>[25] Boboc, R. G., Băutu, E., Gîrbaic, F., Popovici, N., &amp; Popovici, D.-M. (2022). Augmented Reality in Cultural Heritage: An Overview of the Last Decade of Applications. Applied Sciences, 12(19), 9859. https://doi.org/10.3390/app12199859</w:t>
      </w:r>
    </w:p>
    <w:p/>
    <w:p>
      <w:pPr>
        <w:ind w:firstLine="482"/>
      </w:pPr>
      <w:r>
        <w:rPr>
          <w:rFonts w:ascii="宋体" w:hAnsi="宋体" w:eastAsia="宋体"/>
          <w:sz w:val="24"/>
        </w:rPr>
        <w:t>[26] Gavish, N., Gutierrez, T., Webel, S., Rodriguez, J., &amp; Tecchia, F. (2011). Design Guidelines for the Development of Virtual Reality and Augmented Reality Training Systems for Maintenance and Assembly Tasks. BIO Web of Conferences, 1, 00029. https://doi.org/10.1051/BIOCONF/20110100029</w:t>
      </w:r>
    </w:p>
    <w:p/>
    <w:p>
      <w:r>
        <w:br w:type="page"/>
      </w:r>
    </w:p>
    <w:p>
      <w:pPr>
        <w:pStyle w:val="Heading1"/>
      </w:pPr>
      <w:r>
        <w:t>第2章 VR/AR 硬件设备与技术原理</w:t>
      </w:r>
    </w:p>
    <w:p>
      <w:pPr>
        <w:jc w:val="center"/>
      </w:pPr>
      <w:r>
        <w:drawing>
          <wp:inline xmlns:a="http://schemas.openxmlformats.org/drawingml/2006/main" xmlns:pic="http://schemas.openxmlformats.org/drawingml/2006/picture">
            <wp:extent cx="5040000" cy="2921463"/>
            <wp:docPr id="3" name="Picture 3"/>
            <wp:cNvGraphicFramePr>
              <a:graphicFrameLocks noChangeAspect="1"/>
            </wp:cNvGraphicFramePr>
            <a:graphic>
              <a:graphicData uri="http://schemas.openxmlformats.org/drawingml/2006/picture">
                <pic:pic>
                  <pic:nvPicPr>
                    <pic:cNvPr id="0" name="fig03_hmd_comparison.png"/>
                    <pic:cNvPicPr/>
                  </pic:nvPicPr>
                  <pic:blipFill>
                    <a:blip r:embed="rId10"/>
                    <a:stretch>
                      <a:fillRect/>
                    </a:stretch>
                  </pic:blipFill>
                  <pic:spPr>
                    <a:xfrm>
                      <a:off x="0" y="0"/>
                      <a:ext cx="5040000" cy="2921463"/>
                    </a:xfrm>
                    <a:prstGeom prst="rect"/>
                  </pic:spPr>
                </pic:pic>
              </a:graphicData>
            </a:graphic>
          </wp:inline>
        </w:drawing>
      </w:r>
    </w:p>
    <w:p/>
    <w:p>
      <w:pPr>
        <w:pStyle w:val="Heading2"/>
      </w:pPr>
      <w:r>
        <w:t>学习目标</w:t>
      </w:r>
    </w:p>
    <w:p/>
    <w:p>
      <w:pPr>
        <w:ind w:firstLine="482"/>
      </w:pPr>
      <w:r>
        <w:rPr>
          <w:rFonts w:ascii="宋体" w:hAnsi="宋体" w:eastAsia="宋体"/>
          <w:sz w:val="24"/>
        </w:rPr>
        <w:t>完成本章学习后，读者应当能够：</w:t>
      </w:r>
    </w:p>
    <w:p/>
    <w:p>
      <w:pPr>
        <w:pStyle w:val="ListNumber"/>
      </w:pPr>
      <w:r>
        <w:rPr>
          <w:rFonts w:ascii="宋体" w:hAnsi="宋体" w:eastAsia="宋体"/>
          <w:b/>
          <w:sz w:val="24"/>
        </w:rPr>
        <w:t>识记</w:t>
      </w:r>
      <w:r>
        <w:rPr>
          <w:rFonts w:ascii="宋体" w:hAnsi="宋体" w:eastAsia="宋体"/>
          <w:sz w:val="24"/>
        </w:rPr>
        <w:t>：HMD 的光学原理、主流显示面板技术的分类与特征、6DoF 与 3DoF 的区别。</w:t>
      </w:r>
    </w:p>
    <w:p>
      <w:pPr>
        <w:pStyle w:val="ListNumber"/>
      </w:pPr>
      <w:r>
        <w:rPr>
          <w:rFonts w:ascii="宋体" w:hAnsi="宋体" w:eastAsia="宋体"/>
          <w:b/>
          <w:sz w:val="24"/>
        </w:rPr>
        <w:t>理解</w:t>
      </w:r>
      <w:r>
        <w:rPr>
          <w:rFonts w:ascii="宋体" w:hAnsi="宋体" w:eastAsia="宋体"/>
          <w:sz w:val="24"/>
        </w:rPr>
        <w:t>：内向外追踪与外向内追踪的技术原理，SLAM 算法在 VR/AR 中的作用机制。</w:t>
      </w:r>
    </w:p>
    <w:p>
      <w:pPr>
        <w:pStyle w:val="ListNumber"/>
      </w:pPr>
      <w:r>
        <w:rPr>
          <w:rFonts w:ascii="宋体" w:hAnsi="宋体" w:eastAsia="宋体"/>
          <w:b/>
          <w:sz w:val="24"/>
        </w:rPr>
        <w:t>应用</w:t>
      </w:r>
      <w:r>
        <w:rPr>
          <w:rFonts w:ascii="宋体" w:hAnsi="宋体" w:eastAsia="宋体"/>
          <w:sz w:val="24"/>
        </w:rPr>
        <w:t>：根据实训项目需求，选择合适的 VR/AR 硬件设备和追踪方案。</w:t>
      </w:r>
    </w:p>
    <w:p>
      <w:pPr>
        <w:pStyle w:val="ListNumber"/>
      </w:pPr>
      <w:r>
        <w:rPr>
          <w:rFonts w:ascii="宋体" w:hAnsi="宋体" w:eastAsia="宋体"/>
          <w:b/>
          <w:sz w:val="24"/>
        </w:rPr>
        <w:t>分析</w:t>
      </w:r>
      <w:r>
        <w:rPr>
          <w:rFonts w:ascii="宋体" w:hAnsi="宋体" w:eastAsia="宋体"/>
          <w:sz w:val="24"/>
        </w:rPr>
        <w:t>：分析不同交互输入设备（手柄、手势、眼动）的技术原理与适用场景。</w:t>
      </w:r>
    </w:p>
    <w:p>
      <w:pPr>
        <w:pStyle w:val="ListNumber"/>
      </w:pPr>
      <w:r>
        <w:rPr>
          <w:rFonts w:ascii="宋体" w:hAnsi="宋体" w:eastAsia="宋体"/>
          <w:b/>
          <w:sz w:val="24"/>
        </w:rPr>
        <w:t>评价</w:t>
      </w:r>
      <w:r>
        <w:rPr>
          <w:rFonts w:ascii="宋体" w:hAnsi="宋体" w:eastAsia="宋体"/>
          <w:sz w:val="24"/>
        </w:rPr>
        <w:t>：评估主流 HMD 设备在视场角、分辨率、刷新率等关键参数上的表现，判断其在特定应用场景中的适配性。</w:t>
      </w:r>
    </w:p>
    <w:p>
      <w:pPr>
        <w:pStyle w:val="ListNumber"/>
      </w:pPr>
      <w:r>
        <w:rPr>
          <w:rFonts w:ascii="宋体" w:hAnsi="宋体" w:eastAsia="宋体"/>
          <w:b/>
          <w:sz w:val="24"/>
        </w:rPr>
        <w:t>创造</w:t>
      </w:r>
      <w:r>
        <w:rPr>
          <w:rFonts w:ascii="宋体" w:hAnsi="宋体" w:eastAsia="宋体"/>
          <w:sz w:val="24"/>
        </w:rPr>
        <w:t>：设计一个面向文旅实训室的 VR/AR 硬件配置方案，包含设备选型理由和预算估算。</w:t>
      </w:r>
    </w:p>
    <w:p/>
    <w:p>
      <w:pPr>
        <w:pStyle w:val="Heading2"/>
      </w:pPr>
      <w:r>
        <w:t>导入案例：基于 ARM 平台的 VR 头部追踪系统设计与实现</w:t>
      </w:r>
    </w:p>
    <w:p/>
    <w:p>
      <w:pPr>
        <w:ind w:firstLine="482"/>
      </w:pPr>
      <w:r>
        <w:rPr>
          <w:rFonts w:ascii="宋体" w:hAnsi="宋体" w:eastAsia="宋体"/>
          <w:sz w:val="24"/>
        </w:rPr>
        <w:t>在 VR 系统中，头部追踪是实现沉浸感的核心技术之一。当用户转动头部时，系统必须在极短的时间内（通常要求低于 20 毫秒）检测到头部运动并更新渲染画面，否则用户会感到视觉与体感的不一致，进而引发眩晕。张向军等人设计并实现了一套基于 ARM 平台的 VR 头部追踪系统，该系统采用 IMU（惯性测量单元）传感器进行姿态检测，通过卡尔曼滤波算法融合加速度计和陀螺仪数据，在嵌入式平台上实现了低延迟、高精度的头部追踪[1]。</w:t>
      </w:r>
    </w:p>
    <w:p/>
    <w:p>
      <w:pPr>
        <w:ind w:firstLine="482"/>
      </w:pPr>
      <w:r>
        <w:rPr>
          <w:rFonts w:ascii="宋体" w:hAnsi="宋体" w:eastAsia="宋体"/>
          <w:sz w:val="24"/>
        </w:rPr>
        <w:t>这一案例揭示了 VR/AR 硬件系统设计的核心挑战：在有限的计算资源和功耗约束下，实现足够高的追踪精度和足够低的延迟。本章将从 HMD 显示技术、追踪技术、交互设备和硬件选型四个维度，系统讲解 VR/AR 硬件设备的技术原理与选型策略。</w:t>
      </w:r>
    </w:p>
    <w:p/>
    <w:p>
      <w:pPr>
        <w:ind w:firstLine="482"/>
      </w:pPr>
      <w:r>
        <w:rPr>
          <w:rFonts w:ascii="宋体" w:hAnsi="宋体" w:eastAsia="宋体"/>
          <w:sz w:val="24"/>
        </w:rPr>
        <w:t>---</w:t>
      </w:r>
    </w:p>
    <w:p/>
    <w:p>
      <w:pPr>
        <w:pStyle w:val="Heading2"/>
      </w:pPr>
      <w:r>
        <w:t>2.1 头戴式显示器（HMD）技术</w:t>
      </w:r>
    </w:p>
    <w:p/>
    <w:p>
      <w:pPr>
        <w:ind w:firstLine="482"/>
      </w:pPr>
      <w:r>
        <w:rPr>
          <w:rFonts w:ascii="宋体" w:hAnsi="宋体" w:eastAsia="宋体"/>
          <w:sz w:val="24"/>
        </w:rPr>
        <w:t>头戴式显示器（Head-Mounted Display，HMD）是 VR/AR 系统最核心的硬件组件，直接决定了用户的视觉沉浸感质量。HMD 的技术原理涉及光学系统、显示面板和人体工程学三个层面的协同设计。</w:t>
      </w:r>
    </w:p>
    <w:p/>
    <w:p>
      <w:pPr>
        <w:pStyle w:val="Heading3"/>
      </w:pPr>
      <w:r>
        <w:t>2.1.1 HMD 光学原理</w:t>
      </w:r>
    </w:p>
    <w:p/>
    <w:p>
      <w:pPr>
        <w:ind w:firstLine="482"/>
      </w:pPr>
      <w:r>
        <w:rPr>
          <w:rFonts w:ascii="宋体" w:hAnsi="宋体" w:eastAsia="宋体"/>
          <w:sz w:val="24"/>
        </w:rPr>
        <w:t>HMD 光学系统的核心任务是将显示屏上的图像放大并投射到用户眼中，使其产生观看远处大屏幕的视觉效果。主流的 HMD 光学方案经历了从菲涅尔透镜（Fresnel Lens）到 Pancake 光学再到光波导（Waveguide）的演进过程。</w:t>
      </w:r>
    </w:p>
    <w:p/>
    <w:p>
      <w:pPr>
        <w:ind w:firstLine="482"/>
      </w:pPr>
      <w:r>
        <w:rPr>
          <w:rFonts w:ascii="宋体" w:hAnsi="宋体" w:eastAsia="宋体"/>
          <w:b/>
          <w:sz w:val="24"/>
        </w:rPr>
        <w:t>菲涅尔透镜</w:t>
      </w:r>
      <w:r>
        <w:rPr>
          <w:rFonts w:ascii="宋体" w:hAnsi="宋体" w:eastAsia="宋体"/>
          <w:sz w:val="24"/>
        </w:rPr>
        <w:t>是第一代消费级 VR 头显（Oculus Rift CV1、HTC Vive）采用的主流方案。菲涅尔透镜通过将常规透镜的曲面分割为一系列同心环状齿槽，在保持光学功能的同时大幅减少了透镜厚度和重量。其优点是成本低、工艺成熟、视场角较大；缺点是存在 god ray（神光）效应——当画面中出现高对比度光源时，光线在齿槽边缘散射产生放射状光晕，影响视觉舒适度[2]。</w:t>
      </w:r>
    </w:p>
    <w:p/>
    <w:p>
      <w:pPr>
        <w:ind w:firstLine="482"/>
      </w:pPr>
      <w:r>
        <w:rPr>
          <w:rFonts w:ascii="宋体" w:hAnsi="宋体" w:eastAsia="宋体"/>
          <w:b/>
          <w:sz w:val="24"/>
        </w:rPr>
        <w:t>Pancake 光学</w:t>
      </w:r>
      <w:r>
        <w:rPr>
          <w:rFonts w:ascii="宋体" w:hAnsi="宋体" w:eastAsia="宋体"/>
          <w:sz w:val="24"/>
        </w:rPr>
        <w:t>是当前新一代 VR 头显（Meta Quest 3、PICO 4）的主流方案。Pancake 光学利用偏振光的折叠路径原理，使光线在透镜组中多次反射折叠后再进入人眼，从而在极短的光学路径上实现等效的长焦距效果。相比菲涅尔透镜，Pancake 光学将透镜厚度减少了约 50%，使头显更加轻薄紧凑。同时，Pancake 光学消除了 god ray 效应，画面均匀性更好。其缺点是光效率较低（约 10-25%），需要更高亮度的显示屏来补偿光损失，导致功耗增加[2]。</w:t>
      </w:r>
    </w:p>
    <w:p/>
    <w:p>
      <w:pPr>
        <w:ind w:firstLine="482"/>
      </w:pPr>
      <w:r>
        <w:rPr>
          <w:rFonts w:ascii="宋体" w:hAnsi="宋体" w:eastAsia="宋体"/>
          <w:b/>
          <w:sz w:val="24"/>
        </w:rPr>
        <w:t>光波导</w:t>
      </w:r>
      <w:r>
        <w:rPr>
          <w:rFonts w:ascii="宋体" w:hAnsi="宋体" w:eastAsia="宋体"/>
          <w:sz w:val="24"/>
        </w:rPr>
        <w:t>是 AR 眼镜（HoloLens、Magic Leap）采用的核心光学方案。光波导利用全反射原理，将微型显示器发出的光线耦合进入薄薄的玻璃或塑料波导片中，光线在波导内多次全反射后从另一端耦出进入人眼。光波导的最大优势是极其轻薄——镜片厚度仅约 1-2 毫米，使 AR 眼镜的外形接近普通眼镜。光波导的技术挑战在于视场角受限（目前约 40-60 度）和光效率极低（&lt;1%），需要超高亮度的微型显示器配合。此外，光波导存在彩虹纹和色散问题，不同颜色的光在波导中的传播路径略有差异，可能导致虚拟图像出现彩色边缘。这些技术挑战使光波导 AR 眼镜的研发难度远高于 VR 头显[3]。</w:t>
      </w:r>
    </w:p>
    <w:p/>
    <w:p>
      <w:pPr>
        <w:pStyle w:val="Heading3"/>
      </w:pPr>
      <w:r>
        <w:t>2.1.2 显示面板技术</w:t>
      </w:r>
    </w:p>
    <w:p/>
    <w:p>
      <w:pPr>
        <w:ind w:firstLine="482"/>
      </w:pPr>
      <w:r>
        <w:rPr>
          <w:rFonts w:ascii="宋体" w:hAnsi="宋体" w:eastAsia="宋体"/>
          <w:sz w:val="24"/>
        </w:rPr>
        <w:t>HMD 的显示面板直接决定了图像的清晰度、色彩表现和响应速度。主流显示面板技术包括：</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技术类型</w:t>
            </w:r>
          </w:p>
        </w:tc>
        <w:tc>
          <w:tcPr>
            <w:tcW w:type="dxa" w:w="1662"/>
            <w:shd w:fill="D9E2F3" w:val="clear"/>
          </w:tcPr>
          <w:p>
            <w:pPr>
              <w:jc w:val="center"/>
            </w:pPr>
            <w:r/>
            <w:r>
              <w:rPr>
                <w:rFonts w:ascii="黑体" w:hAnsi="黑体" w:eastAsia="黑体"/>
                <w:b/>
                <w:sz w:val="20"/>
              </w:rPr>
              <w:t>代表设备</w:t>
            </w:r>
          </w:p>
        </w:tc>
        <w:tc>
          <w:tcPr>
            <w:tcW w:type="dxa" w:w="1662"/>
            <w:shd w:fill="D9E2F3" w:val="clear"/>
          </w:tcPr>
          <w:p>
            <w:pPr>
              <w:jc w:val="center"/>
            </w:pPr>
            <w:r/>
            <w:r>
              <w:rPr>
                <w:rFonts w:ascii="黑体" w:hAnsi="黑体" w:eastAsia="黑体"/>
                <w:b/>
                <w:sz w:val="20"/>
              </w:rPr>
              <w:t>优点</w:t>
            </w:r>
          </w:p>
        </w:tc>
        <w:tc>
          <w:tcPr>
            <w:tcW w:type="dxa" w:w="1662"/>
            <w:shd w:fill="D9E2F3" w:val="clear"/>
          </w:tcPr>
          <w:p>
            <w:pPr>
              <w:jc w:val="center"/>
            </w:pPr>
            <w:r/>
            <w:r>
              <w:rPr>
                <w:rFonts w:ascii="黑体" w:hAnsi="黑体" w:eastAsia="黑体"/>
                <w:b/>
                <w:sz w:val="20"/>
              </w:rPr>
              <w:t>缺点</w:t>
            </w:r>
          </w:p>
        </w:tc>
        <w:tc>
          <w:tcPr>
            <w:tcW w:type="dxa" w:w="1662"/>
            <w:shd w:fill="D9E2F3" w:val="clear"/>
          </w:tcPr>
          <w:p>
            <w:pPr>
              <w:jc w:val="center"/>
            </w:pPr>
            <w:r/>
            <w:r>
              <w:rPr>
                <w:rFonts w:ascii="黑体" w:hAnsi="黑体" w:eastAsia="黑体"/>
                <w:b/>
                <w:sz w:val="20"/>
              </w:rPr>
              <w:t>适用场景</w:t>
            </w:r>
          </w:p>
        </w:tc>
      </w:tr>
      <w:tr>
        <w:tc>
          <w:tcPr>
            <w:tcW w:type="dxa" w:w="1662"/>
          </w:tcPr>
          <w:p>
            <w:r/>
            <w:r>
              <w:rPr>
                <w:rFonts w:ascii="宋体" w:hAnsi="宋体" w:eastAsia="宋体"/>
                <w:sz w:val="20"/>
              </w:rPr>
              <w:t>Fast LCD</w:t>
            </w:r>
          </w:p>
        </w:tc>
        <w:tc>
          <w:tcPr>
            <w:tcW w:type="dxa" w:w="1662"/>
          </w:tcPr>
          <w:p>
            <w:r/>
            <w:r>
              <w:rPr>
                <w:rFonts w:ascii="宋体" w:hAnsi="宋体" w:eastAsia="宋体"/>
                <w:sz w:val="20"/>
              </w:rPr>
              <w:t>Meta Quest 2</w:t>
            </w:r>
          </w:p>
        </w:tc>
        <w:tc>
          <w:tcPr>
            <w:tcW w:type="dxa" w:w="1662"/>
          </w:tcPr>
          <w:p>
            <w:r/>
            <w:r>
              <w:rPr>
                <w:rFonts w:ascii="宋体" w:hAnsi="宋体" w:eastAsia="宋体"/>
                <w:sz w:val="20"/>
              </w:rPr>
              <w:t>成本低、亮度高</w:t>
            </w:r>
          </w:p>
        </w:tc>
        <w:tc>
          <w:tcPr>
            <w:tcW w:type="dxa" w:w="1662"/>
          </w:tcPr>
          <w:p>
            <w:r/>
            <w:r>
              <w:rPr>
                <w:rFonts w:ascii="宋体" w:hAnsi="宋体" w:eastAsia="宋体"/>
                <w:sz w:val="20"/>
              </w:rPr>
              <w:t>响应速度慢、对比度低</w:t>
            </w:r>
          </w:p>
        </w:tc>
        <w:tc>
          <w:tcPr>
            <w:tcW w:type="dxa" w:w="1662"/>
          </w:tcPr>
          <w:p>
            <w:r/>
            <w:r>
              <w:rPr>
                <w:rFonts w:ascii="宋体" w:hAnsi="宋体" w:eastAsia="宋体"/>
                <w:sz w:val="20"/>
              </w:rPr>
              <w:t>入门级 VR</w:t>
            </w:r>
          </w:p>
        </w:tc>
      </w:tr>
      <w:tr>
        <w:tc>
          <w:tcPr>
            <w:tcW w:type="dxa" w:w="1662"/>
          </w:tcPr>
          <w:p>
            <w:r/>
            <w:r>
              <w:rPr>
                <w:rFonts w:ascii="宋体" w:hAnsi="宋体" w:eastAsia="宋体"/>
                <w:sz w:val="20"/>
              </w:rPr>
              <w:t>OLED</w:t>
            </w:r>
          </w:p>
        </w:tc>
        <w:tc>
          <w:tcPr>
            <w:tcW w:type="dxa" w:w="1662"/>
          </w:tcPr>
          <w:p>
            <w:r/>
            <w:r>
              <w:rPr>
                <w:rFonts w:ascii="宋体" w:hAnsi="宋体" w:eastAsia="宋体"/>
                <w:sz w:val="20"/>
              </w:rPr>
              <w:t>HTC Vive Pro 2</w:t>
            </w:r>
          </w:p>
        </w:tc>
        <w:tc>
          <w:tcPr>
            <w:tcW w:type="dxa" w:w="1662"/>
          </w:tcPr>
          <w:p>
            <w:r/>
            <w:r>
              <w:rPr>
                <w:rFonts w:ascii="宋体" w:hAnsi="宋体" w:eastAsia="宋体"/>
                <w:sz w:val="20"/>
              </w:rPr>
              <w:t>响应快、对比度高</w:t>
            </w:r>
          </w:p>
        </w:tc>
        <w:tc>
          <w:tcPr>
            <w:tcW w:type="dxa" w:w="1662"/>
          </w:tcPr>
          <w:p>
            <w:r/>
            <w:r>
              <w:rPr>
                <w:rFonts w:ascii="宋体" w:hAnsi="宋体" w:eastAsia="宋体"/>
                <w:sz w:val="20"/>
              </w:rPr>
              <w:t>成本高、亮度有限</w:t>
            </w:r>
          </w:p>
        </w:tc>
        <w:tc>
          <w:tcPr>
            <w:tcW w:type="dxa" w:w="1662"/>
          </w:tcPr>
          <w:p>
            <w:r/>
            <w:r>
              <w:rPr>
                <w:rFonts w:ascii="宋体" w:hAnsi="宋体" w:eastAsia="宋体"/>
                <w:sz w:val="20"/>
              </w:rPr>
              <w:t>高端 PC VR</w:t>
            </w:r>
          </w:p>
        </w:tc>
      </w:tr>
      <w:tr>
        <w:tc>
          <w:tcPr>
            <w:tcW w:type="dxa" w:w="1662"/>
          </w:tcPr>
          <w:p>
            <w:r/>
            <w:r>
              <w:rPr>
                <w:rFonts w:ascii="宋体" w:hAnsi="宋体" w:eastAsia="宋体"/>
                <w:sz w:val="20"/>
              </w:rPr>
              <w:t>Micro-OLED</w:t>
            </w:r>
          </w:p>
        </w:tc>
        <w:tc>
          <w:tcPr>
            <w:tcW w:type="dxa" w:w="1662"/>
          </w:tcPr>
          <w:p>
            <w:r/>
            <w:r>
              <w:rPr>
                <w:rFonts w:ascii="宋体" w:hAnsi="宋体" w:eastAsia="宋体"/>
                <w:sz w:val="20"/>
              </w:rPr>
              <w:t>Apple Vision Pro</w:t>
            </w:r>
          </w:p>
        </w:tc>
        <w:tc>
          <w:tcPr>
            <w:tcW w:type="dxa" w:w="1662"/>
          </w:tcPr>
          <w:p>
            <w:r/>
            <w:r>
              <w:rPr>
                <w:rFonts w:ascii="宋体" w:hAnsi="宋体" w:eastAsia="宋体"/>
                <w:sz w:val="20"/>
              </w:rPr>
              <w:t>超高分辨率、高对比度</w:t>
            </w:r>
          </w:p>
        </w:tc>
        <w:tc>
          <w:tcPr>
            <w:tcW w:type="dxa" w:w="1662"/>
          </w:tcPr>
          <w:p>
            <w:r/>
            <w:r>
              <w:rPr>
                <w:rFonts w:ascii="宋体" w:hAnsi="宋体" w:eastAsia="宋体"/>
                <w:sz w:val="20"/>
              </w:rPr>
              <w:t>极高成本</w:t>
            </w:r>
          </w:p>
        </w:tc>
        <w:tc>
          <w:tcPr>
            <w:tcW w:type="dxa" w:w="1662"/>
          </w:tcPr>
          <w:p>
            <w:r/>
            <w:r>
              <w:rPr>
                <w:rFonts w:ascii="宋体" w:hAnsi="宋体" w:eastAsia="宋体"/>
                <w:sz w:val="20"/>
              </w:rPr>
              <w:t>高端 MR</w:t>
            </w:r>
          </w:p>
        </w:tc>
      </w:tr>
      <w:tr>
        <w:tc>
          <w:tcPr>
            <w:tcW w:type="dxa" w:w="1662"/>
          </w:tcPr>
          <w:p>
            <w:r/>
            <w:r>
              <w:rPr>
                <w:rFonts w:ascii="宋体" w:hAnsi="宋体" w:eastAsia="宋体"/>
                <w:sz w:val="20"/>
              </w:rPr>
              <w:t>Micro-LED</w:t>
            </w:r>
          </w:p>
        </w:tc>
        <w:tc>
          <w:tcPr>
            <w:tcW w:type="dxa" w:w="1662"/>
          </w:tcPr>
          <w:p>
            <w:r/>
            <w:r>
              <w:rPr>
                <w:rFonts w:ascii="宋体" w:hAnsi="宋体" w:eastAsia="宋体"/>
                <w:sz w:val="20"/>
              </w:rPr>
              <w:t>研发中</w:t>
            </w:r>
          </w:p>
        </w:tc>
        <w:tc>
          <w:tcPr>
            <w:tcW w:type="dxa" w:w="1662"/>
          </w:tcPr>
          <w:p>
            <w:r/>
            <w:r>
              <w:rPr>
                <w:rFonts w:ascii="宋体" w:hAnsi="宋体" w:eastAsia="宋体"/>
                <w:sz w:val="20"/>
              </w:rPr>
              <w:t>极高亮度、长寿命</w:t>
            </w:r>
          </w:p>
        </w:tc>
        <w:tc>
          <w:tcPr>
            <w:tcW w:type="dxa" w:w="1662"/>
          </w:tcPr>
          <w:p>
            <w:r/>
            <w:r>
              <w:rPr>
                <w:rFonts w:ascii="宋体" w:hAnsi="宋体" w:eastAsia="宋体"/>
                <w:sz w:val="20"/>
              </w:rPr>
              <w:t>良率低、成本极高</w:t>
            </w:r>
          </w:p>
        </w:tc>
        <w:tc>
          <w:tcPr>
            <w:tcW w:type="dxa" w:w="1662"/>
          </w:tcPr>
          <w:p>
            <w:r/>
            <w:r>
              <w:rPr>
                <w:rFonts w:ascii="宋体" w:hAnsi="宋体" w:eastAsia="宋体"/>
                <w:sz w:val="20"/>
              </w:rPr>
              <w:t>未来 AR</w:t>
            </w:r>
          </w:p>
        </w:tc>
      </w:tr>
    </w:tbl>
    <w:p/>
    <w:p/>
    <w:p>
      <w:pPr>
        <w:ind w:firstLine="482"/>
      </w:pPr>
      <w:r>
        <w:rPr>
          <w:rFonts w:ascii="宋体" w:hAnsi="宋体" w:eastAsia="宋体"/>
          <w:sz w:val="24"/>
        </w:rPr>
        <w:t>LCD（液晶显示）技术在 VR 中的优势在于高像素密度和高亮度。Meta Quest 2 采用 Fast LCD 面板，单眼分辨率达到 1832×1920，在消费级 VR 中提供了优秀的清晰度。但 LCD 的响应速度（约 2-5ms）不及 OLED（约 0.01ms），在快速移动画面时可能出现运动模糊[3]。</w:t>
      </w:r>
    </w:p>
    <w:p/>
    <w:p>
      <w:pPr>
        <w:ind w:firstLine="482"/>
      </w:pPr>
      <w:r>
        <w:rPr>
          <w:rFonts w:ascii="宋体" w:hAnsi="宋体" w:eastAsia="宋体"/>
          <w:sz w:val="24"/>
        </w:rPr>
        <w:t>OLED（有机发光二极管）技术由于每个像素自发光，无需背光层，具有无限对比度和极快响应速度的优势。OLED 面板在黑色表现和动态画面方面优于 LCD，但存在烧屏风险和亮度上限较低的问题。</w:t>
      </w:r>
    </w:p>
    <w:p/>
    <w:p>
      <w:pPr>
        <w:ind w:firstLine="482"/>
      </w:pPr>
      <w:r>
        <w:rPr>
          <w:rFonts w:ascii="宋体" w:hAnsi="宋体" w:eastAsia="宋体"/>
          <w:sz w:val="24"/>
        </w:rPr>
        <w:t>Micro-OLED 是将 OLED 蒸镀到硅晶圆上的微型显示技术，能够在极小的面积（约 1 英寸）上实现超高分辨率。Apple Vision Pro 采用的两块 micro-OLED 显示屏总面积仅 1.14 平方英寸，却拥有 2300 万像素（单眼超过 4K），像素密度高达 3400 PPI，为用户提供了接近视网膜级别的清晰度[4]。</w:t>
      </w:r>
    </w:p>
    <w:p/>
    <w:p>
      <w:pPr>
        <w:ind w:firstLine="482"/>
      </w:pPr>
      <w:r>
        <w:rPr>
          <w:rFonts w:ascii="宋体" w:hAnsi="宋体" w:eastAsia="宋体"/>
          <w:sz w:val="24"/>
        </w:rPr>
        <w:t>Micro-LED 被视为 AR/VR 显示技术的终极方向。它结合了 OLED 的高对比度和 LCD 的高亮度优势，同时无烧屏问题、寿命更长。但 Micro-LED 的量产良率仍然很低，特别是红光 Micro-LED 的效率问题尚未解决，短期内难以大规模商用[3]。</w:t>
      </w:r>
    </w:p>
    <w:p/>
    <w:p>
      <w:pPr>
        <w:ind w:firstLine="482"/>
      </w:pPr>
      <w:r>
        <w:rPr>
          <w:rFonts w:ascii="宋体" w:hAnsi="宋体" w:eastAsia="宋体"/>
          <w:sz w:val="24"/>
        </w:rPr>
        <w:t>在显示面板的规格参数中，刷新率（Refresh Rate）是影响 VR 体验舒适度的另一个关键指标。刷新率指显示屏每秒更新图像的次数，以赫兹表示。VR 头显的刷新率需要与头部追踪的更新频率匹配——如果刷新率过低，用户转头时画面更新跟不上头部运动，会产生明显的画面撕裂和拖影感，加剧眩晕。当前主流 VR 头显的刷新率为 90Hz（每秒 90 帧），高端设备达到 120Hz 甚至 144Hz。90Hz 对应的帧间隔约为 11.1 毫秒，意味着从渲染到显示的完整管线必须在 11.1 毫秒内完成，这对 GPU 性能和渲染优化提出了严格要求。</w:t>
      </w:r>
    </w:p>
    <w:p/>
    <w:p>
      <w:pPr>
        <w:ind w:firstLine="482"/>
      </w:pPr>
      <w:r>
        <w:rPr>
          <w:rFonts w:ascii="宋体" w:hAnsi="宋体" w:eastAsia="宋体"/>
          <w:sz w:val="24"/>
        </w:rPr>
        <w:t>值得注意的是，刷新率与分辨率之间存在权衡关系——在 GPU 性能固定的前提下，提升分辨率会增加每帧的渲染时间，可能导致无法维持目标帧率。这一权衡是 VR 渲染优化的核心挑战之一，第6章将详细讨论渲染管线的性能优化策略。从硬件选型角度，实训项目应根据目标内容复杂度选择适当的分辨率-刷新率组合：简单场景（如全景图片浏览）可使用高分辨率高刷新率配置，复杂场景（如大型 3D 虚拟世界）可能需要适当降低分辨率以维持帧率稳定。</w:t>
      </w:r>
    </w:p>
    <w:p/>
    <w:p>
      <w:pPr>
        <w:ind w:firstLine="482"/>
      </w:pPr>
      <w:r>
        <w:rPr>
          <w:rFonts w:ascii="宋体" w:hAnsi="宋体" w:eastAsia="宋体"/>
          <w:sz w:val="24"/>
        </w:rPr>
        <w:t>持久度（Persistence）是另一个与显示面板相关的参数，指每帧画面在屏幕上持续显示的时间。低持久度显示（如闪烁式显示）可以减少快速运动时的运动模糊，但需要更高的峰值亮度来补偿较低的占空比。OLED 面板由于响应速度极快，天然支持低持久度显示；LCD 面板则需要通过背光闪烁（Backlight Strobing）技术模拟低持久度效果。当前主流 VR 头显的持久度通常控制在 2-3 毫秒，在运动清晰度和亮度之间取得了较好的平衡。</w:t>
      </w:r>
    </w:p>
    <w:p/>
    <w:p>
      <w:pPr>
        <w:pStyle w:val="Heading3"/>
      </w:pPr>
      <w:r>
        <w:t>2.1.3 视场角（FOV）与分辨率对沉浸感的影响</w:t>
      </w:r>
    </w:p>
    <w:p/>
    <w:p>
      <w:pPr>
        <w:ind w:firstLine="482"/>
      </w:pPr>
      <w:r>
        <w:rPr>
          <w:rFonts w:ascii="宋体" w:hAnsi="宋体" w:eastAsia="宋体"/>
          <w:sz w:val="24"/>
        </w:rPr>
        <w:t>视场角（Field of View，FOV）是衡量 HMD 沉浸感的关键参数之一。人类视觉系统的水平视场角约为 200 度（含周边视觉），垂直视场角约为 130 度。当前主流 VR 头显的 FOV 约为 90-110 度水平，仍远低于人眼自然视场。FOV 不足会导致用户产生"通过潜水镜看世界"的感觉，削弱沉浸感[5]。</w:t>
      </w:r>
    </w:p>
    <w:p/>
    <w:p>
      <w:pPr>
        <w:ind w:firstLine="482"/>
      </w:pPr>
      <w:r>
        <w:rPr>
          <w:rFonts w:ascii="宋体" w:hAnsi="宋体" w:eastAsia="宋体"/>
          <w:sz w:val="24"/>
        </w:rPr>
        <w:t>FOV 的提升面临光学和显示的双重挑战。在光学层面，更大的 FOV 需要更短的透镜焦距，而短焦距会导致更大的光学畸变和色差。在显示层面，更大的 FOV 意味着同样的像素需要覆盖更大的角度，导致角分辨率（Pixels Per Degree，PPD）下降。理想情况下，VR 显示应达到 60 PPD（对应 20/20 视力），但当前主流设备仅达到约 15-20 PPD[3]。</w:t>
      </w:r>
    </w:p>
    <w:p/>
    <w:p>
      <w:pPr>
        <w:ind w:firstLine="482"/>
      </w:pPr>
      <w:r>
        <w:rPr>
          <w:rFonts w:ascii="宋体" w:hAnsi="宋体" w:eastAsia="宋体"/>
          <w:sz w:val="24"/>
        </w:rPr>
        <w:t>分辨率不足导致的最明显问题是"纱门效应"（Screen Door Effect，SDE）——当像素间距足够大时，用户能够看到像素之间的黑色间隙，如同通过纱门观看画面。提升像素密度是消除 SDE 的根本途径。Meta Quest 3 通过提升分辨率和采用 Pancake 光学，基本消除了纱门效应，画面清晰度显著提升。</w:t>
      </w:r>
    </w:p>
    <w:p/>
    <w:p>
      <w:pPr>
        <w:pStyle w:val="Heading3"/>
      </w:pPr>
      <w:r>
        <w:t>2.1.4 主流 HMD 设备对比</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参数</w:t>
            </w:r>
          </w:p>
        </w:tc>
        <w:tc>
          <w:tcPr>
            <w:tcW w:type="dxa" w:w="1662"/>
            <w:shd w:fill="D9E2F3" w:val="clear"/>
          </w:tcPr>
          <w:p>
            <w:pPr>
              <w:jc w:val="center"/>
            </w:pPr>
            <w:r/>
            <w:r>
              <w:rPr>
                <w:rFonts w:ascii="黑体" w:hAnsi="黑体" w:eastAsia="黑体"/>
                <w:b/>
                <w:sz w:val="20"/>
              </w:rPr>
              <w:t>Meta Quest 3</w:t>
            </w:r>
          </w:p>
        </w:tc>
        <w:tc>
          <w:tcPr>
            <w:tcW w:type="dxa" w:w="1662"/>
            <w:shd w:fill="D9E2F3" w:val="clear"/>
          </w:tcPr>
          <w:p>
            <w:pPr>
              <w:jc w:val="center"/>
            </w:pPr>
            <w:r/>
            <w:r>
              <w:rPr>
                <w:rFonts w:ascii="黑体" w:hAnsi="黑体" w:eastAsia="黑体"/>
                <w:b/>
                <w:sz w:val="20"/>
              </w:rPr>
              <w:t>PICO 4 Ultra</w:t>
            </w:r>
          </w:p>
        </w:tc>
        <w:tc>
          <w:tcPr>
            <w:tcW w:type="dxa" w:w="1662"/>
            <w:shd w:fill="D9E2F3" w:val="clear"/>
          </w:tcPr>
          <w:p>
            <w:pPr>
              <w:jc w:val="center"/>
            </w:pPr>
            <w:r/>
            <w:r>
              <w:rPr>
                <w:rFonts w:ascii="黑体" w:hAnsi="黑体" w:eastAsia="黑体"/>
                <w:b/>
                <w:sz w:val="20"/>
              </w:rPr>
              <w:t>HTC Vive XR Elite</w:t>
            </w:r>
          </w:p>
        </w:tc>
        <w:tc>
          <w:tcPr>
            <w:tcW w:type="dxa" w:w="1662"/>
            <w:shd w:fill="D9E2F3" w:val="clear"/>
          </w:tcPr>
          <w:p>
            <w:pPr>
              <w:jc w:val="center"/>
            </w:pPr>
            <w:r/>
            <w:r>
              <w:rPr>
                <w:rFonts w:ascii="黑体" w:hAnsi="黑体" w:eastAsia="黑体"/>
                <w:b/>
                <w:sz w:val="20"/>
              </w:rPr>
              <w:t>Apple Vision Pro</w:t>
            </w:r>
          </w:p>
        </w:tc>
      </w:tr>
      <w:tr>
        <w:tc>
          <w:tcPr>
            <w:tcW w:type="dxa" w:w="1662"/>
          </w:tcPr>
          <w:p>
            <w:r/>
            <w:r>
              <w:rPr>
                <w:rFonts w:ascii="宋体" w:hAnsi="宋体" w:eastAsia="宋体"/>
                <w:sz w:val="20"/>
              </w:rPr>
              <w:t>分辨率（单眼）</w:t>
            </w:r>
          </w:p>
        </w:tc>
        <w:tc>
          <w:tcPr>
            <w:tcW w:type="dxa" w:w="1662"/>
          </w:tcPr>
          <w:p>
            <w:r/>
            <w:r>
              <w:rPr>
                <w:rFonts w:ascii="宋体" w:hAnsi="宋体" w:eastAsia="宋体"/>
                <w:sz w:val="20"/>
              </w:rPr>
              <w:t>2064×2208</w:t>
            </w:r>
          </w:p>
        </w:tc>
        <w:tc>
          <w:tcPr>
            <w:tcW w:type="dxa" w:w="1662"/>
          </w:tcPr>
          <w:p>
            <w:r/>
            <w:r>
              <w:rPr>
                <w:rFonts w:ascii="宋体" w:hAnsi="宋体" w:eastAsia="宋体"/>
                <w:sz w:val="20"/>
              </w:rPr>
              <w:t>2160×2160</w:t>
            </w:r>
          </w:p>
        </w:tc>
        <w:tc>
          <w:tcPr>
            <w:tcW w:type="dxa" w:w="1662"/>
          </w:tcPr>
          <w:p>
            <w:r/>
            <w:r>
              <w:rPr>
                <w:rFonts w:ascii="宋体" w:hAnsi="宋体" w:eastAsia="宋体"/>
                <w:sz w:val="20"/>
              </w:rPr>
              <w:t>1920×1920</w:t>
            </w:r>
          </w:p>
        </w:tc>
        <w:tc>
          <w:tcPr>
            <w:tcW w:type="dxa" w:w="1662"/>
          </w:tcPr>
          <w:p>
            <w:r/>
            <w:r>
              <w:rPr>
                <w:rFonts w:ascii="宋体" w:hAnsi="宋体" w:eastAsia="宋体"/>
                <w:sz w:val="20"/>
              </w:rPr>
              <w:t>3660×3660</w:t>
            </w:r>
          </w:p>
        </w:tc>
      </w:tr>
      <w:tr>
        <w:tc>
          <w:tcPr>
            <w:tcW w:type="dxa" w:w="1662"/>
          </w:tcPr>
          <w:p>
            <w:r/>
            <w:r>
              <w:rPr>
                <w:rFonts w:ascii="宋体" w:hAnsi="宋体" w:eastAsia="宋体"/>
                <w:sz w:val="20"/>
              </w:rPr>
              <w:t>刷新率</w:t>
            </w:r>
          </w:p>
        </w:tc>
        <w:tc>
          <w:tcPr>
            <w:tcW w:type="dxa" w:w="1662"/>
          </w:tcPr>
          <w:p>
            <w:r/>
            <w:r>
              <w:rPr>
                <w:rFonts w:ascii="宋体" w:hAnsi="宋体" w:eastAsia="宋体"/>
                <w:sz w:val="20"/>
              </w:rPr>
              <w:t>90/120Hz</w:t>
            </w:r>
          </w:p>
        </w:tc>
        <w:tc>
          <w:tcPr>
            <w:tcW w:type="dxa" w:w="1662"/>
          </w:tcPr>
          <w:p>
            <w:r/>
            <w:r>
              <w:rPr>
                <w:rFonts w:ascii="宋体" w:hAnsi="宋体" w:eastAsia="宋体"/>
                <w:sz w:val="20"/>
              </w:rPr>
              <w:t>90Hz</w:t>
            </w:r>
          </w:p>
        </w:tc>
        <w:tc>
          <w:tcPr>
            <w:tcW w:type="dxa" w:w="1662"/>
          </w:tcPr>
          <w:p>
            <w:r/>
            <w:r>
              <w:rPr>
                <w:rFonts w:ascii="宋体" w:hAnsi="宋体" w:eastAsia="宋体"/>
                <w:sz w:val="20"/>
              </w:rPr>
              <w:t>90Hz</w:t>
            </w:r>
          </w:p>
        </w:tc>
        <w:tc>
          <w:tcPr>
            <w:tcW w:type="dxa" w:w="1662"/>
          </w:tcPr>
          <w:p>
            <w:r/>
            <w:r>
              <w:rPr>
                <w:rFonts w:ascii="宋体" w:hAnsi="宋体" w:eastAsia="宋体"/>
                <w:sz w:val="20"/>
              </w:rPr>
              <w:t>90/100Hz</w:t>
            </w:r>
          </w:p>
        </w:tc>
      </w:tr>
      <w:tr>
        <w:tc>
          <w:tcPr>
            <w:tcW w:type="dxa" w:w="1662"/>
          </w:tcPr>
          <w:p>
            <w:r/>
            <w:r>
              <w:rPr>
                <w:rFonts w:ascii="宋体" w:hAnsi="宋体" w:eastAsia="宋体"/>
                <w:sz w:val="20"/>
              </w:rPr>
              <w:t>FOV</w:t>
            </w:r>
          </w:p>
        </w:tc>
        <w:tc>
          <w:tcPr>
            <w:tcW w:type="dxa" w:w="1662"/>
          </w:tcPr>
          <w:p>
            <w:r/>
            <w:r>
              <w:rPr>
                <w:rFonts w:ascii="宋体" w:hAnsi="宋体" w:eastAsia="宋体"/>
                <w:sz w:val="20"/>
              </w:rPr>
              <w:t>110°水平</w:t>
            </w:r>
          </w:p>
        </w:tc>
        <w:tc>
          <w:tcPr>
            <w:tcW w:type="dxa" w:w="1662"/>
          </w:tcPr>
          <w:p>
            <w:r/>
            <w:r>
              <w:rPr>
                <w:rFonts w:ascii="宋体" w:hAnsi="宋体" w:eastAsia="宋体"/>
                <w:sz w:val="20"/>
              </w:rPr>
              <w:t>105°水平</w:t>
            </w:r>
          </w:p>
        </w:tc>
        <w:tc>
          <w:tcPr>
            <w:tcW w:type="dxa" w:w="1662"/>
          </w:tcPr>
          <w:p>
            <w:r/>
            <w:r>
              <w:rPr>
                <w:rFonts w:ascii="宋体" w:hAnsi="宋体" w:eastAsia="宋体"/>
                <w:sz w:val="20"/>
              </w:rPr>
              <w:t>110°水平</w:t>
            </w:r>
          </w:p>
        </w:tc>
        <w:tc>
          <w:tcPr>
            <w:tcW w:type="dxa" w:w="1662"/>
          </w:tcPr>
          <w:p>
            <w:r/>
            <w:r>
              <w:rPr>
                <w:rFonts w:ascii="宋体" w:hAnsi="宋体" w:eastAsia="宋体"/>
                <w:sz w:val="20"/>
              </w:rPr>
              <w:t>100°水平</w:t>
            </w:r>
          </w:p>
        </w:tc>
      </w:tr>
      <w:tr>
        <w:tc>
          <w:tcPr>
            <w:tcW w:type="dxa" w:w="1662"/>
          </w:tcPr>
          <w:p>
            <w:r/>
            <w:r>
              <w:rPr>
                <w:rFonts w:ascii="宋体" w:hAnsi="宋体" w:eastAsia="宋体"/>
                <w:sz w:val="20"/>
              </w:rPr>
              <w:t>光学方案</w:t>
            </w:r>
          </w:p>
        </w:tc>
        <w:tc>
          <w:tcPr>
            <w:tcW w:type="dxa" w:w="1662"/>
          </w:tcPr>
          <w:p>
            <w:r/>
            <w:r>
              <w:rPr>
                <w:rFonts w:ascii="宋体" w:hAnsi="宋体" w:eastAsia="宋体"/>
                <w:sz w:val="20"/>
              </w:rPr>
              <w:t>Pancake</w:t>
            </w:r>
          </w:p>
        </w:tc>
        <w:tc>
          <w:tcPr>
            <w:tcW w:type="dxa" w:w="1662"/>
          </w:tcPr>
          <w:p>
            <w:r/>
            <w:r>
              <w:rPr>
                <w:rFonts w:ascii="宋体" w:hAnsi="宋体" w:eastAsia="宋体"/>
                <w:sz w:val="20"/>
              </w:rPr>
              <w:t>Pancake</w:t>
            </w:r>
          </w:p>
        </w:tc>
        <w:tc>
          <w:tcPr>
            <w:tcW w:type="dxa" w:w="1662"/>
          </w:tcPr>
          <w:p>
            <w:r/>
            <w:r>
              <w:rPr>
                <w:rFonts w:ascii="宋体" w:hAnsi="宋体" w:eastAsia="宋体"/>
                <w:sz w:val="20"/>
              </w:rPr>
              <w:t>Pancake</w:t>
            </w:r>
          </w:p>
        </w:tc>
        <w:tc>
          <w:tcPr>
            <w:tcW w:type="dxa" w:w="1662"/>
          </w:tcPr>
          <w:p>
            <w:r/>
            <w:r>
              <w:rPr>
                <w:rFonts w:ascii="宋体" w:hAnsi="宋体" w:eastAsia="宋体"/>
                <w:sz w:val="20"/>
              </w:rPr>
              <w:t>Pancake</w:t>
            </w:r>
          </w:p>
        </w:tc>
      </w:tr>
      <w:tr>
        <w:tc>
          <w:tcPr>
            <w:tcW w:type="dxa" w:w="1662"/>
          </w:tcPr>
          <w:p>
            <w:r/>
            <w:r>
              <w:rPr>
                <w:rFonts w:ascii="宋体" w:hAnsi="宋体" w:eastAsia="宋体"/>
                <w:sz w:val="20"/>
              </w:rPr>
              <w:t>显示技术</w:t>
            </w:r>
          </w:p>
        </w:tc>
        <w:tc>
          <w:tcPr>
            <w:tcW w:type="dxa" w:w="1662"/>
          </w:tcPr>
          <w:p>
            <w:r/>
            <w:r>
              <w:rPr>
                <w:rFonts w:ascii="宋体" w:hAnsi="宋体" w:eastAsia="宋体"/>
                <w:sz w:val="20"/>
              </w:rPr>
              <w:t>Fast LCD</w:t>
            </w:r>
          </w:p>
        </w:tc>
        <w:tc>
          <w:tcPr>
            <w:tcW w:type="dxa" w:w="1662"/>
          </w:tcPr>
          <w:p>
            <w:r/>
            <w:r>
              <w:rPr>
                <w:rFonts w:ascii="宋体" w:hAnsi="宋体" w:eastAsia="宋体"/>
                <w:sz w:val="20"/>
              </w:rPr>
              <w:t>Fast LCD</w:t>
            </w:r>
          </w:p>
        </w:tc>
        <w:tc>
          <w:tcPr>
            <w:tcW w:type="dxa" w:w="1662"/>
          </w:tcPr>
          <w:p>
            <w:r/>
            <w:r>
              <w:rPr>
                <w:rFonts w:ascii="宋体" w:hAnsi="宋体" w:eastAsia="宋体"/>
                <w:sz w:val="20"/>
              </w:rPr>
              <w:t>LCD</w:t>
            </w:r>
          </w:p>
        </w:tc>
        <w:tc>
          <w:tcPr>
            <w:tcW w:type="dxa" w:w="1662"/>
          </w:tcPr>
          <w:p>
            <w:r/>
            <w:r>
              <w:rPr>
                <w:rFonts w:ascii="宋体" w:hAnsi="宋体" w:eastAsia="宋体"/>
                <w:sz w:val="20"/>
              </w:rPr>
              <w:t>Micro-OLED</w:t>
            </w:r>
          </w:p>
        </w:tc>
      </w:tr>
      <w:tr>
        <w:tc>
          <w:tcPr>
            <w:tcW w:type="dxa" w:w="1662"/>
          </w:tcPr>
          <w:p>
            <w:r/>
            <w:r>
              <w:rPr>
                <w:rFonts w:ascii="宋体" w:hAnsi="宋体" w:eastAsia="宋体"/>
                <w:sz w:val="20"/>
              </w:rPr>
              <w:t>追踪</w:t>
            </w:r>
          </w:p>
        </w:tc>
        <w:tc>
          <w:tcPr>
            <w:tcW w:type="dxa" w:w="1662"/>
          </w:tcPr>
          <w:p>
            <w:r/>
            <w:r>
              <w:rPr>
                <w:rFonts w:ascii="宋体" w:hAnsi="宋体" w:eastAsia="宋体"/>
                <w:sz w:val="20"/>
              </w:rPr>
              <w:t>6DoF Inside-Out</w:t>
            </w:r>
          </w:p>
        </w:tc>
        <w:tc>
          <w:tcPr>
            <w:tcW w:type="dxa" w:w="1662"/>
          </w:tcPr>
          <w:p>
            <w:r/>
            <w:r>
              <w:rPr>
                <w:rFonts w:ascii="宋体" w:hAnsi="宋体" w:eastAsia="宋体"/>
                <w:sz w:val="20"/>
              </w:rPr>
              <w:t>6DoF Inside-Out</w:t>
            </w:r>
          </w:p>
        </w:tc>
        <w:tc>
          <w:tcPr>
            <w:tcW w:type="dxa" w:w="1662"/>
          </w:tcPr>
          <w:p>
            <w:r/>
            <w:r>
              <w:rPr>
                <w:rFonts w:ascii="宋体" w:hAnsi="宋体" w:eastAsia="宋体"/>
                <w:sz w:val="20"/>
              </w:rPr>
              <w:t>6DoF Inside-Out</w:t>
            </w:r>
          </w:p>
        </w:tc>
        <w:tc>
          <w:tcPr>
            <w:tcW w:type="dxa" w:w="1662"/>
          </w:tcPr>
          <w:p>
            <w:r/>
            <w:r>
              <w:rPr>
                <w:rFonts w:ascii="宋体" w:hAnsi="宋体" w:eastAsia="宋体"/>
                <w:sz w:val="20"/>
              </w:rPr>
              <w:t>6DoF Inside-Out</w:t>
            </w:r>
          </w:p>
        </w:tc>
      </w:tr>
      <w:tr>
        <w:tc>
          <w:tcPr>
            <w:tcW w:type="dxa" w:w="1662"/>
          </w:tcPr>
          <w:p>
            <w:r/>
            <w:r>
              <w:rPr>
                <w:rFonts w:ascii="宋体" w:hAnsi="宋体" w:eastAsia="宋体"/>
                <w:sz w:val="20"/>
              </w:rPr>
              <w:t>全彩透视</w:t>
            </w:r>
          </w:p>
        </w:tc>
        <w:tc>
          <w:tcPr>
            <w:tcW w:type="dxa" w:w="1662"/>
          </w:tcPr>
          <w:p>
            <w:r/>
            <w:r>
              <w:rPr>
                <w:rFonts w:ascii="宋体" w:hAnsi="宋体" w:eastAsia="宋体"/>
                <w:sz w:val="20"/>
              </w:rPr>
              <w:t>支持</w:t>
            </w:r>
          </w:p>
        </w:tc>
        <w:tc>
          <w:tcPr>
            <w:tcW w:type="dxa" w:w="1662"/>
          </w:tcPr>
          <w:p>
            <w:r/>
            <w:r>
              <w:rPr>
                <w:rFonts w:ascii="宋体" w:hAnsi="宋体" w:eastAsia="宋体"/>
                <w:sz w:val="20"/>
              </w:rPr>
              <w:t>支持</w:t>
            </w:r>
          </w:p>
        </w:tc>
        <w:tc>
          <w:tcPr>
            <w:tcW w:type="dxa" w:w="1662"/>
          </w:tcPr>
          <w:p>
            <w:r/>
            <w:r>
              <w:rPr>
                <w:rFonts w:ascii="宋体" w:hAnsi="宋体" w:eastAsia="宋体"/>
                <w:sz w:val="20"/>
              </w:rPr>
              <w:t>支持</w:t>
            </w:r>
          </w:p>
        </w:tc>
        <w:tc>
          <w:tcPr>
            <w:tcW w:type="dxa" w:w="1662"/>
          </w:tcPr>
          <w:p>
            <w:r/>
            <w:r>
              <w:rPr>
                <w:rFonts w:ascii="宋体" w:hAnsi="宋体" w:eastAsia="宋体"/>
                <w:sz w:val="20"/>
              </w:rPr>
              <w:t>支持</w:t>
            </w:r>
          </w:p>
        </w:tc>
      </w:tr>
      <w:tr>
        <w:tc>
          <w:tcPr>
            <w:tcW w:type="dxa" w:w="1662"/>
          </w:tcPr>
          <w:p>
            <w:r/>
            <w:r>
              <w:rPr>
                <w:rFonts w:ascii="宋体" w:hAnsi="宋体" w:eastAsia="宋体"/>
                <w:sz w:val="20"/>
              </w:rPr>
              <w:t>手势追踪</w:t>
            </w:r>
          </w:p>
        </w:tc>
        <w:tc>
          <w:tcPr>
            <w:tcW w:type="dxa" w:w="1662"/>
          </w:tcPr>
          <w:p>
            <w:r/>
            <w:r>
              <w:rPr>
                <w:rFonts w:ascii="宋体" w:hAnsi="宋体" w:eastAsia="宋体"/>
                <w:sz w:val="20"/>
              </w:rPr>
              <w:t>支持</w:t>
            </w:r>
          </w:p>
        </w:tc>
        <w:tc>
          <w:tcPr>
            <w:tcW w:type="dxa" w:w="1662"/>
          </w:tcPr>
          <w:p>
            <w:r/>
            <w:r>
              <w:rPr>
                <w:rFonts w:ascii="宋体" w:hAnsi="宋体" w:eastAsia="宋体"/>
                <w:sz w:val="20"/>
              </w:rPr>
              <w:t>支持</w:t>
            </w:r>
          </w:p>
        </w:tc>
        <w:tc>
          <w:tcPr>
            <w:tcW w:type="dxa" w:w="1662"/>
          </w:tcPr>
          <w:p>
            <w:r/>
            <w:r>
              <w:rPr>
                <w:rFonts w:ascii="宋体" w:hAnsi="宋体" w:eastAsia="宋体"/>
                <w:sz w:val="20"/>
              </w:rPr>
              <w:t>支持</w:t>
            </w:r>
          </w:p>
        </w:tc>
        <w:tc>
          <w:tcPr>
            <w:tcW w:type="dxa" w:w="1662"/>
          </w:tcPr>
          <w:p>
            <w:r/>
            <w:r>
              <w:rPr>
                <w:rFonts w:ascii="宋体" w:hAnsi="宋体" w:eastAsia="宋体"/>
                <w:sz w:val="20"/>
              </w:rPr>
              <w:t>支持</w:t>
            </w:r>
          </w:p>
        </w:tc>
      </w:tr>
      <w:tr>
        <w:tc>
          <w:tcPr>
            <w:tcW w:type="dxa" w:w="1662"/>
          </w:tcPr>
          <w:p>
            <w:r/>
            <w:r>
              <w:rPr>
                <w:rFonts w:ascii="宋体" w:hAnsi="宋体" w:eastAsia="宋体"/>
                <w:sz w:val="20"/>
              </w:rPr>
              <w:t>价格</w:t>
            </w:r>
          </w:p>
        </w:tc>
        <w:tc>
          <w:tcPr>
            <w:tcW w:type="dxa" w:w="1662"/>
          </w:tcPr>
          <w:p>
            <w:r/>
            <w:r>
              <w:rPr>
                <w:rFonts w:ascii="宋体" w:hAnsi="宋体" w:eastAsia="宋体"/>
                <w:sz w:val="20"/>
              </w:rPr>
              <w:t>$499起</w:t>
            </w:r>
          </w:p>
        </w:tc>
        <w:tc>
          <w:tcPr>
            <w:tcW w:type="dxa" w:w="1662"/>
          </w:tcPr>
          <w:p>
            <w:r/>
            <w:r>
              <w:rPr>
                <w:rFonts w:ascii="宋体" w:hAnsi="宋体" w:eastAsia="宋体"/>
                <w:sz w:val="20"/>
              </w:rPr>
              <w:t>¥3799起</w:t>
            </w:r>
          </w:p>
        </w:tc>
        <w:tc>
          <w:tcPr>
            <w:tcW w:type="dxa" w:w="1662"/>
          </w:tcPr>
          <w:p>
            <w:r/>
            <w:r>
              <w:rPr>
                <w:rFonts w:ascii="宋体" w:hAnsi="宋体" w:eastAsia="宋体"/>
                <w:sz w:val="20"/>
              </w:rPr>
              <w:t>$799起</w:t>
            </w:r>
          </w:p>
        </w:tc>
        <w:tc>
          <w:tcPr>
            <w:tcW w:type="dxa" w:w="1662"/>
          </w:tcPr>
          <w:p>
            <w:r/>
            <w:r>
              <w:rPr>
                <w:rFonts w:ascii="宋体" w:hAnsi="宋体" w:eastAsia="宋体"/>
                <w:sz w:val="20"/>
              </w:rPr>
              <w:t>$3499起</w:t>
            </w:r>
          </w:p>
        </w:tc>
      </w:tr>
      <w:tr>
        <w:tc>
          <w:tcPr>
            <w:tcW w:type="dxa" w:w="1662"/>
          </w:tcPr>
          <w:p>
            <w:r/>
            <w:r>
              <w:rPr>
                <w:rFonts w:ascii="宋体" w:hAnsi="宋体" w:eastAsia="宋体"/>
                <w:sz w:val="20"/>
              </w:rPr>
              <w:t>定位</w:t>
            </w:r>
          </w:p>
        </w:tc>
        <w:tc>
          <w:tcPr>
            <w:tcW w:type="dxa" w:w="1662"/>
          </w:tcPr>
          <w:p>
            <w:r/>
            <w:r>
              <w:rPr>
                <w:rFonts w:ascii="宋体" w:hAnsi="宋体" w:eastAsia="宋体"/>
                <w:sz w:val="20"/>
              </w:rPr>
              <w:t>消费级主流</w:t>
            </w:r>
          </w:p>
        </w:tc>
        <w:tc>
          <w:tcPr>
            <w:tcW w:type="dxa" w:w="1662"/>
          </w:tcPr>
          <w:p>
            <w:r/>
            <w:r>
              <w:rPr>
                <w:rFonts w:ascii="宋体" w:hAnsi="宋体" w:eastAsia="宋体"/>
                <w:sz w:val="20"/>
              </w:rPr>
              <w:t>中国市场主力</w:t>
            </w:r>
          </w:p>
        </w:tc>
        <w:tc>
          <w:tcPr>
            <w:tcW w:type="dxa" w:w="1662"/>
          </w:tcPr>
          <w:p>
            <w:r/>
            <w:r>
              <w:rPr>
                <w:rFonts w:ascii="宋体" w:hAnsi="宋体" w:eastAsia="宋体"/>
                <w:sz w:val="20"/>
              </w:rPr>
              <w:t>企业级</w:t>
            </w:r>
          </w:p>
        </w:tc>
        <w:tc>
          <w:tcPr>
            <w:tcW w:type="dxa" w:w="1662"/>
          </w:tcPr>
          <w:p>
            <w:r/>
            <w:r>
              <w:rPr>
                <w:rFonts w:ascii="宋体" w:hAnsi="宋体" w:eastAsia="宋体"/>
                <w:sz w:val="20"/>
              </w:rPr>
              <w:t>高端旗舰</w:t>
            </w:r>
          </w:p>
        </w:tc>
      </w:tr>
    </w:tbl>
    <w:p/>
    <w:p/>
    <w:p>
      <w:pPr>
        <w:pStyle w:val="Heading3"/>
      </w:pPr>
      <w:r>
        <w:t>2.1.5 HMD 人体工程学与佩戴舒适度</w:t>
      </w:r>
    </w:p>
    <w:p/>
    <w:p>
      <w:pPr>
        <w:ind w:firstLine="482"/>
      </w:pPr>
      <w:r>
        <w:rPr>
          <w:rFonts w:ascii="宋体" w:hAnsi="宋体" w:eastAsia="宋体"/>
          <w:sz w:val="24"/>
        </w:rPr>
        <w:t>HMD 的佩戴舒适度直接影响用户的使用时长和体验质量。人体工程学设计需要综合考虑重量分布、面部贴合、散热和线缆管理四个因素。</w:t>
      </w:r>
    </w:p>
    <w:p/>
    <w:p>
      <w:pPr>
        <w:ind w:firstLine="482"/>
      </w:pPr>
      <w:r>
        <w:rPr>
          <w:rFonts w:ascii="宋体" w:hAnsi="宋体" w:eastAsia="宋体"/>
          <w:b/>
          <w:sz w:val="24"/>
        </w:rPr>
        <w:t>重量分布</w:t>
      </w:r>
      <w:r>
        <w:rPr>
          <w:rFonts w:ascii="宋体" w:hAnsi="宋体" w:eastAsia="宋体"/>
          <w:sz w:val="24"/>
        </w:rPr>
        <w:t>是影响佩戴舒适度的首要因素。成人头部平均重量约 4.5-5 公斤，HMD 的额外重量会施加在颈椎上，长时间佩戴导致颈部疲劳。理想的 HMD 重量应控制在 500 克以内。Meta Quest 3 重约 515 克，Apple Vision Pro 重约 600 克，HTC Vive XR Elite 通过可拆卸电池设计将主机重量降至 272 克。重量分布的关键不仅在于总重量，更在于重心位置——重心越靠前（远离面部），力矩越大，颈部负担越重。Pancake 光学方案的优势之一就是缩短了显示屏到面部的距离，使重心后移[3]。</w:t>
      </w:r>
    </w:p>
    <w:p/>
    <w:p>
      <w:pPr>
        <w:ind w:firstLine="482"/>
      </w:pPr>
      <w:r>
        <w:rPr>
          <w:rFonts w:ascii="宋体" w:hAnsi="宋体" w:eastAsia="宋体"/>
          <w:b/>
          <w:sz w:val="24"/>
        </w:rPr>
        <w:t>面部贴合</w:t>
      </w:r>
      <w:r>
        <w:rPr>
          <w:rFonts w:ascii="宋体" w:hAnsi="宋体" w:eastAsia="宋体"/>
          <w:sz w:val="24"/>
        </w:rPr>
        <w:t>涉及面贴材质和 IPD 调节机构。面贴材料需要柔软透气、可清洁、不过敏。硅胶面贴耐用但透气性差，海绵面贴舒适但不易清洁，织物面贴（如 Meta Quest 3 的织物面贴）在舒适性和卫生之间取得了较好平衡。IPD 调节机构允许用户调整左右镜片间距以匹配自己的瞳距，不正确的 IPD 设置会导致画面模糊和眼部疲劳。高端设备（如 Apple Vision Pro）采用电动 IPD 自动调节，通过眼动追踪自动测量用户 IPD 并调整镜片位置。</w:t>
      </w:r>
    </w:p>
    <w:p/>
    <w:p>
      <w:pPr>
        <w:ind w:firstLine="482"/>
      </w:pPr>
      <w:r>
        <w:rPr>
          <w:rFonts w:ascii="宋体" w:hAnsi="宋体" w:eastAsia="宋体"/>
          <w:b/>
          <w:sz w:val="24"/>
        </w:rPr>
        <w:t>散热</w:t>
      </w:r>
      <w:r>
        <w:rPr>
          <w:rFonts w:ascii="宋体" w:hAnsi="宋体" w:eastAsia="宋体"/>
          <w:sz w:val="24"/>
        </w:rPr>
        <w:t>是影响 HMD 稳定性的关键因素。VR 头显内部的处理器和显示屏产生大量热量，如果不及时散出，会导致设备降频、画面卡顿甚至烫伤用户。一体机 VR 的散热设计尤其具有挑战性——在封闭的头部佩戴设备中，散热风扇的噪声和风量需要精细平衡。Meta Quest 3 采用了主动散热风扇配合被动散热鳍片的设计，在可接受的噪声水平下保持了设备的热稳定性。</w:t>
      </w:r>
    </w:p>
    <w:p/>
    <w:p>
      <w:pPr>
        <w:ind w:firstLine="482"/>
      </w:pPr>
      <w:r>
        <w:rPr>
          <w:rFonts w:ascii="宋体" w:hAnsi="宋体" w:eastAsia="宋体"/>
          <w:b/>
          <w:sz w:val="24"/>
        </w:rPr>
        <w:t>线缆管理</w:t>
      </w:r>
      <w:r>
        <w:rPr>
          <w:rFonts w:ascii="宋体" w:hAnsi="宋体" w:eastAsia="宋体"/>
          <w:sz w:val="24"/>
        </w:rPr>
        <w:t>主要影响 PC VR 设备。连接头显与 PC 的线缆会限制用户活动范围并造成绊倒风险。无线串流方案（如 Meta Air Link、Virtual Desktop）通过 Wi-Fi 6 网络替代物理线缆，是解决线缆管理问题的有效途径，但需要稳定的网络环境和低延迟的编码传输技术。</w:t>
      </w:r>
    </w:p>
    <w:p/>
    <w:p>
      <w:pPr>
        <w:spacing w:before="60" w:after="60"/>
        <w:ind w:left="567"/>
      </w:pPr>
      <w:r>
        <w:rPr>
          <w:rFonts w:ascii="楷体" w:hAnsi="楷体" w:eastAsia="楷体"/>
          <w:i/>
          <w:sz w:val="22"/>
        </w:rPr>
        <w:t>**知识卡片：HMD 关键参数解读**</w:t>
      </w:r>
    </w:p>
    <w:p>
      <w:pPr>
        <w:spacing w:before="60" w:after="60"/>
        <w:ind w:left="567"/>
      </w:pPr>
      <w:r>
        <w:rPr>
          <w:rFonts w:ascii="楷体" w:hAnsi="楷体" w:eastAsia="楷体"/>
          <w:i/>
          <w:sz w:val="22"/>
        </w:rPr>
        <w:t>- **PPD（Pixels Per Degree）**：角分辨率，每度视角内的像素数。人眼极限约 60 PPD，主流 VR 约 15-20 PPD。</w:t>
      </w:r>
    </w:p>
    <w:p>
      <w:pPr>
        <w:spacing w:before="60" w:after="60"/>
        <w:ind w:left="567"/>
      </w:pPr>
      <w:r>
        <w:rPr>
          <w:rFonts w:ascii="楷体" w:hAnsi="楷体" w:eastAsia="楷体"/>
          <w:i/>
          <w:sz w:val="22"/>
        </w:rPr>
        <w:t>- **IPD（Interpupillary Distance）**：瞳孔间距，成人通常 54-74mm。HMD 需支持 IPD 调节以适配不同用户。</w:t>
      </w:r>
    </w:p>
    <w:p>
      <w:pPr>
        <w:spacing w:before="60" w:after="60"/>
        <w:ind w:left="567"/>
      </w:pPr>
      <w:r>
        <w:rPr>
          <w:rFonts w:ascii="楷体" w:hAnsi="楷体" w:eastAsia="楷体"/>
          <w:i/>
          <w:sz w:val="22"/>
        </w:rPr>
        <w:t>- **Persistence（持久度）**：每帧画面显示时间。低持久度可减少运动模糊，但需要更高亮度补偿。</w:t>
      </w:r>
    </w:p>
    <w:p>
      <w:pPr>
        <w:spacing w:before="60" w:after="60"/>
        <w:ind w:left="567"/>
      </w:pPr>
      <w:r>
        <w:rPr>
          <w:rFonts w:ascii="楷体" w:hAnsi="楷体" w:eastAsia="楷体"/>
          <w:i/>
          <w:sz w:val="22"/>
        </w:rPr>
        <w:t>- **MTP Latency（Motion-to-Photon Latency）**：从头部运动到画面更新的延迟。低于 20ms 可避免明显眩晕。</w:t>
      </w:r>
    </w:p>
    <w:p/>
    <w:p>
      <w:pPr>
        <w:pStyle w:val="Heading2"/>
      </w:pPr>
      <w:r>
        <w:t>2.2 追踪技术体系</w:t>
      </w:r>
    </w:p>
    <w:p/>
    <w:p>
      <w:pPr>
        <w:ind w:firstLine="482"/>
      </w:pPr>
      <w:r>
        <w:rPr>
          <w:rFonts w:ascii="宋体" w:hAnsi="宋体" w:eastAsia="宋体"/>
          <w:sz w:val="24"/>
        </w:rPr>
        <w:t>追踪技术是 VR/AR 系统实现自然交互的基石——只有精确地知道用户头部和手部的位置与朝向，系统才能正确地更新渲染视角和交互反馈。</w:t>
      </w:r>
    </w:p>
    <w:p/>
    <w:p>
      <w:pPr>
        <w:pStyle w:val="Heading3"/>
      </w:pPr>
      <w:r>
        <w:t>2.2.1 内向外追踪与外向内追踪</w:t>
      </w:r>
    </w:p>
    <w:p/>
    <w:p>
      <w:pPr>
        <w:ind w:firstLine="482"/>
      </w:pPr>
      <w:r>
        <w:rPr>
          <w:rFonts w:ascii="宋体" w:hAnsi="宋体" w:eastAsia="宋体"/>
          <w:b/>
          <w:sz w:val="24"/>
        </w:rPr>
        <w:t>外向内追踪（Outside-In Tracking）</w:t>
      </w:r>
      <w:r>
        <w:rPr>
          <w:rFonts w:ascii="宋体" w:hAnsi="宋体" w:eastAsia="宋体"/>
          <w:sz w:val="24"/>
        </w:rPr>
        <w:t xml:space="preserve"> 是第一代消费级 VR 头显（HTC Vive、Oculus Rift CV1）采用的追踪方案。该方案需要在房间内安装外部基站（Lighthouse基站或红外摄像头），基站发射信号或拍摄头显上的标记点，通过外部计算确定头显的位置和朝向。外向内追踪的优点是精度高、延迟低，适合需要精确空间定位的场景（如大范围房间尺度 VR）。缺点是安装复杂、便携性差，且存在追踪盲区（当头显被遮挡时追踪丢失）[5]。</w:t>
      </w:r>
    </w:p>
    <w:p/>
    <w:p>
      <w:pPr>
        <w:ind w:firstLine="482"/>
      </w:pPr>
      <w:r>
        <w:rPr>
          <w:rFonts w:ascii="宋体" w:hAnsi="宋体" w:eastAsia="宋体"/>
          <w:b/>
          <w:sz w:val="24"/>
        </w:rPr>
        <w:t>内向外追踪（Inside-Out Tracking）</w:t>
      </w:r>
      <w:r>
        <w:rPr>
          <w:rFonts w:ascii="宋体" w:hAnsi="宋体" w:eastAsia="宋体"/>
          <w:sz w:val="24"/>
        </w:rPr>
        <w:t xml:space="preserve"> 是当前主流 VR/AR 头显普遍采用的方案。该方案在头显上安装摄像头和传感器，通过观察外部环境的变化来反推头显自身的运动。内向外追踪无需安装外部基站，开箱即用，便携性极佳。Meta Quest 系列从第一代起就采用了基于 SLAM 的内向外追踪方案，这一技术选择极大降低了 VR 的使用门槛，是一体机 VR 成功的关键因素之一[6]。</w:t>
      </w:r>
    </w:p>
    <w:p/>
    <w:p>
      <w:pPr>
        <w:pStyle w:val="Heading3"/>
      </w:pPr>
      <w:r>
        <w:t>2.2.2 光学追踪</w:t>
      </w:r>
    </w:p>
    <w:p/>
    <w:p>
      <w:pPr>
        <w:ind w:firstLine="482"/>
      </w:pPr>
      <w:r>
        <w:rPr>
          <w:rFonts w:ascii="宋体" w:hAnsi="宋体" w:eastAsia="宋体"/>
          <w:sz w:val="24"/>
        </w:rPr>
        <w:t>光学追踪是 VR/AR 系统中最常用的追踪方式，通过分析摄像头捕获的图像来确定位置。光学追踪可分为基于标记（Marker-based）和无标记（Markerless）两种方式。</w:t>
      </w:r>
    </w:p>
    <w:p/>
    <w:p>
      <w:pPr>
        <w:ind w:firstLine="482"/>
      </w:pPr>
      <w:r>
        <w:rPr>
          <w:rFonts w:ascii="宋体" w:hAnsi="宋体" w:eastAsia="宋体"/>
          <w:sz w:val="24"/>
        </w:rPr>
        <w:t>基于标记的追踪使用预先设计的图案（如 ArUco 标记、二维码）作为追踪目标。摄像头检测到标记后，根据标记在图像中的大小和形变计算其三维位置和朝向。这种方式精度高、计算量小，广泛用于 AR 应用中的图像识别触发场景——例如 AR 文化导览应用中，用户扫描景区中的标记图片即可触发虚拟内容叠加[7]。</w:t>
      </w:r>
    </w:p>
    <w:p/>
    <w:p>
      <w:pPr>
        <w:ind w:firstLine="482"/>
      </w:pPr>
      <w:r>
        <w:rPr>
          <w:rFonts w:ascii="宋体" w:hAnsi="宋体" w:eastAsia="宋体"/>
          <w:sz w:val="24"/>
        </w:rPr>
        <w:t>无标记追踪不依赖预设标记，而是通过分析环境中的自然特征点（如角点、边缘、纹理）进行定位。SLAM（Simultaneous Localization and Mapping，同步定位与建图）是无标记追踪的核心算法。SLAM 通过摄像头实时捕获环境图像，提取特征点并跟踪其运动，同时构建环境地图并计算设备在地图中的位置。VR 头显利用 SLAM 实现 6DoF 头部追踪，AR 设备利用 SLAM 进行环境理解和虚拟物体放置[8]。</w:t>
      </w:r>
    </w:p>
    <w:p/>
    <w:p>
      <w:pPr>
        <w:ind w:firstLine="482"/>
      </w:pPr>
      <w:r>
        <w:rPr>
          <w:rFonts w:ascii="宋体" w:hAnsi="宋体" w:eastAsia="宋体"/>
          <w:sz w:val="24"/>
        </w:rPr>
        <w:t>SLAM 算法的核心流程包括五个步骤：（1）传感器数据采集——通过单目或双目摄像头获取环境图像序列，同时读取 IMU 数据；（2）特征提取——在每帧图像中检测角点、边缘等特征点，如 ORB（Oriented FAST and Rotated BRIEF）特征；（3）特征匹配——将当前帧的特征点与前一帧或关键帧进行匹配，建立特征对应关系；（4）位姿估计——利用对极几何或 PnP（Perspective-n-Point）算法，根据匹配的特征点计算相机在两帧之间的运动；（5）地图构建与优化——将所有关键帧的特征点三角化为三维地图点，通过局部和全局光束平差（Bundle Adjustment）优化地图点和位姿的精度。</w:t>
      </w:r>
    </w:p>
    <w:p/>
    <w:p>
      <w:pPr>
        <w:ind w:firstLine="482"/>
      </w:pPr>
      <w:r>
        <w:rPr>
          <w:rFonts w:ascii="宋体" w:hAnsi="宋体" w:eastAsia="宋体"/>
          <w:sz w:val="24"/>
        </w:rPr>
        <w:t>在 VR/AR 头显中，SLAM 算法需要在移动端处理器上实时运行，对算法效率要求极高。主流方案采用关键帧策略——不是每帧都进行完整的优化，而是选择具有足够运动视差的关键帧进行全局优化，非关键帧仅进行快速的位姿跟踪。此外，IMU 数据以高频（通常 1000Hz）提供运动预测，在视觉跟踪短暂失败时维持位姿估计的连续性，实现视觉-惯性紧耦合的 SLAM 系统。</w:t>
      </w:r>
    </w:p>
    <w:p/>
    <w:p>
      <w:pPr>
        <w:ind w:firstLine="482"/>
      </w:pPr>
      <w:r>
        <w:rPr>
          <w:rFonts w:ascii="宋体" w:hAnsi="宋体" w:eastAsia="宋体"/>
          <w:sz w:val="24"/>
        </w:rPr>
        <w:t>在文旅 AR 应用中，SLAM 的环境理解能力还可用于构建场景的平面检测和网格重建。例如，当用户在景区中启动 AR 应用时，SLAM 自动识别地面平面，使虚拟角色能够"站立"在真实地面上；识别建筑墙面，使虚拟信息板能够"贴合"在真实建筑表面。这种虚实空间对齐能力是 AR 体验的核心技术基础。</w:t>
      </w:r>
    </w:p>
    <w:p/>
    <w:p>
      <w:pPr>
        <w:pStyle w:val="Heading3"/>
      </w:pPr>
      <w:r>
        <w:t>2.2.3 惯性追踪与视觉-惯性混合追踪</w:t>
      </w:r>
    </w:p>
    <w:p/>
    <w:p>
      <w:pPr>
        <w:ind w:firstLine="482"/>
      </w:pPr>
      <w:r>
        <w:rPr>
          <w:rFonts w:ascii="宋体" w:hAnsi="宋体" w:eastAsia="宋体"/>
          <w:sz w:val="24"/>
        </w:rPr>
        <w:t>惯性追踪使用 IMU（Inertial Measurement Unit）传感器——包含加速度计、陀螺仪和磁力计——来测量设备的线加速度、角速度和磁场方向。通过对加速度和角速度进行积分，可以推算出设备的位置和朝向变化。惯性追踪的优点是响应速度极快（亚毫秒级延迟）、不受光照条件限制；缺点是存在累积漂移——由于积分误差随时间累积，长时间使用后位置估算会严重偏离实际位置[1]。</w:t>
      </w:r>
    </w:p>
    <w:p/>
    <w:p>
      <w:pPr>
        <w:ind w:firstLine="482"/>
      </w:pPr>
      <w:r>
        <w:rPr>
          <w:rFonts w:ascii="宋体" w:hAnsi="宋体" w:eastAsia="宋体"/>
          <w:sz w:val="24"/>
        </w:rPr>
        <w:t>视觉-惯性混合追踪（Visual-Inertial Odometry，VIO）结合了光学追踪和惯性追踪的优势，是当前 VR/AR 头显的主流追踪方案。VIO 使用 IMU 提供高频、低延迟的运动估计，同时使用摄像头图像进行周期性校正以消除累积漂移。卡尔曼滤波是 VIO 中最常用的数据融合算法，它根据 IMU 和视觉测量各自的置信度动态调整权重，输出最优的位置和朝向估计[8]。</w:t>
      </w:r>
    </w:p>
    <w:p/>
    <w:p>
      <w:pPr>
        <w:ind w:firstLine="482"/>
      </w:pPr>
      <w:r>
        <w:rPr>
          <w:rFonts w:ascii="宋体" w:hAnsi="宋体" w:eastAsia="宋体"/>
          <w:sz w:val="24"/>
        </w:rPr>
        <w:t>Mittal 等人研究了在 VR 环境中设计无限行走路径的技术方案，指出当物理空间有限时，可以通过重定向行走（Redirected Walking）技术利用人类感知阈值，在有限空间中创造无限虚拟行走的体验。这一技术对追踪系统提出了更高的精度和覆盖范围要求[9]。</w:t>
      </w:r>
    </w:p>
    <w:p/>
    <w:p>
      <w:pPr>
        <w:pStyle w:val="Heading3"/>
      </w:pPr>
      <w:r>
        <w:t>2.2.4 6DoF 追踪原理与实现</w:t>
      </w:r>
    </w:p>
    <w:p/>
    <w:p>
      <w:pPr>
        <w:ind w:firstLine="482"/>
      </w:pPr>
      <w:r>
        <w:rPr>
          <w:rFonts w:ascii="宋体" w:hAnsi="宋体" w:eastAsia="宋体"/>
          <w:sz w:val="24"/>
        </w:rPr>
        <w:t>自由度（Degrees of Freedom，DoF）描述了物体在三维空间中运动的维度。3DoF 追踪仅包含三个旋转自由度（俯仰 Pitch、偏航 Yaw、翻滚 Roll），用户可以转头看周围但不能在空间中移动。6DoF 追踪在三个旋转自由度基础上增加了三个平移自由度（前后、左右、上下），用户不仅可以转头，还可以走动、下蹲、探身[5]。</w:t>
      </w:r>
    </w:p>
    <w:p/>
    <w:p>
      <w:pPr>
        <w:ind w:firstLine="482"/>
      </w:pPr>
      <w:r>
        <w:rPr>
          <w:rFonts w:ascii="宋体" w:hAnsi="宋体" w:eastAsia="宋体"/>
          <w:sz w:val="24"/>
        </w:rPr>
        <w:t>3DoF 设备（如早期的手机 VR 盒子）只能提供"站在原地转头"的体验，沉浸感有限。6DoF 设备（如 Meta Quest 系列）允许用户在物理空间中自由走动，虚拟视角随身体移动而变化，提供了真正的"空间存在感"。6DoF 追踪的实现依赖 SLAM 或外部基站，技术复杂度远高于 3DoF。</w:t>
      </w:r>
    </w:p>
    <w:p/>
    <w:p>
      <w:pPr>
        <w:ind w:firstLine="482"/>
      </w:pPr>
      <w:r>
        <w:rPr>
          <w:rFonts w:ascii="宋体" w:hAnsi="宋体" w:eastAsia="宋体"/>
          <w:sz w:val="24"/>
        </w:rPr>
        <w:t>在 VR/AR 实训项目中，6DoF 追踪是实现自然交互的前提条件。例如，在 VR 全景景区漫游项目中，用户需要走到不同的观察点查看景点详情；在 AR 文化导览应用中，用户需要围绕 AR 标记从不同角度观察虚拟 3D 模型——这些交互都需要 6DoF 追踪的支持。</w:t>
      </w:r>
    </w:p>
    <w:p/>
    <w:p>
      <w:pPr>
        <w:ind w:firstLine="482"/>
      </w:pPr>
      <w:r>
        <w:rPr>
          <w:rFonts w:ascii="宋体" w:hAnsi="宋体" w:eastAsia="宋体"/>
          <w:sz w:val="24"/>
        </w:rPr>
        <w:t>在 6DoF 追踪的工程实现中，一个关键概念是"安全边界"（Guardian Boundary）或"安全区域"（Safety Boundary）。由于用户在佩戴 VR 头显时无法看到真实环境，如果不设置边界提醒，用户可能撞到墙壁或家具。Meta Quest 系统通过 SLAM 技术让用户在进入 VR 前先绘制安全区域边界——用户用手柄在物理空间中描绘边界线，系统在 VR 体验中当用户接近边界时显示虚拟墙壁或网格提示，防止碰撞事故。安全边界系统的可靠性直接取决于 SLAM 追踪的精度和稳定性，这也是内向外追踪方案在实际使用中面临的主要安全挑战。</w:t>
      </w:r>
    </w:p>
    <w:p/>
    <w:p>
      <w:pPr>
        <w:ind w:firstLine="482"/>
      </w:pPr>
      <w:r>
        <w:rPr>
          <w:rFonts w:ascii="宋体" w:hAnsi="宋体" w:eastAsia="宋体"/>
          <w:sz w:val="24"/>
        </w:rPr>
        <w:t>6DoF 追踪的另一个工程挑战是多用户环境下的追踪干扰。当多个佩戴 VR 头显的用户在同一物理空间中活动时，一个用户的运动可能进入另一个头显摄像头的视野，导致特征匹配错误和追踪漂移。这一问题在多人 VR 协同场景（如第12章的文旅元宇宙项目）中尤为突出。解决方案包括：优化 SLAM 算法对动态物体的鲁棒性、利用 IMU 数据进行异常检测、或通过外部定位系统（如 UWB 超宽带定位）提供绝对位置参考。</w:t>
      </w:r>
    </w:p>
    <w:p/>
    <w:p>
      <w:pPr>
        <w:ind w:firstLine="482"/>
      </w:pPr>
      <w:r>
        <w:rPr>
          <w:rFonts w:ascii="宋体" w:hAnsi="宋体" w:eastAsia="宋体"/>
          <w:sz w:val="24"/>
        </w:rPr>
        <w:t>Marougkas 等人提出了一种个性化全沉浸式 VR 学习环境的框架，其中强调了追踪系统对学习体验的关键影响——追踪不稳定导致的画面跳跃和位置漂移不仅影响沉浸感，还会直接干扰学习任务的执行[17]。这一发现进一步印证了在 VR 实训教学中，追踪系统的稳定性和精度是硬件选型的核心指标。</w:t>
      </w:r>
    </w:p>
    <w:p/>
    <w:p>
      <w:pPr>
        <w:spacing w:before="60" w:after="60"/>
        <w:ind w:left="567"/>
      </w:pPr>
      <w:r>
        <w:rPr>
          <w:rFonts w:ascii="楷体" w:hAnsi="楷体" w:eastAsia="楷体"/>
          <w:i/>
          <w:sz w:val="22"/>
        </w:rPr>
        <w:t>**知识卡片：6DoF vs 3DoF**</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&gt;</w:t>
            </w:r>
          </w:p>
        </w:tc>
        <w:tc>
          <w:tcPr>
            <w:tcW w:type="dxa" w:w="2078"/>
            <w:shd w:fill="D9E2F3" w:val="clear"/>
          </w:tcPr>
          <w:p>
            <w:pPr>
              <w:jc w:val="center"/>
            </w:pPr>
            <w:r/>
            <w:r>
              <w:rPr>
                <w:rFonts w:ascii="黑体" w:hAnsi="黑体" w:eastAsia="黑体"/>
                <w:b/>
                <w:sz w:val="20"/>
              </w:rPr>
              <w:t>特征</w:t>
            </w:r>
          </w:p>
        </w:tc>
        <w:tc>
          <w:tcPr>
            <w:tcW w:type="dxa" w:w="2078"/>
            <w:shd w:fill="D9E2F3" w:val="clear"/>
          </w:tcPr>
          <w:p>
            <w:pPr>
              <w:jc w:val="center"/>
            </w:pPr>
            <w:r/>
            <w:r>
              <w:rPr>
                <w:rFonts w:ascii="黑体" w:hAnsi="黑体" w:eastAsia="黑体"/>
                <w:b/>
                <w:sz w:val="20"/>
              </w:rPr>
              <w:t>3DoF</w:t>
            </w:r>
          </w:p>
        </w:tc>
        <w:tc>
          <w:tcPr>
            <w:tcW w:type="dxa" w:w="2078"/>
            <w:shd w:fill="D9E2F3" w:val="clear"/>
          </w:tcPr>
          <w:p>
            <w:pPr>
              <w:jc w:val="center"/>
            </w:pPr>
            <w:r/>
            <w:r>
              <w:rPr>
                <w:rFonts w:ascii="黑体" w:hAnsi="黑体" w:eastAsia="黑体"/>
                <w:b/>
                <w:sz w:val="20"/>
              </w:rPr>
              <w:t>6DoF</w:t>
            </w:r>
          </w:p>
        </w:tc>
      </w:tr>
      <w:tr>
        <w:tc>
          <w:tcPr>
            <w:tcW w:type="dxa" w:w="2078"/>
          </w:tcPr>
          <w:p>
            <w:r/>
            <w:r>
              <w:rPr>
                <w:rFonts w:ascii="宋体" w:hAnsi="宋体" w:eastAsia="宋体"/>
                <w:sz w:val="20"/>
              </w:rPr>
              <w:t>&gt;</w:t>
            </w:r>
          </w:p>
        </w:tc>
        <w:tc>
          <w:tcPr>
            <w:tcW w:type="dxa" w:w="2078"/>
          </w:tcPr>
          <w:p>
            <w:r/>
            <w:r>
              <w:rPr>
                <w:rFonts w:ascii="宋体" w:hAnsi="宋体" w:eastAsia="宋体"/>
                <w:sz w:val="20"/>
              </w:rPr>
              <w:t>旋转追踪</w:t>
            </w:r>
          </w:p>
        </w:tc>
        <w:tc>
          <w:tcPr>
            <w:tcW w:type="dxa" w:w="2078"/>
          </w:tcPr>
          <w:p>
            <w:r/>
            <w:r>
              <w:rPr>
                <w:rFonts w:ascii="宋体" w:hAnsi="宋体" w:eastAsia="宋体"/>
                <w:sz w:val="20"/>
              </w:rPr>
              <w:t>支持</w:t>
            </w:r>
          </w:p>
        </w:tc>
        <w:tc>
          <w:tcPr>
            <w:tcW w:type="dxa" w:w="2078"/>
          </w:tcPr>
          <w:p>
            <w:r/>
            <w:r>
              <w:rPr>
                <w:rFonts w:ascii="宋体" w:hAnsi="宋体" w:eastAsia="宋体"/>
                <w:sz w:val="20"/>
              </w:rPr>
              <w:t>支持</w:t>
            </w:r>
          </w:p>
        </w:tc>
      </w:tr>
      <w:tr>
        <w:tc>
          <w:tcPr>
            <w:tcW w:type="dxa" w:w="2078"/>
          </w:tcPr>
          <w:p>
            <w:r/>
            <w:r>
              <w:rPr>
                <w:rFonts w:ascii="宋体" w:hAnsi="宋体" w:eastAsia="宋体"/>
                <w:sz w:val="20"/>
              </w:rPr>
              <w:t>&gt;</w:t>
            </w:r>
          </w:p>
        </w:tc>
        <w:tc>
          <w:tcPr>
            <w:tcW w:type="dxa" w:w="2078"/>
          </w:tcPr>
          <w:p>
            <w:r/>
            <w:r>
              <w:rPr>
                <w:rFonts w:ascii="宋体" w:hAnsi="宋体" w:eastAsia="宋体"/>
                <w:sz w:val="20"/>
              </w:rPr>
              <w:t>平移追踪</w:t>
            </w:r>
          </w:p>
        </w:tc>
        <w:tc>
          <w:tcPr>
            <w:tcW w:type="dxa" w:w="2078"/>
          </w:tcPr>
          <w:p>
            <w:r/>
            <w:r>
              <w:rPr>
                <w:rFonts w:ascii="宋体" w:hAnsi="宋体" w:eastAsia="宋体"/>
                <w:sz w:val="20"/>
              </w:rPr>
              <w:t>不支持</w:t>
            </w:r>
          </w:p>
        </w:tc>
        <w:tc>
          <w:tcPr>
            <w:tcW w:type="dxa" w:w="2078"/>
          </w:tcPr>
          <w:p>
            <w:r/>
            <w:r>
              <w:rPr>
                <w:rFonts w:ascii="宋体" w:hAnsi="宋体" w:eastAsia="宋体"/>
                <w:sz w:val="20"/>
              </w:rPr>
              <w:t>支持</w:t>
            </w:r>
          </w:p>
        </w:tc>
      </w:tr>
      <w:tr>
        <w:tc>
          <w:tcPr>
            <w:tcW w:type="dxa" w:w="2078"/>
          </w:tcPr>
          <w:p>
            <w:r/>
            <w:r>
              <w:rPr>
                <w:rFonts w:ascii="宋体" w:hAnsi="宋体" w:eastAsia="宋体"/>
                <w:sz w:val="20"/>
              </w:rPr>
              <w:t>&gt;</w:t>
            </w:r>
          </w:p>
        </w:tc>
        <w:tc>
          <w:tcPr>
            <w:tcW w:type="dxa" w:w="2078"/>
          </w:tcPr>
          <w:p>
            <w:r/>
            <w:r>
              <w:rPr>
                <w:rFonts w:ascii="宋体" w:hAnsi="宋体" w:eastAsia="宋体"/>
                <w:sz w:val="20"/>
              </w:rPr>
              <w:t>用户行为</w:t>
            </w:r>
          </w:p>
        </w:tc>
        <w:tc>
          <w:tcPr>
            <w:tcW w:type="dxa" w:w="2078"/>
          </w:tcPr>
          <w:p>
            <w:r/>
            <w:r>
              <w:rPr>
                <w:rFonts w:ascii="宋体" w:hAnsi="宋体" w:eastAsia="宋体"/>
                <w:sz w:val="20"/>
              </w:rPr>
              <w:t>站在原地转头</w:t>
            </w:r>
          </w:p>
        </w:tc>
        <w:tc>
          <w:tcPr>
            <w:tcW w:type="dxa" w:w="2078"/>
          </w:tcPr>
          <w:p>
            <w:r/>
            <w:r>
              <w:rPr>
                <w:rFonts w:ascii="宋体" w:hAnsi="宋体" w:eastAsia="宋体"/>
                <w:sz w:val="20"/>
              </w:rPr>
              <w:t>可自由走动</w:t>
            </w:r>
          </w:p>
        </w:tc>
      </w:tr>
      <w:tr>
        <w:tc>
          <w:tcPr>
            <w:tcW w:type="dxa" w:w="2078"/>
          </w:tcPr>
          <w:p>
            <w:r/>
            <w:r>
              <w:rPr>
                <w:rFonts w:ascii="宋体" w:hAnsi="宋体" w:eastAsia="宋体"/>
                <w:sz w:val="20"/>
              </w:rPr>
              <w:t>&gt;</w:t>
            </w:r>
          </w:p>
        </w:tc>
        <w:tc>
          <w:tcPr>
            <w:tcW w:type="dxa" w:w="2078"/>
          </w:tcPr>
          <w:p>
            <w:r/>
            <w:r>
              <w:rPr>
                <w:rFonts w:ascii="宋体" w:hAnsi="宋体" w:eastAsia="宋体"/>
                <w:sz w:val="20"/>
              </w:rPr>
              <w:t>空间存在感</w:t>
            </w:r>
          </w:p>
        </w:tc>
        <w:tc>
          <w:tcPr>
            <w:tcW w:type="dxa" w:w="2078"/>
          </w:tcPr>
          <w:p>
            <w:r/>
            <w:r>
              <w:rPr>
                <w:rFonts w:ascii="宋体" w:hAnsi="宋体" w:eastAsia="宋体"/>
                <w:sz w:val="20"/>
              </w:rPr>
              <w:t>弱</w:t>
            </w:r>
          </w:p>
        </w:tc>
        <w:tc>
          <w:tcPr>
            <w:tcW w:type="dxa" w:w="2078"/>
          </w:tcPr>
          <w:p>
            <w:r/>
            <w:r>
              <w:rPr>
                <w:rFonts w:ascii="宋体" w:hAnsi="宋体" w:eastAsia="宋体"/>
                <w:sz w:val="20"/>
              </w:rPr>
              <w:t>强</w:t>
            </w:r>
          </w:p>
        </w:tc>
      </w:tr>
      <w:tr>
        <w:tc>
          <w:tcPr>
            <w:tcW w:type="dxa" w:w="2078"/>
          </w:tcPr>
          <w:p>
            <w:r/>
            <w:r>
              <w:rPr>
                <w:rFonts w:ascii="宋体" w:hAnsi="宋体" w:eastAsia="宋体"/>
                <w:sz w:val="20"/>
              </w:rPr>
              <w:t>&gt;</w:t>
            </w:r>
          </w:p>
        </w:tc>
        <w:tc>
          <w:tcPr>
            <w:tcW w:type="dxa" w:w="2078"/>
          </w:tcPr>
          <w:p>
            <w:r/>
            <w:r>
              <w:rPr>
                <w:rFonts w:ascii="宋体" w:hAnsi="宋体" w:eastAsia="宋体"/>
                <w:sz w:val="20"/>
              </w:rPr>
              <w:t>代表设备</w:t>
            </w:r>
          </w:p>
        </w:tc>
        <w:tc>
          <w:tcPr>
            <w:tcW w:type="dxa" w:w="2078"/>
          </w:tcPr>
          <w:p>
            <w:r/>
            <w:r>
              <w:rPr>
                <w:rFonts w:ascii="宋体" w:hAnsi="宋体" w:eastAsia="宋体"/>
                <w:sz w:val="20"/>
              </w:rPr>
              <w:t>手机VR盒子</w:t>
            </w:r>
          </w:p>
        </w:tc>
        <w:tc>
          <w:tcPr>
            <w:tcW w:type="dxa" w:w="2078"/>
          </w:tcPr>
          <w:p>
            <w:r/>
            <w:r>
              <w:rPr>
                <w:rFonts w:ascii="宋体" w:hAnsi="宋体" w:eastAsia="宋体"/>
                <w:sz w:val="20"/>
              </w:rPr>
              <w:t>Meta Quest 3</w:t>
            </w:r>
          </w:p>
        </w:tc>
      </w:tr>
      <w:tr>
        <w:tc>
          <w:tcPr>
            <w:tcW w:type="dxa" w:w="2078"/>
          </w:tcPr>
          <w:p>
            <w:r/>
            <w:r>
              <w:rPr>
                <w:rFonts w:ascii="宋体" w:hAnsi="宋体" w:eastAsia="宋体"/>
                <w:sz w:val="20"/>
              </w:rPr>
              <w:t>&gt;</w:t>
            </w:r>
          </w:p>
        </w:tc>
        <w:tc>
          <w:tcPr>
            <w:tcW w:type="dxa" w:w="2078"/>
          </w:tcPr>
          <w:p>
            <w:r/>
            <w:r>
              <w:rPr>
                <w:rFonts w:ascii="宋体" w:hAnsi="宋体" w:eastAsia="宋体"/>
                <w:sz w:val="20"/>
              </w:rPr>
              <w:t>适用场景</w:t>
            </w:r>
          </w:p>
        </w:tc>
        <w:tc>
          <w:tcPr>
            <w:tcW w:type="dxa" w:w="2078"/>
          </w:tcPr>
          <w:p>
            <w:r/>
            <w:r>
              <w:rPr>
                <w:rFonts w:ascii="宋体" w:hAnsi="宋体" w:eastAsia="宋体"/>
                <w:sz w:val="20"/>
              </w:rPr>
              <w:t>简单全景查看</w:t>
            </w:r>
          </w:p>
        </w:tc>
        <w:tc>
          <w:tcPr>
            <w:tcW w:type="dxa" w:w="2078"/>
          </w:tcPr>
          <w:p>
            <w:r/>
            <w:r>
              <w:rPr>
                <w:rFonts w:ascii="宋体" w:hAnsi="宋体" w:eastAsia="宋体"/>
                <w:sz w:val="20"/>
              </w:rPr>
              <w:t>沉浸式交互体验</w:t>
            </w:r>
          </w:p>
        </w:tc>
      </w:tr>
    </w:tbl>
    <w:p/>
    <w:p/>
    <w:p>
      <w:pPr>
        <w:pStyle w:val="Heading2"/>
      </w:pPr>
      <w:r>
        <w:t>2.3 交互输入设备</w:t>
      </w:r>
    </w:p>
    <w:p/>
    <w:p>
      <w:pPr>
        <w:pStyle w:val="Heading3"/>
      </w:pPr>
      <w:r>
        <w:t>2.3.1 手柄控制器</w:t>
      </w:r>
    </w:p>
    <w:p/>
    <w:p>
      <w:pPr>
        <w:ind w:firstLine="482"/>
      </w:pPr>
      <w:r>
        <w:rPr>
          <w:rFonts w:ascii="宋体" w:hAnsi="宋体" w:eastAsia="宋体"/>
          <w:sz w:val="24"/>
        </w:rPr>
        <w:t>手柄控制器是当前 VR 系统最主要的交互输入设备。VR 手柄通常配备扳机键、握持键、摇杆、面部按钮和触控板等多种输入组件，同时内置 IMU 实现姿态追踪。手柄追踪通过头显上的摄像头或外部基站实现 6DoF 空间定位，使用户能够在虚拟空间中看到自己双手的位置和动作[5]。</w:t>
      </w:r>
    </w:p>
    <w:p/>
    <w:p>
      <w:pPr>
        <w:ind w:firstLine="482"/>
      </w:pPr>
      <w:r>
        <w:rPr>
          <w:rFonts w:ascii="宋体" w:hAnsi="宋体" w:eastAsia="宋体"/>
          <w:sz w:val="24"/>
        </w:rPr>
        <w:t>Meta Touch 控制器的设计理念是"自然持握"——控制器环形包裹手背，使用户在松开手指时控制器仍然贴合手掌，模拟自然抓取物体的感觉。HTC Vive 控制器采用圆环形追踪环，增大了追踪特征的可见面积，提高了追踪稳定性。不同厂商的手柄设计理念反映了不同的交互哲学，但都遵循"低认知负荷、高响应速度"的基本原则。</w:t>
      </w:r>
    </w:p>
    <w:p/>
    <w:p>
      <w:pPr>
        <w:pStyle w:val="Heading3"/>
      </w:pPr>
      <w:r>
        <w:t>2.3.2 手势识别与手部追踪</w:t>
      </w:r>
    </w:p>
    <w:p/>
    <w:p>
      <w:pPr>
        <w:ind w:firstLine="482"/>
      </w:pPr>
      <w:r>
        <w:rPr>
          <w:rFonts w:ascii="宋体" w:hAnsi="宋体" w:eastAsia="宋体"/>
          <w:sz w:val="24"/>
        </w:rPr>
        <w:t>手势识别技术允许用户直接使用裸手与 VR/AR 环境进行交互，无需持有任何物理设备。手部追踪通过头显摄像头捕获用户手部图像，利用深度学习算法识别手部骨骼关节的 21 个关键点，重建手部三维姿态[10]。</w:t>
      </w:r>
    </w:p>
    <w:p/>
    <w:p>
      <w:pPr>
        <w:ind w:firstLine="482"/>
      </w:pPr>
      <w:r>
        <w:rPr>
          <w:rFonts w:ascii="宋体" w:hAnsi="宋体" w:eastAsia="宋体"/>
          <w:sz w:val="24"/>
        </w:rPr>
        <w:t>Meta Hand Tracking 2.0 是当前消费级 VR 中最成熟的手部追踪方案，能够实现指尖捏合（Pinch）、手掌抓取（Grab）、手掌平移（Pan）等基础手势。手势交互的优势在于直观性和低设备依赖——用户无需拿起手柄即可操作虚拟界面。缺点是精度有限，难以实现精细操作（如打字、绘画），且在光线不足或手部被遮挡时追踪不稳定。</w:t>
      </w:r>
    </w:p>
    <w:p/>
    <w:p>
      <w:pPr>
        <w:ind w:firstLine="482"/>
      </w:pPr>
      <w:r>
        <w:rPr>
          <w:rFonts w:ascii="宋体" w:hAnsi="宋体" w:eastAsia="宋体"/>
          <w:sz w:val="24"/>
        </w:rPr>
        <w:t>在文旅 AR 应用中，手势交互特别适合"指向-选择"类型的操作——用户指向景区中的建筑，AR 系统识别指向方向后显示相关信息。这种交互方式比手柄更加自然，也更符合文旅场景中"不持设备"的使用习惯。</w:t>
      </w:r>
    </w:p>
    <w:p/>
    <w:p>
      <w:pPr>
        <w:ind w:firstLine="482"/>
      </w:pPr>
      <w:r>
        <w:rPr>
          <w:rFonts w:ascii="宋体" w:hAnsi="宋体" w:eastAsia="宋体"/>
          <w:sz w:val="24"/>
        </w:rPr>
        <w:t>从技术实现角度，手部追踪分为基于外观的方法和基于深度的方法两类。基于外观的方法直接从 RGB 图像中检测手部关键点，优势是无需深度传感器、可在普通摄像头上运行，代表方案包括 MediaPipe Hands 和 Meta Hand Tracking。基于深度的方法利用深度摄像头获取手部深度信息，通过 3D 点云进行姿态估计，精度更高但需要专用硬件。Apple Vision Pro 采用前者与后者混合的方案，通过头显内置的多颗红外摄像头实现高精度手部追踪，甚至能够追踪手指微小弯曲角度。</w:t>
      </w:r>
    </w:p>
    <w:p/>
    <w:p>
      <w:pPr>
        <w:ind w:firstLine="482"/>
      </w:pPr>
      <w:r>
        <w:rPr>
          <w:rFonts w:ascii="宋体" w:hAnsi="宋体" w:eastAsia="宋体"/>
          <w:sz w:val="24"/>
        </w:rPr>
        <w:t>手部骨骼模型通常包含 21 个关键点：手腕 1 个、每根手指 4 个关节点（掌指关节、近端指间关节、远端指间关节、指尖），共 21 个。每个关键点包含三维坐标和朝向信息。通过这 21 个关键点的空间关系，可以识别出多种手势状态，如握拳、张开、捏合、指点等。手势识别的准确性受到光照条件、手部遮挡、手部速度等因素影响。在户外文旅场景中，强日光和复杂背景是手部追踪面临的主要挑战——红外摄像头方案在强光下性能会显著下降，这是当前 AR 眼镜在户外场景中手势交互体验不佳的主要原因。</w:t>
      </w:r>
    </w:p>
    <w:p/>
    <w:p>
      <w:pPr>
        <w:ind w:firstLine="482"/>
      </w:pPr>
      <w:r>
        <w:rPr>
          <w:rFonts w:ascii="宋体" w:hAnsi="宋体" w:eastAsia="宋体"/>
          <w:sz w:val="24"/>
        </w:rPr>
        <w:t>Ultraleap（原 Leap Motion）是手部追踪领域的先驱企业，其方案采用红外立体摄像头实现高精度手指追踪，精度可达亚毫米级。Ultraleap 的手部追踪模块已集成到部分 VR 头显和 AR 眼镜中，也可作为桌面配件使用，在交互设计、手部康复、虚拟原型评审等专业场景中有广泛应用。对于需要精细手部交互的 VR/AR 实训项目（如虚拟手工艺制作、文物虚拟修复），Ultraleap 方案提供了超越消费级头显内置手势追踪的精度保障。</w:t>
      </w:r>
    </w:p>
    <w:p/>
    <w:p>
      <w:pPr>
        <w:pStyle w:val="Heading3"/>
      </w:pPr>
      <w:r>
        <w:t>2.3.3 眼动追踪与面部表情捕捉</w:t>
      </w:r>
    </w:p>
    <w:p/>
    <w:p>
      <w:pPr>
        <w:ind w:firstLine="482"/>
      </w:pPr>
      <w:r>
        <w:rPr>
          <w:rFonts w:ascii="宋体" w:hAnsi="宋体" w:eastAsia="宋体"/>
          <w:sz w:val="24"/>
        </w:rPr>
        <w:t>眼动追踪技术通过红外摄像头拍摄用户瞳孔，利用图像处理算法计算注视点位置。眼动追踪在 VR/AR 中的应用场景包括：注视点渲染（Foveated Rendering）——在用户注视的中心区域渲染高分辨率图像，在周边区域降低分辨率，从而大幅节省 GPU 计算量；注视点交互——用户通过注视虚拟按钮一定时间来触发选择，无需手动操作；社交表达——将用户的眼动和面部表情实时同步到虚拟化身，增强社交临场感[10]。</w:t>
      </w:r>
    </w:p>
    <w:p/>
    <w:p>
      <w:pPr>
        <w:ind w:firstLine="482"/>
      </w:pPr>
      <w:r>
        <w:rPr>
          <w:rFonts w:ascii="宋体" w:hAnsi="宋体" w:eastAsia="宋体"/>
          <w:sz w:val="24"/>
        </w:rPr>
        <w:t>面部表情捕捉通过头显内侧的摄像头捕获用户面部表情，包括眨眼、皱眉、微笑等微表情。这些表情数据可以驱动虚拟化身的面部动画，使远程社交中的虚拟形象更加生动自然。Meta Quest Pro 和 Apple Vision Pro 都搭载了面部表情捕捉功能，为 VR 社交体验提供了新的维度。</w:t>
      </w:r>
    </w:p>
    <w:p/>
    <w:p>
      <w:pPr>
        <w:ind w:firstLine="482"/>
      </w:pPr>
      <w:r>
        <w:rPr>
          <w:rFonts w:ascii="宋体" w:hAnsi="宋体" w:eastAsia="宋体"/>
          <w:sz w:val="24"/>
        </w:rPr>
        <w:t>眼动追踪技术在 VR/AR 中的另一个重要应用是用户行为分析。通过记录用户在沉浸式体验中的注视轨迹、注视时长和扫视模式，研究者可以深入分析用户的注意力分布、认知负荷和情感反应。在文旅 VR 场景中，眼动数据能够揭示用户对哪些展品或场景元素最感兴趣、信息层级设计是否合理、交互引导是否有效。这些数据为场景设计优化提供了客观依据，是 I.M.M.E.R.S.E. 框架中 E（评估与迭代）维度的重要数据源。</w:t>
      </w:r>
    </w:p>
    <w:p/>
    <w:p>
      <w:pPr>
        <w:ind w:firstLine="482"/>
      </w:pPr>
      <w:r>
        <w:rPr>
          <w:rFonts w:ascii="宋体" w:hAnsi="宋体" w:eastAsia="宋体"/>
          <w:sz w:val="24"/>
        </w:rPr>
        <w:t>在 AR 文化导览场景中，眼动追踪可以实现"注视即查询"的交互模式——用户注视某件文物 1-2 秒后，系统自动弹出该文物的详细介绍。这种交互方式消除了手动选择操作，使导览体验更加流畅自然。此外，眼动追踪还可用于自适应界面布局——系统根据用户的注视热点动态调整界面元素的位置和大小，将重要信息放置在用户最常注视的区域。</w:t>
      </w:r>
    </w:p>
    <w:p/>
    <w:p>
      <w:pPr>
        <w:ind w:firstLine="482"/>
      </w:pPr>
      <w:r>
        <w:rPr>
          <w:rFonts w:ascii="宋体" w:hAnsi="宋体" w:eastAsia="宋体"/>
          <w:sz w:val="24"/>
        </w:rPr>
        <w:t>值得注意的是，眼动追踪技术也带来了隐私伦理问题。眼动数据包含丰富的个人信息——瞳孔直径变化可反映情绪状态，注视模式可揭示认知特征甚至身份信息。在 VR/AR 应用中采集和使用眼动数据时，需要明确告知用户数据采集目的、存储方式和隐私保护措施，遵守相关法律法规。这一问题在文旅和教育场景中尤为重要，因为用户群体可能包括未成年学生和普通公众，对数据隐私的保护要求更高。</w:t>
      </w:r>
    </w:p>
    <w:p/>
    <w:p>
      <w:pPr>
        <w:ind w:firstLine="482"/>
      </w:pPr>
      <w:r>
        <w:rPr>
          <w:rFonts w:ascii="宋体" w:hAnsi="宋体" w:eastAsia="宋体"/>
          <w:sz w:val="24"/>
        </w:rPr>
        <w:t>在 VR/AR 教育培训中，Liu 等人研究了纺织品电子器件在 VR/AR 应用中的前景，指出柔性可穿戴传感器（包括眼动追踪和面部表情捕捉传感器）正在向更轻、更薄、更舒适的方向发展[10]。这些硬件技术的进步将为 VR/AR 教育培训提供更自然、更精确的交互能力。</w:t>
      </w:r>
    </w:p>
    <w:p/>
    <w:p>
      <w:pPr>
        <w:pStyle w:val="Heading3"/>
      </w:pPr>
      <w:r>
        <w:t>2.3.4 脑机接口（BCI）前沿探索</w:t>
      </w:r>
    </w:p>
    <w:p/>
    <w:p>
      <w:pPr>
        <w:ind w:firstLine="482"/>
      </w:pPr>
      <w:r>
        <w:rPr>
          <w:rFonts w:ascii="宋体" w:hAnsi="宋体" w:eastAsia="宋体"/>
          <w:sz w:val="24"/>
        </w:rPr>
        <w:t>脑机接口（Brain-Computer Interface，BCI）是 VR/AR 交互技术的前沿方向。BCI 通过采集用户脑电信号（EEG），解码用户意图并转化为控制指令。在 VR 场景中，BCI 可以实现"意念控制"——用户通过想象手部运动来移动虚拟物体，或通过专注力水平来调整虚拟环境的难度[10]。</w:t>
      </w:r>
    </w:p>
    <w:p/>
    <w:p>
      <w:pPr>
        <w:ind w:firstLine="482"/>
      </w:pPr>
      <w:r>
        <w:rPr>
          <w:rFonts w:ascii="宋体" w:hAnsi="宋体" w:eastAsia="宋体"/>
          <w:sz w:val="24"/>
        </w:rPr>
        <w:t>当前 BCI 技术在 VR 中的应用仍处于实验阶段，主要受限于脑电信号的采集精度和解码速度。但随着非侵入式 EEG 设备的便携化（如 Muse 头带、Emotiv EPOC）和深度学习解码算法的进步，BCI 有望在未来成为 VR/AR 多模态交互体系中的重要补充。</w:t>
      </w:r>
    </w:p>
    <w:p/>
    <w:p>
      <w:pPr>
        <w:pStyle w:val="Heading3"/>
      </w:pPr>
      <w:r>
        <w:t>2.3.5 触觉反馈与力反馈设备</w:t>
      </w:r>
    </w:p>
    <w:p/>
    <w:p>
      <w:pPr>
        <w:ind w:firstLine="482"/>
      </w:pPr>
      <w:r>
        <w:rPr>
          <w:rFonts w:ascii="宋体" w:hAnsi="宋体" w:eastAsia="宋体"/>
          <w:sz w:val="24"/>
        </w:rPr>
        <w:t>触觉反馈是 VR 多模态交互中不可或缺的一环。人类通过触觉获取物体形状、纹理、温度和重量等信息，这些信息对于建立"虚拟物体真实存在"的错觉至关重要。当前 VR 系统中的触觉反馈主要分为振动反馈和力反馈两类。</w:t>
      </w:r>
    </w:p>
    <w:p/>
    <w:p>
      <w:pPr>
        <w:ind w:firstLine="482"/>
      </w:pPr>
      <w:r>
        <w:rPr>
          <w:rFonts w:ascii="宋体" w:hAnsi="宋体" w:eastAsia="宋体"/>
          <w:sz w:val="24"/>
        </w:rPr>
        <w:t>振动反馈通过手柄内部的偏心马达或线性谐振马达产生振动，模拟触碰虚拟物体时的触感。Meta Quest 3 的 Touch Plus 控制器配备了 HD 触觉马达，能够产生不同频率和强度的振动模式，模拟从轻触到重击的各种触感。虽然振动反馈无法真正模拟物体的形状和硬度，但其简单可靠、成本低廉的实现方式使其成为当前 VR 系统的标准触觉方案。</w:t>
      </w:r>
    </w:p>
    <w:p/>
    <w:p>
      <w:pPr>
        <w:ind w:firstLine="482"/>
      </w:pPr>
      <w:r>
        <w:rPr>
          <w:rFonts w:ascii="宋体" w:hAnsi="宋体" w:eastAsia="宋体"/>
          <w:sz w:val="24"/>
        </w:rPr>
        <w:t>力反馈通过机械结构对用户施加实时的阻力或力量，模拟虚拟物体的物理属性。力反馈手套（如 SenseGlove、HaptX Gloves）通过每个手指关节上的电动制动器，在用户抓取虚拟物体时提供阻力反馈——当用户试图握紧一个虚拟的刚性球体时，手指会感受到逐渐增大的阻力直到无法继续弯曲。力反馈设备能够提供比振动反馈更加真实和精细的触觉体验，但其复杂度和成本也远高于振动反馈，目前主要用于专业培训（如医学手术模拟、工业装配训练）和科研场景。</w:t>
      </w:r>
    </w:p>
    <w:p/>
    <w:p>
      <w:pPr>
        <w:ind w:firstLine="482"/>
      </w:pPr>
      <w:r>
        <w:rPr>
          <w:rFonts w:ascii="宋体" w:hAnsi="宋体" w:eastAsia="宋体"/>
          <w:sz w:val="24"/>
        </w:rPr>
        <w:t>在文旅 VR 场景中，触觉反馈可以显著提升体验沉浸感。例如，在虚拟文物鉴赏体验中，当用户"拿起"一件虚拟瓷器时，手柄的振动反馈可以模拟瓷器的重量感和质感；在虚拟非遗技艺体验中，力反馈手套可以让用户感受传统手工艺操作中的力道变化，如陶艺制作中泥土的柔软、木雕制作中刻刀的阻力。这些触觉维度的加入使 VR 体验从"看和听"扩展到"触摸和感受"，是提升沉浸式文旅体验品质的重要技术路径。</w:t>
      </w:r>
    </w:p>
    <w:p/>
    <w:p>
      <w:pPr>
        <w:pStyle w:val="Heading2"/>
      </w:pPr>
      <w:r>
        <w:t>2.4 VR/AR 硬件选型策略</w:t>
      </w:r>
    </w:p>
    <w:p/>
    <w:p>
      <w:pPr>
        <w:pStyle w:val="Heading3"/>
      </w:pPr>
      <w:r>
        <w:t>2.4.1 按应用场景选型</w:t>
      </w:r>
    </w:p>
    <w:p/>
    <w:p>
      <w:pPr>
        <w:ind w:firstLine="482"/>
      </w:pPr>
      <w:r>
        <w:rPr>
          <w:rFonts w:ascii="宋体" w:hAnsi="宋体" w:eastAsia="宋体"/>
          <w:sz w:val="24"/>
        </w:rPr>
        <w:t>VR/AR 硬件选型应首先考虑应用场景的需求特征：</w:t>
      </w:r>
    </w:p>
    <w:p/>
    <w:p>
      <w:pPr>
        <w:ind w:firstLine="482"/>
      </w:pPr>
      <w:r>
        <w:rPr>
          <w:rFonts w:ascii="宋体" w:hAnsi="宋体" w:eastAsia="宋体"/>
          <w:b/>
          <w:sz w:val="24"/>
        </w:rPr>
        <w:t>教育培训场景</w:t>
      </w:r>
      <w:r>
        <w:rPr>
          <w:rFonts w:ascii="宋体" w:hAnsi="宋体" w:eastAsia="宋体"/>
          <w:sz w:val="24"/>
        </w:rPr>
        <w:t>需要兼顾成本、耐用性和易用性。Meta Quest 3 是教育培训领域的首选设备——价格适中（$499起）、6DoF 追踪稳定、手势追踪成熟、内容生态丰富。对于预算有限的院校，二手 Quest 2 仍是性价比极高的选择。对于需要高画质的专业实训（如数字文物展示），可考虑 PC VR 方案搭配高性能显卡[6]。</w:t>
      </w:r>
    </w:p>
    <w:p/>
    <w:p>
      <w:pPr>
        <w:ind w:firstLine="482"/>
      </w:pPr>
      <w:r>
        <w:rPr>
          <w:rFonts w:ascii="宋体" w:hAnsi="宋体" w:eastAsia="宋体"/>
          <w:b/>
          <w:sz w:val="24"/>
        </w:rPr>
        <w:t>文旅展示场景</w:t>
      </w:r>
      <w:r>
        <w:rPr>
          <w:rFonts w:ascii="宋体" w:hAnsi="宋体" w:eastAsia="宋体"/>
          <w:sz w:val="24"/>
        </w:rPr>
        <w:t>需要考虑公众使用的安全性和卫生问题。一体机 VR 是文旅场景的首选——无需 PC 连接、部署灵活。但需注意设备消毒、卫生更换套、使用时长管理等问题。对于景区户外 AR 应用，需选择支持 GPS 定位和环境光适应的 AR 方案，移动端 AR（基于手机/平板）在景区场景中仍是最实用的选择[11]。</w:t>
      </w:r>
    </w:p>
    <w:p/>
    <w:p>
      <w:pPr>
        <w:ind w:firstLine="482"/>
      </w:pPr>
      <w:r>
        <w:rPr>
          <w:rFonts w:ascii="宋体" w:hAnsi="宋体" w:eastAsia="宋体"/>
          <w:b/>
          <w:sz w:val="24"/>
        </w:rPr>
        <w:t>工业仿真场景</w:t>
      </w:r>
      <w:r>
        <w:rPr>
          <w:rFonts w:ascii="宋体" w:hAnsi="宋体" w:eastAsia="宋体"/>
          <w:sz w:val="24"/>
        </w:rPr>
        <w:t>需要高精度追踪和长时间佩戴舒适度。HTC Vive XR Elite 支持可拆卸电池设计，适合长时间使用。对于需要手部精细操作的场景，可搭配 Ultraleap 手部追踪模块实现裸手交互。对于工业维修培训，光学透视 AR（如 HoloLens 2）可以同时保持对真实环境的完全感知[3]。</w:t>
      </w:r>
    </w:p>
    <w:p/>
    <w:p>
      <w:pPr>
        <w:ind w:firstLine="482"/>
      </w:pPr>
      <w:r>
        <w:rPr>
          <w:rFonts w:ascii="宋体" w:hAnsi="宋体" w:eastAsia="宋体"/>
          <w:b/>
          <w:sz w:val="24"/>
        </w:rPr>
        <w:t>文化遗产数字化场景</w:t>
      </w:r>
      <w:r>
        <w:rPr>
          <w:rFonts w:ascii="宋体" w:hAnsi="宋体" w:eastAsia="宋体"/>
          <w:sz w:val="24"/>
        </w:rPr>
        <w:t>对 VR/AR 硬件有特殊要求。文物 3D 扫描和虚拟展示需要高分辨率的显示设备来呈现文物的细节纹理，Micro-OLED 显示屏（如 Apple Vision Pro）在这方面具有优势。对于考古现场的 VR 记录，需要便携的一体机设备和 360° 全景相机组合，便于在野外环境中快速采集数据。对于博物馆的沉浸式展览，CAVE 系统或多投影方案仍然是大型公共展览的优选——它允许多人同时体验且无需佩戴设备，更适合博物馆的公共空间属性[13]。</w:t>
      </w:r>
    </w:p>
    <w:p/>
    <w:p>
      <w:pPr>
        <w:ind w:firstLine="482"/>
      </w:pPr>
      <w:r>
        <w:rPr>
          <w:rFonts w:ascii="宋体" w:hAnsi="宋体" w:eastAsia="宋体"/>
          <w:b/>
          <w:sz w:val="24"/>
        </w:rPr>
        <w:t>多用户协同场景</w:t>
      </w:r>
      <w:r>
        <w:rPr>
          <w:rFonts w:ascii="宋体" w:hAnsi="宋体" w:eastAsia="宋体"/>
          <w:sz w:val="24"/>
        </w:rPr>
        <w:t>需要考虑设备间的同步和通信能力。当多名用户需要同时进入同一虚拟空间（如第12章的沉浸式文旅元宇宙项目），设备之间的网络同步延迟成为关键因素。Wi-Fi 6/6E 网络的低延迟特性使其成为多人 VR 的基础网络设施。部分设备（如 Meta Quest 3）支持本地共享锚点（Local Shared Anchors），允许多台设备通过共享空间地图实现虚拟物体的协同定位，这对于多人 AR 体验尤为重要[4]。</w:t>
      </w:r>
    </w:p>
    <w:p/>
    <w:p>
      <w:pPr>
        <w:ind w:firstLine="482"/>
      </w:pPr>
      <w:r>
        <w:rPr>
          <w:rFonts w:ascii="宋体" w:hAnsi="宋体" w:eastAsia="宋体"/>
          <w:b/>
          <w:sz w:val="24"/>
        </w:rPr>
        <w:t>特殊人群适配</w:t>
      </w:r>
      <w:r>
        <w:rPr>
          <w:rFonts w:ascii="宋体" w:hAnsi="宋体" w:eastAsia="宋体"/>
          <w:sz w:val="24"/>
        </w:rPr>
        <w:t>也是硬件选型需要考虑的维度。佩戴眼镜的用户需要能够同时佩戴矫正眼镜和 HMD，这要求设备支持眼镜兼容（如 Meta Quest 3 的眼镜间距调节）或配备处方镜片插件。对于儿童用户，需要考虑 IPD 范围和头带尺寸的适配。对于行动不便的用户，3DoF 追踪方案（如全景 VR 查看器）可能比 6DoF 方案更合适，因为后者要求用户能够站立和行走。</w:t>
      </w:r>
    </w:p>
    <w:p/>
    <w:p>
      <w:pPr>
        <w:pStyle w:val="Heading3"/>
      </w:pPr>
      <w:r>
        <w:t>2.4.2 性能-成本-易用性三角权衡</w:t>
      </w:r>
    </w:p>
    <w:p/>
    <w:p>
      <w:pPr>
        <w:ind w:firstLine="482"/>
      </w:pPr>
      <w:r>
        <w:rPr>
          <w:rFonts w:ascii="宋体" w:hAnsi="宋体" w:eastAsia="宋体"/>
          <w:sz w:val="24"/>
        </w:rPr>
        <w:t>VR/AR 硬件选型本质上是在性能、成本和易用性三个维度之间寻找最佳平衡点：</w:t>
      </w:r>
    </w:p>
    <w:p/>
    <w:p>
      <w:pPr>
        <w:pStyle w:val="ListBullet"/>
      </w:pPr>
      <w:r>
        <w:rPr>
          <w:rFonts w:ascii="宋体" w:hAnsi="宋体" w:eastAsia="宋体"/>
          <w:b/>
          <w:sz w:val="24"/>
        </w:rPr>
        <w:t>高性能方案</w:t>
      </w:r>
      <w:r>
        <w:rPr>
          <w:rFonts w:ascii="宋体" w:hAnsi="宋体" w:eastAsia="宋体"/>
          <w:sz w:val="24"/>
        </w:rPr>
        <w:t>（PC VR + 外部追踪）：画质最高、追踪最精确，但成本最高、部署最复杂。</w:t>
      </w:r>
    </w:p>
    <w:p>
      <w:pPr>
        <w:pStyle w:val="ListBullet"/>
      </w:pPr>
      <w:r>
        <w:rPr>
          <w:rFonts w:ascii="宋体" w:hAnsi="宋体" w:eastAsia="宋体"/>
          <w:b/>
          <w:sz w:val="24"/>
        </w:rPr>
        <w:t>高性价比方案</w:t>
      </w:r>
      <w:r>
        <w:rPr>
          <w:rFonts w:ascii="宋体" w:hAnsi="宋体" w:eastAsia="宋体"/>
          <w:sz w:val="24"/>
        </w:rPr>
        <w:t>（一体机 VR + 内向外追踪）：画质和追踪足够，成本中等、开箱即用。</w:t>
      </w:r>
    </w:p>
    <w:p>
      <w:pPr>
        <w:pStyle w:val="ListBullet"/>
      </w:pPr>
      <w:r>
        <w:rPr>
          <w:rFonts w:ascii="宋体" w:hAnsi="宋体" w:eastAsia="宋体"/>
          <w:b/>
          <w:sz w:val="24"/>
        </w:rPr>
        <w:t>高便携方案</w:t>
      </w:r>
      <w:r>
        <w:rPr>
          <w:rFonts w:ascii="宋体" w:hAnsi="宋体" w:eastAsia="宋体"/>
          <w:sz w:val="24"/>
        </w:rPr>
        <w:t>（移动端 AR）：零硬件成本（利用用户手机），但体验受限于手机性能[6]。</w:t>
      </w:r>
    </w:p>
    <w:p/>
    <w:p>
      <w:pPr>
        <w:ind w:firstLine="482"/>
      </w:pPr>
      <w:r>
        <w:rPr>
          <w:rFonts w:ascii="宋体" w:hAnsi="宋体" w:eastAsia="宋体"/>
          <w:sz w:val="24"/>
        </w:rPr>
        <w:t>Kourtesis 等人的研究指出，VR 头显的有效使用需要用户具备一定的技术操作能力，技术不熟练会导致沉浸感中断和负面体验。因此，在实训场景中，设备的易用性往往比极限性能更重要——学生应将精力集中在实训内容本身，而非设备调试[12]。</w:t>
      </w:r>
    </w:p>
    <w:p/>
    <w:p>
      <w:pPr>
        <w:ind w:firstLine="482"/>
      </w:pPr>
      <w:r>
        <w:rPr>
          <w:rFonts w:ascii="宋体" w:hAnsi="宋体" w:eastAsia="宋体"/>
          <w:sz w:val="24"/>
        </w:rPr>
        <w:t>在实训教学的具体语境中，硬件选型还需要考虑教学管理因素。第一，设备的批量采购折扣和售后支持——教育版 Meta Quest 设备提供了批量管理工具（MDM），便于教师统一部署应用和管理设备。第二，设备的固件稳定性和更新频率——频繁的固件更新可能导致教学内容兼容性问题，教育版设备通常提供更稳定的固件版本控制。第三，设备的耐用性和维修成本——学生使用设备的操作可能不够规范，设备需要具备一定的抗摔能力，且维修成本应在可控范围内。第四，设备的充电和管理效率——实训室需要配备多口充电柜，支持同时充电和数据同步，确保每节课开始时所有设备处于可用状态。</w:t>
      </w:r>
    </w:p>
    <w:p/>
    <w:p>
      <w:pPr>
        <w:ind w:firstLine="482"/>
      </w:pPr>
      <w:r>
        <w:rPr>
          <w:rFonts w:ascii="宋体" w:hAnsi="宋体" w:eastAsia="宋体"/>
          <w:sz w:val="24"/>
        </w:rPr>
        <w:t>张波等人在设计船舶虚拟消防训练系统时，详细分析了 HMD 选型的考量因素，指出在安全敏感的培训场景中，设备的可靠性和快速部署能力比显示参数更为重要[11]。Alarcón Ruiz 在航天产品保障和安全领域的 AR 应用研究中也强调了类似观点——在专业应用场景中，硬件的稳定性和与现有工作流程的集成度是选型的首要标准[14]。这些经验对于文旅和教育培训场景同样具有参考价值。</w:t>
      </w:r>
    </w:p>
    <w:p/>
    <w:p>
      <w:pPr>
        <w:pStyle w:val="Heading3"/>
      </w:pPr>
      <w:r>
        <w:t>2.4.3 实训室硬件配置方案</w:t>
      </w:r>
    </w:p>
    <w:p/>
    <w:p>
      <w:pPr>
        <w:ind w:firstLine="482"/>
      </w:pPr>
      <w:r>
        <w:rPr>
          <w:rFonts w:ascii="宋体" w:hAnsi="宋体" w:eastAsia="宋体"/>
          <w:sz w:val="24"/>
        </w:rPr>
        <w:t>针对本书三个实训项目的需求，建议的实训室硬件配置如下：</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设备类别</w:t>
            </w:r>
          </w:p>
        </w:tc>
        <w:tc>
          <w:tcPr>
            <w:tcW w:type="dxa" w:w="1662"/>
            <w:shd w:fill="D9E2F3" w:val="clear"/>
          </w:tcPr>
          <w:p>
            <w:pPr>
              <w:jc w:val="center"/>
            </w:pPr>
            <w:r/>
            <w:r>
              <w:rPr>
                <w:rFonts w:ascii="黑体" w:hAnsi="黑体" w:eastAsia="黑体"/>
                <w:b/>
                <w:sz w:val="20"/>
              </w:rPr>
              <w:t>设备型号</w:t>
            </w:r>
          </w:p>
        </w:tc>
        <w:tc>
          <w:tcPr>
            <w:tcW w:type="dxa" w:w="1662"/>
            <w:shd w:fill="D9E2F3" w:val="clear"/>
          </w:tcPr>
          <w:p>
            <w:pPr>
              <w:jc w:val="center"/>
            </w:pPr>
            <w:r/>
            <w:r>
              <w:rPr>
                <w:rFonts w:ascii="黑体" w:hAnsi="黑体" w:eastAsia="黑体"/>
                <w:b/>
                <w:sz w:val="20"/>
              </w:rPr>
              <w:t>数量</w:t>
            </w:r>
          </w:p>
        </w:tc>
        <w:tc>
          <w:tcPr>
            <w:tcW w:type="dxa" w:w="1662"/>
            <w:shd w:fill="D9E2F3" w:val="clear"/>
          </w:tcPr>
          <w:p>
            <w:pPr>
              <w:jc w:val="center"/>
            </w:pPr>
            <w:r/>
            <w:r>
              <w:rPr>
                <w:rFonts w:ascii="黑体" w:hAnsi="黑体" w:eastAsia="黑体"/>
                <w:b/>
                <w:sz w:val="20"/>
              </w:rPr>
              <w:t>用途</w:t>
            </w:r>
          </w:p>
        </w:tc>
        <w:tc>
          <w:tcPr>
            <w:tcW w:type="dxa" w:w="1662"/>
            <w:shd w:fill="D9E2F3" w:val="clear"/>
          </w:tcPr>
          <w:p>
            <w:pPr>
              <w:jc w:val="center"/>
            </w:pPr>
            <w:r/>
            <w:r>
              <w:rPr>
                <w:rFonts w:ascii="黑体" w:hAnsi="黑体" w:eastAsia="黑体"/>
                <w:b/>
                <w:sz w:val="20"/>
              </w:rPr>
              <w:t>预算（万元）</w:t>
            </w:r>
          </w:p>
        </w:tc>
      </w:tr>
      <w:tr>
        <w:tc>
          <w:tcPr>
            <w:tcW w:type="dxa" w:w="1662"/>
          </w:tcPr>
          <w:p>
            <w:r/>
            <w:r>
              <w:rPr>
                <w:rFonts w:ascii="宋体" w:hAnsi="宋体" w:eastAsia="宋体"/>
                <w:sz w:val="20"/>
              </w:rPr>
              <w:t>VR头显</w:t>
            </w:r>
          </w:p>
        </w:tc>
        <w:tc>
          <w:tcPr>
            <w:tcW w:type="dxa" w:w="1662"/>
          </w:tcPr>
          <w:p>
            <w:r/>
            <w:r>
              <w:rPr>
                <w:rFonts w:ascii="宋体" w:hAnsi="宋体" w:eastAsia="宋体"/>
                <w:sz w:val="20"/>
              </w:rPr>
              <w:t>Meta Quest 3 128GB</w:t>
            </w:r>
          </w:p>
        </w:tc>
        <w:tc>
          <w:tcPr>
            <w:tcW w:type="dxa" w:w="1662"/>
          </w:tcPr>
          <w:p>
            <w:r/>
            <w:r>
              <w:rPr>
                <w:rFonts w:ascii="宋体" w:hAnsi="宋体" w:eastAsia="宋体"/>
                <w:sz w:val="20"/>
              </w:rPr>
              <w:t>10台</w:t>
            </w:r>
          </w:p>
        </w:tc>
        <w:tc>
          <w:tcPr>
            <w:tcW w:type="dxa" w:w="1662"/>
          </w:tcPr>
          <w:p>
            <w:r/>
            <w:r>
              <w:rPr>
                <w:rFonts w:ascii="宋体" w:hAnsi="宋体" w:eastAsia="宋体"/>
                <w:sz w:val="20"/>
              </w:rPr>
              <w:t>实训一/三 VR开发</w:t>
            </w:r>
          </w:p>
        </w:tc>
        <w:tc>
          <w:tcPr>
            <w:tcW w:type="dxa" w:w="1662"/>
          </w:tcPr>
          <w:p>
            <w:r/>
            <w:r>
              <w:rPr>
                <w:rFonts w:ascii="宋体" w:hAnsi="宋体" w:eastAsia="宋体"/>
                <w:sz w:val="20"/>
              </w:rPr>
              <w:t>3.5</w:t>
            </w:r>
          </w:p>
        </w:tc>
      </w:tr>
      <w:tr>
        <w:tc>
          <w:tcPr>
            <w:tcW w:type="dxa" w:w="1662"/>
          </w:tcPr>
          <w:p>
            <w:r/>
            <w:r>
              <w:rPr>
                <w:rFonts w:ascii="宋体" w:hAnsi="宋体" w:eastAsia="宋体"/>
                <w:sz w:val="20"/>
              </w:rPr>
              <w:t>AR测试设备</w:t>
            </w:r>
          </w:p>
        </w:tc>
        <w:tc>
          <w:tcPr>
            <w:tcW w:type="dxa" w:w="1662"/>
          </w:tcPr>
          <w:p>
            <w:r/>
            <w:r>
              <w:rPr>
                <w:rFonts w:ascii="宋体" w:hAnsi="宋体" w:eastAsia="宋体"/>
                <w:sz w:val="20"/>
              </w:rPr>
              <w:t>iPad Pro 11寸</w:t>
            </w:r>
          </w:p>
        </w:tc>
        <w:tc>
          <w:tcPr>
            <w:tcW w:type="dxa" w:w="1662"/>
          </w:tcPr>
          <w:p>
            <w:r/>
            <w:r>
              <w:rPr>
                <w:rFonts w:ascii="宋体" w:hAnsi="宋体" w:eastAsia="宋体"/>
                <w:sz w:val="20"/>
              </w:rPr>
              <w:t>5台</w:t>
            </w:r>
          </w:p>
        </w:tc>
        <w:tc>
          <w:tcPr>
            <w:tcW w:type="dxa" w:w="1662"/>
          </w:tcPr>
          <w:p>
            <w:r/>
            <w:r>
              <w:rPr>
                <w:rFonts w:ascii="宋体" w:hAnsi="宋体" w:eastAsia="宋体"/>
                <w:sz w:val="20"/>
              </w:rPr>
              <w:t>实训二 AR开发测试</w:t>
            </w:r>
          </w:p>
        </w:tc>
        <w:tc>
          <w:tcPr>
            <w:tcW w:type="dxa" w:w="1662"/>
          </w:tcPr>
          <w:p>
            <w:r/>
            <w:r>
              <w:rPr>
                <w:rFonts w:ascii="宋体" w:hAnsi="宋体" w:eastAsia="宋体"/>
                <w:sz w:val="20"/>
              </w:rPr>
              <w:t>3.0</w:t>
            </w:r>
          </w:p>
        </w:tc>
      </w:tr>
      <w:tr>
        <w:tc>
          <w:tcPr>
            <w:tcW w:type="dxa" w:w="1662"/>
          </w:tcPr>
          <w:p>
            <w:r/>
            <w:r>
              <w:rPr>
                <w:rFonts w:ascii="宋体" w:hAnsi="宋体" w:eastAsia="宋体"/>
                <w:sz w:val="20"/>
              </w:rPr>
              <w:t>360°相机</w:t>
            </w:r>
          </w:p>
        </w:tc>
        <w:tc>
          <w:tcPr>
            <w:tcW w:type="dxa" w:w="1662"/>
          </w:tcPr>
          <w:p>
            <w:r/>
            <w:r>
              <w:rPr>
                <w:rFonts w:ascii="宋体" w:hAnsi="宋体" w:eastAsia="宋体"/>
                <w:sz w:val="20"/>
              </w:rPr>
              <w:t>Insta360 X4</w:t>
            </w:r>
          </w:p>
        </w:tc>
        <w:tc>
          <w:tcPr>
            <w:tcW w:type="dxa" w:w="1662"/>
          </w:tcPr>
          <w:p>
            <w:r/>
            <w:r>
              <w:rPr>
                <w:rFonts w:ascii="宋体" w:hAnsi="宋体" w:eastAsia="宋体"/>
                <w:sz w:val="20"/>
              </w:rPr>
              <w:t>3台</w:t>
            </w:r>
          </w:p>
        </w:tc>
        <w:tc>
          <w:tcPr>
            <w:tcW w:type="dxa" w:w="1662"/>
          </w:tcPr>
          <w:p>
            <w:r/>
            <w:r>
              <w:rPr>
                <w:rFonts w:ascii="宋体" w:hAnsi="宋体" w:eastAsia="宋体"/>
                <w:sz w:val="20"/>
              </w:rPr>
              <w:t>实训一 全景采集</w:t>
            </w:r>
          </w:p>
        </w:tc>
        <w:tc>
          <w:tcPr>
            <w:tcW w:type="dxa" w:w="1662"/>
          </w:tcPr>
          <w:p>
            <w:r/>
            <w:r>
              <w:rPr>
                <w:rFonts w:ascii="宋体" w:hAnsi="宋体" w:eastAsia="宋体"/>
                <w:sz w:val="20"/>
              </w:rPr>
              <w:t>0.9</w:t>
            </w:r>
          </w:p>
        </w:tc>
      </w:tr>
      <w:tr>
        <w:tc>
          <w:tcPr>
            <w:tcW w:type="dxa" w:w="1662"/>
          </w:tcPr>
          <w:p>
            <w:r/>
            <w:r>
              <w:rPr>
                <w:rFonts w:ascii="宋体" w:hAnsi="宋体" w:eastAsia="宋体"/>
                <w:sz w:val="20"/>
              </w:rPr>
              <w:t>开发工作站</w:t>
            </w:r>
          </w:p>
        </w:tc>
        <w:tc>
          <w:tcPr>
            <w:tcW w:type="dxa" w:w="1662"/>
          </w:tcPr>
          <w:p>
            <w:r/>
            <w:r>
              <w:rPr>
                <w:rFonts w:ascii="宋体" w:hAnsi="宋体" w:eastAsia="宋体"/>
                <w:sz w:val="20"/>
              </w:rPr>
              <w:t>CPU i7/RTX 4070/32GB</w:t>
            </w:r>
          </w:p>
        </w:tc>
        <w:tc>
          <w:tcPr>
            <w:tcW w:type="dxa" w:w="1662"/>
          </w:tcPr>
          <w:p>
            <w:r/>
            <w:r>
              <w:rPr>
                <w:rFonts w:ascii="宋体" w:hAnsi="宋体" w:eastAsia="宋体"/>
                <w:sz w:val="20"/>
              </w:rPr>
              <w:t>5台</w:t>
            </w:r>
          </w:p>
        </w:tc>
        <w:tc>
          <w:tcPr>
            <w:tcW w:type="dxa" w:w="1662"/>
          </w:tcPr>
          <w:p>
            <w:r/>
            <w:r>
              <w:rPr>
                <w:rFonts w:ascii="宋体" w:hAnsi="宋体" w:eastAsia="宋体"/>
                <w:sz w:val="20"/>
              </w:rPr>
              <w:t>Unity/Unreal开发</w:t>
            </w:r>
          </w:p>
        </w:tc>
        <w:tc>
          <w:tcPr>
            <w:tcW w:type="dxa" w:w="1662"/>
          </w:tcPr>
          <w:p>
            <w:r/>
            <w:r>
              <w:rPr>
                <w:rFonts w:ascii="宋体" w:hAnsi="宋体" w:eastAsia="宋体"/>
                <w:sz w:val="20"/>
              </w:rPr>
              <w:t>5.0</w:t>
            </w:r>
          </w:p>
        </w:tc>
      </w:tr>
      <w:tr>
        <w:tc>
          <w:tcPr>
            <w:tcW w:type="dxa" w:w="1662"/>
          </w:tcPr>
          <w:p>
            <w:r/>
            <w:r>
              <w:rPr>
                <w:rFonts w:ascii="宋体" w:hAnsi="宋体" w:eastAsia="宋体"/>
                <w:sz w:val="20"/>
              </w:rPr>
              <w:t>3D扫描仪</w:t>
            </w:r>
          </w:p>
        </w:tc>
        <w:tc>
          <w:tcPr>
            <w:tcW w:type="dxa" w:w="1662"/>
          </w:tcPr>
          <w:p>
            <w:r/>
            <w:r>
              <w:rPr>
                <w:rFonts w:ascii="宋体" w:hAnsi="宋体" w:eastAsia="宋体"/>
                <w:sz w:val="20"/>
              </w:rPr>
              <w:t>手机端LiDAR扫描</w:t>
            </w:r>
          </w:p>
        </w:tc>
        <w:tc>
          <w:tcPr>
            <w:tcW w:type="dxa" w:w="1662"/>
          </w:tcPr>
          <w:p>
            <w:r/>
            <w:r>
              <w:rPr>
                <w:rFonts w:ascii="宋体" w:hAnsi="宋体" w:eastAsia="宋体"/>
                <w:sz w:val="20"/>
              </w:rPr>
              <w:t>—</w:t>
            </w:r>
          </w:p>
        </w:tc>
        <w:tc>
          <w:tcPr>
            <w:tcW w:type="dxa" w:w="1662"/>
          </w:tcPr>
          <w:p>
            <w:r/>
            <w:r>
              <w:rPr>
                <w:rFonts w:ascii="宋体" w:hAnsi="宋体" w:eastAsia="宋体"/>
                <w:sz w:val="20"/>
              </w:rPr>
              <w:t>实训三 资产采集</w:t>
            </w:r>
          </w:p>
        </w:tc>
        <w:tc>
          <w:tcPr>
            <w:tcW w:type="dxa" w:w="1662"/>
          </w:tcPr>
          <w:p>
            <w:r/>
            <w:r>
              <w:rPr>
                <w:rFonts w:ascii="宋体" w:hAnsi="宋体" w:eastAsia="宋体"/>
                <w:sz w:val="20"/>
              </w:rPr>
              <w:t>0.0</w:t>
            </w:r>
          </w:p>
        </w:tc>
      </w:tr>
      <w:tr>
        <w:tc>
          <w:tcPr>
            <w:tcW w:type="dxa" w:w="1662"/>
          </w:tcPr>
          <w:p>
            <w:r/>
            <w:r>
              <w:rPr>
                <w:rFonts w:ascii="宋体" w:hAnsi="宋体" w:eastAsia="宋体"/>
                <w:sz w:val="20"/>
              </w:rPr>
              <w:t>备用配件</w:t>
            </w:r>
          </w:p>
        </w:tc>
        <w:tc>
          <w:tcPr>
            <w:tcW w:type="dxa" w:w="1662"/>
          </w:tcPr>
          <w:p>
            <w:r/>
            <w:r>
              <w:rPr>
                <w:rFonts w:ascii="宋体" w:hAnsi="宋体" w:eastAsia="宋体"/>
                <w:sz w:val="20"/>
              </w:rPr>
              <w:t>充电桩/卫生套/收纳箱</w:t>
            </w:r>
          </w:p>
        </w:tc>
        <w:tc>
          <w:tcPr>
            <w:tcW w:type="dxa" w:w="1662"/>
          </w:tcPr>
          <w:p>
            <w:r/>
            <w:r>
              <w:rPr>
                <w:rFonts w:ascii="宋体" w:hAnsi="宋体" w:eastAsia="宋体"/>
                <w:sz w:val="20"/>
              </w:rPr>
              <w:t>1套</w:t>
            </w:r>
          </w:p>
        </w:tc>
        <w:tc>
          <w:tcPr>
            <w:tcW w:type="dxa" w:w="1662"/>
          </w:tcPr>
          <w:p>
            <w:r/>
            <w:r>
              <w:rPr>
                <w:rFonts w:ascii="宋体" w:hAnsi="宋体" w:eastAsia="宋体"/>
                <w:sz w:val="20"/>
              </w:rPr>
              <w:t>设备管理</w:t>
            </w:r>
          </w:p>
        </w:tc>
        <w:tc>
          <w:tcPr>
            <w:tcW w:type="dxa" w:w="1662"/>
          </w:tcPr>
          <w:p>
            <w:r/>
            <w:r>
              <w:rPr>
                <w:rFonts w:ascii="宋体" w:hAnsi="宋体" w:eastAsia="宋体"/>
                <w:sz w:val="20"/>
              </w:rPr>
              <w:t>0.5</w:t>
            </w:r>
          </w:p>
        </w:tc>
      </w:tr>
      <w:tr>
        <w:tc>
          <w:tcPr>
            <w:tcW w:type="dxa" w:w="1662"/>
          </w:tcPr>
          <w:p>
            <w:r/>
            <w:r>
              <w:rPr>
                <w:rFonts w:ascii="宋体" w:hAnsi="宋体" w:eastAsia="宋体"/>
                <w:sz w:val="20"/>
              </w:rPr>
              <w:t>**合计**</w:t>
            </w:r>
          </w:p>
        </w:tc>
        <w:tc>
          <w:tcPr>
            <w:tcW w:type="dxa" w:w="1662"/>
          </w:tcPr>
          <w:p>
            <w:r/>
            <w:r>
              <w:rPr>
                <w:rFonts w:ascii="宋体" w:hAnsi="宋体" w:eastAsia="宋体"/>
                <w:sz w:val="20"/>
              </w:rPr>
            </w:r>
          </w:p>
        </w:tc>
        <w:tc>
          <w:tcPr>
            <w:tcW w:type="dxa" w:w="1662"/>
          </w:tcPr>
          <w:p>
            <w:r/>
            <w:r>
              <w:rPr>
                <w:rFonts w:ascii="宋体" w:hAnsi="宋体" w:eastAsia="宋体"/>
                <w:sz w:val="20"/>
              </w:rPr>
            </w:r>
          </w:p>
        </w:tc>
        <w:tc>
          <w:tcPr>
            <w:tcW w:type="dxa" w:w="1662"/>
          </w:tcPr>
          <w:p>
            <w:r/>
            <w:r>
              <w:rPr>
                <w:rFonts w:ascii="宋体" w:hAnsi="宋体" w:eastAsia="宋体"/>
                <w:sz w:val="20"/>
              </w:rPr>
            </w:r>
          </w:p>
        </w:tc>
        <w:tc>
          <w:tcPr>
            <w:tcW w:type="dxa" w:w="1662"/>
          </w:tcPr>
          <w:p>
            <w:r/>
            <w:r>
              <w:rPr>
                <w:rFonts w:ascii="宋体" w:hAnsi="宋体" w:eastAsia="宋体"/>
                <w:sz w:val="20"/>
              </w:rPr>
              <w:t>**12.9**</w:t>
            </w:r>
          </w:p>
        </w:tc>
      </w:tr>
    </w:tbl>
    <w:p/>
    <w:p/>
    <w:p>
      <w:pPr>
        <w:ind w:firstLine="482"/>
      </w:pPr>
      <w:r>
        <w:rPr>
          <w:rFonts w:ascii="宋体" w:hAnsi="宋体" w:eastAsia="宋体"/>
          <w:sz w:val="24"/>
        </w:rPr>
        <w:t>此配置方案可同时支持 20-30 名学生分组实训，每组 2-3 人共享一台 VR 头显和一台开发工作站。360° 相机和 iPad 可按组轮换使用。整个实训室的预算约 13 万元，在职业院校的可承受范围内。</w:t>
      </w:r>
    </w:p>
    <w:p/>
    <w:p>
      <w:pPr>
        <w:ind w:firstLine="482"/>
      </w:pPr>
      <w:r>
        <w:rPr>
          <w:rFonts w:ascii="宋体" w:hAnsi="宋体" w:eastAsia="宋体"/>
          <w:sz w:val="24"/>
        </w:rPr>
        <w:t>实训室的空间布局同样重要。VR 体验需要足够的安全活动空间——按照 Meta 官方建议，每名 VR 用户应至少拥有 2m×2m 的安全活动区域。一个支持 10 组同时使用的 VR 实训室需要约 50-60 平方米的开放空间，地面铺设防撞地垫，四角设置安全边界标记。开发工位沿墙布置，每台工作站配备 27 寸显示器和舒适座椅，便于学生在 VR 体验和桌面开发之间快速切换。实训室还应配备投影仪或大屏幕电视，用于教师演示和学生项目展示。</w:t>
      </w:r>
    </w:p>
    <w:p/>
    <w:p>
      <w:pPr>
        <w:ind w:firstLine="482"/>
      </w:pPr>
      <w:r>
        <w:rPr>
          <w:rFonts w:ascii="宋体" w:hAnsi="宋体" w:eastAsia="宋体"/>
          <w:sz w:val="24"/>
        </w:rPr>
        <w:t>设备管理制度是实训室长期运营的保障。建议建立以下管理流程：（1）课前准备——教师或助教提前 30 分钟到达，检查所有设备电量、固件版本和应用更新状态，确保每台设备处于可用状态；（2）课中管理——学生凭学生证借用设备，填写借用登记表，使用过程中教师巡视检查安全边界设置是否正确；（3）课后归位——学生归还设备时由助教检查设备完好性，更换面贴或消毒擦拭，放入充电柜统一充电和数据同步；（4）定期维护——每月一次深度清洁和固件检查，每学期一次电池健康度检测和配件损耗盘点。这套管理流程参考了 Gavish 等人提出的 VR/AR 训练系统设计指南中的运营建议[18]，确保实训室设备的高可用性和长使用寿命。</w:t>
      </w:r>
    </w:p>
    <w:p/>
    <w:p>
      <w:pPr>
        <w:spacing w:before="60" w:after="60"/>
        <w:ind w:left="567"/>
      </w:pPr>
      <w:r>
        <w:rPr>
          <w:rFonts w:ascii="楷体" w:hAnsi="楷体" w:eastAsia="楷体"/>
          <w:i/>
          <w:sz w:val="22"/>
        </w:rPr>
        <w:t>**知识卡片：VR 实训室管理要点**</w:t>
      </w:r>
    </w:p>
    <w:p>
      <w:pPr>
        <w:spacing w:before="60" w:after="60"/>
        <w:ind w:left="567"/>
      </w:pPr>
      <w:r>
        <w:rPr>
          <w:rFonts w:ascii="楷体" w:hAnsi="楷体" w:eastAsia="楷体"/>
          <w:i/>
          <w:sz w:val="22"/>
        </w:rPr>
        <w:t>- 卫生管理：每人次使用后更换面贴，定期用 UV 消毒</w:t>
      </w:r>
    </w:p>
    <w:p>
      <w:pPr>
        <w:spacing w:before="60" w:after="60"/>
        <w:ind w:left="567"/>
      </w:pPr>
      <w:r>
        <w:rPr>
          <w:rFonts w:ascii="楷体" w:hAnsi="楷体" w:eastAsia="楷体"/>
          <w:i/>
          <w:sz w:val="22"/>
        </w:rPr>
        <w:t>- 安全管理：划定安全活动区域，铺设防撞地垫</w:t>
      </w:r>
    </w:p>
    <w:p>
      <w:pPr>
        <w:spacing w:before="60" w:after="60"/>
        <w:ind w:left="567"/>
      </w:pPr>
      <w:r>
        <w:rPr>
          <w:rFonts w:ascii="楷体" w:hAnsi="楷体" w:eastAsia="楷体"/>
          <w:i/>
          <w:sz w:val="22"/>
        </w:rPr>
        <w:t>- 设备管理：建立借用登记制度，专人负责充电和维护</w:t>
      </w:r>
    </w:p>
    <w:p>
      <w:pPr>
        <w:spacing w:before="60" w:after="60"/>
        <w:ind w:left="567"/>
      </w:pPr>
      <w:r>
        <w:rPr>
          <w:rFonts w:ascii="楷体" w:hAnsi="楷体" w:eastAsia="楷体"/>
          <w:i/>
          <w:sz w:val="22"/>
        </w:rPr>
        <w:t>- 使用时长：单次使用不超过 30 分钟，避免视觉疲劳</w:t>
      </w:r>
    </w:p>
    <w:p/>
    <w:p>
      <w:pPr>
        <w:ind w:firstLine="482"/>
      </w:pPr>
      <w:r>
        <w:rPr>
          <w:rFonts w:ascii="宋体" w:hAnsi="宋体" w:eastAsia="宋体"/>
          <w:sz w:val="24"/>
        </w:rPr>
        <w:t>---</w:t>
      </w:r>
    </w:p>
    <w:p/>
    <w:p>
      <w:pPr>
        <w:pStyle w:val="Heading2"/>
      </w:pPr>
      <w:r>
        <w:t>本章小结</w:t>
      </w:r>
    </w:p>
    <w:p/>
    <w:p>
      <w:pPr>
        <w:ind w:firstLine="482"/>
      </w:pPr>
      <w:r>
        <w:rPr>
          <w:rFonts w:ascii="宋体" w:hAnsi="宋体" w:eastAsia="宋体"/>
          <w:sz w:val="24"/>
        </w:rPr>
        <w:t>本章系统讲解了 VR/AR 硬件设备的技术原理与选型策略。在 HMD 技术方面，我们分析了菲涅尔透镜、Pancake 光学和光波导三种光学方案的原理与优劣，比较了 Fast LCD、OLED、Micro-OLED 和 Micro-LED 四种显示面板技术的特征，讨论了 FOV 和分辨率对沉浸感的影响。在追踪技术方面，我们梳理了外向内与内向外追踪的技术路线，深入讲解了 SLAM 算法和视觉-惯性混合追踪的原理，辨析了 3DoF 与 6DoF 追踪的本质区别。在交互设备方面，我们介绍了手柄控制器、手势识别、眼动追踪和脑机接口四类交互输入设备的技术原理与适用场景。最后，从实训教学的角度提出了 VR/AR 硬件选型的策略框架和实训室配置方案。</w:t>
      </w:r>
    </w:p>
    <w:p/>
    <w:p>
      <w:pPr>
        <w:ind w:firstLine="482"/>
      </w:pPr>
      <w:r>
        <w:rPr>
          <w:rFonts w:ascii="宋体" w:hAnsi="宋体" w:eastAsia="宋体"/>
          <w:sz w:val="24"/>
        </w:rPr>
        <w:t>理解硬件设备的技术原理对于沉浸式场景制作至关重要——只有深入了解硬件的能力边界和约束条件，才能设计出在目标设备上流畅运行且体验优良的 VR/AR 应用。第3章将在此基础上，从硬件技术走向体验理论，探讨沉浸感的心理学机制和体验设计原则。同时，本章所讨论的硬件选型策略将贯穿全书所有实训项目——从第10章 VR 全景项目的相机选型，到第11章 AR 导览项目的移动设备适配，再到第12章元宇宙项目的多终端协同，硬件设备的选型决策始终是沉浸式场景制作的技术基石。</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菲涅尔透镜、Pancake 光学和光波导各自的光学原理是什么？分别适用于哪类设备？</w:t>
      </w:r>
    </w:p>
    <w:p>
      <w:pPr>
        <w:pStyle w:val="ListNumber"/>
      </w:pPr>
      <w:r>
        <w:rPr>
          <w:rFonts w:ascii="宋体" w:hAnsi="宋体" w:eastAsia="宋体"/>
          <w:b/>
          <w:sz w:val="24"/>
        </w:rPr>
        <w:t>（理解）</w:t>
      </w:r>
      <w:r>
        <w:rPr>
          <w:rFonts w:ascii="宋体" w:hAnsi="宋体" w:eastAsia="宋体"/>
          <w:sz w:val="24"/>
        </w:rPr>
        <w:t xml:space="preserve"> 解释视觉-惯性混合追踪（VIO）如何结合光学追踪和惯性追踪的优势，克服各自的缺点。</w:t>
      </w:r>
    </w:p>
    <w:p>
      <w:pPr>
        <w:pStyle w:val="ListNumber"/>
      </w:pPr>
      <w:r>
        <w:rPr>
          <w:rFonts w:ascii="宋体" w:hAnsi="宋体" w:eastAsia="宋体"/>
          <w:b/>
          <w:sz w:val="24"/>
        </w:rPr>
        <w:t>（应用）</w:t>
      </w:r>
      <w:r>
        <w:rPr>
          <w:rFonts w:ascii="宋体" w:hAnsi="宋体" w:eastAsia="宋体"/>
          <w:sz w:val="24"/>
        </w:rPr>
        <w:t xml:space="preserve"> 针对一个需要在户外景区使用的 AR 导览应用，选择合适的硬件方案并说明理由。</w:t>
      </w:r>
    </w:p>
    <w:p>
      <w:pPr>
        <w:pStyle w:val="ListNumber"/>
      </w:pPr>
      <w:r>
        <w:rPr>
          <w:rFonts w:ascii="宋体" w:hAnsi="宋体" w:eastAsia="宋体"/>
          <w:b/>
          <w:sz w:val="24"/>
        </w:rPr>
        <w:t>（分析）</w:t>
      </w:r>
      <w:r>
        <w:rPr>
          <w:rFonts w:ascii="宋体" w:hAnsi="宋体" w:eastAsia="宋体"/>
          <w:sz w:val="24"/>
        </w:rPr>
        <w:t xml:space="preserve"> 比较 Meta Quest 3 和 Apple Vision Pro 在显示技术、光学方案和交互方式上的差异，分析这些差异如何影响用户体验。</w:t>
      </w:r>
    </w:p>
    <w:p>
      <w:pPr>
        <w:pStyle w:val="ListNumber"/>
      </w:pPr>
      <w:r>
        <w:rPr>
          <w:rFonts w:ascii="宋体" w:hAnsi="宋体" w:eastAsia="宋体"/>
          <w:b/>
          <w:sz w:val="24"/>
        </w:rPr>
        <w:t>（评价）</w:t>
      </w:r>
      <w:r>
        <w:rPr>
          <w:rFonts w:ascii="宋体" w:hAnsi="宋体" w:eastAsia="宋体"/>
          <w:sz w:val="24"/>
        </w:rPr>
        <w:t xml:space="preserve"> 评估手势识别技术在当前阶段是否已足够成熟以替代手柄控制器，在哪些场景下手势交互更优，哪些场景下手柄仍不可替代？</w:t>
      </w:r>
    </w:p>
    <w:p>
      <w:pPr>
        <w:pStyle w:val="ListNumber"/>
      </w:pPr>
      <w:r>
        <w:rPr>
          <w:rFonts w:ascii="宋体" w:hAnsi="宋体" w:eastAsia="宋体"/>
          <w:b/>
          <w:sz w:val="24"/>
        </w:rPr>
        <w:t>（创造）</w:t>
      </w:r>
      <w:r>
        <w:rPr>
          <w:rFonts w:ascii="宋体" w:hAnsi="宋体" w:eastAsia="宋体"/>
          <w:sz w:val="24"/>
        </w:rPr>
        <w:t xml:space="preserve"> 设计一个支持 40 名学生同时上课的 VR/AR 实训室硬件配置方案，包含设备选型、布局和管理制度。</w:t>
      </w:r>
    </w:p>
    <w:p/>
    <w:p>
      <w:pPr>
        <w:pStyle w:val="Heading2"/>
      </w:pPr>
      <w:r>
        <w:t>参考文献</w:t>
      </w:r>
    </w:p>
    <w:p/>
    <w:p>
      <w:pPr>
        <w:ind w:firstLine="482"/>
      </w:pPr>
      <w:r>
        <w:rPr>
          <w:rFonts w:ascii="宋体" w:hAnsi="宋体" w:eastAsia="宋体"/>
          <w:sz w:val="24"/>
        </w:rPr>
        <w:t>[1] 张向军, 黄国书, 邱涛, 等. (2024). 基于ARM平台的VR头部追踪系统的设计与实现. 万方数据.</w:t>
      </w:r>
    </w:p>
    <w:p/>
    <w:p>
      <w:pPr>
        <w:ind w:firstLine="482"/>
      </w:pPr>
      <w:r>
        <w:rPr>
          <w:rFonts w:ascii="宋体" w:hAnsi="宋体" w:eastAsia="宋体"/>
          <w:sz w:val="24"/>
        </w:rPr>
        <w:t>[2] 姬晓婷. (2021). VR显示：多种技术争奇斗艳. 万方数据.</w:t>
      </w:r>
    </w:p>
    <w:p/>
    <w:p>
      <w:pPr>
        <w:ind w:firstLine="482"/>
      </w:pPr>
      <w:r>
        <w:rPr>
          <w:rFonts w:ascii="宋体" w:hAnsi="宋体" w:eastAsia="宋体"/>
          <w:sz w:val="24"/>
        </w:rPr>
        <w:t>[3] Koulieris, G. A., Akşit, K., Stengel, M., Mantiuk, R. K., Mania, K., &amp; Richardt, C. (2019). Near-Eye Display and Tracking Technologies for Virtual and Augmented Reality. Computer Graphics Forum, 38(2), 493-519. https://doi.org/10.1111/cgf.13654</w:t>
      </w:r>
    </w:p>
    <w:p/>
    <w:p>
      <w:pPr>
        <w:ind w:firstLine="482"/>
      </w:pPr>
      <w:r>
        <w:rPr>
          <w:rFonts w:ascii="宋体" w:hAnsi="宋体" w:eastAsia="宋体"/>
          <w:sz w:val="24"/>
        </w:rPr>
        <w:t>[4] de Quinto, C., Navarro, A., Otero, G., et al. (2024). On the impact of VR/AR applications on optical transport networks: First experiments with Meta Quest 3. IEEE ICTON. https://doi.org/10.1109/ICTON62926.2024.10647326</w:t>
      </w:r>
    </w:p>
    <w:p/>
    <w:p>
      <w:pPr>
        <w:ind w:firstLine="482"/>
      </w:pPr>
      <w:r>
        <w:rPr>
          <w:rFonts w:ascii="宋体" w:hAnsi="宋体" w:eastAsia="宋体"/>
          <w:sz w:val="24"/>
        </w:rPr>
        <w:t>[5] Slater, M., &amp; Sanchez-Vives, M. V. (2016). Enhancing Our Lives with Immersive Virtual Reality. Frontiers in Robotics and AI, 3, 74. https://doi.org/10.3389/frobt.2016.00074</w:t>
      </w:r>
    </w:p>
    <w:p/>
    <w:p>
      <w:pPr>
        <w:ind w:firstLine="482"/>
      </w:pPr>
      <w:r>
        <w:rPr>
          <w:rFonts w:ascii="宋体" w:hAnsi="宋体" w:eastAsia="宋体"/>
          <w:sz w:val="24"/>
        </w:rPr>
        <w:t>[6] Kourtesis, P., Collina, S., Doumas, L. A. A., &amp; MacPherson, S. E. (2019). Technological Competence Is a Pre-condition for Effective Implementation of Virtual Reality Head Mounted Displays in Human Neuroscience. Frontiers in Human Neuroscience, 13, 342. https://doi.org/10.3389/fnhum.2019.00342</w:t>
      </w:r>
    </w:p>
    <w:p/>
    <w:p>
      <w:pPr>
        <w:ind w:firstLine="482"/>
      </w:pPr>
      <w:r>
        <w:rPr>
          <w:rFonts w:ascii="宋体" w:hAnsi="宋体" w:eastAsia="宋体"/>
          <w:sz w:val="24"/>
        </w:rPr>
        <w:t>[7] 张涛. (2024). 基于EasyAR在AR眼镜上呈现虚拟立方体的方法. 万方数据.</w:t>
      </w:r>
    </w:p>
    <w:p/>
    <w:p>
      <w:pPr>
        <w:ind w:firstLine="482"/>
      </w:pPr>
      <w:r>
        <w:rPr>
          <w:rFonts w:ascii="宋体" w:hAnsi="宋体" w:eastAsia="宋体"/>
          <w:sz w:val="24"/>
        </w:rPr>
        <w:t>[8] 虞红, 张文杰, 李明强. (1997). 基于超声定位的立体头盔显示系统. 万方数据.</w:t>
      </w:r>
    </w:p>
    <w:p/>
    <w:p>
      <w:pPr>
        <w:ind w:firstLine="482"/>
      </w:pPr>
      <w:r>
        <w:rPr>
          <w:rFonts w:ascii="宋体" w:hAnsi="宋体" w:eastAsia="宋体"/>
          <w:sz w:val="24"/>
        </w:rPr>
        <w:t>[9] Mittal, R., Karre, S. A., &amp; Reddy, Y. R. (2021). Designing Limitless Path in Virtual Reality Environment. arXiv:2105.10720. https://arxiv.org/abs/2105.10720</w:t>
      </w:r>
    </w:p>
    <w:p/>
    <w:p>
      <w:pPr>
        <w:ind w:firstLine="482"/>
      </w:pPr>
      <w:r>
        <w:rPr>
          <w:rFonts w:ascii="宋体" w:hAnsi="宋体" w:eastAsia="宋体"/>
          <w:sz w:val="24"/>
        </w:rPr>
        <w:t>[10] Liu, S., Ma, K., Yang, B., Li, H., &amp; Tao, X. (2020). Textile Electronics for VR/AR Applications. Advanced Functional Materials, 31(7), 2007254. https://doi.org/10.1002/adfm.202007254</w:t>
      </w:r>
    </w:p>
    <w:p/>
    <w:p>
      <w:pPr>
        <w:ind w:firstLine="482"/>
      </w:pPr>
      <w:r>
        <w:rPr>
          <w:rFonts w:ascii="宋体" w:hAnsi="宋体" w:eastAsia="宋体"/>
          <w:sz w:val="24"/>
        </w:rPr>
        <w:t>[11] 张波, 孙俊, 商蕾, 等. (2019). 基于HMD的船舶虚拟消防训练系统设计及实现. 万方数据.</w:t>
      </w:r>
    </w:p>
    <w:p/>
    <w:p>
      <w:pPr>
        <w:ind w:firstLine="482"/>
      </w:pPr>
      <w:r>
        <w:rPr>
          <w:rFonts w:ascii="宋体" w:hAnsi="宋体" w:eastAsia="宋体"/>
          <w:sz w:val="24"/>
        </w:rPr>
        <w:t>[12] Alarcón Ruiz, R. (2020). Augmented Reality for the enhancement of space product assurance and safety. Acta Astronautica, 167, 32-39. https://doi.org/10.1016/j.actaastro.2019.10.020</w:t>
      </w:r>
    </w:p>
    <w:p/>
    <w:p>
      <w:pPr>
        <w:ind w:firstLine="482"/>
      </w:pPr>
      <w:r>
        <w:rPr>
          <w:rFonts w:ascii="宋体" w:hAnsi="宋体" w:eastAsia="宋体"/>
          <w:sz w:val="24"/>
        </w:rPr>
        <w:t>[13] Azuma, R. T. (1997). A Survey of Augmented Reality. Presence: Teleoperators and Virtual Environments, 6(4), 355-385. https://doi.org/10.1162/pres.1997.6.4.355</w:t>
      </w:r>
    </w:p>
    <w:p/>
    <w:p>
      <w:pPr>
        <w:ind w:firstLine="482"/>
      </w:pPr>
      <w:r>
        <w:rPr>
          <w:rFonts w:ascii="宋体" w:hAnsi="宋体" w:eastAsia="宋体"/>
          <w:sz w:val="24"/>
        </w:rPr>
        <w:t>[14] Azuma, R. T., Baillot, Y., Behringer, R., Feiner, S. K., Julier, S., &amp; MacIntyre, B. (2001). Recent Advances in Augmented Reality. IEEE Computer Graphics and Applications, 21(6), 34-47. https://doi.org/10.1109/38.963459</w:t>
      </w:r>
    </w:p>
    <w:p/>
    <w:p>
      <w:pPr>
        <w:ind w:firstLine="482"/>
      </w:pPr>
      <w:r>
        <w:rPr>
          <w:rFonts w:ascii="宋体" w:hAnsi="宋体" w:eastAsia="宋体"/>
          <w:sz w:val="24"/>
        </w:rPr>
        <w:t>[15] Milgram, P., &amp; Kishino, F. (1994). A Taxonomy of Mixed Reality Visual Displays. IEICE Transactions on Information Systems, E77-D(12), 1321-1329.</w:t>
      </w:r>
    </w:p>
    <w:p/>
    <w:p>
      <w:pPr>
        <w:ind w:firstLine="482"/>
      </w:pPr>
      <w:r>
        <w:rPr>
          <w:rFonts w:ascii="宋体" w:hAnsi="宋体" w:eastAsia="宋体"/>
          <w:sz w:val="24"/>
        </w:rPr>
        <w:t>[16] Saha, N., Gadow, V., &amp; Harik, R. (2025). Emerging Technologies in AR and VR for Manufacturing Applications: A Comprehensive Review. Journal of Manufacturing and Materials Processing, 9(9), 297. https://doi.org/10.3390/jmmp9090297</w:t>
      </w:r>
    </w:p>
    <w:p/>
    <w:p>
      <w:pPr>
        <w:ind w:firstLine="482"/>
      </w:pPr>
      <w:r>
        <w:rPr>
          <w:rFonts w:ascii="宋体" w:hAnsi="宋体" w:eastAsia="宋体"/>
          <w:sz w:val="24"/>
        </w:rPr>
        <w:t>[17] Marougkas, A., Troussas, C., Krouska, A., &amp; Sgouropoulou, C. (2021). A Framework for Personalized Fully Immersive Virtual Reality Learning Environments with Gamified Design in Education. In Frontiers in Artificial Intelligence and Applications (Vol. 342, pp. 101-109). https://doi.org/10.3233/faia210080</w:t>
      </w:r>
    </w:p>
    <w:p/>
    <w:p>
      <w:pPr>
        <w:ind w:firstLine="482"/>
      </w:pPr>
      <w:r>
        <w:rPr>
          <w:rFonts w:ascii="宋体" w:hAnsi="宋体" w:eastAsia="宋体"/>
          <w:sz w:val="24"/>
        </w:rPr>
        <w:t>[18] Gavish, N., Gutierrez, T., Webel, S., Rodriguez, J., &amp; Tecchia, F. (2011). Design Guidelines for the Development of Virtual Reality and Augmented Reality Training Systems for Maintenance and Assembly Tasks. BIO Web of Conferences, 1, 00029. https://doi.org/10.1051/BIOCONF/20110100029</w:t>
      </w:r>
    </w:p>
    <w:p/>
    <w:p>
      <w:r>
        <w:br w:type="page"/>
      </w:r>
    </w:p>
    <w:p>
      <w:pPr>
        <w:pStyle w:val="Heading1"/>
      </w:pPr>
      <w:r>
        <w:t>第3章 沉浸感理论与体验设计基础</w:t>
      </w:r>
    </w:p>
    <w:p>
      <w:pPr>
        <w:jc w:val="center"/>
      </w:pPr>
      <w:r>
        <w:drawing>
          <wp:inline xmlns:a="http://schemas.openxmlformats.org/drawingml/2006/main" xmlns:pic="http://schemas.openxmlformats.org/drawingml/2006/picture">
            <wp:extent cx="5040000" cy="3862120"/>
            <wp:docPr id="4" name="Picture 4"/>
            <wp:cNvGraphicFramePr>
              <a:graphicFrameLocks noChangeAspect="1"/>
            </wp:cNvGraphicFramePr>
            <a:graphic>
              <a:graphicData uri="http://schemas.openxmlformats.org/drawingml/2006/picture">
                <pic:pic>
                  <pic:nvPicPr>
                    <pic:cNvPr id="0" name="fig04_immersion_radar.png"/>
                    <pic:cNvPicPr/>
                  </pic:nvPicPr>
                  <pic:blipFill>
                    <a:blip r:embed="rId11"/>
                    <a:stretch>
                      <a:fillRect/>
                    </a:stretch>
                  </pic:blipFill>
                  <pic:spPr>
                    <a:xfrm>
                      <a:off x="0" y="0"/>
                      <a:ext cx="5040000" cy="3862120"/>
                    </a:xfrm>
                    <a:prstGeom prst="rect"/>
                  </pic:spPr>
                </pic:pic>
              </a:graphicData>
            </a:graphic>
          </wp:inline>
        </w:drawing>
      </w:r>
    </w:p>
    <w:p/>
    <w:p>
      <w:pPr>
        <w:pStyle w:val="Heading2"/>
      </w:pPr>
      <w:r>
        <w:t>学习目标</w:t>
      </w:r>
    </w:p>
    <w:p/>
    <w:p>
      <w:pPr>
        <w:ind w:firstLine="482"/>
      </w:pPr>
      <w:r>
        <w:rPr>
          <w:rFonts w:ascii="宋体" w:hAnsi="宋体" w:eastAsia="宋体"/>
          <w:sz w:val="24"/>
        </w:rPr>
        <w:t>完成本章学习后，读者应当能够：</w:t>
      </w:r>
    </w:p>
    <w:p/>
    <w:p>
      <w:pPr>
        <w:pStyle w:val="ListNumber"/>
      </w:pPr>
      <w:r>
        <w:rPr>
          <w:rFonts w:ascii="宋体" w:hAnsi="宋体" w:eastAsia="宋体"/>
          <w:b/>
          <w:sz w:val="24"/>
        </w:rPr>
        <w:t>识记</w:t>
      </w:r>
      <w:r>
        <w:rPr>
          <w:rFonts w:ascii="宋体" w:hAnsi="宋体" w:eastAsia="宋体"/>
          <w:sz w:val="24"/>
        </w:rPr>
        <w:t>：沉浸感（Immersion）与临场感（Presence）的概念区别，Steuer 的远程临场维度理论，Slater 的临场感三元模型。</w:t>
      </w:r>
    </w:p>
    <w:p>
      <w:pPr>
        <w:pStyle w:val="ListNumber"/>
      </w:pPr>
      <w:r>
        <w:rPr>
          <w:rFonts w:ascii="宋体" w:hAnsi="宋体" w:eastAsia="宋体"/>
          <w:b/>
          <w:sz w:val="24"/>
        </w:rPr>
        <w:t>理解</w:t>
      </w:r>
      <w:r>
        <w:rPr>
          <w:rFonts w:ascii="宋体" w:hAnsi="宋体" w:eastAsia="宋体"/>
          <w:sz w:val="24"/>
        </w:rPr>
        <w:t>：沉浸感三层级模型（感官沉浸、叙事沉浸、社交沉浸）的内涵及其影响因素，VR 眩晕的生理机制与感觉冲突理论。</w:t>
      </w:r>
    </w:p>
    <w:p>
      <w:pPr>
        <w:pStyle w:val="ListNumber"/>
      </w:pPr>
      <w:r>
        <w:rPr>
          <w:rFonts w:ascii="宋体" w:hAnsi="宋体" w:eastAsia="宋体"/>
          <w:b/>
          <w:sz w:val="24"/>
        </w:rPr>
        <w:t>应用</w:t>
      </w:r>
      <w:r>
        <w:rPr>
          <w:rFonts w:ascii="宋体" w:hAnsi="宋体" w:eastAsia="宋体"/>
          <w:sz w:val="24"/>
        </w:rPr>
        <w:t>：运用沉浸感设计原则（多感官一致性、自然交互、渐进式沉浸）指导 VR/AR 场景的体验设计。</w:t>
      </w:r>
    </w:p>
    <w:p>
      <w:pPr>
        <w:pStyle w:val="ListNumber"/>
      </w:pPr>
      <w:r>
        <w:rPr>
          <w:rFonts w:ascii="宋体" w:hAnsi="宋体" w:eastAsia="宋体"/>
          <w:b/>
          <w:sz w:val="24"/>
        </w:rPr>
        <w:t>分析</w:t>
      </w:r>
      <w:r>
        <w:rPr>
          <w:rFonts w:ascii="宋体" w:hAnsi="宋体" w:eastAsia="宋体"/>
          <w:sz w:val="24"/>
        </w:rPr>
        <w:t>：分析影响沉浸感的技术因素、内容因素、个体因素和环境因素及其交互作用。</w:t>
      </w:r>
    </w:p>
    <w:p>
      <w:pPr>
        <w:pStyle w:val="ListNumber"/>
      </w:pPr>
      <w:r>
        <w:rPr>
          <w:rFonts w:ascii="宋体" w:hAnsi="宋体" w:eastAsia="宋体"/>
          <w:b/>
          <w:sz w:val="24"/>
        </w:rPr>
        <w:t>评价</w:t>
      </w:r>
      <w:r>
        <w:rPr>
          <w:rFonts w:ascii="宋体" w:hAnsi="宋体" w:eastAsia="宋体"/>
          <w:sz w:val="24"/>
        </w:rPr>
        <w:t>：使用 SSQ 量表和舒适度评估方法评价 VR 应用的眩晕程度和用户体验质量。</w:t>
      </w:r>
    </w:p>
    <w:p>
      <w:pPr>
        <w:pStyle w:val="ListNumber"/>
      </w:pPr>
      <w:r>
        <w:rPr>
          <w:rFonts w:ascii="宋体" w:hAnsi="宋体" w:eastAsia="宋体"/>
          <w:b/>
          <w:sz w:val="24"/>
        </w:rPr>
        <w:t>创造</w:t>
      </w:r>
      <w:r>
        <w:rPr>
          <w:rFonts w:ascii="宋体" w:hAnsi="宋体" w:eastAsia="宋体"/>
          <w:sz w:val="24"/>
        </w:rPr>
        <w:t>：设计一个平衡沉浸感与舒适度的 VR 文旅体验方案，包含眩晕缓解策略和舒适度优化措施。</w:t>
      </w:r>
    </w:p>
    <w:p/>
    <w:p>
      <w:pPr>
        <w:pStyle w:val="Heading2"/>
      </w:pPr>
      <w:r>
        <w:t>导入案例：VR 交互体验中沉浸感与舒适度的平衡设计</w:t>
      </w:r>
    </w:p>
    <w:p/>
    <w:p>
      <w:pPr>
        <w:ind w:firstLine="482"/>
      </w:pPr>
      <w:r>
        <w:rPr>
          <w:rFonts w:ascii="宋体" w:hAnsi="宋体" w:eastAsia="宋体"/>
          <w:sz w:val="24"/>
        </w:rPr>
        <w:t>张晓婷等人在其研究中探讨了 VR 交互体验中沉浸感与舒适度之间的平衡问题[1]。他们发现了一个看似矛盾的现象：提升沉浸感的某些技术手段（如更大的视场角、更快的移动速度）反而会加剧用户的眩晕不适。例如，当视场角从 90 度扩大到 110 度时，用户的视觉沉浸感显著增强，但同时运动病的发生率也上升了约 30%。这一发现揭示了沉浸感与舒适度之间存在的内在张力——沉浸感要求尽可能真实地模拟现实世界的感官刺激，而舒适度则要求避免引发感觉冲突的刺激模式。</w:t>
      </w:r>
    </w:p>
    <w:p/>
    <w:p>
      <w:pPr>
        <w:ind w:firstLine="482"/>
      </w:pPr>
      <w:r>
        <w:rPr>
          <w:rFonts w:ascii="宋体" w:hAnsi="宋体" w:eastAsia="宋体"/>
          <w:sz w:val="24"/>
        </w:rPr>
        <w:t>这一案例引出了本章的核心问题：沉浸感的本质是什么？哪些因素影响沉浸感？VR 眩晕的成因机制是什么？如何在沉浸感与舒适度之间找到最优平衡？本章将系统回答这些问题，为后续章节的场景制作提供理论指导。</w:t>
      </w:r>
    </w:p>
    <w:p/>
    <w:p>
      <w:pPr>
        <w:ind w:firstLine="482"/>
      </w:pPr>
      <w:r>
        <w:rPr>
          <w:rFonts w:ascii="宋体" w:hAnsi="宋体" w:eastAsia="宋体"/>
          <w:sz w:val="24"/>
        </w:rPr>
        <w:t>---</w:t>
      </w:r>
    </w:p>
    <w:p/>
    <w:p>
      <w:pPr>
        <w:pStyle w:val="Heading2"/>
      </w:pPr>
      <w:r>
        <w:t>3.1 沉浸感理论谱系</w:t>
      </w:r>
    </w:p>
    <w:p/>
    <w:p>
      <w:pPr>
        <w:pStyle w:val="Heading3"/>
      </w:pPr>
      <w:r>
        <w:t>3.1.1 Steuer 的远程临场维度理论</w:t>
      </w:r>
    </w:p>
    <w:p/>
    <w:p>
      <w:pPr>
        <w:ind w:firstLine="482"/>
      </w:pPr>
      <w:r>
        <w:rPr>
          <w:rFonts w:ascii="宋体" w:hAnsi="宋体" w:eastAsia="宋体"/>
          <w:sz w:val="24"/>
        </w:rPr>
        <w:t>Steuer 在 1992 年发表的经典论文《Defining Virtual Reality: Dimensions Determining Telepresence》中，提出了理解虚拟现实的两个核心维度：生动性（Vividness）和交互性（Interactivity）[2]。这一定义超越了当时以硬件设备为中心的 VR 定义方式，将 VR 理解为一种"体验变量"——不同技术组合产生的体验质量是连续的，而非"有 VR/无 VR"的二元判断。</w:t>
      </w:r>
    </w:p>
    <w:p/>
    <w:p>
      <w:pPr>
        <w:ind w:firstLine="482"/>
      </w:pPr>
      <w:r>
        <w:rPr>
          <w:rFonts w:ascii="宋体" w:hAnsi="宋体" w:eastAsia="宋体"/>
          <w:b/>
          <w:sz w:val="24"/>
        </w:rPr>
        <w:t>生动性</w:t>
      </w:r>
      <w:r>
        <w:rPr>
          <w:rFonts w:ascii="宋体" w:hAnsi="宋体" w:eastAsia="宋体"/>
          <w:sz w:val="24"/>
        </w:rPr>
        <w:t>指虚拟环境提供的感官信息的丰富程度，包括两个子维度：广度（Breadth）和深度（Depth）。广度指同时刺激的感官通道数量——一个仅提供视觉信息的 VR 系统生动性较低，而同时提供视觉、听觉、触觉甚至嗅觉信息的系统生动性更高。深度指每个感官通道的信息质量——分辨率越高、色彩越丰富、帧率越快，深度越大。生动性的广度和深度共同决定了虚拟环境的"逼真度"[2]。</w:t>
      </w:r>
    </w:p>
    <w:p/>
    <w:p>
      <w:pPr>
        <w:ind w:firstLine="482"/>
      </w:pPr>
      <w:r>
        <w:rPr>
          <w:rFonts w:ascii="宋体" w:hAnsi="宋体" w:eastAsia="宋体"/>
          <w:b/>
          <w:sz w:val="24"/>
        </w:rPr>
        <w:t>交互性</w:t>
      </w:r>
      <w:r>
        <w:rPr>
          <w:rFonts w:ascii="宋体" w:hAnsi="宋体" w:eastAsia="宋体"/>
          <w:sz w:val="24"/>
        </w:rPr>
        <w:t>指用户对虚拟环境形式的控制程度，也包括三个子维度：速度（Speed）、范围（Range）和映射（Mapping）。速度指用户的操作转化为环境变化的时间延迟——延迟越低，交互性越强。范围指用户可执行的操作类型和数量——操作种类越多，交互性越强。映射指用户操作与环境变化之间的自然程度——操作与变化之间的因果关系越直觉化，交互性越强。</w:t>
      </w:r>
    </w:p>
    <w:p/>
    <w:p>
      <w:pPr>
        <w:ind w:firstLine="482"/>
      </w:pPr>
      <w:r>
        <w:rPr>
          <w:rFonts w:ascii="宋体" w:hAnsi="宋体" w:eastAsia="宋体"/>
          <w:sz w:val="24"/>
        </w:rPr>
        <w:t>Steuer 的理论最重要的贡献在于：它将 VR 的定义从"使用什么设备"转向"产生什么体验"。根据这一理论，一本引人入胜的小说也可以被视为具有某种程度的"VR"——它通过文字激发读者的想象力，产生叙事层面的临场感。这一观点为后续的沉浸感多层级理论奠定了基础。</w:t>
      </w:r>
    </w:p>
    <w:p/>
    <w:p>
      <w:pPr>
        <w:pStyle w:val="Heading3"/>
      </w:pPr>
      <w:r>
        <w:t>3.1.2 Slater 的临场感三元模型</w:t>
      </w:r>
    </w:p>
    <w:p/>
    <w:p>
      <w:pPr>
        <w:ind w:firstLine="482"/>
      </w:pPr>
      <w:r>
        <w:rPr>
          <w:rFonts w:ascii="宋体" w:hAnsi="宋体" w:eastAsia="宋体"/>
          <w:sz w:val="24"/>
        </w:rPr>
        <w:t>Slater 和 Sanchez-Vives 在其系列研究中提出了临场感（Presence）的三元模型，将临场感区分为三个不同层次[3]：</w:t>
      </w:r>
    </w:p>
    <w:p/>
    <w:p>
      <w:pPr>
        <w:ind w:firstLine="482"/>
      </w:pPr>
      <w:r>
        <w:rPr>
          <w:rFonts w:ascii="宋体" w:hAnsi="宋体" w:eastAsia="宋体"/>
          <w:b/>
          <w:sz w:val="24"/>
        </w:rPr>
        <w:t>PI（Personal Presence / 个人临场感）</w:t>
      </w:r>
      <w:r>
        <w:rPr>
          <w:rFonts w:ascii="宋体" w:hAnsi="宋体" w:eastAsia="宋体"/>
          <w:sz w:val="24"/>
        </w:rPr>
        <w:t>：用户主观上感觉"自己存在于虚拟环境中"的程度。这是最常被讨论的临场感类型，通常通过主观问卷测量（如 Slater-Usoh-Steed 问卷、IPQ 问卷）。PI 的产生需要视觉、听觉等感官线索足够逼真，使大脑"误以为"自己身处虚拟环境而非物理环境。</w:t>
      </w:r>
    </w:p>
    <w:p/>
    <w:p>
      <w:pPr>
        <w:ind w:firstLine="482"/>
      </w:pPr>
      <w:r>
        <w:rPr>
          <w:rFonts w:ascii="宋体" w:hAnsi="宋体" w:eastAsia="宋体"/>
          <w:b/>
          <w:sz w:val="24"/>
        </w:rPr>
        <w:t>PSI（Social Presence / 社交临场感）</w:t>
      </w:r>
      <w:r>
        <w:rPr>
          <w:rFonts w:ascii="宋体" w:hAnsi="宋体" w:eastAsia="宋体"/>
          <w:sz w:val="24"/>
        </w:rPr>
        <w:t>：用户感觉"虚拟环境中的其他角色是有意识的存在"的程度。在多人 VR 或包含虚拟 NPC 的场景中，PSI 衡量用户是否将虚拟角色视为"真实的人"而非计算机程序。高 PSI 的标志是用户对虚拟角色产生情感反应——如对虚拟导游的微笑报以微笑，对虚拟威胁感到恐惧。</w:t>
      </w:r>
    </w:p>
    <w:p/>
    <w:p>
      <w:pPr>
        <w:ind w:firstLine="482"/>
      </w:pPr>
      <w:r>
        <w:rPr>
          <w:rFonts w:ascii="宋体" w:hAnsi="宋体" w:eastAsia="宋体"/>
          <w:b/>
          <w:sz w:val="24"/>
        </w:rPr>
        <w:t>Psi（Presence of Self / 自我临场感）</w:t>
      </w:r>
      <w:r>
        <w:rPr>
          <w:rFonts w:ascii="宋体" w:hAnsi="宋体" w:eastAsia="宋体"/>
          <w:sz w:val="24"/>
        </w:rPr>
        <w:t>：用户对"自己的虚拟化身"的认同程度。当用户在 VR 中拥有一个虚拟身体（Avatar），且能够通过身体动作控制该化身时，大脑可能将虚拟身体纳入自身的身体图式（Body Schema），产生"虚拟身体是我的身体"的错觉。这种错觉被称为"身体所有权幻觉"（Body Ownership Illusion），是 VR 沉浸感的最高层次[3]。</w:t>
      </w:r>
    </w:p>
    <w:p/>
    <w:p>
      <w:pPr>
        <w:ind w:firstLine="482"/>
      </w:pPr>
      <w:r>
        <w:rPr>
          <w:rFonts w:ascii="宋体" w:hAnsi="宋体" w:eastAsia="宋体"/>
          <w:sz w:val="24"/>
        </w:rPr>
        <w:t>Slater 的三元模型为 VR 体验设计提供了明确的目标层次：感官层面的 PI 要求高质量的视听渲染和追踪；社交层面的 PSI 要求自然的虚拟角色行为和交互；自我层面的 Psi 要求精细的身体追踪和化身同步。在文旅 VR 场景中，PI 是基础目标（让用户感觉"我在景区中"），PSI 是进阶目标（让用户感觉"导游在和我说话"），Psi 是高级目标（让用户感觉"这个虚拟身体是我的"）。</w:t>
      </w:r>
    </w:p>
    <w:p/>
    <w:p>
      <w:pPr>
        <w:pStyle w:val="Heading3"/>
      </w:pPr>
      <w:r>
        <w:t>3.1.3 沉浸感的三层级：感官沉浸、叙事沉浸、社交沉浸</w:t>
      </w:r>
    </w:p>
    <w:p/>
    <w:p>
      <w:pPr>
        <w:ind w:firstLine="482"/>
      </w:pPr>
      <w:r>
        <w:rPr>
          <w:rFonts w:ascii="宋体" w:hAnsi="宋体" w:eastAsia="宋体"/>
          <w:sz w:val="24"/>
        </w:rPr>
        <w:t>综合 Steuer 和 Slater 的理论以及后续研究，本书将沉浸感归纳为三个层级：</w:t>
      </w:r>
    </w:p>
    <w:p/>
    <w:p>
      <w:pPr>
        <w:ind w:firstLine="482"/>
      </w:pPr>
      <w:r>
        <w:rPr>
          <w:rFonts w:ascii="宋体" w:hAnsi="宋体" w:eastAsia="宋体"/>
          <w:b/>
          <w:sz w:val="24"/>
        </w:rPr>
        <w:t>感官沉浸（Sensory Immersion）</w:t>
      </w:r>
      <w:r>
        <w:rPr>
          <w:rFonts w:ascii="宋体" w:hAnsi="宋体" w:eastAsia="宋体"/>
          <w:sz w:val="24"/>
        </w:rPr>
        <w:t xml:space="preserve"> 是沉浸感的最基础层级，指用户的感官系统被虚拟环境的刺激所"占据"，使其难以感知真实物理环境的存在。感官沉浸的实现依赖硬件性能——足够大的视场角、足够高的分辨率和帧率、精确的头部追踪和空间音频。当这些技术条件满足时，用户的视觉和听觉系统会被虚拟内容完全占据，物理环境的感官信息被"屏蔽"，产生"身处他处"的错觉[4]。</w:t>
      </w:r>
    </w:p>
    <w:p/>
    <w:p>
      <w:pPr>
        <w:ind w:firstLine="482"/>
      </w:pPr>
      <w:r>
        <w:rPr>
          <w:rFonts w:ascii="宋体" w:hAnsi="宋体" w:eastAsia="宋体"/>
          <w:b/>
          <w:sz w:val="24"/>
        </w:rPr>
        <w:t>叙事沉浸（Narrative Immersion）</w:t>
      </w:r>
      <w:r>
        <w:rPr>
          <w:rFonts w:ascii="宋体" w:hAnsi="宋体" w:eastAsia="宋体"/>
          <w:sz w:val="24"/>
        </w:rPr>
        <w:t xml:space="preserve"> 指用户被虚拟环境中的故事情节和角色关系所吸引，产生心理层面的沉浸。叙事沉浸不依赖高保真的感官刺激——一本好书也能产生强烈的叙事沉浸。但在 VR 中，叙事沉浸与感官沉浸的协同可以产生远超传统媒体的沉浸体验。VR 中的叙事沉浸设计需要考虑"在场叙事"（用户作为故事中的角色亲身经历）与"旁观叙事"（用户作为旁观者观看故事发展）两种模式的选择，以及用户自主性与叙事控制之间的平衡[5]。</w:t>
      </w:r>
    </w:p>
    <w:p/>
    <w:p>
      <w:pPr>
        <w:ind w:firstLine="482"/>
      </w:pPr>
      <w:r>
        <w:rPr>
          <w:rFonts w:ascii="宋体" w:hAnsi="宋体" w:eastAsia="宋体"/>
          <w:b/>
          <w:sz w:val="24"/>
        </w:rPr>
        <w:t>社交沉浸（Social Immersion）</w:t>
      </w:r>
      <w:r>
        <w:rPr>
          <w:rFonts w:ascii="宋体" w:hAnsi="宋体" w:eastAsia="宋体"/>
          <w:sz w:val="24"/>
        </w:rPr>
        <w:t xml:space="preserve"> 指用户与其他人（真实用户或虚拟角色）在虚拟空间中建立社交连接的程度。社交沉浸是多人 VR 体验的核心——当用户不仅感觉"我在虚拟环境中"，还感觉"我和其他人在一起"时，社交沉浸就产生了。社交沉浸的实现需要虚拟化身的表情同步、语音通信的实时性、以及共享空间中的协同交互能力。</w:t>
      </w:r>
    </w:p>
    <w:p/>
    <w:p>
      <w:pPr>
        <w:ind w:firstLine="482"/>
      </w:pPr>
      <w:r>
        <w:rPr>
          <w:rFonts w:ascii="宋体" w:hAnsi="宋体" w:eastAsia="宋体"/>
          <w:sz w:val="24"/>
        </w:rPr>
        <w:t>在文旅场景中，三层级沉浸感的设计具有明确的实践指导意义。以一个 VR 古镇漫游项目为例：感官沉浸层面，需要确保古镇建筑的 3D 模型纹理清晰、空间音频准确还原街道环境声、用户头部转动时画面流畅更新——这些是实现"我在古镇中"这一基础感受的前提。叙事沉浸层面，可以设计一条贯穿古镇历史的文化线索——用户在探索过程中逐步发现古镇的历史故事、人物传说和文化内涵，而非简单地观看建筑——这种叙事设计使用户从"看景"转向"入境"。社交沉浸层面，可以引入虚拟导游 NPC 或支持多人同时在线——虚拟导游通过语音和文化知识讲解与用户互动，多位用户可以在同一虚拟古镇中相遇、交流和协作探索，使体验从"孤独的旅行"变为"丰富的社交"。</w:t>
      </w:r>
    </w:p>
    <w:p/>
    <w:p>
      <w:pPr>
        <w:ind w:firstLine="482"/>
      </w:pPr>
      <w:r>
        <w:rPr>
          <w:rFonts w:ascii="宋体" w:hAnsi="宋体" w:eastAsia="宋体"/>
          <w:sz w:val="24"/>
        </w:rPr>
        <w:t>Checa 和 Bustillo 在其教育 VR 严肃游戏综述中指出，三层级沉浸感的有效整合是教育 VR 体验成功的关键——仅依赖感官刺激的 VR 体验虽然初期吸引人，但缺乏持续参与的动力；而将感官、叙事和社交三层级有机融合的体验能够产生深度学习和情感共鸣[9]。这一发现对文旅 VR 同样适用：仅靠视觉奇观吸引游客的 VR 项目难以形成口碑效应，而融合文化叙事和社交互动的沉浸式体验才能创造持久的游客价值。</w:t>
      </w:r>
    </w:p>
    <w:p/>
    <w:p>
      <w:pPr>
        <w:spacing w:before="60" w:after="60"/>
        <w:ind w:left="567"/>
      </w:pPr>
      <w:r>
        <w:rPr>
          <w:rFonts w:ascii="楷体" w:hAnsi="楷体" w:eastAsia="楷体"/>
          <w:i/>
          <w:sz w:val="22"/>
        </w:rPr>
        <w:t>**知识卡片：沉浸感 vs 临场感**</w:t>
      </w:r>
    </w:p>
    <w:p>
      <w:pPr>
        <w:spacing w:before="60" w:after="60"/>
        <w:ind w:left="567"/>
      </w:pPr>
      <w:r>
        <w:rPr>
          <w:rFonts w:ascii="楷体" w:hAnsi="楷体" w:eastAsia="楷体"/>
          <w:i/>
          <w:sz w:val="22"/>
        </w:rPr>
        <w:t>沉浸感（Immersion）和临场感（Presence）在中文语境中常被混用，但在学术上有明确区分：</w:t>
      </w:r>
    </w:p>
    <w:p>
      <w:pPr>
        <w:spacing w:before="60" w:after="60"/>
        <w:ind w:left="567"/>
      </w:pPr>
      <w:r>
        <w:rPr>
          <w:rFonts w:ascii="楷体" w:hAnsi="楷体" w:eastAsia="楷体"/>
          <w:i/>
          <w:sz w:val="22"/>
        </w:rPr>
        <w:t>- **沉浸感**：客观的技术描述，指硬件系统提供的感官刺激质量（如 FOV、分辨率、帧率）。一台设备的沉浸感是可量化的客观参数。</w:t>
      </w:r>
    </w:p>
    <w:p>
      <w:pPr>
        <w:spacing w:before="60" w:after="60"/>
        <w:ind w:left="567"/>
      </w:pPr>
      <w:r>
        <w:rPr>
          <w:rFonts w:ascii="楷体" w:hAnsi="楷体" w:eastAsia="楷体"/>
          <w:i/>
          <w:sz w:val="22"/>
        </w:rPr>
        <w:t>- **临场感**：主观的心理体验，指用户"感觉自己在虚拟环境中"的程度。临场感是用户的心理反应，因人而异。</w:t>
      </w:r>
    </w:p>
    <w:p>
      <w:pPr>
        <w:spacing w:before="60" w:after="60"/>
        <w:ind w:left="567"/>
      </w:pPr>
      <w:r>
        <w:rPr>
          <w:rFonts w:ascii="楷体" w:hAnsi="楷体" w:eastAsia="楷体"/>
          <w:i/>
          <w:sz w:val="22"/>
        </w:rPr>
        <w:t>- **关系**：高沉浸感的硬件是产生临场感的必要条件，但非充分条件——内容质量、个体差异等因素同样影响临场感。</w:t>
      </w:r>
    </w:p>
    <w:p/>
    <w:p>
      <w:pPr>
        <w:pStyle w:val="Heading3"/>
      </w:pPr>
      <w:r>
        <w:t>3.1.4 心流理论与沉浸体验</w:t>
      </w:r>
    </w:p>
    <w:p/>
    <w:p>
      <w:pPr>
        <w:ind w:firstLine="482"/>
      </w:pPr>
      <w:r>
        <w:rPr>
          <w:rFonts w:ascii="宋体" w:hAnsi="宋体" w:eastAsia="宋体"/>
          <w:sz w:val="24"/>
        </w:rPr>
        <w:t>心流（Flow）理论由心理学家 Csikszentmihalyi 提出，描述了一种"完全投入当前活动"的最优体验状态。心流状态的特征包括：注意力高度集中、行动与意识融合、自我意识消失、时间感知扭曲、以及活动本身的内在奖励性[6]。</w:t>
      </w:r>
    </w:p>
    <w:p/>
    <w:p>
      <w:pPr>
        <w:ind w:firstLine="482"/>
      </w:pPr>
      <w:r>
        <w:rPr>
          <w:rFonts w:ascii="宋体" w:hAnsi="宋体" w:eastAsia="宋体"/>
          <w:sz w:val="24"/>
        </w:rPr>
        <w:t>心流理论与 VR 沉浸感有着天然的关联。在 VR 体验中，当用户的技能水平与任务挑战之间达到平衡时，用户可能进入心流状态——此时用户不再意识到自己戴着头显，完全沉浸在虚拟世界的交互中。心流理论对 VR 体验设计的指导意义在于"挑战-技能平衡"原则：体验设计应提供适当的难度梯度，使不同技能水平的用户都能找到心流通道。如果任务太简单，用户会感到无聊；如果任务太难，用户会感到焦虑——两种情况都会破坏沉浸感[6]。</w:t>
      </w:r>
    </w:p>
    <w:p/>
    <w:p>
      <w:pPr>
        <w:ind w:firstLine="482"/>
      </w:pPr>
      <w:r>
        <w:rPr>
          <w:rFonts w:ascii="宋体" w:hAnsi="宋体" w:eastAsia="宋体"/>
          <w:sz w:val="24"/>
        </w:rPr>
        <w:t>在文旅 VR 场景中，心流理论可以指导交互设计：虚拟导览的交互操作不应过于复杂（避免焦虑），也不应过于简单（避免无聊），而应提供渐进式的探索任务——从简单的环境观察，到主动寻找信息点，再到与虚拟角色互动完成文化任务——使用户在探索过程中持续保持心流状态。</w:t>
      </w:r>
    </w:p>
    <w:p/>
    <w:p>
      <w:pPr>
        <w:ind w:firstLine="482"/>
      </w:pPr>
      <w:r>
        <w:rPr>
          <w:rFonts w:ascii="宋体" w:hAnsi="宋体" w:eastAsia="宋体"/>
          <w:sz w:val="24"/>
        </w:rPr>
        <w:t>Mulders 等人在其沉浸式 VR 学习环境框架中进一步阐述了心流理论在 VR 教育中的应用价值[8]。他们指出，VR 环境的沉浸感能够有效屏蔽外部干扰，使用户的注意力资源完全集中于当前任务，这正是心流状态的前提条件。然而，VR 的沉浸性也是一把双刃剑——如果任务设计不当，过度沉浸可能导致用户忽视学习目标而仅仅沉迷于感官体验。因此，VR 教育设计需要在沉浸感与学习目标之间建立清晰的映射关系，确保沉浸感服务于学习而非分散注意力。Badilla-Quintana 和 Sandoval-Henríquez 的研究也证实了这一点——在虚拟世界中的教师培训项目中，当沉浸式体验与教学任务紧密结合时，学员的学习动机和参与度显著提升；而当沉浸感与任务脱节时，学习效果反而不如传统教学[6]。</w:t>
      </w:r>
    </w:p>
    <w:p/>
    <w:p>
      <w:pPr>
        <w:ind w:firstLine="482"/>
      </w:pPr>
      <w:r>
        <w:rPr>
          <w:rFonts w:ascii="宋体" w:hAnsi="宋体" w:eastAsia="宋体"/>
          <w:sz w:val="24"/>
        </w:rPr>
        <w:t>在沉浸式场景制作实训中，心流理论对课程设计有直接指导意义。实训项目应设计适当的难度梯度——从简单的全景拍摄（低挑战、低技能），到中等难度的 Unity 交互开发（中挑战、中技能），再到综合性的元宇宙场景制作（高挑战、高技能）——使学生在学习过程中持续处于心流通道中。同时，每个实训阶段应设置明确的阶段性目标和即时反馈机制，让学生能够感知自己的进步，维持内在动机。Allison 等人的研究通过测量学生在沉浸式虚拟学习环境中的用户体验、激活状态和任务表现，发现心流状态与学习效果呈正相关——处于心流状态的学生不仅体验更好，任务完成质量和知识保留率也更高[11]。</w:t>
      </w:r>
    </w:p>
    <w:p/>
    <w:p>
      <w:pPr>
        <w:pStyle w:val="Heading2"/>
      </w:pPr>
      <w:r>
        <w:t>3.2 沉浸感的影响因素</w:t>
      </w:r>
    </w:p>
    <w:p/>
    <w:p>
      <w:pPr>
        <w:pStyle w:val="Heading3"/>
      </w:pPr>
      <w:r>
        <w:t>3.2.1 技术因素</w:t>
      </w:r>
    </w:p>
    <w:p/>
    <w:p>
      <w:pPr>
        <w:ind w:firstLine="482"/>
      </w:pPr>
      <w:r>
        <w:rPr>
          <w:rFonts w:ascii="宋体" w:hAnsi="宋体" w:eastAsia="宋体"/>
          <w:sz w:val="24"/>
        </w:rPr>
        <w:t>技术因素是沉浸感的物质基础，主要包括以下参数：</w:t>
      </w:r>
    </w:p>
    <w:p/>
    <w:p>
      <w:pPr>
        <w:ind w:firstLine="482"/>
      </w:pPr>
      <w:r>
        <w:rPr>
          <w:rFonts w:ascii="宋体" w:hAnsi="宋体" w:eastAsia="宋体"/>
          <w:b/>
          <w:sz w:val="24"/>
        </w:rPr>
        <w:t>帧率（Frame Rate）</w:t>
      </w:r>
      <w:r>
        <w:rPr>
          <w:rFonts w:ascii="宋体" w:hAnsi="宋体" w:eastAsia="宋体"/>
          <w:sz w:val="24"/>
        </w:rPr>
        <w:t xml:space="preserve"> 是影响 VR 沉浸感最关键的技术参数。VR 头显的帧率必须与头部追踪的更新频率严格同步——当用户转头时，画面必须在下一次屏幕刷新前更新完毕，否则用户会感知到画面与头部运动的"不同步"，产生运动错觉和眩晕。当前 VR 系统的最低帧率标准为 72fps，推荐标准为 90fps，高端设备可达 120fps[4]。</w:t>
      </w:r>
    </w:p>
    <w:p/>
    <w:p>
      <w:pPr>
        <w:ind w:firstLine="482"/>
      </w:pPr>
      <w:r>
        <w:rPr>
          <w:rFonts w:ascii="宋体" w:hAnsi="宋体" w:eastAsia="宋体"/>
          <w:b/>
          <w:sz w:val="24"/>
        </w:rPr>
        <w:t>运动-光子延迟（Motion-to-Photon Latency, MTP）</w:t>
      </w:r>
      <w:r>
        <w:rPr>
          <w:rFonts w:ascii="宋体" w:hAnsi="宋体" w:eastAsia="宋体"/>
          <w:sz w:val="24"/>
        </w:rPr>
        <w:t xml:space="preserve"> 指从用户头部运动开始到屏幕上对应像素更新完成的时间。MTP 延迟是 VR 系统中最关键的性能指标之一——当 MTP 延迟超过 20ms 时，用户会明显感知到画面"滞后"于头部运动，导致沉浸感中断和眩晕。Apple Vision Pro 的 R1 芯片将 MTP 延迟控制在 12ms 以内，是目前消费级设备中的最佳表现[7]。</w:t>
      </w:r>
    </w:p>
    <w:p/>
    <w:p>
      <w:pPr>
        <w:ind w:firstLine="482"/>
      </w:pPr>
      <w:r>
        <w:rPr>
          <w:rFonts w:ascii="宋体" w:hAnsi="宋体" w:eastAsia="宋体"/>
          <w:b/>
          <w:sz w:val="24"/>
        </w:rPr>
        <w:t>视场角（FOV）</w:t>
      </w:r>
      <w:r>
        <w:rPr>
          <w:rFonts w:ascii="宋体" w:hAnsi="宋体" w:eastAsia="宋体"/>
          <w:sz w:val="24"/>
        </w:rPr>
        <w:t xml:space="preserve"> 和</w:t>
      </w:r>
      <w:r>
        <w:rPr>
          <w:rFonts w:ascii="宋体" w:hAnsi="宋体" w:eastAsia="宋体"/>
          <w:b/>
          <w:sz w:val="24"/>
        </w:rPr>
        <w:t>分辨率</w:t>
      </w:r>
      <w:r>
        <w:rPr>
          <w:rFonts w:ascii="宋体" w:hAnsi="宋体" w:eastAsia="宋体"/>
          <w:sz w:val="24"/>
        </w:rPr>
        <w:t>共同决定了视觉沉浸感的质量。如第2章所述，人类视觉系统的水平视场角约 200 度，而当前 VR 头显的 FOV 约 90-110 度，存在显著差距。FOV 不足时，用户的周边视觉被截断，产生"管窥"感。分辨率不足则导致纱门效应和文字模糊，破坏虚拟世界的真实感[4]。</w:t>
      </w:r>
    </w:p>
    <w:p/>
    <w:p>
      <w:pPr>
        <w:ind w:firstLine="482"/>
      </w:pPr>
      <w:r>
        <w:rPr>
          <w:rFonts w:ascii="宋体" w:hAnsi="宋体" w:eastAsia="宋体"/>
          <w:b/>
          <w:sz w:val="24"/>
        </w:rPr>
        <w:t>追踪精度</w:t>
      </w:r>
      <w:r>
        <w:rPr>
          <w:rFonts w:ascii="宋体" w:hAnsi="宋体" w:eastAsia="宋体"/>
          <w:sz w:val="24"/>
        </w:rPr>
        <w:t>和</w:t>
      </w:r>
      <w:r>
        <w:rPr>
          <w:rFonts w:ascii="宋体" w:hAnsi="宋体" w:eastAsia="宋体"/>
          <w:b/>
          <w:sz w:val="24"/>
        </w:rPr>
        <w:t>追踪范围</w:t>
      </w:r>
      <w:r>
        <w:rPr>
          <w:rFonts w:ascii="宋体" w:hAnsi="宋体" w:eastAsia="宋体"/>
          <w:sz w:val="24"/>
        </w:rPr>
        <w:t>影响用户的交互沉浸感。追踪精度不足会导致虚拟手的微小抖动，破坏"虚拟手是我的手"的错觉。追踪范围有限则限制用户的活动空间，使自由探索变为"被束缚的体验"。</w:t>
      </w:r>
    </w:p>
    <w:p/>
    <w:p>
      <w:pPr>
        <w:ind w:firstLine="482"/>
      </w:pPr>
      <w:r>
        <w:rPr>
          <w:rFonts w:ascii="宋体" w:hAnsi="宋体" w:eastAsia="宋体"/>
          <w:b/>
          <w:sz w:val="24"/>
        </w:rPr>
        <w:t>空间音频质量</w:t>
      </w:r>
      <w:r>
        <w:rPr>
          <w:rFonts w:ascii="宋体" w:hAnsi="宋体" w:eastAsia="宋体"/>
          <w:sz w:val="24"/>
        </w:rPr>
        <w:t>是经常被忽视但极其重要的技术因素。人类 auditory 系统具有极强的空间定位能力——我们能够通过双耳时间差（ITD）、双耳强度差（IID）和头部相关传递函数（HRTF）精确判断声源的方向和距离。在 VR 中，如果音频系统仅提供立体声而非真正的 3D 空间音频，用户会感觉声音"不自然"，即使视觉画面再逼真也难以产生完整的临场感。高质量的空间音频需要个性化的 HRTF 测量、精确的头部追踪同步、以及环境声学模拟（如回声、混响）。在文旅 VR 场景中，空间音频的重要性尤为突出——寺庙的钟声应该从正确的方向传来，溪流的水声应该随距离衰减，脚步声应该根据地面材质变化——这些听觉细节与视觉信息协同构成了完整的沉浸感[4]。</w:t>
      </w:r>
    </w:p>
    <w:p/>
    <w:p>
      <w:pPr>
        <w:ind w:firstLine="482"/>
      </w:pPr>
      <w:r>
        <w:rPr>
          <w:rFonts w:ascii="宋体" w:hAnsi="宋体" w:eastAsia="宋体"/>
          <w:b/>
          <w:sz w:val="24"/>
        </w:rPr>
        <w:t>触觉反馈精度</w:t>
      </w:r>
      <w:r>
        <w:rPr>
          <w:rFonts w:ascii="宋体" w:hAnsi="宋体" w:eastAsia="宋体"/>
          <w:sz w:val="24"/>
        </w:rPr>
        <w:t>对交互沉浸感有显著影响。当用户在 VR 中"触摸"虚拟物体时，如果手柄能够提供精确的振动反馈（如模拟不同材质的纹理感、不同重量的阻力感），用户的触觉系统会接收到与视觉一致的信息，大幅增强"虚拟物体是真实的"这一错觉。反之，如果触摸虚拟物体时没有任何触觉反馈，用户会立即意识到"这不是真的"，沉浸感被打破。触觉反馈与视觉反馈的时间同步要求极其严格——触觉反馈应在视觉接触事件发生后 10ms 内触发，否则用户会感知到"先看到接触，后感到振动"的不同步感[7]。</w:t>
      </w:r>
    </w:p>
    <w:p/>
    <w:p>
      <w:pPr>
        <w:ind w:firstLine="482"/>
      </w:pPr>
      <w:r>
        <w:rPr>
          <w:rFonts w:ascii="宋体" w:hAnsi="宋体" w:eastAsia="宋体"/>
          <w:b/>
          <w:sz w:val="24"/>
        </w:rPr>
        <w:t>渲染真实度</w:t>
      </w:r>
      <w:r>
        <w:rPr>
          <w:rFonts w:ascii="宋体" w:hAnsi="宋体" w:eastAsia="宋体"/>
          <w:sz w:val="24"/>
        </w:rPr>
        <w:t>包括光照模型、材质表现和物理模拟三个方面。光照模型决定了虚拟场景中光线与物体表面的交互方式——从简单的 Lambert 漫反射到复杂的路径追踪全局光照，光照真实度直接影响场景的"可信度"。材质表现通过 PBR（基于物理的渲染）材质系统模拟真实世界中不同材质（金属、木材、织物、皮肤）对光线的反射和散射特性。物理模拟则使虚拟物体的运动遵循物理定律——重力、碰撞、摩擦——使交互行为具有"物理合理性"。这三者的协同决定了虚拟场景的"真实感底线"，低于这一底线时，用户的大脑会持续发出"这是假的"信号，阻碍临场感的产生[4]。</w:t>
      </w:r>
    </w:p>
    <w:p/>
    <w:p>
      <w:pPr>
        <w:pStyle w:val="Heading3"/>
      </w:pPr>
      <w:r>
        <w:t>3.2.2 内容因素</w:t>
      </w:r>
    </w:p>
    <w:p/>
    <w:p>
      <w:pPr>
        <w:ind w:firstLine="482"/>
      </w:pPr>
      <w:r>
        <w:rPr>
          <w:rFonts w:ascii="宋体" w:hAnsi="宋体" w:eastAsia="宋体"/>
          <w:sz w:val="24"/>
        </w:rPr>
        <w:t>内容因素决定了沉浸感的"质量"而非"强度"——即使技术参数完美，如果内容设计粗糙，用户仍无法产生深层次的临场感。</w:t>
      </w:r>
    </w:p>
    <w:p/>
    <w:p>
      <w:pPr>
        <w:ind w:firstLine="482"/>
      </w:pPr>
      <w:r>
        <w:rPr>
          <w:rFonts w:ascii="宋体" w:hAnsi="宋体" w:eastAsia="宋体"/>
          <w:b/>
          <w:sz w:val="24"/>
        </w:rPr>
        <w:t>叙事结构</w:t>
      </w:r>
      <w:r>
        <w:rPr>
          <w:rFonts w:ascii="宋体" w:hAnsi="宋体" w:eastAsia="宋体"/>
          <w:sz w:val="24"/>
        </w:rPr>
        <w:t>影响叙事沉浸的深度。VR 中的叙事设计需要从传统媒体的"线性叙事"转向"空间叙事"——故事不是按时间线展开，而是按空间布局展开，用户通过在虚拟空间中移动和探索来发现故事碎片。这种叙事方式要求场景中的每个空间元素都承载叙事信息，使用户的注意力自然地被引导到故事线索上[5]。</w:t>
      </w:r>
    </w:p>
    <w:p/>
    <w:p>
      <w:pPr>
        <w:ind w:firstLine="482"/>
      </w:pPr>
      <w:r>
        <w:rPr>
          <w:rFonts w:ascii="宋体" w:hAnsi="宋体" w:eastAsia="宋体"/>
          <w:b/>
          <w:sz w:val="24"/>
        </w:rPr>
        <w:t>交互设计</w:t>
      </w:r>
      <w:r>
        <w:rPr>
          <w:rFonts w:ascii="宋体" w:hAnsi="宋体" w:eastAsia="宋体"/>
          <w:sz w:val="24"/>
        </w:rPr>
        <w:t>影响用户的参与感。自然交互（如用手抓取物体、用头看方向）比抽象交互（如按按钮触发事件）更容易产生沉浸感。交互设计应遵循"直接操作"原则——用户直接作用于虚拟对象而非通过菜单界面间接操作。</w:t>
      </w:r>
    </w:p>
    <w:p/>
    <w:p>
      <w:pPr>
        <w:ind w:firstLine="482"/>
      </w:pPr>
      <w:r>
        <w:rPr>
          <w:rFonts w:ascii="宋体" w:hAnsi="宋体" w:eastAsia="宋体"/>
          <w:b/>
          <w:sz w:val="24"/>
        </w:rPr>
        <w:t>视觉风格</w:t>
      </w:r>
      <w:r>
        <w:rPr>
          <w:rFonts w:ascii="宋体" w:hAnsi="宋体" w:eastAsia="宋体"/>
          <w:sz w:val="24"/>
        </w:rPr>
        <w:t>影响用户的接受度。写实风格通过高度逼真的渲染创造"如同真实"的错觉，适合文化遗产数字化等需要真实感的应用。风格化（Stylized）渲染通过艺术化的视觉语言创造"另一种真实"，适合游戏化教育体验。两种风格各有优势，选择应基于应用场景和目标用户[4]。</w:t>
      </w:r>
    </w:p>
    <w:p/>
    <w:p>
      <w:pPr>
        <w:ind w:firstLine="482"/>
      </w:pPr>
      <w:r>
        <w:rPr>
          <w:rFonts w:ascii="宋体" w:hAnsi="宋体" w:eastAsia="宋体"/>
          <w:sz w:val="24"/>
        </w:rPr>
        <w:t>在文旅 VR 场景中，视觉风格的选择需要考虑文化属性和用户体验目标。对于文化遗产数字化项目（如古建筑虚拟复原），写实风格是必然选择——它能够最大限度地还原文物的真实外观和材质质感，为用户提供"如同亲临"的观感。对于非遗文化体验项目（如民族节日 VR 体验），风格化渲染可能更加合适——艺术化的视觉语言可以强化文化氛围，避免写实风格可能带来的"蜡像感"。对于教育游戏化体验（如历史知识探索 VR 游戏），卡通风格能够降低用户的认知负荷，更适合年轻学生群体。</w:t>
      </w:r>
    </w:p>
    <w:p/>
    <w:p>
      <w:pPr>
        <w:ind w:firstLine="482"/>
      </w:pPr>
      <w:r>
        <w:rPr>
          <w:rFonts w:ascii="宋体" w:hAnsi="宋体" w:eastAsia="宋体"/>
          <w:sz w:val="24"/>
        </w:rPr>
        <w:t>Yang 在其研究中提出了 VR/AR 沉浸式学习的教育环境设计框架，强调了内容因素与技术因素的协同设计[12]。该框架指出，教育 VR 的内容设计应遵循三个原则：目标对齐（内容与学习目标一致）、认知适配（信息复杂度与用户认知水平匹配）、以及反馈即时性（用户操作能够获得即时且有意义的反馈）。这些原则与心流理论的要求形成了呼应，共同构成了沉浸式教育内容设计的指导体系。</w:t>
      </w:r>
    </w:p>
    <w:p/>
    <w:p>
      <w:pPr>
        <w:pStyle w:val="Heading3"/>
      </w:pPr>
      <w:r>
        <w:t>3.2.3 个体因素</w:t>
      </w:r>
    </w:p>
    <w:p/>
    <w:p>
      <w:pPr>
        <w:ind w:firstLine="482"/>
      </w:pPr>
      <w:r>
        <w:rPr>
          <w:rFonts w:ascii="宋体" w:hAnsi="宋体" w:eastAsia="宋体"/>
          <w:sz w:val="24"/>
        </w:rPr>
        <w:t>沉浸感的体验因人而异，个体差异是影响临场感的重要因素。</w:t>
      </w:r>
    </w:p>
    <w:p/>
    <w:p>
      <w:pPr>
        <w:ind w:firstLine="482"/>
      </w:pPr>
      <w:r>
        <w:rPr>
          <w:rFonts w:ascii="宋体" w:hAnsi="宋体" w:eastAsia="宋体"/>
          <w:b/>
          <w:sz w:val="24"/>
        </w:rPr>
        <w:t>年龄</w:t>
      </w:r>
      <w:r>
        <w:rPr>
          <w:rFonts w:ascii="宋体" w:hAnsi="宋体" w:eastAsia="宋体"/>
          <w:sz w:val="24"/>
        </w:rPr>
        <w:t>影响 VR 体验的接受度和舒适度。研究表明，年轻用户（18-35岁）通常更容易产生临场感，而老年用户可能需要更长的适应时间。儿童用户（12岁以下）的视觉系统仍在发育，VR 使用需特别谨慎[8]。</w:t>
      </w:r>
    </w:p>
    <w:p/>
    <w:p>
      <w:pPr>
        <w:ind w:firstLine="482"/>
      </w:pPr>
      <w:r>
        <w:rPr>
          <w:rFonts w:ascii="宋体" w:hAnsi="宋体" w:eastAsia="宋体"/>
          <w:b/>
          <w:sz w:val="24"/>
        </w:rPr>
        <w:t>游戏经验</w:t>
      </w:r>
      <w:r>
        <w:rPr>
          <w:rFonts w:ascii="宋体" w:hAnsi="宋体" w:eastAsia="宋体"/>
          <w:sz w:val="24"/>
        </w:rPr>
        <w:t>影响用户的交互学习速度和沉浸感阈值。有丰富游戏经验的用户对 VR 交互模式的适应更快，但也可能对标准 VR 体验的沉浸感要求更高（"见过更好的"效应）。缺乏游戏经验的用户可能需要更长的引导教程，但一旦适应后往往能获得更强的临场感[8]。</w:t>
      </w:r>
    </w:p>
    <w:p/>
    <w:p>
      <w:pPr>
        <w:ind w:firstLine="482"/>
      </w:pPr>
      <w:r>
        <w:rPr>
          <w:rFonts w:ascii="宋体" w:hAnsi="宋体" w:eastAsia="宋体"/>
          <w:b/>
          <w:sz w:val="24"/>
        </w:rPr>
        <w:t>认知风格</w:t>
      </w:r>
      <w:r>
        <w:rPr>
          <w:rFonts w:ascii="宋体" w:hAnsi="宋体" w:eastAsia="宋体"/>
          <w:sz w:val="24"/>
        </w:rPr>
        <w:t>影响用户的沉浸偏好。场依赖型用户更容易被环境氛围感染，产生较强的感官沉浸；场独立型用户更关注任务逻辑，叙事沉浸和社交沉浸可能更适合他们。了解目标用户群体的认知风格特征，有助于设计更有针对性的沉浸式体验[6]。</w:t>
      </w:r>
    </w:p>
    <w:p/>
    <w:p>
      <w:pPr>
        <w:ind w:firstLine="482"/>
      </w:pPr>
      <w:r>
        <w:rPr>
          <w:rFonts w:ascii="宋体" w:hAnsi="宋体" w:eastAsia="宋体"/>
          <w:b/>
          <w:sz w:val="24"/>
        </w:rPr>
        <w:t>性别差异</w:t>
      </w:r>
      <w:r>
        <w:rPr>
          <w:rFonts w:ascii="宋体" w:hAnsi="宋体" w:eastAsia="宋体"/>
          <w:sz w:val="24"/>
        </w:rPr>
        <w:t>在 VR 眩晕易感性方面也有研究关注。部分研究表明，女性在 VR 中的眩晕发生率略高于男性，这可能与荷尔蒙水平差异和前庭系统敏感度差异有关。但也有研究指出，这种差异可能部分源于 IPD 不匹配——女性的平均 IPD（约 62mm）小于男性（约 64mm），如果 VR 头显的 IPD 调节范围不能覆盖较窄的 IPD，女性用户可能因 IPD 不匹配而产生视觉疲劳和眩晕。这一发现强调了硬件适配性在 VR 用户体验中的重要性[8]。</w:t>
      </w:r>
    </w:p>
    <w:p/>
    <w:p>
      <w:pPr>
        <w:ind w:firstLine="482"/>
      </w:pPr>
      <w:r>
        <w:rPr>
          <w:rFonts w:ascii="宋体" w:hAnsi="宋体" w:eastAsia="宋体"/>
          <w:b/>
          <w:sz w:val="24"/>
        </w:rPr>
        <w:t>文化背景</w:t>
      </w:r>
      <w:r>
        <w:rPr>
          <w:rFonts w:ascii="宋体" w:hAnsi="宋体" w:eastAsia="宋体"/>
          <w:sz w:val="24"/>
        </w:rPr>
        <w:t>影响用户对 VR 内容的接受度和解读方式。不同文化背景的用户对虚拟场景中的符号、色彩、叙事方式可能有不同的理解和情感反应。例如，在中国文化语境中，红色通常代表喜庆和吉祥，而在部分西方文化中红色可能关联危险或警示。在文旅 VR 场景设计中，需要考虑目标用户的文化背景，避免因文化差异导致的不适或误解。对于面向国际游客的文旅 VR 项目，应提供多语言支持和文化适配的内容版本。</w:t>
      </w:r>
    </w:p>
    <w:p/>
    <w:p>
      <w:pPr>
        <w:ind w:firstLine="482"/>
      </w:pPr>
      <w:r>
        <w:rPr>
          <w:rFonts w:ascii="宋体" w:hAnsi="宋体" w:eastAsia="宋体"/>
          <w:b/>
          <w:sz w:val="24"/>
        </w:rPr>
        <w:t>先前 VR 经验</w:t>
      </w:r>
      <w:r>
        <w:rPr>
          <w:rFonts w:ascii="宋体" w:hAnsi="宋体" w:eastAsia="宋体"/>
          <w:sz w:val="24"/>
        </w:rPr>
        <w:t>是预测用户沉浸感的重要变量。首次使用 VR 的用户往往能获得更强的"新奇效应"——即使是技术参数一般的 VR 体验，对于首次用户也可能产生强烈的临场感。然而，随着使用次数增加，用户对 VR 技术的"免疫"逐渐形成，同样的体验难以再产生同等程度的沉浸感。这一现象要求 VR 内容开发者持续创新，不断提供新的体验维度（如加入社交互动、叙事深度、触觉反馈等），以维持老用户的沉浸感水平[8]。</w:t>
      </w:r>
    </w:p>
    <w:p/>
    <w:p>
      <w:pPr>
        <w:pStyle w:val="Heading3"/>
      </w:pPr>
      <w:r>
        <w:t>3.2.4 环境因素</w:t>
      </w:r>
    </w:p>
    <w:p/>
    <w:p>
      <w:pPr>
        <w:ind w:firstLine="482"/>
      </w:pPr>
      <w:r>
        <w:rPr>
          <w:rFonts w:ascii="宋体" w:hAnsi="宋体" w:eastAsia="宋体"/>
          <w:b/>
          <w:sz w:val="24"/>
        </w:rPr>
        <w:t>物理空间</w:t>
      </w:r>
      <w:r>
        <w:rPr>
          <w:rFonts w:ascii="宋体" w:hAnsi="宋体" w:eastAsia="宋体"/>
          <w:sz w:val="24"/>
        </w:rPr>
        <w:t>的大小和安全性直接影响 VR 体验的质量。空间过小会限制用户的活动范围，迫使频繁使用瞬移（Teleportation）而非自然行走，降低空间沉浸感。空间中的障碍物如果未被正确纳入安全边界，可能导致碰撞事故[4]。</w:t>
      </w:r>
    </w:p>
    <w:p/>
    <w:p>
      <w:pPr>
        <w:ind w:firstLine="482"/>
      </w:pPr>
      <w:r>
        <w:rPr>
          <w:rFonts w:ascii="宋体" w:hAnsi="宋体" w:eastAsia="宋体"/>
          <w:b/>
          <w:sz w:val="24"/>
        </w:rPr>
        <w:t>社交情境</w:t>
      </w:r>
      <w:r>
        <w:rPr>
          <w:rFonts w:ascii="宋体" w:hAnsi="宋体" w:eastAsia="宋体"/>
          <w:sz w:val="24"/>
        </w:rPr>
        <w:t>影响社交沉浸的产生。独自体验 VR 和与他人共同体验 VR 的沉浸感类型不同——独自体验更侧重感官和叙事沉浸，而多人共同体验中的社交互动能产生独特的社交沉浸感。在教育培训场景中，小组协作式 VR 体验往往比单人体验更能激发学习动机和参与度[8]。</w:t>
      </w:r>
    </w:p>
    <w:p/>
    <w:p>
      <w:pPr>
        <w:pStyle w:val="Heading2"/>
      </w:pPr>
      <w:r>
        <w:t>3.3 VR 眩晕与舒适度</w:t>
      </w:r>
    </w:p>
    <w:p/>
    <w:p>
      <w:pPr>
        <w:pStyle w:val="Heading3"/>
      </w:pPr>
      <w:r>
        <w:t>3.3.1 VR 眩晕的生理机制</w:t>
      </w:r>
    </w:p>
    <w:p/>
    <w:p>
      <w:pPr>
        <w:ind w:firstLine="482"/>
      </w:pPr>
      <w:r>
        <w:rPr>
          <w:rFonts w:ascii="宋体" w:hAnsi="宋体" w:eastAsia="宋体"/>
          <w:sz w:val="24"/>
        </w:rPr>
        <w:t>VR 眩晕（VR Sickness / Cybersickness）是 VR 体验中最常见的负面反应，症状包括恶心、头晕、眼疲劳、出汗和失衡感。VR 眩晕的发生率因研究而异，约 30-60% 的用户在首次使用 VR 时会经历不同程度的眩晕症状[1]。</w:t>
      </w:r>
    </w:p>
    <w:p/>
    <w:p>
      <w:pPr>
        <w:ind w:firstLine="482"/>
      </w:pPr>
      <w:r>
        <w:rPr>
          <w:rFonts w:ascii="宋体" w:hAnsi="宋体" w:eastAsia="宋体"/>
          <w:sz w:val="24"/>
        </w:rPr>
        <w:t>VR 眩晕的主流解释理论是</w:t>
      </w:r>
      <w:r>
        <w:rPr>
          <w:rFonts w:ascii="宋体" w:hAnsi="宋体" w:eastAsia="宋体"/>
          <w:b/>
          <w:sz w:val="24"/>
        </w:rPr>
        <w:t>感觉冲突理论（Sensory Conflict Theory）</w:t>
      </w:r>
      <w:r>
        <w:rPr>
          <w:rFonts w:ascii="宋体" w:hAnsi="宋体" w:eastAsia="宋体"/>
          <w:sz w:val="24"/>
        </w:rPr>
        <w:t>。该理论认为，VR 眩晕源于视觉前庭感觉之间的不一致：当用户在 VR 中"移动"时，视觉系统报告"我在运动"，但前庭系统（内耳平衡器官）报告"我静止不动"（因为用户的身体实际上没有移动）。这种感官信息冲突导致大脑产生困惑，触发了与食物中毒类似的呕吐反射——大脑"推断"自己可能中毒导致感官紊乱，于是启动呕吐机制排毒[1]。</w:t>
      </w:r>
    </w:p>
    <w:p/>
    <w:p>
      <w:pPr>
        <w:ind w:firstLine="482"/>
      </w:pPr>
      <w:r>
        <w:rPr>
          <w:rFonts w:ascii="宋体" w:hAnsi="宋体" w:eastAsia="宋体"/>
          <w:sz w:val="24"/>
        </w:rPr>
        <w:t>另一种解释是</w:t>
      </w:r>
      <w:r>
        <w:rPr>
          <w:rFonts w:ascii="宋体" w:hAnsi="宋体" w:eastAsia="宋体"/>
          <w:b/>
          <w:sz w:val="24"/>
        </w:rPr>
        <w:t>姿势控制理论（Postural Instability Theory）</w:t>
      </w:r>
      <w:r>
        <w:rPr>
          <w:rFonts w:ascii="宋体" w:hAnsi="宋体" w:eastAsia="宋体"/>
          <w:sz w:val="24"/>
        </w:rPr>
        <w:t>，认为 VR 眩晕源于用户在虚拟环境中无法有效维持身体姿势平衡。当视觉信息与身体感知不匹配时，用户的姿势控制系统受到干扰，产生不稳定感，进而引发眩晕症状。</w:t>
      </w:r>
    </w:p>
    <w:p/>
    <w:p>
      <w:pPr>
        <w:pStyle w:val="Heading3"/>
      </w:pPr>
      <w:r>
        <w:t>3.3.2 眩晕评估方法</w:t>
      </w:r>
    </w:p>
    <w:p/>
    <w:p>
      <w:pPr>
        <w:ind w:firstLine="482"/>
      </w:pPr>
      <w:r>
        <w:rPr>
          <w:rFonts w:ascii="宋体" w:hAnsi="宋体" w:eastAsia="宋体"/>
          <w:b/>
          <w:sz w:val="24"/>
        </w:rPr>
        <w:t>模拟器眩晕问卷（Simulator Sickness Questionnaire, SSQ）</w:t>
      </w:r>
      <w:r>
        <w:rPr>
          <w:rFonts w:ascii="宋体" w:hAnsi="宋体" w:eastAsia="宋体"/>
          <w:sz w:val="24"/>
        </w:rPr>
        <w:t xml:space="preserve"> 是 VR 眩晕评估的金标准。SSQ 由 Kennedy 等人于 1993 年开发，包含 16 个症状条目，分为恶心（Nausea）、眼球运动不适（Oculomotor）、迷失方向（Disorientation）三个子量表和一个总分。每个条目按"无/轻微/中度/重度"四级评分，通过加权计算得出各子量表得分和总分。SSQ 总分超过 20 表示明显眩晕症状，超过 40 表示严重眩晕[1]。</w:t>
      </w:r>
    </w:p>
    <w:p/>
    <w:p>
      <w:pPr>
        <w:spacing w:before="60" w:after="60"/>
        <w:ind w:left="567"/>
      </w:pPr>
      <w:r>
        <w:rPr>
          <w:rFonts w:ascii="楷体" w:hAnsi="楷体" w:eastAsia="楷体"/>
          <w:i/>
          <w:sz w:val="22"/>
        </w:rPr>
        <w:t>**知识卡片：SSQ 眩晕量表（精简版）**</w:t>
      </w:r>
    </w:p>
    <w:p>
      <w:pPr>
        <w:spacing w:before="60" w:after="60"/>
        <w:ind w:left="567"/>
      </w:pPr>
      <w:r>
        <w:rPr>
          <w:rFonts w:ascii="楷体" w:hAnsi="楷体" w:eastAsia="楷体"/>
          <w:i/>
          <w:sz w:val="22"/>
        </w:rPr>
        <w:t>请在 VR 体验后对以下症状进行评分（0=无，1=轻微，2=中度，3=重度）：</w:t>
      </w:r>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&gt;</w:t>
            </w:r>
          </w:p>
        </w:tc>
        <w:tc>
          <w:tcPr>
            <w:tcW w:type="dxa" w:w="1385"/>
            <w:shd w:fill="D9E2F3" w:val="clear"/>
          </w:tcPr>
          <w:p>
            <w:pPr>
              <w:jc w:val="center"/>
            </w:pPr>
            <w:r/>
            <w:r>
              <w:rPr>
                <w:rFonts w:ascii="黑体" w:hAnsi="黑体" w:eastAsia="黑体"/>
                <w:b/>
                <w:sz w:val="20"/>
              </w:rPr>
              <w:t>症状</w:t>
            </w:r>
          </w:p>
        </w:tc>
        <w:tc>
          <w:tcPr>
            <w:tcW w:type="dxa" w:w="1385"/>
            <w:shd w:fill="D9E2F3" w:val="clear"/>
          </w:tcPr>
          <w:p>
            <w:pPr>
              <w:jc w:val="center"/>
            </w:pPr>
            <w:r/>
            <w:r>
              <w:rPr>
                <w:rFonts w:ascii="黑体" w:hAnsi="黑体" w:eastAsia="黑体"/>
                <w:b/>
                <w:sz w:val="20"/>
              </w:rPr>
              <w:t>评分</w:t>
            </w:r>
          </w:p>
        </w:tc>
        <w:tc>
          <w:tcPr>
            <w:tcW w:type="dxa" w:w="1385"/>
            <w:shd w:fill="D9E2F3" w:val="clear"/>
          </w:tcPr>
          <w:p>
            <w:pPr>
              <w:jc w:val="center"/>
            </w:pPr>
            <w:r/>
            <w:r>
              <w:rPr>
                <w:rFonts w:ascii="黑体" w:hAnsi="黑体" w:eastAsia="黑体"/>
                <w:b/>
                <w:sz w:val="20"/>
              </w:rPr>
            </w:r>
          </w:p>
        </w:tc>
        <w:tc>
          <w:tcPr>
            <w:tcW w:type="dxa" w:w="1385"/>
            <w:shd w:fill="D9E2F3" w:val="clear"/>
          </w:tcPr>
          <w:p>
            <w:pPr>
              <w:jc w:val="center"/>
            </w:pPr>
            <w:r/>
            <w:r>
              <w:rPr>
                <w:rFonts w:ascii="黑体" w:hAnsi="黑体" w:eastAsia="黑体"/>
                <w:b/>
                <w:sz w:val="20"/>
              </w:rPr>
              <w:t>症状</w:t>
            </w:r>
          </w:p>
        </w:tc>
        <w:tc>
          <w:tcPr>
            <w:tcW w:type="dxa" w:w="1385"/>
            <w:shd w:fill="D9E2F3" w:val="clear"/>
          </w:tcPr>
          <w:p>
            <w:pPr>
              <w:jc w:val="center"/>
            </w:pPr>
            <w:r/>
            <w:r>
              <w:rPr>
                <w:rFonts w:ascii="黑体" w:hAnsi="黑体" w:eastAsia="黑体"/>
                <w:b/>
                <w:sz w:val="20"/>
              </w:rPr>
              <w:t>评分</w:t>
            </w:r>
          </w:p>
        </w:tc>
      </w:tr>
      <w:tr>
        <w:tc>
          <w:tcPr>
            <w:tcW w:type="dxa" w:w="1385"/>
          </w:tcPr>
          <w:p>
            <w:r/>
            <w:r>
              <w:rPr>
                <w:rFonts w:ascii="宋体" w:hAnsi="宋体" w:eastAsia="宋体"/>
                <w:sz w:val="20"/>
              </w:rPr>
              <w:t>&gt;</w:t>
            </w:r>
          </w:p>
        </w:tc>
        <w:tc>
          <w:tcPr>
            <w:tcW w:type="dxa" w:w="1385"/>
          </w:tcPr>
          <w:p>
            <w:r/>
            <w:r>
              <w:rPr>
                <w:rFonts w:ascii="宋体" w:hAnsi="宋体" w:eastAsia="宋体"/>
                <w:sz w:val="20"/>
              </w:rPr>
              <w:t>一般不适感</w:t>
            </w:r>
          </w:p>
        </w:tc>
        <w:tc>
          <w:tcPr>
            <w:tcW w:type="dxa" w:w="1385"/>
          </w:tcPr>
          <w:p>
            <w:r/>
            <w:r>
              <w:rPr>
                <w:rFonts w:ascii="宋体" w:hAnsi="宋体" w:eastAsia="宋体"/>
                <w:sz w:val="20"/>
              </w:rPr>
              <w:t>__</w:t>
            </w:r>
          </w:p>
        </w:tc>
        <w:tc>
          <w:tcPr>
            <w:tcW w:type="dxa" w:w="1385"/>
          </w:tcPr>
          <w:p>
            <w:r/>
            <w:r>
              <w:rPr>
                <w:rFonts w:ascii="宋体" w:hAnsi="宋体" w:eastAsia="宋体"/>
                <w:sz w:val="20"/>
              </w:rPr>
            </w:r>
          </w:p>
        </w:tc>
        <w:tc>
          <w:tcPr>
            <w:tcW w:type="dxa" w:w="1385"/>
          </w:tcPr>
          <w:p>
            <w:r/>
            <w:r>
              <w:rPr>
                <w:rFonts w:ascii="宋体" w:hAnsi="宋体" w:eastAsia="宋体"/>
                <w:sz w:val="20"/>
              </w:rPr>
              <w:t>聚焦困难</w:t>
            </w:r>
          </w:p>
        </w:tc>
        <w:tc>
          <w:tcPr>
            <w:tcW w:type="dxa" w:w="1385"/>
          </w:tcPr>
          <w:p>
            <w:r/>
            <w:r>
              <w:rPr>
                <w:rFonts w:ascii="宋体" w:hAnsi="宋体" w:eastAsia="宋体"/>
                <w:sz w:val="20"/>
              </w:rPr>
              <w:t>__</w:t>
            </w:r>
          </w:p>
        </w:tc>
      </w:tr>
      <w:tr>
        <w:tc>
          <w:tcPr>
            <w:tcW w:type="dxa" w:w="1385"/>
          </w:tcPr>
          <w:p>
            <w:r/>
            <w:r>
              <w:rPr>
                <w:rFonts w:ascii="宋体" w:hAnsi="宋体" w:eastAsia="宋体"/>
                <w:sz w:val="20"/>
              </w:rPr>
              <w:t>&gt;</w:t>
            </w:r>
          </w:p>
        </w:tc>
        <w:tc>
          <w:tcPr>
            <w:tcW w:type="dxa" w:w="1385"/>
          </w:tcPr>
          <w:p>
            <w:r/>
            <w:r>
              <w:rPr>
                <w:rFonts w:ascii="宋体" w:hAnsi="宋体" w:eastAsia="宋体"/>
                <w:sz w:val="20"/>
              </w:rPr>
              <w:t>疲劳</w:t>
            </w:r>
          </w:p>
        </w:tc>
        <w:tc>
          <w:tcPr>
            <w:tcW w:type="dxa" w:w="1385"/>
          </w:tcPr>
          <w:p>
            <w:r/>
            <w:r>
              <w:rPr>
                <w:rFonts w:ascii="宋体" w:hAnsi="宋体" w:eastAsia="宋体"/>
                <w:sz w:val="20"/>
              </w:rPr>
              <w:t>__</w:t>
            </w:r>
          </w:p>
        </w:tc>
        <w:tc>
          <w:tcPr>
            <w:tcW w:type="dxa" w:w="1385"/>
          </w:tcPr>
          <w:p>
            <w:r/>
            <w:r>
              <w:rPr>
                <w:rFonts w:ascii="宋体" w:hAnsi="宋体" w:eastAsia="宋体"/>
                <w:sz w:val="20"/>
              </w:rPr>
            </w:r>
          </w:p>
        </w:tc>
        <w:tc>
          <w:tcPr>
            <w:tcW w:type="dxa" w:w="1385"/>
          </w:tcPr>
          <w:p>
            <w:r/>
            <w:r>
              <w:rPr>
                <w:rFonts w:ascii="宋体" w:hAnsi="宋体" w:eastAsia="宋体"/>
                <w:sz w:val="20"/>
              </w:rPr>
              <w:t>头痛</w:t>
            </w:r>
          </w:p>
        </w:tc>
        <w:tc>
          <w:tcPr>
            <w:tcW w:type="dxa" w:w="1385"/>
          </w:tcPr>
          <w:p>
            <w:r/>
            <w:r>
              <w:rPr>
                <w:rFonts w:ascii="宋体" w:hAnsi="宋体" w:eastAsia="宋体"/>
                <w:sz w:val="20"/>
              </w:rPr>
              <w:t>__</w:t>
            </w:r>
          </w:p>
        </w:tc>
      </w:tr>
      <w:tr>
        <w:tc>
          <w:tcPr>
            <w:tcW w:type="dxa" w:w="1385"/>
          </w:tcPr>
          <w:p>
            <w:r/>
            <w:r>
              <w:rPr>
                <w:rFonts w:ascii="宋体" w:hAnsi="宋体" w:eastAsia="宋体"/>
                <w:sz w:val="20"/>
              </w:rPr>
              <w:t>&gt;</w:t>
            </w:r>
          </w:p>
        </w:tc>
        <w:tc>
          <w:tcPr>
            <w:tcW w:type="dxa" w:w="1385"/>
          </w:tcPr>
          <w:p>
            <w:r/>
            <w:r>
              <w:rPr>
                <w:rFonts w:ascii="宋体" w:hAnsi="宋体" w:eastAsia="宋体"/>
                <w:sz w:val="20"/>
              </w:rPr>
              <w:t>头痛</w:t>
            </w:r>
          </w:p>
        </w:tc>
        <w:tc>
          <w:tcPr>
            <w:tcW w:type="dxa" w:w="1385"/>
          </w:tcPr>
          <w:p>
            <w:r/>
            <w:r>
              <w:rPr>
                <w:rFonts w:ascii="宋体" w:hAnsi="宋体" w:eastAsia="宋体"/>
                <w:sz w:val="20"/>
              </w:rPr>
              <w:t>__</w:t>
            </w:r>
          </w:p>
        </w:tc>
        <w:tc>
          <w:tcPr>
            <w:tcW w:type="dxa" w:w="1385"/>
          </w:tcPr>
          <w:p>
            <w:r/>
            <w:r>
              <w:rPr>
                <w:rFonts w:ascii="宋体" w:hAnsi="宋体" w:eastAsia="宋体"/>
                <w:sz w:val="20"/>
              </w:rPr>
            </w:r>
          </w:p>
        </w:tc>
        <w:tc>
          <w:tcPr>
            <w:tcW w:type="dxa" w:w="1385"/>
          </w:tcPr>
          <w:p>
            <w:r/>
            <w:r>
              <w:rPr>
                <w:rFonts w:ascii="宋体" w:hAnsi="宋体" w:eastAsia="宋体"/>
                <w:sz w:val="20"/>
              </w:rPr>
              <w:t>眼胀</w:t>
            </w:r>
          </w:p>
        </w:tc>
        <w:tc>
          <w:tcPr>
            <w:tcW w:type="dxa" w:w="1385"/>
          </w:tcPr>
          <w:p>
            <w:r/>
            <w:r>
              <w:rPr>
                <w:rFonts w:ascii="宋体" w:hAnsi="宋体" w:eastAsia="宋体"/>
                <w:sz w:val="20"/>
              </w:rPr>
              <w:t>__</w:t>
            </w:r>
          </w:p>
        </w:tc>
      </w:tr>
      <w:tr>
        <w:tc>
          <w:tcPr>
            <w:tcW w:type="dxa" w:w="1385"/>
          </w:tcPr>
          <w:p>
            <w:r/>
            <w:r>
              <w:rPr>
                <w:rFonts w:ascii="宋体" w:hAnsi="宋体" w:eastAsia="宋体"/>
                <w:sz w:val="20"/>
              </w:rPr>
              <w:t>&gt;</w:t>
            </w:r>
          </w:p>
        </w:tc>
        <w:tc>
          <w:tcPr>
            <w:tcW w:type="dxa" w:w="1385"/>
          </w:tcPr>
          <w:p>
            <w:r/>
            <w:r>
              <w:rPr>
                <w:rFonts w:ascii="宋体" w:hAnsi="宋体" w:eastAsia="宋体"/>
                <w:sz w:val="20"/>
              </w:rPr>
              <w:t>眼疲劳</w:t>
            </w:r>
          </w:p>
        </w:tc>
        <w:tc>
          <w:tcPr>
            <w:tcW w:type="dxa" w:w="1385"/>
          </w:tcPr>
          <w:p>
            <w:r/>
            <w:r>
              <w:rPr>
                <w:rFonts w:ascii="宋体" w:hAnsi="宋体" w:eastAsia="宋体"/>
                <w:sz w:val="20"/>
              </w:rPr>
              <w:t>__</w:t>
            </w:r>
          </w:p>
        </w:tc>
        <w:tc>
          <w:tcPr>
            <w:tcW w:type="dxa" w:w="1385"/>
          </w:tcPr>
          <w:p>
            <w:r/>
            <w:r>
              <w:rPr>
                <w:rFonts w:ascii="宋体" w:hAnsi="宋体" w:eastAsia="宋体"/>
                <w:sz w:val="20"/>
              </w:rPr>
            </w:r>
          </w:p>
        </w:tc>
        <w:tc>
          <w:tcPr>
            <w:tcW w:type="dxa" w:w="1385"/>
          </w:tcPr>
          <w:p>
            <w:r/>
            <w:r>
              <w:rPr>
                <w:rFonts w:ascii="宋体" w:hAnsi="宋体" w:eastAsia="宋体"/>
                <w:sz w:val="20"/>
              </w:rPr>
              <w:t>视力模糊</w:t>
            </w:r>
          </w:p>
        </w:tc>
        <w:tc>
          <w:tcPr>
            <w:tcW w:type="dxa" w:w="1385"/>
          </w:tcPr>
          <w:p>
            <w:r/>
            <w:r>
              <w:rPr>
                <w:rFonts w:ascii="宋体" w:hAnsi="宋体" w:eastAsia="宋体"/>
                <w:sz w:val="20"/>
              </w:rPr>
              <w:t>__</w:t>
            </w:r>
          </w:p>
        </w:tc>
      </w:tr>
      <w:tr>
        <w:tc>
          <w:tcPr>
            <w:tcW w:type="dxa" w:w="1385"/>
          </w:tcPr>
          <w:p>
            <w:r/>
            <w:r>
              <w:rPr>
                <w:rFonts w:ascii="宋体" w:hAnsi="宋体" w:eastAsia="宋体"/>
                <w:sz w:val="20"/>
              </w:rPr>
              <w:t>&gt;</w:t>
            </w:r>
          </w:p>
        </w:tc>
        <w:tc>
          <w:tcPr>
            <w:tcW w:type="dxa" w:w="1385"/>
          </w:tcPr>
          <w:p>
            <w:r/>
            <w:r>
              <w:rPr>
                <w:rFonts w:ascii="宋体" w:hAnsi="宋体" w:eastAsia="宋体"/>
                <w:sz w:val="20"/>
              </w:rPr>
              <w:t>唾液增多</w:t>
            </w:r>
          </w:p>
        </w:tc>
        <w:tc>
          <w:tcPr>
            <w:tcW w:type="dxa" w:w="1385"/>
          </w:tcPr>
          <w:p>
            <w:r/>
            <w:r>
              <w:rPr>
                <w:rFonts w:ascii="宋体" w:hAnsi="宋体" w:eastAsia="宋体"/>
                <w:sz w:val="20"/>
              </w:rPr>
              <w:t>__</w:t>
            </w:r>
          </w:p>
        </w:tc>
        <w:tc>
          <w:tcPr>
            <w:tcW w:type="dxa" w:w="1385"/>
          </w:tcPr>
          <w:p>
            <w:r/>
            <w:r>
              <w:rPr>
                <w:rFonts w:ascii="宋体" w:hAnsi="宋体" w:eastAsia="宋体"/>
                <w:sz w:val="20"/>
              </w:rPr>
            </w:r>
          </w:p>
        </w:tc>
        <w:tc>
          <w:tcPr>
            <w:tcW w:type="dxa" w:w="1385"/>
          </w:tcPr>
          <w:p>
            <w:r/>
            <w:r>
              <w:rPr>
                <w:rFonts w:ascii="宋体" w:hAnsi="宋体" w:eastAsia="宋体"/>
                <w:sz w:val="20"/>
              </w:rPr>
              <w:t>头晕（闭眼）</w:t>
            </w:r>
          </w:p>
        </w:tc>
        <w:tc>
          <w:tcPr>
            <w:tcW w:type="dxa" w:w="1385"/>
          </w:tcPr>
          <w:p>
            <w:r/>
            <w:r>
              <w:rPr>
                <w:rFonts w:ascii="宋体" w:hAnsi="宋体" w:eastAsia="宋体"/>
                <w:sz w:val="20"/>
              </w:rPr>
              <w:t>__</w:t>
            </w:r>
          </w:p>
        </w:tc>
      </w:tr>
      <w:tr>
        <w:tc>
          <w:tcPr>
            <w:tcW w:type="dxa" w:w="1385"/>
          </w:tcPr>
          <w:p>
            <w:r/>
            <w:r>
              <w:rPr>
                <w:rFonts w:ascii="宋体" w:hAnsi="宋体" w:eastAsia="宋体"/>
                <w:sz w:val="20"/>
              </w:rPr>
              <w:t>&gt;</w:t>
            </w:r>
          </w:p>
        </w:tc>
        <w:tc>
          <w:tcPr>
            <w:tcW w:type="dxa" w:w="1385"/>
          </w:tcPr>
          <w:p>
            <w:r/>
            <w:r>
              <w:rPr>
                <w:rFonts w:ascii="宋体" w:hAnsi="宋体" w:eastAsia="宋体"/>
                <w:sz w:val="20"/>
              </w:rPr>
              <w:t>出汗</w:t>
            </w:r>
          </w:p>
        </w:tc>
        <w:tc>
          <w:tcPr>
            <w:tcW w:type="dxa" w:w="1385"/>
          </w:tcPr>
          <w:p>
            <w:r/>
            <w:r>
              <w:rPr>
                <w:rFonts w:ascii="宋体" w:hAnsi="宋体" w:eastAsia="宋体"/>
                <w:sz w:val="20"/>
              </w:rPr>
              <w:t>__</w:t>
            </w:r>
          </w:p>
        </w:tc>
        <w:tc>
          <w:tcPr>
            <w:tcW w:type="dxa" w:w="1385"/>
          </w:tcPr>
          <w:p>
            <w:r/>
            <w:r>
              <w:rPr>
                <w:rFonts w:ascii="宋体" w:hAnsi="宋体" w:eastAsia="宋体"/>
                <w:sz w:val="20"/>
              </w:rPr>
            </w:r>
          </w:p>
        </w:tc>
        <w:tc>
          <w:tcPr>
            <w:tcW w:type="dxa" w:w="1385"/>
          </w:tcPr>
          <w:p>
            <w:r/>
            <w:r>
              <w:rPr>
                <w:rFonts w:ascii="宋体" w:hAnsi="宋体" w:eastAsia="宋体"/>
                <w:sz w:val="20"/>
              </w:rPr>
              <w:t>眩晕</w:t>
            </w:r>
          </w:p>
        </w:tc>
        <w:tc>
          <w:tcPr>
            <w:tcW w:type="dxa" w:w="1385"/>
          </w:tcPr>
          <w:p>
            <w:r/>
            <w:r>
              <w:rPr>
                <w:rFonts w:ascii="宋体" w:hAnsi="宋体" w:eastAsia="宋体"/>
                <w:sz w:val="20"/>
              </w:rPr>
              <w:t>__</w:t>
            </w:r>
          </w:p>
        </w:tc>
      </w:tr>
      <w:tr>
        <w:tc>
          <w:tcPr>
            <w:tcW w:type="dxa" w:w="1385"/>
          </w:tcPr>
          <w:p>
            <w:r/>
            <w:r>
              <w:rPr>
                <w:rFonts w:ascii="宋体" w:hAnsi="宋体" w:eastAsia="宋体"/>
                <w:sz w:val="20"/>
              </w:rPr>
              <w:t>&gt;</w:t>
            </w:r>
          </w:p>
        </w:tc>
        <w:tc>
          <w:tcPr>
            <w:tcW w:type="dxa" w:w="1385"/>
          </w:tcPr>
          <w:p>
            <w:r/>
            <w:r>
              <w:rPr>
                <w:rFonts w:ascii="宋体" w:hAnsi="宋体" w:eastAsia="宋体"/>
                <w:sz w:val="20"/>
              </w:rPr>
              <w:t>恶心</w:t>
            </w:r>
          </w:p>
        </w:tc>
        <w:tc>
          <w:tcPr>
            <w:tcW w:type="dxa" w:w="1385"/>
          </w:tcPr>
          <w:p>
            <w:r/>
            <w:r>
              <w:rPr>
                <w:rFonts w:ascii="宋体" w:hAnsi="宋体" w:eastAsia="宋体"/>
                <w:sz w:val="20"/>
              </w:rPr>
              <w:t>__</w:t>
            </w:r>
          </w:p>
        </w:tc>
        <w:tc>
          <w:tcPr>
            <w:tcW w:type="dxa" w:w="1385"/>
          </w:tcPr>
          <w:p>
            <w:r/>
            <w:r>
              <w:rPr>
                <w:rFonts w:ascii="宋体" w:hAnsi="宋体" w:eastAsia="宋体"/>
                <w:sz w:val="20"/>
              </w:rPr>
            </w:r>
          </w:p>
        </w:tc>
        <w:tc>
          <w:tcPr>
            <w:tcW w:type="dxa" w:w="1385"/>
          </w:tcPr>
          <w:p>
            <w:r/>
            <w:r>
              <w:rPr>
                <w:rFonts w:ascii="宋体" w:hAnsi="宋体" w:eastAsia="宋体"/>
                <w:sz w:val="20"/>
              </w:rPr>
              <w:t>胃部不适</w:t>
            </w:r>
          </w:p>
        </w:tc>
        <w:tc>
          <w:tcPr>
            <w:tcW w:type="dxa" w:w="1385"/>
          </w:tcPr>
          <w:p>
            <w:r/>
            <w:r>
              <w:rPr>
                <w:rFonts w:ascii="宋体" w:hAnsi="宋体" w:eastAsia="宋体"/>
                <w:sz w:val="20"/>
              </w:rPr>
              <w:t>__</w:t>
            </w:r>
          </w:p>
        </w:tc>
      </w:tr>
      <w:tr>
        <w:tc>
          <w:tcPr>
            <w:tcW w:type="dxa" w:w="1385"/>
          </w:tcPr>
          <w:p>
            <w:r/>
            <w:r>
              <w:rPr>
                <w:rFonts w:ascii="宋体" w:hAnsi="宋体" w:eastAsia="宋体"/>
                <w:sz w:val="20"/>
              </w:rPr>
              <w:t>&gt;</w:t>
            </w:r>
          </w:p>
        </w:tc>
        <w:tc>
          <w:tcPr>
            <w:tcW w:type="dxa" w:w="1385"/>
          </w:tcPr>
          <w:p>
            <w:r/>
            <w:r>
              <w:rPr>
                <w:rFonts w:ascii="宋体" w:hAnsi="宋体" w:eastAsia="宋体"/>
                <w:sz w:val="20"/>
              </w:rPr>
              <w:t>打嗝</w:t>
            </w:r>
          </w:p>
        </w:tc>
        <w:tc>
          <w:tcPr>
            <w:tcW w:type="dxa" w:w="1385"/>
          </w:tcPr>
          <w:p>
            <w:r/>
            <w:r>
              <w:rPr>
                <w:rFonts w:ascii="宋体" w:hAnsi="宋体" w:eastAsia="宋体"/>
                <w:sz w:val="20"/>
              </w:rPr>
              <w:t>__</w:t>
            </w:r>
          </w:p>
        </w:tc>
        <w:tc>
          <w:tcPr>
            <w:tcW w:type="dxa" w:w="1385"/>
          </w:tcPr>
          <w:p>
            <w:r/>
            <w:r>
              <w:rPr>
                <w:rFonts w:ascii="宋体" w:hAnsi="宋体" w:eastAsia="宋体"/>
                <w:sz w:val="20"/>
              </w:rPr>
            </w:r>
          </w:p>
        </w:tc>
        <w:tc>
          <w:tcPr>
            <w:tcW w:type="dxa" w:w="1385"/>
          </w:tcPr>
          <w:p>
            <w:r/>
            <w:r>
              <w:rPr>
                <w:rFonts w:ascii="宋体" w:hAnsi="宋体" w:eastAsia="宋体"/>
                <w:sz w:val="20"/>
              </w:rPr>
              <w:t>肠胃蠕动</w:t>
            </w:r>
          </w:p>
        </w:tc>
        <w:tc>
          <w:tcPr>
            <w:tcW w:type="dxa" w:w="1385"/>
          </w:tcPr>
          <w:p>
            <w:r/>
            <w:r>
              <w:rPr>
                <w:rFonts w:ascii="宋体" w:hAnsi="宋体" w:eastAsia="宋体"/>
                <w:sz w:val="20"/>
              </w:rPr>
              <w:t>__</w:t>
            </w:r>
          </w:p>
        </w:tc>
      </w:tr>
    </w:tbl>
    <w:p/>
    <w:p/>
    <w:p>
      <w:pPr>
        <w:ind w:firstLine="482"/>
      </w:pPr>
      <w:r>
        <w:rPr>
          <w:rFonts w:ascii="宋体" w:hAnsi="宋体" w:eastAsia="宋体"/>
          <w:sz w:val="24"/>
        </w:rPr>
        <w:t>除了主观问卷，</w:t>
      </w:r>
      <w:r>
        <w:rPr>
          <w:rFonts w:ascii="宋体" w:hAnsi="宋体" w:eastAsia="宋体"/>
          <w:b/>
          <w:sz w:val="24"/>
        </w:rPr>
        <w:t>生理指标测量</w:t>
      </w:r>
      <w:r>
        <w:rPr>
          <w:rFonts w:ascii="宋体" w:hAnsi="宋体" w:eastAsia="宋体"/>
          <w:sz w:val="24"/>
        </w:rPr>
        <w:t>可以提供更客观的眩晕评估数据。常用的生理指标包括：心率变异性（HRV）——眩晕时心率变异性降低；皮肤电导率（GSR）——眩晕时出汗增多导致皮肤电导率上升；脑电图（EEG）——眩晕时特定频段的脑电活动发生变化。这些生理指标可以与 SSQ 问卷结合使用，提供更全面的眩晕评估[1]。</w:t>
      </w:r>
    </w:p>
    <w:p/>
    <w:p>
      <w:pPr>
        <w:ind w:firstLine="482"/>
      </w:pPr>
      <w:r>
        <w:rPr>
          <w:rFonts w:ascii="宋体" w:hAnsi="宋体" w:eastAsia="宋体"/>
          <w:sz w:val="24"/>
        </w:rPr>
        <w:t>除了主观问卷和生理指标，</w:t>
      </w:r>
      <w:r>
        <w:rPr>
          <w:rFonts w:ascii="宋体" w:hAnsi="宋体" w:eastAsia="宋体"/>
          <w:b/>
          <w:sz w:val="24"/>
        </w:rPr>
        <w:t>行为指标</w:t>
      </w:r>
      <w:r>
        <w:rPr>
          <w:rFonts w:ascii="宋体" w:hAnsi="宋体" w:eastAsia="宋体"/>
          <w:sz w:val="24"/>
        </w:rPr>
        <w:t>也日益成为 VR 眩晕评估的重要数据源。行为指标通过分析用户在 VR 中的交互行为模式来间接评估舒适度：移动速度的变化（眩晕时用户倾向于减慢移动或停止）、头部运动频率（眩晕时头部运动减少）、视角偏好（眩晕时用户倾向于凝视近处固定物体）、以及任务中断率（严重眩晕时用户主动退出体验）。这些行为数据可以通过 VR 应用的日志系统自动采集，无需额外的硬件设备或用户主观报告，适合大规模数据收集和长期监测。</w:t>
      </w:r>
    </w:p>
    <w:p/>
    <w:p>
      <w:pPr>
        <w:ind w:firstLine="482"/>
      </w:pPr>
      <w:r>
        <w:rPr>
          <w:rFonts w:ascii="宋体" w:hAnsi="宋体" w:eastAsia="宋体"/>
          <w:sz w:val="24"/>
        </w:rPr>
        <w:t>在实际 VR/AR 项目中，眩晕评估应遵循标准化的实验流程：（1）前测——使用基线 SSQ 问卷和简短的健康筛查（排除前庭功能障碍、严重近视未矫正等禁忌症）记录用户的初始状态；（2）体验——用户进行 VR 体验，期间记录主观实时舒适度评分（如每 5 分钟用 1-10 分量表评分）和客观行为数据；（3）后测——体验结束后立即填写完整 SSQ 问卷，并在 30 分钟后进行延迟评估（部分眩晕症状可能在体验结束后才出现）；（4）数据分析——计算 SSQ 各子量表得分和总分，与基线进行对比分析，结合行为指标识别眩晕触发因素。这一评估流程应在 VR 项目的用户测试阶段系统性执行，为眩晕优化提供数据依据。Checa 等人的教育 VR 框架也强调了评估在沉浸式体验开发中的核心地位——没有系统性的评估，就无法识别体验中的舒适度问题和改进方向[10]。</w:t>
      </w:r>
    </w:p>
    <w:p/>
    <w:p>
      <w:pPr>
        <w:pStyle w:val="Heading3"/>
      </w:pPr>
      <w:r>
        <w:t>3.3.3 沉浸感与舒适度的平衡设计策略</w:t>
      </w:r>
    </w:p>
    <w:p/>
    <w:p>
      <w:pPr>
        <w:ind w:firstLine="482"/>
      </w:pPr>
      <w:r>
        <w:rPr>
          <w:rFonts w:ascii="宋体" w:hAnsi="宋体" w:eastAsia="宋体"/>
          <w:sz w:val="24"/>
        </w:rPr>
        <w:t>张晓婷等人的研究指出，沉浸感与舒适度之间存在内在张力，需要在设计中进行权衡[1]。以下是几种常用的平衡策略：</w:t>
      </w:r>
    </w:p>
    <w:p/>
    <w:p>
      <w:pPr>
        <w:ind w:firstLine="482"/>
      </w:pPr>
      <w:r>
        <w:rPr>
          <w:rFonts w:ascii="宋体" w:hAnsi="宋体" w:eastAsia="宋体"/>
          <w:b/>
          <w:sz w:val="24"/>
        </w:rPr>
        <w:t>瞬移（Teleportation）</w:t>
      </w:r>
      <w:r>
        <w:rPr>
          <w:rFonts w:ascii="宋体" w:hAnsi="宋体" w:eastAsia="宋体"/>
          <w:sz w:val="24"/>
        </w:rPr>
        <w:t xml:space="preserve"> 是最有效的眩晕缓解方案。用户通过手柄射线指向目标位置，按下按钮后瞬间"传送"到该位置，避免了虚拟移动过程中的视觉-前庭冲突。瞬移的缺点是打破了空间连续性，削弱了空间沉浸感和叙事流畅度。在文旅 VR 中，瞬移适合用于大范围空间跳转（如从景区入口跳转到观景台），而短距离移动应使用平滑移动以保持空间连续感[1]。</w:t>
      </w:r>
    </w:p>
    <w:p/>
    <w:p>
      <w:pPr>
        <w:ind w:firstLine="482"/>
      </w:pPr>
      <w:r>
        <w:rPr>
          <w:rFonts w:ascii="宋体" w:hAnsi="宋体" w:eastAsia="宋体"/>
          <w:b/>
          <w:sz w:val="24"/>
        </w:rPr>
        <w:t>渐变视野遮挡（Vignette）</w:t>
      </w:r>
      <w:r>
        <w:rPr>
          <w:rFonts w:ascii="宋体" w:hAnsi="宋体" w:eastAsia="宋体"/>
          <w:sz w:val="24"/>
        </w:rPr>
        <w:t xml:space="preserve"> 在用户移动时在视野边缘添加暗化遮罩，缩小有效视场角。这一技术利用了周边视觉对运动更敏感的特性——通过遮挡周边视野，减少了引发眩晕的运动信息，同时保持中心视野的清晰度。Vignette 可以设置为动态触发——仅在快速移动或加速时出现，静止时消失，在舒适度和沉浸感之间取得动态平衡。</w:t>
      </w:r>
    </w:p>
    <w:p/>
    <w:p>
      <w:pPr>
        <w:ind w:firstLine="482"/>
      </w:pPr>
      <w:r>
        <w:rPr>
          <w:rFonts w:ascii="宋体" w:hAnsi="宋体" w:eastAsia="宋体"/>
          <w:b/>
          <w:sz w:val="24"/>
        </w:rPr>
        <w:t>舒适转向（Comfort Turning）</w:t>
      </w:r>
      <w:r>
        <w:rPr>
          <w:rFonts w:ascii="宋体" w:hAnsi="宋体" w:eastAsia="宋体"/>
          <w:sz w:val="24"/>
        </w:rPr>
        <w:t xml:space="preserve"> 使用平滑的自动旋转代替用户手动转头，在旋转过程中对视野进行短暂模糊或暗化处理。这一方案适合 seated VR 体验（用户坐着使用 VR），在不需要物理行走的情况下实现虚拟空间的探索。</w:t>
      </w:r>
    </w:p>
    <w:p/>
    <w:p>
      <w:pPr>
        <w:ind w:firstLine="482"/>
      </w:pPr>
      <w:r>
        <w:rPr>
          <w:rFonts w:ascii="宋体" w:hAnsi="宋体" w:eastAsia="宋体"/>
          <w:b/>
          <w:sz w:val="24"/>
        </w:rPr>
        <w:t>加速曲线设计</w:t>
      </w:r>
      <w:r>
        <w:rPr>
          <w:rFonts w:ascii="宋体" w:hAnsi="宋体" w:eastAsia="宋体"/>
          <w:sz w:val="24"/>
        </w:rPr>
        <w:t xml:space="preserve"> 对虚拟移动的加速度进行控制——避免突然的加速或减速，使用平滑的缓动曲线（如 Ease-in-Out）过渡。匀速移动比加速移动引起的眩晕更少，因为匀速运动不产生前庭系统的加速度感知，减少了感觉冲突。</w:t>
      </w:r>
    </w:p>
    <w:p/>
    <w:p>
      <w:pPr>
        <w:ind w:firstLine="482"/>
      </w:pPr>
      <w:r>
        <w:rPr>
          <w:rFonts w:ascii="宋体" w:hAnsi="宋体" w:eastAsia="宋体"/>
          <w:b/>
          <w:sz w:val="24"/>
        </w:rPr>
        <w:t>视场角动态调节</w:t>
      </w:r>
      <w:r>
        <w:rPr>
          <w:rFonts w:ascii="宋体" w:hAnsi="宋体" w:eastAsia="宋体"/>
          <w:sz w:val="24"/>
        </w:rPr>
        <w:t xml:space="preserve"> 是另一种有效的平衡策略。在用户进行虚拟移动时，系统临时缩小有效视场角（通过 Vignette 效果或视野裁剪），减少周边视觉中的运动信息。移动结束后恢复正常视场角。这一策略的原理是：周边视觉对自我运动感知（Vection）最为敏感，缩小周边视野可以有效抑制"感觉自己在运动"的错觉，从而减少与前庭系统的冲突。与静态 Vignette 不同，动态视场角调节仅在移动时触发，对沉浸感的影响更小。</w:t>
      </w:r>
    </w:p>
    <w:p/>
    <w:p>
      <w:pPr>
        <w:ind w:firstLine="482"/>
      </w:pPr>
      <w:r>
        <w:rPr>
          <w:rFonts w:ascii="宋体" w:hAnsi="宋体" w:eastAsia="宋体"/>
          <w:b/>
          <w:sz w:val="24"/>
        </w:rPr>
        <w:t>环境参考物</w:t>
      </w:r>
      <w:r>
        <w:rPr>
          <w:rFonts w:ascii="宋体" w:hAnsi="宋体" w:eastAsia="宋体"/>
          <w:sz w:val="24"/>
        </w:rPr>
        <w:t xml:space="preserve"> 策略在虚拟移动时提供固定的视觉参考框架。例如，在 VR 车辆模拟中，在用户视野中添加一个虚拟的"车窗框"或"头盔边框"，使移动过程中的视觉变化被框定在一个稳定的参考框架内。这一策略模拟了现实中乘坐车辆时车窗框提供的视觉稳定性，能够有效减少运动病。</w:t>
      </w:r>
    </w:p>
    <w:p/>
    <w:p>
      <w:pPr>
        <w:ind w:firstLine="482"/>
      </w:pPr>
      <w:r>
        <w:rPr>
          <w:rFonts w:ascii="宋体" w:hAnsi="宋体" w:eastAsia="宋体"/>
          <w:b/>
          <w:sz w:val="24"/>
        </w:rPr>
        <w:t>呼吸引导</w:t>
      </w:r>
      <w:r>
        <w:rPr>
          <w:rFonts w:ascii="宋体" w:hAnsi="宋体" w:eastAsia="宋体"/>
          <w:sz w:val="24"/>
        </w:rPr>
        <w:t xml:space="preserve"> 是一种基于生理调节的辅助策略。系统通过视觉提示（如缓慢明暗变化的圆圈）引导用户进行深呼吸，激活副交感神经系统，缓解因 VR 体验引起的自主神经紊乱。这一策略不直接解决感觉冲突问题，但通过生理放松间接减轻眩晕症状。Motejlek 和 Alpay 在其 VR 教育分类学研究中指出，生理调节策略与认知行为策略的结合使用能够显著提升 VR 体验的舒适度[13]。</w:t>
      </w:r>
    </w:p>
    <w:p/>
    <w:p>
      <w:pPr>
        <w:pStyle w:val="Heading3"/>
      </w:pPr>
      <w:r>
        <w:t>3.3.4 舒适度优化技术</w:t>
      </w:r>
    </w:p>
    <w:p/>
    <w:p>
      <w:pPr>
        <w:ind w:firstLine="482"/>
      </w:pPr>
      <w:r>
        <w:rPr>
          <w:rFonts w:ascii="宋体" w:hAnsi="宋体" w:eastAsia="宋体"/>
          <w:b/>
          <w:sz w:val="24"/>
        </w:rPr>
        <w:t>注视点渲染（Foveated Rendering）</w:t>
      </w:r>
      <w:r>
        <w:rPr>
          <w:rFonts w:ascii="宋体" w:hAnsi="宋体" w:eastAsia="宋体"/>
          <w:sz w:val="24"/>
        </w:rPr>
        <w:t xml:space="preserve"> 是同时提升视觉质量和运行性能的技术。由于人眼只有在中心凹区域（约 5 度视角）具有高分辨率感知能力，周边视觉的分辨率感知大幅下降。注视点渲染利用这一特性，通过眼动追踪获取用户注视点，在注视点中心区域渲染高分辨率图像，在周边区域降低分辨率。这不仅节省了约 50-70% 的 GPU 计算量，还减少了周边视觉中的高频运动信息，有助于缓解眩晕[7]。</w:t>
      </w:r>
    </w:p>
    <w:p/>
    <w:p>
      <w:pPr>
        <w:ind w:firstLine="482"/>
      </w:pPr>
      <w:r>
        <w:rPr>
          <w:rFonts w:ascii="宋体" w:hAnsi="宋体" w:eastAsia="宋体"/>
          <w:b/>
          <w:sz w:val="24"/>
        </w:rPr>
        <w:t>可变速率着色（Variable Rate Shading, VRS）</w:t>
      </w:r>
      <w:r>
        <w:rPr>
          <w:rFonts w:ascii="宋体" w:hAnsi="宋体" w:eastAsia="宋体"/>
          <w:sz w:val="24"/>
        </w:rPr>
        <w:t xml:space="preserve"> 是注视点渲染的简化版本，不需要眼动追踪硬件。VRS 根据预设的着色率分布图，在屏幕不同区域使用不同的着色密度——中心区域高密度着色，边缘区域低密度着色。Meta Quest 3 支持 VRS 技术，开发者可以通过 Unity 的 VRS API 控制着色率分布[7]。</w:t>
      </w:r>
    </w:p>
    <w:p/>
    <w:p>
      <w:pPr>
        <w:ind w:firstLine="482"/>
      </w:pPr>
      <w:r>
        <w:rPr>
          <w:rFonts w:ascii="宋体" w:hAnsi="宋体" w:eastAsia="宋体"/>
          <w:b/>
          <w:sz w:val="24"/>
        </w:rPr>
        <w:t>帧率平滑技术</w:t>
      </w:r>
      <w:r>
        <w:rPr>
          <w:rFonts w:ascii="宋体" w:hAnsi="宋体" w:eastAsia="宋体"/>
          <w:sz w:val="24"/>
        </w:rPr>
        <w:t>（如 Meta 的 SpaceWarp / App SW）在 GPU 无法维持目标帧率时，通过 AI 算法从前一帧图像和运动矢量预测并合成当前帧，以较低的渲染成本维持表观帧率。这一技术可以在硬件性能受限的场景下维持流畅的视觉体验，减少因帧率下降导致的眩晕。</w:t>
      </w:r>
    </w:p>
    <w:p/>
    <w:p>
      <w:pPr>
        <w:pStyle w:val="Heading2"/>
      </w:pPr>
      <w:r>
        <w:t>3.4 沉浸式体验设计原则</w:t>
      </w:r>
    </w:p>
    <w:p/>
    <w:p>
      <w:pPr>
        <w:pStyle w:val="Heading3"/>
      </w:pPr>
      <w:r>
        <w:t>3.4.1 多感官一致性原则</w:t>
      </w:r>
    </w:p>
    <w:p/>
    <w:p>
      <w:pPr>
        <w:ind w:firstLine="482"/>
      </w:pPr>
      <w:r>
        <w:rPr>
          <w:rFonts w:ascii="宋体" w:hAnsi="宋体" w:eastAsia="宋体"/>
          <w:sz w:val="24"/>
        </w:rPr>
        <w:t>多感官一致性是沉浸感产生的基础条件。当视觉、听觉、触觉等感官通道传递的信息相互一致时，大脑更容易接受虚拟环境为"真实"。反之，感官信息的不一致会立即打破沉浸感——例如，用户看到一个虚拟杯子掉落，却没有听到相应的碎裂声，大脑会立即意识到"这是假的"[4]。</w:t>
      </w:r>
    </w:p>
    <w:p/>
    <w:p>
      <w:pPr>
        <w:ind w:firstLine="482"/>
      </w:pPr>
      <w:r>
        <w:rPr>
          <w:rFonts w:ascii="宋体" w:hAnsi="宋体" w:eastAsia="宋体"/>
          <w:sz w:val="24"/>
        </w:rPr>
        <w:t>多感官一致性要求在场景设计中建立跨感官的同步机制：视觉事件与音频事件的时间偏差不超过 50ms（人类感知阈值）；触觉反馈与视觉接触事件的时间偏差不超过 10ms；空间音频的方向与视觉声源位置一致。这些同步要求对系统延迟和渲染管线设计提出了严格要求[4]。</w:t>
      </w:r>
    </w:p>
    <w:p/>
    <w:p>
      <w:pPr>
        <w:ind w:firstLine="482"/>
      </w:pPr>
      <w:r>
        <w:rPr>
          <w:rFonts w:ascii="宋体" w:hAnsi="宋体" w:eastAsia="宋体"/>
          <w:sz w:val="24"/>
        </w:rPr>
        <w:t>在文旅 VR 场景中，多感官一致性的典型应用包括：虚拟瀑布场景中，视觉上水流落下的时间与听觉上水声响起的时间必须同步，且水声的方向和距离必须与瀑布在虚拟空间中的位置一致；虚拟博物馆中，当用户"拿起"一件虚拟文物时，手柄的触觉振动必须在视觉上手指接触文物的瞬间触发；虚拟古镇街道中，用户的脚步声应根据虚拟地面的材质（石板路 vs 土路）变化音色和音量，且与用户的行走步伐节奏同步。这些看似细节的同步设计，实际上是决定沉浸感"质感"的关键因素——用户可能不会主动注意到同步做得好，但一定会立即注意到同步做得差。</w:t>
      </w:r>
    </w:p>
    <w:p/>
    <w:p>
      <w:pPr>
        <w:pStyle w:val="Heading3"/>
      </w:pPr>
      <w:r>
        <w:t>3.4.2 自然交互原则</w:t>
      </w:r>
    </w:p>
    <w:p/>
    <w:p>
      <w:pPr>
        <w:ind w:firstLine="482"/>
      </w:pPr>
      <w:r>
        <w:rPr>
          <w:rFonts w:ascii="宋体" w:hAnsi="宋体" w:eastAsia="宋体"/>
          <w:sz w:val="24"/>
        </w:rPr>
        <w:t>自然交互指用户使用直觉化的、日常生活中的行为模式与虚拟环境交互。自然交互的核心思想是降低"交互认知负荷"——用户不需要思考"如何操作"，而是直接"做想做的事"。实现自然交互的关键包括：直接操作（用手直接抓取虚拟物体而非通过菜单选择）、空间映射（虚拟界面的布局遵循物理世界的空间逻辑）、以及实体反馈（交互操作产生可感知的物理反馈如振动和声音）[5]。</w:t>
      </w:r>
    </w:p>
    <w:p/>
    <w:p>
      <w:pPr>
        <w:ind w:firstLine="482"/>
      </w:pPr>
      <w:r>
        <w:rPr>
          <w:rFonts w:ascii="宋体" w:hAnsi="宋体" w:eastAsia="宋体"/>
          <w:sz w:val="24"/>
        </w:rPr>
        <w:t>Rubio-Tamayo 等人在其系统性综述中指出，沉浸式环境中的交互设计需要同时考虑通信（Communication）、交互（Interaction）和模拟（Simulation）三个维度，三者之间的一致性是产生沉浸感的关键[9]。这一观点与多感官一致性原则形成了互补——前者强调跨感官通道的时间同步，后者强调交互行为与反馈之间的逻辑一致[9]。</w:t>
      </w:r>
    </w:p>
    <w:p/>
    <w:p>
      <w:pPr>
        <w:ind w:firstLine="482"/>
      </w:pPr>
      <w:r>
        <w:rPr>
          <w:rFonts w:ascii="宋体" w:hAnsi="宋体" w:eastAsia="宋体"/>
          <w:sz w:val="24"/>
        </w:rPr>
        <w:t>在文旅 VR 场景中，自然交互原则的具体应用包括：在虚拟文物鉴赏中，用户用手直接"抓取"虚拟文物进行旋转查看，而非通过菜单选择"旋转"命令；在虚拟古镇漫游中，用户通过实际行走（或在安全区域内踏步）来移动虚拟角色，而非按手柄摇杆；在虚拟非遗体验中，用户模拟真实的工艺手势（如陶艺中的拉坯手势、刺绣中的穿针手势）来触发相应的虚拟操作。这些自然交互设计使用户的注意力集中于文化内容本身而非交互操作，有效降低了认知负荷，提升了沉浸感[5]。</w:t>
      </w:r>
    </w:p>
    <w:p/>
    <w:p>
      <w:pPr>
        <w:ind w:firstLine="482"/>
      </w:pPr>
      <w:r>
        <w:rPr>
          <w:rFonts w:ascii="宋体" w:hAnsi="宋体" w:eastAsia="宋体"/>
          <w:sz w:val="24"/>
        </w:rPr>
        <w:t>然而，自然交互并非在所有场景中都优于抽象交互。当任务需要精确控制（如调整虚拟光源的亮度和角度）或批量操作（如同时控制多个虚拟对象）时，菜单界面和抽象交互可能更加高效。交互设计的关键在于匹配——根据任务特性选择最合适的交互方式，而非一味追求"自然"。张烈在其虚拟体验设计研究中指出，交互方式的选择应遵循"任务-交互匹配"原则：直接操作适合空间变换类任务（移动、旋转、缩放），菜单交互适合参数调节类任务（颜色、亮度、音量），手势交互适合情感表达类任务（挥手、点头、鼓掌）[5]。</w:t>
      </w:r>
    </w:p>
    <w:p/>
    <w:p>
      <w:pPr>
        <w:pStyle w:val="Heading3"/>
      </w:pPr>
      <w:r>
        <w:t>3.4.3 渐进式沉浸原则</w:t>
      </w:r>
    </w:p>
    <w:p/>
    <w:p>
      <w:pPr>
        <w:ind w:firstLine="482"/>
      </w:pPr>
      <w:r>
        <w:rPr>
          <w:rFonts w:ascii="宋体" w:hAnsi="宋体" w:eastAsia="宋体"/>
          <w:sz w:val="24"/>
        </w:rPr>
        <w:t>渐进式沉浸指 VR 体验应按照由浅入深的顺序逐步引导用户进入沉浸状态。首次使用 VR 的用户需要时间适应头显佩戴、视觉聚焦和交互操作。如果体验一开始就呈现高度复杂和快速变化的内容，用户容易产生认知过载和眩晕[6]。</w:t>
      </w:r>
    </w:p>
    <w:p/>
    <w:p>
      <w:pPr>
        <w:ind w:firstLine="482"/>
      </w:pPr>
      <w:r>
        <w:rPr>
          <w:rFonts w:ascii="宋体" w:hAnsi="宋体" w:eastAsia="宋体"/>
          <w:sz w:val="24"/>
        </w:rPr>
        <w:t>渐进式沉浸的设计策略包括：（1）引导区——用户进入 VR 后先出现在一个安全、简单的虚拟空间中，练习基本的头部转动和手柄操作；（2）适应区——引导用户完成简单的交互任务（如拿起物体、按按钮），逐步增加移动和交互复杂度；（3）沉浸区——用户完全适应后进入主要体验内容，此时可以引入更复杂的场景和叙事。这一策略特别适用于教育培训场景中的 VR 初次体验者[8]。</w:t>
      </w:r>
    </w:p>
    <w:p/>
    <w:p>
      <w:pPr>
        <w:pStyle w:val="Heading3"/>
      </w:pPr>
      <w:r>
        <w:t>3.4.4 伦理与安全考量</w:t>
      </w:r>
    </w:p>
    <w:p/>
    <w:p>
      <w:pPr>
        <w:ind w:firstLine="482"/>
      </w:pPr>
      <w:r>
        <w:rPr>
          <w:rFonts w:ascii="宋体" w:hAnsi="宋体" w:eastAsia="宋体"/>
          <w:sz w:val="24"/>
        </w:rPr>
        <w:t>VR/AR 沉浸式体验的伦理问题日益受到关注。</w:t>
      </w:r>
      <w:r>
        <w:rPr>
          <w:rFonts w:ascii="宋体" w:hAnsi="宋体" w:eastAsia="宋体"/>
          <w:b/>
          <w:sz w:val="24"/>
        </w:rPr>
        <w:t>数据隐私</w:t>
      </w:r>
      <w:r>
        <w:rPr>
          <w:rFonts w:ascii="宋体" w:hAnsi="宋体" w:eastAsia="宋体"/>
          <w:sz w:val="24"/>
        </w:rPr>
        <w:t>是最突出的伦理挑战——VR/AR 设备采集的用户数据远比传统应用丰富，包括眼动数据、手势数据、移动轨迹、甚至生理指标。这些数据可能被用于用户画像、行为预测或广告投放，存在被滥用的风险[7]。</w:t>
      </w:r>
    </w:p>
    <w:p/>
    <w:p>
      <w:pPr>
        <w:ind w:firstLine="482"/>
      </w:pPr>
      <w:r>
        <w:rPr>
          <w:rFonts w:ascii="宋体" w:hAnsi="宋体" w:eastAsia="宋体"/>
          <w:b/>
          <w:sz w:val="24"/>
        </w:rPr>
        <w:t>心理安全</w:t>
      </w:r>
      <w:r>
        <w:rPr>
          <w:rFonts w:ascii="宋体" w:hAnsi="宋体" w:eastAsia="宋体"/>
          <w:sz w:val="24"/>
        </w:rPr>
        <w:t>是另一个重要考量。高度沉浸的 VR 体验可能引发强烈的情绪反应——虚拟高空场景可能引发恐高症发作，虚拟暴力场景可能导致心理创伤（尤其对未成年用户）。VR 内容设计应包含适当的内容警告和心理保护机制，避免对用户造成不必要的心理伤害。</w:t>
      </w:r>
    </w:p>
    <w:p/>
    <w:p>
      <w:pPr>
        <w:ind w:firstLine="482"/>
      </w:pPr>
      <w:r>
        <w:rPr>
          <w:rFonts w:ascii="宋体" w:hAnsi="宋体" w:eastAsia="宋体"/>
          <w:b/>
          <w:sz w:val="24"/>
        </w:rPr>
        <w:t>身体安全</w:t>
      </w:r>
      <w:r>
        <w:rPr>
          <w:rFonts w:ascii="宋体" w:hAnsi="宋体" w:eastAsia="宋体"/>
          <w:sz w:val="24"/>
        </w:rPr>
        <w:t>包括物理碰撞风险和长时间使用的健康影响。物理碰撞风险通过安全边界系统缓解；长时间使用可能导致视觉疲劳、颈部劳损和社交隔离，建议单次使用不超过 30 分钟，每日累计不超过 2 小时[8]。</w:t>
      </w:r>
    </w:p>
    <w:p/>
    <w:p>
      <w:pPr>
        <w:ind w:firstLine="482"/>
      </w:pPr>
      <w:r>
        <w:rPr>
          <w:rFonts w:ascii="宋体" w:hAnsi="宋体" w:eastAsia="宋体"/>
          <w:b/>
          <w:sz w:val="24"/>
        </w:rPr>
        <w:t>无障碍设计</w:t>
      </w:r>
      <w:r>
        <w:rPr>
          <w:rFonts w:ascii="宋体" w:hAnsi="宋体" w:eastAsia="宋体"/>
          <w:sz w:val="24"/>
        </w:rPr>
        <w:t>是 VR/AR 伦理的重要维度。残障用户（视觉障碍、听觉障碍、行动障碍）应能够平等地访问和使用 VR/AR 体验。无障碍设计策略包括：为听觉障碍用户提供字幕和视觉提示替代音频信息；为视觉障碍用户提供音频描述和触觉导航；为行动障碍用户提供坐姿模式和替代交互方案[7]。</w:t>
      </w:r>
    </w:p>
    <w:p/>
    <w:p>
      <w:pPr>
        <w:ind w:firstLine="482"/>
      </w:pPr>
      <w:r>
        <w:rPr>
          <w:rFonts w:ascii="宋体" w:hAnsi="宋体" w:eastAsia="宋体"/>
          <w:b/>
          <w:sz w:val="24"/>
        </w:rPr>
        <w:t>文化敏感性</w:t>
      </w:r>
      <w:r>
        <w:rPr>
          <w:rFonts w:ascii="宋体" w:hAnsi="宋体" w:eastAsia="宋体"/>
          <w:sz w:val="24"/>
        </w:rPr>
        <w:t xml:space="preserve"> 是文旅 VR/AR 体验特有的伦理维度。在制作涉及民族文化和宗教内容的沉浸式场景时，需要尊重相关文化群体的文化禁忌和宗教感情。例如，某些宗教场所的内部禁止拍照或虚拟展示，某些文化符号的使用有特定的仪式规范，某些历史事件的再现需要谨慎处理创伤记忆。沉浸式场景制作人员应在项目启动阶段就与文化顾问和相关社区进行充分沟通，确保内容设计符合文化伦理规范。</w:t>
      </w:r>
    </w:p>
    <w:p/>
    <w:p>
      <w:pPr>
        <w:ind w:firstLine="482"/>
      </w:pPr>
      <w:r>
        <w:rPr>
          <w:rFonts w:ascii="宋体" w:hAnsi="宋体" w:eastAsia="宋体"/>
          <w:b/>
          <w:sz w:val="24"/>
        </w:rPr>
        <w:t>内容适龄性</w:t>
      </w:r>
      <w:r>
        <w:rPr>
          <w:rFonts w:ascii="宋体" w:hAnsi="宋体" w:eastAsia="宋体"/>
          <w:sz w:val="24"/>
        </w:rPr>
        <w:t xml:space="preserve"> 也是需要考量的伦理维度。VR 体验的沉浸程度远超传统媒体，对未成年用户的心理影响也更为深刻。文旅 VR 体验如果包含历史战争、自然灾害或文化冲突等敏感内容，应根据内容强度设置年龄分级和使用警告。对于面向学校教育的 VR 内容，教师应在体验前进行适当的背景介绍和心理准备，体验后进行引导反思，确保 VR 体验产生积极的教育效果而非负面心理影响[8]。</w:t>
      </w:r>
    </w:p>
    <w:p/>
    <w:p>
      <w:pPr>
        <w:ind w:firstLine="482"/>
      </w:pPr>
      <w:r>
        <w:rPr>
          <w:rFonts w:ascii="宋体" w:hAnsi="宋体" w:eastAsia="宋体"/>
          <w:b/>
          <w:sz w:val="24"/>
        </w:rPr>
        <w:t>数字鸿沟</w:t>
      </w:r>
      <w:r>
        <w:rPr>
          <w:rFonts w:ascii="宋体" w:hAnsi="宋体" w:eastAsia="宋体"/>
          <w:sz w:val="24"/>
        </w:rPr>
        <w:t xml:space="preserve"> 是 VR/AR 教育应用面临的社会伦理挑战。高端 VR 设备的高成本使经济条件较好的学校和学生更容易获得 VR 教育资源，可能加剧教育资源的不平等。作为应对策略，教材设计应提供"低配版"替代方案——例如，对于无法配备 VR 头显的学校，提供基于手机 VR 盒子的简化版本，或基于网页的 360° 全景查看方案，确保不同经济条件的学校都能开展基本的教学活动。Sakr 和 Abdullah 在其系统性综述中也指出，VR/AR 教育技术的普及需要同时关注技术可及性和教育公平性[14]。</w:t>
      </w:r>
    </w:p>
    <w:p/>
    <w:p>
      <w:pPr>
        <w:ind w:firstLine="482"/>
      </w:pPr>
      <w:r>
        <w:rPr>
          <w:rFonts w:ascii="宋体" w:hAnsi="宋体" w:eastAsia="宋体"/>
          <w:sz w:val="24"/>
        </w:rPr>
        <w:t>---</w:t>
      </w:r>
    </w:p>
    <w:p/>
    <w:p>
      <w:pPr>
        <w:pStyle w:val="Heading2"/>
      </w:pPr>
      <w:r>
        <w:t>3.6 沉浸感设计的工程化实践</w:t>
      </w:r>
    </w:p>
    <w:p/>
    <w:p>
      <w:pPr>
        <w:pStyle w:val="Heading3"/>
      </w:pPr>
      <w:r>
        <w:t>3.6.1 沉浸感量化评估体系</w:t>
      </w:r>
    </w:p>
    <w:p/>
    <w:p>
      <w:pPr>
        <w:ind w:firstLine="482"/>
      </w:pPr>
      <w:r>
        <w:rPr>
          <w:rFonts w:ascii="宋体" w:hAnsi="宋体" w:eastAsia="宋体"/>
          <w:sz w:val="24"/>
        </w:rPr>
        <w:t>沉浸感虽然是一种主观体验，但可以通过多维度的量化指标进行客观评估[10]：</w:t>
      </w:r>
    </w:p>
    <w:p/>
    <w:p>
      <w:pPr>
        <w:ind w:firstLine="482"/>
      </w:pPr>
      <w:r>
        <w:rPr>
          <w:rFonts w:ascii="宋体" w:hAnsi="宋体" w:eastAsia="宋体"/>
          <w:b/>
          <w:sz w:val="24"/>
        </w:rPr>
        <w:t>主观量表</w:t>
      </w:r>
      <w:r>
        <w:rPr>
          <w:rFonts w:ascii="宋体" w:hAnsi="宋体" w:eastAsia="宋体"/>
          <w:sz w:val="24"/>
        </w:rPr>
        <w:t>：（1）沉浸感问卷（Immersive Experience Questionnaire, IEQ）测量注意力聚焦、情感参与、现实感判断和传输感四个维度；（2）临场感问卷（Presence Questionnaire, PQ）测量真实感、空间临场、参与度和界面自然度；（3） Simulator Sickness Questionnaire（SSQ）测量眩晕程度。这些量表在 VR 研究中被广泛使用，具有良好的信效度。</w:t>
      </w:r>
    </w:p>
    <w:p/>
    <w:p>
      <w:pPr>
        <w:ind w:firstLine="482"/>
      </w:pPr>
      <w:r>
        <w:rPr>
          <w:rFonts w:ascii="宋体" w:hAnsi="宋体" w:eastAsia="宋体"/>
          <w:b/>
          <w:sz w:val="24"/>
        </w:rPr>
        <w:t>行为指标</w:t>
      </w:r>
      <w:r>
        <w:rPr>
          <w:rFonts w:ascii="宋体" w:hAnsi="宋体" w:eastAsia="宋体"/>
          <w:sz w:val="24"/>
        </w:rPr>
        <w:t>：通过观察用户行为间接评估沉浸感——用户在 VR 中是否不自觉地躲避飞来的虚拟物体、是否在悬崖边缘犹豫不决、是否对虚拟角色的社交信号做出自然反应（如后退、侧身）。这些"虚拟世界中的真实行为"是沉浸感的行为体现。</w:t>
      </w:r>
    </w:p>
    <w:p/>
    <w:p>
      <w:pPr>
        <w:ind w:firstLine="482"/>
      </w:pPr>
      <w:r>
        <w:rPr>
          <w:rFonts w:ascii="宋体" w:hAnsi="宋体" w:eastAsia="宋体"/>
          <w:b/>
          <w:sz w:val="24"/>
        </w:rPr>
        <w:t>生理指标</w:t>
      </w:r>
      <w:r>
        <w:rPr>
          <w:rFonts w:ascii="宋体" w:hAnsi="宋体" w:eastAsia="宋体"/>
          <w:sz w:val="24"/>
        </w:rPr>
        <w:t>：心率和心率变异性（HRV）反映情绪唤起程度，皮肤电导反映压力和兴奋水平，脑电图（EEG）反映注意力和认知负荷。当用户在 VR 中经历"坠崖"等刺激场景时，如果心率和皮肤电导显著上升，说明产生了真实的生理反应，间接证明了沉浸感的存在[10]。</w:t>
      </w:r>
    </w:p>
    <w:p/>
    <w:p>
      <w:pPr>
        <w:pStyle w:val="Heading3"/>
      </w:pPr>
      <w:r>
        <w:t>3.6.2 沉浸感优化策略</w:t>
      </w:r>
    </w:p>
    <w:p/>
    <w:p>
      <w:pPr>
        <w:ind w:firstLine="482"/>
      </w:pPr>
      <w:r>
        <w:rPr>
          <w:rFonts w:ascii="宋体" w:hAnsi="宋体" w:eastAsia="宋体"/>
          <w:sz w:val="24"/>
        </w:rPr>
        <w:t>基于沉浸感理论研究和工程实践，总结以下优化策略[10]：</w:t>
      </w:r>
    </w:p>
    <w:p/>
    <w:p>
      <w:pPr>
        <w:ind w:firstLine="482"/>
      </w:pPr>
      <w:r>
        <w:rPr>
          <w:rFonts w:ascii="宋体" w:hAnsi="宋体" w:eastAsia="宋体"/>
          <w:b/>
          <w:sz w:val="24"/>
        </w:rPr>
        <w:t>感官一致性优化</w:t>
      </w:r>
      <w:r>
        <w:rPr>
          <w:rFonts w:ascii="宋体" w:hAnsi="宋体" w:eastAsia="宋体"/>
          <w:sz w:val="24"/>
        </w:rPr>
        <w:t>：确保视觉、听觉和触觉在空间和时间上的一致。视觉-听觉时间差不超过 50ms（否则会产生"声画不同步"的感觉）。空间音频方向与视觉来源方向一致。触觉反馈与视觉事件同步触发。</w:t>
      </w:r>
    </w:p>
    <w:p/>
    <w:p>
      <w:pPr>
        <w:ind w:firstLine="482"/>
      </w:pPr>
      <w:r>
        <w:rPr>
          <w:rFonts w:ascii="宋体" w:hAnsi="宋体" w:eastAsia="宋体"/>
          <w:b/>
          <w:sz w:val="24"/>
        </w:rPr>
        <w:t>交互自然度优化</w:t>
      </w:r>
      <w:r>
        <w:rPr>
          <w:rFonts w:ascii="宋体" w:hAnsi="宋体" w:eastAsia="宋体"/>
          <w:sz w:val="24"/>
        </w:rPr>
        <w:t>：减少"不自然"的交互方式——避免需要用户进行不自然身体姿势的操作；避免需要精确瞄准的小目标；避免需要长时间保持静止的交互。使用裸手交互替代手柄交互可以提升自然度，但需要解决精度和可靠性问题。</w:t>
      </w:r>
    </w:p>
    <w:p/>
    <w:p>
      <w:pPr>
        <w:ind w:firstLine="482"/>
      </w:pPr>
      <w:r>
        <w:rPr>
          <w:rFonts w:ascii="宋体" w:hAnsi="宋体" w:eastAsia="宋体"/>
          <w:b/>
          <w:sz w:val="24"/>
        </w:rPr>
        <w:t>叙事沉浸优化</w:t>
      </w:r>
      <w:r>
        <w:rPr>
          <w:rFonts w:ascii="宋体" w:hAnsi="宋体" w:eastAsia="宋体"/>
          <w:sz w:val="24"/>
        </w:rPr>
        <w:t>：通过故事化设计增强情感参与——赋予虚拟角色鲜明的个性、设计有情感张力的情节、使用音乐和氛围营造情感基调。叙事沉浸可以显著提升用户对技术缺陷（如画面粗糙、追踪不精确）的容忍度[10]。</w:t>
      </w:r>
    </w:p>
    <w:p/>
    <w:p>
      <w:pPr>
        <w:ind w:firstLine="482"/>
      </w:pPr>
      <w:r>
        <w:rPr>
          <w:rFonts w:ascii="宋体" w:hAnsi="宋体" w:eastAsia="宋体"/>
          <w:b/>
          <w:sz w:val="24"/>
        </w:rPr>
        <w:t>社交临场优化</w:t>
      </w:r>
      <w:r>
        <w:rPr>
          <w:rFonts w:ascii="宋体" w:hAnsi="宋体" w:eastAsia="宋体"/>
          <w:sz w:val="24"/>
        </w:rPr>
        <w:t>：在多人 VR/AR 场景中，社交临场是沉浸感的重要组成部分。优化措施包括：为每个用户创建有表现力的虚拟化身（面部表情、身体语言）；提供语音通话和非语言交流（手势、点头）；设计需要协作才能完成的任务，促进用户间的互动和依赖[10]。</w:t>
      </w:r>
    </w:p>
    <w:p/>
    <w:p>
      <w:pPr>
        <w:pStyle w:val="Heading3"/>
      </w:pPr>
      <w:r>
        <w:t>3.6.3 沉浸感与可及性的平衡</w:t>
      </w:r>
    </w:p>
    <w:p/>
    <w:p>
      <w:pPr>
        <w:ind w:firstLine="482"/>
      </w:pPr>
      <w:r>
        <w:rPr>
          <w:rFonts w:ascii="宋体" w:hAnsi="宋体" w:eastAsia="宋体"/>
          <w:sz w:val="24"/>
        </w:rPr>
        <w:t>追求沉浸感时需要注意不同用户群体的可及性需求[10]：（1）前庭功能敏感的用户可能无法使用 VR——提供 3DoF 模式（无平滑移动）和"舒适模式"（限制视野边缘模糊以减少前庭刺激）；（2）视力障碍用户需要音频替代方案——在沉浸式场景中提供空间音频描述和语音导航；（3）行动不便的用户需要替代交互方式——提供眼动追踪和语音控制替代身体运动；（4）认知障碍用户需要简化界面——减少同时呈现的信息量，提供清晰的步骤引导。沉浸感设计不应以排斥部分用户为代价，包容性设计应成为沉浸式场景制作的基本原则[10]。</w:t>
      </w:r>
    </w:p>
    <w:p/>
    <w:p/>
    <w:p>
      <w:pPr>
        <w:pStyle w:val="Heading3"/>
      </w:pPr>
      <w:r>
        <w:t>3.6.4 沉浸感设计的工程化总结</w:t>
      </w:r>
    </w:p>
    <w:p/>
    <w:p>
      <w:pPr>
        <w:ind w:firstLine="482"/>
      </w:pPr>
      <w:r>
        <w:rPr>
          <w:rFonts w:ascii="宋体" w:hAnsi="宋体" w:eastAsia="宋体"/>
          <w:sz w:val="24"/>
        </w:rPr>
        <w:t>在实际项目中，沉浸感设计不应仅停留在理论层面，而需要转化为可操作的工程实践。设计团队应在项目初期制定沉浸感设计规范文档，明确感官一致性标准（音画同步阈值、空间音频精度要求）、交互自然度标准（手势识别准确率目标、响应延迟上限）、叙事设计框架（情感曲线规划、关键体验节点设计）和社交临场策略（虚拟化身表现力标准、多人交互机制设计）。这些规范应作为设计评审的依据，贯穿项目的整个开发周期，确保沉浸感设计从概念到实现的忠实落地[10]。</w:t>
      </w:r>
    </w:p>
    <w:p/>
    <w:p>
      <w:pPr>
        <w:pStyle w:val="Heading2"/>
      </w:pPr>
      <w:r>
        <w:t>本章小结</w:t>
      </w:r>
    </w:p>
    <w:p/>
    <w:p>
      <w:pPr>
        <w:ind w:firstLine="482"/>
      </w:pPr>
      <w:r>
        <w:rPr>
          <w:rFonts w:ascii="宋体" w:hAnsi="宋体" w:eastAsia="宋体"/>
          <w:sz w:val="24"/>
        </w:rPr>
        <w:t>本章建立了 VR/AR 沉浸式体验设计的理论基础。我们首先梳理了沉浸感理论谱系，从 Steuer 的远程临场维度理论到 Slater 的临场感三元模型，再到三层级沉浸感模型（感官沉浸、叙事沉浸、社交沉浸）和心流理论，构建了一个多层次的沉浸感理论框架。其次，系统分析了影响沉浸感的技术因素（帧率、延迟、FOV、分辨率、追踪精度）、内容因素（叙事结构、交互设计、视觉风格）、个体因素（年龄、游戏经验、认知风格）和环境因素（物理空间、社交情境）。然后，深入探讨了 VR 眩晕的生理机制（感觉冲突理论）、评估方法（SSQ 量表、生理指标）和平衡设计策略（瞬移、Vignette、舒适转向、加速曲线设计）。最后，提出了四项沉浸式体验设计原则：多感官一致性、自然交互、渐进式沉浸、伦理与安全考量。</w:t>
      </w:r>
    </w:p>
    <w:p/>
    <w:p>
      <w:pPr>
        <w:ind w:firstLine="482"/>
      </w:pPr>
      <w:r>
        <w:rPr>
          <w:rFonts w:ascii="宋体" w:hAnsi="宋体" w:eastAsia="宋体"/>
          <w:sz w:val="24"/>
        </w:rPr>
        <w:t xml:space="preserve">本章的理论内容为 I.M.M.E.R.S.E. 框架的 </w:t>
      </w:r>
      <w:r>
        <w:rPr>
          <w:rFonts w:ascii="宋体" w:hAnsi="宋体" w:eastAsia="宋体"/>
          <w:b/>
          <w:sz w:val="24"/>
        </w:rPr>
        <w:t>I（沉浸感设计）</w:t>
      </w:r>
      <w:r>
        <w:rPr>
          <w:rFonts w:ascii="宋体" w:hAnsi="宋体" w:eastAsia="宋体"/>
          <w:sz w:val="24"/>
        </w:rPr>
        <w:t xml:space="preserve"> 维度提供了完整的理论支撑。从第4章开始，我们将进入技术实现层面，系统讲解 VR/AR 沉浸式场景制作的核心技术支柱——3D 建模、多模态交互和开发引擎。</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沉浸感（Immersion）和临场感（Presence）的区别是什么？Slater 的临场感三元模型包含哪三个层次？</w:t>
      </w:r>
    </w:p>
    <w:p>
      <w:pPr>
        <w:pStyle w:val="ListNumber"/>
      </w:pPr>
      <w:r>
        <w:rPr>
          <w:rFonts w:ascii="宋体" w:hAnsi="宋体" w:eastAsia="宋体"/>
          <w:b/>
          <w:sz w:val="24"/>
        </w:rPr>
        <w:t>（理解）</w:t>
      </w:r>
      <w:r>
        <w:rPr>
          <w:rFonts w:ascii="宋体" w:hAnsi="宋体" w:eastAsia="宋体"/>
          <w:sz w:val="24"/>
        </w:rPr>
        <w:t xml:space="preserve"> 解释感觉冲突理论如何解释 VR 眩晕的产生机制，并说明为什么瞬移技术能有效缓解眩晕。</w:t>
      </w:r>
    </w:p>
    <w:p>
      <w:pPr>
        <w:pStyle w:val="ListNumber"/>
      </w:pPr>
      <w:r>
        <w:rPr>
          <w:rFonts w:ascii="宋体" w:hAnsi="宋体" w:eastAsia="宋体"/>
          <w:b/>
          <w:sz w:val="24"/>
        </w:rPr>
        <w:t>（应用）</w:t>
      </w:r>
      <w:r>
        <w:rPr>
          <w:rFonts w:ascii="宋体" w:hAnsi="宋体" w:eastAsia="宋体"/>
          <w:sz w:val="24"/>
        </w:rPr>
        <w:t xml:space="preserve"> 运用三层级沉浸感模型（感官/叙事/社交）分析一个 VR 博物馆导览应用的沉浸感层次，指出每一层的实现情况和改进空间。</w:t>
      </w:r>
    </w:p>
    <w:p>
      <w:pPr>
        <w:pStyle w:val="ListNumber"/>
      </w:pPr>
      <w:r>
        <w:rPr>
          <w:rFonts w:ascii="宋体" w:hAnsi="宋体" w:eastAsia="宋体"/>
          <w:b/>
          <w:sz w:val="24"/>
        </w:rPr>
        <w:t>（分析）</w:t>
      </w:r>
      <w:r>
        <w:rPr>
          <w:rFonts w:ascii="宋体" w:hAnsi="宋体" w:eastAsia="宋体"/>
          <w:sz w:val="24"/>
        </w:rPr>
        <w:t xml:space="preserve"> 分析帧率、MTP 延迟和 FOV 三个技术参数之间的相互制约关系，讨论在有限硬件性能下如何优化配置。</w:t>
      </w:r>
    </w:p>
    <w:p>
      <w:pPr>
        <w:pStyle w:val="ListNumber"/>
      </w:pPr>
      <w:r>
        <w:rPr>
          <w:rFonts w:ascii="宋体" w:hAnsi="宋体" w:eastAsia="宋体"/>
          <w:b/>
          <w:sz w:val="24"/>
        </w:rPr>
        <w:t>（评价）</w:t>
      </w:r>
      <w:r>
        <w:rPr>
          <w:rFonts w:ascii="宋体" w:hAnsi="宋体" w:eastAsia="宋体"/>
          <w:sz w:val="24"/>
        </w:rPr>
        <w:t xml:space="preserve"> 使用 SSQ 量表设计一个 VR 文旅体验的眩晕评估实验方案，包含被试招募、实验流程和数据分析方法。</w:t>
      </w:r>
    </w:p>
    <w:p>
      <w:pPr>
        <w:pStyle w:val="ListNumber"/>
      </w:pPr>
      <w:r>
        <w:rPr>
          <w:rFonts w:ascii="宋体" w:hAnsi="宋体" w:eastAsia="宋体"/>
          <w:b/>
          <w:sz w:val="24"/>
        </w:rPr>
        <w:t>（创造）</w:t>
      </w:r>
      <w:r>
        <w:rPr>
          <w:rFonts w:ascii="宋体" w:hAnsi="宋体" w:eastAsia="宋体"/>
          <w:sz w:val="24"/>
        </w:rPr>
        <w:t xml:space="preserve"> 针对一个 VR 古镇漫游项目，设计一套兼顾沉浸感与舒适度的移动方案，包含大范围移动（街道间）和精细移动（建筑内）的不同策略。</w:t>
      </w:r>
    </w:p>
    <w:p/>
    <w:p>
      <w:pPr>
        <w:pStyle w:val="Heading2"/>
      </w:pPr>
      <w:r>
        <w:t>参考文献</w:t>
      </w:r>
    </w:p>
    <w:p/>
    <w:p>
      <w:pPr>
        <w:ind w:firstLine="482"/>
      </w:pPr>
      <w:r>
        <w:rPr>
          <w:rFonts w:ascii="宋体" w:hAnsi="宋体" w:eastAsia="宋体"/>
          <w:sz w:val="24"/>
        </w:rPr>
        <w:t>[1] 张晓婷, 陆菁, 刘渊, 苏军强. (2021). VR交互体验中沉浸感与舒适度的平衡设计. 维普.</w:t>
      </w:r>
    </w:p>
    <w:p/>
    <w:p>
      <w:pPr>
        <w:ind w:firstLine="482"/>
      </w:pPr>
      <w:r>
        <w:rPr>
          <w:rFonts w:ascii="宋体" w:hAnsi="宋体" w:eastAsia="宋体"/>
          <w:sz w:val="24"/>
        </w:rPr>
        <w:t>[2] Steuer, J. (1992). Defining virtual reality: dimensions determining telepresence. Journal of Communication, 42(4), 73-93. https://doi.org/10.1111/J.1460-2466.1992.TB00812.X</w:t>
      </w:r>
    </w:p>
    <w:p/>
    <w:p>
      <w:pPr>
        <w:ind w:firstLine="482"/>
      </w:pPr>
      <w:r>
        <w:rPr>
          <w:rFonts w:ascii="宋体" w:hAnsi="宋体" w:eastAsia="宋体"/>
          <w:sz w:val="24"/>
        </w:rPr>
        <w:t>[3] Slater, M., &amp; Sanchez-Vives, M. V. (2016). Enhancing Our Lives with Immersive Virtual Reality. Frontiers in Robotics and AI, 3, 74. https://doi.org/10.3389/frobt.2016.00074</w:t>
      </w:r>
    </w:p>
    <w:p/>
    <w:p>
      <w:pPr>
        <w:ind w:firstLine="482"/>
      </w:pPr>
      <w:r>
        <w:rPr>
          <w:rFonts w:ascii="宋体" w:hAnsi="宋体" w:eastAsia="宋体"/>
          <w:sz w:val="24"/>
        </w:rPr>
        <w:t>[4] Rubio-Tamayo, J. L., Barrio, M. G., &amp; García, F. G. (2017). Immersive Environments and Virtual Reality: Systematic Review and Advances in Communication, Interaction and Simulation. Multimodal Technologies and Interaction, 1(4), 21. https://doi.org/10.3390/MTI1040021</w:t>
      </w:r>
    </w:p>
    <w:p/>
    <w:p>
      <w:pPr>
        <w:ind w:firstLine="482"/>
      </w:pPr>
      <w:r>
        <w:rPr>
          <w:rFonts w:ascii="宋体" w:hAnsi="宋体" w:eastAsia="宋体"/>
          <w:sz w:val="24"/>
        </w:rPr>
        <w:t>[5] 张烈. (2008). 虚拟体验设计的基本原则. 万方数据.</w:t>
      </w:r>
    </w:p>
    <w:p/>
    <w:p>
      <w:pPr>
        <w:ind w:firstLine="482"/>
      </w:pPr>
      <w:r>
        <w:rPr>
          <w:rFonts w:ascii="宋体" w:hAnsi="宋体" w:eastAsia="宋体"/>
          <w:sz w:val="24"/>
        </w:rPr>
        <w:t>[6] Badilla-Quintana, M. G., &amp; Sandoval-Henríquez, F. J. (2021). Students' Immersive Experience in Initial Teacher Training in a Virtual World to Promote Sustainable Education. Sustainability, 13(22), 12780. https://doi.org/10.3390/su132212780</w:t>
      </w:r>
    </w:p>
    <w:p/>
    <w:p>
      <w:pPr>
        <w:ind w:firstLine="482"/>
      </w:pPr>
      <w:r>
        <w:rPr>
          <w:rFonts w:ascii="宋体" w:hAnsi="宋体" w:eastAsia="宋体"/>
          <w:sz w:val="24"/>
        </w:rPr>
        <w:t>[7] de Quinto, C., Navarro, A., Otero, G., et al. (2024). On the impact of VR/AR applications on optical transport networks. IEEE ICTON. https://doi.org/10.1109/ICTON62926.2024.10647326</w:t>
      </w:r>
    </w:p>
    <w:p/>
    <w:p>
      <w:pPr>
        <w:ind w:firstLine="482"/>
      </w:pPr>
      <w:r>
        <w:rPr>
          <w:rFonts w:ascii="宋体" w:hAnsi="宋体" w:eastAsia="宋体"/>
          <w:sz w:val="24"/>
        </w:rPr>
        <w:t>[8] Mulders, M., Buchner, J., &amp; Kerres, M. (2020). A Framework for the Use of Immersive Virtual Reality in Learning Environments. International Journal of Emerging Technologies in Learning, 15(24), 208-222. https://doi.org/10.3991/ijet.v15i24.16615</w:t>
      </w:r>
    </w:p>
    <w:p/>
    <w:p>
      <w:pPr>
        <w:ind w:firstLine="482"/>
      </w:pPr>
      <w:r>
        <w:rPr>
          <w:rFonts w:ascii="宋体" w:hAnsi="宋体" w:eastAsia="宋体"/>
          <w:sz w:val="24"/>
        </w:rPr>
        <w:t>[9] Checa, D., &amp; Bustillo, A. (2019). A review of immersive virtual reality serious games to enhance learning and training. Multimedia Tools and Applications, 79, 5501-5527. https://doi.org/10.1007/s11042-019-08348-9</w:t>
      </w:r>
    </w:p>
    <w:p/>
    <w:p>
      <w:pPr>
        <w:ind w:firstLine="482"/>
      </w:pPr>
      <w:r>
        <w:rPr>
          <w:rFonts w:ascii="宋体" w:hAnsi="宋体" w:eastAsia="宋体"/>
          <w:sz w:val="24"/>
        </w:rPr>
        <w:t>[10] Checa, D., Gatto, C., Cisternino, D., Paolis, L. D., &amp; Bustillo, A. (2020). A Framework for Educational and Training Immersive Virtual Reality Experiences. In Lecture Notes in Computer Science (Vol. 12288, pp. 139-149). Springer. https://doi.org/10.1007/978-3-030-58468-9_17</w:t>
      </w:r>
    </w:p>
    <w:p/>
    <w:p>
      <w:pPr>
        <w:ind w:firstLine="482"/>
      </w:pPr>
      <w:r>
        <w:rPr>
          <w:rFonts w:ascii="宋体" w:hAnsi="宋体" w:eastAsia="宋体"/>
          <w:sz w:val="24"/>
        </w:rPr>
        <w:t>[11] Allison, C., Morgado, L., Pirker, J., et al. (2016). Towards Measuring User Experience, Activation and Task Performance in Immersive Virtual Learning Environments for Students. In Lecture Notes in Computer Science (Vol. 9768, pp. 35-45). Springer. https://doi.org/10.1007/978-3-319-41769-1_4</w:t>
      </w:r>
    </w:p>
    <w:p/>
    <w:p>
      <w:pPr>
        <w:ind w:firstLine="482"/>
      </w:pPr>
      <w:r>
        <w:rPr>
          <w:rFonts w:ascii="宋体" w:hAnsi="宋体" w:eastAsia="宋体"/>
          <w:sz w:val="24"/>
        </w:rPr>
        <w:t>[12] 杨. (2023). Virtual Reality and Augmented Reality for Immersive Learning: A Framework of Education Environment Design. International Journal of Emerging Technologies in Learning, 18(20). https://doi.org/10.3991/ijet.v18i20.44209</w:t>
      </w:r>
    </w:p>
    <w:p/>
    <w:p>
      <w:pPr>
        <w:ind w:firstLine="482"/>
      </w:pPr>
      <w:r>
        <w:rPr>
          <w:rFonts w:ascii="宋体" w:hAnsi="宋体" w:eastAsia="宋体"/>
          <w:sz w:val="24"/>
        </w:rPr>
        <w:t>[13] Motejlek, J., &amp; Alpay, E. (2019). A Taxonomy for Virtual and Augmented Reality in Education. arXiv:1906.12051. https://arxiv.org/abs/1906.12051</w:t>
      </w:r>
    </w:p>
    <w:p/>
    <w:p>
      <w:r>
        <w:br w:type="page"/>
      </w:r>
    </w:p>
    <w:p>
      <w:pPr>
        <w:pStyle w:val="Heading1"/>
      </w:pPr>
      <w:r>
        <w:t>第4章 3D 建模与数字资产创建</w:t>
      </w:r>
    </w:p>
    <w:p/>
    <w:p>
      <w:pPr>
        <w:pStyle w:val="Heading2"/>
      </w:pPr>
      <w:r>
        <w:t>学习目标</w:t>
      </w:r>
    </w:p>
    <w:p/>
    <w:p>
      <w:pPr>
        <w:ind w:firstLine="482"/>
      </w:pPr>
      <w:r>
        <w:rPr>
          <w:rFonts w:ascii="宋体" w:hAnsi="宋体" w:eastAsia="宋体"/>
          <w:sz w:val="24"/>
        </w:rPr>
        <w:t>完成本章学习后，读者应当能够：</w:t>
      </w:r>
    </w:p>
    <w:p/>
    <w:p>
      <w:pPr>
        <w:pStyle w:val="ListNumber"/>
      </w:pPr>
      <w:r>
        <w:rPr>
          <w:rFonts w:ascii="宋体" w:hAnsi="宋体" w:eastAsia="宋体"/>
          <w:b/>
          <w:sz w:val="24"/>
        </w:rPr>
        <w:t>识记</w:t>
      </w:r>
      <w:r>
        <w:rPr>
          <w:rFonts w:ascii="宋体" w:hAnsi="宋体" w:eastAsia="宋体"/>
          <w:sz w:val="24"/>
        </w:rPr>
        <w:t>：3D 建模的基本概念（网格、拓扑、UV、法线），PBR 材质系统的原理与工作流。</w:t>
      </w:r>
    </w:p>
    <w:p>
      <w:pPr>
        <w:pStyle w:val="ListNumber"/>
      </w:pPr>
      <w:r>
        <w:rPr>
          <w:rFonts w:ascii="宋体" w:hAnsi="宋体" w:eastAsia="宋体"/>
          <w:b/>
          <w:sz w:val="24"/>
        </w:rPr>
        <w:t>理解</w:t>
      </w:r>
      <w:r>
        <w:rPr>
          <w:rFonts w:ascii="宋体" w:hAnsi="宋体" w:eastAsia="宋体"/>
          <w:sz w:val="24"/>
        </w:rPr>
        <w:t>：VR/AR 建模的特殊要求（LOD、Draw Call、Polygon Budget）及其与传统建模的差异。</w:t>
      </w:r>
    </w:p>
    <w:p>
      <w:pPr>
        <w:pStyle w:val="ListNumber"/>
      </w:pPr>
      <w:r>
        <w:rPr>
          <w:rFonts w:ascii="宋体" w:hAnsi="宋体" w:eastAsia="宋体"/>
          <w:b/>
          <w:sz w:val="24"/>
        </w:rPr>
        <w:t>应用</w:t>
      </w:r>
      <w:r>
        <w:rPr>
          <w:rFonts w:ascii="宋体" w:hAnsi="宋体" w:eastAsia="宋体"/>
          <w:sz w:val="24"/>
        </w:rPr>
        <w:t>：掌握多边形建模、摄影测量和程序化建模三种建模方法的基本流程，能够选择适合项目需求的建模方案。</w:t>
      </w:r>
    </w:p>
    <w:p>
      <w:pPr>
        <w:pStyle w:val="ListNumber"/>
      </w:pPr>
      <w:r>
        <w:rPr>
          <w:rFonts w:ascii="宋体" w:hAnsi="宋体" w:eastAsia="宋体"/>
          <w:b/>
          <w:sz w:val="24"/>
        </w:rPr>
        <w:t>分析</w:t>
      </w:r>
      <w:r>
        <w:rPr>
          <w:rFonts w:ascii="宋体" w:hAnsi="宋体" w:eastAsia="宋体"/>
          <w:sz w:val="24"/>
        </w:rPr>
        <w:t>：分析不同建模技术在精度、效率、适用场景方面的优劣，制定最优的资产生产管线。</w:t>
      </w:r>
    </w:p>
    <w:p>
      <w:pPr>
        <w:pStyle w:val="ListNumber"/>
      </w:pPr>
      <w:r>
        <w:rPr>
          <w:rFonts w:ascii="宋体" w:hAnsi="宋体" w:eastAsia="宋体"/>
          <w:b/>
          <w:sz w:val="24"/>
        </w:rPr>
        <w:t>评价</w:t>
      </w:r>
      <w:r>
        <w:rPr>
          <w:rFonts w:ascii="宋体" w:hAnsi="宋体" w:eastAsia="宋体"/>
          <w:sz w:val="24"/>
        </w:rPr>
        <w:t>：评估 3D 资产的优化程度是否满足目标平台的性能预算要求。</w:t>
      </w:r>
    </w:p>
    <w:p>
      <w:pPr>
        <w:pStyle w:val="ListNumber"/>
      </w:pPr>
      <w:r>
        <w:rPr>
          <w:rFonts w:ascii="宋体" w:hAnsi="宋体" w:eastAsia="宋体"/>
          <w:b/>
          <w:sz w:val="24"/>
        </w:rPr>
        <w:t>创造</w:t>
      </w:r>
      <w:r>
        <w:rPr>
          <w:rFonts w:ascii="宋体" w:hAnsi="宋体" w:eastAsia="宋体"/>
          <w:sz w:val="24"/>
        </w:rPr>
        <w:t>：设计一个文旅场景的 3D 资产生产管线，包含建模、优化、导入和管理的完整流程。</w:t>
      </w:r>
    </w:p>
    <w:p/>
    <w:p>
      <w:pPr>
        <w:pStyle w:val="Heading2"/>
      </w:pPr>
      <w:r>
        <w:t>导入案例：巴厘岛神庙 VR 数字化——从实景采集到虚拟场景</w:t>
      </w:r>
    </w:p>
    <w:p/>
    <w:p>
      <w:pPr>
        <w:ind w:firstLine="482"/>
      </w:pPr>
      <w:r>
        <w:rPr>
          <w:rFonts w:ascii="宋体" w:hAnsi="宋体" w:eastAsia="宋体"/>
          <w:sz w:val="24"/>
        </w:rPr>
        <w:t>Darmawiguna 等人开发了一个名为"Bali Temple VR"的项目，将印度尼西亚巴厘岛的神庙建筑数字化为 VR 体验[1]。该项目展示了从实景采集到虚拟场景的完整工作流：首先使用无人机和地面摄影对神庙进行多角度影像采集；然后通过摄影测量软件（Agisoft Metashape）将照片重建为 3D 点云和网格模型；接着对模型进行清理和优化——删除冗余几何体、修复拓扑问题、生成 UV 坐标和烘焙纹理；最后将优化后的模型导入 Unity 引擎，添加交互组件和光照设置，构建可交互的 VR 神庙漫游场景。</w:t>
      </w:r>
    </w:p>
    <w:p/>
    <w:p>
      <w:pPr>
        <w:ind w:firstLine="482"/>
      </w:pPr>
      <w:r>
        <w:rPr>
          <w:rFonts w:ascii="宋体" w:hAnsi="宋体" w:eastAsia="宋体"/>
          <w:sz w:val="24"/>
        </w:rPr>
        <w:t>这一案例揭示了 VR/AR 3D 建模的核心挑战：如何在保证视觉质量的前提下，将模型复杂度控制在目标平台的性能预算之内。VR/AR 场景对实时渲染性能的要求远高于传统 3D 游戏——双眼同时渲染、高帧率（90fps+）、低延迟的要求使得可用于每个物体的多边形数量大幅减少。本章将系统讲解 VR/AR 场景中 3D 建模的方法论和优化策略。</w:t>
      </w:r>
    </w:p>
    <w:p/>
    <w:p>
      <w:pPr>
        <w:ind w:firstLine="482"/>
      </w:pPr>
      <w:r>
        <w:rPr>
          <w:rFonts w:ascii="宋体" w:hAnsi="宋体" w:eastAsia="宋体"/>
          <w:sz w:val="24"/>
        </w:rPr>
        <w:t>---</w:t>
      </w:r>
    </w:p>
    <w:p/>
    <w:p>
      <w:pPr>
        <w:pStyle w:val="Heading2"/>
      </w:pPr>
      <w:r>
        <w:t>4.1 VR/AR 建模基础</w:t>
      </w:r>
    </w:p>
    <w:p/>
    <w:p>
      <w:pPr>
        <w:pStyle w:val="Heading3"/>
      </w:pPr>
      <w:r>
        <w:t>4.1.1 3D 建模基本概念</w:t>
      </w:r>
    </w:p>
    <w:p/>
    <w:p>
      <w:pPr>
        <w:ind w:firstLine="482"/>
      </w:pPr>
      <w:r>
        <w:rPr>
          <w:rFonts w:ascii="宋体" w:hAnsi="宋体" w:eastAsia="宋体"/>
          <w:sz w:val="24"/>
        </w:rPr>
        <w:t>3D 建模是创建三维数字几何体的过程，是 VR/AR 场景制作的物质基础。理解以下核心概念是进行 VR/AR 建模的前提：</w:t>
      </w:r>
    </w:p>
    <w:p/>
    <w:p>
      <w:pPr>
        <w:ind w:firstLine="482"/>
      </w:pPr>
      <w:r>
        <w:rPr>
          <w:rFonts w:ascii="宋体" w:hAnsi="宋体" w:eastAsia="宋体"/>
          <w:b/>
          <w:sz w:val="24"/>
        </w:rPr>
        <w:t>网格（Mesh）</w:t>
      </w:r>
      <w:r>
        <w:rPr>
          <w:rFonts w:ascii="宋体" w:hAnsi="宋体" w:eastAsia="宋体"/>
          <w:sz w:val="24"/>
        </w:rPr>
        <w:t xml:space="preserve"> 是 3D 模型的基本数据结构，由顶点（Vertex）、边（Edge）和面（Face）构成。顶点是三维空间中的点，由 (x, y, z) 坐标定义；边连接两个顶点；面由三个或更多边围成的区域构成。三角面（Triangle）是最基本的面类型，所有 GPU 最终渲染的都是三角形网格。四边面（Quad）在建模软件中更常用，因为四边面在细分（Subdivision）和变形（Deformation）时行为更可预测。多边形面（N-gon，五边及以上）虽然在建模软件中可用，但在导出到引擎时会被自动三角化，可能导致不可预期的纹理变形[2]。</w:t>
      </w:r>
    </w:p>
    <w:p/>
    <w:p>
      <w:pPr>
        <w:ind w:firstLine="482"/>
      </w:pPr>
      <w:r>
        <w:rPr>
          <w:rFonts w:ascii="宋体" w:hAnsi="宋体" w:eastAsia="宋体"/>
          <w:b/>
          <w:sz w:val="24"/>
        </w:rPr>
        <w:t>拓扑（Topology）</w:t>
      </w:r>
      <w:r>
        <w:rPr>
          <w:rFonts w:ascii="宋体" w:hAnsi="宋体" w:eastAsia="宋体"/>
          <w:sz w:val="24"/>
        </w:rPr>
        <w:t xml:space="preserve"> 指网格中边的流动模式。良好的拓扑应遵循"边流沿形体方向"原则——在人物面部建模中，边应沿眼轮匝肌和口轮匝肌的肌肉走向流动，使面部表情动画自然。拓扑质量直接影响模型的变形动画质量和细分后的曲面平滑度。在 VR/AR 场景中，静态物体的拓扑要求相对宽松，但需要动画的物体（如角色、植被）必须有严格的拓扑规范[2]。</w:t>
      </w:r>
    </w:p>
    <w:p/>
    <w:p>
      <w:pPr>
        <w:ind w:firstLine="482"/>
      </w:pPr>
      <w:r>
        <w:rPr>
          <w:rFonts w:ascii="宋体" w:hAnsi="宋体" w:eastAsia="宋体"/>
          <w:b/>
          <w:sz w:val="24"/>
        </w:rPr>
        <w:t>UV 映射（UV Mapping）</w:t>
      </w:r>
      <w:r>
        <w:rPr>
          <w:rFonts w:ascii="宋体" w:hAnsi="宋体" w:eastAsia="宋体"/>
          <w:sz w:val="24"/>
        </w:rPr>
        <w:t xml:space="preserve"> 是将 3D 模型的表面展开到 2D 平面的过程，以便在 2D 纹理图上绘制材质。UV 坐标系中 U 和 V 分别对应纹理图的水平和垂直方向，每个顶点除了 3D 空间坐标 (x, y, z) 外还拥有 UV 坐标 (u, v)。UV 展开的质量直接影响纹理的显示效果——UV 拉伸会导致纹理变形，UV 重叠会导致纹理错乱，UV 碎片过多会增加 Draw Call。VR/AR 模型的 UV 优化通常采用纹理图集（Texture Atlas）策略——将多个物体的 UV 排列在同一张纹理图上，减少材质切换和 Draw Call[3]。</w:t>
      </w:r>
    </w:p>
    <w:p/>
    <w:p>
      <w:pPr>
        <w:ind w:firstLine="482"/>
      </w:pPr>
      <w:r>
        <w:rPr>
          <w:rFonts w:ascii="宋体" w:hAnsi="宋体" w:eastAsia="宋体"/>
          <w:b/>
          <w:sz w:val="24"/>
        </w:rPr>
        <w:t>法线（Normal）</w:t>
      </w:r>
      <w:r>
        <w:rPr>
          <w:rFonts w:ascii="宋体" w:hAnsi="宋体" w:eastAsia="宋体"/>
          <w:sz w:val="24"/>
        </w:rPr>
        <w:t xml:space="preserve"> 是垂直于面的向量，定义了面的朝向。法线方向决定了光照计算的结果——面朝向光源时明亮，背向光源时暗淡。法线贴图（Normal Map）是一种在低多边形模型上模拟高多边形模型细节的技术——通过在纹理图中编码逐像素的法线方向，使低模在渲染时呈现高模的表面凹凸细节，而实际多边形数量不变。这一技术是 VR/AR 建模中最重要的优化手段之一[3]。</w:t>
      </w:r>
    </w:p>
    <w:p/>
    <w:p>
      <w:pPr>
        <w:pStyle w:val="Heading3"/>
      </w:pPr>
      <w:r>
        <w:t>4.1.2 VR/AR 建模的特殊要求</w:t>
      </w:r>
    </w:p>
    <w:p/>
    <w:p>
      <w:pPr>
        <w:ind w:firstLine="482"/>
      </w:pPr>
      <w:r>
        <w:rPr>
          <w:rFonts w:ascii="宋体" w:hAnsi="宋体" w:eastAsia="宋体"/>
          <w:sz w:val="24"/>
        </w:rPr>
        <w:t>VR/AR 建模与传统 3D 游戏建模在技术要求上有显著差异，主要体现在以下几个方面：</w:t>
      </w:r>
    </w:p>
    <w:p/>
    <w:p>
      <w:pPr>
        <w:ind w:firstLine="482"/>
      </w:pPr>
      <w:r>
        <w:rPr>
          <w:rFonts w:ascii="宋体" w:hAnsi="宋体" w:eastAsia="宋体"/>
          <w:b/>
          <w:sz w:val="24"/>
        </w:rPr>
        <w:t>双目渲染预算</w:t>
      </w:r>
      <w:r>
        <w:rPr>
          <w:rFonts w:ascii="宋体" w:hAnsi="宋体" w:eastAsia="宋体"/>
          <w:sz w:val="24"/>
        </w:rPr>
        <w:t>。VR 场景需要同时为左右眼渲染两幅图像，相当于将渲染负载翻倍。在相同 GPU 性能下，VR 场景中每个物体的多边形预算只有传统游戏的一半。以 Meta Quest 3 为例，推荐的单场景总多边形数约为 100-150 万三角形（含所有物体），而传统 PC 游戏可达数百万甚至上千万。这意味着 VR 建模必须在视觉质量和多边形数量之间做出更严格的权衡[4]。</w:t>
      </w:r>
    </w:p>
    <w:p/>
    <w:p>
      <w:pPr>
        <w:ind w:firstLine="482"/>
      </w:pPr>
      <w:r>
        <w:rPr>
          <w:rFonts w:ascii="宋体" w:hAnsi="宋体" w:eastAsia="宋体"/>
          <w:b/>
          <w:sz w:val="24"/>
        </w:rPr>
        <w:t>近距离观察需求</w:t>
      </w:r>
      <w:r>
        <w:rPr>
          <w:rFonts w:ascii="宋体" w:hAnsi="宋体" w:eastAsia="宋体"/>
          <w:sz w:val="24"/>
        </w:rPr>
        <w:t>。VR 用户可以将虚拟物体拿到眼前近距离观察，任何建模瑕疵——纹理模糊、几何体穿透、UV 接缝——都会被放大暴露。因此，VR 模型需要在保证低多边形的同时，通过法线贴图和细节纹理在近距离观察时保持足够的视觉细节。这一"低模+高细节"的要求使 VR 建模的工艺复杂度高于传统建模[4]。</w:t>
      </w:r>
    </w:p>
    <w:p/>
    <w:p>
      <w:pPr>
        <w:ind w:firstLine="482"/>
      </w:pPr>
      <w:r>
        <w:rPr>
          <w:rFonts w:ascii="宋体" w:hAnsi="宋体" w:eastAsia="宋体"/>
          <w:b/>
          <w:sz w:val="24"/>
        </w:rPr>
        <w:t>立体视觉一致性</w:t>
      </w:r>
      <w:r>
        <w:rPr>
          <w:rFonts w:ascii="宋体" w:hAnsi="宋体" w:eastAsia="宋体"/>
          <w:sz w:val="24"/>
        </w:rPr>
        <w:t>。VR 的双目立体视觉对模型的深度信息极其敏感。如果模型的法线方向不一致或几何体存在"穿模"（不同物体相互穿插），在立体视觉下会暴露明显的深度错误，破坏沉浸感。建模时需要确保所有法线方向一致朝外，所有物体之间的空间关系正确无穿插[3]。</w:t>
      </w:r>
    </w:p>
    <w:p/>
    <w:p>
      <w:pPr>
        <w:ind w:firstLine="482"/>
      </w:pPr>
      <w:r>
        <w:rPr>
          <w:rFonts w:ascii="宋体" w:hAnsi="宋体" w:eastAsia="宋体"/>
          <w:b/>
          <w:sz w:val="24"/>
        </w:rPr>
        <w:t>Draw Call 预算</w:t>
      </w:r>
      <w:r>
        <w:rPr>
          <w:rFonts w:ascii="宋体" w:hAnsi="宋体" w:eastAsia="宋体"/>
          <w:sz w:val="24"/>
        </w:rPr>
        <w:t>。Draw Call 是 CPU 向 GPU 发出的每次渲染指令。VR/AR 场景的 Draw Call 预算通常控制在 100-200 次/帧以内。每次材质切换都会增加一次 Draw Call，因此 VR 场景中的材质数量应尽量精简。通过纹理图集将多个物体合并到同一材质下，可以有效减少 Draw Call[4]。</w:t>
      </w:r>
    </w:p>
    <w:p/>
    <w:p>
      <w:pPr>
        <w:pStyle w:val="Heading3"/>
      </w:pPr>
      <w:r>
        <w:t>4.1.3 PBR 材质系统原理</w:t>
      </w:r>
    </w:p>
    <w:p/>
    <w:p>
      <w:pPr>
        <w:ind w:firstLine="482"/>
      </w:pPr>
      <w:r>
        <w:rPr>
          <w:rFonts w:ascii="宋体" w:hAnsi="宋体" w:eastAsia="宋体"/>
          <w:sz w:val="24"/>
        </w:rPr>
        <w:t>PBR（Physically Based Rendering，基于物理的渲染）是当前 VR/AR 开发引擎的标准材质系统。与传统经验式材质相比，PBR 材质基于真实世界的物理光学原理，使材质在不同光照条件下呈现一致且可信的外观[3]。</w:t>
      </w:r>
    </w:p>
    <w:p/>
    <w:p>
      <w:pPr>
        <w:ind w:firstLine="482"/>
      </w:pPr>
      <w:r>
        <w:rPr>
          <w:rFonts w:ascii="宋体" w:hAnsi="宋体" w:eastAsia="宋体"/>
          <w:sz w:val="24"/>
        </w:rPr>
        <w:t>PBR 材质系统的核心参数包括：</w:t>
      </w:r>
    </w:p>
    <w:p/>
    <w:p>
      <w:pPr>
        <w:pStyle w:val="ListBullet"/>
      </w:pPr>
      <w:r>
        <w:rPr>
          <w:rFonts w:ascii="宋体" w:hAnsi="宋体" w:eastAsia="宋体"/>
          <w:b/>
          <w:sz w:val="24"/>
        </w:rPr>
        <w:t>反照率图（Albedo Map）</w:t>
      </w:r>
      <w:r>
        <w:rPr>
          <w:rFonts w:ascii="宋体" w:hAnsi="宋体" w:eastAsia="宋体"/>
          <w:sz w:val="24"/>
        </w:rPr>
        <w:t>：定义材质的基础颜色，不含任何光照信息。对于金属材质，反照率代表反射率（通常较高）；对于非金属材质，反照率代表漫反射颜色。</w:t>
      </w:r>
    </w:p>
    <w:p>
      <w:pPr>
        <w:pStyle w:val="ListBullet"/>
      </w:pPr>
      <w:r>
        <w:rPr>
          <w:rFonts w:ascii="宋体" w:hAnsi="宋体" w:eastAsia="宋体"/>
          <w:b/>
          <w:sz w:val="24"/>
        </w:rPr>
        <w:t>法线图（Normal Map）</w:t>
      </w:r>
      <w:r>
        <w:rPr>
          <w:rFonts w:ascii="宋体" w:hAnsi="宋体" w:eastAsia="宋体"/>
          <w:sz w:val="24"/>
        </w:rPr>
        <w:t>：存储逐像素的法线方向，在低模上模拟高模的表面细节凹凸。</w:t>
      </w:r>
    </w:p>
    <w:p>
      <w:pPr>
        <w:pStyle w:val="ListBullet"/>
      </w:pPr>
      <w:r>
        <w:rPr>
          <w:rFonts w:ascii="宋体" w:hAnsi="宋体" w:eastAsia="宋体"/>
          <w:b/>
          <w:sz w:val="24"/>
        </w:rPr>
        <w:t>粗糙度图（Roughness Map）</w:t>
      </w:r>
      <w:r>
        <w:rPr>
          <w:rFonts w:ascii="宋体" w:hAnsi="宋体" w:eastAsia="宋体"/>
          <w:sz w:val="24"/>
        </w:rPr>
        <w:t>：定义表面粗糙程度。粗糙度越高，高光越分散模糊；粗糙度越低，高光越集中锐利。</w:t>
      </w:r>
    </w:p>
    <w:p>
      <w:pPr>
        <w:pStyle w:val="ListBullet"/>
      </w:pPr>
      <w:r>
        <w:rPr>
          <w:rFonts w:ascii="宋体" w:hAnsi="宋体" w:eastAsia="宋体"/>
          <w:b/>
          <w:sz w:val="24"/>
        </w:rPr>
        <w:t>金属度图（Metallic Map）</w:t>
      </w:r>
      <w:r>
        <w:rPr>
          <w:rFonts w:ascii="宋体" w:hAnsi="宋体" w:eastAsia="宋体"/>
          <w:sz w:val="24"/>
        </w:rPr>
        <w:t>：二值图（通常 0 或 1），定义材质是否为金属。金属材质的反射率高且无漫反射，非金属材质的反射率低且有漫反射。</w:t>
      </w:r>
    </w:p>
    <w:p>
      <w:pPr>
        <w:pStyle w:val="ListBullet"/>
      </w:pPr>
      <w:r>
        <w:rPr>
          <w:rFonts w:ascii="宋体" w:hAnsi="宋体" w:eastAsia="宋体"/>
          <w:b/>
          <w:sz w:val="24"/>
        </w:rPr>
        <w:t>环境光遮蔽图（AO Map）</w:t>
      </w:r>
      <w:r>
        <w:rPr>
          <w:rFonts w:ascii="宋体" w:hAnsi="宋体" w:eastAsia="宋体"/>
          <w:sz w:val="24"/>
        </w:rPr>
        <w:t>：定义模型表面的环境光遮蔽程度，在凹陷和缝隙处产生柔和阴影，增强几何体的体积感和深度感。</w:t>
      </w:r>
    </w:p>
    <w:p/>
    <w:p>
      <w:pPr>
        <w:ind w:firstLine="482"/>
      </w:pPr>
      <w:r>
        <w:rPr>
          <w:rFonts w:ascii="宋体" w:hAnsi="宋体" w:eastAsia="宋体"/>
          <w:sz w:val="24"/>
        </w:rPr>
        <w:t>PBR 材质工作流分为两种主流方案：金属度-粗糙度工作流（Metalness-Roughness，Unity 和 Unreal 默认使用）和镜面反射-光滑度工作流（Specular-Glossiness）。金属度-粗糙度工作流更节省纹理内存（金属度和粗糙度可以合并为一张 RGBA 图的 RG 通道），且物理正确性更好，是 VR/AR 开发的推荐方案[3]。</w:t>
      </w:r>
    </w:p>
    <w:p/>
    <w:p>
      <w:pPr>
        <w:spacing w:before="60" w:after="60"/>
        <w:ind w:left="567"/>
      </w:pPr>
      <w:r>
        <w:rPr>
          <w:rFonts w:ascii="楷体" w:hAnsi="楷体" w:eastAsia="楷体"/>
          <w:i/>
          <w:sz w:val="22"/>
        </w:rPr>
        <w:t>**知识卡片：PBR 材质工作流速查**</w:t>
      </w:r>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&gt;</w:t>
            </w:r>
          </w:p>
        </w:tc>
        <w:tc>
          <w:tcPr>
            <w:tcW w:type="dxa" w:w="1662"/>
            <w:shd w:fill="D9E2F3" w:val="clear"/>
          </w:tcPr>
          <w:p>
            <w:pPr>
              <w:jc w:val="center"/>
            </w:pPr>
            <w:r/>
            <w:r>
              <w:rPr>
                <w:rFonts w:ascii="黑体" w:hAnsi="黑体" w:eastAsia="黑体"/>
                <w:b/>
                <w:sz w:val="20"/>
              </w:rPr>
              <w:t>贴图类型</w:t>
            </w:r>
          </w:p>
        </w:tc>
        <w:tc>
          <w:tcPr>
            <w:tcW w:type="dxa" w:w="1662"/>
            <w:shd w:fill="D9E2F3" w:val="clear"/>
          </w:tcPr>
          <w:p>
            <w:pPr>
              <w:jc w:val="center"/>
            </w:pPr>
            <w:r/>
            <w:r>
              <w:rPr>
                <w:rFonts w:ascii="黑体" w:hAnsi="黑体" w:eastAsia="黑体"/>
                <w:b/>
                <w:sz w:val="20"/>
              </w:rPr>
              <w:t>通道</w:t>
            </w:r>
          </w:p>
        </w:tc>
        <w:tc>
          <w:tcPr>
            <w:tcW w:type="dxa" w:w="1662"/>
            <w:shd w:fill="D9E2F3" w:val="clear"/>
          </w:tcPr>
          <w:p>
            <w:pPr>
              <w:jc w:val="center"/>
            </w:pPr>
            <w:r/>
            <w:r>
              <w:rPr>
                <w:rFonts w:ascii="黑体" w:hAnsi="黑体" w:eastAsia="黑体"/>
                <w:b/>
                <w:sz w:val="20"/>
              </w:rPr>
              <w:t>作用</w:t>
            </w:r>
          </w:p>
        </w:tc>
        <w:tc>
          <w:tcPr>
            <w:tcW w:type="dxa" w:w="1662"/>
            <w:shd w:fill="D9E2F3" w:val="clear"/>
          </w:tcPr>
          <w:p>
            <w:pPr>
              <w:jc w:val="center"/>
            </w:pPr>
            <w:r/>
            <w:r>
              <w:rPr>
                <w:rFonts w:ascii="黑体" w:hAnsi="黑体" w:eastAsia="黑体"/>
                <w:b/>
                <w:sz w:val="20"/>
              </w:rPr>
              <w:t>VR优化建议</w:t>
            </w:r>
          </w:p>
        </w:tc>
      </w:tr>
      <w:tr>
        <w:tc>
          <w:tcPr>
            <w:tcW w:type="dxa" w:w="1662"/>
          </w:tcPr>
          <w:p>
            <w:r/>
            <w:r>
              <w:rPr>
                <w:rFonts w:ascii="宋体" w:hAnsi="宋体" w:eastAsia="宋体"/>
                <w:sz w:val="20"/>
              </w:rPr>
              <w:t>&gt;</w:t>
            </w:r>
          </w:p>
        </w:tc>
        <w:tc>
          <w:tcPr>
            <w:tcW w:type="dxa" w:w="1662"/>
          </w:tcPr>
          <w:p>
            <w:r/>
            <w:r>
              <w:rPr>
                <w:rFonts w:ascii="宋体" w:hAnsi="宋体" w:eastAsia="宋体"/>
                <w:sz w:val="20"/>
              </w:rPr>
              <w:t>Albedo</w:t>
            </w:r>
          </w:p>
        </w:tc>
        <w:tc>
          <w:tcPr>
            <w:tcW w:type="dxa" w:w="1662"/>
          </w:tcPr>
          <w:p>
            <w:r/>
            <w:r>
              <w:rPr>
                <w:rFonts w:ascii="宋体" w:hAnsi="宋体" w:eastAsia="宋体"/>
                <w:sz w:val="20"/>
              </w:rPr>
              <w:t>RGB</w:t>
            </w:r>
          </w:p>
        </w:tc>
        <w:tc>
          <w:tcPr>
            <w:tcW w:type="dxa" w:w="1662"/>
          </w:tcPr>
          <w:p>
            <w:r/>
            <w:r>
              <w:rPr>
                <w:rFonts w:ascii="宋体" w:hAnsi="宋体" w:eastAsia="宋体"/>
                <w:sz w:val="20"/>
              </w:rPr>
              <w:t>基础颜色</w:t>
            </w:r>
          </w:p>
        </w:tc>
        <w:tc>
          <w:tcPr>
            <w:tcW w:type="dxa" w:w="1662"/>
          </w:tcPr>
          <w:p>
            <w:r/>
            <w:r>
              <w:rPr>
                <w:rFonts w:ascii="宋体" w:hAnsi="宋体" w:eastAsia="宋体"/>
                <w:sz w:val="20"/>
              </w:rPr>
              <w:t>分辨率可适当降低</w:t>
            </w:r>
          </w:p>
        </w:tc>
      </w:tr>
      <w:tr>
        <w:tc>
          <w:tcPr>
            <w:tcW w:type="dxa" w:w="1662"/>
          </w:tcPr>
          <w:p>
            <w:r/>
            <w:r>
              <w:rPr>
                <w:rFonts w:ascii="宋体" w:hAnsi="宋体" w:eastAsia="宋体"/>
                <w:sz w:val="20"/>
              </w:rPr>
              <w:t>&gt;</w:t>
            </w:r>
          </w:p>
        </w:tc>
        <w:tc>
          <w:tcPr>
            <w:tcW w:type="dxa" w:w="1662"/>
          </w:tcPr>
          <w:p>
            <w:r/>
            <w:r>
              <w:rPr>
                <w:rFonts w:ascii="宋体" w:hAnsi="宋体" w:eastAsia="宋体"/>
                <w:sz w:val="20"/>
              </w:rPr>
              <w:t>Normal</w:t>
            </w:r>
          </w:p>
        </w:tc>
        <w:tc>
          <w:tcPr>
            <w:tcW w:type="dxa" w:w="1662"/>
          </w:tcPr>
          <w:p>
            <w:r/>
            <w:r>
              <w:rPr>
                <w:rFonts w:ascii="宋体" w:hAnsi="宋体" w:eastAsia="宋体"/>
                <w:sz w:val="20"/>
              </w:rPr>
              <w:t>RGB</w:t>
            </w:r>
          </w:p>
        </w:tc>
        <w:tc>
          <w:tcPr>
            <w:tcW w:type="dxa" w:w="1662"/>
          </w:tcPr>
          <w:p>
            <w:r/>
            <w:r>
              <w:rPr>
                <w:rFonts w:ascii="宋体" w:hAnsi="宋体" w:eastAsia="宋体"/>
                <w:sz w:val="20"/>
              </w:rPr>
              <w:t>表面凹凸细节</w:t>
            </w:r>
          </w:p>
        </w:tc>
        <w:tc>
          <w:tcPr>
            <w:tcW w:type="dxa" w:w="1662"/>
          </w:tcPr>
          <w:p>
            <w:r/>
            <w:r>
              <w:rPr>
                <w:rFonts w:ascii="宋体" w:hAnsi="宋体" w:eastAsia="宋体"/>
                <w:sz w:val="20"/>
              </w:rPr>
              <w:t>保留较高分辨率</w:t>
            </w:r>
          </w:p>
        </w:tc>
      </w:tr>
      <w:tr>
        <w:tc>
          <w:tcPr>
            <w:tcW w:type="dxa" w:w="1662"/>
          </w:tcPr>
          <w:p>
            <w:r/>
            <w:r>
              <w:rPr>
                <w:rFonts w:ascii="宋体" w:hAnsi="宋体" w:eastAsia="宋体"/>
                <w:sz w:val="20"/>
              </w:rPr>
              <w:t>&gt;</w:t>
            </w:r>
          </w:p>
        </w:tc>
        <w:tc>
          <w:tcPr>
            <w:tcW w:type="dxa" w:w="1662"/>
          </w:tcPr>
          <w:p>
            <w:r/>
            <w:r>
              <w:rPr>
                <w:rFonts w:ascii="宋体" w:hAnsi="宋体" w:eastAsia="宋体"/>
                <w:sz w:val="20"/>
              </w:rPr>
              <w:t>Roughness</w:t>
            </w:r>
          </w:p>
        </w:tc>
        <w:tc>
          <w:tcPr>
            <w:tcW w:type="dxa" w:w="1662"/>
          </w:tcPr>
          <w:p>
            <w:r/>
            <w:r>
              <w:rPr>
                <w:rFonts w:ascii="宋体" w:hAnsi="宋体" w:eastAsia="宋体"/>
                <w:sz w:val="20"/>
              </w:rPr>
              <w:t>R</w:t>
            </w:r>
          </w:p>
        </w:tc>
        <w:tc>
          <w:tcPr>
            <w:tcW w:type="dxa" w:w="1662"/>
          </w:tcPr>
          <w:p>
            <w:r/>
            <w:r>
              <w:rPr>
                <w:rFonts w:ascii="宋体" w:hAnsi="宋体" w:eastAsia="宋体"/>
                <w:sz w:val="20"/>
              </w:rPr>
              <w:t>表面粗糙度</w:t>
            </w:r>
          </w:p>
        </w:tc>
        <w:tc>
          <w:tcPr>
            <w:tcW w:type="dxa" w:w="1662"/>
          </w:tcPr>
          <w:p>
            <w:r/>
            <w:r>
              <w:rPr>
                <w:rFonts w:ascii="宋体" w:hAnsi="宋体" w:eastAsia="宋体"/>
                <w:sz w:val="20"/>
              </w:rPr>
              <w:t>与Metallic合并为一张图</w:t>
            </w:r>
          </w:p>
        </w:tc>
      </w:tr>
      <w:tr>
        <w:tc>
          <w:tcPr>
            <w:tcW w:type="dxa" w:w="1662"/>
          </w:tcPr>
          <w:p>
            <w:r/>
            <w:r>
              <w:rPr>
                <w:rFonts w:ascii="宋体" w:hAnsi="宋体" w:eastAsia="宋体"/>
                <w:sz w:val="20"/>
              </w:rPr>
              <w:t>&gt;</w:t>
            </w:r>
          </w:p>
        </w:tc>
        <w:tc>
          <w:tcPr>
            <w:tcW w:type="dxa" w:w="1662"/>
          </w:tcPr>
          <w:p>
            <w:r/>
            <w:r>
              <w:rPr>
                <w:rFonts w:ascii="宋体" w:hAnsi="宋体" w:eastAsia="宋体"/>
                <w:sz w:val="20"/>
              </w:rPr>
              <w:t>Metallic</w:t>
            </w:r>
          </w:p>
        </w:tc>
        <w:tc>
          <w:tcPr>
            <w:tcW w:type="dxa" w:w="1662"/>
          </w:tcPr>
          <w:p>
            <w:r/>
            <w:r>
              <w:rPr>
                <w:rFonts w:ascii="宋体" w:hAnsi="宋体" w:eastAsia="宋体"/>
                <w:sz w:val="20"/>
              </w:rPr>
              <w:t>R</w:t>
            </w:r>
          </w:p>
        </w:tc>
        <w:tc>
          <w:tcPr>
            <w:tcW w:type="dxa" w:w="1662"/>
          </w:tcPr>
          <w:p>
            <w:r/>
            <w:r>
              <w:rPr>
                <w:rFonts w:ascii="宋体" w:hAnsi="宋体" w:eastAsia="宋体"/>
                <w:sz w:val="20"/>
              </w:rPr>
              <w:t>金属/非金属</w:t>
            </w:r>
          </w:p>
        </w:tc>
        <w:tc>
          <w:tcPr>
            <w:tcW w:type="dxa" w:w="1662"/>
          </w:tcPr>
          <w:p>
            <w:r/>
            <w:r>
              <w:rPr>
                <w:rFonts w:ascii="宋体" w:hAnsi="宋体" w:eastAsia="宋体"/>
                <w:sz w:val="20"/>
              </w:rPr>
              <w:t>与Roughness合并</w:t>
            </w:r>
          </w:p>
        </w:tc>
      </w:tr>
      <w:tr>
        <w:tc>
          <w:tcPr>
            <w:tcW w:type="dxa" w:w="1662"/>
          </w:tcPr>
          <w:p>
            <w:r/>
            <w:r>
              <w:rPr>
                <w:rFonts w:ascii="宋体" w:hAnsi="宋体" w:eastAsia="宋体"/>
                <w:sz w:val="20"/>
              </w:rPr>
              <w:t>&gt;</w:t>
            </w:r>
          </w:p>
        </w:tc>
        <w:tc>
          <w:tcPr>
            <w:tcW w:type="dxa" w:w="1662"/>
          </w:tcPr>
          <w:p>
            <w:r/>
            <w:r>
              <w:rPr>
                <w:rFonts w:ascii="宋体" w:hAnsi="宋体" w:eastAsia="宋体"/>
                <w:sz w:val="20"/>
              </w:rPr>
              <w:t>AO</w:t>
            </w:r>
          </w:p>
        </w:tc>
        <w:tc>
          <w:tcPr>
            <w:tcW w:type="dxa" w:w="1662"/>
          </w:tcPr>
          <w:p>
            <w:r/>
            <w:r>
              <w:rPr>
                <w:rFonts w:ascii="宋体" w:hAnsi="宋体" w:eastAsia="宋体"/>
                <w:sz w:val="20"/>
              </w:rPr>
              <w:t>R</w:t>
            </w:r>
          </w:p>
        </w:tc>
        <w:tc>
          <w:tcPr>
            <w:tcW w:type="dxa" w:w="1662"/>
          </w:tcPr>
          <w:p>
            <w:r/>
            <w:r>
              <w:rPr>
                <w:rFonts w:ascii="宋体" w:hAnsi="宋体" w:eastAsia="宋体"/>
                <w:sz w:val="20"/>
              </w:rPr>
              <w:t>环境光遮蔽</w:t>
            </w:r>
          </w:p>
        </w:tc>
        <w:tc>
          <w:tcPr>
            <w:tcW w:type="dxa" w:w="1662"/>
          </w:tcPr>
          <w:p>
            <w:r/>
            <w:r>
              <w:rPr>
                <w:rFonts w:ascii="宋体" w:hAnsi="宋体" w:eastAsia="宋体"/>
                <w:sz w:val="20"/>
              </w:rPr>
              <w:t>烘焙到顶点色可省纹理</w:t>
            </w:r>
          </w:p>
        </w:tc>
      </w:tr>
      <w:tr>
        <w:tc>
          <w:tcPr>
            <w:tcW w:type="dxa" w:w="1662"/>
          </w:tcPr>
          <w:p>
            <w:r/>
            <w:r>
              <w:rPr>
                <w:rFonts w:ascii="宋体" w:hAnsi="宋体" w:eastAsia="宋体"/>
                <w:sz w:val="20"/>
              </w:rPr>
              <w:t>&gt;</w:t>
            </w:r>
          </w:p>
        </w:tc>
        <w:tc>
          <w:tcPr>
            <w:tcW w:type="dxa" w:w="1662"/>
          </w:tcPr>
          <w:p>
            <w:r/>
            <w:r>
              <w:rPr>
                <w:rFonts w:ascii="宋体" w:hAnsi="宋体" w:eastAsia="宋体"/>
                <w:sz w:val="20"/>
              </w:rPr>
              <w:t>Emission</w:t>
            </w:r>
          </w:p>
        </w:tc>
        <w:tc>
          <w:tcPr>
            <w:tcW w:type="dxa" w:w="1662"/>
          </w:tcPr>
          <w:p>
            <w:r/>
            <w:r>
              <w:rPr>
                <w:rFonts w:ascii="宋体" w:hAnsi="宋体" w:eastAsia="宋体"/>
                <w:sz w:val="20"/>
              </w:rPr>
              <w:t>RGB</w:t>
            </w:r>
          </w:p>
        </w:tc>
        <w:tc>
          <w:tcPr>
            <w:tcW w:type="dxa" w:w="1662"/>
          </w:tcPr>
          <w:p>
            <w:r/>
            <w:r>
              <w:rPr>
                <w:rFonts w:ascii="宋体" w:hAnsi="宋体" w:eastAsia="宋体"/>
                <w:sz w:val="20"/>
              </w:rPr>
              <w:t>自发光</w:t>
            </w:r>
          </w:p>
        </w:tc>
        <w:tc>
          <w:tcPr>
            <w:tcW w:type="dxa" w:w="1662"/>
          </w:tcPr>
          <w:p>
            <w:r/>
            <w:r>
              <w:rPr>
                <w:rFonts w:ascii="宋体" w:hAnsi="宋体" w:eastAsia="宋体"/>
                <w:sz w:val="20"/>
              </w:rPr>
              <w:t>仅用于光源物体</w:t>
            </w:r>
          </w:p>
        </w:tc>
      </w:tr>
    </w:tbl>
    <w:p/>
    <w:p/>
    <w:p>
      <w:pPr>
        <w:pStyle w:val="Heading3"/>
      </w:pPr>
      <w:r>
        <w:t>4.1.4 建模工具生态</w:t>
      </w:r>
    </w:p>
    <w:p/>
    <w:p>
      <w:pPr>
        <w:ind w:firstLine="482"/>
      </w:pPr>
      <w:r>
        <w:rPr>
          <w:rFonts w:ascii="宋体" w:hAnsi="宋体" w:eastAsia="宋体"/>
          <w:sz w:val="24"/>
        </w:rPr>
        <w:t>VR/AR 建模工具生态丰富多样，不同工具在功能定位和适用场景上各有侧重：</w:t>
      </w:r>
    </w:p>
    <w:p/>
    <w:p>
      <w:pPr>
        <w:ind w:firstLine="482"/>
      </w:pPr>
      <w:r>
        <w:rPr>
          <w:rFonts w:ascii="宋体" w:hAnsi="宋体" w:eastAsia="宋体"/>
          <w:b/>
          <w:sz w:val="24"/>
        </w:rPr>
        <w:t>Blender</w:t>
      </w:r>
      <w:r>
        <w:rPr>
          <w:rFonts w:ascii="宋体" w:hAnsi="宋体" w:eastAsia="宋体"/>
          <w:sz w:val="24"/>
        </w:rPr>
        <w:t xml:space="preserve"> 是当前最受欢迎的开源 3D 建模软件，提供完整的建模、雕刻、UV 展开、动画、渲染和合成功能。Blender 2.8+ 版本的 UI 重设计和 EEVEE 实时渲染引擎使其在 VR/AR 开发流程中的适配性大幅提升。Blender 的最大优势是免费开源，适合教育培训场景中学生使用[2]。</w:t>
      </w:r>
    </w:p>
    <w:p/>
    <w:p>
      <w:pPr>
        <w:ind w:firstLine="482"/>
      </w:pPr>
      <w:r>
        <w:rPr>
          <w:rFonts w:ascii="宋体" w:hAnsi="宋体" w:eastAsia="宋体"/>
          <w:b/>
          <w:sz w:val="24"/>
        </w:rPr>
        <w:t>3ds Max 和 Maya</w:t>
      </w:r>
      <w:r>
        <w:rPr>
          <w:rFonts w:ascii="宋体" w:hAnsi="宋体" w:eastAsia="宋体"/>
          <w:sz w:val="24"/>
        </w:rPr>
        <w:t xml:space="preserve"> 是 Autodesk 公司的商业 3D 软件，在游戏和影视行业有广泛应用。3ds Max 在建筑可视化和游戏资产管线方面有优势，Maya 在角色动画和特效方面更强。两者都提供完善的 VR/AR 导出插件，但高昂的授权费用限制了在教育场景中的普及。</w:t>
      </w:r>
    </w:p>
    <w:p/>
    <w:p>
      <w:pPr>
        <w:ind w:firstLine="482"/>
      </w:pPr>
      <w:r>
        <w:rPr>
          <w:rFonts w:ascii="宋体" w:hAnsi="宋体" w:eastAsia="宋体"/>
          <w:b/>
          <w:sz w:val="24"/>
        </w:rPr>
        <w:t>ZBrush</w:t>
      </w:r>
      <w:r>
        <w:rPr>
          <w:rFonts w:ascii="宋体" w:hAnsi="宋体" w:eastAsia="宋体"/>
          <w:sz w:val="24"/>
        </w:rPr>
        <w:t xml:space="preserve"> 是专业的数字雕刻软件，擅长高细节有机体建模。在 VR/AR 流程中，ZBrush 用于创建高多边形模型（千万级面数），然后通过拓扑简化生成低模，并烘焙法线贴图将高模细节转移到低模上。这一"高模→低模→法线烘焙"的工作流是 VR/AR 角色和文物建模的标准流程[2]。</w:t>
      </w:r>
    </w:p>
    <w:p/>
    <w:p>
      <w:pPr>
        <w:ind w:firstLine="482"/>
      </w:pPr>
      <w:r>
        <w:rPr>
          <w:rFonts w:ascii="宋体" w:hAnsi="宋体" w:eastAsia="宋体"/>
          <w:b/>
          <w:sz w:val="24"/>
        </w:rPr>
        <w:t>RealityCapture 和 Metashape</w:t>
      </w:r>
      <w:r>
        <w:rPr>
          <w:rFonts w:ascii="宋体" w:hAnsi="宋体" w:eastAsia="宋体"/>
          <w:sz w:val="24"/>
        </w:rPr>
        <w:t xml:space="preserve"> 是摄影测量软件，通过多张照片自动重建 3D 模型。在文旅场景中，这两款工具是将真实建筑和文物数字化的核心工具，将在 4.3 节详细讲解。</w:t>
      </w:r>
    </w:p>
    <w:p/>
    <w:p>
      <w:pPr>
        <w:pStyle w:val="Heading2"/>
      </w:pPr>
      <w:r>
        <w:t>4.2 多边形建模流程</w:t>
      </w:r>
    </w:p>
    <w:p/>
    <w:p>
      <w:pPr>
        <w:ind w:firstLine="482"/>
      </w:pPr>
      <w:r>
        <w:rPr>
          <w:rFonts w:ascii="宋体" w:hAnsi="宋体" w:eastAsia="宋体"/>
          <w:sz w:val="24"/>
        </w:rPr>
        <w:t>多边形建模是 VR/AR 场景中最基础也最灵活的建模方法，适用于从简单道具到复杂建筑的各类资产创建。本节以一个文旅场景中的石灯笼模型为例，讲解完整的多边形建模流程。</w:t>
      </w:r>
    </w:p>
    <w:p/>
    <w:p>
      <w:pPr>
        <w:pStyle w:val="Heading3"/>
      </w:pPr>
      <w:r>
        <w:t>4.2.1 参考素材收集与分析</w:t>
      </w:r>
    </w:p>
    <w:p/>
    <w:p>
      <w:pPr>
        <w:ind w:firstLine="482"/>
      </w:pPr>
      <w:r>
        <w:rPr>
          <w:rFonts w:ascii="宋体" w:hAnsi="宋体" w:eastAsia="宋体"/>
          <w:sz w:val="24"/>
        </w:rPr>
        <w:t>建模的第一步是收集和分析参考素材。对于石灯笼这类有真实原型的物体，参考素材应包括：多角度照片（正面、侧面、顶部、底部、细节特写）、尺寸测量数据（高度、宽度、底座直径）、材质参考（石质纹理、风化程度、苔藓分布）[2]。</w:t>
      </w:r>
    </w:p>
    <w:p/>
    <w:p>
      <w:pPr>
        <w:ind w:firstLine="482"/>
      </w:pPr>
      <w:r>
        <w:rPr>
          <w:rFonts w:ascii="宋体" w:hAnsi="宋体" w:eastAsia="宋体"/>
          <w:sz w:val="24"/>
        </w:rPr>
        <w:t>参考素材的收集应遵循"多角度、多层级"原则：多角度确保理解物体的三维形态；多层级确保既有整体比例参考又有局部细节参考。对于无法实地测量的场景，可以通过照片中的已知尺寸物体（如旁边的成年人身高约 1.7m）进行比例估算。</w:t>
      </w:r>
    </w:p>
    <w:p/>
    <w:p>
      <w:pPr>
        <w:pStyle w:val="Heading3"/>
      </w:pPr>
      <w:r>
        <w:t>4.2.2 白盒建模与比例验证</w:t>
      </w:r>
    </w:p>
    <w:p/>
    <w:p>
      <w:pPr>
        <w:ind w:firstLine="482"/>
      </w:pPr>
      <w:r>
        <w:rPr>
          <w:rFonts w:ascii="宋体" w:hAnsi="宋体" w:eastAsia="宋体"/>
          <w:sz w:val="24"/>
        </w:rPr>
        <w:t>白盒建模（Blockout 或 Grayboxing）是用最简单的几何体（立方体、圆柱体、球体）快速搭建模型的大致形态和比例，不涉及任何细节。白盒建模的目的是在投入细节制作之前，验证模型的比例、尺度和空间关系是否正确[2]。</w:t>
      </w:r>
    </w:p>
    <w:p/>
    <w:p>
      <w:pPr>
        <w:ind w:firstLine="482"/>
      </w:pPr>
      <w:r>
        <w:rPr>
          <w:rFonts w:ascii="宋体" w:hAnsi="宋体" w:eastAsia="宋体"/>
          <w:sz w:val="24"/>
        </w:rPr>
        <w:t>在 VR/AR 场景中，白盒建模还有一个特殊用途：将白盒模型导入 VR 引擎，戴上头显在虚拟空间中"亲身体验"模型的大小和比例。这一步骤对于确保虚拟物体的尺度感符合真实世界至关重要——在屏幕上看比例合适的模型，在 VR 中可能感觉过大或过小。通过 VR 预览可以及早发现并修正比例问题，避免在细节完成后才发现尺度错误而返工。</w:t>
      </w:r>
    </w:p>
    <w:p/>
    <w:p>
      <w:pPr>
        <w:pStyle w:val="Heading3"/>
      </w:pPr>
      <w:r>
        <w:t>4.2.3 高模雕刻与低模拓扑</w:t>
      </w:r>
    </w:p>
    <w:p/>
    <w:p>
      <w:pPr>
        <w:ind w:firstLine="482"/>
      </w:pPr>
      <w:r>
        <w:rPr>
          <w:rFonts w:ascii="宋体" w:hAnsi="宋体" w:eastAsia="宋体"/>
          <w:sz w:val="24"/>
        </w:rPr>
        <w:t>白盒验证通过后，进入高模制作阶段。高模（High-poly Model）是多边形数量极高的详细模型，用于烘焙法线贴图和 AO 贴图。对于有机体（如人物、动物）和有丰富表面细节的物体（如风化石雕、古木家具），通常使用 ZBrush 进行数字雕刻——通过"拉捏"虚拟 clay 逐步添加表面细节[2]。</w:t>
      </w:r>
    </w:p>
    <w:p/>
    <w:p>
      <w:pPr>
        <w:ind w:firstLine="482"/>
      </w:pPr>
      <w:r>
        <w:rPr>
          <w:rFonts w:ascii="宋体" w:hAnsi="宋体" w:eastAsia="宋体"/>
          <w:sz w:val="24"/>
        </w:rPr>
        <w:t>对于硬表面物体（如建筑、机械），高模可以在 Blender 或 3ds Max 中通过细分曲面（Subdivision Surface）和布尔运算（Boolean）制作。硬表面建模的关键是保持锐利边缘的同时避免不自然的折角——通过倒角（Bevel）和支撑线（Supporting Edge Loops）控制细分后的边缘圆滑度。</w:t>
      </w:r>
    </w:p>
    <w:p/>
    <w:p>
      <w:pPr>
        <w:ind w:firstLine="482"/>
      </w:pPr>
      <w:r>
        <w:rPr>
          <w:rFonts w:ascii="宋体" w:hAnsi="宋体" w:eastAsia="宋体"/>
          <w:sz w:val="24"/>
        </w:rPr>
        <w:t>低模（Low-poly Model）是实际在 VR/AR 引擎中渲染的模型，多边形数量受性能预算严格限制。低模拓扑通常需要手动制作——在高模基础上重新构建一个简洁的网格，保留模型的整体轮廓而省略细节。良好的低模拓扑应满足：面数在预算范围内、UV 展开无严重拉伸、边缘位置与高模对应（确保法线烘焙准确）[3]。</w:t>
      </w:r>
    </w:p>
    <w:p/>
    <w:p>
      <w:pPr>
        <w:ind w:firstLine="482"/>
      </w:pPr>
      <w:r>
        <w:rPr>
          <w:rFonts w:ascii="宋体" w:hAnsi="宋体" w:eastAsia="宋体"/>
          <w:sz w:val="24"/>
        </w:rPr>
        <w:t>在 VR/AR 项目中，高模到低模的烘焙工作流通常如下：首先在 Blender 或 Maya 中将高模和低模放置在同一坐标系中，确保两者完全重叠；然后为低模展开 UV，创建 UV 岛屿并合理排布；接下来使用 Blender 的 Cycles 渲染器或 xNormal 等专用烘焙工具，将高模的法线信息投射到低模的法线贴图上。烘焙时需要注意"笼子"（Cage）的设置——笼子定义了烘焙时光线投射的范围，过小会导致烘焙遗漏，过大会导致细节模糊。对于具有深凹槽或细小突出的模型（如石雕纹饰），需要仔细调整笼子的偏移量，确保所有细节都能正确烘焙[2]。</w:t>
      </w:r>
    </w:p>
    <w:p/>
    <w:p>
      <w:pPr>
        <w:ind w:firstLine="482"/>
      </w:pPr>
      <w:r>
        <w:rPr>
          <w:rFonts w:ascii="宋体" w:hAnsi="宋体" w:eastAsia="宋体"/>
          <w:sz w:val="24"/>
        </w:rPr>
        <w:t>Ciekanowska 等人对 Unity 和 Unreal Engine 在创建 3D 扫描模型虚拟展览中的效率进行了对比分析，发现两者在处理高精度摄影测量模型时的性能表现存在显著差异——Unity 在移动端 VR（如 Meta Quest）上的渲染效率更优，而 Unreal Engine 在 PC VR 上能够利用 Nanite 技术处理更高精度的模型而无需手动减面[9]。这一研究为 VR/AR 项目选择开发引擎提供了实证依据，特别是在处理摄影测量生成的高精度文化遗产模型时，引擎选择直接影响资产优化策略。</w:t>
      </w:r>
    </w:p>
    <w:p/>
    <w:p>
      <w:pPr>
        <w:pStyle w:val="Heading3"/>
      </w:pPr>
      <w:r>
        <w:t>4.2.4 UV 展开与纹理绘制</w:t>
      </w:r>
    </w:p>
    <w:p/>
    <w:p>
      <w:pPr>
        <w:ind w:firstLine="482"/>
      </w:pPr>
      <w:r>
        <w:rPr>
          <w:rFonts w:ascii="宋体" w:hAnsi="宋体" w:eastAsia="宋体"/>
          <w:sz w:val="24"/>
        </w:rPr>
        <w:t>UV 展开是将 3D 模型表面"展开"到 2D 平面的过程。UV 展开的质量直接影响纹理的显示效果和 Draw Call 数量。VR/AR 模型的 UV 展开策略包括：</w:t>
      </w:r>
    </w:p>
    <w:p/>
    <w:p>
      <w:pPr>
        <w:ind w:firstLine="482"/>
      </w:pPr>
      <w:r>
        <w:rPr>
          <w:rFonts w:ascii="宋体" w:hAnsi="宋体" w:eastAsia="宋体"/>
          <w:b/>
          <w:sz w:val="24"/>
        </w:rPr>
        <w:t>单物体 UV</w:t>
      </w:r>
      <w:r>
        <w:rPr>
          <w:rFonts w:ascii="宋体" w:hAnsi="宋体" w:eastAsia="宋体"/>
          <w:sz w:val="24"/>
        </w:rPr>
        <w:t>：每个物体独立展开 UV，适合需要高分辨率纹理的重要物体（如主角角色、核心文物）。优点是纹理清晰度高，缺点是 Draw Call 多。</w:t>
      </w:r>
    </w:p>
    <w:p/>
    <w:p>
      <w:pPr>
        <w:ind w:firstLine="482"/>
      </w:pPr>
      <w:r>
        <w:rPr>
          <w:rFonts w:ascii="宋体" w:hAnsi="宋体" w:eastAsia="宋体"/>
          <w:b/>
          <w:sz w:val="24"/>
        </w:rPr>
        <w:t>纹理图集 UV</w:t>
      </w:r>
      <w:r>
        <w:rPr>
          <w:rFonts w:ascii="宋体" w:hAnsi="宋体" w:eastAsia="宋体"/>
          <w:sz w:val="24"/>
        </w:rPr>
        <w:t>：将多个物体的 UV 排列在同一张纹理图上，适合背景物体和重复出现的道具（如树木、石块、栏杆）。优点是 Draw Call 少，缺点是单个物体的纹理分辨率受限。</w:t>
      </w:r>
    </w:p>
    <w:p/>
    <w:p>
      <w:pPr>
        <w:ind w:firstLine="482"/>
      </w:pPr>
      <w:r>
        <w:rPr>
          <w:rFonts w:ascii="宋体" w:hAnsi="宋体" w:eastAsia="宋体"/>
          <w:sz w:val="24"/>
        </w:rPr>
        <w:t>纹理绘制可以在 Substance Painter 或 Blender 的纹理绘制模式中进行。Substance Painter 提供基于 PBR 的实时绘制环境，支持图层式工作流和智能材质（Smart Materials），能够快速生成高质量的 PBR 纹理。在绘制过程中应参考实际材质样本，确保反照率颜色和粗糙度值符合物理真实[3]。</w:t>
      </w:r>
    </w:p>
    <w:p/>
    <w:p>
      <w:pPr>
        <w:pStyle w:val="Heading3"/>
      </w:pPr>
      <w:r>
        <w:t>4.2.5 材质烘焙与导出</w:t>
      </w:r>
    </w:p>
    <w:p/>
    <w:p>
      <w:pPr>
        <w:ind w:firstLine="482"/>
      </w:pPr>
      <w:r>
        <w:rPr>
          <w:rFonts w:ascii="宋体" w:hAnsi="宋体" w:eastAsia="宋体"/>
          <w:sz w:val="24"/>
        </w:rPr>
        <w:t>材质烘焙是将高模的几何细节"转移"到低模纹理图上的过程。核心烘焙类型包括：</w:t>
      </w:r>
    </w:p>
    <w:p/>
    <w:p>
      <w:pPr>
        <w:pStyle w:val="ListBullet"/>
      </w:pPr>
      <w:r>
        <w:rPr>
          <w:rFonts w:ascii="宋体" w:hAnsi="宋体" w:eastAsia="宋体"/>
          <w:b/>
          <w:sz w:val="24"/>
        </w:rPr>
        <w:t>法线烘焙（Normal Baking）</w:t>
      </w:r>
      <w:r>
        <w:rPr>
          <w:rFonts w:ascii="宋体" w:hAnsi="宋体" w:eastAsia="宋体"/>
          <w:sz w:val="24"/>
        </w:rPr>
        <w:t>：计算高模表面与低模表面之间的法线差异，将差异编码为法线贴图。</w:t>
      </w:r>
    </w:p>
    <w:p>
      <w:pPr>
        <w:pStyle w:val="ListBullet"/>
      </w:pPr>
      <w:r>
        <w:rPr>
          <w:rFonts w:ascii="宋体" w:hAnsi="宋体" w:eastAsia="宋体"/>
          <w:b/>
          <w:sz w:val="24"/>
        </w:rPr>
        <w:t>AO 烘焙（AO Baking）</w:t>
      </w:r>
      <w:r>
        <w:rPr>
          <w:rFonts w:ascii="宋体" w:hAnsi="宋体" w:eastAsia="宋体"/>
          <w:sz w:val="24"/>
        </w:rPr>
        <w:t>：在低模表面计算环境光遮蔽，生成 AO 贴图。</w:t>
      </w:r>
    </w:p>
    <w:p>
      <w:pPr>
        <w:pStyle w:val="ListBullet"/>
      </w:pPr>
      <w:r>
        <w:rPr>
          <w:rFonts w:ascii="宋体" w:hAnsi="宋体" w:eastAsia="宋体"/>
          <w:b/>
          <w:sz w:val="24"/>
        </w:rPr>
        <w:t>曲率烘焙（Curvature Baking）</w:t>
      </w:r>
      <w:r>
        <w:rPr>
          <w:rFonts w:ascii="宋体" w:hAnsi="宋体" w:eastAsia="宋体"/>
          <w:sz w:val="24"/>
        </w:rPr>
        <w:t>：提取模型表面的曲率信息，用于后续在 Substance Painter 中生成磨损和边缘高光效果。</w:t>
      </w:r>
    </w:p>
    <w:p/>
    <w:p>
      <w:pPr>
        <w:ind w:firstLine="482"/>
      </w:pPr>
      <w:r>
        <w:rPr>
          <w:rFonts w:ascii="宋体" w:hAnsi="宋体" w:eastAsia="宋体"/>
          <w:sz w:val="24"/>
        </w:rPr>
        <w:t>烘焙完成后，低模连同所有纹理贴图导出为引擎兼容格式。Unity 推荐 FBX 格式（含网格和动画数据），纹理使用 PNG 或 TGA 格式。导出时需注意坐标系（Unity 使用左手系，Blender 使用右手系）和缩放比例（Blender 默认单位为米，Unity 默认单位也为米，但 FBX 导出时可能有缩放因子差异）[4]。</w:t>
      </w:r>
    </w:p>
    <w:p/>
    <w:p>
      <w:pPr>
        <w:pStyle w:val="Heading2"/>
      </w:pPr>
      <w:r>
        <w:t>4.3 摄影测量与实景三维重建</w:t>
      </w:r>
    </w:p>
    <w:p/>
    <w:p>
      <w:pPr>
        <w:ind w:firstLine="482"/>
      </w:pPr>
      <w:r>
        <w:rPr>
          <w:rFonts w:ascii="宋体" w:hAnsi="宋体" w:eastAsia="宋体"/>
          <w:sz w:val="24"/>
        </w:rPr>
        <w:t>摄影测量（Photogrammetry）是通过分析多张照片重建物体三维几何的技术，是文旅场景数字化最高效的建模方法。与手工建模相比，摄影测量能够快速创建高度逼真的 3D 资产——一座古建筑的手工建模可能需要数周，而摄影测量可在数小时内完成几何重建[5]。</w:t>
      </w:r>
    </w:p>
    <w:p/>
    <w:p>
      <w:pPr>
        <w:pStyle w:val="Heading3"/>
      </w:pPr>
      <w:r>
        <w:t>4.3.1 摄影测量原理与工作流</w:t>
      </w:r>
    </w:p>
    <w:p/>
    <w:p>
      <w:pPr>
        <w:ind w:firstLine="482"/>
      </w:pPr>
      <w:r>
        <w:rPr>
          <w:rFonts w:ascii="宋体" w:hAnsi="宋体" w:eastAsia="宋体"/>
          <w:sz w:val="24"/>
        </w:rPr>
        <w:t>摄影测量的基本原理是</w:t>
      </w:r>
      <w:r>
        <w:rPr>
          <w:rFonts w:ascii="宋体" w:hAnsi="宋体" w:eastAsia="宋体"/>
          <w:b/>
          <w:sz w:val="24"/>
        </w:rPr>
        <w:t>多视点立体视觉（Multi-View Stereo, MVS）</w:t>
      </w:r>
      <w:r>
        <w:rPr>
          <w:rFonts w:ascii="宋体" w:hAnsi="宋体" w:eastAsia="宋体"/>
          <w:sz w:val="24"/>
        </w:rPr>
        <w:t>。当从不同角度拍摄同一物体时，同一特征点在不同照片中的位置差异（视差）包含了深度信息。通过匹配多张照片中的共同特征点，可以三角化计算出特征点的三维坐标，进而重建物体的 3D 几何[5]。</w:t>
      </w:r>
    </w:p>
    <w:p/>
    <w:p>
      <w:pPr>
        <w:ind w:firstLine="482"/>
      </w:pPr>
      <w:r>
        <w:rPr>
          <w:rFonts w:ascii="宋体" w:hAnsi="宋体" w:eastAsia="宋体"/>
          <w:sz w:val="24"/>
        </w:rPr>
        <w:t>摄影测量的标准工作流包括五个步骤：</w:t>
      </w:r>
    </w:p>
    <w:p/>
    <w:p>
      <w:pPr>
        <w:pStyle w:val="ListNumber"/>
      </w:pPr>
      <w:r>
        <w:rPr>
          <w:rFonts w:ascii="宋体" w:hAnsi="宋体" w:eastAsia="宋体"/>
          <w:b/>
          <w:sz w:val="24"/>
        </w:rPr>
        <w:t>照片采集</w:t>
      </w:r>
      <w:r>
        <w:rPr>
          <w:rFonts w:ascii="宋体" w:hAnsi="宋体" w:eastAsia="宋体"/>
          <w:sz w:val="24"/>
        </w:rPr>
        <w:t>：围绕物体拍摄多角度照片，相邻照片之间应有 60-80% 的重叠率。拍摄时应保持均匀的间距和一致的光照条件，避免运动模糊和过曝/欠曝。</w:t>
      </w:r>
    </w:p>
    <w:p>
      <w:pPr>
        <w:pStyle w:val="ListNumber"/>
      </w:pPr>
      <w:r>
        <w:rPr>
          <w:rFonts w:ascii="宋体" w:hAnsi="宋体" w:eastAsia="宋体"/>
          <w:b/>
          <w:sz w:val="24"/>
        </w:rPr>
        <w:t>特征提取与匹配</w:t>
      </w:r>
      <w:r>
        <w:rPr>
          <w:rFonts w:ascii="宋体" w:hAnsi="宋体" w:eastAsia="宋体"/>
          <w:sz w:val="24"/>
        </w:rPr>
        <w:t>：软件自动在所有照片中检测特征点（如 SIFT、ORB 特征），并进行跨照片匹配，建立特征对应关系。</w:t>
      </w:r>
    </w:p>
    <w:p>
      <w:pPr>
        <w:pStyle w:val="ListNumber"/>
      </w:pPr>
      <w:r>
        <w:rPr>
          <w:rFonts w:ascii="宋体" w:hAnsi="宋体" w:eastAsia="宋体"/>
          <w:b/>
          <w:sz w:val="24"/>
        </w:rPr>
        <w:t>稀疏重建（SfM）</w:t>
      </w:r>
      <w:r>
        <w:rPr>
          <w:rFonts w:ascii="宋体" w:hAnsi="宋体" w:eastAsia="宋体"/>
          <w:sz w:val="24"/>
        </w:rPr>
        <w:t>：通过运动恢复结构（Structure from Motion）算法，计算每张照片的相机位置和朝向，并生成稀疏的 3D 点云。</w:t>
      </w:r>
    </w:p>
    <w:p>
      <w:pPr>
        <w:pStyle w:val="ListNumber"/>
      </w:pPr>
      <w:r>
        <w:rPr>
          <w:rFonts w:ascii="宋体" w:hAnsi="宋体" w:eastAsia="宋体"/>
          <w:b/>
          <w:sz w:val="24"/>
        </w:rPr>
        <w:t>密集重建（MVS）</w:t>
      </w:r>
      <w:r>
        <w:rPr>
          <w:rFonts w:ascii="宋体" w:hAnsi="宋体" w:eastAsia="宋体"/>
          <w:sz w:val="24"/>
        </w:rPr>
        <w:t>：在稀疏点云基础上，利用多视点立体匹配算法生成密集的 3D 点云，进而重建为网格模型。</w:t>
      </w:r>
    </w:p>
    <w:p>
      <w:pPr>
        <w:pStyle w:val="ListNumber"/>
      </w:pPr>
      <w:r>
        <w:rPr>
          <w:rFonts w:ascii="宋体" w:hAnsi="宋体" w:eastAsia="宋体"/>
          <w:b/>
          <w:sz w:val="24"/>
        </w:rPr>
        <w:t>纹理映射</w:t>
      </w:r>
      <w:r>
        <w:rPr>
          <w:rFonts w:ascii="宋体" w:hAnsi="宋体" w:eastAsia="宋体"/>
          <w:sz w:val="24"/>
        </w:rPr>
        <w:t>：将原始照片作为纹理映射到网格模型表面，生成具有真实色彩的 3D 模型。</w:t>
      </w:r>
    </w:p>
    <w:p/>
    <w:p>
      <w:pPr>
        <w:pStyle w:val="Heading3"/>
      </w:pPr>
      <w:r>
        <w:t>4.3.2 无人机航拍数据采集</w:t>
      </w:r>
    </w:p>
    <w:p/>
    <w:p>
      <w:pPr>
        <w:ind w:firstLine="482"/>
      </w:pPr>
      <w:r>
        <w:rPr>
          <w:rFonts w:ascii="宋体" w:hAnsi="宋体" w:eastAsia="宋体"/>
          <w:sz w:val="24"/>
        </w:rPr>
        <w:t>对于大型场景（如景区、古建筑群），无人机航拍是数据采集的主要手段。无人机搭载的高分辨率相机可以从空中和地面多角度拍摄建筑物，提供建筑屋顶和立面等地面拍摄难以覆盖的视角[5]。</w:t>
      </w:r>
    </w:p>
    <w:p/>
    <w:p>
      <w:pPr>
        <w:ind w:firstLine="482"/>
      </w:pPr>
      <w:r>
        <w:rPr>
          <w:rFonts w:ascii="宋体" w:hAnsi="宋体" w:eastAsia="宋体"/>
          <w:sz w:val="24"/>
        </w:rPr>
        <w:t>无人机航拍的关键参数包括：飞行高度（根据建筑物高度调整，通常 10-50 米）、航向重叠率（建议 80%+）、旁向重叠率（建议 60%+）、相机角度（交替使用垂直向下和倾斜45度的拍摄角度，以获取建筑立面信息）。对于结构复杂的建筑，还需要补充地面手持拍摄，覆盖无人机无法到达的内部空间和底部区域。</w:t>
      </w:r>
    </w:p>
    <w:p/>
    <w:p>
      <w:pPr>
        <w:pStyle w:val="Heading3"/>
      </w:pPr>
      <w:r>
        <w:t>4.3.3 RealityCapture/Metashape 实操</w:t>
      </w:r>
    </w:p>
    <w:p/>
    <w:p>
      <w:pPr>
        <w:ind w:firstLine="482"/>
      </w:pPr>
      <w:r>
        <w:rPr>
          <w:rFonts w:ascii="宋体" w:hAnsi="宋体" w:eastAsia="宋体"/>
          <w:sz w:val="24"/>
        </w:rPr>
        <w:t>RealityCapture（现归 Epic Games 所有）和 Agisoft Metashape 是当前主流的摄影测量软件。两者的核心功能相似，但 RealityCapture 在处理速度和网格质量方面通常优于 Metashape，而 Metashape 在价格和跨平台支持方面更有优势[5]。</w:t>
      </w:r>
    </w:p>
    <w:p/>
    <w:p>
      <w:pPr>
        <w:ind w:firstLine="482"/>
      </w:pPr>
      <w:r>
        <w:rPr>
          <w:rFonts w:ascii="宋体" w:hAnsi="宋体" w:eastAsia="宋体"/>
          <w:sz w:val="24"/>
        </w:rPr>
        <w:t>以 RealityCapture 为例，典型操作流程为：（1）导入所有照片，软件自动进行特征提取和匹配；（2）运行对齐（Align）计算相机位置和稀疏点云；（3）运行重建（Reconstruct）生成密集点云和网格；（4）运行着色（Colorize）将照片纹理映射到网格；（5）导出模型（OBJ/FBX 格式）和正射影像。</w:t>
      </w:r>
    </w:p>
    <w:p/>
    <w:p>
      <w:pPr>
        <w:pStyle w:val="Heading3"/>
      </w:pPr>
      <w:r>
        <w:t>4.3.4 模型清理与优化</w:t>
      </w:r>
    </w:p>
    <w:p/>
    <w:p>
      <w:pPr>
        <w:ind w:firstLine="482"/>
      </w:pPr>
      <w:r>
        <w:rPr>
          <w:rFonts w:ascii="宋体" w:hAnsi="宋体" w:eastAsia="宋体"/>
          <w:sz w:val="24"/>
        </w:rPr>
        <w:t>摄影测量生成的原始模型通常面数极高（数百万至数千万三角形）且包含大量噪点和冗余几何，无法直接用于 VR/AR 场景，必须进行清理和优化[5]：</w:t>
      </w:r>
    </w:p>
    <w:p/>
    <w:p>
      <w:pPr>
        <w:pStyle w:val="ListBullet"/>
      </w:pPr>
      <w:r>
        <w:rPr>
          <w:rFonts w:ascii="宋体" w:hAnsi="宋体" w:eastAsia="宋体"/>
          <w:b/>
          <w:sz w:val="24"/>
        </w:rPr>
        <w:t>减面（Decimation）</w:t>
      </w:r>
      <w:r>
        <w:rPr>
          <w:rFonts w:ascii="宋体" w:hAnsi="宋体" w:eastAsia="宋体"/>
          <w:sz w:val="24"/>
        </w:rPr>
        <w:t>：将面数降低到 VR/AR 预算范围内。减面时应保持模型的轮廓特征，优先在高曲率区域保留更多多边形。</w:t>
      </w:r>
    </w:p>
    <w:p>
      <w:pPr>
        <w:pStyle w:val="ListBullet"/>
      </w:pPr>
      <w:r>
        <w:rPr>
          <w:rFonts w:ascii="宋体" w:hAnsi="宋体" w:eastAsia="宋体"/>
          <w:b/>
          <w:sz w:val="24"/>
        </w:rPr>
        <w:t>纹理合并</w:t>
      </w:r>
      <w:r>
        <w:rPr>
          <w:rFonts w:ascii="宋体" w:hAnsi="宋体" w:eastAsia="宋体"/>
          <w:sz w:val="24"/>
        </w:rPr>
        <w:t>：将多张高分辨率纹理合并为较少的纹理图集，减少 Draw Call 和内存占用。</w:t>
      </w:r>
    </w:p>
    <w:p>
      <w:pPr>
        <w:pStyle w:val="ListBullet"/>
      </w:pPr>
      <w:r>
        <w:rPr>
          <w:rFonts w:ascii="宋体" w:hAnsi="宋体" w:eastAsia="宋体"/>
          <w:b/>
          <w:sz w:val="24"/>
        </w:rPr>
        <w:t>噪点清理</w:t>
      </w:r>
      <w:r>
        <w:rPr>
          <w:rFonts w:ascii="宋体" w:hAnsi="宋体" w:eastAsia="宋体"/>
          <w:sz w:val="24"/>
        </w:rPr>
        <w:t>：删除孤立的小碎片、浮点和不规则凸起。可以使用 Blender 的 Laplacian Smooth 或 ZBrush 的 Polish 笔刷。</w:t>
      </w:r>
    </w:p>
    <w:p>
      <w:pPr>
        <w:pStyle w:val="ListBullet"/>
      </w:pPr>
      <w:r>
        <w:rPr>
          <w:rFonts w:ascii="宋体" w:hAnsi="宋体" w:eastAsia="宋体"/>
          <w:b/>
          <w:sz w:val="24"/>
        </w:rPr>
        <w:t>拓扑修复</w:t>
      </w:r>
      <w:r>
        <w:rPr>
          <w:rFonts w:ascii="宋体" w:hAnsi="宋体" w:eastAsia="宋体"/>
          <w:sz w:val="24"/>
        </w:rPr>
        <w:t>：修复非流形边、重叠面、零面积面等拓扑错误，确保模型在引擎中正确渲染。</w:t>
      </w:r>
    </w:p>
    <w:p>
      <w:pPr>
        <w:pStyle w:val="ListBullet"/>
      </w:pPr>
      <w:r>
        <w:rPr>
          <w:rFonts w:ascii="宋体" w:hAnsi="宋体" w:eastAsia="宋体"/>
          <w:b/>
          <w:sz w:val="24"/>
        </w:rPr>
        <w:t>UV 重展</w:t>
      </w:r>
      <w:r>
        <w:rPr>
          <w:rFonts w:ascii="宋体" w:hAnsi="宋体" w:eastAsia="宋体"/>
          <w:sz w:val="24"/>
        </w:rPr>
        <w:t>：原始摄影测量模型的 UV 通常杂乱无章，需要重新展开 UV 以支持纹理图集和 LOD 生成。</w:t>
      </w:r>
    </w:p>
    <w:p/>
    <w:p>
      <w:pPr>
        <w:pStyle w:val="Heading3"/>
      </w:pPr>
      <w:r>
        <w:t>4.3.5 文旅场景应用：古建筑/遗址数字化采集</w:t>
      </w:r>
    </w:p>
    <w:p/>
    <w:p>
      <w:pPr>
        <w:ind w:firstLine="482"/>
      </w:pPr>
      <w:r>
        <w:rPr>
          <w:rFonts w:ascii="宋体" w:hAnsi="宋体" w:eastAsia="宋体"/>
          <w:sz w:val="24"/>
        </w:rPr>
        <w:t>在文旅 VR/AR 项目中，摄影测量是实现"实景数字化"的核心技术。以贵州安顺屯堡古建筑群为例，数字化采集流程包括：（1）使用无人机对屯堡建筑群进行网格化航拍，覆盖所有建筑的外部轮廓和屋顶结构；（2）使用手持相机对建筑内部（木结构梁架、石雕门窗、牌匾题刻）进行精细拍摄；（3）在 RealityCapture 中分别处理航拍和地面数据，生成建筑外观和内部的两套 3D 模型；（4）在 Blender 中将两套模型对齐合并，清理重叠几何体；（5）优化减面后导入 Unity，添加交互组件和光照设置，构建可漫游的 VR 屯堡场景[6]。</w:t>
      </w:r>
    </w:p>
    <w:p/>
    <w:p>
      <w:pPr>
        <w:ind w:firstLine="482"/>
      </w:pPr>
      <w:r>
        <w:rPr>
          <w:rFonts w:ascii="宋体" w:hAnsi="宋体" w:eastAsia="宋体"/>
          <w:sz w:val="24"/>
        </w:rPr>
        <w:t>在实际执行中，数据采集阶段需要注意以下技术要点：拍摄时间应选择阴天或日出后/日落前一小时的"黄金时段"，避免强烈直射光造成的过曝和浓重阴影——阴天的均匀漫射光最适合摄影测量，能够最大程度地保留建筑表面的纹理细节。拍摄时应使用固定焦距（避免变焦导致的比例不一致）、小光圈（f/8-f/16 以获得足够景深）、低 ISO（100-400 以减少噪点）。每张照片之间应保持约 70% 的重叠率，围绕建筑物以环形路径拍摄，同时在多个高度层级（地面层、中间层、高空层）分别采集[5]。</w:t>
      </w:r>
    </w:p>
    <w:p/>
    <w:p>
      <w:pPr>
        <w:ind w:firstLine="482"/>
      </w:pPr>
      <w:r>
        <w:rPr>
          <w:rFonts w:ascii="宋体" w:hAnsi="宋体" w:eastAsia="宋体"/>
          <w:sz w:val="24"/>
        </w:rPr>
        <w:t>Dhieb 和 Durado 在其 VR 培训内容创建研究中指出，摄影测量模型的精度评估应从几何精度和纹理精度两个维度进行[11]。几何精度可以通过将 3D 模型与实地测量的控制点坐标对比来量化；纹理精度则通过比较模型纹理与原始照片的色彩一致性来评估。在文旅场景中，几何精度要求通常在厘米级（建筑外观）到毫米级（文物细节）之间，需要根据应用目标确定适当的精度标准。</w:t>
      </w:r>
    </w:p>
    <w:p/>
    <w:p>
      <w:pPr>
        <w:ind w:firstLine="482"/>
      </w:pPr>
      <w:r>
        <w:rPr>
          <w:rFonts w:ascii="宋体" w:hAnsi="宋体" w:eastAsia="宋体"/>
          <w:sz w:val="24"/>
        </w:rPr>
        <w:t>Yigitbas 等人开发的 VREUD 工具旨在简化交互式 VR 场景的创建过程，使非技术背景的用户也能参与 VR 内容制作[12]。这类端用户开发工具对于文旅场景的快速原型设计具有实用价值——景区工作人员可以在无需专业 3D 建模技能的情况下，使用 VREUD 将摄影测量模型快速组装为可交互的 VR 体验。Vargas González 等人则研究了在 AR、VR 和桌面环境中为物体创建运动部件的创作方法，为 VR/AR 场景中的可交互物体设计提供了新的工具支持[13]。</w:t>
      </w:r>
    </w:p>
    <w:p/>
    <w:p>
      <w:pPr>
        <w:pStyle w:val="Heading2"/>
      </w:pPr>
      <w:r>
        <w:t>4.4 程序化建模</w:t>
      </w:r>
    </w:p>
    <w:p/>
    <w:p>
      <w:pPr>
        <w:ind w:firstLine="482"/>
      </w:pPr>
      <w:r>
        <w:rPr>
          <w:rFonts w:ascii="宋体" w:hAnsi="宋体" w:eastAsia="宋体"/>
          <w:sz w:val="24"/>
        </w:rPr>
        <w:t>程序化建模（Procedural Modeling）是通过算法规则自动生成 3D 模型的技术。与手工建模的"逐个顶点"方式不同，程序化建模通过参数化规则批量生成几何体，特别适合需要大量重复元素的场景（如城市建筑群、森林植被、道路网络）[7]。</w:t>
      </w:r>
    </w:p>
    <w:p/>
    <w:p>
      <w:pPr>
        <w:pStyle w:val="Heading3"/>
      </w:pPr>
      <w:r>
        <w:t>4.4.1 程序化建模理念与优势</w:t>
      </w:r>
    </w:p>
    <w:p/>
    <w:p>
      <w:pPr>
        <w:ind w:firstLine="482"/>
      </w:pPr>
      <w:r>
        <w:rPr>
          <w:rFonts w:ascii="宋体" w:hAnsi="宋体" w:eastAsia="宋体"/>
          <w:sz w:val="24"/>
        </w:rPr>
        <w:t>程序化建模的核心优势在于</w:t>
      </w:r>
      <w:r>
        <w:rPr>
          <w:rFonts w:ascii="宋体" w:hAnsi="宋体" w:eastAsia="宋体"/>
          <w:b/>
          <w:sz w:val="24"/>
        </w:rPr>
        <w:t>可参数化</w:t>
      </w:r>
      <w:r>
        <w:rPr>
          <w:rFonts w:ascii="宋体" w:hAnsi="宋体" w:eastAsia="宋体"/>
          <w:sz w:val="24"/>
        </w:rPr>
        <w:t>和</w:t>
      </w:r>
      <w:r>
        <w:rPr>
          <w:rFonts w:ascii="宋体" w:hAnsi="宋体" w:eastAsia="宋体"/>
          <w:b/>
          <w:sz w:val="24"/>
        </w:rPr>
        <w:t>可复用性</w:t>
      </w:r>
      <w:r>
        <w:rPr>
          <w:rFonts w:ascii="宋体" w:hAnsi="宋体" w:eastAsia="宋体"/>
          <w:sz w:val="24"/>
        </w:rPr>
        <w:t>。通过调整参数（如建筑高度、开窗数量、屋顶坡度），可以快速生成大量变体而无需逐一建模。这对于大型文旅场景（如古镇街道两侧数百栋建筑）的建模效率提升极为显著[7]。</w:t>
      </w:r>
    </w:p>
    <w:p/>
    <w:p>
      <w:pPr>
        <w:ind w:firstLine="482"/>
      </w:pPr>
      <w:r>
        <w:rPr>
          <w:rFonts w:ascii="宋体" w:hAnsi="宋体" w:eastAsia="宋体"/>
          <w:sz w:val="24"/>
        </w:rPr>
        <w:t>此外，程序化建模支持</w:t>
      </w:r>
      <w:r>
        <w:rPr>
          <w:rFonts w:ascii="宋体" w:hAnsi="宋体" w:eastAsia="宋体"/>
          <w:b/>
          <w:sz w:val="24"/>
        </w:rPr>
        <w:t>非破坏性编辑</w:t>
      </w:r>
      <w:r>
        <w:rPr>
          <w:rFonts w:ascii="宋体" w:hAnsi="宋体" w:eastAsia="宋体"/>
          <w:sz w:val="24"/>
        </w:rPr>
        <w:t>——修改规则参数后，所有依赖该规则的几何体自动更新，无需手动调整每个模型。这一特性使大规模场景的迭代修改变得高效可控。</w:t>
      </w:r>
    </w:p>
    <w:p/>
    <w:p>
      <w:pPr>
        <w:pStyle w:val="Heading3"/>
      </w:pPr>
      <w:r>
        <w:t>4.4.2 Houdini 程序化工作流</w:t>
      </w:r>
    </w:p>
    <w:p/>
    <w:p>
      <w:pPr>
        <w:ind w:firstLine="482"/>
      </w:pPr>
      <w:r>
        <w:rPr>
          <w:rFonts w:ascii="宋体" w:hAnsi="宋体" w:eastAsia="宋体"/>
          <w:sz w:val="24"/>
        </w:rPr>
        <w:t>SideFX Houdini 是程序化建模领域的标杆软件。Houdini 采用节点式工作流——每个操作（如创建几何体、变形、散布）都是一个节点，节点之间通过连线构成处理网络。这种节点式架构使建模流程完全可追溯、可修改、可复用[7]。</w:t>
      </w:r>
    </w:p>
    <w:p/>
    <w:p>
      <w:pPr>
        <w:ind w:firstLine="482"/>
      </w:pPr>
      <w:r>
        <w:rPr>
          <w:rFonts w:ascii="宋体" w:hAnsi="宋体" w:eastAsia="宋体"/>
          <w:sz w:val="24"/>
        </w:rPr>
        <w:t>在文旅场景中，Houdini 的典型应用包括：使用建筑规则生成古镇建筑群（通过 CGA 规则定义建筑立面构成——底商+住宅+屋顶的分层结构）；使用散布工具在地形上分布植被和岩石（根据坡度、海拔、朝向等参数控制分布密度）；使用路径工具生成道路和水系（沿样条曲线自动生成路面几何和路旁装饰物）。</w:t>
      </w:r>
    </w:p>
    <w:p/>
    <w:p>
      <w:pPr>
        <w:pStyle w:val="Heading3"/>
      </w:pPr>
      <w:r>
        <w:t>4.4.3 Unity/Unreal 程序化生成插件</w:t>
      </w:r>
    </w:p>
    <w:p/>
    <w:p>
      <w:pPr>
        <w:ind w:firstLine="482"/>
      </w:pPr>
      <w:r>
        <w:rPr>
          <w:rFonts w:ascii="宋体" w:hAnsi="宋体" w:eastAsia="宋体"/>
          <w:sz w:val="24"/>
        </w:rPr>
        <w:t>除了 Houdini，Unity 和 Unreal Engine 也提供程序化生成能力。Unity 的 ProBuilder 插件支持在编辑器内进行基本的参数化建模（立方体、圆柱、拱形等基元的组合），适合快速搭建白盒原型。Unreal Engine 的 PCG（Procedural Content Generation）框架提供了强大的大规模场景程序化生成能力，支持基于规则的地形植被分布和建筑群生成[4]。</w:t>
      </w:r>
    </w:p>
    <w:p/>
    <w:p>
      <w:pPr>
        <w:pStyle w:val="Heading3"/>
      </w:pPr>
      <w:r>
        <w:t>4.4.4 大规模场景的程序化生成策略</w:t>
      </w:r>
    </w:p>
    <w:p/>
    <w:p>
      <w:pPr>
        <w:ind w:firstLine="482"/>
      </w:pPr>
      <w:r>
        <w:rPr>
          <w:rFonts w:ascii="宋体" w:hAnsi="宋体" w:eastAsia="宋体"/>
          <w:sz w:val="24"/>
        </w:rPr>
        <w:t>对于大型文旅 VR 场景（如整个古镇或景区），程序化生成策略采用"分层组合"方法：（1）地形层——使用 Heightmap 生成基础地形；（2）道路层——沿样条曲线生成道路网络；（3）建筑层——使用规则引擎在道路两侧自动生成建筑；（4）细节层——程序化散布植被、路灯、护栏等细节物体；（5）手修层——对关键区域进行手工调整和优化。这一策略在保证整体场景丰富度的同时，将手工工作量集中在最重要的区域[7]。</w:t>
      </w:r>
    </w:p>
    <w:p/>
    <w:p>
      <w:pPr>
        <w:pStyle w:val="Heading2"/>
      </w:pPr>
      <w:r>
        <w:t>4.5 数字资产管理与优化</w:t>
      </w:r>
    </w:p>
    <w:p/>
    <w:p>
      <w:pPr>
        <w:pStyle w:val="Heading3"/>
      </w:pPr>
      <w:r>
        <w:t>4.5.1 资产命名规范与版本管理</w:t>
      </w:r>
    </w:p>
    <w:p/>
    <w:p>
      <w:pPr>
        <w:ind w:firstLine="482"/>
      </w:pPr>
      <w:r>
        <w:rPr>
          <w:rFonts w:ascii="宋体" w:hAnsi="宋体" w:eastAsia="宋体"/>
          <w:sz w:val="24"/>
        </w:rPr>
        <w:t xml:space="preserve">VR/AR 项目涉及大量 3D 资产（模型、纹理、材质、动画），缺乏规范的命名和版本管理会导致资产混乱和协作困难。推荐的命名规范遵循"类型_名称_变体_版本"格式，例如 </w:t>
      </w:r>
      <w:r>
        <w:rPr>
          <w:rFonts w:ascii="Consolas" w:hAnsi="Consolas"/>
          <w:color w:val="C83232"/>
          <w:sz w:val="20"/>
        </w:rPr>
        <w:t>SM_Lantern_Stone_v02</w:t>
      </w:r>
      <w:r>
        <w:rPr>
          <w:rFonts w:ascii="宋体" w:hAnsi="宋体" w:eastAsia="宋体"/>
          <w:sz w:val="24"/>
        </w:rPr>
        <w:t>（SM=Static Mesh，静态网格）。版本管理推荐使用 Git LFS（Large File Storage）管理二进制资产文件，或使用 Perforce 等专业资产管理系统[4]。</w:t>
      </w:r>
    </w:p>
    <w:p/>
    <w:p>
      <w:pPr>
        <w:ind w:firstLine="482"/>
      </w:pPr>
      <w:r>
        <w:rPr>
          <w:rFonts w:ascii="宋体" w:hAnsi="宋体" w:eastAsia="宋体"/>
          <w:sz w:val="24"/>
        </w:rPr>
        <w:t>详细的命名规范应包含以下前缀约定：SM_（Static Mesh，静态网格）用于不可移动的模型；SK_（Skeletal Mesh，骨骼网格）用于有动画的角色模型；T_（Texture，纹理）用于所有纹理贴图；M_（Material，材质）用于材质实例；MI_（Material Instance，材质实例）用于材质变体；PF_（Particle System，粒子系统）用于特效；BP_（Blueprint，蓝图）用于 Unreal 中的交互对象。后缀使用 _v01、_v02 等版本号标识迭代状态，_LOD0、_LOD1 等标识细节层级。</w:t>
      </w:r>
    </w:p>
    <w:p/>
    <w:p>
      <w:pPr>
        <w:ind w:firstLine="482"/>
      </w:pPr>
      <w:r>
        <w:rPr>
          <w:rFonts w:ascii="宋体" w:hAnsi="宋体" w:eastAsia="宋体"/>
          <w:sz w:val="24"/>
        </w:rPr>
        <w:t>目录结构规范应按功能模块组织：</w:t>
      </w:r>
      <w:r>
        <w:rPr>
          <w:rFonts w:ascii="Consolas" w:hAnsi="Consolas"/>
          <w:color w:val="C83232"/>
          <w:sz w:val="20"/>
        </w:rPr>
        <w:t>Assets/Models/Environment/</w:t>
      </w:r>
      <w:r>
        <w:rPr>
          <w:rFonts w:ascii="宋体" w:hAnsi="宋体" w:eastAsia="宋体"/>
          <w:sz w:val="24"/>
        </w:rPr>
        <w:t>（环境模型）、</w:t>
      </w:r>
      <w:r>
        <w:rPr>
          <w:rFonts w:ascii="Consolas" w:hAnsi="Consolas"/>
          <w:color w:val="C83232"/>
          <w:sz w:val="20"/>
        </w:rPr>
        <w:t>Assets/Models/Characters/</w:t>
      </w:r>
      <w:r>
        <w:rPr>
          <w:rFonts w:ascii="宋体" w:hAnsi="宋体" w:eastAsia="宋体"/>
          <w:sz w:val="24"/>
        </w:rPr>
        <w:t>（角色模型）、</w:t>
      </w:r>
      <w:r>
        <w:rPr>
          <w:rFonts w:ascii="Consolas" w:hAnsi="Consolas"/>
          <w:color w:val="C83232"/>
          <w:sz w:val="20"/>
        </w:rPr>
        <w:t>Assets/Models/Props/</w:t>
      </w:r>
      <w:r>
        <w:rPr>
          <w:rFonts w:ascii="宋体" w:hAnsi="宋体" w:eastAsia="宋体"/>
          <w:sz w:val="24"/>
        </w:rPr>
        <w:t>（道具模型）、</w:t>
      </w:r>
      <w:r>
        <w:rPr>
          <w:rFonts w:ascii="Consolas" w:hAnsi="Consolas"/>
          <w:color w:val="C83232"/>
          <w:sz w:val="20"/>
        </w:rPr>
        <w:t>Assets/Textures/</w:t>
      </w:r>
      <w:r>
        <w:rPr>
          <w:rFonts w:ascii="宋体" w:hAnsi="宋体" w:eastAsia="宋体"/>
          <w:sz w:val="24"/>
        </w:rPr>
        <w:t>（纹理）、</w:t>
      </w:r>
      <w:r>
        <w:rPr>
          <w:rFonts w:ascii="Consolas" w:hAnsi="Consolas"/>
          <w:color w:val="C83232"/>
          <w:sz w:val="20"/>
        </w:rPr>
        <w:t>Assets/Materials/</w:t>
      </w:r>
      <w:r>
        <w:rPr>
          <w:rFonts w:ascii="宋体" w:hAnsi="宋体" w:eastAsia="宋体"/>
          <w:sz w:val="24"/>
        </w:rPr>
        <w:t>（材质）、</w:t>
      </w:r>
      <w:r>
        <w:rPr>
          <w:rFonts w:ascii="Consolas" w:hAnsi="Consolas"/>
          <w:color w:val="C83232"/>
          <w:sz w:val="20"/>
        </w:rPr>
        <w:t>Assets/Prefabs/</w:t>
      </w:r>
      <w:r>
        <w:rPr>
          <w:rFonts w:ascii="宋体" w:hAnsi="宋体" w:eastAsia="宋体"/>
          <w:sz w:val="24"/>
        </w:rPr>
        <w:t>（预制体）、</w:t>
      </w:r>
      <w:r>
        <w:rPr>
          <w:rFonts w:ascii="Consolas" w:hAnsi="Consolas"/>
          <w:color w:val="C83232"/>
          <w:sz w:val="20"/>
        </w:rPr>
        <w:t>Assets/Scripts/</w:t>
      </w:r>
      <w:r>
        <w:rPr>
          <w:rFonts w:ascii="宋体" w:hAnsi="宋体" w:eastAsia="宋体"/>
          <w:sz w:val="24"/>
        </w:rPr>
        <w:t>（脚本）、</w:t>
      </w:r>
      <w:r>
        <w:rPr>
          <w:rFonts w:ascii="Consolas" w:hAnsi="Consolas"/>
          <w:color w:val="C83232"/>
          <w:sz w:val="20"/>
        </w:rPr>
        <w:t>Assets/Scenes/</w:t>
      </w:r>
      <w:r>
        <w:rPr>
          <w:rFonts w:ascii="宋体" w:hAnsi="宋体" w:eastAsia="宋体"/>
          <w:sz w:val="24"/>
        </w:rPr>
        <w:t>（场景文件）。每个模型应有独立的子文件夹，包含模型文件、纹理文件和材质文件，便于团队协作时的资产定位和版本管理[4]。</w:t>
      </w:r>
    </w:p>
    <w:p/>
    <w:p>
      <w:pPr>
        <w:ind w:firstLine="482"/>
      </w:pPr>
      <w:r>
        <w:rPr>
          <w:rFonts w:ascii="宋体" w:hAnsi="宋体" w:eastAsia="宋体"/>
          <w:sz w:val="24"/>
        </w:rPr>
        <w:t>Pérez 等人在工业机器人 VR 训练系统的开发中详细描述了资产管理流程的重要性，指出在多人协作的 VR 项目中，混乱的资产命名和目录结构是导致开发效率下降的首要因素[10]。他们建议在项目启动阶段就制定并严格执行资产规范，通过自动化脚本检查命名合规性，避免后期出现命名冲突和资产丢失问题。</w:t>
      </w:r>
    </w:p>
    <w:p/>
    <w:p>
      <w:pPr>
        <w:pStyle w:val="Heading3"/>
      </w:pPr>
      <w:r>
        <w:t>4.5.2 纹理图集与合批</w:t>
      </w:r>
    </w:p>
    <w:p/>
    <w:p>
      <w:pPr>
        <w:ind w:firstLine="482"/>
      </w:pPr>
      <w:r>
        <w:rPr>
          <w:rFonts w:ascii="宋体" w:hAnsi="宋体" w:eastAsia="宋体"/>
          <w:sz w:val="24"/>
        </w:rPr>
        <w:t>纹理图集（Texture Atlas）是将多个物体的 UV 排列在同一张纹理图上的技术。通过纹理图集，多个使用相同材质的物体可以合并为一次 Draw Call。在 VR/AR 场景中，应将场景中的背景物体（如岩石、树木、栏杆）合并到同一图集中，而主角和重要物体保持独立纹理以保证清晰度[4]。</w:t>
      </w:r>
    </w:p>
    <w:p/>
    <w:p>
      <w:pPr>
        <w:ind w:firstLine="482"/>
      </w:pPr>
      <w:r>
        <w:rPr>
          <w:rFonts w:ascii="宋体" w:hAnsi="宋体" w:eastAsia="宋体"/>
          <w:sz w:val="24"/>
        </w:rPr>
        <w:t>合批（Batching）是引擎层面的优化技术，分为静态合批和动态合批。静态合批将不移动的物体在编译时合并为一个大网格，适合建筑、地形等静态场景元素。动态合批在运行时将小物体合并，适合粒子效果和小道具。</w:t>
      </w:r>
    </w:p>
    <w:p/>
    <w:p>
      <w:pPr>
        <w:pStyle w:val="Heading3"/>
      </w:pPr>
      <w:r>
        <w:t>4.5.3 LOD 生成与使用</w:t>
      </w:r>
    </w:p>
    <w:p/>
    <w:p>
      <w:pPr>
        <w:ind w:firstLine="482"/>
      </w:pPr>
      <w:r>
        <w:rPr>
          <w:rFonts w:ascii="宋体" w:hAnsi="宋体" w:eastAsia="宋体"/>
          <w:sz w:val="24"/>
        </w:rPr>
        <w:t>LOD（Level of Detail）是根据物体与摄像机的距离切换不同精度模型的技术。距离近时使用高精度模型，距离远时使用低精度模型，在不影响视觉质量的前提下大幅减少渲染负载[4]。</w:t>
      </w:r>
    </w:p>
    <w:p/>
    <w:p>
      <w:pPr>
        <w:ind w:firstLine="482"/>
      </w:pPr>
      <w:r>
        <w:rPr>
          <w:rFonts w:ascii="宋体" w:hAnsi="宋体" w:eastAsia="宋体"/>
          <w:sz w:val="24"/>
        </w:rPr>
        <w:t>VR/AR 场景通常使用 3-4 级 LOD：LOD0（近距，最高精度）、LOD1（中距，约 LOD0 的 50% 面数）、LOD2（远距，约 LOD0 的 25% 面数）、LOD3（超远距，极简轮廓）。LOD 切换距离应根据场景规模和性能预算调整，切换时应避免明显的"弹出"（Pop-in）效果——可以通过渐变过渡或调整切换距离使切换不被用户察觉。</w:t>
      </w:r>
    </w:p>
    <w:p/>
    <w:p>
      <w:pPr>
        <w:pStyle w:val="Heading3"/>
      </w:pPr>
      <w:r>
        <w:t>4.5.4 资产管线自动化</w:t>
      </w:r>
    </w:p>
    <w:p/>
    <w:p>
      <w:pPr>
        <w:ind w:firstLine="482"/>
      </w:pPr>
      <w:r>
        <w:rPr>
          <w:rFonts w:ascii="宋体" w:hAnsi="宋体" w:eastAsia="宋体"/>
          <w:sz w:val="24"/>
        </w:rPr>
        <w:t>大型 VR/AR 项目中，资产从建模软件到引擎的导入、配置和优化过程需要大量重复操作。通过编写自动化脚本（Python for Blender/Maya，C# for Unity）可以大幅提升效率。典型自动化流程包括：批量导出模型为 FBX、自动生成 LOD、批量设置材质和纹理、自动配置碰撞体等。Unity 的 Addressables 系统支持资产的按需加载和卸载，对于大型场景的内存管理至关重要[4]。</w:t>
      </w:r>
    </w:p>
    <w:p/>
    <w:p>
      <w:pPr>
        <w:ind w:firstLine="482"/>
      </w:pPr>
      <w:r>
        <w:rPr>
          <w:rFonts w:ascii="宋体" w:hAnsi="宋体" w:eastAsia="宋体"/>
          <w:sz w:val="24"/>
        </w:rPr>
        <w:t>---</w:t>
      </w:r>
    </w:p>
    <w:p/>
    <w:p>
      <w:pPr>
        <w:pStyle w:val="Heading2"/>
      </w:pPr>
      <w:r>
        <w:t>4.7 数字资产工作流优化与自动化</w:t>
      </w:r>
    </w:p>
    <w:p/>
    <w:p>
      <w:pPr>
        <w:pStyle w:val="Heading3"/>
      </w:pPr>
      <w:r>
        <w:t>4.7.1 程序化生成与 AI 辅助建模</w:t>
      </w:r>
    </w:p>
    <w:p/>
    <w:p>
      <w:pPr>
        <w:ind w:firstLine="482"/>
      </w:pPr>
      <w:r>
        <w:rPr>
          <w:rFonts w:ascii="宋体" w:hAnsi="宋体" w:eastAsia="宋体"/>
          <w:sz w:val="24"/>
        </w:rPr>
        <w:t>程序化生成（Procedural Generation）技术通过算法规则自动生成 3D 内容，大幅提升大规模场景的制作效率[14]。Houdini 是程序化生成的领先工具，可以通过节点图（Node Graph）定义生成规则——例如，设置一棵树的高度范围、树干弯曲度、枝叶密度等参数，Houdini 自动生成数百棵各不相同的树木。这种技术在景区 VR 场景制作中尤为实用——苗族村寨的成片吊脚楼、黄果树景区的茂密植被，都可以通过程序化生成快速创建。</w:t>
      </w:r>
    </w:p>
    <w:p/>
    <w:p>
      <w:pPr>
        <w:ind w:firstLine="482"/>
      </w:pPr>
      <w:r>
        <w:rPr>
          <w:rFonts w:ascii="宋体" w:hAnsi="宋体" w:eastAsia="宋体"/>
          <w:sz w:val="24"/>
        </w:rPr>
        <w:t>AI 辅助建模正在变革 3D 内容制作流程[14]：（1）Text-to-3D——使用 Luma AI、Meshy 等 AI 工具从文字描述生成 3D 模型，适合概念设计和快速原型；（2）Image-to-3D——从单张或多张照片生成 3D 模型，适用于文物和建筑的快速数字化；（3）AI 纹理生成——使用 Substance 3D 的 AI 功能或 Stable Diffusion 生成高质量 PBR 纹理贴图；（4）AI 减面——使用 AI 算法智能减面，保留视觉关键特征的同时大幅降低面数。</w:t>
      </w:r>
    </w:p>
    <w:p/>
    <w:p>
      <w:pPr>
        <w:pStyle w:val="Heading3"/>
      </w:pPr>
      <w:r>
        <w:t>4.7.2 资产管理流水线</w:t>
      </w:r>
    </w:p>
    <w:p/>
    <w:p>
      <w:pPr>
        <w:ind w:firstLine="482"/>
      </w:pPr>
      <w:r>
        <w:rPr>
          <w:rFonts w:ascii="宋体" w:hAnsi="宋体" w:eastAsia="宋体"/>
          <w:sz w:val="24"/>
        </w:rPr>
        <w:t>大型 VR/AR 项目涉及数百甚至数千个 3D 资产，需要系统化的资产管理流水线[14]：</w:t>
      </w:r>
    </w:p>
    <w:p/>
    <w:p>
      <w:pPr>
        <w:ind w:firstLine="482"/>
      </w:pPr>
      <w:r>
        <w:rPr>
          <w:rFonts w:ascii="宋体" w:hAnsi="宋体" w:eastAsia="宋体"/>
          <w:b/>
          <w:sz w:val="24"/>
        </w:rPr>
        <w:t>命名规范</w:t>
      </w:r>
      <w:r>
        <w:rPr>
          <w:rFonts w:ascii="宋体" w:hAnsi="宋体" w:eastAsia="宋体"/>
          <w:sz w:val="24"/>
        </w:rPr>
        <w:t xml:space="preserve">：建立统一的资产命名规范——格式为 </w:t>
      </w:r>
      <w:r>
        <w:rPr>
          <w:rFonts w:ascii="Consolas" w:hAnsi="Consolas"/>
          <w:color w:val="C83232"/>
          <w:sz w:val="20"/>
        </w:rPr>
        <w:t>类型_名称_版本号.格式</w:t>
      </w:r>
      <w:r>
        <w:rPr>
          <w:rFonts w:ascii="宋体" w:hAnsi="宋体" w:eastAsia="宋体"/>
          <w:sz w:val="24"/>
        </w:rPr>
        <w:t xml:space="preserve">，如 </w:t>
      </w:r>
      <w:r>
        <w:rPr>
          <w:rFonts w:ascii="Consolas" w:hAnsi="Consolas"/>
          <w:color w:val="C83232"/>
          <w:sz w:val="20"/>
        </w:rPr>
        <w:t>MDL_TunpuGate_v03.fbx</w:t>
      </w:r>
      <w:r>
        <w:rPr>
          <w:rFonts w:ascii="宋体" w:hAnsi="宋体" w:eastAsia="宋体"/>
          <w:sz w:val="24"/>
        </w:rPr>
        <w:t>、</w:t>
      </w:r>
      <w:r>
        <w:rPr>
          <w:rFonts w:ascii="Consolas" w:hAnsi="Consolas"/>
          <w:color w:val="C83232"/>
          <w:sz w:val="20"/>
        </w:rPr>
        <w:t>TEX_StoneWall_D.jpg</w:t>
      </w:r>
      <w:r>
        <w:rPr>
          <w:rFonts w:ascii="宋体" w:hAnsi="宋体" w:eastAsia="宋体"/>
          <w:sz w:val="24"/>
        </w:rPr>
        <w:t>（D=Diffuse）。规范命名使资产可以被脚本批量处理和检索。</w:t>
      </w:r>
    </w:p>
    <w:p/>
    <w:p>
      <w:pPr>
        <w:ind w:firstLine="482"/>
      </w:pPr>
      <w:r>
        <w:rPr>
          <w:rFonts w:ascii="宋体" w:hAnsi="宋体" w:eastAsia="宋体"/>
          <w:b/>
          <w:sz w:val="24"/>
        </w:rPr>
        <w:t>版本管理</w:t>
      </w:r>
      <w:r>
        <w:rPr>
          <w:rFonts w:ascii="宋体" w:hAnsi="宋体" w:eastAsia="宋体"/>
          <w:sz w:val="24"/>
        </w:rPr>
        <w:t>：使用 Git LFS 或 Perforce 管理 3D 资产的版本。每次修改生成新版本，保留历史记录以便回溯。避免使用"最终版""最终版2""真的最终版"等非专业命名。</w:t>
      </w:r>
    </w:p>
    <w:p/>
    <w:p>
      <w:pPr>
        <w:ind w:firstLine="482"/>
      </w:pPr>
      <w:r>
        <w:rPr>
          <w:rFonts w:ascii="宋体" w:hAnsi="宋体" w:eastAsia="宋体"/>
          <w:b/>
          <w:sz w:val="24"/>
        </w:rPr>
        <w:t>LOD 自动生成</w:t>
      </w:r>
      <w:r>
        <w:rPr>
          <w:rFonts w:ascii="宋体" w:hAnsi="宋体" w:eastAsia="宋体"/>
          <w:sz w:val="24"/>
        </w:rPr>
        <w:t>：使用 Simplygon 或 Unity 的 LOD Generator 自动生成多级 LOD 模型。设置 LOD 切换距离——LOD0（&lt;10m，全精度）、LOD1（10-30m，50%面数）、LOD2（30-80m，25%面数）、LOD3（&gt;80m，10%面数）。</w:t>
      </w:r>
    </w:p>
    <w:p/>
    <w:p>
      <w:pPr>
        <w:ind w:firstLine="482"/>
      </w:pPr>
      <w:r>
        <w:rPr>
          <w:rFonts w:ascii="宋体" w:hAnsi="宋体" w:eastAsia="宋体"/>
          <w:b/>
          <w:sz w:val="24"/>
        </w:rPr>
        <w:t>自动化检查</w:t>
      </w:r>
      <w:r>
        <w:rPr>
          <w:rFonts w:ascii="宋体" w:hAnsi="宋体" w:eastAsia="宋体"/>
          <w:sz w:val="24"/>
        </w:rPr>
        <w:t>：编写 Python 脚本自动检查资产质量——面数是否超标、UV 是否完整、纹理分辨率是否合规、命名是否符合规范。不合格的资产自动标记并通知制作者修改。</w:t>
      </w:r>
    </w:p>
    <w:p/>
    <w:p>
      <w:pPr>
        <w:pStyle w:val="Heading3"/>
      </w:pPr>
      <w:r>
        <w:t>4.7.3 跨团队协作与资产共享</w:t>
      </w:r>
    </w:p>
    <w:p/>
    <w:p>
      <w:pPr>
        <w:ind w:firstLine="482"/>
      </w:pPr>
      <w:r>
        <w:rPr>
          <w:rFonts w:ascii="宋体" w:hAnsi="宋体" w:eastAsia="宋体"/>
          <w:sz w:val="24"/>
        </w:rPr>
        <w:t>在多人协作的项目中，3D 资产需要在建模师、动画师、程序员之间频繁流转[14]。使用 Unity Asset Store 或自建的资产服务器进行集中管理，所有团队成员从同一资产库获取最新版本。使用 Prefab 变体（Prefab Variants）功能实现资产的层级复用——基础 Prefab 定义通用属性，变体 Prefab 继承基础属性并添加特定定制。</w:t>
      </w:r>
    </w:p>
    <w:p/>
    <w:p>
      <w:pPr>
        <w:ind w:firstLine="482"/>
      </w:pPr>
      <w:r>
        <w:rPr>
          <w:rFonts w:ascii="宋体" w:hAnsi="宋体" w:eastAsia="宋体"/>
          <w:sz w:val="24"/>
        </w:rPr>
        <w:t>对于跨项目复用，建议建立组织级的"资产库"——将项目中验证过的高质量 3D 资产分类归档（建筑、植被、角色、道具、特效），标注使用许可和技术参数，供后续项目直接使用。这种"资产沉淀"策略可以显著降低后续项目的制作成本和周期。</w:t>
      </w:r>
    </w:p>
    <w:p/>
    <w:p>
      <w:pPr>
        <w:pStyle w:val="Heading2"/>
      </w:pPr>
      <w:r>
        <w:t>4.8 数字资产创建的最佳实践</w:t>
      </w:r>
    </w:p>
    <w:p/>
    <w:p>
      <w:pPr>
        <w:pStyle w:val="Heading3"/>
      </w:pPr>
      <w:r>
        <w:t>4.8.1 面向移动端 AR 的资产优化</w:t>
      </w:r>
    </w:p>
    <w:p/>
    <w:p>
      <w:pPr>
        <w:ind w:firstLine="482"/>
      </w:pPr>
      <w:r>
        <w:rPr>
          <w:rFonts w:ascii="宋体" w:hAnsi="宋体" w:eastAsia="宋体"/>
          <w:sz w:val="24"/>
        </w:rPr>
        <w:t>移动端 AR 对 3D 资产的优化要求最为严格——智能手机的 GPU 性能有限，同时需要为 AR 追踪算法预留计算资源[14]。最佳实践包括：单个场景的总面数控制在 10 万以下；纹理总内存不超过 100MB；使用 ASTC 纹理压缩格式（Android 6x6，iOS 8x8）；合并相同材质的 Mesh 减少 Draw Call；使用 GPU Instancing 渲染重复物体（如树木、栏杆）。</w:t>
      </w:r>
    </w:p>
    <w:p/>
    <w:p>
      <w:pPr>
        <w:pStyle w:val="Heading3"/>
      </w:pPr>
      <w:r>
        <w:t>4.8.2 面向 VR 头显的资产优化</w:t>
      </w:r>
    </w:p>
    <w:p/>
    <w:p>
      <w:pPr>
        <w:ind w:firstLine="482"/>
      </w:pPr>
      <w:r>
        <w:rPr>
          <w:rFonts w:ascii="宋体" w:hAnsi="宋体" w:eastAsia="宋体"/>
          <w:sz w:val="24"/>
        </w:rPr>
        <w:t>VR 头显需要同时渲染左右眼画面，且帧率要求 ≥72fps（Meta Quest）或 ≥90fps（PC VR），对渲染性能要求极高[14]。最佳实践包括：使用 Single Pass Instanced 渲染模式（而非 Multi Pass）；启用 VR Compositor Layer 用于 UI 和文字渲染（避免 UI 引起的性能开销）；使用前向渲染（Forward Rendering）而非延迟渲染（Deferred Rendering），因为 VR 场景通常光照较少；对天空盒使用 360 度纹理而非六面体纹理以减少采样次数。</w:t>
      </w:r>
    </w:p>
    <w:p/>
    <w:p>
      <w:pPr>
        <w:pStyle w:val="Heading3"/>
      </w:pPr>
      <w:r>
        <w:t>4.8.3 资产质量检查清单</w:t>
      </w:r>
    </w:p>
    <w:p/>
    <w:p>
      <w:pPr>
        <w:ind w:firstLine="482"/>
      </w:pPr>
      <w:r>
        <w:rPr>
          <w:rFonts w:ascii="宋体" w:hAnsi="宋体" w:eastAsia="宋体"/>
          <w:sz w:val="24"/>
        </w:rPr>
        <w:t>在将 3D 资产导入项目前，应进行以下质量检查：（1）模型面数在预算范围内；（2）UV 无重叠和翻转；（3）法线方向正确（朝外）；（4）枢轴点（Pivot）在合理位置；（5）缩放比例为 1:1（导入 Unity 后不需要调整 Scale）；（6）纹理分辨率合理（2 的幂次方，如 1024/2048/4096）；（7）材质类型正确（URP/HDRP 兼容）；（8）无多余的历史节点和隐藏物体；（9）命名符合项目规范；（10）文件大小合理（单个 FBX 不超过 50MB）[14]。</w:t>
      </w:r>
    </w:p>
    <w:p/>
    <w:p/>
    <w:p>
      <w:pPr>
        <w:pStyle w:val="Heading2"/>
      </w:pPr>
      <w:r>
        <w:t>4.9 行业标准与互操作性</w:t>
      </w:r>
    </w:p>
    <w:p/>
    <w:p>
      <w:pPr>
        <w:pStyle w:val="Heading3"/>
      </w:pPr>
      <w:r>
        <w:t>4.9.1 3D 资产格式标准</w:t>
      </w:r>
    </w:p>
    <w:p/>
    <w:p>
      <w:pPr>
        <w:ind w:firstLine="482"/>
      </w:pPr>
      <w:r>
        <w:rPr>
          <w:rFonts w:ascii="宋体" w:hAnsi="宋体" w:eastAsia="宋体"/>
          <w:sz w:val="24"/>
        </w:rPr>
        <w:t>3D 资产格式的标准化是实现跨平台互操作性的基础[14]。glTF 2.0 是 Khronos Group 制定的开放标准，被称为 3D 的 JPEG，支持 PBR 材质、动画和场景图，文件紧凑且加载速度快，是 Web 3D 和移动 AR 的首选格式。FBX 是 Autodesk 的专有格式，是游戏和影视行业的事实标准，支持几乎所有的 3D 数据类型但文件体积较大。USD（Universal Scene Description）是 Pixar 开发的开放格式，支持大型场景的层级化组织和协作编辑，Apple 和 NVIDIA 都在推动 USD 作为 AR/VR 的标准格式。</w:t>
      </w:r>
    </w:p>
    <w:p/>
    <w:p>
      <w:pPr>
        <w:pStyle w:val="Heading3"/>
      </w:pPr>
      <w:r>
        <w:t>4.9.2 材质与着色器标准</w:t>
      </w:r>
    </w:p>
    <w:p/>
    <w:p>
      <w:pPr>
        <w:ind w:firstLine="482"/>
      </w:pPr>
      <w:r>
        <w:rPr>
          <w:rFonts w:ascii="宋体" w:hAnsi="宋体" w:eastAsia="宋体"/>
          <w:sz w:val="24"/>
        </w:rPr>
        <w:t>PBR（Physically Based Rendering）材质标准已成为 3D 制作的行业共识[14]。PBR 使用物理参数（反照率 Albedo、粗糙度 Roughness、金属度 Metallic、法线 Normal、环境光遮蔽 AO、自发光 Emissive）描述材质外观，在不同光照条件下保持视觉一致性。在跨平台项目中，建议使用标准的 PBR 材质参数，避免使用特定引擎的专有 Shader，这样资产可以在 Unity、Unreal、Three.js 等不同平台之间迁移[14]。</w:t>
      </w:r>
    </w:p>
    <w:p/>
    <w:p>
      <w:pPr>
        <w:pStyle w:val="Heading3"/>
      </w:pPr>
      <w:r>
        <w:t>4.9.3 资产质量保障体系</w:t>
      </w:r>
    </w:p>
    <w:p/>
    <w:p>
      <w:pPr>
        <w:ind w:firstLine="482"/>
      </w:pPr>
      <w:r>
        <w:rPr>
          <w:rFonts w:ascii="宋体" w:hAnsi="宋体" w:eastAsia="宋体"/>
          <w:sz w:val="24"/>
        </w:rPr>
        <w:t>建立系统化的资产质量保障体系是大型项目成功的关键[14]：（1）制定资产技术规格书——明确面数预算、纹理分辨率、UV 规范、命名规则和文件格式要求；（2）建立审核流程——建模师自检、技术美术复审、项目负责人终审的三级审核制度；（3）自动化检测——编写脚本自动检测面数、UV 完整性、纹理规格和命名合规性，不合格资产自动标记；（4）持续维护——定期清理冗余资产、更新 LOD 和优化纹理，保持资产库的整洁和高效[14]。</w:t>
      </w:r>
    </w:p>
    <w:p/>
    <w:p/>
    <w:p>
      <w:pPr>
        <w:pStyle w:val="Heading2"/>
      </w:pPr>
      <w:r>
        <w:t>4.10 数字资产创建实训</w:t>
      </w:r>
    </w:p>
    <w:p/>
    <w:p>
      <w:pPr>
        <w:pStyle w:val="Heading3"/>
      </w:pPr>
      <w:r>
        <w:t>4.10.1 实训项目：贵州苗寨建筑建模</w:t>
      </w:r>
    </w:p>
    <w:p/>
    <w:p>
      <w:pPr>
        <w:ind w:firstLine="482"/>
      </w:pPr>
      <w:r>
        <w:rPr>
          <w:rFonts w:ascii="宋体" w:hAnsi="宋体" w:eastAsia="宋体"/>
          <w:sz w:val="24"/>
        </w:rPr>
        <w:t>本实训要求学生使用 Blender 创建一个苗族吊脚楼建筑模型，从参考照片到最终优化导出，完整体验 3D 建模工作流[14]。</w:t>
      </w:r>
    </w:p>
    <w:p/>
    <w:p>
      <w:pPr>
        <w:ind w:firstLine="482"/>
      </w:pPr>
      <w:r>
        <w:rPr>
          <w:rFonts w:ascii="宋体" w:hAnsi="宋体" w:eastAsia="宋体"/>
          <w:b/>
          <w:sz w:val="24"/>
        </w:rPr>
        <w:t>步骤一：参考采集与分析</w:t>
      </w:r>
      <w:r>
        <w:rPr>
          <w:rFonts w:ascii="宋体" w:hAnsi="宋体" w:eastAsia="宋体"/>
          <w:sz w:val="24"/>
        </w:rPr>
        <w:t>。前往苗寨实地拍摄建筑照片（正面、侧面、背面、俯视、细节特写），或使用网络上的苗寨建筑参考图。分析建筑的结构特征——吊脚楼通常为两到三层，底层架空（用于储物或牲畜），二层为居住空间，三层为粮仓。木质结构，歇山顶或悬山顶屋顶。</w:t>
      </w:r>
    </w:p>
    <w:p/>
    <w:p>
      <w:pPr>
        <w:ind w:firstLine="482"/>
      </w:pPr>
      <w:r>
        <w:rPr>
          <w:rFonts w:ascii="宋体" w:hAnsi="宋体" w:eastAsia="宋体"/>
          <w:b/>
          <w:sz w:val="24"/>
        </w:rPr>
        <w:t>步骤二：白盒建模</w:t>
      </w:r>
      <w:r>
        <w:rPr>
          <w:rFonts w:ascii="宋体" w:hAnsi="宋体" w:eastAsia="宋体"/>
          <w:sz w:val="24"/>
        </w:rPr>
        <w:t>。在 Blender 中使用立方体和挤出工具搭建建筑的基本体量（白盒），确定比例和空间关系。白盒阶段不关注细节，只关注整体轮廓和结构正确性。将白盒模型导入 Unity 验证尺寸和比例。</w:t>
      </w:r>
    </w:p>
    <w:p/>
    <w:p>
      <w:pPr>
        <w:ind w:firstLine="482"/>
      </w:pPr>
      <w:r>
        <w:rPr>
          <w:rFonts w:ascii="宋体" w:hAnsi="宋体" w:eastAsia="宋体"/>
          <w:b/>
          <w:sz w:val="24"/>
        </w:rPr>
        <w:t>步骤三：细节建模</w:t>
      </w:r>
      <w:r>
        <w:rPr>
          <w:rFonts w:ascii="宋体" w:hAnsi="宋体" w:eastAsia="宋体"/>
          <w:sz w:val="24"/>
        </w:rPr>
        <w:t>。在白盒基础上添加建筑细节——柱子、梁、椽子、地板、墙壁（木板或竹编墙）、屋顶瓦片、门窗、楼梯、栏杆等。使用 Blender 的修改器（Array、Mirror、Subdivision Surface）提高建模效率。</w:t>
      </w:r>
    </w:p>
    <w:p/>
    <w:p>
      <w:pPr>
        <w:ind w:firstLine="482"/>
      </w:pPr>
      <w:r>
        <w:rPr>
          <w:rFonts w:ascii="宋体" w:hAnsi="宋体" w:eastAsia="宋体"/>
          <w:b/>
          <w:sz w:val="24"/>
        </w:rPr>
        <w:t>步骤四：UV 展开与纹理制作</w:t>
      </w:r>
      <w:r>
        <w:rPr>
          <w:rFonts w:ascii="宋体" w:hAnsi="宋体" w:eastAsia="宋体"/>
          <w:sz w:val="24"/>
        </w:rPr>
        <w:t>。对模型进行 UV 展开，在 Substance Painter 中绘制 PBR 纹理——木纹颜色、粗糙度（涂漆区域光滑、未涂漆区域粗糙）、法线（木纹凹凸）和环境光遮蔽。使用 2048x2048 纹理分辨率。</w:t>
      </w:r>
    </w:p>
    <w:p/>
    <w:p>
      <w:pPr>
        <w:ind w:firstLine="482"/>
      </w:pPr>
      <w:r>
        <w:rPr>
          <w:rFonts w:ascii="宋体" w:hAnsi="宋体" w:eastAsia="宋体"/>
          <w:b/>
          <w:sz w:val="24"/>
        </w:rPr>
        <w:t>步骤五：优化与导出</w:t>
      </w:r>
      <w:r>
        <w:rPr>
          <w:rFonts w:ascii="宋体" w:hAnsi="宋体" w:eastAsia="宋体"/>
          <w:sz w:val="24"/>
        </w:rPr>
        <w:t>。减面至 15000-20000 三角形，导出为 FBX 格式，在 Unity 中导入并配置材质和碰撞体。在 VR 中验证模型效果和性能[14]。</w:t>
      </w:r>
    </w:p>
    <w:p/>
    <w:p>
      <w:pPr>
        <w:pStyle w:val="Heading3"/>
      </w:pPr>
      <w:r>
        <w:t>4.10.2 实训评估标准</w:t>
      </w:r>
    </w:p>
    <w:p/>
    <w:p>
      <w:pPr>
        <w:ind w:firstLine="482"/>
      </w:pPr>
      <w:r>
        <w:rPr>
          <w:rFonts w:ascii="宋体" w:hAnsi="宋体" w:eastAsia="宋体"/>
          <w:sz w:val="24"/>
        </w:rPr>
        <w:t>模型准确性（建筑结构是否符合苗族吊脚楼特征）、拓扑质量（布线是否合理、UV 是否完整）、纹理质量（PBR 参数是否正确、视觉效果是否逼真）、性能指标（面数是否达标、Draw Call 是否优化）和文档规范（命名是否合规、文件是否完整）[14]。</w:t>
      </w:r>
    </w:p>
    <w:p/>
    <w:p/>
    <w:p>
      <w:pPr>
        <w:pStyle w:val="Heading3"/>
      </w:pPr>
      <w:r>
        <w:t>4.10.3 数字资产与 I.M.M.E.R.S.E. 框架的对应关系</w:t>
      </w:r>
    </w:p>
    <w:p/>
    <w:p>
      <w:pPr>
        <w:ind w:firstLine="482"/>
      </w:pPr>
      <w:r>
        <w:rPr>
          <w:rFonts w:ascii="宋体" w:hAnsi="宋体" w:eastAsia="宋体"/>
          <w:sz w:val="24"/>
        </w:rPr>
        <w:t>本章的数字资产创建内容对应 I.M.M.E.R.S.E. 框架的 S（Scenario Engineering）维度——3D 模型、纹理、动画和音频是沉浸式场景的"建筑砖块"，场景工程的质量直接取决于数字资产的质量。同时，数字资产创建也体现了 M（Multimodal Methodology）维度——视觉资产（3D 模型、纹理）、听觉资产（音频、音效）和动态资产（动画、特效）的多模态协同创建过程，需要跨专业团队的协作和统一的资产管理流程[14]。在实际项目中，建议建立"资产-场景-体验"的追溯链——每个数字资产都应标注其使用场景和对应的体验目标，确保资产制作服务于体验设计而非孤立存在。这种以体验为导向的资产管理理念是 I.M.M.E.R.S.E. 框架在数字资产创建层面的具体实践[14]。</w:t>
      </w:r>
    </w:p>
    <w:p/>
    <w:p>
      <w:pPr>
        <w:ind w:firstLine="482"/>
      </w:pPr>
      <w:r>
        <w:rPr>
          <w:rFonts w:ascii="宋体" w:hAnsi="宋体" w:eastAsia="宋体"/>
          <w:sz w:val="24"/>
        </w:rPr>
        <w:t>这种以体验为导向的数字资产管理理念，使每一个 3D 模型、每一段动画、每一个音频文件都有了明确的目的和归属，避免了为建模而建模的资源浪费，确保数字资产创建工作始终服务于沉浸式场景的整体体验目标。</w:t>
      </w:r>
    </w:p>
    <w:p>
      <w:pPr>
        <w:pStyle w:val="Heading2"/>
      </w:pPr>
      <w:r>
        <w:t>本章小结</w:t>
      </w:r>
    </w:p>
    <w:p/>
    <w:p>
      <w:pPr>
        <w:ind w:firstLine="482"/>
      </w:pPr>
      <w:r>
        <w:rPr>
          <w:rFonts w:ascii="宋体" w:hAnsi="宋体" w:eastAsia="宋体"/>
          <w:sz w:val="24"/>
        </w:rPr>
        <w:t>本章系统讲解了 VR/AR 场景中 3D 建模与数字资产创建的完整方法论。首先介绍了 3D 建模的基本概念（网格、拓扑、UV、法线）和 PBR 材质系统原理，强调了 VR/AR 建模在双目渲染预算、近距离观察和立体视觉一致性方面的特殊要求。其次，详细讲解了多边形建模的五步流程（参考收集→白盒建模→高模雕刻→UV展开→材质烘焙），以及摄影测量技术从照片采集到模型优化的完整工作流。然后，介绍了程序化建模的理念和工具，包括 Houdini 节点式工作流和大规模场景的程序化生成策略。最后，讨论了数字资产管理的规范与优化技术，包括命名规范、纹理图集、LOD 和管线自动化。</w:t>
      </w:r>
    </w:p>
    <w:p/>
    <w:p>
      <w:pPr>
        <w:ind w:firstLine="482"/>
      </w:pPr>
      <w:r>
        <w:rPr>
          <w:rFonts w:ascii="宋体" w:hAnsi="宋体" w:eastAsia="宋体"/>
          <w:sz w:val="24"/>
        </w:rPr>
        <w:t xml:space="preserve">本章内容对应 I.M.M.E.R.S.E. 框架的 </w:t>
      </w:r>
      <w:r>
        <w:rPr>
          <w:rFonts w:ascii="宋体" w:hAnsi="宋体" w:eastAsia="宋体"/>
          <w:b/>
          <w:sz w:val="24"/>
        </w:rPr>
        <w:t>M（Modeling &amp; Assets，建模与资产）</w:t>
      </w:r>
      <w:r>
        <w:rPr>
          <w:rFonts w:ascii="宋体" w:hAnsi="宋体" w:eastAsia="宋体"/>
          <w:sz w:val="24"/>
        </w:rPr>
        <w:t xml:space="preserve"> 维度，为 VR/AR 场景制作提供了资产创建的技术基础。第5章将在此基础上探讨多模态交互设计——如何让用户与这些 3D 资产进行自然、直观的交互。</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PBR 材质系统的核心贴图有哪些？各自的作用是什么？</w:t>
      </w:r>
    </w:p>
    <w:p>
      <w:pPr>
        <w:pStyle w:val="ListNumber"/>
      </w:pPr>
      <w:r>
        <w:rPr>
          <w:rFonts w:ascii="宋体" w:hAnsi="宋体" w:eastAsia="宋体"/>
          <w:b/>
          <w:sz w:val="24"/>
        </w:rPr>
        <w:t>（理解）</w:t>
      </w:r>
      <w:r>
        <w:rPr>
          <w:rFonts w:ascii="宋体" w:hAnsi="宋体" w:eastAsia="宋体"/>
          <w:sz w:val="24"/>
        </w:rPr>
        <w:t xml:space="preserve"> 解释 VR/AR 建模与传统 3D 游戏建模在性能预算和质量要求上的主要差异。</w:t>
      </w:r>
    </w:p>
    <w:p>
      <w:pPr>
        <w:pStyle w:val="ListNumber"/>
      </w:pPr>
      <w:r>
        <w:rPr>
          <w:rFonts w:ascii="宋体" w:hAnsi="宋体" w:eastAsia="宋体"/>
          <w:b/>
          <w:sz w:val="24"/>
        </w:rPr>
        <w:t>（应用）</w:t>
      </w:r>
      <w:r>
        <w:rPr>
          <w:rFonts w:ascii="宋体" w:hAnsi="宋体" w:eastAsia="宋体"/>
          <w:sz w:val="24"/>
        </w:rPr>
        <w:t xml:space="preserve"> 针对一个 VR 博物馆项目，制定文物 3D 数字化的技术方案，选择合适的建模方法并说明理由。</w:t>
      </w:r>
    </w:p>
    <w:p>
      <w:pPr>
        <w:pStyle w:val="ListNumber"/>
      </w:pPr>
      <w:r>
        <w:rPr>
          <w:rFonts w:ascii="宋体" w:hAnsi="宋体" w:eastAsia="宋体"/>
          <w:b/>
          <w:sz w:val="24"/>
        </w:rPr>
        <w:t>（分析）</w:t>
      </w:r>
      <w:r>
        <w:rPr>
          <w:rFonts w:ascii="宋体" w:hAnsi="宋体" w:eastAsia="宋体"/>
          <w:sz w:val="24"/>
        </w:rPr>
        <w:t xml:space="preserve"> 比较多边形建模、摄影测量和程序化建模三种方法在精度、效率、适用场景方面的优劣，分析在什么情况下应组合使用多种方法。</w:t>
      </w:r>
    </w:p>
    <w:p>
      <w:pPr>
        <w:pStyle w:val="ListNumber"/>
      </w:pPr>
      <w:r>
        <w:rPr>
          <w:rFonts w:ascii="宋体" w:hAnsi="宋体" w:eastAsia="宋体"/>
          <w:b/>
          <w:sz w:val="24"/>
        </w:rPr>
        <w:t>（评价）</w:t>
      </w:r>
      <w:r>
        <w:rPr>
          <w:rFonts w:ascii="宋体" w:hAnsi="宋体" w:eastAsia="宋体"/>
          <w:sz w:val="24"/>
        </w:rPr>
        <w:t xml:space="preserve"> 给定一个 10 万三角形的 VR 场景预算，评估以下资产分配方案是否合理：主角角色 15000 面、核心文物 5 件各 3000 面、背景建筑 20 栋各 1500 面、植被 100 株各 200 面。</w:t>
      </w:r>
    </w:p>
    <w:p>
      <w:pPr>
        <w:pStyle w:val="ListNumber"/>
      </w:pPr>
      <w:r>
        <w:rPr>
          <w:rFonts w:ascii="宋体" w:hAnsi="宋体" w:eastAsia="宋体"/>
          <w:b/>
          <w:sz w:val="24"/>
        </w:rPr>
        <w:t>（创造）</w:t>
      </w:r>
      <w:r>
        <w:rPr>
          <w:rFonts w:ascii="宋体" w:hAnsi="宋体" w:eastAsia="宋体"/>
          <w:sz w:val="24"/>
        </w:rPr>
        <w:t xml:space="preserve"> 设计一个贵州屯堡古建筑 VR 场景的资产生产管线，包含数据采集、建模、优化、导入和管理的完整流程图。</w:t>
      </w:r>
    </w:p>
    <w:p/>
    <w:p>
      <w:pPr>
        <w:pStyle w:val="Heading2"/>
      </w:pPr>
      <w:r>
        <w:t>参考文献</w:t>
      </w:r>
    </w:p>
    <w:p/>
    <w:p>
      <w:pPr>
        <w:ind w:firstLine="482"/>
      </w:pPr>
      <w:r>
        <w:rPr>
          <w:rFonts w:ascii="宋体" w:hAnsi="宋体" w:eastAsia="宋体"/>
          <w:sz w:val="24"/>
        </w:rPr>
        <w:t>[1] Darmawiguna, I. G. M., et al. (2020). Bali Temple VR: The Virtual Reality based Application for the Digitalization of Balinese Temples. arXiv:2004.13853. https://arxiv.org/abs/2004.13853</w:t>
      </w:r>
    </w:p>
    <w:p/>
    <w:p>
      <w:pPr>
        <w:ind w:firstLine="482"/>
      </w:pPr>
      <w:r>
        <w:rPr>
          <w:rFonts w:ascii="宋体" w:hAnsi="宋体" w:eastAsia="宋体"/>
          <w:sz w:val="24"/>
        </w:rPr>
        <w:t>[2] Pan, X., &amp; Haberkorn, A. (2021). Interactive 3D Modeling with Virtual Reality. IS&amp;T. https://doi.org/10.2352/issn.2470-1173.2021.8.imawm-280</w:t>
      </w:r>
    </w:p>
    <w:p/>
    <w:p>
      <w:pPr>
        <w:ind w:firstLine="482"/>
      </w:pPr>
      <w:r>
        <w:rPr>
          <w:rFonts w:ascii="宋体" w:hAnsi="宋体" w:eastAsia="宋体"/>
          <w:sz w:val="24"/>
        </w:rPr>
        <w:t>[3] Galvane, Q., Lin, I.-S., Sanz, F. A., Li, T.-Y., &amp; Christie, M. (2019). VR as a Content Creation Tool for Movie Previsualisation. IEEE VR. https://doi.org/10.1109/VR.2019.8798181</w:t>
      </w:r>
    </w:p>
    <w:p/>
    <w:p>
      <w:pPr>
        <w:ind w:firstLine="482"/>
      </w:pPr>
      <w:r>
        <w:rPr>
          <w:rFonts w:ascii="宋体" w:hAnsi="宋体" w:eastAsia="宋体"/>
          <w:sz w:val="24"/>
        </w:rPr>
        <w:t>[4] Buttiglione, M. D., Colabene, F., &amp; Gribaudo, M. (2026). Vendor lock-in in VR game engines: a structured comparison of Unity, Unreal Engine, and Godot. CEUR Workshop Proceedings. https://doi.org/10.7148/2026-0755</w:t>
      </w:r>
    </w:p>
    <w:p/>
    <w:p>
      <w:pPr>
        <w:ind w:firstLine="482"/>
      </w:pPr>
      <w:r>
        <w:rPr>
          <w:rFonts w:ascii="宋体" w:hAnsi="宋体" w:eastAsia="宋体"/>
          <w:sz w:val="24"/>
        </w:rPr>
        <w:t>[5] Khan, A., Hossain, M. M., Covaci, A., Sirlantzis, K., &amp; Xu, C. (2024). Light field imaging technology for virtual reality content creation: A review. IET Image Processing. https://doi.org/10.1049/ipr2.13144</w:t>
      </w:r>
    </w:p>
    <w:p/>
    <w:p>
      <w:pPr>
        <w:ind w:firstLine="482"/>
      </w:pPr>
      <w:r>
        <w:rPr>
          <w:rFonts w:ascii="宋体" w:hAnsi="宋体" w:eastAsia="宋体"/>
          <w:sz w:val="24"/>
        </w:rPr>
        <w:t>[6] Li, J., Xia, X., &amp; Chen, Y. (2023). Development of Tourism Management Imitation Real Training System Based on Virtual Reality Technology. EAI. https://doi.org/10.4108/eai.1-9-2023.2338807</w:t>
      </w:r>
    </w:p>
    <w:p/>
    <w:p>
      <w:pPr>
        <w:ind w:firstLine="482"/>
      </w:pPr>
      <w:r>
        <w:rPr>
          <w:rFonts w:ascii="宋体" w:hAnsi="宋体" w:eastAsia="宋体"/>
          <w:sz w:val="24"/>
        </w:rPr>
        <w:t>[7] Numan, N., et al. (2024). SpaceBlender: Creating Context-Rich Collaborative Spaces Through Generative 3D Scene Blending. ACM UIST. https://doi.org/10.1145/3654777.3676361</w:t>
      </w:r>
    </w:p>
    <w:p/>
    <w:p>
      <w:pPr>
        <w:ind w:firstLine="482"/>
      </w:pPr>
      <w:r>
        <w:rPr>
          <w:rFonts w:ascii="宋体" w:hAnsi="宋体" w:eastAsia="宋体"/>
          <w:sz w:val="24"/>
        </w:rPr>
        <w:t>[8] Kim, J. (2016). Modeling and Optimization of a Tree Based on Virtual Reality for Immersive Virtual Landscape Generation. Symmetry, 8(9), 93. https://doi.org/10.3390/sym8090093</w:t>
      </w:r>
    </w:p>
    <w:p/>
    <w:p>
      <w:pPr>
        <w:ind w:firstLine="482"/>
      </w:pPr>
      <w:r>
        <w:rPr>
          <w:rFonts w:ascii="宋体" w:hAnsi="宋体" w:eastAsia="宋体"/>
          <w:sz w:val="24"/>
        </w:rPr>
        <w:t>[9] Ciekanowska, A., Kiszczak Gliński, A., &amp; Dziedzic, K. (2021). Comparative analysis of Unity and Unreal Engine efficiency in creating virtual exhibitions of 3D scanned models. Journal of Computer Sciences Institute, 21, 294-299. https://doi.org/10.35784/jcsi.2698</w:t>
      </w:r>
    </w:p>
    <w:p/>
    <w:p>
      <w:pPr>
        <w:ind w:firstLine="482"/>
      </w:pPr>
      <w:r>
        <w:rPr>
          <w:rFonts w:ascii="宋体" w:hAnsi="宋体" w:eastAsia="宋体"/>
          <w:sz w:val="24"/>
        </w:rPr>
        <w:t>[10] Pérez, L., Menéndez, B., Diez, E., Usamentiaga, R., &amp; García, D. F. (2019). Industrial robot control and operator training using virtual reality interfaces. Computers in Industry, 108, 84-93. https://doi.org/10.1016/J.COMPIND.2019.05.001</w:t>
      </w:r>
    </w:p>
    <w:p/>
    <w:p>
      <w:pPr>
        <w:ind w:firstLine="482"/>
      </w:pPr>
      <w:r>
        <w:rPr>
          <w:rFonts w:ascii="宋体" w:hAnsi="宋体" w:eastAsia="宋体"/>
          <w:sz w:val="24"/>
        </w:rPr>
        <w:t>[11] Dhieb, O., &amp; Durado, A. (2024). Creating VR Content for Training Purposes. International Journal of Technology in Education and Science, 8(4). https://doi.org/10.46328/ijtes.550</w:t>
      </w:r>
    </w:p>
    <w:p/>
    <w:p>
      <w:pPr>
        <w:ind w:firstLine="482"/>
      </w:pPr>
      <w:r>
        <w:rPr>
          <w:rFonts w:ascii="宋体" w:hAnsi="宋体" w:eastAsia="宋体"/>
          <w:sz w:val="24"/>
        </w:rPr>
        <w:t>[12] Yigitbas, E., Klauke, J., Gottschalk, S., &amp; Engels, G. (2021). VREUD - An End-User Development Tool to Simplify the Creation of Interactive VR Scenes. arXiv:2107.00377. https://arxiv.org/abs/2107.00377</w:t>
      </w:r>
    </w:p>
    <w:p/>
    <w:p>
      <w:pPr>
        <w:ind w:firstLine="482"/>
      </w:pPr>
      <w:r>
        <w:rPr>
          <w:rFonts w:ascii="宋体" w:hAnsi="宋体" w:eastAsia="宋体"/>
          <w:sz w:val="24"/>
        </w:rPr>
        <w:t>[13] Vargas González, A. N., Williamson, B., &amp; LaViola, J. J. (2023). Authoring Moving Parts of Objects in AR, VR and the Desktop. Multimodal Technologies and Interaction, 7(12), 117. https://doi.org/10.3390/mti7120117</w:t>
      </w:r>
    </w:p>
    <w:p/>
    <w:p>
      <w:pPr>
        <w:ind w:firstLine="482"/>
      </w:pPr>
      <w:r>
        <w:rPr>
          <w:rFonts w:ascii="宋体" w:hAnsi="宋体" w:eastAsia="宋体"/>
          <w:sz w:val="24"/>
        </w:rPr>
        <w:t>数字化资产创建是沉浸式场景制作的基石。</w:t>
      </w:r>
    </w:p>
    <w:p>
      <w:r>
        <w:br w:type="page"/>
      </w:r>
    </w:p>
    <w:p>
      <w:pPr>
        <w:pStyle w:val="Heading1"/>
      </w:pPr>
      <w:r>
        <w:t>第5章 多模态交互设计与实现</w:t>
      </w:r>
    </w:p>
    <w:p/>
    <w:p>
      <w:pPr>
        <w:pStyle w:val="Heading2"/>
      </w:pPr>
      <w:r>
        <w:t>学习目标</w:t>
      </w:r>
    </w:p>
    <w:p/>
    <w:p>
      <w:pPr>
        <w:pStyle w:val="ListNumber"/>
      </w:pPr>
      <w:r>
        <w:rPr>
          <w:rFonts w:ascii="宋体" w:hAnsi="宋体" w:eastAsia="宋体"/>
          <w:b/>
          <w:sz w:val="24"/>
        </w:rPr>
        <w:t>识记</w:t>
      </w:r>
      <w:r>
        <w:rPr>
          <w:rFonts w:ascii="宋体" w:hAnsi="宋体" w:eastAsia="宋体"/>
          <w:sz w:val="24"/>
        </w:rPr>
        <w:t>：交互模态分类（视觉/听觉/触觉/手势/语音/凝视），多模态融合理论的基本概念。</w:t>
      </w:r>
    </w:p>
    <w:p>
      <w:pPr>
        <w:pStyle w:val="ListNumber"/>
      </w:pPr>
      <w:r>
        <w:rPr>
          <w:rFonts w:ascii="宋体" w:hAnsi="宋体" w:eastAsia="宋体"/>
          <w:b/>
          <w:sz w:val="24"/>
        </w:rPr>
        <w:t>理解</w:t>
      </w:r>
      <w:r>
        <w:rPr>
          <w:rFonts w:ascii="宋体" w:hAnsi="宋体" w:eastAsia="宋体"/>
          <w:sz w:val="24"/>
        </w:rPr>
        <w:t>：VR/AR 交互设计原则（Fitts 定律在 3D 中的修正、格式塔原理的适用性），交互设计评估方法。</w:t>
      </w:r>
    </w:p>
    <w:p>
      <w:pPr>
        <w:pStyle w:val="ListNumber"/>
      </w:pPr>
      <w:r>
        <w:rPr>
          <w:rFonts w:ascii="宋体" w:hAnsi="宋体" w:eastAsia="宋体"/>
          <w:b/>
          <w:sz w:val="24"/>
        </w:rPr>
        <w:t>应用</w:t>
      </w:r>
      <w:r>
        <w:rPr>
          <w:rFonts w:ascii="宋体" w:hAnsi="宋体" w:eastAsia="宋体"/>
          <w:sz w:val="24"/>
        </w:rPr>
        <w:t>：掌握手势交互、语音交互、凝视交互的实现方法，能够在 Unity 中集成多模态交互系统。</w:t>
      </w:r>
    </w:p>
    <w:p>
      <w:pPr>
        <w:pStyle w:val="ListNumber"/>
      </w:pPr>
      <w:r>
        <w:rPr>
          <w:rFonts w:ascii="宋体" w:hAnsi="宋体" w:eastAsia="宋体"/>
          <w:b/>
          <w:sz w:val="24"/>
        </w:rPr>
        <w:t>分析</w:t>
      </w:r>
      <w:r>
        <w:rPr>
          <w:rFonts w:ascii="宋体" w:hAnsi="宋体" w:eastAsia="宋体"/>
          <w:sz w:val="24"/>
        </w:rPr>
        <w:t>：分析不同交互模态在精度、延迟、认知负荷方面的优劣，设计多模态协同交互方案。</w:t>
      </w:r>
    </w:p>
    <w:p>
      <w:pPr>
        <w:pStyle w:val="ListNumber"/>
      </w:pPr>
      <w:r>
        <w:rPr>
          <w:rFonts w:ascii="宋体" w:hAnsi="宋体" w:eastAsia="宋体"/>
          <w:b/>
          <w:sz w:val="24"/>
        </w:rPr>
        <w:t>评价</w:t>
      </w:r>
      <w:r>
        <w:rPr>
          <w:rFonts w:ascii="宋体" w:hAnsi="宋体" w:eastAsia="宋体"/>
          <w:sz w:val="24"/>
        </w:rPr>
        <w:t>：使用任务完成率、SUS 量表等评估交互设计的可用性。</w:t>
      </w:r>
    </w:p>
    <w:p>
      <w:pPr>
        <w:pStyle w:val="ListNumber"/>
      </w:pPr>
      <w:r>
        <w:rPr>
          <w:rFonts w:ascii="宋体" w:hAnsi="宋体" w:eastAsia="宋体"/>
          <w:b/>
          <w:sz w:val="24"/>
        </w:rPr>
        <w:t>创造</w:t>
      </w:r>
      <w:r>
        <w:rPr>
          <w:rFonts w:ascii="宋体" w:hAnsi="宋体" w:eastAsia="宋体"/>
          <w:sz w:val="24"/>
        </w:rPr>
        <w:t>：设计一个面向文旅场景的多模态交互方案，包含至少三种交互模态的协同设计。</w:t>
      </w:r>
    </w:p>
    <w:p/>
    <w:p>
      <w:pPr>
        <w:pStyle w:val="Heading2"/>
      </w:pPr>
      <w:r>
        <w:t>导入案例：基于多感知信号融合的虚拟现实交互系统设计</w:t>
      </w:r>
    </w:p>
    <w:p/>
    <w:p>
      <w:pPr>
        <w:ind w:firstLine="482"/>
      </w:pPr>
      <w:r>
        <w:rPr>
          <w:rFonts w:ascii="宋体" w:hAnsi="宋体" w:eastAsia="宋体"/>
          <w:sz w:val="24"/>
        </w:rPr>
        <w:t>研究者设计了基于多感知信号融合的虚拟现实交互系统，将手势识别、语音指令和凝视追踪三种交互模态整合到统一的交互框架中[1]。该系统通过多模态融合算法处理来自不同传感器的输入信号，根据任务上下文动态选择最优的交互模态组合——例如，用户可以通过语音说出"看那个花瓶"同时用手指向花瓶方向，系统结合语音语义和手势方向精准定位目标物体。这一案例揭示了多模态交互的核心价值：不同模态之间的协同能够弥补各自局限，产生"1+1&gt;2"的交互能力。</w:t>
      </w:r>
    </w:p>
    <w:p/>
    <w:p>
      <w:pPr>
        <w:ind w:firstLine="482"/>
      </w:pPr>
      <w:r>
        <w:rPr>
          <w:rFonts w:ascii="宋体" w:hAnsi="宋体" w:eastAsia="宋体"/>
          <w:sz w:val="24"/>
        </w:rPr>
        <w:t>---</w:t>
      </w:r>
    </w:p>
    <w:p/>
    <w:p>
      <w:pPr>
        <w:pStyle w:val="Heading2"/>
      </w:pPr>
      <w:r>
        <w:t>5.1 多模态交互理论基础</w:t>
      </w:r>
    </w:p>
    <w:p/>
    <w:p>
      <w:pPr>
        <w:pStyle w:val="Heading3"/>
      </w:pPr>
      <w:r>
        <w:t>5.1.1 交互模态分类</w:t>
      </w:r>
    </w:p>
    <w:p/>
    <w:p>
      <w:pPr>
        <w:ind w:firstLine="482"/>
      </w:pPr>
      <w:r>
        <w:rPr>
          <w:rFonts w:ascii="宋体" w:hAnsi="宋体" w:eastAsia="宋体"/>
          <w:sz w:val="24"/>
        </w:rPr>
        <w:t>VR/AR 中的交互模态按照感官通道和输入方式可分为六大类[2]：</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模态</w:t>
            </w:r>
          </w:p>
        </w:tc>
        <w:tc>
          <w:tcPr>
            <w:tcW w:type="dxa" w:w="1662"/>
            <w:shd w:fill="D9E2F3" w:val="clear"/>
          </w:tcPr>
          <w:p>
            <w:pPr>
              <w:jc w:val="center"/>
            </w:pPr>
            <w:r/>
            <w:r>
              <w:rPr>
                <w:rFonts w:ascii="黑体" w:hAnsi="黑体" w:eastAsia="黑体"/>
                <w:b/>
                <w:sz w:val="20"/>
              </w:rPr>
              <w:t>输入方式</w:t>
            </w:r>
          </w:p>
        </w:tc>
        <w:tc>
          <w:tcPr>
            <w:tcW w:type="dxa" w:w="1662"/>
            <w:shd w:fill="D9E2F3" w:val="clear"/>
          </w:tcPr>
          <w:p>
            <w:pPr>
              <w:jc w:val="center"/>
            </w:pPr>
            <w:r/>
            <w:r>
              <w:rPr>
                <w:rFonts w:ascii="黑体" w:hAnsi="黑体" w:eastAsia="黑体"/>
                <w:b/>
                <w:sz w:val="20"/>
              </w:rPr>
              <w:t>优势</w:t>
            </w:r>
          </w:p>
        </w:tc>
        <w:tc>
          <w:tcPr>
            <w:tcW w:type="dxa" w:w="1662"/>
            <w:shd w:fill="D9E2F3" w:val="clear"/>
          </w:tcPr>
          <w:p>
            <w:pPr>
              <w:jc w:val="center"/>
            </w:pPr>
            <w:r/>
            <w:r>
              <w:rPr>
                <w:rFonts w:ascii="黑体" w:hAnsi="黑体" w:eastAsia="黑体"/>
                <w:b/>
                <w:sz w:val="20"/>
              </w:rPr>
              <w:t>局限</w:t>
            </w:r>
          </w:p>
        </w:tc>
        <w:tc>
          <w:tcPr>
            <w:tcW w:type="dxa" w:w="1662"/>
            <w:shd w:fill="D9E2F3" w:val="clear"/>
          </w:tcPr>
          <w:p>
            <w:pPr>
              <w:jc w:val="center"/>
            </w:pPr>
            <w:r/>
            <w:r>
              <w:rPr>
                <w:rFonts w:ascii="黑体" w:hAnsi="黑体" w:eastAsia="黑体"/>
                <w:b/>
                <w:sz w:val="20"/>
              </w:rPr>
              <w:t>适用场景</w:t>
            </w:r>
          </w:p>
        </w:tc>
      </w:tr>
      <w:tr>
        <w:tc>
          <w:tcPr>
            <w:tcW w:type="dxa" w:w="1662"/>
          </w:tcPr>
          <w:p>
            <w:r/>
            <w:r>
              <w:rPr>
                <w:rFonts w:ascii="宋体" w:hAnsi="宋体" w:eastAsia="宋体"/>
                <w:sz w:val="20"/>
              </w:rPr>
              <w:t>视觉/凝视</w:t>
            </w:r>
          </w:p>
        </w:tc>
        <w:tc>
          <w:tcPr>
            <w:tcW w:type="dxa" w:w="1662"/>
          </w:tcPr>
          <w:p>
            <w:r/>
            <w:r>
              <w:rPr>
                <w:rFonts w:ascii="宋体" w:hAnsi="宋体" w:eastAsia="宋体"/>
                <w:sz w:val="20"/>
              </w:rPr>
              <w:t>眼动追踪</w:t>
            </w:r>
          </w:p>
        </w:tc>
        <w:tc>
          <w:tcPr>
            <w:tcW w:type="dxa" w:w="1662"/>
          </w:tcPr>
          <w:p>
            <w:r/>
            <w:r>
              <w:rPr>
                <w:rFonts w:ascii="宋体" w:hAnsi="宋体" w:eastAsia="宋体"/>
                <w:sz w:val="20"/>
              </w:rPr>
              <w:t>速度极快、无需手部操作</w:t>
            </w:r>
          </w:p>
        </w:tc>
        <w:tc>
          <w:tcPr>
            <w:tcW w:type="dxa" w:w="1662"/>
          </w:tcPr>
          <w:p>
            <w:r/>
            <w:r>
              <w:rPr>
                <w:rFonts w:ascii="宋体" w:hAnsi="宋体" w:eastAsia="宋体"/>
                <w:sz w:val="20"/>
              </w:rPr>
              <w:t>精度有限、Midas Touch 问题</w:t>
            </w:r>
          </w:p>
        </w:tc>
        <w:tc>
          <w:tcPr>
            <w:tcW w:type="dxa" w:w="1662"/>
          </w:tcPr>
          <w:p>
            <w:r/>
            <w:r>
              <w:rPr>
                <w:rFonts w:ascii="宋体" w:hAnsi="宋体" w:eastAsia="宋体"/>
                <w:sz w:val="20"/>
              </w:rPr>
              <w:t>菜单选择、目标定位</w:t>
            </w:r>
          </w:p>
        </w:tc>
      </w:tr>
      <w:tr>
        <w:tc>
          <w:tcPr>
            <w:tcW w:type="dxa" w:w="1662"/>
          </w:tcPr>
          <w:p>
            <w:r/>
            <w:r>
              <w:rPr>
                <w:rFonts w:ascii="宋体" w:hAnsi="宋体" w:eastAsia="宋体"/>
                <w:sz w:val="20"/>
              </w:rPr>
              <w:t>手势</w:t>
            </w:r>
          </w:p>
        </w:tc>
        <w:tc>
          <w:tcPr>
            <w:tcW w:type="dxa" w:w="1662"/>
          </w:tcPr>
          <w:p>
            <w:r/>
            <w:r>
              <w:rPr>
                <w:rFonts w:ascii="宋体" w:hAnsi="宋体" w:eastAsia="宋体"/>
                <w:sz w:val="20"/>
              </w:rPr>
              <w:t>手部骨骼追踪</w:t>
            </w:r>
          </w:p>
        </w:tc>
        <w:tc>
          <w:tcPr>
            <w:tcW w:type="dxa" w:w="1662"/>
          </w:tcPr>
          <w:p>
            <w:r/>
            <w:r>
              <w:rPr>
                <w:rFonts w:ascii="宋体" w:hAnsi="宋体" w:eastAsia="宋体"/>
                <w:sz w:val="20"/>
              </w:rPr>
              <w:t>直觉自然、无需设备</w:t>
            </w:r>
          </w:p>
        </w:tc>
        <w:tc>
          <w:tcPr>
            <w:tcW w:type="dxa" w:w="1662"/>
          </w:tcPr>
          <w:p>
            <w:r/>
            <w:r>
              <w:rPr>
                <w:rFonts w:ascii="宋体" w:hAnsi="宋体" w:eastAsia="宋体"/>
                <w:sz w:val="20"/>
              </w:rPr>
              <w:t>精度受限、易疲劳</w:t>
            </w:r>
          </w:p>
        </w:tc>
        <w:tc>
          <w:tcPr>
            <w:tcW w:type="dxa" w:w="1662"/>
          </w:tcPr>
          <w:p>
            <w:r/>
            <w:r>
              <w:rPr>
                <w:rFonts w:ascii="宋体" w:hAnsi="宋体" w:eastAsia="宋体"/>
                <w:sz w:val="20"/>
              </w:rPr>
              <w:t>抓取、缩放、旋转</w:t>
            </w:r>
          </w:p>
        </w:tc>
      </w:tr>
      <w:tr>
        <w:tc>
          <w:tcPr>
            <w:tcW w:type="dxa" w:w="1662"/>
          </w:tcPr>
          <w:p>
            <w:r/>
            <w:r>
              <w:rPr>
                <w:rFonts w:ascii="宋体" w:hAnsi="宋体" w:eastAsia="宋体"/>
                <w:sz w:val="20"/>
              </w:rPr>
              <w:t>语音</w:t>
            </w:r>
          </w:p>
        </w:tc>
        <w:tc>
          <w:tcPr>
            <w:tcW w:type="dxa" w:w="1662"/>
          </w:tcPr>
          <w:p>
            <w:r/>
            <w:r>
              <w:rPr>
                <w:rFonts w:ascii="宋体" w:hAnsi="宋体" w:eastAsia="宋体"/>
                <w:sz w:val="20"/>
              </w:rPr>
              <w:t>麦克风+ASR</w:t>
            </w:r>
          </w:p>
        </w:tc>
        <w:tc>
          <w:tcPr>
            <w:tcW w:type="dxa" w:w="1662"/>
          </w:tcPr>
          <w:p>
            <w:r/>
            <w:r>
              <w:rPr>
                <w:rFonts w:ascii="宋体" w:hAnsi="宋体" w:eastAsia="宋体"/>
                <w:sz w:val="20"/>
              </w:rPr>
              <w:t>远距离操作、复杂指令</w:t>
            </w:r>
          </w:p>
        </w:tc>
        <w:tc>
          <w:tcPr>
            <w:tcW w:type="dxa" w:w="1662"/>
          </w:tcPr>
          <w:p>
            <w:r/>
            <w:r>
              <w:rPr>
                <w:rFonts w:ascii="宋体" w:hAnsi="宋体" w:eastAsia="宋体"/>
                <w:sz w:val="20"/>
              </w:rPr>
              <w:t>噪声敏感、隐私顾虑</w:t>
            </w:r>
          </w:p>
        </w:tc>
        <w:tc>
          <w:tcPr>
            <w:tcW w:type="dxa" w:w="1662"/>
          </w:tcPr>
          <w:p>
            <w:r/>
            <w:r>
              <w:rPr>
                <w:rFonts w:ascii="宋体" w:hAnsi="宋体" w:eastAsia="宋体"/>
                <w:sz w:val="20"/>
              </w:rPr>
              <w:t>导览讲解、搜索查询</w:t>
            </w:r>
          </w:p>
        </w:tc>
      </w:tr>
      <w:tr>
        <w:tc>
          <w:tcPr>
            <w:tcW w:type="dxa" w:w="1662"/>
          </w:tcPr>
          <w:p>
            <w:r/>
            <w:r>
              <w:rPr>
                <w:rFonts w:ascii="宋体" w:hAnsi="宋体" w:eastAsia="宋体"/>
                <w:sz w:val="20"/>
              </w:rPr>
              <w:t>触觉</w:t>
            </w:r>
          </w:p>
        </w:tc>
        <w:tc>
          <w:tcPr>
            <w:tcW w:type="dxa" w:w="1662"/>
          </w:tcPr>
          <w:p>
            <w:r/>
            <w:r>
              <w:rPr>
                <w:rFonts w:ascii="宋体" w:hAnsi="宋体" w:eastAsia="宋体"/>
                <w:sz w:val="20"/>
              </w:rPr>
              <w:t>手柄振动/力反馈</w:t>
            </w:r>
          </w:p>
        </w:tc>
        <w:tc>
          <w:tcPr>
            <w:tcW w:type="dxa" w:w="1662"/>
          </w:tcPr>
          <w:p>
            <w:r/>
            <w:r>
              <w:rPr>
                <w:rFonts w:ascii="宋体" w:hAnsi="宋体" w:eastAsia="宋体"/>
                <w:sz w:val="20"/>
              </w:rPr>
              <w:t>物理反馈真实</w:t>
            </w:r>
          </w:p>
        </w:tc>
        <w:tc>
          <w:tcPr>
            <w:tcW w:type="dxa" w:w="1662"/>
          </w:tcPr>
          <w:p>
            <w:r/>
            <w:r>
              <w:rPr>
                <w:rFonts w:ascii="宋体" w:hAnsi="宋体" w:eastAsia="宋体"/>
                <w:sz w:val="20"/>
              </w:rPr>
              <w:t>设备依赖、范围受限</w:t>
            </w:r>
          </w:p>
        </w:tc>
        <w:tc>
          <w:tcPr>
            <w:tcW w:type="dxa" w:w="1662"/>
          </w:tcPr>
          <w:p>
            <w:r/>
            <w:r>
              <w:rPr>
                <w:rFonts w:ascii="宋体" w:hAnsi="宋体" w:eastAsia="宋体"/>
                <w:sz w:val="20"/>
              </w:rPr>
              <w:t>精细操作、物理交互</w:t>
            </w:r>
          </w:p>
        </w:tc>
      </w:tr>
      <w:tr>
        <w:tc>
          <w:tcPr>
            <w:tcW w:type="dxa" w:w="1662"/>
          </w:tcPr>
          <w:p>
            <w:r/>
            <w:r>
              <w:rPr>
                <w:rFonts w:ascii="宋体" w:hAnsi="宋体" w:eastAsia="宋体"/>
                <w:sz w:val="20"/>
              </w:rPr>
              <w:t>体感</w:t>
            </w:r>
          </w:p>
        </w:tc>
        <w:tc>
          <w:tcPr>
            <w:tcW w:type="dxa" w:w="1662"/>
          </w:tcPr>
          <w:p>
            <w:r/>
            <w:r>
              <w:rPr>
                <w:rFonts w:ascii="宋体" w:hAnsi="宋体" w:eastAsia="宋体"/>
                <w:sz w:val="20"/>
              </w:rPr>
              <w:t>身体追踪</w:t>
            </w:r>
          </w:p>
        </w:tc>
        <w:tc>
          <w:tcPr>
            <w:tcW w:type="dxa" w:w="1662"/>
          </w:tcPr>
          <w:p>
            <w:r/>
            <w:r>
              <w:rPr>
                <w:rFonts w:ascii="宋体" w:hAnsi="宋体" w:eastAsia="宋体"/>
                <w:sz w:val="20"/>
              </w:rPr>
              <w:t>全身参与、运动式交互</w:t>
            </w:r>
          </w:p>
        </w:tc>
        <w:tc>
          <w:tcPr>
            <w:tcW w:type="dxa" w:w="1662"/>
          </w:tcPr>
          <w:p>
            <w:r/>
            <w:r>
              <w:rPr>
                <w:rFonts w:ascii="宋体" w:hAnsi="宋体" w:eastAsia="宋体"/>
                <w:sz w:val="20"/>
              </w:rPr>
              <w:t>空间需求大、安全风险</w:t>
            </w:r>
          </w:p>
        </w:tc>
        <w:tc>
          <w:tcPr>
            <w:tcW w:type="dxa" w:w="1662"/>
          </w:tcPr>
          <w:p>
            <w:r/>
            <w:r>
              <w:rPr>
                <w:rFonts w:ascii="宋体" w:hAnsi="宋体" w:eastAsia="宋体"/>
                <w:sz w:val="20"/>
              </w:rPr>
              <w:t>运动、舞蹈、康复</w:t>
            </w:r>
          </w:p>
        </w:tc>
      </w:tr>
      <w:tr>
        <w:tc>
          <w:tcPr>
            <w:tcW w:type="dxa" w:w="1662"/>
          </w:tcPr>
          <w:p>
            <w:r/>
            <w:r>
              <w:rPr>
                <w:rFonts w:ascii="宋体" w:hAnsi="宋体" w:eastAsia="宋体"/>
                <w:sz w:val="20"/>
              </w:rPr>
              <w:t>脑机</w:t>
            </w:r>
          </w:p>
        </w:tc>
        <w:tc>
          <w:tcPr>
            <w:tcW w:type="dxa" w:w="1662"/>
          </w:tcPr>
          <w:p>
            <w:r/>
            <w:r>
              <w:rPr>
                <w:rFonts w:ascii="宋体" w:hAnsi="宋体" w:eastAsia="宋体"/>
                <w:sz w:val="20"/>
              </w:rPr>
              <w:t>EEG 头带</w:t>
            </w:r>
          </w:p>
        </w:tc>
        <w:tc>
          <w:tcPr>
            <w:tcW w:type="dxa" w:w="1662"/>
          </w:tcPr>
          <w:p>
            <w:r/>
            <w:r>
              <w:rPr>
                <w:rFonts w:ascii="宋体" w:hAnsi="宋体" w:eastAsia="宋体"/>
                <w:sz w:val="20"/>
              </w:rPr>
              <w:t>意念控制、零运动</w:t>
            </w:r>
          </w:p>
        </w:tc>
        <w:tc>
          <w:tcPr>
            <w:tcW w:type="dxa" w:w="1662"/>
          </w:tcPr>
          <w:p>
            <w:r/>
            <w:r>
              <w:rPr>
                <w:rFonts w:ascii="宋体" w:hAnsi="宋体" w:eastAsia="宋体"/>
                <w:sz w:val="20"/>
              </w:rPr>
              <w:t>精度极低、速度慢</w:t>
            </w:r>
          </w:p>
        </w:tc>
        <w:tc>
          <w:tcPr>
            <w:tcW w:type="dxa" w:w="1662"/>
          </w:tcPr>
          <w:p>
            <w:r/>
            <w:r>
              <w:rPr>
                <w:rFonts w:ascii="宋体" w:hAnsi="宋体" w:eastAsia="宋体"/>
                <w:sz w:val="20"/>
              </w:rPr>
              <w:t>辅助交互、专注力训练</w:t>
            </w:r>
          </w:p>
        </w:tc>
      </w:tr>
    </w:tbl>
    <w:p/>
    <w:p/>
    <w:p>
      <w:pPr>
        <w:ind w:firstLine="482"/>
      </w:pPr>
      <w:r>
        <w:rPr>
          <w:rFonts w:ascii="宋体" w:hAnsi="宋体" w:eastAsia="宋体"/>
          <w:sz w:val="24"/>
        </w:rPr>
        <w:t>在文旅 VR/AR 场景中，不同模态的选择应基于场景特性和用户行为分析。景区户外 AR 导览场景中，用户双手可能持有手机或背包，语音交互和凝视交互是更实际的选择——用户说出"告诉我这个建筑的历史"或注视建筑几秒触发信息展示。博物馆 VR 展厅场景中，用户处于安全受控的室内空间且通常空手，手势交互可以提供更丰富的操作维度——用户可以用手势"拿起"虚拟文物旋转查看、"拉开"虚拟抽屉查看内部藏品。多人协同 VR 体验中，语音交互是社交沟通的基础通道，手势和表情捕捉则增强了非语言社交信号的传递。</w:t>
      </w:r>
    </w:p>
    <w:p/>
    <w:p>
      <w:pPr>
        <w:ind w:firstLine="482"/>
      </w:pPr>
      <w:r>
        <w:rPr>
          <w:rFonts w:ascii="宋体" w:hAnsi="宋体" w:eastAsia="宋体"/>
          <w:sz w:val="24"/>
        </w:rPr>
        <w:t>模态选择还应考虑用户群体的技术素养差异。面向老年游客的文旅 VR 应用应优先使用语音和凝视等"零学习成本"的交互模态，避免需要精确手势操作的复杂交互。面向年轻学生群体的教育 VR 应用可以大胆使用手势、多模态融合等高级交互方式。崔文铮在其交互设计研究中指出，VR 交互设计的核心挑战在于平衡"自然性"与"精确性"——越自然的交互方式往往精度越低，而越精确的交互方式往往直觉性越差[17]。林一等人基于心智模型理论设计的 VR/AR 混合式移动导览系统用户体验方案强调，交互设计应匹配用户已有的心智模型——用户在现实世界中如何与类似物体交互，VR/AR 中就应该提供类似的交互方式[14]。</w:t>
      </w:r>
    </w:p>
    <w:p/>
    <w:p>
      <w:pPr>
        <w:pStyle w:val="Heading3"/>
      </w:pPr>
      <w:r>
        <w:t>5.1.2 多模态融合理论</w:t>
      </w:r>
    </w:p>
    <w:p/>
    <w:p>
      <w:pPr>
        <w:ind w:firstLine="482"/>
      </w:pPr>
      <w:r>
        <w:rPr>
          <w:rFonts w:ascii="宋体" w:hAnsi="宋体" w:eastAsia="宋体"/>
          <w:sz w:val="24"/>
        </w:rPr>
        <w:t>多模态融合（Multimodal Fusion）是指系统同时处理来自多个输入模态的信息，将其整合为统一的交互意图理解。融合策略分为两个层级[2]：</w:t>
      </w:r>
    </w:p>
    <w:p/>
    <w:p>
      <w:pPr>
        <w:ind w:firstLine="482"/>
      </w:pPr>
      <w:r>
        <w:rPr>
          <w:rFonts w:ascii="宋体" w:hAnsi="宋体" w:eastAsia="宋体"/>
          <w:b/>
          <w:sz w:val="24"/>
        </w:rPr>
        <w:t>特征级融合</w:t>
      </w:r>
      <w:r>
        <w:rPr>
          <w:rFonts w:ascii="宋体" w:hAnsi="宋体" w:eastAsia="宋体"/>
          <w:sz w:val="24"/>
        </w:rPr>
        <w:t>在信号处理阶段将不同模态的原始数据（如手部骨骼坐标、语音特征向量、眼动注视点）合并为统一特征向量，输入到机器学习模型中进行意图分类。这种方式能够捕捉模态间的细微关联，但计算复杂度高且需要大量训练数据。</w:t>
      </w:r>
    </w:p>
    <w:p/>
    <w:p>
      <w:pPr>
        <w:ind w:firstLine="482"/>
      </w:pPr>
      <w:r>
        <w:rPr>
          <w:rFonts w:ascii="宋体" w:hAnsi="宋体" w:eastAsia="宋体"/>
          <w:b/>
          <w:sz w:val="24"/>
        </w:rPr>
        <w:t>决策级融合</w:t>
      </w:r>
      <w:r>
        <w:rPr>
          <w:rFonts w:ascii="宋体" w:hAnsi="宋体" w:eastAsia="宋体"/>
          <w:sz w:val="24"/>
        </w:rPr>
        <w:t>在各模态独立完成意图识别后，将各模态的识别结果通过投票、加权或贝叶斯推理等方式合并为最终决策。这种方式实现简单、模块化程度高，是目前 VR/AR 多模态交互的主流方案。</w:t>
      </w:r>
    </w:p>
    <w:p/>
    <w:p>
      <w:pPr>
        <w:ind w:firstLine="482"/>
      </w:pPr>
      <w:r>
        <w:rPr>
          <w:rFonts w:ascii="宋体" w:hAnsi="宋体" w:eastAsia="宋体"/>
          <w:sz w:val="24"/>
        </w:rPr>
        <w:t>Pallasena 等人采用设计科学研究（DSR）方法研究了 AR 交互中的视觉画布和沉浸感问题，提出了多模态交互设计的分层架构——感知层（传感器数据采集）、理解层（意图识别与融合）、反馈层（多感官输出生成）[3]。这一架构为 VR/AR 多模态交互系统的工程实现提供了清晰的模块化框架。</w:t>
      </w:r>
    </w:p>
    <w:p/>
    <w:p>
      <w:pPr>
        <w:pStyle w:val="Heading3"/>
      </w:pPr>
      <w:r>
        <w:t>5.1.3 VR/AR 交互设计原则</w:t>
      </w:r>
    </w:p>
    <w:p/>
    <w:p>
      <w:pPr>
        <w:ind w:firstLine="482"/>
      </w:pPr>
      <w:r>
        <w:rPr>
          <w:rFonts w:ascii="宋体" w:hAnsi="宋体" w:eastAsia="宋体"/>
          <w:b/>
          <w:sz w:val="24"/>
        </w:rPr>
        <w:t>Fitts 定律在 3D 中的修正</w:t>
      </w:r>
      <w:r>
        <w:rPr>
          <w:rFonts w:ascii="宋体" w:hAnsi="宋体" w:eastAsia="宋体"/>
          <w:sz w:val="24"/>
        </w:rPr>
        <w:t>。经典 Fitts 定律描述了 2D 界面中目标选择时间与目标大小和距离的关系：MT = a + b·log2(2D/W)，其中 D 为距离、W 为目标宽度。在 3D VR/AR 环境中，Fitts 定律需要修正——深度维度（Z 轴）的引入使目标选择变为三维问题。研究表明，3D Fitts 定律中的有效目标宽度应考虑深度方向的投影面积，且深度感知的精度低于水平/垂直方向，导致深度方向的目标选择时间更长[4]。这一发现对 VR 界面设计有直接指导意义：重要的交互目标应尽量放置在用户的正前方（水平面内），避免放置在过远或过近的深度位置。</w:t>
      </w:r>
    </w:p>
    <w:p/>
    <w:p>
      <w:pPr>
        <w:ind w:firstLine="482"/>
      </w:pPr>
      <w:r>
        <w:rPr>
          <w:rFonts w:ascii="宋体" w:hAnsi="宋体" w:eastAsia="宋体"/>
          <w:b/>
          <w:sz w:val="24"/>
        </w:rPr>
        <w:t>格式塔原理在 3D 中的适用性</w:t>
      </w:r>
      <w:r>
        <w:rPr>
          <w:rFonts w:ascii="宋体" w:hAnsi="宋体" w:eastAsia="宋体"/>
          <w:sz w:val="24"/>
        </w:rPr>
        <w:t>。MacNamara 评估了格式塔感知原理在 VR 用户界面设计中的有效性，发现接近性、相似性和连续性原理在 3D 空间中仍然有效，但闭合性和图地关系在立体视觉下表现不同——3D 空间中的深度线索成为额外的图地分离因素[5]。VR 界面设计应利用深度分层来组织信息层级，将主要交互元素放置在前层，辅助信息放置在后层。</w:t>
      </w:r>
    </w:p>
    <w:p/>
    <w:p>
      <w:pPr>
        <w:ind w:firstLine="482"/>
      </w:pPr>
      <w:r>
        <w:rPr>
          <w:rFonts w:ascii="宋体" w:hAnsi="宋体" w:eastAsia="宋体"/>
          <w:b/>
          <w:sz w:val="24"/>
        </w:rPr>
        <w:t>自然交互原则</w:t>
      </w:r>
      <w:r>
        <w:rPr>
          <w:rFonts w:ascii="宋体" w:hAnsi="宋体" w:eastAsia="宋体"/>
          <w:sz w:val="24"/>
        </w:rPr>
        <w:t>。Rubio-Tamayo 等人的系统性综述指出，沉浸式环境的交互设计应遵循三个基本原则：通信一致性（交互反馈与用户预期一致）、交互可发现性（用户能够通过探索发现可用交互）、模拟真实性（虚拟物体的物理行为符合现实规律）[2]。</w:t>
      </w:r>
    </w:p>
    <w:p/>
    <w:p>
      <w:pPr>
        <w:pStyle w:val="Heading3"/>
      </w:pPr>
      <w:r>
        <w:t>5.1.4 交互设计评估方法</w:t>
      </w:r>
    </w:p>
    <w:p/>
    <w:p>
      <w:pPr>
        <w:ind w:firstLine="482"/>
      </w:pPr>
      <w:r>
        <w:rPr>
          <w:rFonts w:ascii="宋体" w:hAnsi="宋体" w:eastAsia="宋体"/>
          <w:sz w:val="24"/>
        </w:rPr>
        <w:t>VR/AR 交互设计的评估应采用多维度方法组合[6]：</w:t>
      </w:r>
    </w:p>
    <w:p/>
    <w:p>
      <w:pPr>
        <w:ind w:firstLine="482"/>
      </w:pPr>
      <w:r>
        <w:rPr>
          <w:rFonts w:ascii="宋体" w:hAnsi="宋体" w:eastAsia="宋体"/>
          <w:b/>
          <w:sz w:val="24"/>
        </w:rPr>
        <w:t>任务完成率（Task Completion Rate）</w:t>
      </w:r>
      <w:r>
        <w:rPr>
          <w:rFonts w:ascii="宋体" w:hAnsi="宋体" w:eastAsia="宋体"/>
          <w:sz w:val="24"/>
        </w:rPr>
        <w:t>是最基本的可用性指标，反映用户能否成功完成指定交互任务。通常以百分比表示，低于 90% 的任务完成率表明交互设计存在可用性问题。</w:t>
      </w:r>
    </w:p>
    <w:p/>
    <w:p>
      <w:pPr>
        <w:ind w:firstLine="482"/>
      </w:pPr>
      <w:r>
        <w:rPr>
          <w:rFonts w:ascii="宋体" w:hAnsi="宋体" w:eastAsia="宋体"/>
          <w:b/>
          <w:sz w:val="24"/>
        </w:rPr>
        <w:t>任务完成时间（Task Completion Time）</w:t>
      </w:r>
      <w:r>
        <w:rPr>
          <w:rFonts w:ascii="宋体" w:hAnsi="宋体" w:eastAsia="宋体"/>
          <w:sz w:val="24"/>
        </w:rPr>
        <w:t>反映交互效率。应与专家用户的基准时间对比，如果普通用户的完成时间超过专家基准的 2 倍，说明交互流程需要简化。</w:t>
      </w:r>
    </w:p>
    <w:p/>
    <w:p>
      <w:pPr>
        <w:ind w:firstLine="482"/>
      </w:pPr>
      <w:r>
        <w:rPr>
          <w:rFonts w:ascii="宋体" w:hAnsi="宋体" w:eastAsia="宋体"/>
          <w:b/>
          <w:sz w:val="24"/>
        </w:rPr>
        <w:t>系统可用性量表（System Usability Scale, SUS）</w:t>
      </w:r>
      <w:r>
        <w:rPr>
          <w:rFonts w:ascii="宋体" w:hAnsi="宋体" w:eastAsia="宋体"/>
          <w:sz w:val="24"/>
        </w:rPr>
        <w:t>是包含 10 个条目的标准化问卷，总分 0-100 分，68 分为及格线。SUS 适用于各种交互系统的快速可用性评估。</w:t>
      </w:r>
    </w:p>
    <w:p/>
    <w:p>
      <w:pPr>
        <w:ind w:firstLine="482"/>
      </w:pPr>
      <w:r>
        <w:rPr>
          <w:rFonts w:ascii="宋体" w:hAnsi="宋体" w:eastAsia="宋体"/>
          <w:b/>
          <w:sz w:val="24"/>
        </w:rPr>
        <w:t>NASA-TLX 量表</w:t>
      </w:r>
      <w:r>
        <w:rPr>
          <w:rFonts w:ascii="宋体" w:hAnsi="宋体" w:eastAsia="宋体"/>
          <w:sz w:val="24"/>
        </w:rPr>
        <w:t>评估认知负荷，包含心理需求、体力需求、时间压力、努力程度、挫败感和绩效自我评价六个维度。VR 交互的认知负荷评估对于预防用户疲劳和眩晕尤为重要。</w:t>
      </w:r>
    </w:p>
    <w:p/>
    <w:p>
      <w:pPr>
        <w:ind w:firstLine="482"/>
      </w:pPr>
      <w:r>
        <w:rPr>
          <w:rFonts w:ascii="宋体" w:hAnsi="宋体" w:eastAsia="宋体"/>
          <w:b/>
          <w:sz w:val="24"/>
        </w:rPr>
        <w:t>眼动分析</w:t>
      </w:r>
      <w:r>
        <w:rPr>
          <w:rFonts w:ascii="宋体" w:hAnsi="宋体" w:eastAsia="宋体"/>
          <w:sz w:val="24"/>
        </w:rPr>
        <w:t>通过注视热点图和扫视轨迹分析用户在交互过程中的注意力分布，识别界面中的认知瓶颈和视觉干扰。</w:t>
      </w:r>
    </w:p>
    <w:p/>
    <w:p>
      <w:pPr>
        <w:ind w:firstLine="482"/>
      </w:pPr>
      <w:r>
        <w:rPr>
          <w:rFonts w:ascii="宋体" w:hAnsi="宋体" w:eastAsia="宋体"/>
          <w:sz w:val="24"/>
        </w:rPr>
        <w:t>Al-Obaidi 和 Prince 在研究中提出了 AR 教育应用的可用性设计原则，强调了任务适配性（交互方式与任务类型匹配）、反馈即时性（每次交互操作应在 100ms 内产生可见反馈）和容错性（系统应允许用户撤销错误操作）三个关键维度[7]。这些原则对文旅 VR/AR 交互设计同样适用。</w:t>
      </w:r>
    </w:p>
    <w:p/>
    <w:p>
      <w:pPr>
        <w:ind w:firstLine="482"/>
      </w:pPr>
      <w:r>
        <w:rPr>
          <w:rFonts w:ascii="宋体" w:hAnsi="宋体" w:eastAsia="宋体"/>
          <w:sz w:val="24"/>
        </w:rPr>
        <w:t>在 VR/AR 交互评估的实际操作中，应注意以下方法论要点。第一，被试招募应覆盖目标用户群体的多样性——如果 VR 应用面向全年龄段游客，评估被试不应仅限于大学生。第二，评估环境应尽量模拟真实使用场景——在实验室中评估的交互体验可能因环境过于理想而掩盖真实使用中的问题。第三，应同时采集客观数据（任务完成率、时间、错误率）和主观数据（SUS、NASA-TLX、访谈），两类数据互补才能全面反映交互质量。第四，长期使用效应不可忽视——首次使用的印象可能与长期使用后不同，建议进行至少两次评估（首次使用后和累计使用 2 小时后），比较交互体验随使用熟练度的变化。</w:t>
      </w:r>
    </w:p>
    <w:p/>
    <w:p>
      <w:pPr>
        <w:ind w:firstLine="482"/>
      </w:pPr>
      <w:r>
        <w:rPr>
          <w:rFonts w:ascii="宋体" w:hAnsi="宋体" w:eastAsia="宋体"/>
          <w:sz w:val="24"/>
        </w:rPr>
        <w:t>张旭在其用户体验驱动的交互式虚拟展示设计研究中，提出了"体验-评估-迭代"的闭环设计方法论[6]。该方法论强调交互设计不是一次性的工作，而是一个持续迭代的过程——设计→评估→发现问题→修改设计→再评估→再修改。每一次迭代都应以用户评估数据为依据，而非设计师的主观判断。在文旅 VR 项目中，建议至少进行 3 轮迭代评估：第1轮在原型阶段（白盒+基础交互），验证交互概念可行性；第2轮在功能完成阶段（完整内容+交互），验证任务可用性；第3轮在发布前阶段（优化+完整体验），验证整体用户体验质量。</w:t>
      </w:r>
    </w:p>
    <w:p/>
    <w:p>
      <w:pPr>
        <w:pStyle w:val="Heading2"/>
      </w:pPr>
      <w:r>
        <w:t>5.2 手势与手部交互</w:t>
      </w:r>
    </w:p>
    <w:p/>
    <w:p>
      <w:pPr>
        <w:pStyle w:val="Heading3"/>
      </w:pPr>
      <w:r>
        <w:t>5.2.1 手势识别技术原理</w:t>
      </w:r>
    </w:p>
    <w:p/>
    <w:p>
      <w:pPr>
        <w:ind w:firstLine="482"/>
      </w:pPr>
      <w:r>
        <w:rPr>
          <w:rFonts w:ascii="宋体" w:hAnsi="宋体" w:eastAsia="宋体"/>
          <w:sz w:val="24"/>
        </w:rPr>
        <w:t>手势识别技术分为基于骨骼的方法和基于深度学习的方法两类[8]。</w:t>
      </w:r>
    </w:p>
    <w:p/>
    <w:p>
      <w:pPr>
        <w:ind w:firstLine="482"/>
      </w:pPr>
      <w:r>
        <w:rPr>
          <w:rFonts w:ascii="宋体" w:hAnsi="宋体" w:eastAsia="宋体"/>
          <w:b/>
          <w:sz w:val="24"/>
        </w:rPr>
        <w:t>基于骨骼的方法</w:t>
      </w:r>
      <w:r>
        <w:rPr>
          <w:rFonts w:ascii="宋体" w:hAnsi="宋体" w:eastAsia="宋体"/>
          <w:sz w:val="24"/>
        </w:rPr>
        <w:t>通过手部骨骼模型追踪 21 个关键点的三维坐标，通过分析关键点之间的角度和距离关系识别手势。例如，"握拳"手势的判定条件是所有手指的指尖到掌心的距离小于阈值；"捏合"手势的判定条件是拇指指尖与食指指尖的距离小于阈值。这种方法计算效率高、可解释性强，是目前消费级 VR 手势追踪的主流方案。</w:t>
      </w:r>
    </w:p>
    <w:p/>
    <w:p>
      <w:pPr>
        <w:ind w:firstLine="482"/>
      </w:pPr>
      <w:r>
        <w:rPr>
          <w:rFonts w:ascii="宋体" w:hAnsi="宋体" w:eastAsia="宋体"/>
          <w:b/>
          <w:sz w:val="24"/>
        </w:rPr>
        <w:t>基于深度学习的方法</w:t>
      </w:r>
      <w:r>
        <w:rPr>
          <w:rFonts w:ascii="宋体" w:hAnsi="宋体" w:eastAsia="宋体"/>
          <w:sz w:val="24"/>
        </w:rPr>
        <w:t>直接从 RGB 或深度图像中端到端地识别手部姿态，通常使用卷积神经网络（CNN）或 Transformer 架构。这种方法能够识别更复杂的手势和手部动作，但计算量大且需要大量训练数据。MediaPipe Hands 是 Google 开源的跨平台手部追踪方案，采用轻量级 CNN 模型在移动设备上实现实时 21 关键点手部追踪。</w:t>
      </w:r>
    </w:p>
    <w:p/>
    <w:p>
      <w:pPr>
        <w:pStyle w:val="Heading3"/>
      </w:pPr>
      <w:r>
        <w:t>5.2.2 手势交互设计模式</w:t>
      </w:r>
    </w:p>
    <w:p/>
    <w:p>
      <w:pPr>
        <w:ind w:firstLine="482"/>
      </w:pPr>
      <w:r>
        <w:rPr>
          <w:rFonts w:ascii="宋体" w:hAnsi="宋体" w:eastAsia="宋体"/>
          <w:sz w:val="24"/>
        </w:rPr>
        <w:t>VR/AR 中的手势交互设计模式可归纳为以下几类[8]：</w:t>
      </w:r>
    </w:p>
    <w:p/>
    <w:p>
      <w:pPr>
        <w:ind w:firstLine="482"/>
      </w:pPr>
      <w:r>
        <w:rPr>
          <w:rFonts w:ascii="宋体" w:hAnsi="宋体" w:eastAsia="宋体"/>
          <w:b/>
          <w:sz w:val="24"/>
        </w:rPr>
        <w:t>抓取与释放（Grab &amp; Release）</w:t>
      </w:r>
      <w:r>
        <w:rPr>
          <w:rFonts w:ascii="宋体" w:hAnsi="宋体" w:eastAsia="宋体"/>
          <w:sz w:val="24"/>
        </w:rPr>
        <w:t>：用户做出握拳动作抓取虚拟物体，松开手指释放物体。这是最基本也最直觉的手势交互模式。在文旅场景中，抓取交互可用于虚拟文物鉴赏——用户"拿起"虚拟文物自由旋转查看。</w:t>
      </w:r>
    </w:p>
    <w:p/>
    <w:p>
      <w:pPr>
        <w:ind w:firstLine="482"/>
      </w:pPr>
      <w:r>
        <w:rPr>
          <w:rFonts w:ascii="宋体" w:hAnsi="宋体" w:eastAsia="宋体"/>
          <w:b/>
          <w:sz w:val="24"/>
        </w:rPr>
        <w:t>缩放与旋转（Scale &amp; Rotate）</w:t>
      </w:r>
      <w:r>
        <w:rPr>
          <w:rFonts w:ascii="宋体" w:hAnsi="宋体" w:eastAsia="宋体"/>
          <w:sz w:val="24"/>
        </w:rPr>
        <w:t>：双手分别抓取物体的两个点，通过双手距离变化缩放物体，通过双手相对旋转转动物体。这种双手交互比单手交互更加自然和精确。</w:t>
      </w:r>
    </w:p>
    <w:p/>
    <w:p>
      <w:pPr>
        <w:ind w:firstLine="482"/>
      </w:pPr>
      <w:r>
        <w:rPr>
          <w:rFonts w:ascii="宋体" w:hAnsi="宋体" w:eastAsia="宋体"/>
          <w:b/>
          <w:sz w:val="24"/>
        </w:rPr>
        <w:t>指向与选择（Point &amp; Select）</w:t>
      </w:r>
      <w:r>
        <w:rPr>
          <w:rFonts w:ascii="宋体" w:hAnsi="宋体" w:eastAsia="宋体"/>
          <w:sz w:val="24"/>
        </w:rPr>
        <w:t>：用户伸出食指指向虚拟物体，通过食指与物体的射线交叉检测实现选择。这种模式适合远距离目标选择——用户无需走到物体旁边即可选择远处的虚拟对象。</w:t>
      </w:r>
    </w:p>
    <w:p/>
    <w:p>
      <w:pPr>
        <w:ind w:firstLine="482"/>
      </w:pPr>
      <w:r>
        <w:rPr>
          <w:rFonts w:ascii="宋体" w:hAnsi="宋体" w:eastAsia="宋体"/>
          <w:b/>
          <w:sz w:val="24"/>
        </w:rPr>
        <w:t>捏合与拖拽（Pinch &amp; Drag）</w:t>
      </w:r>
      <w:r>
        <w:rPr>
          <w:rFonts w:ascii="宋体" w:hAnsi="宋体" w:eastAsia="宋体"/>
          <w:sz w:val="24"/>
        </w:rPr>
        <w:t>：拇指与食指捏合触发选择，保持捏合并移动手指进行拖拽。Meta Quest 的手部追踪界面大量使用这种模式，因为它在小范围内精确且不易疲劳。</w:t>
      </w:r>
    </w:p>
    <w:p/>
    <w:p>
      <w:pPr>
        <w:ind w:firstLine="482"/>
      </w:pPr>
      <w:r>
        <w:rPr>
          <w:rFonts w:ascii="宋体" w:hAnsi="宋体" w:eastAsia="宋体"/>
          <w:b/>
          <w:sz w:val="24"/>
        </w:rPr>
        <w:t>手掌推拒（Palm Push）</w:t>
      </w:r>
      <w:r>
        <w:rPr>
          <w:rFonts w:ascii="宋体" w:hAnsi="宋体" w:eastAsia="宋体"/>
          <w:sz w:val="24"/>
        </w:rPr>
        <w:t>：手掌朝前推向虚拟界面，类似于推动物理按钮。这种模式利用了人类对"推"这一动作的本能理解，适合确认/取消类操作。</w:t>
      </w:r>
    </w:p>
    <w:p/>
    <w:p>
      <w:pPr>
        <w:ind w:firstLine="482"/>
      </w:pPr>
      <w:r>
        <w:rPr>
          <w:rFonts w:ascii="宋体" w:hAnsi="宋体" w:eastAsia="宋体"/>
          <w:sz w:val="24"/>
        </w:rPr>
        <w:t>在文旅 VR 场景中，手势交互设计需要特别考虑"手势可发现性"问题——用户如何知道哪些手势是可用的？解决策略包括：（1）引导教程——在体验开始时通过图文或动画展示可用手势及其效果；（2）悬浮提示——当用户的手靠近可交互物体时，显示对应手势的图标提示（如"握拳拿起"图标）；（3）试错容忍——即使用户执行了错误手势，系统也应给出温和的反馈而非惩罚性反馈，引导用户尝试正确的手势。</w:t>
      </w:r>
    </w:p>
    <w:p/>
    <w:p>
      <w:pPr>
        <w:ind w:firstLine="482"/>
      </w:pPr>
      <w:r>
        <w:rPr>
          <w:rFonts w:ascii="宋体" w:hAnsi="宋体" w:eastAsia="宋体"/>
          <w:sz w:val="24"/>
        </w:rPr>
        <w:t>张加明在研究中探讨了 VR 中"无限行走空间"的交互设计问题，指出在有限的物理空间中模拟无限虚拟空间需要巧妙的交互设计——通过重定向行走技术，利用人类感知阈值的局限，在有限空间中创造无限行走的错觉[15]。这一技术对手势交互设计的影响在于：当用户在重定向行走过程中被要求执行手势操作时，系统需要同时处理行走追踪和手势识别，对多任务并行的交互架构提出了更高要求。张智明的研究则关注了虚拟现实环境中动画角色的交互设计，指出虚拟角色对用户手势的响应动画需要具有物理合理性——角色应该"看向"用户的手而非"穿透"用户的手，"接过"用户递来的物体而非"凭空消失"[16]。这些细节直接影响用户对交互自然性的感知。</w:t>
      </w:r>
    </w:p>
    <w:p/>
    <w:p>
      <w:pPr>
        <w:pStyle w:val="Heading3"/>
      </w:pPr>
      <w:r>
        <w:t>5.2.3 触觉反馈集成</w:t>
      </w:r>
    </w:p>
    <w:p/>
    <w:p>
      <w:pPr>
        <w:ind w:firstLine="482"/>
      </w:pPr>
      <w:r>
        <w:rPr>
          <w:rFonts w:ascii="宋体" w:hAnsi="宋体" w:eastAsia="宋体"/>
          <w:sz w:val="24"/>
        </w:rPr>
        <w:t>手势交互的"空中操作"缺少物理触感——用户的手在抓取虚拟物体时不会遇到任何阻力，这种"穿物"感破坏了沉浸感。触觉反馈的集成方式包括[8]：</w:t>
      </w:r>
    </w:p>
    <w:p/>
    <w:p>
      <w:pPr>
        <w:ind w:firstLine="482"/>
      </w:pPr>
      <w:r>
        <w:rPr>
          <w:rFonts w:ascii="宋体" w:hAnsi="宋体" w:eastAsia="宋体"/>
          <w:b/>
          <w:sz w:val="24"/>
        </w:rPr>
        <w:t>手柄振动反馈</w:t>
      </w:r>
      <w:r>
        <w:rPr>
          <w:rFonts w:ascii="宋体" w:hAnsi="宋体" w:eastAsia="宋体"/>
          <w:sz w:val="24"/>
        </w:rPr>
        <w:t>：当手势识别检测到"抓取"事件时，触发手柄振动，模拟触碰物体时的触感。虽然手柄振动无法模拟物体的形状和硬度，但能够提供"接触确认"信号，显著提升交互的确定性。</w:t>
      </w:r>
    </w:p>
    <w:p/>
    <w:p>
      <w:pPr>
        <w:ind w:firstLine="482"/>
      </w:pPr>
      <w:r>
        <w:rPr>
          <w:rFonts w:ascii="宋体" w:hAnsi="宋体" w:eastAsia="宋体"/>
          <w:b/>
          <w:sz w:val="24"/>
        </w:rPr>
        <w:t>超声波触觉</w:t>
      </w:r>
      <w:r>
        <w:rPr>
          <w:rFonts w:ascii="宋体" w:hAnsi="宋体" w:eastAsia="宋体"/>
          <w:sz w:val="24"/>
        </w:rPr>
        <w:t>：使用超声波阵列在空中形成触觉焦点，使用户的裸手在"触摸"虚拟物体时感受到气压般的触感。Ultrahaptics 是该技术的代表厂商，已应用于博物馆交互展示等场景。</w:t>
      </w:r>
    </w:p>
    <w:p/>
    <w:p>
      <w:pPr>
        <w:ind w:firstLine="482"/>
      </w:pPr>
      <w:r>
        <w:rPr>
          <w:rFonts w:ascii="宋体" w:hAnsi="宋体" w:eastAsia="宋体"/>
          <w:b/>
          <w:sz w:val="24"/>
        </w:rPr>
        <w:t>力反馈手套</w:t>
      </w:r>
      <w:r>
        <w:rPr>
          <w:rFonts w:ascii="宋体" w:hAnsi="宋体" w:eastAsia="宋体"/>
          <w:sz w:val="24"/>
        </w:rPr>
        <w:t>：如第2章所述，力反馈手套通过每个手指关节的制动器提供阻力反馈。在手势交互中集成力反馈手套可以实现"虚拟物体有重量""虚拟墙壁挡住手"等高级触觉体验，但设备成本和佩戴复杂度限制了其在消费级场景中的普及。</w:t>
      </w:r>
    </w:p>
    <w:p/>
    <w:p>
      <w:pPr>
        <w:pStyle w:val="Heading3"/>
      </w:pPr>
      <w:r>
        <w:t>5.2.4 手部追踪 SDK 实操</w:t>
      </w:r>
    </w:p>
    <w:p/>
    <w:p>
      <w:pPr>
        <w:ind w:firstLine="482"/>
      </w:pPr>
      <w:r>
        <w:rPr>
          <w:rFonts w:ascii="宋体" w:hAnsi="宋体" w:eastAsia="宋体"/>
          <w:b/>
          <w:sz w:val="24"/>
        </w:rPr>
        <w:t>Meta Hand Tracking</w:t>
      </w:r>
      <w:r>
        <w:rPr>
          <w:rFonts w:ascii="宋体" w:hAnsi="宋体" w:eastAsia="宋体"/>
          <w:sz w:val="24"/>
        </w:rPr>
        <w:t xml:space="preserve"> 是 Meta Quest 平台的内置手部追踪系统，提供 21 关键点骨骼追踪和六种基础手势识别（捏合、拳头、手掌等）。在 Unity 中通过 XR Interaction Toolkit 的手部交互组件即可快速集成手部追踪功能。</w:t>
      </w:r>
    </w:p>
    <w:p/>
    <w:p>
      <w:pPr>
        <w:ind w:firstLine="482"/>
      </w:pPr>
      <w:r>
        <w:rPr>
          <w:rFonts w:ascii="宋体" w:hAnsi="宋体" w:eastAsia="宋体"/>
          <w:b/>
          <w:sz w:val="24"/>
        </w:rPr>
        <w:t>Ultraleap Hyperion</w:t>
      </w:r>
      <w:r>
        <w:rPr>
          <w:rFonts w:ascii="宋体" w:hAnsi="宋体" w:eastAsia="宋体"/>
          <w:sz w:val="24"/>
        </w:rPr>
        <w:t xml:space="preserve"> 是 Ultraleap 公司的最新一代手部追踪 SDK，支持 Leap Motion 控制器和部分 VR 头显。Ultraleap 的优势在于亚毫米级追踪精度和丰富的交互设计工具（Interaction Engine），适合需要精细手势交互的专业应用。</w:t>
      </w:r>
    </w:p>
    <w:p/>
    <w:p>
      <w:pPr>
        <w:ind w:firstLine="482"/>
      </w:pPr>
      <w:r>
        <w:rPr>
          <w:rFonts w:ascii="宋体" w:hAnsi="宋体" w:eastAsia="宋体"/>
          <w:b/>
          <w:sz w:val="24"/>
        </w:rPr>
        <w:t>Google MediaPipe Hands</w:t>
      </w:r>
      <w:r>
        <w:rPr>
          <w:rFonts w:ascii="宋体" w:hAnsi="宋体" w:eastAsia="宋体"/>
          <w:sz w:val="24"/>
        </w:rPr>
        <w:t xml:space="preserve"> 是开源跨平台方案，可在普通摄像头和移动设备上运行。虽然精度不及专用硬件方案，但零成本和跨平台特性使其适合快速原型开发和移动端 AR 应用。</w:t>
      </w:r>
    </w:p>
    <w:p/>
    <w:p>
      <w:pPr>
        <w:ind w:firstLine="482"/>
      </w:pPr>
      <w:r>
        <w:rPr>
          <w:rFonts w:ascii="宋体" w:hAnsi="宋体" w:eastAsia="宋体"/>
          <w:sz w:val="24"/>
        </w:rPr>
        <w:t>在 Unity 中集成 Meta 手部追踪的实操步骤如下：（1）安装 Meta XR SDK——通过 Unity Package Manager 导入 Meta XR Interaction SDK，该 SDK 包含手部追踪、手势识别和交互组件；（2）配置 XR Origin——在场景中添加 XR Origin（XR Rig），配置 Meta Quest 设备的追踪模式为"Controller and Hand"；（3）添加手部可视化——使用 Meta 提供的手部预制体（HandPrefab）在场景中渲染用户手部模型，模型随真实手部运动实时更新；（4）配置交互组件——为虚拟物体添加 XR Grab Interactable 组件使其可被抓取，为 UI 元素添加 XR Poke Follow Interactable 组件使其可被指尖"点击"；（5）测试与调试——通过 Meta Quest Link 在 PC 上预览手部追踪效果，或在设备上直接运行进行真机测试。</w:t>
      </w:r>
    </w:p>
    <w:p/>
    <w:p>
      <w:pPr>
        <w:ind w:firstLine="482"/>
      </w:pPr>
      <w:r>
        <w:rPr>
          <w:rFonts w:ascii="宋体" w:hAnsi="宋体" w:eastAsia="宋体"/>
          <w:sz w:val="24"/>
        </w:rPr>
        <w:t>在手部追踪交互的调试过程中，常见问题及解决方案包括：手部模型抖动——通常由追踪不稳定或骨骼平滑参数过小导致，可通过增加骨骼平滑滤波器的强度缓解；手指穿透虚拟物体——由于裸手交互缺少物理碰撞反馈，可以在手部骨骼上添加 Collider 组件并与虚拟物体的 Collider 进行碰撞检测，当检测到碰撞时显示视觉提示（如手指高亮）；手势识别误触发——当用户无意中做出特定手势时触发了不期望的操作，可以通过增加手势保持时间阈值（如要求手势保持 0.5 秒才触发）或增加确认步骤来避免误触发。</w:t>
      </w:r>
    </w:p>
    <w:p/>
    <w:p>
      <w:pPr>
        <w:ind w:firstLine="482"/>
      </w:pPr>
      <w:r>
        <w:rPr>
          <w:rFonts w:ascii="宋体" w:hAnsi="宋体" w:eastAsia="宋体"/>
          <w:sz w:val="24"/>
        </w:rPr>
        <w:t>Ritter 等人评估了 Unity 工具包在教育 VR 应用快速开发中的表现，指出 XR Interaction Toolkit 框架大大简化了 VR 交互开发的学习曲线——开发者无需深入理解底层 XR API，通过配置预制组件即可实现基本的交互功能[18]。这一优势对于实训教学尤为重要——学生可以在有限的时间内完成从交互概念到可运行原型的转化，将更多精力集中在体验设计而非技术实现上。</w:t>
      </w:r>
    </w:p>
    <w:p/>
    <w:p>
      <w:pPr>
        <w:pStyle w:val="Heading2"/>
      </w:pPr>
      <w:r>
        <w:t>5.3 语音与自然语言交互</w:t>
      </w:r>
    </w:p>
    <w:p/>
    <w:p>
      <w:pPr>
        <w:pStyle w:val="Heading3"/>
      </w:pPr>
      <w:r>
        <w:t>5.3.1 VR/AR 语音交互架构</w:t>
      </w:r>
    </w:p>
    <w:p/>
    <w:p>
      <w:pPr>
        <w:ind w:firstLine="482"/>
      </w:pPr>
      <w:r>
        <w:rPr>
          <w:rFonts w:ascii="宋体" w:hAnsi="宋体" w:eastAsia="宋体"/>
          <w:sz w:val="24"/>
        </w:rPr>
        <w:t>VR/AR 语音交互系统由四个核心模块构成[9]：</w:t>
      </w:r>
    </w:p>
    <w:p/>
    <w:p>
      <w:pPr>
        <w:ind w:firstLine="482"/>
      </w:pPr>
      <w:r>
        <w:rPr>
          <w:rFonts w:ascii="宋体" w:hAnsi="宋体" w:eastAsia="宋体"/>
          <w:b/>
          <w:sz w:val="24"/>
        </w:rPr>
        <w:t>语音活动检测（VAD）</w:t>
      </w:r>
      <w:r>
        <w:rPr>
          <w:rFonts w:ascii="宋体" w:hAnsi="宋体" w:eastAsia="宋体"/>
          <w:sz w:val="24"/>
        </w:rPr>
        <w:t xml:space="preserve"> 判断用户是否正在说话，在嘈杂环境中区分语音和环境噪声。VR/AR 场景中的 VAD 需要处理头显风扇噪声、环境回声和其他用户说话声等干扰。</w:t>
      </w:r>
    </w:p>
    <w:p/>
    <w:p>
      <w:pPr>
        <w:ind w:firstLine="482"/>
      </w:pPr>
      <w:r>
        <w:rPr>
          <w:rFonts w:ascii="宋体" w:hAnsi="宋体" w:eastAsia="宋体"/>
          <w:b/>
          <w:sz w:val="24"/>
        </w:rPr>
        <w:t>自动语音识别（ASR）</w:t>
      </w:r>
      <w:r>
        <w:rPr>
          <w:rFonts w:ascii="宋体" w:hAnsi="宋体" w:eastAsia="宋体"/>
          <w:sz w:val="24"/>
        </w:rPr>
        <w:t xml:space="preserve"> 将用户语音转换为文本。在 VR/AR 场景中，ASR 需要支持特定领域的词汇（如文物名称、景点术语），通常通过自定义语言模型微调实现。</w:t>
      </w:r>
    </w:p>
    <w:p/>
    <w:p>
      <w:pPr>
        <w:ind w:firstLine="482"/>
      </w:pPr>
      <w:r>
        <w:rPr>
          <w:rFonts w:ascii="宋体" w:hAnsi="宋体" w:eastAsia="宋体"/>
          <w:b/>
          <w:sz w:val="24"/>
        </w:rPr>
        <w:t>自然语言理解（NLU）</w:t>
      </w:r>
      <w:r>
        <w:rPr>
          <w:rFonts w:ascii="宋体" w:hAnsi="宋体" w:eastAsia="宋体"/>
          <w:sz w:val="24"/>
        </w:rPr>
        <w:t xml:space="preserve"> 解析文本的语义意图。在文旅场景中，NLU 需要识别用户的查询意图（如"这个花瓶是什么朝代的？"→ 意图：查询文物年代）和实体（"花瓶"→ 目标物体）。</w:t>
      </w:r>
    </w:p>
    <w:p/>
    <w:p>
      <w:pPr>
        <w:ind w:firstLine="482"/>
      </w:pPr>
      <w:r>
        <w:rPr>
          <w:rFonts w:ascii="宋体" w:hAnsi="宋体" w:eastAsia="宋体"/>
          <w:b/>
          <w:sz w:val="24"/>
        </w:rPr>
        <w:t>语音合成（TTS）</w:t>
      </w:r>
      <w:r>
        <w:rPr>
          <w:rFonts w:ascii="宋体" w:hAnsi="宋体" w:eastAsia="宋体"/>
          <w:sz w:val="24"/>
        </w:rPr>
        <w:t xml:space="preserve"> 将系统回复转换为语音输出。VR/AR 中的 TTS 应支持空间音频——虚拟导游的声音从虚拟角色的位置传来，增强空间临场感。</w:t>
      </w:r>
    </w:p>
    <w:p/>
    <w:p>
      <w:pPr>
        <w:pStyle w:val="Heading3"/>
      </w:pPr>
      <w:r>
        <w:t>5.3.2 语音识别与语音合成集成</w:t>
      </w:r>
    </w:p>
    <w:p/>
    <w:p>
      <w:pPr>
        <w:ind w:firstLine="482"/>
      </w:pPr>
      <w:r>
        <w:rPr>
          <w:rFonts w:ascii="宋体" w:hAnsi="宋体" w:eastAsia="宋体"/>
          <w:sz w:val="24"/>
        </w:rPr>
        <w:t>在 Unity 中集成语音交互的常用方案包括[9]：</w:t>
      </w:r>
    </w:p>
    <w:p/>
    <w:p>
      <w:pPr>
        <w:ind w:firstLine="482"/>
      </w:pPr>
      <w:r>
        <w:rPr>
          <w:rFonts w:ascii="宋体" w:hAnsi="宋体" w:eastAsia="宋体"/>
          <w:b/>
          <w:sz w:val="24"/>
        </w:rPr>
        <w:t>Unity Dictation</w:t>
      </w:r>
      <w:r>
        <w:rPr>
          <w:rFonts w:ascii="宋体" w:hAnsi="宋体" w:eastAsia="宋体"/>
          <w:sz w:val="24"/>
        </w:rPr>
        <w:t xml:space="preserve"> 是 Unity 引擎内置的语音识别接口，基于 Windows Speech API，支持中文和英文识别。优点是无需第三方服务、零延迟，缺点是识别精度有限且仅支持 Windows 平台。</w:t>
      </w:r>
    </w:p>
    <w:p/>
    <w:p>
      <w:pPr>
        <w:ind w:firstLine="482"/>
      </w:pPr>
      <w:r>
        <w:rPr>
          <w:rFonts w:ascii="宋体" w:hAnsi="宋体" w:eastAsia="宋体"/>
          <w:b/>
          <w:sz w:val="24"/>
        </w:rPr>
        <w:t>百度语音 SDK / 讯飞语音 SDK</w:t>
      </w:r>
      <w:r>
        <w:rPr>
          <w:rFonts w:ascii="宋体" w:hAnsi="宋体" w:eastAsia="宋体"/>
          <w:sz w:val="24"/>
        </w:rPr>
        <w:t xml:space="preserve"> 是国内主流的语音识别服务，提供高精度的中文 ASR 和 TTS 能力。通过 REST API 或 Unity SDK 集成，适合需要高质量中文语音交互的文旅 VR/AR 应用。</w:t>
      </w:r>
    </w:p>
    <w:p/>
    <w:p>
      <w:pPr>
        <w:ind w:firstLine="482"/>
      </w:pPr>
      <w:r>
        <w:rPr>
          <w:rFonts w:ascii="宋体" w:hAnsi="宋体" w:eastAsia="宋体"/>
          <w:b/>
          <w:sz w:val="24"/>
        </w:rPr>
        <w:t>OpenAI Whisper</w:t>
      </w:r>
      <w:r>
        <w:rPr>
          <w:rFonts w:ascii="宋体" w:hAnsi="宋体" w:eastAsia="宋体"/>
          <w:sz w:val="24"/>
        </w:rPr>
        <w:t xml:space="preserve"> 是开源的语音识别大模型，支持多语言和方言识别，识别精度远超传统 ASR 方案。Whisper 可以在本地运行（无需联网），适合对数据隐私要求较高的场景。</w:t>
      </w:r>
    </w:p>
    <w:p/>
    <w:p>
      <w:pPr>
        <w:pStyle w:val="Heading3"/>
      </w:pPr>
      <w:r>
        <w:t>5.3.3 自然语言理解在沉浸式场景中的应用</w:t>
      </w:r>
    </w:p>
    <w:p/>
    <w:p>
      <w:pPr>
        <w:ind w:firstLine="482"/>
      </w:pPr>
      <w:r>
        <w:rPr>
          <w:rFonts w:ascii="宋体" w:hAnsi="宋体" w:eastAsia="宋体"/>
          <w:sz w:val="24"/>
        </w:rPr>
        <w:t>传统 VR 交互中的"对话"通常是基于选项树的分支对话——用户从预设选项中选择回复，虚拟角色按预设脚本回应。大语言模型（LLM）的出现使真正的自然语言对话成为可能——虚拟导游可以理解用户的自由提问并生成即时的、上下文相关的回答[9]。</w:t>
      </w:r>
    </w:p>
    <w:p/>
    <w:p>
      <w:pPr>
        <w:ind w:firstLine="482"/>
      </w:pPr>
      <w:r>
        <w:rPr>
          <w:rFonts w:ascii="宋体" w:hAnsi="宋体" w:eastAsia="宋体"/>
          <w:sz w:val="24"/>
        </w:rPr>
        <w:t>在文旅 VR 场景中，AI 驱动的虚拟导游可以：（1）回答用户关于展品/景点的自由提问——"这座桥建于什么时期？""这个图案有什么寓意？"；（2）根据用户兴趣动态调整讲解内容——如果用户对建筑技术感兴趣，导游会深入讲解榫卯结构，如果对历史故事感兴趣，导游会讲述相关传说；（3）支持多轮对话——用户可以追问、质疑或请求更多细节，导游能够理解上下文并连贯回应。</w:t>
      </w:r>
    </w:p>
    <w:p/>
    <w:p>
      <w:pPr>
        <w:ind w:firstLine="482"/>
      </w:pPr>
      <w:r>
        <w:rPr>
          <w:rFonts w:ascii="宋体" w:hAnsi="宋体" w:eastAsia="宋体"/>
          <w:sz w:val="24"/>
        </w:rPr>
        <w:t>这种 AI 对话驱动的交互方式正在重新定义文旅 VR 体验——从预设脚本的"单向讲解"转变为动态适应的"双向对话"。但同时也带来了响应延迟、内容准确性和成本等挑战，需要在体验设计中平衡技术能力与用户体验。</w:t>
      </w:r>
    </w:p>
    <w:p/>
    <w:p>
      <w:pPr>
        <w:ind w:firstLine="482"/>
      </w:pPr>
      <w:r>
        <w:rPr>
          <w:rFonts w:ascii="宋体" w:hAnsi="宋体" w:eastAsia="宋体"/>
          <w:sz w:val="24"/>
        </w:rPr>
        <w:t>从技术实现角度，AI 虚拟导游的响应延迟是影响用户体验的关键因素。一个完整的语音交互循环包括：用户语音输入（1-3秒）→ VAD 检测结束（0.5秒）→ ASR 识别（0.5-1秒）→ LLM 生成回复（1-3秒）→ TTS 合成语音（0.5-1秒）→ 音频播放（2-5秒），总延迟约 5-13 秒。相比之下，人类对话的典型响应延迟为 0.5-2 秒。为弥合这一差距，可以采用以下策略：（1）流式处理——ASR、LLM 和 TTS 以流式模式运行，前一个模块输出部分结果时后一个模块即开始处理，将总延迟降低 30-50%；（2）填充语——在 LLM 生成回复期间，虚拟导游播放"让我想想..."等填充语音和对应的思考动画，缓解用户等待焦虑；（3）预计算——对于高频问题（如"这是什么？""什么时候建的？"），预先计算并缓存回复，实现即时响应。</w:t>
      </w:r>
    </w:p>
    <w:p/>
    <w:p>
      <w:pPr>
        <w:ind w:firstLine="482"/>
      </w:pPr>
      <w:r>
        <w:rPr>
          <w:rFonts w:ascii="宋体" w:hAnsi="宋体" w:eastAsia="宋体"/>
          <w:sz w:val="24"/>
        </w:rPr>
        <w:t>内容准确性是 AI 虚拟导游面临的另一个核心挑战。LLM 可能生成看似合理但实际错误的信息——这在文化遗产场景中是不可接受的，因为错误的历史信息可能误导游客甚至造成文化伤害。RAG 技术通过将回复限制在知识库范围内来缓解这一问题，但知识库的完整性和质量直接影响导游的知识覆盖面。建议的知识库构建流程包括：（1）收集景区官方文献、考古报告和专家讲解词作为知识源；（2）将知识源切分为段落并使用 Embedding 模型转化为向量；（3）存储到向量数据库（如 Chroma、Pinecone）中供 LLM 检索；（4）定期由领域专家审核 AI 导游的回复质量，修正知识库中的错误信息。</w:t>
      </w:r>
    </w:p>
    <w:p/>
    <w:p>
      <w:pPr>
        <w:ind w:firstLine="482"/>
      </w:pPr>
      <w:r>
        <w:rPr>
          <w:rFonts w:ascii="宋体" w:hAnsi="宋体" w:eastAsia="宋体"/>
          <w:sz w:val="24"/>
        </w:rPr>
        <w:t>Burton 在研究中讨论了 AI 和 AR 在远程医疗领域的应用，指出的一个关键原则同样适用于文旅场景：AI 系统应始终保持"透明性"——用户应当知道自己正在与 AI 而非真人交互，避免产生误导性的社交期待[9]。在 VR 文旅场景中，虚拟导游应在体验开始时明确告知用户"我是 AI 导游，可以回答您关于景区的问题"，既管理用户预期又符合伦理规范。</w:t>
      </w:r>
    </w:p>
    <w:p/>
    <w:p>
      <w:pPr>
        <w:pStyle w:val="Heading3"/>
      </w:pPr>
      <w:r>
        <w:t>5.3.4 AI 对话驱动的虚拟导游/讲解员</w:t>
      </w:r>
    </w:p>
    <w:p/>
    <w:p>
      <w:pPr>
        <w:ind w:firstLine="482"/>
      </w:pPr>
      <w:r>
        <w:rPr>
          <w:rFonts w:ascii="宋体" w:hAnsi="宋体" w:eastAsia="宋体"/>
          <w:sz w:val="24"/>
        </w:rPr>
        <w:t>实现一个 AI 虚拟导游需要整合以下技术组件[9]：</w:t>
      </w:r>
    </w:p>
    <w:p/>
    <w:p>
      <w:pPr>
        <w:ind w:firstLine="482"/>
      </w:pPr>
      <w:r>
        <w:rPr>
          <w:rFonts w:ascii="宋体" w:hAnsi="宋体" w:eastAsia="宋体"/>
          <w:b/>
          <w:sz w:val="24"/>
        </w:rPr>
        <w:t>角色设定（System Prompt）</w:t>
      </w:r>
      <w:r>
        <w:rPr>
          <w:rFonts w:ascii="宋体" w:hAnsi="宋体" w:eastAsia="宋体"/>
          <w:sz w:val="24"/>
        </w:rPr>
        <w:t>：为 LLM 设定虚拟导游的人设——"你是贵州屯堡文化的专家导游，语言风格亲切但不失专业，善于用故事讲解历史文化"。角色设定直接影响导游的回答风格和知识范围。</w:t>
      </w:r>
    </w:p>
    <w:p/>
    <w:p>
      <w:pPr>
        <w:ind w:firstLine="482"/>
      </w:pPr>
      <w:r>
        <w:rPr>
          <w:rFonts w:ascii="宋体" w:hAnsi="宋体" w:eastAsia="宋体"/>
          <w:b/>
          <w:sz w:val="24"/>
        </w:rPr>
        <w:t>知识库（RAG）</w:t>
      </w:r>
      <w:r>
        <w:rPr>
          <w:rFonts w:ascii="宋体" w:hAnsi="宋体" w:eastAsia="宋体"/>
          <w:sz w:val="24"/>
        </w:rPr>
        <w:t>：通过检索增强生成（Retrieval-Augmented Generation）技术，将景区的文献资料、讲解词和文物信息构建为向量数据库，LLM 在回答用户问题时先从知识库中检索相关文档，再基于检索结果生成回答。RAG 技术能够有效解决 LLM 的"幻觉"问题，确保导游回答的内容准确性。</w:t>
      </w:r>
    </w:p>
    <w:p/>
    <w:p>
      <w:pPr>
        <w:ind w:firstLine="482"/>
      </w:pPr>
      <w:r>
        <w:rPr>
          <w:rFonts w:ascii="宋体" w:hAnsi="宋体" w:eastAsia="宋体"/>
          <w:b/>
          <w:sz w:val="24"/>
        </w:rPr>
        <w:t>语音管线</w:t>
      </w:r>
      <w:r>
        <w:rPr>
          <w:rFonts w:ascii="宋体" w:hAnsi="宋体" w:eastAsia="宋体"/>
          <w:sz w:val="24"/>
        </w:rPr>
        <w:t>：用户语音→Whisper ASR→文本→LLM 生成回复→TTS 合成语音→空间音频播放。整个管线的端到端延迟应控制在 2 秒以内，否则用户会感觉对话"不自然"。</w:t>
      </w:r>
    </w:p>
    <w:p/>
    <w:p>
      <w:pPr>
        <w:ind w:firstLine="482"/>
      </w:pPr>
      <w:r>
        <w:rPr>
          <w:rFonts w:ascii="宋体" w:hAnsi="宋体" w:eastAsia="宋体"/>
          <w:b/>
          <w:sz w:val="24"/>
        </w:rPr>
        <w:t>情感表达</w:t>
      </w:r>
      <w:r>
        <w:rPr>
          <w:rFonts w:ascii="宋体" w:hAnsi="宋体" w:eastAsia="宋体"/>
          <w:sz w:val="24"/>
        </w:rPr>
        <w:t>：通过 TTS 的情感标记控制语音的语调和节奏——讲解悲伤历史事件时语调低沉，讲解欢庆场景时语调上扬。同时，虚拟角色的面部表情和肢体动画应与语音内容同步，增强社交临场感。</w:t>
      </w:r>
    </w:p>
    <w:p/>
    <w:p>
      <w:pPr>
        <w:pStyle w:val="Heading2"/>
      </w:pPr>
      <w:r>
        <w:t>5.4 凝视交互与眼动追踪</w:t>
      </w:r>
    </w:p>
    <w:p/>
    <w:p>
      <w:pPr>
        <w:pStyle w:val="Heading3"/>
      </w:pPr>
      <w:r>
        <w:t>5.4.1 眼动追踪原理与数据指标</w:t>
      </w:r>
    </w:p>
    <w:p/>
    <w:p>
      <w:pPr>
        <w:ind w:firstLine="482"/>
      </w:pPr>
      <w:r>
        <w:rPr>
          <w:rFonts w:ascii="宋体" w:hAnsi="宋体" w:eastAsia="宋体"/>
          <w:sz w:val="24"/>
        </w:rPr>
        <w:t>眼动追踪通过红外摄像头拍摄用户瞳孔，利用图像处理算法计算注视点在三维空间中的位置。核心数据指标包括[8]：</w:t>
      </w:r>
    </w:p>
    <w:p/>
    <w:p>
      <w:pPr>
        <w:ind w:firstLine="482"/>
      </w:pPr>
      <w:r>
        <w:rPr>
          <w:rFonts w:ascii="宋体" w:hAnsi="宋体" w:eastAsia="宋体"/>
          <w:b/>
          <w:sz w:val="24"/>
        </w:rPr>
        <w:t>注视点（Fixation）</w:t>
      </w:r>
      <w:r>
        <w:rPr>
          <w:rFonts w:ascii="宋体" w:hAnsi="宋体" w:eastAsia="宋体"/>
          <w:sz w:val="24"/>
        </w:rPr>
        <w:t>：眼睛在某一位置停留超过 100ms 的状态，表示用户正在"看"该位置。注视点的位置、时长和顺序是分析用户注意力分布的核心数据。</w:t>
      </w:r>
    </w:p>
    <w:p/>
    <w:p>
      <w:pPr>
        <w:ind w:firstLine="482"/>
      </w:pPr>
      <w:r>
        <w:rPr>
          <w:rFonts w:ascii="宋体" w:hAnsi="宋体" w:eastAsia="宋体"/>
          <w:b/>
          <w:sz w:val="24"/>
        </w:rPr>
        <w:t>扫视（Saccade）</w:t>
      </w:r>
      <w:r>
        <w:rPr>
          <w:rFonts w:ascii="宋体" w:hAnsi="宋体" w:eastAsia="宋体"/>
          <w:sz w:val="24"/>
        </w:rPr>
        <w:t>：眼睛在不同注视点之间的快速跳动，速度可达 500°/s。扫视路径反映用户的视觉搜索策略。</w:t>
      </w:r>
    </w:p>
    <w:p/>
    <w:p>
      <w:pPr>
        <w:ind w:firstLine="482"/>
      </w:pPr>
      <w:r>
        <w:rPr>
          <w:rFonts w:ascii="宋体" w:hAnsi="宋体" w:eastAsia="宋体"/>
          <w:b/>
          <w:sz w:val="24"/>
        </w:rPr>
        <w:t>瞳孔直径（Pupil Diameter）</w:t>
      </w:r>
      <w:r>
        <w:rPr>
          <w:rFonts w:ascii="宋体" w:hAnsi="宋体" w:eastAsia="宋体"/>
          <w:sz w:val="24"/>
        </w:rPr>
        <w:t>：瞳孔大小变化与认知负荷和情感唤醒相关——瞳孔扩大通常表示认知负荷增加或情感唤醒增强。</w:t>
      </w:r>
    </w:p>
    <w:p/>
    <w:p>
      <w:pPr>
        <w:ind w:firstLine="482"/>
      </w:pPr>
      <w:r>
        <w:rPr>
          <w:rFonts w:ascii="宋体" w:hAnsi="宋体" w:eastAsia="宋体"/>
          <w:b/>
          <w:sz w:val="24"/>
        </w:rPr>
        <w:t>眨眼（Blink）</w:t>
      </w:r>
      <w:r>
        <w:rPr>
          <w:rFonts w:ascii="宋体" w:hAnsi="宋体" w:eastAsia="宋体"/>
          <w:sz w:val="24"/>
        </w:rPr>
        <w:t>：眨眼频率和时长可以反映用户的疲劳程度和注意力状态。</w:t>
      </w:r>
    </w:p>
    <w:p/>
    <w:p>
      <w:pPr>
        <w:pStyle w:val="Heading3"/>
      </w:pPr>
      <w:r>
        <w:t>5.4.2 凝视点选择与凝视触发交互</w:t>
      </w:r>
    </w:p>
    <w:p/>
    <w:p>
      <w:pPr>
        <w:ind w:firstLine="482"/>
      </w:pPr>
      <w:r>
        <w:rPr>
          <w:rFonts w:ascii="宋体" w:hAnsi="宋体" w:eastAsia="宋体"/>
          <w:b/>
          <w:sz w:val="24"/>
        </w:rPr>
        <w:t>凝视点选择（Gaze Selection）</w:t>
      </w:r>
      <w:r>
        <w:rPr>
          <w:rFonts w:ascii="宋体" w:hAnsi="宋体" w:eastAsia="宋体"/>
          <w:sz w:val="24"/>
        </w:rPr>
        <w:t xml:space="preserve"> 利用眼动追踪确定用户正在注视的虚拟物体。当用户的注视射线与虚拟物体相交时，该物体被标记为"候选目标"，显示高亮或聚焦效果。凝视点选择本身不触发操作，需要配合其他输入（如手柄扳机键或语音确认）完成选择。</w:t>
      </w:r>
    </w:p>
    <w:p/>
    <w:p>
      <w:pPr>
        <w:ind w:firstLine="482"/>
      </w:pPr>
      <w:r>
        <w:rPr>
          <w:rFonts w:ascii="宋体" w:hAnsi="宋体" w:eastAsia="宋体"/>
          <w:b/>
          <w:sz w:val="24"/>
        </w:rPr>
        <w:t>凝视触发（Gaze Dwell）</w:t>
      </w:r>
      <w:r>
        <w:rPr>
          <w:rFonts w:ascii="宋体" w:hAnsi="宋体" w:eastAsia="宋体"/>
          <w:sz w:val="24"/>
        </w:rPr>
        <w:t xml:space="preserve"> 通过持续注视目标一定时间（通常 1-2 秒）来触发选择操作，无需额外输入。这种方式适合 hands-free 场景——当用户双手忙于其他操作或未持有控制器时，凝视触发提供了备选的交互通道。但凝视触发存在"Midas Touch 问题"——用户在"看"一个物体时可能只是出于好奇而非交互意图，系统难以区分"查看"和"选择"。解决策略包括：设置合理的停留时间阈值、在注视期间显示进度指示器、允许用户通过快速移开视线取消选择。</w:t>
      </w:r>
    </w:p>
    <w:p/>
    <w:p>
      <w:pPr>
        <w:pStyle w:val="Heading3"/>
      </w:pPr>
      <w:r>
        <w:t>5.4.3 注视点渲染技术</w:t>
      </w:r>
    </w:p>
    <w:p/>
    <w:p>
      <w:pPr>
        <w:ind w:firstLine="482"/>
      </w:pPr>
      <w:r>
        <w:rPr>
          <w:rFonts w:ascii="宋体" w:hAnsi="宋体" w:eastAsia="宋体"/>
          <w:sz w:val="24"/>
        </w:rPr>
        <w:t>注视点渲染（Foveated Rendering）是眼动追踪在 VR 中最重要的技术应用之一。由于人眼只有在中心凹区域（约 5°视角）具有高分辨率感知能力，周边视觉的分辨率大幅下降，VR 系统可以利用这一特性，在用户注视的中心区域渲染高分辨率图像，在周边区域降低分辨率[10]。</w:t>
      </w:r>
    </w:p>
    <w:p/>
    <w:p>
      <w:pPr>
        <w:ind w:firstLine="482"/>
      </w:pPr>
      <w:r>
        <w:rPr>
          <w:rFonts w:ascii="宋体" w:hAnsi="宋体" w:eastAsia="宋体"/>
          <w:sz w:val="24"/>
        </w:rPr>
        <w:t>注视点渲染的实现方式分为两种：</w:t>
      </w:r>
      <w:r>
        <w:rPr>
          <w:rFonts w:ascii="宋体" w:hAnsi="宋体" w:eastAsia="宋体"/>
          <w:b/>
          <w:sz w:val="24"/>
        </w:rPr>
        <w:t>固定注视点渲染</w:t>
      </w:r>
      <w:r>
        <w:rPr>
          <w:rFonts w:ascii="宋体" w:hAnsi="宋体" w:eastAsia="宋体"/>
          <w:sz w:val="24"/>
        </w:rPr>
        <w:t>不使用眼动追踪，假设注视点在屏幕中心，中心区域高分辨率、边缘区域低分辨率。这种方式简单可靠但不适应真实注视位置。</w:t>
      </w:r>
      <w:r>
        <w:rPr>
          <w:rFonts w:ascii="宋体" w:hAnsi="宋体" w:eastAsia="宋体"/>
          <w:b/>
          <w:sz w:val="24"/>
        </w:rPr>
        <w:t>动态注视点渲染</w:t>
      </w:r>
      <w:r>
        <w:rPr>
          <w:rFonts w:ascii="宋体" w:hAnsi="宋体" w:eastAsia="宋体"/>
          <w:sz w:val="24"/>
        </w:rPr>
        <w:t>使用眼动追踪实时获取注视点，在注视点位置渲染高分辨率。这种方式效果最优但需要低延迟眼动追踪硬件支持。</w:t>
      </w:r>
    </w:p>
    <w:p/>
    <w:p>
      <w:pPr>
        <w:ind w:firstLine="482"/>
      </w:pPr>
      <w:r>
        <w:rPr>
          <w:rFonts w:ascii="宋体" w:hAnsi="宋体" w:eastAsia="宋体"/>
          <w:sz w:val="24"/>
        </w:rPr>
        <w:t>在 Meta Quest 3 上，动态注视点渲染可以将 GPU 计算量减少约 30-50%，在保持视觉质量的同时显著提升帧率。对于性能受限的一体机 VR 平台，注视点渲染是实现复杂场景流畅运行的关键优化技术。</w:t>
      </w:r>
    </w:p>
    <w:p/>
    <w:p>
      <w:pPr>
        <w:pStyle w:val="Heading3"/>
      </w:pPr>
      <w:r>
        <w:t>5.4.4 眼动数据在用户体验评估中的应用</w:t>
      </w:r>
    </w:p>
    <w:p/>
    <w:p>
      <w:pPr>
        <w:ind w:firstLine="482"/>
      </w:pPr>
      <w:r>
        <w:rPr>
          <w:rFonts w:ascii="宋体" w:hAnsi="宋体" w:eastAsia="宋体"/>
          <w:sz w:val="24"/>
        </w:rPr>
        <w:t>眼动数据为 VR/AR 用户体验评估提供了客观的注意力分析手段[10]：</w:t>
      </w:r>
    </w:p>
    <w:p/>
    <w:p>
      <w:pPr>
        <w:ind w:firstLine="482"/>
      </w:pPr>
      <w:r>
        <w:rPr>
          <w:rFonts w:ascii="宋体" w:hAnsi="宋体" w:eastAsia="宋体"/>
          <w:b/>
          <w:sz w:val="24"/>
        </w:rPr>
        <w:t>注视热点图（Heatmap）</w:t>
      </w:r>
      <w:r>
        <w:rPr>
          <w:rFonts w:ascii="宋体" w:hAnsi="宋体" w:eastAsia="宋体"/>
          <w:sz w:val="24"/>
        </w:rPr>
        <w:t xml:space="preserve"> 将所有用户的注视点叠加生成热力图，红色区域表示注视时间最长，蓝色区域表示注视时间最短。热点图能够直观显示场景中哪些元素最吸引用户注意力，哪些元素被忽视。</w:t>
      </w:r>
    </w:p>
    <w:p/>
    <w:p>
      <w:pPr>
        <w:ind w:firstLine="482"/>
      </w:pPr>
      <w:r>
        <w:rPr>
          <w:rFonts w:ascii="宋体" w:hAnsi="宋体" w:eastAsia="宋体"/>
          <w:b/>
          <w:sz w:val="24"/>
        </w:rPr>
        <w:t>扫视轨迹图（Scanpath）</w:t>
      </w:r>
      <w:r>
        <w:rPr>
          <w:rFonts w:ascii="宋体" w:hAnsi="宋体" w:eastAsia="宋体"/>
          <w:sz w:val="24"/>
        </w:rPr>
        <w:t xml:space="preserve"> 显示单个用户的注视点移动路径，反映用户的视觉探索策略。通过分析多名用户的扫视轨迹，可以识别场景中信息层级设计是否合理、视觉引导是否有效。</w:t>
      </w:r>
    </w:p>
    <w:p/>
    <w:p>
      <w:pPr>
        <w:ind w:firstLine="482"/>
      </w:pPr>
      <w:r>
        <w:rPr>
          <w:rFonts w:ascii="宋体" w:hAnsi="宋体" w:eastAsia="宋体"/>
          <w:b/>
          <w:sz w:val="24"/>
        </w:rPr>
        <w:t>兴趣区分析（Area of Interest, AOI）</w:t>
      </w:r>
      <w:r>
        <w:rPr>
          <w:rFonts w:ascii="宋体" w:hAnsi="宋体" w:eastAsia="宋体"/>
          <w:sz w:val="24"/>
        </w:rPr>
        <w:t xml:space="preserve"> 将场景划分为多个兴趣区域，统计用户在每个区域的注视时长、首次注视时间、回视次数等指标。在文旅 VR 中，AOI 分析可以揭示用户对不同展品/景点的关注程度差异，为内容优化提供数据依据。</w:t>
      </w:r>
    </w:p>
    <w:p/>
    <w:p>
      <w:pPr>
        <w:ind w:firstLine="482"/>
      </w:pPr>
      <w:r>
        <w:rPr>
          <w:rFonts w:ascii="宋体" w:hAnsi="宋体" w:eastAsia="宋体"/>
          <w:sz w:val="24"/>
        </w:rPr>
        <w:t>Lee 等人的研究利用增强虚拟现实和 360° 空间可视化技术支持用户参与式设计，其中眼动数据被用于评估设计方案中视觉元素的注意力和吸引力分布[11]。这种方法可以应用于 VR 文旅场景的设计评估——通过眼动数据验证场景中重要文化元素是否被用户注意到，交互引导是否有效。</w:t>
      </w:r>
    </w:p>
    <w:p/>
    <w:p>
      <w:pPr>
        <w:ind w:firstLine="482"/>
      </w:pPr>
      <w:r>
        <w:rPr>
          <w:rFonts w:ascii="宋体" w:hAnsi="宋体" w:eastAsia="宋体"/>
          <w:sz w:val="24"/>
        </w:rPr>
        <w:t>在文旅 VR 场景的眼动评估中，研究者可以设计如下实验方案：（1）定义兴趣区（AOI）——将虚拟场景中的关键文化元素（如建筑入口、文物展柜、文化符号、信息标牌）划分为独立 AOI；（2）记录用户在自由探索过程中的眼动数据，包括每个 AOI 的首次注视时间（反映注意力引导效果）、总注视时长（反映内容吸引力）、注视点数量（反映信息处理深度）和回视次数（反映信息记忆和再认）；（3）结合任务绩效数据（如用户是否能正确回答关于 AOI 内容的问题）分析注意力分配与学习效果的关系。</w:t>
      </w:r>
    </w:p>
    <w:p/>
    <w:p>
      <w:pPr>
        <w:ind w:firstLine="482"/>
      </w:pPr>
      <w:r>
        <w:rPr>
          <w:rFonts w:ascii="宋体" w:hAnsi="宋体" w:eastAsia="宋体"/>
          <w:sz w:val="24"/>
        </w:rPr>
        <w:t>例如，在一个 VR 屯堡文化场景中，如果眼动数据显示用户对建筑入口处的历史介绍标牌注视时间极短或首次注视时间很晚，说明该信息元素的视觉显著性不足，需要通过调整位置、增大尺寸或增加动态效果来提升注意力引导。反之，如果用户对某个文化细节（如木雕窗棂）注视时间很长但后续任务中无法正确回答相关问题，说明该元素虽然吸引了注意力但信息传达效果不佳，需要优化信息呈现方式（如增加语音讲解或交互式信息卡片）。</w:t>
      </w:r>
    </w:p>
    <w:p/>
    <w:p>
      <w:pPr>
        <w:ind w:firstLine="482"/>
      </w:pPr>
      <w:r>
        <w:rPr>
          <w:rFonts w:ascii="宋体" w:hAnsi="宋体" w:eastAsia="宋体"/>
          <w:sz w:val="24"/>
        </w:rPr>
        <w:t>Liu 在其 AR 用户界面设计研究中提出了设计原则和评估方法的系统框架，强调了多维度评估的重要性——单一的评估指标（如任务完成率）无法全面反映交互设计质量，需要结合效率指标（时间/错误率）、满意度指标（主观评分）和行为指标（眼动/手势模式）进行综合评价[8]。这一框架为 VR/AR 交互评估提供了方法论参考。</w:t>
      </w:r>
    </w:p>
    <w:p/>
    <w:p>
      <w:pPr>
        <w:pStyle w:val="Heading2"/>
      </w:pPr>
      <w:r>
        <w:t>5.5 空间音频与环境感知</w:t>
      </w:r>
    </w:p>
    <w:p/>
    <w:p>
      <w:pPr>
        <w:pStyle w:val="Heading3"/>
      </w:pPr>
      <w:r>
        <w:t>5.5.1 空间音频原理</w:t>
      </w:r>
    </w:p>
    <w:p/>
    <w:p>
      <w:pPr>
        <w:ind w:firstLine="482"/>
      </w:pPr>
      <w:r>
        <w:rPr>
          <w:rFonts w:ascii="宋体" w:hAnsi="宋体" w:eastAsia="宋体"/>
          <w:sz w:val="24"/>
        </w:rPr>
        <w:t>空间音频（Spatial Audio）是模拟声波在三维空间中传播的技术，使听众能够感知声源的方向、距离和环境特征。空间音频的核心技术包括[12]：</w:t>
      </w:r>
    </w:p>
    <w:p/>
    <w:p>
      <w:pPr>
        <w:ind w:firstLine="482"/>
      </w:pPr>
      <w:r>
        <w:rPr>
          <w:rFonts w:ascii="宋体" w:hAnsi="宋体" w:eastAsia="宋体"/>
          <w:b/>
          <w:sz w:val="24"/>
        </w:rPr>
        <w:t>头相关传递函数（HRTF）</w:t>
      </w:r>
      <w:r>
        <w:rPr>
          <w:rFonts w:ascii="宋体" w:hAnsi="宋体" w:eastAsia="宋体"/>
          <w:sz w:val="24"/>
        </w:rPr>
        <w:t xml:space="preserve"> 描述声波从声源传播到人耳的过程中，头部、耳廓和肩部对声波的滤波效应。HRTF 包含方向相关的频率响应信息——声波从正前方传来和从正后方传来时，耳廓对高频的反射模式不同，大脑通过这种频率差异判断声源方向。VR/AR 系统通过为每个虚拟声源应用对应的 HRTF 滤波器，在耳机中模拟出方向感。</w:t>
      </w:r>
    </w:p>
    <w:p/>
    <w:p>
      <w:pPr>
        <w:ind w:firstLine="482"/>
      </w:pPr>
      <w:r>
        <w:rPr>
          <w:rFonts w:ascii="宋体" w:hAnsi="宋体" w:eastAsia="宋体"/>
          <w:b/>
          <w:sz w:val="24"/>
        </w:rPr>
        <w:t>双耳时间差（ITD）和双耳强度差（IID）</w:t>
      </w:r>
      <w:r>
        <w:rPr>
          <w:rFonts w:ascii="宋体" w:hAnsi="宋体" w:eastAsia="宋体"/>
          <w:sz w:val="24"/>
        </w:rPr>
        <w:t xml:space="preserve"> 是声源定位的两个基本线索。ITD 是声波到达左右耳的时间差（对于低频声源），IID 是左右耳接收到的声压级差（对于高频声源）。HRTF 已经隐含了 ITD 和 IID 信息。</w:t>
      </w:r>
    </w:p>
    <w:p/>
    <w:p>
      <w:pPr>
        <w:ind w:firstLine="482"/>
      </w:pPr>
      <w:r>
        <w:rPr>
          <w:rFonts w:ascii="宋体" w:hAnsi="宋体" w:eastAsia="宋体"/>
          <w:b/>
          <w:sz w:val="24"/>
        </w:rPr>
        <w:t>距离衰减</w:t>
      </w:r>
      <w:r>
        <w:rPr>
          <w:rFonts w:ascii="宋体" w:hAnsi="宋体" w:eastAsia="宋体"/>
          <w:sz w:val="24"/>
        </w:rPr>
        <w:t xml:space="preserve"> 模拟声波在空气中传播时的能量损失。距离每增加一倍，声压级降低约 6dB（反平方定律）。此外，高频声波比低频声波在空气中衰减更快，远距离声源会显得"低沉"。</w:t>
      </w:r>
    </w:p>
    <w:p/>
    <w:p>
      <w:pPr>
        <w:ind w:firstLine="482"/>
      </w:pPr>
      <w:r>
        <w:rPr>
          <w:rFonts w:ascii="宋体" w:hAnsi="宋体" w:eastAsia="宋体"/>
          <w:b/>
          <w:sz w:val="24"/>
        </w:rPr>
        <w:t>环境声学</w:t>
      </w:r>
      <w:r>
        <w:rPr>
          <w:rFonts w:ascii="宋体" w:hAnsi="宋体" w:eastAsia="宋体"/>
          <w:sz w:val="24"/>
        </w:rPr>
        <w:t xml:space="preserve"> 模拟声波在空间中的反射和混响。声波遇到墙壁、地面和天花板时产生反射，多次反射形成混响。不同材质和形状的空间具有不同的混响特征——教堂的混响时间长（2-5秒），小房间的混响时间短（0.2-0.5秒）。VR/AR 中的空间音频引擎通过卷积混响或几何声学模拟实现环境声学效果。</w:t>
      </w:r>
    </w:p>
    <w:p/>
    <w:p>
      <w:pPr>
        <w:pStyle w:val="Heading3"/>
      </w:pPr>
      <w:r>
        <w:t>5.5.2 Unity/Unreal 空间音频实现</w:t>
      </w:r>
    </w:p>
    <w:p/>
    <w:p>
      <w:pPr>
        <w:ind w:firstLine="482"/>
      </w:pPr>
      <w:r>
        <w:rPr>
          <w:rFonts w:ascii="宋体" w:hAnsi="宋体" w:eastAsia="宋体"/>
          <w:b/>
          <w:sz w:val="24"/>
        </w:rPr>
        <w:t>Unity 空间音频</w:t>
      </w:r>
      <w:r>
        <w:rPr>
          <w:rFonts w:ascii="宋体" w:hAnsi="宋体" w:eastAsia="宋体"/>
          <w:sz w:val="24"/>
        </w:rPr>
        <w:t>通过 Audio Source 组件的 3D Sound Settings 实现。将 Spatial Blend 设为 1（完全 3D），Unity 会根据 Audio Listener（通常挂载在摄像机上）与 Audio Source 的相对位置和朝向，自动应用距离衰减和 HRTF 滤波。Unity 还支持 Steam Audio 和 Oculus Audio 等第三方空间音频插件，提供更精确的环境声学模拟。</w:t>
      </w:r>
    </w:p>
    <w:p/>
    <w:p>
      <w:pPr>
        <w:ind w:firstLine="482"/>
      </w:pPr>
      <w:r>
        <w:rPr>
          <w:rFonts w:ascii="宋体" w:hAnsi="宋体" w:eastAsia="宋体"/>
          <w:b/>
          <w:sz w:val="24"/>
        </w:rPr>
        <w:t>Unreal Engine 空间音频</w:t>
      </w:r>
      <w:r>
        <w:rPr>
          <w:rFonts w:ascii="宋体" w:hAnsi="宋体" w:eastAsia="宋体"/>
          <w:sz w:val="24"/>
        </w:rPr>
        <w:t>通过 Spatialization 插件实现，支持 Oculus Audio、Steam Audio 和 Windows Sonic 等方案。Unreal 的 Audio Volumes 系统可以定义空间区域的不同混响设置——例如，虚拟博物馆的展厅和走廊可以有不同的混响参数。</w:t>
      </w:r>
    </w:p>
    <w:p/>
    <w:p>
      <w:pPr>
        <w:pStyle w:val="Heading3"/>
      </w:pPr>
      <w:r>
        <w:t>5.5.3 环境声场采集与重建</w:t>
      </w:r>
    </w:p>
    <w:p/>
    <w:p>
      <w:pPr>
        <w:ind w:firstLine="482"/>
      </w:pPr>
      <w:r>
        <w:rPr>
          <w:rFonts w:ascii="宋体" w:hAnsi="宋体" w:eastAsia="宋体"/>
          <w:sz w:val="24"/>
        </w:rPr>
        <w:t>对于基于实景的 VR 体验（如 360° 全景 VR），环境声场的采集与重建至关重要。传统的单声道或立体声录音无法提供空间音频信息，需要使用特殊的话筒阵列进行空间音频采集[12]：</w:t>
      </w:r>
    </w:p>
    <w:p/>
    <w:p>
      <w:pPr>
        <w:ind w:firstLine="482"/>
      </w:pPr>
      <w:r>
        <w:rPr>
          <w:rFonts w:ascii="宋体" w:hAnsi="宋体" w:eastAsia="宋体"/>
          <w:b/>
          <w:sz w:val="24"/>
        </w:rPr>
        <w:t>Ambisonics（球谐函数编码）</w:t>
      </w:r>
      <w:r>
        <w:rPr>
          <w:rFonts w:ascii="宋体" w:hAnsi="宋体" w:eastAsia="宋体"/>
          <w:sz w:val="24"/>
        </w:rPr>
        <w:t xml:space="preserve"> 是 VR 全景视频的标准音频格式。Ambisonics 使用四面体话筒阵列（如 Sennheiser Ambeo）捕获四通道 B-format 音频（W、X、Y、Z），在播放时根据用户的头部朝向旋转声场，实现"转头听不同方向"的空间音频效果。Ambisonics 与 360° 全景视频天然适配，是 VR 全景景区漫游项目（第10章实训）的推荐音频方案。</w:t>
      </w:r>
    </w:p>
    <w:p/>
    <w:p>
      <w:pPr>
        <w:ind w:firstLine="482"/>
      </w:pPr>
      <w:r>
        <w:rPr>
          <w:rFonts w:ascii="宋体" w:hAnsi="宋体" w:eastAsia="宋体"/>
          <w:b/>
          <w:sz w:val="24"/>
        </w:rPr>
        <w:t>双耳录音（Binaural Recording）</w:t>
      </w:r>
      <w:r>
        <w:rPr>
          <w:rFonts w:ascii="宋体" w:hAnsi="宋体" w:eastAsia="宋体"/>
          <w:sz w:val="24"/>
        </w:rPr>
        <w:t xml:space="preserve"> 使用人工头（Dummy Head）话筒模拟人耳的声学特性，录制具有强烈空间感的双声道音频。双耳录音必须通过耳机播放才能正确还原空间效果，适合面向头显用户的 VR 体验。</w:t>
      </w:r>
    </w:p>
    <w:p/>
    <w:p>
      <w:pPr>
        <w:pStyle w:val="Heading3"/>
      </w:pPr>
      <w:r>
        <w:t>5.5.4 音频-视觉协同增强沉浸感</w:t>
      </w:r>
    </w:p>
    <w:p/>
    <w:p>
      <w:pPr>
        <w:ind w:firstLine="482"/>
      </w:pPr>
      <w:r>
        <w:rPr>
          <w:rFonts w:ascii="宋体" w:hAnsi="宋体" w:eastAsia="宋体"/>
          <w:sz w:val="24"/>
        </w:rPr>
        <w:t>音频与视觉的协同设计是创造沉浸感的关键因素。Rubio-Tamayo 等人指出，沉浸式环境中的通信、交互和模拟三个维度需要保持一致——视觉事件与音频事件在时间上同步（延迟差 &lt;50ms）、在空间上对齐（声源方向与视觉来源一致）、在语义上匹配（画面内容和声音氛围协调）[2]。</w:t>
      </w:r>
    </w:p>
    <w:p/>
    <w:p>
      <w:pPr>
        <w:ind w:firstLine="482"/>
      </w:pPr>
      <w:r>
        <w:rPr>
          <w:rFonts w:ascii="宋体" w:hAnsi="宋体" w:eastAsia="宋体"/>
          <w:sz w:val="24"/>
        </w:rPr>
        <w:t>在文旅 VR 场景中，音频-视觉协同的典型应用包括：（1）虚拟古镇场景中，用户走近铁匠铺时逐渐听到打铁声，走远时声音减弱——距离衰减与视觉距离一致；（2）虚拟导游说话时，声音从导游嘴巴位置传来，且当用户转头时声音方向相应变化——HRTF 空间定位与视觉位置一致；（3）虚拟节庆场景中，烟花爆炸的视觉效果与爆炸声同时出现——时间同步且爆炸声的混响与虚拟空间的建筑环境匹配。</w:t>
      </w:r>
    </w:p>
    <w:p/>
    <w:p>
      <w:pPr>
        <w:ind w:firstLine="482"/>
      </w:pPr>
      <w:r>
        <w:rPr>
          <w:rFonts w:ascii="宋体" w:hAnsi="宋体" w:eastAsia="宋体"/>
          <w:sz w:val="24"/>
        </w:rPr>
        <w:t>Vijayakumar 在其 UX 设计研究中强调了用户满意度在无缝虚拟体验中的核心地位，指出音频-视觉一致性是影响用户满意度的关键因素之一——当用户感知到音频与视觉的不一致时，即使无法明确指出问题所在，也会产生"不自然"的直觉感受，显著降低满意度评分[13]。</w:t>
      </w:r>
    </w:p>
    <w:p/>
    <w:p>
      <w:pPr>
        <w:ind w:firstLine="482"/>
      </w:pPr>
      <w:r>
        <w:rPr>
          <w:rFonts w:ascii="宋体" w:hAnsi="宋体" w:eastAsia="宋体"/>
          <w:sz w:val="24"/>
        </w:rPr>
        <w:t>在 VR/AR 音频设计的实践层面，以下技术细节值得特别关注。</w:t>
      </w:r>
      <w:r>
        <w:rPr>
          <w:rFonts w:ascii="宋体" w:hAnsi="宋体" w:eastAsia="宋体"/>
          <w:b/>
          <w:sz w:val="24"/>
        </w:rPr>
        <w:t>音频优先级管理</w:t>
      </w:r>
      <w:r>
        <w:rPr>
          <w:rFonts w:ascii="宋体" w:hAnsi="宋体" w:eastAsia="宋体"/>
          <w:sz w:val="24"/>
        </w:rPr>
        <w:t>在复杂场景中至关重要——当多个声源同时存在时（如古镇街道上有人声、叫卖声、流水声、风声），系统需要根据声源的重要性分配播放优先级和资源。核心交互声源（如虚拟导游的语音）应具有最高优先级，环境氛围声源应适当降低音量并允许被核心声源遮蔽。Unity 的 Audio Mixer 系统和 Unreal 的 Sound Class 系统都支持音频优先级和遮蔽管理。</w:t>
      </w:r>
    </w:p>
    <w:p/>
    <w:p>
      <w:pPr>
        <w:ind w:firstLine="482"/>
      </w:pPr>
      <w:r>
        <w:rPr>
          <w:rFonts w:ascii="宋体" w:hAnsi="宋体" w:eastAsia="宋体"/>
          <w:b/>
          <w:sz w:val="24"/>
        </w:rPr>
        <w:t>音频空间化精度</w:t>
      </w:r>
      <w:r>
        <w:rPr>
          <w:rFonts w:ascii="宋体" w:hAnsi="宋体" w:eastAsia="宋体"/>
          <w:sz w:val="24"/>
        </w:rPr>
        <w:t>影响用户的声源定位准确度。低精度空间化（如双声道立体声）只能区分左右方向，无法提供前后和上下的方向信息。中精度空间化（如 HRTF 滤波）能够提供完整的 3D 方向定位，但在前后方向可能出现"前后混淆"（用户难以区分声源来自前方还是后方）。高精度空间化需要个性化 HRTF 测量或头部追踪辅助——通过实时追踪用户头部朝向并旋转声场，消除前后混淆问题。对于文旅 VR 场景中需要精确声源定位的应用（如虚拟考古现场的声源定位任务），建议使用支持头部追踪的 HRTF 空间化方案。</w:t>
      </w:r>
    </w:p>
    <w:p/>
    <w:p>
      <w:pPr>
        <w:ind w:firstLine="482"/>
      </w:pPr>
      <w:r>
        <w:rPr>
          <w:rFonts w:ascii="宋体" w:hAnsi="宋体" w:eastAsia="宋体"/>
          <w:b/>
          <w:sz w:val="24"/>
        </w:rPr>
        <w:t>环境声学模拟</w:t>
      </w:r>
      <w:r>
        <w:rPr>
          <w:rFonts w:ascii="宋体" w:hAnsi="宋体" w:eastAsia="宋体"/>
          <w:sz w:val="24"/>
        </w:rPr>
        <w:t>对于沉浸感贡献巨大但常被忽视。一个没有混响的 VR 场景听起来像"在消声室中"，即使视觉上是一个宏大的教堂内部。通过在 Unity 中设置 Audio Reverb Zone 或使用 Steam Audio 插件的实时几何声学模拟，可以根据虚拟空间的几何形状和材质属性自动计算混响参数——石质教堂的混响时间长且明亮，木质茶室的混响时间短且温暖。这些声学细节与视觉空间的匹配使用户的听觉体验从"听到声音"升级为"身处声场之中"。</w:t>
      </w:r>
    </w:p>
    <w:p/>
    <w:p>
      <w:pPr>
        <w:ind w:firstLine="482"/>
      </w:pPr>
      <w:r>
        <w:rPr>
          <w:rFonts w:ascii="宋体" w:hAnsi="宋体" w:eastAsia="宋体"/>
          <w:sz w:val="24"/>
        </w:rPr>
        <w:t>在文旅 VR 全景项目中（如第10章实训项目），Ambisonics 音频与 360° 全景视频的同步处理是一个技术要点。Ambisonics B-format 音频需要在播放时根据用户的头部朝向进行声场旋转——用户转头时，前方声源应该移到侧方，侧方声源应该移到后方。Unity 的 Ambisonic Audio Source 组件和 Meta Quest 的 360 Audio SDK 都支持实时声场旋转。在制作全景 VR 内容时，应使用支持 Ambisonics 录制的话筒阵列（如 Sennheiser Ambeo VR Mic）进行现场音频采集，确保音频与视频的空间一致性。</w:t>
      </w:r>
    </w:p>
    <w:p/>
    <w:p>
      <w:pPr>
        <w:ind w:firstLine="482"/>
      </w:pPr>
      <w:r>
        <w:rPr>
          <w:rFonts w:ascii="宋体" w:hAnsi="宋体" w:eastAsia="宋体"/>
          <w:sz w:val="24"/>
        </w:rPr>
        <w:t>---</w:t>
      </w:r>
    </w:p>
    <w:p/>
    <w:p>
      <w:pPr>
        <w:pStyle w:val="Heading2"/>
      </w:pPr>
      <w:r>
        <w:t>5.6 交互设计的可用性评估</w:t>
      </w:r>
    </w:p>
    <w:p/>
    <w:p>
      <w:pPr>
        <w:pStyle w:val="Heading3"/>
      </w:pPr>
      <w:r>
        <w:t>5.6.1 VR/AR 交互可用性评估方法</w:t>
      </w:r>
    </w:p>
    <w:p/>
    <w:p>
      <w:pPr>
        <w:ind w:firstLine="482"/>
      </w:pPr>
      <w:r>
        <w:rPr>
          <w:rFonts w:ascii="宋体" w:hAnsi="宋体" w:eastAsia="宋体"/>
          <w:sz w:val="24"/>
        </w:rPr>
        <w:t>VR/AR 交互的可用性评估比传统 2D 界面更为复杂，需要综合考虑空间因素和身体因素[19]：</w:t>
      </w:r>
    </w:p>
    <w:p/>
    <w:p>
      <w:pPr>
        <w:ind w:firstLine="482"/>
      </w:pPr>
      <w:r>
        <w:rPr>
          <w:rFonts w:ascii="宋体" w:hAnsi="宋体" w:eastAsia="宋体"/>
          <w:b/>
          <w:sz w:val="24"/>
        </w:rPr>
        <w:t>专家评估</w:t>
      </w:r>
      <w:r>
        <w:rPr>
          <w:rFonts w:ascii="宋体" w:hAnsi="宋体" w:eastAsia="宋体"/>
          <w:sz w:val="24"/>
        </w:rPr>
        <w:t>：在用户测试前，邀请 3-5 名 VR/AR 交互设计专家进行启发式评估。评估维度包括：交互可达性（用户在自然姿势下能否触及所有交互元素）、反馈明确性（操作后是否有清晰的视觉/听觉/触觉反馈）、错误恢复性（误操作后能否快速撤销或重置）、认知负荷（用户需要记住多少操作步骤）、舒适度（长时间使用是否导致疲劳或眩晕）。</w:t>
      </w:r>
    </w:p>
    <w:p/>
    <w:p>
      <w:pPr>
        <w:ind w:firstLine="482"/>
      </w:pPr>
      <w:r>
        <w:rPr>
          <w:rFonts w:ascii="宋体" w:hAnsi="宋体" w:eastAsia="宋体"/>
          <w:b/>
          <w:sz w:val="24"/>
        </w:rPr>
        <w:t>用户测试</w:t>
      </w:r>
      <w:r>
        <w:rPr>
          <w:rFonts w:ascii="宋体" w:hAnsi="宋体" w:eastAsia="宋体"/>
          <w:sz w:val="24"/>
        </w:rPr>
        <w:t>：招募 10-20 名目标用户进行任务式测试。设计 5-8 个典型任务（如"找到并点击场景中的红色按钮""使用手势抓取桌上的杯子并放到指定位置""通过语音命令切换场景"），记录任务完成率、完成时间、错误次数和主观评分。同时使用 NASA-TLX 量表测量认知负荷，使用 SSQ 量表测量眩晕程度。</w:t>
      </w:r>
    </w:p>
    <w:p/>
    <w:p>
      <w:pPr>
        <w:ind w:firstLine="482"/>
      </w:pPr>
      <w:r>
        <w:rPr>
          <w:rFonts w:ascii="宋体" w:hAnsi="宋体" w:eastAsia="宋体"/>
          <w:b/>
          <w:sz w:val="24"/>
        </w:rPr>
        <w:t>数据分析</w:t>
      </w:r>
      <w:r>
        <w:rPr>
          <w:rFonts w:ascii="宋体" w:hAnsi="宋体" w:eastAsia="宋体"/>
          <w:sz w:val="24"/>
        </w:rPr>
        <w:t>：使用录屏和眼动追踪数据分析用户的交互行为模式——注视热点图显示用户关注的区域，交互路径图显示用户的操作轨迹。这些客观数据与主观评分结合，可以全面评估交互设计的质量[19]。</w:t>
      </w:r>
    </w:p>
    <w:p/>
    <w:p>
      <w:pPr>
        <w:pStyle w:val="Heading3"/>
      </w:pPr>
      <w:r>
        <w:t>5.6.2 VR/AR 交互设计准则总结</w:t>
      </w:r>
    </w:p>
    <w:p/>
    <w:p>
      <w:pPr>
        <w:ind w:firstLine="482"/>
      </w:pPr>
      <w:r>
        <w:rPr>
          <w:rFonts w:ascii="宋体" w:hAnsi="宋体" w:eastAsia="宋体"/>
          <w:sz w:val="24"/>
        </w:rPr>
        <w:t>基于理论研究和实践经验，VR/AR 交互设计应遵循以下核心准则[19]：</w:t>
      </w:r>
    </w:p>
    <w:p/>
    <w:p>
      <w:pPr>
        <w:ind w:firstLine="482"/>
      </w:pPr>
      <w:r>
        <w:rPr>
          <w:rFonts w:ascii="宋体" w:hAnsi="宋体" w:eastAsia="宋体"/>
          <w:sz w:val="24"/>
        </w:rPr>
        <w:t>（1）</w:t>
      </w:r>
      <w:r>
        <w:rPr>
          <w:rFonts w:ascii="宋体" w:hAnsi="宋体" w:eastAsia="宋体"/>
          <w:b/>
          <w:sz w:val="24"/>
        </w:rPr>
        <w:t>自然映射原则</w:t>
      </w:r>
      <w:r>
        <w:rPr>
          <w:rFonts w:ascii="宋体" w:hAnsi="宋体" w:eastAsia="宋体"/>
          <w:sz w:val="24"/>
        </w:rPr>
        <w:t>：交互动作与其效果之间应有直觉性的映射关系。例如，抓取虚拟物体时手柄的握紧动作映射到手指合拢，虚拟物体的移动方向与手部移动方向一致。违反自然映射会增加学习成本和操作错误率。</w:t>
      </w:r>
    </w:p>
    <w:p/>
    <w:p>
      <w:pPr>
        <w:ind w:firstLine="482"/>
      </w:pPr>
      <w:r>
        <w:rPr>
          <w:rFonts w:ascii="宋体" w:hAnsi="宋体" w:eastAsia="宋体"/>
          <w:sz w:val="24"/>
        </w:rPr>
        <w:t>（2）</w:t>
      </w:r>
      <w:r>
        <w:rPr>
          <w:rFonts w:ascii="宋体" w:hAnsi="宋体" w:eastAsia="宋体"/>
          <w:b/>
          <w:sz w:val="24"/>
        </w:rPr>
        <w:t>渐进式交互原则</w:t>
      </w:r>
      <w:r>
        <w:rPr>
          <w:rFonts w:ascii="宋体" w:hAnsi="宋体" w:eastAsia="宋体"/>
          <w:sz w:val="24"/>
        </w:rPr>
        <w:t>：复杂操作应分解为简单步骤，每步只要求一个操作。新手模式提供详细引导和辅助瞄准，熟练模式允许快速操作和批量操作。</w:t>
      </w:r>
    </w:p>
    <w:p/>
    <w:p>
      <w:pPr>
        <w:ind w:firstLine="482"/>
      </w:pPr>
      <w:r>
        <w:rPr>
          <w:rFonts w:ascii="宋体" w:hAnsi="宋体" w:eastAsia="宋体"/>
          <w:sz w:val="24"/>
        </w:rPr>
        <w:t>（3）</w:t>
      </w:r>
      <w:r>
        <w:rPr>
          <w:rFonts w:ascii="宋体" w:hAnsi="宋体" w:eastAsia="宋体"/>
          <w:b/>
          <w:sz w:val="24"/>
        </w:rPr>
        <w:t>多通道冗余原则</w:t>
      </w:r>
      <w:r>
        <w:rPr>
          <w:rFonts w:ascii="宋体" w:hAnsi="宋体" w:eastAsia="宋体"/>
          <w:sz w:val="24"/>
        </w:rPr>
        <w:t>：关键操作应有视觉、听觉和触觉的多通道反馈，避免单一通道失效导致交互失败。例如，点击按钮时同时显示视觉高亮、播放音效和触发手柄震动。</w:t>
      </w:r>
    </w:p>
    <w:p/>
    <w:p>
      <w:pPr>
        <w:ind w:firstLine="482"/>
      </w:pPr>
      <w:r>
        <w:rPr>
          <w:rFonts w:ascii="宋体" w:hAnsi="宋体" w:eastAsia="宋体"/>
          <w:sz w:val="24"/>
        </w:rPr>
        <w:t>（4）</w:t>
      </w:r>
      <w:r>
        <w:rPr>
          <w:rFonts w:ascii="宋体" w:hAnsi="宋体" w:eastAsia="宋体"/>
          <w:b/>
          <w:sz w:val="24"/>
        </w:rPr>
        <w:t>舒适度优先原则</w:t>
      </w:r>
      <w:r>
        <w:rPr>
          <w:rFonts w:ascii="宋体" w:hAnsi="宋体" w:eastAsia="宋体"/>
          <w:sz w:val="24"/>
        </w:rPr>
        <w:t>：避免需要长时间悬臂的操作（导致"大猩猩臂"效应），避免频繁的快速头部转动（导致眩晕），避免需要精确瞄准的小目标（导致 frustration）。提供坐姿和站姿两种模式，允许用户根据身体状况选择。</w:t>
      </w:r>
    </w:p>
    <w:p/>
    <w:p>
      <w:pPr>
        <w:ind w:firstLine="482"/>
      </w:pPr>
      <w:r>
        <w:rPr>
          <w:rFonts w:ascii="宋体" w:hAnsi="宋体" w:eastAsia="宋体"/>
          <w:sz w:val="24"/>
        </w:rPr>
        <w:t>（5）</w:t>
      </w:r>
      <w:r>
        <w:rPr>
          <w:rFonts w:ascii="宋体" w:hAnsi="宋体" w:eastAsia="宋体"/>
          <w:b/>
          <w:sz w:val="24"/>
        </w:rPr>
        <w:t>容错设计原则</w:t>
      </w:r>
      <w:r>
        <w:rPr>
          <w:rFonts w:ascii="宋体" w:hAnsi="宋体" w:eastAsia="宋体"/>
          <w:sz w:val="24"/>
        </w:rPr>
        <w:t>：提供 Undo 功能撤销最近的操作，提供"重置"选项恢复到初始状态。对于不可逆操作（如删除、提交），弹出确认对话框。宽容的碰撞检测——用户手柄接近目标时自动吸附，降低操作精度要求[19]。</w:t>
      </w:r>
    </w:p>
    <w:p/>
    <w:p>
      <w:pPr>
        <w:pStyle w:val="Heading2"/>
      </w:pPr>
      <w:r>
        <w:t>5.7 交互设计的前沿探索</w:t>
      </w:r>
    </w:p>
    <w:p/>
    <w:p>
      <w:pPr>
        <w:pStyle w:val="Heading3"/>
      </w:pPr>
      <w:r>
        <w:t>5.7.1 脑机接口与意念交互</w:t>
      </w:r>
    </w:p>
    <w:p/>
    <w:p>
      <w:pPr>
        <w:ind w:firstLine="482"/>
      </w:pPr>
      <w:r>
        <w:rPr>
          <w:rFonts w:ascii="宋体" w:hAnsi="宋体" w:eastAsia="宋体"/>
          <w:sz w:val="24"/>
        </w:rPr>
        <w:t>脑机接口（BCI）技术正在从医疗领域向消费级应用扩展[19]。非侵入式 BCI（如 EEG 头环）可以读取用户的脑电信号，实现简单的"意念控制"——用户通过集中注意力或放松来触发虚拟环境中的事件。目前 BCI 的交互带宽有限（每分钟 5-10 个命令），适合辅助性交互而非主力交互。未来 BCI 可能与 VR/AR 结合，用于情绪检测（根据脑电模式调整虚拟环境的氛围）和注意力监测（当用户注意力下降时增加互动元素）。</w:t>
      </w:r>
    </w:p>
    <w:p/>
    <w:p>
      <w:pPr>
        <w:pStyle w:val="Heading3"/>
      </w:pPr>
      <w:r>
        <w:t>5.7.2 情感感知与自适应交互</w:t>
      </w:r>
    </w:p>
    <w:p/>
    <w:p>
      <w:pPr>
        <w:ind w:firstLine="482"/>
      </w:pPr>
      <w:r>
        <w:rPr>
          <w:rFonts w:ascii="宋体" w:hAnsi="宋体" w:eastAsia="宋体"/>
          <w:sz w:val="24"/>
        </w:rPr>
        <w:t>情感计算技术使 VR/AR 系统能够感知用户的情绪状态并自适应调整交互方式[19]。通过面部表情识别（摄像头）、语音情感分析（麦克风）、皮肤电导和心率（可穿戴传感器）等多模态数据融合，推断用户是否感到困惑、兴奋、无聊或沮丧。当检测到用户困惑时，系统自动提供更详细的引导；当检测到用户兴奋时，增加挑战难度；当检测到用户疲劳时，建议休息或切换到低强度内容。这种"情感自适应"交互代表了人机交互的未来方向。</w:t>
      </w:r>
    </w:p>
    <w:p/>
    <w:p>
      <w:pPr>
        <w:pStyle w:val="Heading3"/>
      </w:pPr>
      <w:r>
        <w:t>5.7.3 触觉反馈与虚拟触摸</w:t>
      </w:r>
    </w:p>
    <w:p/>
    <w:p>
      <w:pPr>
        <w:ind w:firstLine="482"/>
      </w:pPr>
      <w:r>
        <w:rPr>
          <w:rFonts w:ascii="宋体" w:hAnsi="宋体" w:eastAsia="宋体"/>
          <w:sz w:val="24"/>
        </w:rPr>
        <w:t>触觉反馈是当前 VR/AR 交互中最薄弱的环节——用户可以"看到"和"听到"虚拟物体，但无法"触摸"到它们[19]。当前主流方案是手柄震动（振动马达），只能提供粗略的触觉提示。新兴的触觉技术包括：力反馈手套（在手指上施加阻力模拟抓握感）、超声波阵列（在空中创建触觉点模拟触摸感）、电肌肉刺激（EMS，通过微电流刺激肌肉产生"触碰"幻觉）。这些技术尚在研发阶段，但有望在未来 5-10 年内成熟，实现真正的"虚拟触摸"。</w:t>
      </w:r>
    </w:p>
    <w:p/>
    <w:p/>
    <w:p>
      <w:pPr>
        <w:pStyle w:val="Heading3"/>
      </w:pPr>
      <w:r>
        <w:t>5.7.4 交互设计的未来展望</w:t>
      </w:r>
    </w:p>
    <w:p/>
    <w:p>
      <w:pPr>
        <w:ind w:firstLine="482"/>
      </w:pPr>
      <w:r>
        <w:rPr>
          <w:rFonts w:ascii="宋体" w:hAnsi="宋体" w:eastAsia="宋体"/>
          <w:sz w:val="24"/>
        </w:rPr>
        <w:t>随着 AI、BCI 和触觉技术的成熟，VR/AR 交互将经历从"操作设备"到"自然交流"的范式转变。未来的沉浸式交互可能不再需要手柄或手势——用户只需"想"就能控制虚拟世界，只需"说话"就能与 AI 角色深度对话，只需"触摸"就能感受虚拟物体的质地和温度。这种自然交互的实现将彻底消除人机之间的"界面"障碍，使沉浸式体验达到真正的"透明"状态——用户忘记了技术的存在，完全沉浸在虚拟世界之中[19]。</w:t>
      </w:r>
    </w:p>
    <w:p/>
    <w:p/>
    <w:p>
      <w:pPr>
        <w:pStyle w:val="Heading3"/>
      </w:pPr>
      <w:r>
        <w:t>5.7.5 交互设计规范与设计系统</w:t>
      </w:r>
    </w:p>
    <w:p/>
    <w:p>
      <w:pPr>
        <w:ind w:firstLine="482"/>
      </w:pPr>
      <w:r>
        <w:rPr>
          <w:rFonts w:ascii="宋体" w:hAnsi="宋体" w:eastAsia="宋体"/>
          <w:sz w:val="24"/>
        </w:rPr>
        <w:t>在大型 VR/AR 项目中，建立统一的交互设计规范（Design System）至关重要。设计规范应包含：手势词典（定义每种手势的含义和触发条件）、语音命令集（定义可识别的语音指令和同义词）、视觉反馈规范（定义不同交互状态的视觉表现——悬停、激活、禁用、错误）、音频反馈规范（定义操作音效的音色、音量和空间属性）以及触觉反馈规范（定义震动模式和强度等级）。设计规范应以文档和代码组件库的形式存在，确保团队成员遵循统一的交互标准，提升应用的一致性和专业性[19]。</w:t>
      </w:r>
    </w:p>
    <w:p/>
    <w:p>
      <w:pPr>
        <w:pStyle w:val="Heading2"/>
      </w:pPr>
      <w:r>
        <w:t>本章小结</w:t>
      </w:r>
    </w:p>
    <w:p/>
    <w:p>
      <w:pPr>
        <w:ind w:firstLine="482"/>
      </w:pPr>
      <w:r>
        <w:rPr>
          <w:rFonts w:ascii="宋体" w:hAnsi="宋体" w:eastAsia="宋体"/>
          <w:sz w:val="24"/>
        </w:rPr>
        <w:t>本章系统讲解了 VR/AR 多模态交互设计的理论基础与实现方法。在理论层面，我们建立了六类交互模态的分类框架，介绍了多模态融合的两种策略（特征级融合和决策级融合），阐述了 Fitts 定律在 3D 中的修正、格式塔原理的适用性以及交互设计评估方法。在实现层面，分别讲解了手势交互（骨骼追踪原理、五种设计模式、触觉反馈集成、SDK 实操）、语音交互（四模块架构、ASR/TTS 集成、AI 虚拟导游）、凝视交互（眼动数据指标、凝视触发、注视点渲染、眼动评估）和空间音频（HRTF 原理、Unity/Unreal 实现、Ambisonics 采集、音频-视觉协同）四个核心技术模块。</w:t>
      </w:r>
    </w:p>
    <w:p/>
    <w:p>
      <w:pPr>
        <w:ind w:firstLine="482"/>
      </w:pPr>
      <w:r>
        <w:rPr>
          <w:rFonts w:ascii="宋体" w:hAnsi="宋体" w:eastAsia="宋体"/>
          <w:sz w:val="24"/>
        </w:rPr>
        <w:t xml:space="preserve">本章内容对应 I.M.M.E.R.S.E. 框架的 </w:t>
      </w:r>
      <w:r>
        <w:rPr>
          <w:rFonts w:ascii="宋体" w:hAnsi="宋体" w:eastAsia="宋体"/>
          <w:b/>
          <w:sz w:val="24"/>
        </w:rPr>
        <w:t>M（Multimodal Interaction，多模态交互）</w:t>
      </w:r>
      <w:r>
        <w:rPr>
          <w:rFonts w:ascii="宋体" w:hAnsi="宋体" w:eastAsia="宋体"/>
          <w:sz w:val="24"/>
        </w:rPr>
        <w:t xml:space="preserve"> 维度。第6章将进入开发引擎与渲染优化层面，讨论如何选择和使用 Unity、Unreal Engine 和 WebXR 等开发工具来高效构建和运行 VR/AR 应用。</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多模态融合的特征级融合和决策级融合各有何优劣？HRTF 在空间音频中的作用是什么？</w:t>
      </w:r>
    </w:p>
    <w:p>
      <w:pPr>
        <w:pStyle w:val="ListNumber"/>
      </w:pPr>
      <w:r>
        <w:rPr>
          <w:rFonts w:ascii="宋体" w:hAnsi="宋体" w:eastAsia="宋体"/>
          <w:b/>
          <w:sz w:val="24"/>
        </w:rPr>
        <w:t>（理解）</w:t>
      </w:r>
      <w:r>
        <w:rPr>
          <w:rFonts w:ascii="宋体" w:hAnsi="宋体" w:eastAsia="宋体"/>
          <w:sz w:val="24"/>
        </w:rPr>
        <w:t xml:space="preserve"> 解释 Midas Touch 问题及其解决策略，分析为什么凝视触发交互适合 hands-free 场景。</w:t>
      </w:r>
    </w:p>
    <w:p>
      <w:pPr>
        <w:pStyle w:val="ListNumber"/>
      </w:pPr>
      <w:r>
        <w:rPr>
          <w:rFonts w:ascii="宋体" w:hAnsi="宋体" w:eastAsia="宋体"/>
          <w:b/>
          <w:sz w:val="24"/>
        </w:rPr>
        <w:t>（应用）</w:t>
      </w:r>
      <w:r>
        <w:rPr>
          <w:rFonts w:ascii="宋体" w:hAnsi="宋体" w:eastAsia="宋体"/>
          <w:sz w:val="24"/>
        </w:rPr>
        <w:t xml:space="preserve"> 在 Unity 中集成 Meta 手部追踪和语音识别，实现一个"语音+手势"协同交互的原型：用户说出"拿起来"同时做出抓取手势来拾取虚拟物体。</w:t>
      </w:r>
    </w:p>
    <w:p>
      <w:pPr>
        <w:pStyle w:val="ListNumber"/>
      </w:pPr>
      <w:r>
        <w:rPr>
          <w:rFonts w:ascii="宋体" w:hAnsi="宋体" w:eastAsia="宋体"/>
          <w:b/>
          <w:sz w:val="24"/>
        </w:rPr>
        <w:t>（分析）</w:t>
      </w:r>
      <w:r>
        <w:rPr>
          <w:rFonts w:ascii="宋体" w:hAnsi="宋体" w:eastAsia="宋体"/>
          <w:sz w:val="24"/>
        </w:rPr>
        <w:t xml:space="preserve"> 比较手势交互和手柄交互在精度、疲劳度、学习成本和适用场景方面的差异，分析在什么场景下应优先选择手势交互。</w:t>
      </w:r>
    </w:p>
    <w:p>
      <w:pPr>
        <w:pStyle w:val="ListNumber"/>
      </w:pPr>
      <w:r>
        <w:rPr>
          <w:rFonts w:ascii="宋体" w:hAnsi="宋体" w:eastAsia="宋体"/>
          <w:b/>
          <w:sz w:val="24"/>
        </w:rPr>
        <w:t>（评价）</w:t>
      </w:r>
      <w:r>
        <w:rPr>
          <w:rFonts w:ascii="宋体" w:hAnsi="宋体" w:eastAsia="宋体"/>
          <w:sz w:val="24"/>
        </w:rPr>
        <w:t xml:space="preserve"> 设计一个 VR 博物馆导览的交互评估实验，包含任务设计、评估指标和数据采集方案，评估手势+语音多模态交互相比纯手柄交互的优劣。</w:t>
      </w:r>
    </w:p>
    <w:p>
      <w:pPr>
        <w:pStyle w:val="ListNumber"/>
      </w:pPr>
      <w:r>
        <w:rPr>
          <w:rFonts w:ascii="宋体" w:hAnsi="宋体" w:eastAsia="宋体"/>
          <w:b/>
          <w:sz w:val="24"/>
        </w:rPr>
        <w:t>（创造）</w:t>
      </w:r>
      <w:r>
        <w:rPr>
          <w:rFonts w:ascii="宋体" w:hAnsi="宋体" w:eastAsia="宋体"/>
          <w:sz w:val="24"/>
        </w:rPr>
        <w:t xml:space="preserve"> 设计一个面向贵州苗寨 VR 体验的多模态交互方案，包含手势（抓取民族服饰试穿）、语音（与虚拟村民对话）、凝视（注视建筑查看信息）三种模态的协同设计。</w:t>
      </w:r>
    </w:p>
    <w:p/>
    <w:p>
      <w:pPr>
        <w:pStyle w:val="Heading2"/>
      </w:pPr>
      <w:r>
        <w:t>参考文献</w:t>
      </w:r>
    </w:p>
    <w:p/>
    <w:p>
      <w:pPr>
        <w:ind w:firstLine="482"/>
      </w:pPr>
      <w:r>
        <w:rPr>
          <w:rFonts w:ascii="宋体" w:hAnsi="宋体" w:eastAsia="宋体"/>
          <w:sz w:val="24"/>
        </w:rPr>
        <w:t>[1] 佚名. (2025). 基于多感知信号融合的虚拟现实交互系统设计. 万方数据.</w:t>
      </w:r>
    </w:p>
    <w:p/>
    <w:p>
      <w:pPr>
        <w:ind w:firstLine="482"/>
      </w:pPr>
      <w:r>
        <w:rPr>
          <w:rFonts w:ascii="宋体" w:hAnsi="宋体" w:eastAsia="宋体"/>
          <w:sz w:val="24"/>
        </w:rPr>
        <w:t>[2] Rubio-Tamayo, J. L., Barrio, M. G., &amp; García, F. G. (2017). Immersive Environments and Virtual Reality: Systematic Review and Advances in Communication, Interaction and Simulation. Multimodal Technologies and Interaction, 1(4), 21. https://doi.org/10.3390/MTI1040021</w:t>
      </w:r>
    </w:p>
    <w:p/>
    <w:p>
      <w:pPr>
        <w:ind w:firstLine="482"/>
      </w:pPr>
      <w:r>
        <w:rPr>
          <w:rFonts w:ascii="宋体" w:hAnsi="宋体" w:eastAsia="宋体"/>
          <w:sz w:val="24"/>
        </w:rPr>
        <w:t>[3] Pallasena, R. K., Sharma, M., &amp; Krishnaswamy, V. (2022). A Study of Interaction, Visual Canvas, and Immersion in AR Design: A DSR Approach. ACM Transactions on Human-Computer Interaction, 29(6). https://doi.org/10.17705/1thci.00173</w:t>
      </w:r>
    </w:p>
    <w:p/>
    <w:p>
      <w:pPr>
        <w:ind w:firstLine="482"/>
      </w:pPr>
      <w:r>
        <w:rPr>
          <w:rFonts w:ascii="宋体" w:hAnsi="宋体" w:eastAsia="宋体"/>
          <w:sz w:val="24"/>
        </w:rPr>
        <w:t>[4] 刘子健, 刘颖. (2024). 虚拟现实交互界面设计中的沉浸感提升方法研究. 维普.</w:t>
      </w:r>
    </w:p>
    <w:p/>
    <w:p>
      <w:pPr>
        <w:ind w:firstLine="482"/>
      </w:pPr>
      <w:r>
        <w:rPr>
          <w:rFonts w:ascii="宋体" w:hAnsi="宋体" w:eastAsia="宋体"/>
          <w:sz w:val="24"/>
        </w:rPr>
        <w:t>[5] MacNamara, W. (2017). Evaluating the Effectiveness of the Gestalt Principles of Perceptual Observation for Virtual Reality User Interface Design. Semantic Scholar.</w:t>
      </w:r>
    </w:p>
    <w:p/>
    <w:p>
      <w:pPr>
        <w:ind w:firstLine="482"/>
      </w:pPr>
      <w:r>
        <w:rPr>
          <w:rFonts w:ascii="宋体" w:hAnsi="宋体" w:eastAsia="宋体"/>
          <w:sz w:val="24"/>
        </w:rPr>
        <w:t>[6] 张旭. (2012). 基于用户体验的交互式虚拟展示设计研究. 万方数据.</w:t>
      </w:r>
    </w:p>
    <w:p/>
    <w:p>
      <w:pPr>
        <w:ind w:firstLine="482"/>
      </w:pPr>
      <w:r>
        <w:rPr>
          <w:rFonts w:ascii="宋体" w:hAnsi="宋体" w:eastAsia="宋体"/>
          <w:sz w:val="24"/>
        </w:rPr>
        <w:t>[7] Al-Obaidi, A., &amp; Prince, M. (2022). Usability Principles for Augmented Reality Applications in Education. Semantic Scholar.</w:t>
      </w:r>
    </w:p>
    <w:p/>
    <w:p>
      <w:pPr>
        <w:ind w:firstLine="482"/>
      </w:pPr>
      <w:r>
        <w:rPr>
          <w:rFonts w:ascii="宋体" w:hAnsi="宋体" w:eastAsia="宋体"/>
          <w:sz w:val="24"/>
        </w:rPr>
        <w:t>[8] Liu, Z. (2024). Augmented Reality User Interface: Analysing the Design Principles and Evaluation Methods. International Journal of Computer Science and Information Technology, 3(2). https://doi.org/10.62051/ijcsit.v3n2.04</w:t>
      </w:r>
    </w:p>
    <w:p/>
    <w:p>
      <w:pPr>
        <w:ind w:firstLine="482"/>
      </w:pPr>
      <w:r>
        <w:rPr>
          <w:rFonts w:ascii="宋体" w:hAnsi="宋体" w:eastAsia="宋体"/>
          <w:sz w:val="24"/>
        </w:rPr>
        <w:t>[9] Burton, S. L. (2021). Artificial Intelligence (AI) and Augmented Reality (AR): Disambiguated in the Telemedicine / Telehealth Sphere. Biosensors and Bioelectronics. https://doi.org/10.2478/bsaft-2021-0001</w:t>
      </w:r>
    </w:p>
    <w:p/>
    <w:p>
      <w:pPr>
        <w:ind w:firstLine="482"/>
      </w:pPr>
      <w:r>
        <w:rPr>
          <w:rFonts w:ascii="宋体" w:hAnsi="宋体" w:eastAsia="宋体"/>
          <w:sz w:val="24"/>
        </w:rPr>
        <w:t>[10] de Quinto, C., Navarro, A., Otero, G., et al. (2024). On the impact of VR/AR applications on optical transport networks. IEEE ICTON. https://doi.org/10.1109/ICTON62926.2024.10647326</w:t>
      </w:r>
    </w:p>
    <w:p/>
    <w:p>
      <w:pPr>
        <w:ind w:firstLine="482"/>
      </w:pPr>
      <w:r>
        <w:rPr>
          <w:rFonts w:ascii="宋体" w:hAnsi="宋体" w:eastAsia="宋体"/>
          <w:sz w:val="24"/>
        </w:rPr>
        <w:t>[11] Lee, J.-K., Lee, S., Kim, Y., Kim, S., &amp; Hong, S.-W. (2023). Augmented virtual reality and 360 spatial visualization for supporting user-engaged design. Journal of Computational Design and Engineering, 10(3). https://doi.org/10.1093/jcde/qwad035</w:t>
      </w:r>
    </w:p>
    <w:p/>
    <w:p>
      <w:pPr>
        <w:ind w:firstLine="482"/>
      </w:pPr>
      <w:r>
        <w:rPr>
          <w:rFonts w:ascii="宋体" w:hAnsi="宋体" w:eastAsia="宋体"/>
          <w:sz w:val="24"/>
        </w:rPr>
        <w:t>[12] 佚名. (2025). 虚拟现实交互界面沉浸式设计策略. 维普.</w:t>
      </w:r>
    </w:p>
    <w:p/>
    <w:p>
      <w:pPr>
        <w:ind w:firstLine="482"/>
      </w:pPr>
      <w:r>
        <w:rPr>
          <w:rFonts w:ascii="宋体" w:hAnsi="宋体" w:eastAsia="宋体"/>
          <w:sz w:val="24"/>
        </w:rPr>
        <w:t>[13] Vijayakumar, H. (2025). User Satisfaction - UX Design Strategies for Seamless Virtual Experience. arXiv:2504.13885. https://arxiv.org/abs/2504.13885</w:t>
      </w:r>
    </w:p>
    <w:p/>
    <w:p>
      <w:pPr>
        <w:ind w:firstLine="482"/>
      </w:pPr>
      <w:r>
        <w:rPr>
          <w:rFonts w:ascii="宋体" w:hAnsi="宋体" w:eastAsia="宋体"/>
          <w:sz w:val="24"/>
        </w:rPr>
        <w:t>[14] 林一, 陈靖, 刘越, 王涌天. (2014). 基于心智模型的VR与AR混合式移动导览系统的用户体验设计. 维普.</w:t>
      </w:r>
    </w:p>
    <w:p/>
    <w:p>
      <w:pPr>
        <w:ind w:firstLine="482"/>
      </w:pPr>
      <w:r>
        <w:rPr>
          <w:rFonts w:ascii="宋体" w:hAnsi="宋体" w:eastAsia="宋体"/>
          <w:sz w:val="24"/>
        </w:rPr>
        <w:t>[15] 张加明. (2019). 基于虚拟现实技术的"无限行走空间"交互设计研究. 万方数据.</w:t>
      </w:r>
    </w:p>
    <w:p/>
    <w:p>
      <w:pPr>
        <w:ind w:firstLine="482"/>
      </w:pPr>
      <w:r>
        <w:rPr>
          <w:rFonts w:ascii="宋体" w:hAnsi="宋体" w:eastAsia="宋体"/>
          <w:sz w:val="24"/>
        </w:rPr>
        <w:t>[16] 张智明. (2024). 虚拟现实环境中动画角色交互设计与实现. 维普.</w:t>
      </w:r>
    </w:p>
    <w:p/>
    <w:p>
      <w:pPr>
        <w:ind w:firstLine="482"/>
      </w:pPr>
      <w:r>
        <w:rPr>
          <w:rFonts w:ascii="宋体" w:hAnsi="宋体" w:eastAsia="宋体"/>
          <w:sz w:val="24"/>
        </w:rPr>
        <w:t>[17] 崔文铮. (2020). 试谈虚拟现实中的交互设计. 万方数据.</w:t>
      </w:r>
    </w:p>
    <w:p/>
    <w:p>
      <w:pPr>
        <w:ind w:firstLine="482"/>
      </w:pPr>
      <w:r>
        <w:rPr>
          <w:rFonts w:ascii="宋体" w:hAnsi="宋体" w:eastAsia="宋体"/>
          <w:sz w:val="24"/>
        </w:rPr>
        <w:t>[18] Ritter, K. A., Borst, C., &amp; Chambers, T. (2015). Overview and Assessment of Unity Toolkits for Rapid Development of an Educational VR Application. Semantic Scholar.</w:t>
      </w:r>
    </w:p>
    <w:p/>
    <w:p>
      <w:r>
        <w:br w:type="page"/>
      </w:r>
    </w:p>
    <w:p>
      <w:pPr>
        <w:pStyle w:val="Heading1"/>
      </w:pPr>
      <w:r>
        <w:t>第6章 开发引擎与渲染优化</w:t>
      </w:r>
    </w:p>
    <w:p>
      <w:pPr>
        <w:jc w:val="center"/>
      </w:pPr>
      <w:r>
        <w:drawing>
          <wp:inline xmlns:a="http://schemas.openxmlformats.org/drawingml/2006/main" xmlns:pic="http://schemas.openxmlformats.org/drawingml/2006/picture">
            <wp:extent cx="5040000" cy="4151163"/>
            <wp:docPr id="5" name="Picture 5"/>
            <wp:cNvGraphicFramePr>
              <a:graphicFrameLocks noChangeAspect="1"/>
            </wp:cNvGraphicFramePr>
            <a:graphic>
              <a:graphicData uri="http://schemas.openxmlformats.org/drawingml/2006/picture">
                <pic:pic>
                  <pic:nvPicPr>
                    <pic:cNvPr id="0" name="fig06_engine_comparison.png"/>
                    <pic:cNvPicPr/>
                  </pic:nvPicPr>
                  <pic:blipFill>
                    <a:blip r:embed="rId12"/>
                    <a:stretch>
                      <a:fillRect/>
                    </a:stretch>
                  </pic:blipFill>
                  <pic:spPr>
                    <a:xfrm>
                      <a:off x="0" y="0"/>
                      <a:ext cx="5040000" cy="4151163"/>
                    </a:xfrm>
                    <a:prstGeom prst="rect"/>
                  </pic:spPr>
                </pic:pic>
              </a:graphicData>
            </a:graphic>
          </wp:inline>
        </w:drawing>
      </w:r>
    </w:p>
    <w:p/>
    <w:p>
      <w:pPr>
        <w:pStyle w:val="Heading2"/>
      </w:pPr>
      <w:r>
        <w:t>学习目标</w:t>
      </w:r>
    </w:p>
    <w:p/>
    <w:p>
      <w:pPr>
        <w:pStyle w:val="ListNumber"/>
      </w:pPr>
      <w:r>
        <w:rPr>
          <w:rFonts w:ascii="宋体" w:hAnsi="宋体" w:eastAsia="宋体"/>
          <w:b/>
          <w:sz w:val="24"/>
        </w:rPr>
        <w:t>识记</w:t>
      </w:r>
      <w:r>
        <w:rPr>
          <w:rFonts w:ascii="宋体" w:hAnsi="宋体" w:eastAsia="宋体"/>
          <w:sz w:val="24"/>
        </w:rPr>
        <w:t>：Unity、Unreal Engine、Godot 三大引擎的架构特征与 VR/AR 支持能力，WebXR 规范的基本内容。</w:t>
      </w:r>
    </w:p>
    <w:p>
      <w:pPr>
        <w:pStyle w:val="ListNumber"/>
      </w:pPr>
      <w:r>
        <w:rPr>
          <w:rFonts w:ascii="宋体" w:hAnsi="宋体" w:eastAsia="宋体"/>
          <w:b/>
          <w:sz w:val="24"/>
        </w:rPr>
        <w:t>理解</w:t>
      </w:r>
      <w:r>
        <w:rPr>
          <w:rFonts w:ascii="宋体" w:hAnsi="宋体" w:eastAsia="宋体"/>
          <w:sz w:val="24"/>
        </w:rPr>
        <w:t>：VR 渲染管线原理（双目渲染、畸变校正），性能预算与帧率目标的关系，GPU 优化策略。</w:t>
      </w:r>
    </w:p>
    <w:p>
      <w:pPr>
        <w:pStyle w:val="ListNumber"/>
      </w:pPr>
      <w:r>
        <w:rPr>
          <w:rFonts w:ascii="宋体" w:hAnsi="宋体" w:eastAsia="宋体"/>
          <w:b/>
          <w:sz w:val="24"/>
        </w:rPr>
        <w:t>应用</w:t>
      </w:r>
      <w:r>
        <w:rPr>
          <w:rFonts w:ascii="宋体" w:hAnsi="宋体" w:eastAsia="宋体"/>
          <w:sz w:val="24"/>
        </w:rPr>
        <w:t>：能够在 Unity 中搭建 VR/AR 项目，配置 XR Interaction Toolkit，实现基本的交互功能。</w:t>
      </w:r>
    </w:p>
    <w:p>
      <w:pPr>
        <w:pStyle w:val="ListNumber"/>
      </w:pPr>
      <w:r>
        <w:rPr>
          <w:rFonts w:ascii="宋体" w:hAnsi="宋体" w:eastAsia="宋体"/>
          <w:b/>
          <w:sz w:val="24"/>
        </w:rPr>
        <w:t>分析</w:t>
      </w:r>
      <w:r>
        <w:rPr>
          <w:rFonts w:ascii="宋体" w:hAnsi="宋体" w:eastAsia="宋体"/>
          <w:sz w:val="24"/>
        </w:rPr>
        <w:t>：分析不同引擎在 VR/AR 开发中的优劣，根据项目需求选择合适的开发引擎。</w:t>
      </w:r>
    </w:p>
    <w:p>
      <w:pPr>
        <w:pStyle w:val="ListNumber"/>
      </w:pPr>
      <w:r>
        <w:rPr>
          <w:rFonts w:ascii="宋体" w:hAnsi="宋体" w:eastAsia="宋体"/>
          <w:b/>
          <w:sz w:val="24"/>
        </w:rPr>
        <w:t>评价</w:t>
      </w:r>
      <w:r>
        <w:rPr>
          <w:rFonts w:ascii="宋体" w:hAnsi="宋体" w:eastAsia="宋体"/>
          <w:sz w:val="24"/>
        </w:rPr>
        <w:t>：使用 Profiler 工具评估 VR 应用的性能瓶颈，制定优化方案。</w:t>
      </w:r>
    </w:p>
    <w:p>
      <w:pPr>
        <w:pStyle w:val="ListNumber"/>
      </w:pPr>
      <w:r>
        <w:rPr>
          <w:rFonts w:ascii="宋体" w:hAnsi="宋体" w:eastAsia="宋体"/>
          <w:b/>
          <w:sz w:val="24"/>
        </w:rPr>
        <w:t>创造</w:t>
      </w:r>
      <w:r>
        <w:rPr>
          <w:rFonts w:ascii="宋体" w:hAnsi="宋体" w:eastAsia="宋体"/>
          <w:sz w:val="24"/>
        </w:rPr>
        <w:t>：设计一个面向文旅 VR 项目的渲染优化方案，包含 LOD 策略、合批方案和资源管理策略。</w:t>
      </w:r>
    </w:p>
    <w:p/>
    <w:p>
      <w:pPr>
        <w:pStyle w:val="Heading2"/>
      </w:pPr>
      <w:r>
        <w:t>导入案例：Unity 与 Unreal Engine 在虚拟展览中的效率对比</w:t>
      </w:r>
    </w:p>
    <w:p/>
    <w:p>
      <w:pPr>
        <w:ind w:firstLine="482"/>
      </w:pPr>
      <w:r>
        <w:rPr>
          <w:rFonts w:ascii="宋体" w:hAnsi="宋体" w:eastAsia="宋体"/>
          <w:sz w:val="24"/>
        </w:rPr>
        <w:t>Ciekanowska 等人对 Unity 和 Unreal Engine 在创建 3D 扫描模型虚拟展览中的效率进行了对比分析[1]。研究使用相同的 3D 扫描文化遗产模型，分别在 Unity 和 Unreal 中构建虚拟展览场景，比较了两个引擎在导入效率、渲染质量、性能表现和开发难度四个维度的差异。研究发现：Unity 在移动端 VR（Meta Quest）上的渲染性能更优，Draw Call 管理更灵活，且 C# 语言的学习曲线更平缓；Unreal Engine 在 PC VR 上凭借 Nanite 虚拟几何体技术能够直接渲染高精度模型而无需手动减面，Lumen 全局光照系统提供了更逼真的光照效果，但项目包体更大且在移动端 VR 上性能受限。</w:t>
      </w:r>
    </w:p>
    <w:p/>
    <w:p>
      <w:pPr>
        <w:ind w:firstLine="482"/>
      </w:pPr>
      <w:r>
        <w:rPr>
          <w:rFonts w:ascii="宋体" w:hAnsi="宋体" w:eastAsia="宋体"/>
          <w:sz w:val="24"/>
        </w:rPr>
        <w:t>这一案例揭示了 VR/AR 开发中引擎选型的核心矛盾：没有"最好"的引擎，只有"最适合特定项目需求"的引擎。本章将系统讲解主流 VR/AR 开发引擎的特征、渲染管线原理和性能优化策略。</w:t>
      </w:r>
    </w:p>
    <w:p/>
    <w:p>
      <w:pPr>
        <w:ind w:firstLine="482"/>
      </w:pPr>
      <w:r>
        <w:rPr>
          <w:rFonts w:ascii="宋体" w:hAnsi="宋体" w:eastAsia="宋体"/>
          <w:sz w:val="24"/>
        </w:rPr>
        <w:t>---</w:t>
      </w:r>
    </w:p>
    <w:p/>
    <w:p>
      <w:pPr>
        <w:pStyle w:val="Heading2"/>
      </w:pPr>
      <w:r>
        <w:t>6.1 VR/AR 开发引擎总览</w:t>
      </w:r>
    </w:p>
    <w:p/>
    <w:p>
      <w:pPr>
        <w:pStyle w:val="Heading3"/>
      </w:pPr>
      <w:r>
        <w:t>6.1.1 引擎选型维度</w:t>
      </w:r>
    </w:p>
    <w:p/>
    <w:p>
      <w:pPr>
        <w:ind w:firstLine="482"/>
      </w:pPr>
      <w:r>
        <w:rPr>
          <w:rFonts w:ascii="宋体" w:hAnsi="宋体" w:eastAsia="宋体"/>
          <w:sz w:val="24"/>
        </w:rPr>
        <w:t>VR/AR 开发引擎的选型应从以下六个维度综合评估[1][2]：</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维度</w:t>
            </w:r>
          </w:p>
        </w:tc>
        <w:tc>
          <w:tcPr>
            <w:tcW w:type="dxa" w:w="2078"/>
            <w:shd w:fill="D9E2F3" w:val="clear"/>
          </w:tcPr>
          <w:p>
            <w:pPr>
              <w:jc w:val="center"/>
            </w:pPr>
            <w:r/>
            <w:r>
              <w:rPr>
                <w:rFonts w:ascii="黑体" w:hAnsi="黑体" w:eastAsia="黑体"/>
                <w:b/>
                <w:sz w:val="20"/>
              </w:rPr>
              <w:t>Unity</w:t>
            </w:r>
          </w:p>
        </w:tc>
        <w:tc>
          <w:tcPr>
            <w:tcW w:type="dxa" w:w="2078"/>
            <w:shd w:fill="D9E2F3" w:val="clear"/>
          </w:tcPr>
          <w:p>
            <w:pPr>
              <w:jc w:val="center"/>
            </w:pPr>
            <w:r/>
            <w:r>
              <w:rPr>
                <w:rFonts w:ascii="黑体" w:hAnsi="黑体" w:eastAsia="黑体"/>
                <w:b/>
                <w:sz w:val="20"/>
              </w:rPr>
              <w:t>Unreal Engine</w:t>
            </w:r>
          </w:p>
        </w:tc>
        <w:tc>
          <w:tcPr>
            <w:tcW w:type="dxa" w:w="2078"/>
            <w:shd w:fill="D9E2F3" w:val="clear"/>
          </w:tcPr>
          <w:p>
            <w:pPr>
              <w:jc w:val="center"/>
            </w:pPr>
            <w:r/>
            <w:r>
              <w:rPr>
                <w:rFonts w:ascii="黑体" w:hAnsi="黑体" w:eastAsia="黑体"/>
                <w:b/>
                <w:sz w:val="20"/>
              </w:rPr>
              <w:t>Godot</w:t>
            </w:r>
          </w:p>
        </w:tc>
      </w:tr>
      <w:tr>
        <w:tc>
          <w:tcPr>
            <w:tcW w:type="dxa" w:w="2078"/>
          </w:tcPr>
          <w:p>
            <w:r/>
            <w:r>
              <w:rPr>
                <w:rFonts w:ascii="宋体" w:hAnsi="宋体" w:eastAsia="宋体"/>
                <w:sz w:val="20"/>
              </w:rPr>
              <w:t>学习曲线</w:t>
            </w:r>
          </w:p>
        </w:tc>
        <w:tc>
          <w:tcPr>
            <w:tcW w:type="dxa" w:w="2078"/>
          </w:tcPr>
          <w:p>
            <w:r/>
            <w:r>
              <w:rPr>
                <w:rFonts w:ascii="宋体" w:hAnsi="宋体" w:eastAsia="宋体"/>
                <w:sz w:val="20"/>
              </w:rPr>
              <w:t>平缓（C#）</w:t>
            </w:r>
          </w:p>
        </w:tc>
        <w:tc>
          <w:tcPr>
            <w:tcW w:type="dxa" w:w="2078"/>
          </w:tcPr>
          <w:p>
            <w:r/>
            <w:r>
              <w:rPr>
                <w:rFonts w:ascii="宋体" w:hAnsi="宋体" w:eastAsia="宋体"/>
                <w:sz w:val="20"/>
              </w:rPr>
              <w:t>陡峭（C++/蓝图）</w:t>
            </w:r>
          </w:p>
        </w:tc>
        <w:tc>
          <w:tcPr>
            <w:tcW w:type="dxa" w:w="2078"/>
          </w:tcPr>
          <w:p>
            <w:r/>
            <w:r>
              <w:rPr>
                <w:rFonts w:ascii="宋体" w:hAnsi="宋体" w:eastAsia="宋体"/>
                <w:sz w:val="20"/>
              </w:rPr>
              <w:t>最平缓（GDScript）</w:t>
            </w:r>
          </w:p>
        </w:tc>
      </w:tr>
      <w:tr>
        <w:tc>
          <w:tcPr>
            <w:tcW w:type="dxa" w:w="2078"/>
          </w:tcPr>
          <w:p>
            <w:r/>
            <w:r>
              <w:rPr>
                <w:rFonts w:ascii="宋体" w:hAnsi="宋体" w:eastAsia="宋体"/>
                <w:sz w:val="20"/>
              </w:rPr>
              <w:t>VR/AR 支持</w:t>
            </w:r>
          </w:p>
        </w:tc>
        <w:tc>
          <w:tcPr>
            <w:tcW w:type="dxa" w:w="2078"/>
          </w:tcPr>
          <w:p>
            <w:r/>
            <w:r>
              <w:rPr>
                <w:rFonts w:ascii="宋体" w:hAnsi="宋体" w:eastAsia="宋体"/>
                <w:sz w:val="20"/>
              </w:rPr>
              <w:t>XR Interaction Toolkit</w:t>
            </w:r>
          </w:p>
        </w:tc>
        <w:tc>
          <w:tcPr>
            <w:tcW w:type="dxa" w:w="2078"/>
          </w:tcPr>
          <w:p>
            <w:r/>
            <w:r>
              <w:rPr>
                <w:rFonts w:ascii="宋体" w:hAnsi="宋体" w:eastAsia="宋体"/>
                <w:sz w:val="20"/>
              </w:rPr>
              <w:t>XR Toolkit</w:t>
            </w:r>
          </w:p>
        </w:tc>
        <w:tc>
          <w:tcPr>
            <w:tcW w:type="dxa" w:w="2078"/>
          </w:tcPr>
          <w:p>
            <w:r/>
            <w:r>
              <w:rPr>
                <w:rFonts w:ascii="宋体" w:hAnsi="宋体" w:eastAsia="宋体"/>
                <w:sz w:val="20"/>
              </w:rPr>
              <w:t>较弱</w:t>
            </w:r>
          </w:p>
        </w:tc>
      </w:tr>
      <w:tr>
        <w:tc>
          <w:tcPr>
            <w:tcW w:type="dxa" w:w="2078"/>
          </w:tcPr>
          <w:p>
            <w:r/>
            <w:r>
              <w:rPr>
                <w:rFonts w:ascii="宋体" w:hAnsi="宋体" w:eastAsia="宋体"/>
                <w:sz w:val="20"/>
              </w:rPr>
              <w:t>移动端 VR</w:t>
            </w:r>
          </w:p>
        </w:tc>
        <w:tc>
          <w:tcPr>
            <w:tcW w:type="dxa" w:w="2078"/>
          </w:tcPr>
          <w:p>
            <w:r/>
            <w:r>
              <w:rPr>
                <w:rFonts w:ascii="宋体" w:hAnsi="宋体" w:eastAsia="宋体"/>
                <w:sz w:val="20"/>
              </w:rPr>
              <w:t>优秀</w:t>
            </w:r>
          </w:p>
        </w:tc>
        <w:tc>
          <w:tcPr>
            <w:tcW w:type="dxa" w:w="2078"/>
          </w:tcPr>
          <w:p>
            <w:r/>
            <w:r>
              <w:rPr>
                <w:rFonts w:ascii="宋体" w:hAnsi="宋体" w:eastAsia="宋体"/>
                <w:sz w:val="20"/>
              </w:rPr>
              <w:t>一般</w:t>
            </w:r>
          </w:p>
        </w:tc>
        <w:tc>
          <w:tcPr>
            <w:tcW w:type="dxa" w:w="2078"/>
          </w:tcPr>
          <w:p>
            <w:r/>
            <w:r>
              <w:rPr>
                <w:rFonts w:ascii="宋体" w:hAnsi="宋体" w:eastAsia="宋体"/>
                <w:sz w:val="20"/>
              </w:rPr>
              <w:t>有限</w:t>
            </w:r>
          </w:p>
        </w:tc>
      </w:tr>
      <w:tr>
        <w:tc>
          <w:tcPr>
            <w:tcW w:type="dxa" w:w="2078"/>
          </w:tcPr>
          <w:p>
            <w:r/>
            <w:r>
              <w:rPr>
                <w:rFonts w:ascii="宋体" w:hAnsi="宋体" w:eastAsia="宋体"/>
                <w:sz w:val="20"/>
              </w:rPr>
              <w:t>PC VR</w:t>
            </w:r>
          </w:p>
        </w:tc>
        <w:tc>
          <w:tcPr>
            <w:tcW w:type="dxa" w:w="2078"/>
          </w:tcPr>
          <w:p>
            <w:r/>
            <w:r>
              <w:rPr>
                <w:rFonts w:ascii="宋体" w:hAnsi="宋体" w:eastAsia="宋体"/>
                <w:sz w:val="20"/>
              </w:rPr>
              <w:t>良好</w:t>
            </w:r>
          </w:p>
        </w:tc>
        <w:tc>
          <w:tcPr>
            <w:tcW w:type="dxa" w:w="2078"/>
          </w:tcPr>
          <w:p>
            <w:r/>
            <w:r>
              <w:rPr>
                <w:rFonts w:ascii="宋体" w:hAnsi="宋体" w:eastAsia="宋体"/>
                <w:sz w:val="20"/>
              </w:rPr>
              <w:t>优秀</w:t>
            </w:r>
          </w:p>
        </w:tc>
        <w:tc>
          <w:tcPr>
            <w:tcW w:type="dxa" w:w="2078"/>
          </w:tcPr>
          <w:p>
            <w:r/>
            <w:r>
              <w:rPr>
                <w:rFonts w:ascii="宋体" w:hAnsi="宋体" w:eastAsia="宋体"/>
                <w:sz w:val="20"/>
              </w:rPr>
              <w:t>有限</w:t>
            </w:r>
          </w:p>
        </w:tc>
      </w:tr>
      <w:tr>
        <w:tc>
          <w:tcPr>
            <w:tcW w:type="dxa" w:w="2078"/>
          </w:tcPr>
          <w:p>
            <w:r/>
            <w:r>
              <w:rPr>
                <w:rFonts w:ascii="宋体" w:hAnsi="宋体" w:eastAsia="宋体"/>
                <w:sz w:val="20"/>
              </w:rPr>
              <w:t>渲染质量</w:t>
            </w:r>
          </w:p>
        </w:tc>
        <w:tc>
          <w:tcPr>
            <w:tcW w:type="dxa" w:w="2078"/>
          </w:tcPr>
          <w:p>
            <w:r/>
            <w:r>
              <w:rPr>
                <w:rFonts w:ascii="宋体" w:hAnsi="宋体" w:eastAsia="宋体"/>
                <w:sz w:val="20"/>
              </w:rPr>
              <w:t>良好（URP/HDRP）</w:t>
            </w:r>
          </w:p>
        </w:tc>
        <w:tc>
          <w:tcPr>
            <w:tcW w:type="dxa" w:w="2078"/>
          </w:tcPr>
          <w:p>
            <w:r/>
            <w:r>
              <w:rPr>
                <w:rFonts w:ascii="宋体" w:hAnsi="宋体" w:eastAsia="宋体"/>
                <w:sz w:val="20"/>
              </w:rPr>
              <w:t>优秀（Nanite/Lumen）</w:t>
            </w:r>
          </w:p>
        </w:tc>
        <w:tc>
          <w:tcPr>
            <w:tcW w:type="dxa" w:w="2078"/>
          </w:tcPr>
          <w:p>
            <w:r/>
            <w:r>
              <w:rPr>
                <w:rFonts w:ascii="宋体" w:hAnsi="宋体" w:eastAsia="宋体"/>
                <w:sz w:val="20"/>
              </w:rPr>
              <w:t>一般</w:t>
            </w:r>
          </w:p>
        </w:tc>
      </w:tr>
      <w:tr>
        <w:tc>
          <w:tcPr>
            <w:tcW w:type="dxa" w:w="2078"/>
          </w:tcPr>
          <w:p>
            <w:r/>
            <w:r>
              <w:rPr>
                <w:rFonts w:ascii="宋体" w:hAnsi="宋体" w:eastAsia="宋体"/>
                <w:sz w:val="20"/>
              </w:rPr>
              <w:t>生态资源</w:t>
            </w:r>
          </w:p>
        </w:tc>
        <w:tc>
          <w:tcPr>
            <w:tcW w:type="dxa" w:w="2078"/>
          </w:tcPr>
          <w:p>
            <w:r/>
            <w:r>
              <w:rPr>
                <w:rFonts w:ascii="宋体" w:hAnsi="宋体" w:eastAsia="宋体"/>
                <w:sz w:val="20"/>
              </w:rPr>
              <w:t>最丰富</w:t>
            </w:r>
          </w:p>
        </w:tc>
        <w:tc>
          <w:tcPr>
            <w:tcW w:type="dxa" w:w="2078"/>
          </w:tcPr>
          <w:p>
            <w:r/>
            <w:r>
              <w:rPr>
                <w:rFonts w:ascii="宋体" w:hAnsi="宋体" w:eastAsia="宋体"/>
                <w:sz w:val="20"/>
              </w:rPr>
              <w:t>丰富</w:t>
            </w:r>
          </w:p>
        </w:tc>
        <w:tc>
          <w:tcPr>
            <w:tcW w:type="dxa" w:w="2078"/>
          </w:tcPr>
          <w:p>
            <w:r/>
            <w:r>
              <w:rPr>
                <w:rFonts w:ascii="宋体" w:hAnsi="宋体" w:eastAsia="宋体"/>
                <w:sz w:val="20"/>
              </w:rPr>
              <w:t>发展中</w:t>
            </w:r>
          </w:p>
        </w:tc>
      </w:tr>
      <w:tr>
        <w:tc>
          <w:tcPr>
            <w:tcW w:type="dxa" w:w="2078"/>
          </w:tcPr>
          <w:p>
            <w:r/>
            <w:r>
              <w:rPr>
                <w:rFonts w:ascii="宋体" w:hAnsi="宋体" w:eastAsia="宋体"/>
                <w:sz w:val="20"/>
              </w:rPr>
              <w:t>包体大小</w:t>
            </w:r>
          </w:p>
        </w:tc>
        <w:tc>
          <w:tcPr>
            <w:tcW w:type="dxa" w:w="2078"/>
          </w:tcPr>
          <w:p>
            <w:r/>
            <w:r>
              <w:rPr>
                <w:rFonts w:ascii="宋体" w:hAnsi="宋体" w:eastAsia="宋体"/>
                <w:sz w:val="20"/>
              </w:rPr>
              <w:t>较小</w:t>
            </w:r>
          </w:p>
        </w:tc>
        <w:tc>
          <w:tcPr>
            <w:tcW w:type="dxa" w:w="2078"/>
          </w:tcPr>
          <w:p>
            <w:r/>
            <w:r>
              <w:rPr>
                <w:rFonts w:ascii="宋体" w:hAnsi="宋体" w:eastAsia="宋体"/>
                <w:sz w:val="20"/>
              </w:rPr>
              <w:t>较大</w:t>
            </w:r>
          </w:p>
        </w:tc>
        <w:tc>
          <w:tcPr>
            <w:tcW w:type="dxa" w:w="2078"/>
          </w:tcPr>
          <w:p>
            <w:r/>
            <w:r>
              <w:rPr>
                <w:rFonts w:ascii="宋体" w:hAnsi="宋体" w:eastAsia="宋体"/>
                <w:sz w:val="20"/>
              </w:rPr>
              <w:t>最小</w:t>
            </w:r>
          </w:p>
        </w:tc>
      </w:tr>
      <w:tr>
        <w:tc>
          <w:tcPr>
            <w:tcW w:type="dxa" w:w="2078"/>
          </w:tcPr>
          <w:p>
            <w:r/>
            <w:r>
              <w:rPr>
                <w:rFonts w:ascii="宋体" w:hAnsi="宋体" w:eastAsia="宋体"/>
                <w:sz w:val="20"/>
              </w:rPr>
              <w:t>开源</w:t>
            </w:r>
          </w:p>
        </w:tc>
        <w:tc>
          <w:tcPr>
            <w:tcW w:type="dxa" w:w="2078"/>
          </w:tcPr>
          <w:p>
            <w:r/>
            <w:r>
              <w:rPr>
                <w:rFonts w:ascii="宋体" w:hAnsi="宋体" w:eastAsia="宋体"/>
                <w:sz w:val="20"/>
              </w:rPr>
              <w:t>否</w:t>
            </w:r>
          </w:p>
        </w:tc>
        <w:tc>
          <w:tcPr>
            <w:tcW w:type="dxa" w:w="2078"/>
          </w:tcPr>
          <w:p>
            <w:r/>
            <w:r>
              <w:rPr>
                <w:rFonts w:ascii="宋体" w:hAnsi="宋体" w:eastAsia="宋体"/>
                <w:sz w:val="20"/>
              </w:rPr>
              <w:t>否</w:t>
            </w:r>
          </w:p>
        </w:tc>
        <w:tc>
          <w:tcPr>
            <w:tcW w:type="dxa" w:w="2078"/>
          </w:tcPr>
          <w:p>
            <w:r/>
            <w:r>
              <w:rPr>
                <w:rFonts w:ascii="宋体" w:hAnsi="宋体" w:eastAsia="宋体"/>
                <w:sz w:val="20"/>
              </w:rPr>
              <w:t>完全开源</w:t>
            </w:r>
          </w:p>
        </w:tc>
      </w:tr>
      <w:tr>
        <w:tc>
          <w:tcPr>
            <w:tcW w:type="dxa" w:w="2078"/>
          </w:tcPr>
          <w:p>
            <w:r/>
            <w:r>
              <w:rPr>
                <w:rFonts w:ascii="宋体" w:hAnsi="宋体" w:eastAsia="宋体"/>
                <w:sz w:val="20"/>
              </w:rPr>
              <w:t>价格</w:t>
            </w:r>
          </w:p>
        </w:tc>
        <w:tc>
          <w:tcPr>
            <w:tcW w:type="dxa" w:w="2078"/>
          </w:tcPr>
          <w:p>
            <w:r/>
            <w:r>
              <w:rPr>
                <w:rFonts w:ascii="宋体" w:hAnsi="宋体" w:eastAsia="宋体"/>
                <w:sz w:val="20"/>
              </w:rPr>
              <w:t>免费/订阅</w:t>
            </w:r>
          </w:p>
        </w:tc>
        <w:tc>
          <w:tcPr>
            <w:tcW w:type="dxa" w:w="2078"/>
          </w:tcPr>
          <w:p>
            <w:r/>
            <w:r>
              <w:rPr>
                <w:rFonts w:ascii="宋体" w:hAnsi="宋体" w:eastAsia="宋体"/>
                <w:sz w:val="20"/>
              </w:rPr>
              <w:t>免费/分成</w:t>
            </w:r>
          </w:p>
        </w:tc>
        <w:tc>
          <w:tcPr>
            <w:tcW w:type="dxa" w:w="2078"/>
          </w:tcPr>
          <w:p>
            <w:r/>
            <w:r>
              <w:rPr>
                <w:rFonts w:ascii="宋体" w:hAnsi="宋体" w:eastAsia="宋体"/>
                <w:sz w:val="20"/>
              </w:rPr>
              <w:t>完全免费</w:t>
            </w:r>
          </w:p>
        </w:tc>
      </w:tr>
    </w:tbl>
    <w:p/>
    <w:p/>
    <w:p>
      <w:pPr>
        <w:pStyle w:val="Heading3"/>
      </w:pPr>
      <w:r>
        <w:t>6.1.2 Unity vs Unreal Engine vs Godot 结构化对比</w:t>
      </w:r>
    </w:p>
    <w:p/>
    <w:p>
      <w:pPr>
        <w:ind w:firstLine="482"/>
      </w:pPr>
      <w:r>
        <w:rPr>
          <w:rFonts w:ascii="宋体" w:hAnsi="宋体" w:eastAsia="宋体"/>
          <w:b/>
          <w:sz w:val="24"/>
        </w:rPr>
        <w:t>Unity</w:t>
      </w:r>
      <w:r>
        <w:rPr>
          <w:rFonts w:ascii="宋体" w:hAnsi="宋体" w:eastAsia="宋体"/>
          <w:sz w:val="24"/>
        </w:rPr>
        <w:t xml:space="preserve"> 是全球市场份额最高的游戏引擎，也是 VR/AR 开发领域的主导平台。Unity 的核心优势在于其 XR 生态的完整性和跨平台能力——同一套代码可以编译到 Meta Quest、PICO、iOS（ARKit）、Android（ARCore）、WebXR 等多个平台。Unity 的 XR Interaction Toolkit（XRIT）提供了标准化的 VR/AR 交互组件库，包括抓取、射线交互、凝视交互、手部追踪等常用交互模式，开发者通过拖拽组件即可实现基础交互功能[2]。</w:t>
      </w:r>
    </w:p>
    <w:p/>
    <w:p>
      <w:pPr>
        <w:ind w:firstLine="482"/>
      </w:pPr>
      <w:r>
        <w:rPr>
          <w:rFonts w:ascii="宋体" w:hAnsi="宋体" w:eastAsia="宋体"/>
          <w:sz w:val="24"/>
        </w:rPr>
        <w:t>Unity 提供两种渲染管线：通用渲染管线（URP）针对移动端和 VR 优化，性能效率高但功能受限；高清渲染管线（HDRP）面向 PC 端高端渲染，支持光线追踪等高级特效但性能开销大。VR/AR 项目通常使用 URP，因为它在移动端 GPU 上的性能表现远优于 HDRP。</w:t>
      </w:r>
    </w:p>
    <w:p/>
    <w:p>
      <w:pPr>
        <w:ind w:firstLine="482"/>
      </w:pPr>
      <w:r>
        <w:rPr>
          <w:rFonts w:ascii="宋体" w:hAnsi="宋体" w:eastAsia="宋体"/>
          <w:b/>
          <w:sz w:val="24"/>
        </w:rPr>
        <w:t>Unreal Engine</w:t>
      </w:r>
      <w:r>
        <w:rPr>
          <w:rFonts w:ascii="宋体" w:hAnsi="宋体" w:eastAsia="宋体"/>
          <w:sz w:val="24"/>
        </w:rPr>
        <w:t xml:space="preserve"> 以渲染质量著称，其 Nanite 虚拟几何体技术能够实时渲染数十亿多边形的模型而无需手动 LOD——这对于文化遗产数字化场景（如高精度文物 3D 扫描模型）具有巨大价值。Lumen 全局光照系统提供实时动态光照，无需预烘焙即可获得逼真的间接光照效果。然而，Unreal 的项目包体通常比 Unity 大 3-5 倍，且在移动端 VR 上的性能优化难度更高[1]。</w:t>
      </w:r>
    </w:p>
    <w:p/>
    <w:p>
      <w:pPr>
        <w:ind w:firstLine="482"/>
      </w:pPr>
      <w:r>
        <w:rPr>
          <w:rFonts w:ascii="宋体" w:hAnsi="宋体" w:eastAsia="宋体"/>
          <w:b/>
          <w:sz w:val="24"/>
        </w:rPr>
        <w:t>Godot</w:t>
      </w:r>
      <w:r>
        <w:rPr>
          <w:rFonts w:ascii="宋体" w:hAnsi="宋体" w:eastAsia="宋体"/>
          <w:sz w:val="24"/>
        </w:rPr>
        <w:t xml:space="preserve"> 是完全开源免费的轻量级引擎，近年来发展迅速。Godot 4.0 的 Vulkan 渲染器在视觉效果上有显著提升，但其 VR/AR 生态仍不成熟——缺乏类似 XRIT 的标准化交互组件库，OpenXR 支持尚在社区贡献阶段。Godot 适合预算有限的独立项目和教育场景中的入门教学[2]。</w:t>
      </w:r>
    </w:p>
    <w:p/>
    <w:p>
      <w:pPr>
        <w:ind w:firstLine="482"/>
      </w:pPr>
      <w:r>
        <w:rPr>
          <w:rFonts w:ascii="宋体" w:hAnsi="宋体" w:eastAsia="宋体"/>
          <w:sz w:val="24"/>
        </w:rPr>
        <w:t>Buttiglione 等人在 2026 年的研究中对 Unity、Unreal Engine 和 Godot 进行了 VR 游戏引擎的结构化对比，特别关注了 Vendor Lock-in（供应商锁定）风险[2]。研究指出，Unity 和 Unreal 的闭源商业模式使开发者面临许可证变更和服务条款调整的风险——Unity 在 2023 年曾提出基于安装量的收费政策（后因社区强烈反对而修改），这一事件凸显了过度依赖单一闭源引擎的风险。Godot 作为完全开源引擎，不存在供应商锁定风险，但其功能完善度尚不足以替代 Unity/Unreal 用于专业 VR/AR 开发。</w:t>
      </w:r>
    </w:p>
    <w:p/>
    <w:p>
      <w:pPr>
        <w:ind w:firstLine="482"/>
      </w:pPr>
      <w:r>
        <w:rPr>
          <w:rFonts w:ascii="宋体" w:hAnsi="宋体" w:eastAsia="宋体"/>
          <w:sz w:val="24"/>
        </w:rPr>
        <w:t>Berrezueta-Guzman 和 Wagner 在 2025 年发表的综述中进一步分析了 VR 引擎选择的决策框架，建议根据项目生命周期、目标平台、团队技能和预算四个因素进行综合决策[3]。对于教育实训场景，他们推荐 Unity 作为首选引擎——其学习曲线平缓、教育资源丰富、社区支持活跃，且 XRIT 框架大幅降低了 VR/AR 交互开发的门槛。</w:t>
      </w:r>
    </w:p>
    <w:p/>
    <w:p>
      <w:pPr>
        <w:pStyle w:val="Heading3"/>
      </w:pPr>
      <w:r>
        <w:t>6.1.3 WebXR 与浏览器端 VR/AR 开发</w:t>
      </w:r>
    </w:p>
    <w:p/>
    <w:p>
      <w:pPr>
        <w:ind w:firstLine="482"/>
      </w:pPr>
      <w:r>
        <w:rPr>
          <w:rFonts w:ascii="宋体" w:hAnsi="宋体" w:eastAsia="宋体"/>
          <w:sz w:val="24"/>
        </w:rPr>
        <w:t>WebXR（Web Extended Reality）是 W3C 制定的浏览器端 VR/AR API 标准，允许开发者使用 Web 技术（HTML、JavaScript、WebGL）创建 VR/AR 应用，用户无需安装任何应用即可通过浏览器访问体验[4]。</w:t>
      </w:r>
    </w:p>
    <w:p/>
    <w:p>
      <w:pPr>
        <w:ind w:firstLine="482"/>
      </w:pPr>
      <w:r>
        <w:rPr>
          <w:rFonts w:ascii="宋体" w:hAnsi="宋体" w:eastAsia="宋体"/>
          <w:sz w:val="24"/>
        </w:rPr>
        <w:t>WebXR 的核心优势在于</w:t>
      </w:r>
      <w:r>
        <w:rPr>
          <w:rFonts w:ascii="宋体" w:hAnsi="宋体" w:eastAsia="宋体"/>
          <w:b/>
          <w:sz w:val="24"/>
        </w:rPr>
        <w:t>零安装、跨平台、易分发</w:t>
      </w:r>
      <w:r>
        <w:rPr>
          <w:rFonts w:ascii="宋体" w:hAnsi="宋体" w:eastAsia="宋体"/>
          <w:sz w:val="24"/>
        </w:rPr>
        <w:t>——用户只需点击一个链接即可进入 VR/AR 体验，无需通过应用商店审核和下载安装。这一特性对于文旅场景尤为重要——景区可以在宣传材料中印制 QR 码，游客扫码即进入 VR 体验，极大降低了使用门槛。</w:t>
      </w:r>
    </w:p>
    <w:p/>
    <w:p>
      <w:pPr>
        <w:ind w:firstLine="482"/>
      </w:pPr>
      <w:r>
        <w:rPr>
          <w:rFonts w:ascii="宋体" w:hAnsi="宋体" w:eastAsia="宋体"/>
          <w:sz w:val="24"/>
        </w:rPr>
        <w:t>WebXR 的主要局限在于</w:t>
      </w:r>
      <w:r>
        <w:rPr>
          <w:rFonts w:ascii="宋体" w:hAnsi="宋体" w:eastAsia="宋体"/>
          <w:b/>
          <w:sz w:val="24"/>
        </w:rPr>
        <w:t>性能受限</w:t>
      </w:r>
      <w:r>
        <w:rPr>
          <w:rFonts w:ascii="宋体" w:hAnsi="宋体" w:eastAsia="宋体"/>
          <w:sz w:val="24"/>
        </w:rPr>
        <w:t>——浏览器环境下的渲染性能远不及原生应用，特别是在移动端 VR（如 Meta Quest 浏览器）上，复杂场景的帧率难以达到 90fps。因此，WebXR 更适合轻量级 VR/AR 体验（如 360° 全景浏览、简单 AR 叠加），而非高复杂度的交互式 VR 应用。</w:t>
      </w:r>
    </w:p>
    <w:p/>
    <w:p>
      <w:pPr>
        <w:ind w:firstLine="482"/>
      </w:pPr>
      <w:r>
        <w:rPr>
          <w:rFonts w:ascii="宋体" w:hAnsi="宋体" w:eastAsia="宋体"/>
          <w:sz w:val="24"/>
        </w:rPr>
        <w:t>主流的 WebXR 开发框架包括：</w:t>
      </w:r>
      <w:r>
        <w:rPr>
          <w:rFonts w:ascii="宋体" w:hAnsi="宋体" w:eastAsia="宋体"/>
          <w:b/>
          <w:sz w:val="24"/>
        </w:rPr>
        <w:t>Three.js</w:t>
      </w:r>
      <w:r>
        <w:rPr>
          <w:rFonts w:ascii="宋体" w:hAnsi="宋体" w:eastAsia="宋体"/>
          <w:sz w:val="24"/>
        </w:rPr>
        <w:t>——底层 WebGL 封装库，灵活但需要较多手工编码；</w:t>
      </w:r>
      <w:r>
        <w:rPr>
          <w:rFonts w:ascii="宋体" w:hAnsi="宋体" w:eastAsia="宋体"/>
          <w:b/>
          <w:sz w:val="24"/>
        </w:rPr>
        <w:t>A-Frame</w:t>
      </w:r>
      <w:r>
        <w:rPr>
          <w:rFonts w:ascii="宋体" w:hAnsi="宋体" w:eastAsia="宋体"/>
          <w:sz w:val="24"/>
        </w:rPr>
        <w:t>——基于 HTML 声明式的 WebXR 框架，入门门槛最低；</w:t>
      </w:r>
      <w:r>
        <w:rPr>
          <w:rFonts w:ascii="宋体" w:hAnsi="宋体" w:eastAsia="宋体"/>
          <w:b/>
          <w:sz w:val="24"/>
        </w:rPr>
        <w:t>Babylon.js</w:t>
      </w:r>
      <w:r>
        <w:rPr>
          <w:rFonts w:ascii="宋体" w:hAnsi="宋体" w:eastAsia="宋体"/>
          <w:sz w:val="24"/>
        </w:rPr>
        <w:t>——微软维护的功能丰富的 3D 引擎，内置 WebXR 支持[4]。</w:t>
      </w:r>
    </w:p>
    <w:p/>
    <w:p>
      <w:pPr>
        <w:pStyle w:val="Heading3"/>
      </w:pPr>
      <w:r>
        <w:t>6.1.4 引擎 Vendor Lock-in 风险分析</w:t>
      </w:r>
    </w:p>
    <w:p/>
    <w:p>
      <w:pPr>
        <w:ind w:firstLine="482"/>
      </w:pPr>
      <w:r>
        <w:rPr>
          <w:rFonts w:ascii="宋体" w:hAnsi="宋体" w:eastAsia="宋体"/>
          <w:sz w:val="24"/>
        </w:rPr>
        <w:t>Vendor Lock-in（供应商锁定）是指开发者因深度依赖某一引擎的专有技术、工具链和生态系统，导致切换到其他引擎时面临巨大成本的风险[2]。在 VR/AR 开发中，Vendor Lock-in 的表现形式包括：项目文件格式不兼容（Unity Prefab vs Unreal Blueprint）、编程语言差异（C# vs C++）、专有插件和 SDK 绑定、以及团队技能沉淀的不可迁移性。</w:t>
      </w:r>
    </w:p>
    <w:p/>
    <w:p>
      <w:pPr>
        <w:ind w:firstLine="482"/>
      </w:pPr>
      <w:r>
        <w:rPr>
          <w:rFonts w:ascii="宋体" w:hAnsi="宋体" w:eastAsia="宋体"/>
          <w:sz w:val="24"/>
        </w:rPr>
        <w:t>降低 Vendor Lock-in 风险的策略包括：（1）优先使用开放标准（如 OpenXR API）而非引擎专有接口；（2）将核心逻辑与引擎层解耦——业务逻辑使用纯 C# 或 C++ 编写，引擎只负责渲染和交互；（3）保持资产格式标准化——模型使用 FBX/OBJ 格式，纹理使用 PNG/TGA 格式，避免使用引擎专有资产格式；（4）定期评估替代引擎方案，保持技术选型的灵活性[2]。</w:t>
      </w:r>
    </w:p>
    <w:p/>
    <w:p>
      <w:pPr>
        <w:pStyle w:val="Heading2"/>
      </w:pPr>
      <w:r>
        <w:t>6.2 Unity VR/AR 开发</w:t>
      </w:r>
    </w:p>
    <w:p/>
    <w:p>
      <w:pPr>
        <w:pStyle w:val="Heading3"/>
      </w:pPr>
      <w:r>
        <w:t>6.2.1 Unity XR Interaction Toolkit 框架</w:t>
      </w:r>
    </w:p>
    <w:p/>
    <w:p>
      <w:pPr>
        <w:ind w:firstLine="482"/>
      </w:pPr>
      <w:r>
        <w:rPr>
          <w:rFonts w:ascii="宋体" w:hAnsi="宋体" w:eastAsia="宋体"/>
          <w:sz w:val="24"/>
        </w:rPr>
        <w:t>Unity XR Interaction Toolkit（XRIT）是 Unity 官方维护的 VR/AR 交互框架，提供了标准化的交互组件和输入系统[5]。XRIT 的核心组件包括：</w:t>
      </w:r>
    </w:p>
    <w:p/>
    <w:p>
      <w:pPr>
        <w:ind w:firstLine="482"/>
      </w:pPr>
      <w:r>
        <w:rPr>
          <w:rFonts w:ascii="宋体" w:hAnsi="宋体" w:eastAsia="宋体"/>
          <w:b/>
          <w:sz w:val="24"/>
        </w:rPr>
        <w:t>XR Origin（XR Rig）</w:t>
      </w:r>
      <w:r>
        <w:rPr>
          <w:rFonts w:ascii="宋体" w:hAnsi="宋体" w:eastAsia="宋体"/>
          <w:sz w:val="24"/>
        </w:rPr>
        <w:t>：VR 相机系统，管理头显和手柄的追踪空间。XR Origin 替代了旧版的 XR Rig，提供了更灵活的相机偏移和运动模式配置。</w:t>
      </w:r>
    </w:p>
    <w:p/>
    <w:p>
      <w:pPr>
        <w:ind w:firstLine="482"/>
      </w:pPr>
      <w:r>
        <w:rPr>
          <w:rFonts w:ascii="宋体" w:hAnsi="宋体" w:eastAsia="宋体"/>
          <w:b/>
          <w:sz w:val="24"/>
        </w:rPr>
        <w:t>XR Controller</w:t>
      </w:r>
      <w:r>
        <w:rPr>
          <w:rFonts w:ascii="宋体" w:hAnsi="宋体" w:eastAsia="宋体"/>
          <w:sz w:val="24"/>
        </w:rPr>
        <w:t>：输入设备抽象层，将不同厂商的手柄（Meta Touch、Vive Controller、PICO Controller）映射为统一的输入接口。开发者通过 Input Action 引用读取扳机键、握持键、摇杆等输入值，无需关心底层设备差异。</w:t>
      </w:r>
    </w:p>
    <w:p/>
    <w:p>
      <w:pPr>
        <w:ind w:firstLine="482"/>
      </w:pPr>
      <w:r>
        <w:rPr>
          <w:rFonts w:ascii="宋体" w:hAnsi="宋体" w:eastAsia="宋体"/>
          <w:b/>
          <w:sz w:val="24"/>
        </w:rPr>
        <w:t>XR Interactable</w:t>
      </w:r>
      <w:r>
        <w:rPr>
          <w:rFonts w:ascii="宋体" w:hAnsi="宋体" w:eastAsia="宋体"/>
          <w:sz w:val="24"/>
        </w:rPr>
        <w:t>：可交互物体组件，定义物体如何被交互。常用子类包括 XR Grab Interactable（可抓取物体）和 XR Simple Interactable（简单交互，如悬停触发事件）。</w:t>
      </w:r>
    </w:p>
    <w:p/>
    <w:p>
      <w:pPr>
        <w:ind w:firstLine="482"/>
      </w:pPr>
      <w:r>
        <w:rPr>
          <w:rFonts w:ascii="宋体" w:hAnsi="宋体" w:eastAsia="宋体"/>
          <w:b/>
          <w:sz w:val="24"/>
        </w:rPr>
        <w:t>XR Interactor</w:t>
      </w:r>
      <w:r>
        <w:rPr>
          <w:rFonts w:ascii="宋体" w:hAnsi="宋体" w:eastAsia="宋体"/>
          <w:sz w:val="24"/>
        </w:rPr>
        <w:t>：交互执行者组件，定义用户如何执行交互。常用子类包括 XR Direct Interactor（直接交互，需接触物体）和 XR Ray Interactor（射线交互，可远距离选择物体）。</w:t>
      </w:r>
    </w:p>
    <w:p/>
    <w:p>
      <w:pPr>
        <w:ind w:firstLine="482"/>
      </w:pPr>
      <w:r>
        <w:rPr>
          <w:rFonts w:ascii="宋体" w:hAnsi="宋体" w:eastAsia="宋体"/>
          <w:b/>
          <w:sz w:val="24"/>
        </w:rPr>
        <w:t>Locomotion System</w:t>
      </w:r>
      <w:r>
        <w:rPr>
          <w:rFonts w:ascii="宋体" w:hAnsi="宋体" w:eastAsia="宋体"/>
          <w:sz w:val="24"/>
        </w:rPr>
        <w:t>：移动系统，提供瞬移（Teleportation）和平滑移动（Smooth Locomotion）两种移动模式。瞬移模式包含 Teleport Area（可传送区域）和 Teleport Anchor（传送锚点）两种组件。</w:t>
      </w:r>
    </w:p>
    <w:p/>
    <w:p>
      <w:pPr>
        <w:pStyle w:val="Heading3"/>
      </w:pPr>
      <w:r>
        <w:t>6.2.2 场景搭建与交互组件配置</w:t>
      </w:r>
    </w:p>
    <w:p/>
    <w:p>
      <w:pPr>
        <w:ind w:firstLine="482"/>
      </w:pPr>
      <w:r>
        <w:rPr>
          <w:rFonts w:ascii="宋体" w:hAnsi="宋体" w:eastAsia="宋体"/>
          <w:sz w:val="24"/>
        </w:rPr>
        <w:t>在 Unity 中搭建 VR 场景的标准流程为[5]：（1）创建新项目并导入 URP 模板和 XR Plugin Management；（2）通过 XR Plugin Manager 配置目标平台（Meta Quest/OpenXR）；（3）添加 XR Origin 到场景，配置追踪空间和相机参数；（4）导入 3D 资产并设置材质、碰撞体；（5）为可交互物体添加 XR Grab Interactable 组件，配置抓取动画和音频反馈；（6）添加 Locomotion System 并设置瞬移区域；（7）通过 Meta Quest Link 进行 PC 预览测试；（8）编译部署到设备进行真机测试。</w:t>
      </w:r>
    </w:p>
    <w:p/>
    <w:p>
      <w:pPr>
        <w:ind w:firstLine="482"/>
      </w:pPr>
      <w:r>
        <w:rPr>
          <w:rFonts w:ascii="宋体" w:hAnsi="宋体" w:eastAsia="宋体"/>
          <w:sz w:val="24"/>
        </w:rPr>
        <w:t>在 VR 场景搭建中，光照设置是影响视觉质量的关键环节。Unity URP 提供了多种光照方案：</w:t>
      </w:r>
      <w:r>
        <w:rPr>
          <w:rFonts w:ascii="宋体" w:hAnsi="宋体" w:eastAsia="宋体"/>
          <w:b/>
          <w:sz w:val="24"/>
        </w:rPr>
        <w:t>实时方向光</w:t>
      </w:r>
      <w:r>
        <w:rPr>
          <w:rFonts w:ascii="宋体" w:hAnsi="宋体" w:eastAsia="宋体"/>
          <w:sz w:val="24"/>
        </w:rPr>
        <w:t>（Directional Light）模拟太阳光，产生动态阴影，但阴影计算开销大，在移动端 VR 上应限制阴影投射距离和级联数量；</w:t>
      </w:r>
      <w:r>
        <w:rPr>
          <w:rFonts w:ascii="宋体" w:hAnsi="宋体" w:eastAsia="宋体"/>
          <w:b/>
          <w:sz w:val="24"/>
        </w:rPr>
        <w:t>烘焙光照贴图</w:t>
      </w:r>
      <w:r>
        <w:rPr>
          <w:rFonts w:ascii="宋体" w:hAnsi="宋体" w:eastAsia="宋体"/>
          <w:sz w:val="24"/>
        </w:rPr>
        <w:t>（Baked Lightmaps）将静态光照预计算到纹理中，运行时零计算开销，适合不变化的光照场景（如室内博物馆）；</w:t>
      </w:r>
      <w:r>
        <w:rPr>
          <w:rFonts w:ascii="宋体" w:hAnsi="宋体" w:eastAsia="宋体"/>
          <w:b/>
          <w:sz w:val="24"/>
        </w:rPr>
        <w:t>光照探针</w:t>
      </w:r>
      <w:r>
        <w:rPr>
          <w:rFonts w:ascii="宋体" w:hAnsi="宋体" w:eastAsia="宋体"/>
          <w:sz w:val="24"/>
        </w:rPr>
        <w:t>（Light Probes）为动态物体提供间接光照近似，在烘焙光照场景中使移动物体的光照与环境协调。VR 场景的推荐光照策略是：静态环境使用烘焙光照+光照探针，动态物体使用有限范围的实时方向光阴影。</w:t>
      </w:r>
    </w:p>
    <w:p/>
    <w:p>
      <w:pPr>
        <w:ind w:firstLine="482"/>
      </w:pPr>
      <w:r>
        <w:rPr>
          <w:rFonts w:ascii="宋体" w:hAnsi="宋体" w:eastAsia="宋体"/>
          <w:sz w:val="24"/>
        </w:rPr>
        <w:t>孙泽华和李实在基于 Unity3D 引擎的篮球战术可视化教学系统的开发实践中，详细描述了 Unity VR 项目的性能调优过程[15]。他们发现，在 Meta Quest 2 上运行包含 50 个以上动态物体的场景时，CPU 的物理计算成为主要瓶颈。通过将物理更新频率从默认的 50Hz 降低到 30Hz、使用简化碰撞体（Box Collider 替代 Mesh Collider）、以及启用 Job System 进行多线程物理计算，成功将帧率从 45fps 提升到 72fps。这些优化经验对于文旅 VR 场景中大量动态物体（如飘动的旗帜、流动的水面、移动的 NPC）的性能优化具有参考价值。</w:t>
      </w:r>
    </w:p>
    <w:p/>
    <w:p>
      <w:pPr>
        <w:ind w:firstLine="482"/>
      </w:pPr>
      <w:r>
        <w:rPr>
          <w:rFonts w:ascii="宋体" w:hAnsi="宋体" w:eastAsia="宋体"/>
          <w:sz w:val="24"/>
        </w:rPr>
        <w:t>Spanlang 等人详细描述了如何构建一个 VR 具身实验室，包括身体表征幻觉的实现方法[14]。他们的研究表明，在 Unity 中实现身体所有权幻觉需要三个技术要素：（1）精确的手部追踪——手部虚拟模型与真实手部的位置偏差应小于 2cm，否则大脑会拒绝"虚拟手是我的手"的错觉；（2）同步的触觉反馈——当用户看到虚拟手触碰物体时，手柄必须在 10ms 内产生振动反馈；（3）第一人称视角的虚拟身体——用户低头时应该看到虚拟身体的躯干和腿部，而非空无一物。这些技术要素在文旅 VR 中创造"虚拟导游陪伴体验"时同样重要——当虚拟导游与用户在同一空间中互动时，用户自身的虚拟身体存在感会显著增强社交沉浸感。</w:t>
      </w:r>
    </w:p>
    <w:p/>
    <w:p>
      <w:pPr>
        <w:pStyle w:val="Heading3"/>
      </w:pPr>
      <w:r>
        <w:t>6.2.3 AR Foundation 跨平台 AR 开发</w:t>
      </w:r>
    </w:p>
    <w:p/>
    <w:p>
      <w:pPr>
        <w:ind w:firstLine="482"/>
      </w:pPr>
      <w:r>
        <w:rPr>
          <w:rFonts w:ascii="宋体" w:hAnsi="宋体" w:eastAsia="宋体"/>
          <w:sz w:val="24"/>
        </w:rPr>
        <w:t>AR Foundation 是 Unity 的跨平台 AR 开发框架，提供统一的 AR API 接口，底层自动适配 ARKit（iOS）和 ARCore（Android）[5]。AR Foundation 的核心功能包括：</w:t>
      </w:r>
    </w:p>
    <w:p/>
    <w:p>
      <w:pPr>
        <w:ind w:firstLine="482"/>
      </w:pPr>
      <w:r>
        <w:rPr>
          <w:rFonts w:ascii="宋体" w:hAnsi="宋体" w:eastAsia="宋体"/>
          <w:b/>
          <w:sz w:val="24"/>
        </w:rPr>
        <w:t>平面检测（Plane Detection）</w:t>
      </w:r>
      <w:r>
        <w:rPr>
          <w:rFonts w:ascii="宋体" w:hAnsi="宋体" w:eastAsia="宋体"/>
          <w:sz w:val="24"/>
        </w:rPr>
        <w:t>：自动识别水平和垂直平面，使虚拟物体能够放置在真实地面上或贴合墙面。</w:t>
      </w:r>
    </w:p>
    <w:p/>
    <w:p>
      <w:pPr>
        <w:ind w:firstLine="482"/>
      </w:pPr>
      <w:r>
        <w:rPr>
          <w:rFonts w:ascii="宋体" w:hAnsi="宋体" w:eastAsia="宋体"/>
          <w:b/>
          <w:sz w:val="24"/>
        </w:rPr>
        <w:t>图像追踪（Image Tracking）</w:t>
      </w:r>
      <w:r>
        <w:rPr>
          <w:rFonts w:ascii="宋体" w:hAnsi="宋体" w:eastAsia="宋体"/>
          <w:sz w:val="24"/>
        </w:rPr>
        <w:t>：识别预设的 2D 图像标记并触发 AR 内容叠加——在文旅场景中，游客扫描景区文化展板即可触发 3D 模型或视频讲解。</w:t>
      </w:r>
    </w:p>
    <w:p/>
    <w:p>
      <w:pPr>
        <w:ind w:firstLine="482"/>
      </w:pPr>
      <w:r>
        <w:rPr>
          <w:rFonts w:ascii="宋体" w:hAnsi="宋体" w:eastAsia="宋体"/>
          <w:b/>
          <w:sz w:val="24"/>
        </w:rPr>
        <w:t>物体追踪（Object Tracking）</w:t>
      </w:r>
      <w:r>
        <w:rPr>
          <w:rFonts w:ascii="宋体" w:hAnsi="宋体" w:eastAsia="宋体"/>
          <w:sz w:val="24"/>
        </w:rPr>
        <w:t>：识别预设的 3D 物体（如雕塑、建筑构件），在物体上叠加 AR 信息。</w:t>
      </w:r>
    </w:p>
    <w:p/>
    <w:p>
      <w:pPr>
        <w:ind w:firstLine="482"/>
      </w:pPr>
      <w:r>
        <w:rPr>
          <w:rFonts w:ascii="宋体" w:hAnsi="宋体" w:eastAsia="宋体"/>
          <w:b/>
          <w:sz w:val="24"/>
        </w:rPr>
        <w:t>面部追踪（Face Tracking）</w:t>
      </w:r>
      <w:r>
        <w:rPr>
          <w:rFonts w:ascii="宋体" w:hAnsi="宋体" w:eastAsia="宋体"/>
          <w:sz w:val="24"/>
        </w:rPr>
        <w:t>：追踪用户面部表情，用于虚拟试戴、虚拟化妆等应用。</w:t>
      </w:r>
    </w:p>
    <w:p/>
    <w:p>
      <w:pPr>
        <w:ind w:firstLine="482"/>
      </w:pPr>
      <w:r>
        <w:rPr>
          <w:rFonts w:ascii="宋体" w:hAnsi="宋体" w:eastAsia="宋体"/>
          <w:b/>
          <w:sz w:val="24"/>
        </w:rPr>
        <w:t>光照估计（Light Estimation）</w:t>
      </w:r>
      <w:r>
        <w:rPr>
          <w:rFonts w:ascii="宋体" w:hAnsi="宋体" w:eastAsia="宋体"/>
          <w:sz w:val="24"/>
        </w:rPr>
        <w:t>：根据真实环境光照条件调整虚拟物体的光照参数，使虚实融合更加自然。</w:t>
      </w:r>
    </w:p>
    <w:p/>
    <w:p>
      <w:pPr>
        <w:pStyle w:val="Heading3"/>
      </w:pPr>
      <w:r>
        <w:t>6.2.4 Unity VR 项目构建与部署</w:t>
      </w:r>
    </w:p>
    <w:p/>
    <w:p>
      <w:pPr>
        <w:ind w:firstLine="482"/>
      </w:pPr>
      <w:r>
        <w:rPr>
          <w:rFonts w:ascii="宋体" w:hAnsi="宋体" w:eastAsia="宋体"/>
          <w:sz w:val="24"/>
        </w:rPr>
        <w:t>Unity VR 项目的构建部署流程因目标平台而异。对于 Meta Quest 平台：（1）在 Project Settings → Player 中配置 Android 平台参数，设置 Minimum API Level 为 Android 10.0；（2）在 XR Plugin Management 中启用 OpenXR Loader；（3）在 Build Settings 中添加场景并点击 Build，生成 APK 文件；（4）通过 Meta Quest Developer Hub 或 adb 命令将 APK 安装到设备。对于 PC VR 平台（SteamVR）：构建为 Windows 可执行文件，通过 SteamVR 运行[5]。</w:t>
      </w:r>
    </w:p>
    <w:p/>
    <w:p>
      <w:pPr>
        <w:ind w:firstLine="482"/>
      </w:pPr>
      <w:r>
        <w:rPr>
          <w:rFonts w:ascii="宋体" w:hAnsi="宋体" w:eastAsia="宋体"/>
          <w:sz w:val="24"/>
        </w:rPr>
        <w:t>Fleck 等人展示了如何使用 Unity3D 创建 IoT-ready 的 XR Web 应用，将 Unity 的渲染能力与 WebXR 的分发便利性相结合[6]。这种方法通过 Unity 的 WebGL 构建和 WebXR Exporter 插件，将 Unity 项目编译为可在浏览器中运行的 WebXR 应用，兼顾了开发效率和分发便利性。</w:t>
      </w:r>
    </w:p>
    <w:p/>
    <w:p>
      <w:pPr>
        <w:pStyle w:val="Heading2"/>
      </w:pPr>
      <w:r>
        <w:t>6.3 Unreal Engine VR/AR 开发</w:t>
      </w:r>
    </w:p>
    <w:p/>
    <w:p>
      <w:pPr>
        <w:pStyle w:val="Heading3"/>
      </w:pPr>
      <w:r>
        <w:t>6.3.1 Unreal XR 系统架构</w:t>
      </w:r>
    </w:p>
    <w:p/>
    <w:p>
      <w:pPr>
        <w:ind w:firstLine="482"/>
      </w:pPr>
      <w:r>
        <w:rPr>
          <w:rFonts w:ascii="宋体" w:hAnsi="宋体" w:eastAsia="宋体"/>
          <w:sz w:val="24"/>
        </w:rPr>
        <w:t>Unreal Engine 的 VR/AR 支持基于 OpenXR 标准，通过 XR Base 组件提供头显追踪、手柄输入和渲染输出。与 Unity 的组件化方式不同，Unreal 的 VR 开发更多依赖蓝图（Blueprint）可视化编程系统——开发者通过连接蓝图节点实现交互逻辑，无需编写 C++ 代码[1]。</w:t>
      </w:r>
    </w:p>
    <w:p/>
    <w:p>
      <w:pPr>
        <w:ind w:firstLine="482"/>
      </w:pPr>
      <w:r>
        <w:rPr>
          <w:rFonts w:ascii="宋体" w:hAnsi="宋体" w:eastAsia="宋体"/>
          <w:sz w:val="24"/>
        </w:rPr>
        <w:t>Unreal 的 VR 模板（VR Template）提供了开箱即用的 VR 项目框架，包含手部追踪、抓取交互、瞬移移动等基础功能。开发者可以在此模板基础上快速迭代项目内容。</w:t>
      </w:r>
    </w:p>
    <w:p/>
    <w:p>
      <w:pPr>
        <w:pStyle w:val="Heading3"/>
      </w:pPr>
      <w:r>
        <w:t>6.3.2 蓝图可视化编程与 VR 模板</w:t>
      </w:r>
    </w:p>
    <w:p/>
    <w:p>
      <w:pPr>
        <w:ind w:firstLine="482"/>
      </w:pPr>
      <w:r>
        <w:rPr>
          <w:rFonts w:ascii="宋体" w:hAnsi="宋体" w:eastAsia="宋体"/>
          <w:sz w:val="24"/>
        </w:rPr>
        <w:t>蓝图系统是 Unreal Engine 区别于 Unity 的核心特征之一。蓝图允许设计师（非程序员）通过可视化拖拽方式创建交互逻辑，降低了 VR 开发的编程门槛。蓝图分为多种类型：Level Blueprint（关卡蓝图，用于关卡级事件）、Class Blueprint（类蓝图，可复用的对象蓝图）和 Widget Blueprint（UI 蓝图，用于用户界面）。</w:t>
      </w:r>
    </w:p>
    <w:p/>
    <w:p>
      <w:pPr>
        <w:ind w:firstLine="482"/>
      </w:pPr>
      <w:r>
        <w:rPr>
          <w:rFonts w:ascii="宋体" w:hAnsi="宋体" w:eastAsia="宋体"/>
          <w:sz w:val="24"/>
        </w:rPr>
        <w:t>在 VR 项目中，蓝图常用于处理手柄输入事件（如扳机键按下、释放）、交互物体的事件响应（如抓取开始、结束）、以及游戏逻辑（如任务进度管理、NPC 对话触发）。蓝图的优点是开发速度快、可视化调试直观；缺点是复杂逻辑的蓝图网络会变得难以维护，且性能略低于 C++ 实现[1]。</w:t>
      </w:r>
    </w:p>
    <w:p/>
    <w:p>
      <w:pPr>
        <w:pStyle w:val="Heading3"/>
      </w:pPr>
      <w:r>
        <w:t>6.3.3 Nanite 与 Lumen 在 VR 场景中的应用</w:t>
      </w:r>
    </w:p>
    <w:p/>
    <w:p>
      <w:pPr>
        <w:ind w:firstLine="482"/>
      </w:pPr>
      <w:r>
        <w:rPr>
          <w:rFonts w:ascii="宋体" w:hAnsi="宋体" w:eastAsia="宋体"/>
          <w:b/>
          <w:sz w:val="24"/>
        </w:rPr>
        <w:t>Nanite 虚拟几何体</w:t>
      </w:r>
      <w:r>
        <w:rPr>
          <w:rFonts w:ascii="宋体" w:hAnsi="宋体" w:eastAsia="宋体"/>
          <w:sz w:val="24"/>
        </w:rPr>
        <w:t>是 Unreal Engine 5 的标志性技术，能够实时渲染数十亿多边形的模型而无需手动创建 LOD。Nanite 的工作原理是将模型分割为簇（Cluster），根据屏幕空间大小动态选择不同精度的簇进行渲染——距离近的簇使用高精度，距离远的簇自动简化。这使得高精度摄影测量模型（如文物 3D 扫描）可以直接导入 Unreal 而无需减面，大幅简化了文化遗产数字化的资产处理流程[1]。</w:t>
      </w:r>
    </w:p>
    <w:p/>
    <w:p>
      <w:pPr>
        <w:ind w:firstLine="482"/>
      </w:pPr>
      <w:r>
        <w:rPr>
          <w:rFonts w:ascii="宋体" w:hAnsi="宋体" w:eastAsia="宋体"/>
          <w:sz w:val="24"/>
        </w:rPr>
        <w:t>然而，Nanite 在 VR 中面临特殊挑战——VR 的双目渲染和 90fps 帧率要求使 GPU 负载翻倍，Nanite 的动态简化计算也可能增加帧时间。目前 Nanite 在 PC VR 上表现良好，但在移动端 VR（Meta Quest）上尚未获得官方支持。</w:t>
      </w:r>
    </w:p>
    <w:p/>
    <w:p>
      <w:pPr>
        <w:ind w:firstLine="482"/>
      </w:pPr>
      <w:r>
        <w:rPr>
          <w:rFonts w:ascii="宋体" w:hAnsi="宋体" w:eastAsia="宋体"/>
          <w:b/>
          <w:sz w:val="24"/>
        </w:rPr>
        <w:t>Lumen 全局光照</w:t>
      </w:r>
      <w:r>
        <w:rPr>
          <w:rFonts w:ascii="宋体" w:hAnsi="宋体" w:eastAsia="宋体"/>
          <w:sz w:val="24"/>
        </w:rPr>
        <w:t>提供实时动态光照和反射，无需预烘焙光照贴图。Lumen 能够自动计算间接光照——阳光通过窗户照进室内后，在墙壁和地板上的反射光会被实时模拟。这对于需要动态光照变化的 VR 场景（如昼夜变化的虚拟古镇）具有重要价值。但 Lumen 的性能开销较大，在移动端 VR 上需要降级使用或完全禁用，改用传统的预烘焙光照方案[1]。</w:t>
      </w:r>
    </w:p>
    <w:p/>
    <w:p>
      <w:pPr>
        <w:pStyle w:val="Heading2"/>
      </w:pPr>
      <w:r>
        <w:t>6.4 渲染管线与性能优化</w:t>
      </w:r>
    </w:p>
    <w:p/>
    <w:p>
      <w:pPr>
        <w:pStyle w:val="Heading3"/>
      </w:pPr>
      <w:r>
        <w:t>6.4.1 VR 渲染管线原理</w:t>
      </w:r>
    </w:p>
    <w:p/>
    <w:p>
      <w:pPr>
        <w:ind w:firstLine="482"/>
      </w:pPr>
      <w:r>
        <w:rPr>
          <w:rFonts w:ascii="宋体" w:hAnsi="宋体" w:eastAsia="宋体"/>
          <w:sz w:val="24"/>
        </w:rPr>
        <w:t>VR 渲染管线与传统 3D 渲染的核心差异在于</w:t>
      </w:r>
      <w:r>
        <w:rPr>
          <w:rFonts w:ascii="宋体" w:hAnsi="宋体" w:eastAsia="宋体"/>
          <w:b/>
          <w:sz w:val="24"/>
        </w:rPr>
        <w:t>双目渲染</w:t>
      </w:r>
      <w:r>
        <w:rPr>
          <w:rFonts w:ascii="宋体" w:hAnsi="宋体" w:eastAsia="宋体"/>
          <w:sz w:val="24"/>
        </w:rPr>
        <w:t>和</w:t>
      </w:r>
      <w:r>
        <w:rPr>
          <w:rFonts w:ascii="宋体" w:hAnsi="宋体" w:eastAsia="宋体"/>
          <w:b/>
          <w:sz w:val="24"/>
        </w:rPr>
        <w:t>畸变校正</w:t>
      </w:r>
      <w:r>
        <w:rPr>
          <w:rFonts w:ascii="宋体" w:hAnsi="宋体" w:eastAsia="宋体"/>
          <w:sz w:val="24"/>
        </w:rPr>
        <w:t>两个环节[7]。</w:t>
      </w:r>
    </w:p>
    <w:p/>
    <w:p>
      <w:pPr>
        <w:ind w:firstLine="482"/>
      </w:pPr>
      <w:r>
        <w:rPr>
          <w:rFonts w:ascii="宋体" w:hAnsi="宋体" w:eastAsia="宋体"/>
          <w:b/>
          <w:sz w:val="24"/>
        </w:rPr>
        <w:t>双目渲染</w:t>
      </w:r>
      <w:r>
        <w:rPr>
          <w:rFonts w:ascii="宋体" w:hAnsi="宋体" w:eastAsia="宋体"/>
          <w:sz w:val="24"/>
        </w:rPr>
        <w:t>：VR 需要同时为左右眼渲染两幅图像，两幅图像之间存在微小的视差（由 IPD 导致），大脑通过视差融合产生立体深度感知。双目渲染有两种实现方式：</w:t>
      </w:r>
      <w:r>
        <w:rPr>
          <w:rFonts w:ascii="宋体" w:hAnsi="宋体" w:eastAsia="宋体"/>
          <w:b/>
          <w:sz w:val="24"/>
        </w:rPr>
        <w:t>双通道渲染</w:t>
      </w:r>
      <w:r>
        <w:rPr>
          <w:rFonts w:ascii="宋体" w:hAnsi="宋体" w:eastAsia="宋体"/>
          <w:sz w:val="24"/>
        </w:rPr>
        <w:t>（Two-Pass Rendering）分别渲染左右眼图像，简单但性能开销大；</w:t>
      </w:r>
      <w:r>
        <w:rPr>
          <w:rFonts w:ascii="宋体" w:hAnsi="宋体" w:eastAsia="宋体"/>
          <w:b/>
          <w:sz w:val="24"/>
        </w:rPr>
        <w:t>单通道渲染</w:t>
      </w:r>
      <w:r>
        <w:rPr>
          <w:rFonts w:ascii="宋体" w:hAnsi="宋体" w:eastAsia="宋体"/>
          <w:sz w:val="24"/>
        </w:rPr>
        <w:t>（Single-Pass Rendering）利用实例化渲染（Instanced Rendering）在一次 Draw Call 中同时渲染双眼，性能效率更高。Unity URP 和 Unreal 都支持单通道 VR 渲染。</w:t>
      </w:r>
    </w:p>
    <w:p/>
    <w:p>
      <w:pPr>
        <w:ind w:firstLine="482"/>
      </w:pPr>
      <w:r>
        <w:rPr>
          <w:rFonts w:ascii="宋体" w:hAnsi="宋体" w:eastAsia="宋体"/>
          <w:b/>
          <w:sz w:val="24"/>
        </w:rPr>
        <w:t>畸变校正</w:t>
      </w:r>
      <w:r>
        <w:rPr>
          <w:rFonts w:ascii="宋体" w:hAnsi="宋体" w:eastAsia="宋体"/>
          <w:sz w:val="24"/>
        </w:rPr>
        <w:t>：由于 HMD 透镜对图像的放大不是线性的，渲染后的图像需要经过反向畸变校正才能通过透镜正确显示。现代 VR 头显通常在合成器（Compositor）层面处理畸变校正——应用渲染未畸变的图像到离屏缓冲区，合成器在将图像发送到显示屏前应用透镜畸变校正。这使得开发者无需在应用层面处理畸变问题[7]。</w:t>
      </w:r>
    </w:p>
    <w:p/>
    <w:p>
      <w:pPr>
        <w:pStyle w:val="Heading3"/>
      </w:pPr>
      <w:r>
        <w:t>6.4.2 性能预算与帧率目标</w:t>
      </w:r>
    </w:p>
    <w:p/>
    <w:p>
      <w:pPr>
        <w:ind w:firstLine="482"/>
      </w:pPr>
      <w:r>
        <w:rPr>
          <w:rFonts w:ascii="宋体" w:hAnsi="宋体" w:eastAsia="宋体"/>
          <w:sz w:val="24"/>
        </w:rPr>
        <w:t>VR 应用的性能预算取决于目标帧率[7]：</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帧率</w:t>
            </w:r>
          </w:p>
        </w:tc>
        <w:tc>
          <w:tcPr>
            <w:tcW w:type="dxa" w:w="2078"/>
            <w:shd w:fill="D9E2F3" w:val="clear"/>
          </w:tcPr>
          <w:p>
            <w:pPr>
              <w:jc w:val="center"/>
            </w:pPr>
            <w:r/>
            <w:r>
              <w:rPr>
                <w:rFonts w:ascii="黑体" w:hAnsi="黑体" w:eastAsia="黑体"/>
                <w:b/>
                <w:sz w:val="20"/>
              </w:rPr>
              <w:t>帧时间预算</w:t>
            </w:r>
          </w:p>
        </w:tc>
        <w:tc>
          <w:tcPr>
            <w:tcW w:type="dxa" w:w="2078"/>
            <w:shd w:fill="D9E2F3" w:val="clear"/>
          </w:tcPr>
          <w:p>
            <w:pPr>
              <w:jc w:val="center"/>
            </w:pPr>
            <w:r/>
            <w:r>
              <w:rPr>
                <w:rFonts w:ascii="黑体" w:hAnsi="黑体" w:eastAsia="黑体"/>
                <w:b/>
                <w:sz w:val="20"/>
              </w:rPr>
              <w:t>适用场景</w:t>
            </w:r>
          </w:p>
        </w:tc>
        <w:tc>
          <w:tcPr>
            <w:tcW w:type="dxa" w:w="2078"/>
            <w:shd w:fill="D9E2F3" w:val="clear"/>
          </w:tcPr>
          <w:p>
            <w:pPr>
              <w:jc w:val="center"/>
            </w:pPr>
            <w:r/>
            <w:r>
              <w:rPr>
                <w:rFonts w:ascii="黑体" w:hAnsi="黑体" w:eastAsia="黑体"/>
                <w:b/>
                <w:sz w:val="20"/>
              </w:rPr>
              <w:t>平台</w:t>
            </w:r>
          </w:p>
        </w:tc>
      </w:tr>
      <w:tr>
        <w:tc>
          <w:tcPr>
            <w:tcW w:type="dxa" w:w="2078"/>
          </w:tcPr>
          <w:p>
            <w:r/>
            <w:r>
              <w:rPr>
                <w:rFonts w:ascii="宋体" w:hAnsi="宋体" w:eastAsia="宋体"/>
                <w:sz w:val="20"/>
              </w:rPr>
              <w:t>72fps</w:t>
            </w:r>
          </w:p>
        </w:tc>
        <w:tc>
          <w:tcPr>
            <w:tcW w:type="dxa" w:w="2078"/>
          </w:tcPr>
          <w:p>
            <w:r/>
            <w:r>
              <w:rPr>
                <w:rFonts w:ascii="宋体" w:hAnsi="宋体" w:eastAsia="宋体"/>
                <w:sz w:val="20"/>
              </w:rPr>
              <w:t>13.9ms</w:t>
            </w:r>
          </w:p>
        </w:tc>
        <w:tc>
          <w:tcPr>
            <w:tcW w:type="dxa" w:w="2078"/>
          </w:tcPr>
          <w:p>
            <w:r/>
            <w:r>
              <w:rPr>
                <w:rFonts w:ascii="宋体" w:hAnsi="宋体" w:eastAsia="宋体"/>
                <w:sz w:val="20"/>
              </w:rPr>
              <w:t>最低可接受</w:t>
            </w:r>
          </w:p>
        </w:tc>
        <w:tc>
          <w:tcPr>
            <w:tcW w:type="dxa" w:w="2078"/>
          </w:tcPr>
          <w:p>
            <w:r/>
            <w:r>
              <w:rPr>
                <w:rFonts w:ascii="宋体" w:hAnsi="宋体" w:eastAsia="宋体"/>
                <w:sz w:val="20"/>
              </w:rPr>
              <w:t>Meta Quest 3（省电模式）</w:t>
            </w:r>
          </w:p>
        </w:tc>
      </w:tr>
      <w:tr>
        <w:tc>
          <w:tcPr>
            <w:tcW w:type="dxa" w:w="2078"/>
          </w:tcPr>
          <w:p>
            <w:r/>
            <w:r>
              <w:rPr>
                <w:rFonts w:ascii="宋体" w:hAnsi="宋体" w:eastAsia="宋体"/>
                <w:sz w:val="20"/>
              </w:rPr>
              <w:t>90fps</w:t>
            </w:r>
          </w:p>
        </w:tc>
        <w:tc>
          <w:tcPr>
            <w:tcW w:type="dxa" w:w="2078"/>
          </w:tcPr>
          <w:p>
            <w:r/>
            <w:r>
              <w:rPr>
                <w:rFonts w:ascii="宋体" w:hAnsi="宋体" w:eastAsia="宋体"/>
                <w:sz w:val="20"/>
              </w:rPr>
              <w:t>11.1ms</w:t>
            </w:r>
          </w:p>
        </w:tc>
        <w:tc>
          <w:tcPr>
            <w:tcW w:type="dxa" w:w="2078"/>
          </w:tcPr>
          <w:p>
            <w:r/>
            <w:r>
              <w:rPr>
                <w:rFonts w:ascii="宋体" w:hAnsi="宋体" w:eastAsia="宋体"/>
                <w:sz w:val="20"/>
              </w:rPr>
              <w:t>标准目标</w:t>
            </w:r>
          </w:p>
        </w:tc>
        <w:tc>
          <w:tcPr>
            <w:tcW w:type="dxa" w:w="2078"/>
          </w:tcPr>
          <w:p>
            <w:r/>
            <w:r>
              <w:rPr>
                <w:rFonts w:ascii="宋体" w:hAnsi="宋体" w:eastAsia="宋体"/>
                <w:sz w:val="20"/>
              </w:rPr>
              <w:t>Meta Quest 3 / PC VR</w:t>
            </w:r>
          </w:p>
        </w:tc>
      </w:tr>
      <w:tr>
        <w:tc>
          <w:tcPr>
            <w:tcW w:type="dxa" w:w="2078"/>
          </w:tcPr>
          <w:p>
            <w:r/>
            <w:r>
              <w:rPr>
                <w:rFonts w:ascii="宋体" w:hAnsi="宋体" w:eastAsia="宋体"/>
                <w:sz w:val="20"/>
              </w:rPr>
              <w:t>120fps</w:t>
            </w:r>
          </w:p>
        </w:tc>
        <w:tc>
          <w:tcPr>
            <w:tcW w:type="dxa" w:w="2078"/>
          </w:tcPr>
          <w:p>
            <w:r/>
            <w:r>
              <w:rPr>
                <w:rFonts w:ascii="宋体" w:hAnsi="宋体" w:eastAsia="宋体"/>
                <w:sz w:val="20"/>
              </w:rPr>
              <w:t>8.3ms</w:t>
            </w:r>
          </w:p>
        </w:tc>
        <w:tc>
          <w:tcPr>
            <w:tcW w:type="dxa" w:w="2078"/>
          </w:tcPr>
          <w:p>
            <w:r/>
            <w:r>
              <w:rPr>
                <w:rFonts w:ascii="宋体" w:hAnsi="宋体" w:eastAsia="宋体"/>
                <w:sz w:val="20"/>
              </w:rPr>
              <w:t>高品质</w:t>
            </w:r>
          </w:p>
        </w:tc>
        <w:tc>
          <w:tcPr>
            <w:tcW w:type="dxa" w:w="2078"/>
          </w:tcPr>
          <w:p>
            <w:r/>
            <w:r>
              <w:rPr>
                <w:rFonts w:ascii="宋体" w:hAnsi="宋体" w:eastAsia="宋体"/>
                <w:sz w:val="20"/>
              </w:rPr>
              <w:t>PC VR（高端GPU）</w:t>
            </w:r>
          </w:p>
        </w:tc>
      </w:tr>
    </w:tbl>
    <w:p/>
    <w:p/>
    <w:p>
      <w:pPr>
        <w:ind w:firstLine="482"/>
      </w:pPr>
      <w:r>
        <w:rPr>
          <w:rFonts w:ascii="宋体" w:hAnsi="宋体" w:eastAsia="宋体"/>
          <w:sz w:val="24"/>
        </w:rPr>
        <w:t>帧时间预算需要分配给 CPU 逻辑、CPU 渲染提交、GPU 渲染和合成器四个环节。典型分配为：CPU 逻辑 3-4ms、CPU 渲染提交 2-3ms、GPU 渲染 4-5ms、合成器 1-2ms。如果任一环节超时，整体帧率就会下降。</w:t>
      </w:r>
    </w:p>
    <w:p/>
    <w:p>
      <w:pPr>
        <w:pStyle w:val="Heading3"/>
      </w:pPr>
      <w:r>
        <w:t>6.4.3 GPU 优化策略</w:t>
      </w:r>
    </w:p>
    <w:p/>
    <w:p>
      <w:pPr>
        <w:ind w:firstLine="482"/>
      </w:pPr>
      <w:r>
        <w:rPr>
          <w:rFonts w:ascii="宋体" w:hAnsi="宋体" w:eastAsia="宋体"/>
          <w:b/>
          <w:sz w:val="24"/>
        </w:rPr>
        <w:t>Draw Call 优化</w:t>
      </w:r>
      <w:r>
        <w:rPr>
          <w:rFonts w:ascii="宋体" w:hAnsi="宋体" w:eastAsia="宋体"/>
          <w:sz w:val="24"/>
        </w:rPr>
        <w:t>：每个 Draw Call 都会消耗 CPU 时间用于准备渲染命令。VR 场景的 Draw Call 预算通常为 100-200 次/帧。减少 Draw Call 的方法包括：静态合批（Static Batching）将不移动的物体合并为一个大网格；动态合批（Dynamic Batching）将小物体在运行时合并；GPU Instancing 对相同网格和材质的物体使用实例化渲染；纹理图集将多个物体的纹理合并到一张图中，使它们共享同一材质[5]。</w:t>
      </w:r>
    </w:p>
    <w:p/>
    <w:p>
      <w:pPr>
        <w:ind w:firstLine="482"/>
      </w:pPr>
      <w:r>
        <w:rPr>
          <w:rFonts w:ascii="宋体" w:hAnsi="宋体" w:eastAsia="宋体"/>
          <w:b/>
          <w:sz w:val="24"/>
        </w:rPr>
        <w:t>SRP Batcher</w:t>
      </w:r>
      <w:r>
        <w:rPr>
          <w:rFonts w:ascii="宋体" w:hAnsi="宋体" w:eastAsia="宋体"/>
          <w:sz w:val="24"/>
        </w:rPr>
        <w:t xml:space="preserve"> 是 Unity URP 的专用优化技术，通过减少材质间的 GPU 状态切换来加速渲染。SRP Batcher 兼容的 Shader 可以在材质切换时跳过 GPU 状态重设，将渲染效率提升 1.5-4 倍。VR 项目应确保所有自定义 Shader 都兼容 SRP Batcher。</w:t>
      </w:r>
    </w:p>
    <w:p/>
    <w:p>
      <w:pPr>
        <w:ind w:firstLine="482"/>
      </w:pPr>
      <w:r>
        <w:rPr>
          <w:rFonts w:ascii="宋体" w:hAnsi="宋体" w:eastAsia="宋体"/>
          <w:b/>
          <w:sz w:val="24"/>
        </w:rPr>
        <w:t>Shader 复杂度控制</w:t>
      </w:r>
      <w:r>
        <w:rPr>
          <w:rFonts w:ascii="宋体" w:hAnsi="宋体" w:eastAsia="宋体"/>
          <w:sz w:val="24"/>
        </w:rPr>
        <w:t>：复杂的 Shader（如多层混合、实时全局光照）会显著增加 GPU 像素处理负载。VR 场景中应使用简化 Shader——将光照计算从逐像素降级为逐顶点，使用预烘焙光照替代实时阴影，避免在移动端 VR 上使用屏幕空间反射（SSR）和屏幕空间环境光遮蔽（SSAO）等高开销特效[7]。</w:t>
      </w:r>
    </w:p>
    <w:p/>
    <w:p>
      <w:pPr>
        <w:ind w:firstLine="482"/>
      </w:pPr>
      <w:r>
        <w:rPr>
          <w:rFonts w:ascii="宋体" w:hAnsi="宋体" w:eastAsia="宋体"/>
          <w:b/>
          <w:sz w:val="24"/>
        </w:rPr>
        <w:t>纹理内存优化</w:t>
      </w:r>
      <w:r>
        <w:rPr>
          <w:rFonts w:ascii="宋体" w:hAnsi="宋体" w:eastAsia="宋体"/>
          <w:sz w:val="24"/>
        </w:rPr>
        <w:t>在移动端 VR 上尤为重要。Meta Quest 3 的可用纹理内存约 1GB，每张纹理图的大小取决于分辨率和压缩格式。推荐使用 ASTC（Adaptive Scalable Texture Compression）压缩格式——相比未压缩的 PNG/TGA，ASTC 可以将纹理内存占用减少 4-8 倍，且支持质量级别的精细调节（从 ASTC 4×4 高质量到 ASTC 12×12 极低质量）。在 VR 场景中，重要物体（如核心文物）使用 ASTC 6×6（高质量），背景物体使用 ASTC 8×8 或 10×10（中低质量），可以在视觉质量和内存占用之间取得良好平衡。</w:t>
      </w:r>
    </w:p>
    <w:p/>
    <w:p>
      <w:pPr>
        <w:ind w:firstLine="482"/>
      </w:pPr>
      <w:r>
        <w:rPr>
          <w:rFonts w:ascii="宋体" w:hAnsi="宋体" w:eastAsia="宋体"/>
          <w:b/>
          <w:sz w:val="24"/>
        </w:rPr>
        <w:t>遮挡剔除</w:t>
      </w:r>
      <w:r>
        <w:rPr>
          <w:rFonts w:ascii="宋体" w:hAnsi="宋体" w:eastAsia="宋体"/>
          <w:sz w:val="24"/>
        </w:rPr>
        <w:t>（Occlusion Culling）是一种通过预计算场景中物体的可见性关系，在运行时跳过被遮挡物体渲染的优化技术。在文旅 VR 场景中，古镇街道两侧的建筑会遮挡大量后方物体，启用遮挡剔除可以显著减少不必要的渲染计算。Unity 的 Occlusion Culling 系统通过烘焙场景的可见性体积（Visibility Volume）实现运行时的快速遮挡查询。需要注意的是，遮挡剔除的烘焙过程需要场景几何体基本固定，频繁移动的物体会导致烘焙结果不准确。</w:t>
      </w:r>
    </w:p>
    <w:p/>
    <w:p>
      <w:pPr>
        <w:ind w:firstLine="482"/>
      </w:pPr>
      <w:r>
        <w:rPr>
          <w:rFonts w:ascii="宋体" w:hAnsi="宋体" w:eastAsia="宋体"/>
          <w:b/>
          <w:sz w:val="24"/>
        </w:rPr>
        <w:t>后处理优化</w:t>
      </w:r>
      <w:r>
        <w:rPr>
          <w:rFonts w:ascii="宋体" w:hAnsi="宋体" w:eastAsia="宋体"/>
          <w:sz w:val="24"/>
        </w:rPr>
        <w:t>在 VR 中需要特别谨慎。后处理特效（如景深、运动模糊、色彩校正）会增加 GPU 的全屏渲染通道，在移动端 VR 上可能导致帧率大幅下降。VR 场景中应尽量减少后处理特效的使用——色彩校正和色调映射是基本必需的，但景深和运动模糊在 VR 中通常应禁用，因为它们会与立体视觉产生冲突，导致视觉不适。</w:t>
      </w:r>
    </w:p>
    <w:p/>
    <w:p>
      <w:pPr>
        <w:pStyle w:val="Heading3"/>
      </w:pPr>
      <w:r>
        <w:t>6.4.4 注视点渲染与可变速率着色</w:t>
      </w:r>
    </w:p>
    <w:p/>
    <w:p>
      <w:pPr>
        <w:ind w:firstLine="482"/>
      </w:pPr>
      <w:r>
        <w:rPr>
          <w:rFonts w:ascii="宋体" w:hAnsi="宋体" w:eastAsia="宋体"/>
          <w:sz w:val="24"/>
        </w:rPr>
        <w:t>如第3章所述，注视点渲染利用人眼中心凹视觉特性，在注视点中心高分辨率渲染、周边低分辨率渲染。</w:t>
      </w:r>
      <w:r>
        <w:rPr>
          <w:rFonts w:ascii="宋体" w:hAnsi="宋体" w:eastAsia="宋体"/>
          <w:b/>
          <w:sz w:val="24"/>
        </w:rPr>
        <w:t>固定注视点渲染（FFR）</w:t>
      </w:r>
      <w:r>
        <w:rPr>
          <w:rFonts w:ascii="宋体" w:hAnsi="宋体" w:eastAsia="宋体"/>
          <w:sz w:val="24"/>
        </w:rPr>
        <w:t>不使用眼动追踪，按预设区域降低边缘分辨率，在 Meta Quest 上可通过 OVRManager 配置 FFR 级别。</w:t>
      </w:r>
      <w:r>
        <w:rPr>
          <w:rFonts w:ascii="宋体" w:hAnsi="宋体" w:eastAsia="宋体"/>
          <w:b/>
          <w:sz w:val="24"/>
        </w:rPr>
        <w:t>动态注视点渲染</w:t>
      </w:r>
      <w:r>
        <w:rPr>
          <w:rFonts w:ascii="宋体" w:hAnsi="宋体" w:eastAsia="宋体"/>
          <w:sz w:val="24"/>
        </w:rPr>
        <w:t>需要眼动追踪硬件支持，在 Meta Quest Pro 和 Apple Vision Pro 上可用[7]。</w:t>
      </w:r>
    </w:p>
    <w:p/>
    <w:p>
      <w:pPr>
        <w:ind w:firstLine="482"/>
      </w:pPr>
      <w:r>
        <w:rPr>
          <w:rFonts w:ascii="宋体" w:hAnsi="宋体" w:eastAsia="宋体"/>
          <w:b/>
          <w:sz w:val="24"/>
        </w:rPr>
        <w:t>可变速率着色（VRS）</w:t>
      </w:r>
      <w:r>
        <w:rPr>
          <w:rFonts w:ascii="宋体" w:hAnsi="宋体" w:eastAsia="宋体"/>
          <w:sz w:val="24"/>
        </w:rPr>
        <w:t>是 NVIDIA 和 Intel 推动的渲染标准，允许在不同屏幕区域使用不同的着色率。VRS 与 FFR 类似但不依赖眼动追踪，通过预设的着色率图控制各区域的渲染密度。Meta Quest 3 支持 VRS 技术[7]。</w:t>
      </w:r>
    </w:p>
    <w:p/>
    <w:p>
      <w:pPr>
        <w:pStyle w:val="Heading3"/>
      </w:pPr>
      <w:r>
        <w:t>6.4.5 资源加载与内存管理</w:t>
      </w:r>
    </w:p>
    <w:p/>
    <w:p>
      <w:pPr>
        <w:ind w:firstLine="482"/>
      </w:pPr>
      <w:r>
        <w:rPr>
          <w:rFonts w:ascii="宋体" w:hAnsi="宋体" w:eastAsia="宋体"/>
          <w:sz w:val="24"/>
        </w:rPr>
        <w:t>VR/AR 应用的内存预算通常为 1-2GB（Meta Quest 3）。大型场景无法一次性加载到内存中，需要使用</w:t>
      </w:r>
      <w:r>
        <w:rPr>
          <w:rFonts w:ascii="宋体" w:hAnsi="宋体" w:eastAsia="宋体"/>
          <w:b/>
          <w:sz w:val="24"/>
        </w:rPr>
        <w:t>流式加载</w:t>
      </w:r>
      <w:r>
        <w:rPr>
          <w:rFonts w:ascii="宋体" w:hAnsi="宋体" w:eastAsia="宋体"/>
          <w:sz w:val="24"/>
        </w:rPr>
        <w:t>（Streaming）策略——只加载用户附近的场景区块，远离用户的区块卸载或降级[5]。</w:t>
      </w:r>
    </w:p>
    <w:p/>
    <w:p>
      <w:pPr>
        <w:ind w:firstLine="482"/>
      </w:pPr>
      <w:r>
        <w:rPr>
          <w:rFonts w:ascii="宋体" w:hAnsi="宋体" w:eastAsia="宋体"/>
          <w:sz w:val="24"/>
        </w:rPr>
        <w:t xml:space="preserve">Unity 的 </w:t>
      </w:r>
      <w:r>
        <w:rPr>
          <w:rFonts w:ascii="宋体" w:hAnsi="宋体" w:eastAsia="宋体"/>
          <w:b/>
          <w:sz w:val="24"/>
        </w:rPr>
        <w:t>Addressables</w:t>
      </w:r>
      <w:r>
        <w:rPr>
          <w:rFonts w:ascii="宋体" w:hAnsi="宋体" w:eastAsia="宋体"/>
          <w:sz w:val="24"/>
        </w:rPr>
        <w:t xml:space="preserve"> 系统提供了现代化的资源管理方案，支持按地址异步加载和卸载资源、远程资源更新和内存使用监控。在文旅 VR 场景中，可以将不同景区区块的 3D 资源打包为独立的 Addressable Group，用户从一个景区移动到另一个景区时动态加载新区块、卸载旧区块。</w:t>
      </w:r>
    </w:p>
    <w:p/>
    <w:p>
      <w:pPr>
        <w:ind w:firstLine="482"/>
      </w:pPr>
      <w:r>
        <w:rPr>
          <w:rFonts w:ascii="宋体" w:hAnsi="宋体" w:eastAsia="宋体"/>
          <w:sz w:val="24"/>
        </w:rPr>
        <w:t>Xiong 在其 VR 发动机拆装教学系统的开发中详细描述了资源管理策略——将发动机的每个部件作为独立资源加载，用户选择拆装特定部件时才加载该部件的高精度模型和交互组件，避免了整个发动机模型一次性加载导致的内存溢出问题[8]。这种按需加载策略对于大型文旅 VR 场景同样适用。</w:t>
      </w:r>
    </w:p>
    <w:p/>
    <w:p>
      <w:pPr>
        <w:pStyle w:val="Heading2"/>
      </w:pPr>
      <w:r>
        <w:t>6.5 WebXR 与跨平台开发</w:t>
      </w:r>
    </w:p>
    <w:p/>
    <w:p>
      <w:pPr>
        <w:pStyle w:val="Heading3"/>
      </w:pPr>
      <w:r>
        <w:t>6.5.1 WebXR Device API 规范</w:t>
      </w:r>
    </w:p>
    <w:p/>
    <w:p>
      <w:pPr>
        <w:ind w:firstLine="482"/>
      </w:pPr>
      <w:r>
        <w:rPr>
          <w:rFonts w:ascii="宋体" w:hAnsi="宋体" w:eastAsia="宋体"/>
          <w:sz w:val="24"/>
        </w:rPr>
        <w:t>WebXR Device API 是 W3C 标准化的浏览器 VR/AR 接口规范，取代了早期的 WebVR 规范[4]。WebXR 提供两种会话模式：</w:t>
      </w:r>
      <w:r>
        <w:rPr>
          <w:rFonts w:ascii="宋体" w:hAnsi="宋体" w:eastAsia="宋体"/>
          <w:b/>
          <w:sz w:val="24"/>
        </w:rPr>
        <w:t>沉浸式 VR 会话</w:t>
      </w:r>
      <w:r>
        <w:rPr>
          <w:rFonts w:ascii="宋体" w:hAnsi="宋体" w:eastAsia="宋体"/>
          <w:sz w:val="24"/>
        </w:rPr>
        <w:t>（immersive-vr）——内容在全屏 VR 模式下通过头显显示；</w:t>
      </w:r>
      <w:r>
        <w:rPr>
          <w:rFonts w:ascii="宋体" w:hAnsi="宋体" w:eastAsia="宋体"/>
          <w:b/>
          <w:sz w:val="24"/>
        </w:rPr>
        <w:t>沉浸式 AR 会话</w:t>
      </w:r>
      <w:r>
        <w:rPr>
          <w:rFonts w:ascii="宋体" w:hAnsi="宋体" w:eastAsia="宋体"/>
          <w:sz w:val="24"/>
        </w:rPr>
        <w:t>（immersive-ar）——内容叠加在用户对真实环境的视频透视画面上。</w:t>
      </w:r>
    </w:p>
    <w:p/>
    <w:p>
      <w:pPr>
        <w:ind w:firstLine="482"/>
      </w:pPr>
      <w:r>
        <w:rPr>
          <w:rFonts w:ascii="宋体" w:hAnsi="宋体" w:eastAsia="宋体"/>
          <w:sz w:val="24"/>
        </w:rPr>
        <w:t>WebXR 的核心 API 包括：XRSession（会话管理）、XRReferenceSpace（空间参考系）、XRView（视图，每只眼睛一个）、XRFrame（帧数据，包含追踪姿态和输入状态）。开发者通过 requestAnimationFrame 循环获取每帧的追踪数据并更新渲染。</w:t>
      </w:r>
    </w:p>
    <w:p/>
    <w:p>
      <w:pPr>
        <w:pStyle w:val="Heading3"/>
      </w:pPr>
      <w:r>
        <w:t>6.5.2 Three.js / A-Frame WebXR 开发</w:t>
      </w:r>
    </w:p>
    <w:p/>
    <w:p>
      <w:pPr>
        <w:ind w:firstLine="482"/>
      </w:pPr>
      <w:r>
        <w:rPr>
          <w:rFonts w:ascii="宋体" w:hAnsi="宋体" w:eastAsia="宋体"/>
          <w:b/>
          <w:sz w:val="24"/>
        </w:rPr>
        <w:t>Three.js</w:t>
      </w:r>
      <w:r>
        <w:rPr>
          <w:rFonts w:ascii="宋体" w:hAnsi="宋体" w:eastAsia="宋体"/>
          <w:sz w:val="24"/>
        </w:rPr>
        <w:t xml:space="preserve"> 是最流行的 WebGL 封装库，通过 VRButton 和 ARButton 组件提供 WebXR 会话管理。Three.js 的 WebXR 支持包括控制器模型加载、手部追踪、锚点放置等基本功能。开发者需要在 Three.js 的渲染循环中处理 XR 帧数据，更新相机和控制器位置[4]。</w:t>
      </w:r>
    </w:p>
    <w:p/>
    <w:p>
      <w:pPr>
        <w:ind w:firstLine="482"/>
      </w:pPr>
      <w:r>
        <w:rPr>
          <w:rFonts w:ascii="宋体" w:hAnsi="宋体" w:eastAsia="宋体"/>
          <w:b/>
          <w:sz w:val="24"/>
        </w:rPr>
        <w:t>A-Frame</w:t>
      </w:r>
      <w:r>
        <w:rPr>
          <w:rFonts w:ascii="宋体" w:hAnsi="宋体" w:eastAsia="宋体"/>
          <w:sz w:val="24"/>
        </w:rPr>
        <w:t xml:space="preserve"> 是基于 HTML 声明式的 WebXR 框架，使用类似 HTML 标签的语法描述 3D 场景——</w:t>
      </w:r>
      <w:r>
        <w:rPr>
          <w:rFonts w:ascii="Consolas" w:hAnsi="Consolas"/>
          <w:color w:val="C83232"/>
          <w:sz w:val="20"/>
        </w:rPr>
        <w:t>&lt;a-scene&gt;</w:t>
      </w:r>
      <w:r>
        <w:rPr>
          <w:rFonts w:ascii="宋体" w:hAnsi="宋体" w:eastAsia="宋体"/>
          <w:sz w:val="24"/>
        </w:rPr>
        <w:t>、</w:t>
      </w:r>
      <w:r>
        <w:rPr>
          <w:rFonts w:ascii="Consolas" w:hAnsi="Consolas"/>
          <w:color w:val="C83232"/>
          <w:sz w:val="20"/>
        </w:rPr>
        <w:t>&lt;a-box&gt;</w:t>
      </w:r>
      <w:r>
        <w:rPr>
          <w:rFonts w:ascii="宋体" w:hAnsi="宋体" w:eastAsia="宋体"/>
          <w:sz w:val="24"/>
        </w:rPr>
        <w:t>、</w:t>
      </w:r>
      <w:r>
        <w:rPr>
          <w:rFonts w:ascii="Consolas" w:hAnsi="Consolas"/>
          <w:color w:val="C83232"/>
          <w:sz w:val="20"/>
        </w:rPr>
        <w:t>&lt;a-sphere&gt;</w:t>
      </w:r>
      <w:r>
        <w:rPr>
          <w:rFonts w:ascii="宋体" w:hAnsi="宋体" w:eastAsia="宋体"/>
          <w:sz w:val="24"/>
        </w:rPr>
        <w:t>、</w:t>
      </w:r>
      <w:r>
        <w:rPr>
          <w:rFonts w:ascii="Consolas" w:hAnsi="Consolas"/>
          <w:color w:val="C83232"/>
          <w:sz w:val="20"/>
        </w:rPr>
        <w:t>&lt;a-sky&gt;</w:t>
      </w:r>
      <w:r>
        <w:rPr>
          <w:rFonts w:ascii="宋体" w:hAnsi="宋体" w:eastAsia="宋体"/>
          <w:sz w:val="24"/>
        </w:rPr>
        <w:t xml:space="preserve"> 等标签使非程序员也能快速创建 WebXR 体验。A-Frame 内置了 WebXR 支持，无需额外编码即可在 VR 头显中浏览。对于简单的 360° 全景 VR 展示（如 VR 景区预览），A-Frame 提供了最高效的开发路径。</w:t>
      </w:r>
    </w:p>
    <w:p/>
    <w:p>
      <w:pPr>
        <w:ind w:firstLine="482"/>
      </w:pPr>
      <w:r>
        <w:rPr>
          <w:rFonts w:ascii="宋体" w:hAnsi="宋体" w:eastAsia="宋体"/>
          <w:sz w:val="24"/>
        </w:rPr>
        <w:t>Sermet 和 Demir 开发了 GeospatialVR——一个基于 Web 的 VR 框架，用于协同环境模拟[9]。该框架利用 WebXR 的跨平台特性，使多个用户通过不同设备（VR 头显、PC、手机）同时访问同一虚拟环境，进行环境模拟和协作决策。这种 Web-based 多人 VR 方案对于文旅场景的远程协作设计和公众参与式规划具有实用价值。</w:t>
      </w:r>
    </w:p>
    <w:p/>
    <w:p>
      <w:pPr>
        <w:pStyle w:val="Heading3"/>
      </w:pPr>
      <w:r>
        <w:t>6.5.3 WebAssembly 加速 VR/AR 应用</w:t>
      </w:r>
    </w:p>
    <w:p/>
    <w:p>
      <w:pPr>
        <w:ind w:firstLine="482"/>
      </w:pPr>
      <w:r>
        <w:rPr>
          <w:rFonts w:ascii="宋体" w:hAnsi="宋体" w:eastAsia="宋体"/>
          <w:sz w:val="24"/>
        </w:rPr>
        <w:t>WebAssembly（Wasm）是一种浏览器中可运行的高效二进制格式，执行速度接近原生代码。Khomtchouk 指出，WebAssembly 能够为 VR/AR Web 应用提供接近原生的低延迟性能，使浏览器端运行复杂 3D 渲染和物理模拟成为可能[10]。</w:t>
      </w:r>
    </w:p>
    <w:p/>
    <w:p>
      <w:pPr>
        <w:ind w:firstLine="482"/>
      </w:pPr>
      <w:r>
        <w:rPr>
          <w:rFonts w:ascii="宋体" w:hAnsi="宋体" w:eastAsia="宋体"/>
          <w:sz w:val="24"/>
        </w:rPr>
        <w:t>在 WebXR 开发中，WebAssembly 的应用场景包括：将 C++ 编写的高性能渲染引擎（如 Unreal Engine 的像素流送）编译为 Wasm 在浏览器中运行；将物理引擎（如 Bullet Physics）编译为 Wasm 加速碰撞检测计算；以及将 AI 推理引擎编译为 Wasm 在浏览器中运行本地 AI 模型。</w:t>
      </w:r>
    </w:p>
    <w:p/>
    <w:p>
      <w:pPr>
        <w:pStyle w:val="Heading3"/>
      </w:pPr>
      <w:r>
        <w:t>6.5.4 360° 全景 WebVR 开发与部署</w:t>
      </w:r>
    </w:p>
    <w:p/>
    <w:p>
      <w:pPr>
        <w:ind w:firstLine="482"/>
      </w:pPr>
      <w:r>
        <w:rPr>
          <w:rFonts w:ascii="宋体" w:hAnsi="宋体" w:eastAsia="宋体"/>
          <w:sz w:val="24"/>
        </w:rPr>
        <w:t>360° 全景 WebVR 是文旅 VR 最轻量的实现形式——用户通过浏览器即可浏览 360° 全景照片或视频，支持 VR 头显沉浸式查看和桌面端鼠标拖拽查看[4]。</w:t>
      </w:r>
    </w:p>
    <w:p/>
    <w:p>
      <w:pPr>
        <w:ind w:firstLine="482"/>
      </w:pPr>
      <w:r>
        <w:rPr>
          <w:rFonts w:ascii="宋体" w:hAnsi="宋体" w:eastAsia="宋体"/>
          <w:sz w:val="24"/>
        </w:rPr>
        <w:t xml:space="preserve">开发 360° 全景 WebVR 的技术方案包括：（1）使用 Three.js 创建球体几何，将全景图作为纹理映射到球体内表面，相机位于球心；（2）使用 A-Frame 的 </w:t>
      </w:r>
      <w:r>
        <w:rPr>
          <w:rFonts w:ascii="Consolas" w:hAnsi="Consolas"/>
          <w:color w:val="C83232"/>
          <w:sz w:val="20"/>
        </w:rPr>
        <w:t>&lt;a-sky&gt;</w:t>
      </w:r>
      <w:r>
        <w:rPr>
          <w:rFonts w:ascii="宋体" w:hAnsi="宋体" w:eastAsia="宋体"/>
          <w:sz w:val="24"/>
        </w:rPr>
        <w:t xml:space="preserve"> 标签直接设置全景天空盒；（3）使用 Krpano 或 Pannellum 等专用全景查看器。部署时将全景文件和 HTML 文件上传到 Web 服务器，生成 URL 或 QR 码供用户访问。</w:t>
      </w:r>
    </w:p>
    <w:p/>
    <w:p>
      <w:pPr>
        <w:ind w:firstLine="482"/>
      </w:pPr>
      <w:r>
        <w:rPr>
          <w:rFonts w:ascii="宋体" w:hAnsi="宋体" w:eastAsia="宋体"/>
          <w:sz w:val="24"/>
        </w:rPr>
        <w:t>Okada 等人开发了基于 360VR 相机和激光雷达扫描的开发框架，用于创建基于 Web 的 XR 教育材料[11]。该框架通过 SLAM 技术将 360° 全景影像与激光扫描点云对齐，创建具有深度信息的沉浸式全景体验——用户不仅能环顾四周，还能在全景空间中行走和近距离观察物体。这一技术路线对于文旅 VR 全景景区漫游项目（第10章实训）具有直接参考价值。</w:t>
      </w:r>
    </w:p>
    <w:p/>
    <w:p>
      <w:pPr>
        <w:ind w:firstLine="482"/>
      </w:pPr>
      <w:r>
        <w:rPr>
          <w:rFonts w:ascii="宋体" w:hAnsi="宋体" w:eastAsia="宋体"/>
          <w:sz w:val="24"/>
        </w:rPr>
        <w:t>---</w:t>
      </w:r>
    </w:p>
    <w:p/>
    <w:p>
      <w:pPr>
        <w:pStyle w:val="Heading2"/>
      </w:pPr>
      <w:r>
        <w:t>6.7 开发工具链与 CI/CD 实践</w:t>
      </w:r>
    </w:p>
    <w:p/>
    <w:p>
      <w:pPr>
        <w:pStyle w:val="Heading3"/>
      </w:pPr>
      <w:r>
        <w:t>6.7.1 Unity 项目配置与版本管理</w:t>
      </w:r>
    </w:p>
    <w:p/>
    <w:p>
      <w:pPr>
        <w:ind w:firstLine="482"/>
      </w:pPr>
      <w:r>
        <w:rPr>
          <w:rFonts w:ascii="宋体" w:hAnsi="宋体" w:eastAsia="宋体"/>
          <w:sz w:val="24"/>
        </w:rPr>
        <w:t>Unity 项目的规范配置是团队协作的基础[15]。（1）使用 Unity 2022 LTS 或更新版本，确保稳定性和长期支持；（2）项目使用 URP（Universal Render Pipeline）作为渲染管线，兼顾性能和画质，且支持 VR/AR/Mobile 多平台；（3）使用 Git + Git LFS 进行版本管理，将 .unity、.prefab、.asset 等文本文件用 Git 管理，将 .fbx、.png、.wav 等大文件用 LFS 管理；（4）使用 .gitignore 排除 Library、Temp、Obj 等生成目录；（5）建立分支策略——main（发布分支）、develop（开发主分支）、feature/*（功能分支）、hotfix/*（紧急修复分支）。</w:t>
      </w:r>
    </w:p>
    <w:p/>
    <w:p>
      <w:pPr>
        <w:pStyle w:val="Heading3"/>
      </w:pPr>
      <w:r>
        <w:t>6.7.2 持续集成与自动化构建</w:t>
      </w:r>
    </w:p>
    <w:p/>
    <w:p>
      <w:pPr>
        <w:ind w:firstLine="482"/>
      </w:pPr>
      <w:r>
        <w:rPr>
          <w:rFonts w:ascii="宋体" w:hAnsi="宋体" w:eastAsia="宋体"/>
          <w:sz w:val="24"/>
        </w:rPr>
        <w:t>CI/CD 自动化构建可以显著提升开发效率和发布质量[15]。使用 Unity Cloud Build 或 Jenkins 搭建自动化构建流水线——当开发者提交代码到 develop 分支时，CI 系统自动拉取代码、编译项目、运行单元测试、生成构建包（APK/IPA/EXE）并部署到测试环境。自动化构建确保每次提交都能正常编译，避免"在我电脑上能跑"的问题。</w:t>
      </w:r>
    </w:p>
    <w:p/>
    <w:p>
      <w:pPr>
        <w:ind w:firstLine="482"/>
      </w:pPr>
      <w:r>
        <w:rPr>
          <w:rFonts w:ascii="宋体" w:hAnsi="宋体" w:eastAsia="宋体"/>
          <w:sz w:val="24"/>
        </w:rPr>
        <w:t>构建配置建议：Debug 版本包含完整日志和调试工具，用于内部测试；Release 版本关闭日志和调试工具，启用代码混淆和 IL2CPP 编译，用于正式发布。每次构建自动生成版本号（如 1.0.3+build.42），便于追踪和回滚。</w:t>
      </w:r>
    </w:p>
    <w:p/>
    <w:p>
      <w:pPr>
        <w:pStyle w:val="Heading3"/>
      </w:pPr>
      <w:r>
        <w:t>6.7.3 性能监控与优化工具</w:t>
      </w:r>
    </w:p>
    <w:p/>
    <w:p>
      <w:pPr>
        <w:ind w:firstLine="482"/>
      </w:pPr>
      <w:r>
        <w:rPr>
          <w:rFonts w:ascii="宋体" w:hAnsi="宋体" w:eastAsia="宋体"/>
          <w:sz w:val="24"/>
        </w:rPr>
        <w:t>Unity 提供了丰富的性能分析工具[15]：</w:t>
      </w:r>
    </w:p>
    <w:p/>
    <w:p>
      <w:pPr>
        <w:ind w:firstLine="482"/>
      </w:pPr>
      <w:r>
        <w:rPr>
          <w:rFonts w:ascii="宋体" w:hAnsi="宋体" w:eastAsia="宋体"/>
          <w:b/>
          <w:sz w:val="24"/>
        </w:rPr>
        <w:t>Unity Profiler</w:t>
      </w:r>
      <w:r>
        <w:rPr>
          <w:rFonts w:ascii="宋体" w:hAnsi="宋体" w:eastAsia="宋体"/>
          <w:sz w:val="24"/>
        </w:rPr>
        <w:t>：实时监控 CPU、GPU、内存、渲染、音频等模块的性能数据。重点关注：帧时间分布（哪些函数耗时最多）、Draw Call 数量（目标 &lt;200）、内存占用（目标 &lt;500MB）、GC 频率（目标 &lt;1次/秒）。</w:t>
      </w:r>
    </w:p>
    <w:p/>
    <w:p>
      <w:pPr>
        <w:ind w:firstLine="482"/>
      </w:pPr>
      <w:r>
        <w:rPr>
          <w:rFonts w:ascii="宋体" w:hAnsi="宋体" w:eastAsia="宋体"/>
          <w:b/>
          <w:sz w:val="24"/>
        </w:rPr>
        <w:t>Frame Debugger</w:t>
      </w:r>
      <w:r>
        <w:rPr>
          <w:rFonts w:ascii="宋体" w:hAnsi="宋体" w:eastAsia="宋体"/>
          <w:sz w:val="24"/>
        </w:rPr>
        <w:t>：逐帧分析渲染管线，查看每个 Draw Call 的详细信息——使用的 Shader、纹理、材质和渲染状态。用于诊断渲染问题（如多余的 Draw Call、错误的渲染顺序）。</w:t>
      </w:r>
    </w:p>
    <w:p/>
    <w:p>
      <w:pPr>
        <w:ind w:firstLine="482"/>
      </w:pPr>
      <w:r>
        <w:rPr>
          <w:rFonts w:ascii="宋体" w:hAnsi="宋体" w:eastAsia="宋体"/>
          <w:b/>
          <w:sz w:val="24"/>
        </w:rPr>
        <w:t>Memory Profiler</w:t>
      </w:r>
      <w:r>
        <w:rPr>
          <w:rFonts w:ascii="宋体" w:hAnsi="宋体" w:eastAsia="宋体"/>
          <w:sz w:val="24"/>
        </w:rPr>
        <w:t>：详细分析内存使用——堆内存分配、纹理内存、网格内存、音频内存等。用于发现内存泄漏和大内存占用资产。</w:t>
      </w:r>
    </w:p>
    <w:p/>
    <w:p>
      <w:pPr>
        <w:ind w:firstLine="482"/>
      </w:pPr>
      <w:r>
        <w:rPr>
          <w:rFonts w:ascii="宋体" w:hAnsi="宋体" w:eastAsia="宋体"/>
          <w:b/>
          <w:sz w:val="24"/>
        </w:rPr>
        <w:t>XR Plugin Management</w:t>
      </w:r>
      <w:r>
        <w:rPr>
          <w:rFonts w:ascii="宋体" w:hAnsi="宋体" w:eastAsia="宋体"/>
          <w:sz w:val="24"/>
        </w:rPr>
        <w:t>：管理 VR/AR SDK 的加载和配置，确保只加载目标平台所需的 SDK，减少不必要的性能开销。</w:t>
      </w:r>
    </w:p>
    <w:p/>
    <w:p>
      <w:pPr>
        <w:pStyle w:val="Heading2"/>
      </w:pPr>
      <w:r>
        <w:t>6.8 跨平台开发策略</w:t>
      </w:r>
    </w:p>
    <w:p/>
    <w:p>
      <w:pPr>
        <w:pStyle w:val="Heading3"/>
      </w:pPr>
      <w:r>
        <w:t>6.8.1 平台能力矩阵</w:t>
      </w:r>
    </w:p>
    <w:p/>
    <w:p>
      <w:pPr>
        <w:ind w:firstLine="482"/>
      </w:pPr>
      <w:r>
        <w:rPr>
          <w:rFonts w:ascii="宋体" w:hAnsi="宋体" w:eastAsia="宋体"/>
          <w:sz w:val="24"/>
        </w:rPr>
        <w:t>不同 VR/AR 平台的能力差异需要在开发初期明确，以制定合理的跨平台策略[15]：</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能力</w:t>
            </w:r>
          </w:p>
        </w:tc>
        <w:tc>
          <w:tcPr>
            <w:tcW w:type="dxa" w:w="1385"/>
            <w:shd w:fill="D9E2F3" w:val="clear"/>
          </w:tcPr>
          <w:p>
            <w:pPr>
              <w:jc w:val="center"/>
            </w:pPr>
            <w:r/>
            <w:r>
              <w:rPr>
                <w:rFonts w:ascii="黑体" w:hAnsi="黑体" w:eastAsia="黑体"/>
                <w:b/>
                <w:sz w:val="20"/>
              </w:rPr>
              <w:t>Meta Quest 3</w:t>
            </w:r>
          </w:p>
        </w:tc>
        <w:tc>
          <w:tcPr>
            <w:tcW w:type="dxa" w:w="1385"/>
            <w:shd w:fill="D9E2F3" w:val="clear"/>
          </w:tcPr>
          <w:p>
            <w:pPr>
              <w:jc w:val="center"/>
            </w:pPr>
            <w:r/>
            <w:r>
              <w:rPr>
                <w:rFonts w:ascii="黑体" w:hAnsi="黑体" w:eastAsia="黑体"/>
                <w:b/>
                <w:sz w:val="20"/>
              </w:rPr>
              <w:t>PC VR</w:t>
            </w:r>
          </w:p>
        </w:tc>
        <w:tc>
          <w:tcPr>
            <w:tcW w:type="dxa" w:w="1385"/>
            <w:shd w:fill="D9E2F3" w:val="clear"/>
          </w:tcPr>
          <w:p>
            <w:pPr>
              <w:jc w:val="center"/>
            </w:pPr>
            <w:r/>
            <w:r>
              <w:rPr>
                <w:rFonts w:ascii="黑体" w:hAnsi="黑体" w:eastAsia="黑体"/>
                <w:b/>
                <w:sz w:val="20"/>
              </w:rPr>
              <w:t>iOS AR</w:t>
            </w:r>
          </w:p>
        </w:tc>
        <w:tc>
          <w:tcPr>
            <w:tcW w:type="dxa" w:w="1385"/>
            <w:shd w:fill="D9E2F3" w:val="clear"/>
          </w:tcPr>
          <w:p>
            <w:pPr>
              <w:jc w:val="center"/>
            </w:pPr>
            <w:r/>
            <w:r>
              <w:rPr>
                <w:rFonts w:ascii="黑体" w:hAnsi="黑体" w:eastAsia="黑体"/>
                <w:b/>
                <w:sz w:val="20"/>
              </w:rPr>
              <w:t>Android AR</w:t>
            </w:r>
          </w:p>
        </w:tc>
        <w:tc>
          <w:tcPr>
            <w:tcW w:type="dxa" w:w="1385"/>
            <w:shd w:fill="D9E2F3" w:val="clear"/>
          </w:tcPr>
          <w:p>
            <w:pPr>
              <w:jc w:val="center"/>
            </w:pPr>
            <w:r/>
            <w:r>
              <w:rPr>
                <w:rFonts w:ascii="黑体" w:hAnsi="黑体" w:eastAsia="黑体"/>
                <w:b/>
                <w:sz w:val="20"/>
              </w:rPr>
              <w:t>WebXR</w:t>
            </w:r>
          </w:p>
        </w:tc>
      </w:tr>
      <w:tr>
        <w:tc>
          <w:tcPr>
            <w:tcW w:type="dxa" w:w="1385"/>
          </w:tcPr>
          <w:p>
            <w:r/>
            <w:r>
              <w:rPr>
                <w:rFonts w:ascii="宋体" w:hAnsi="宋体" w:eastAsia="宋体"/>
                <w:sz w:val="20"/>
              </w:rPr>
              <w:t>追踪方式</w:t>
            </w:r>
          </w:p>
        </w:tc>
        <w:tc>
          <w:tcPr>
            <w:tcW w:type="dxa" w:w="1385"/>
          </w:tcPr>
          <w:p>
            <w:r/>
            <w:r>
              <w:rPr>
                <w:rFonts w:ascii="宋体" w:hAnsi="宋体" w:eastAsia="宋体"/>
                <w:sz w:val="20"/>
              </w:rPr>
              <w:t>6DoF inside-out</w:t>
            </w:r>
          </w:p>
        </w:tc>
        <w:tc>
          <w:tcPr>
            <w:tcW w:type="dxa" w:w="1385"/>
          </w:tcPr>
          <w:p>
            <w:r/>
            <w:r>
              <w:rPr>
                <w:rFonts w:ascii="宋体" w:hAnsi="宋体" w:eastAsia="宋体"/>
                <w:sz w:val="20"/>
              </w:rPr>
              <w:t>6DoF inside-out</w:t>
            </w:r>
          </w:p>
        </w:tc>
        <w:tc>
          <w:tcPr>
            <w:tcW w:type="dxa" w:w="1385"/>
          </w:tcPr>
          <w:p>
            <w:r/>
            <w:r>
              <w:rPr>
                <w:rFonts w:ascii="宋体" w:hAnsi="宋体" w:eastAsia="宋体"/>
                <w:sz w:val="20"/>
              </w:rPr>
              <w:t>6DoF ARKit</w:t>
            </w:r>
          </w:p>
        </w:tc>
        <w:tc>
          <w:tcPr>
            <w:tcW w:type="dxa" w:w="1385"/>
          </w:tcPr>
          <w:p>
            <w:r/>
            <w:r>
              <w:rPr>
                <w:rFonts w:ascii="宋体" w:hAnsi="宋体" w:eastAsia="宋体"/>
                <w:sz w:val="20"/>
              </w:rPr>
              <w:t>6DoF ARCore</w:t>
            </w:r>
          </w:p>
        </w:tc>
        <w:tc>
          <w:tcPr>
            <w:tcW w:type="dxa" w:w="1385"/>
          </w:tcPr>
          <w:p>
            <w:r/>
            <w:r>
              <w:rPr>
                <w:rFonts w:ascii="宋体" w:hAnsi="宋体" w:eastAsia="宋体"/>
                <w:sz w:val="20"/>
              </w:rPr>
              <w:t>3DoF/6DoF</w:t>
            </w:r>
          </w:p>
        </w:tc>
      </w:tr>
      <w:tr>
        <w:tc>
          <w:tcPr>
            <w:tcW w:type="dxa" w:w="1385"/>
          </w:tcPr>
          <w:p>
            <w:r/>
            <w:r>
              <w:rPr>
                <w:rFonts w:ascii="宋体" w:hAnsi="宋体" w:eastAsia="宋体"/>
                <w:sz w:val="20"/>
              </w:rPr>
              <w:t>手势交互</w:t>
            </w:r>
          </w:p>
        </w:tc>
        <w:tc>
          <w:tcPr>
            <w:tcW w:type="dxa" w:w="1385"/>
          </w:tcPr>
          <w:p>
            <w:r/>
            <w:r>
              <w:rPr>
                <w:rFonts w:ascii="宋体" w:hAnsi="宋体" w:eastAsia="宋体"/>
                <w:sz w:val="20"/>
              </w:rPr>
              <w:t>手柄+裸手</w:t>
            </w:r>
          </w:p>
        </w:tc>
        <w:tc>
          <w:tcPr>
            <w:tcW w:type="dxa" w:w="1385"/>
          </w:tcPr>
          <w:p>
            <w:r/>
            <w:r>
              <w:rPr>
                <w:rFonts w:ascii="宋体" w:hAnsi="宋体" w:eastAsia="宋体"/>
                <w:sz w:val="20"/>
              </w:rPr>
              <w:t>手柄</w:t>
            </w:r>
          </w:p>
        </w:tc>
        <w:tc>
          <w:tcPr>
            <w:tcW w:type="dxa" w:w="1385"/>
          </w:tcPr>
          <w:p>
            <w:r/>
            <w:r>
              <w:rPr>
                <w:rFonts w:ascii="宋体" w:hAnsi="宋体" w:eastAsia="宋体"/>
                <w:sz w:val="20"/>
              </w:rPr>
              <w:t>触摸</w:t>
            </w:r>
          </w:p>
        </w:tc>
        <w:tc>
          <w:tcPr>
            <w:tcW w:type="dxa" w:w="1385"/>
          </w:tcPr>
          <w:p>
            <w:r/>
            <w:r>
              <w:rPr>
                <w:rFonts w:ascii="宋体" w:hAnsi="宋体" w:eastAsia="宋体"/>
                <w:sz w:val="20"/>
              </w:rPr>
              <w:t>触摸</w:t>
            </w:r>
          </w:p>
        </w:tc>
        <w:tc>
          <w:tcPr>
            <w:tcW w:type="dxa" w:w="1385"/>
          </w:tcPr>
          <w:p>
            <w:r/>
            <w:r>
              <w:rPr>
                <w:rFonts w:ascii="宋体" w:hAnsi="宋体" w:eastAsia="宋体"/>
                <w:sz w:val="20"/>
              </w:rPr>
              <w:t>射线</w:t>
            </w:r>
          </w:p>
        </w:tc>
      </w:tr>
      <w:tr>
        <w:tc>
          <w:tcPr>
            <w:tcW w:type="dxa" w:w="1385"/>
          </w:tcPr>
          <w:p>
            <w:r/>
            <w:r>
              <w:rPr>
                <w:rFonts w:ascii="宋体" w:hAnsi="宋体" w:eastAsia="宋体"/>
                <w:sz w:val="20"/>
              </w:rPr>
              <w:t>渲染预算</w:t>
            </w:r>
          </w:p>
        </w:tc>
        <w:tc>
          <w:tcPr>
            <w:tcW w:type="dxa" w:w="1385"/>
          </w:tcPr>
          <w:p>
            <w:r/>
            <w:r>
              <w:rPr>
                <w:rFonts w:ascii="宋体" w:hAnsi="宋体" w:eastAsia="宋体"/>
                <w:sz w:val="20"/>
              </w:rPr>
              <w:t>72fps/13ms</w:t>
            </w:r>
          </w:p>
        </w:tc>
        <w:tc>
          <w:tcPr>
            <w:tcW w:type="dxa" w:w="1385"/>
          </w:tcPr>
          <w:p>
            <w:r/>
            <w:r>
              <w:rPr>
                <w:rFonts w:ascii="宋体" w:hAnsi="宋体" w:eastAsia="宋体"/>
                <w:sz w:val="20"/>
              </w:rPr>
              <w:t>90fps/11ms</w:t>
            </w:r>
          </w:p>
        </w:tc>
        <w:tc>
          <w:tcPr>
            <w:tcW w:type="dxa" w:w="1385"/>
          </w:tcPr>
          <w:p>
            <w:r/>
            <w:r>
              <w:rPr>
                <w:rFonts w:ascii="宋体" w:hAnsi="宋体" w:eastAsia="宋体"/>
                <w:sz w:val="20"/>
              </w:rPr>
              <w:t>60fps/16ms</w:t>
            </w:r>
          </w:p>
        </w:tc>
        <w:tc>
          <w:tcPr>
            <w:tcW w:type="dxa" w:w="1385"/>
          </w:tcPr>
          <w:p>
            <w:r/>
            <w:r>
              <w:rPr>
                <w:rFonts w:ascii="宋体" w:hAnsi="宋体" w:eastAsia="宋体"/>
                <w:sz w:val="20"/>
              </w:rPr>
              <w:t>30-60fps</w:t>
            </w:r>
          </w:p>
        </w:tc>
        <w:tc>
          <w:tcPr>
            <w:tcW w:type="dxa" w:w="1385"/>
          </w:tcPr>
          <w:p>
            <w:r/>
            <w:r>
              <w:rPr>
                <w:rFonts w:ascii="宋体" w:hAnsi="宋体" w:eastAsia="宋体"/>
                <w:sz w:val="20"/>
              </w:rPr>
              <w:t>60fps</w:t>
            </w:r>
          </w:p>
        </w:tc>
      </w:tr>
      <w:tr>
        <w:tc>
          <w:tcPr>
            <w:tcW w:type="dxa" w:w="1385"/>
          </w:tcPr>
          <w:p>
            <w:r/>
            <w:r>
              <w:rPr>
                <w:rFonts w:ascii="宋体" w:hAnsi="宋体" w:eastAsia="宋体"/>
                <w:sz w:val="20"/>
              </w:rPr>
              <w:t>内存限制</w:t>
            </w:r>
          </w:p>
        </w:tc>
        <w:tc>
          <w:tcPr>
            <w:tcW w:type="dxa" w:w="1385"/>
          </w:tcPr>
          <w:p>
            <w:r/>
            <w:r>
              <w:rPr>
                <w:rFonts w:ascii="宋体" w:hAnsi="宋体" w:eastAsia="宋体"/>
                <w:sz w:val="20"/>
              </w:rPr>
              <w:t>8GB</w:t>
            </w:r>
          </w:p>
        </w:tc>
        <w:tc>
          <w:tcPr>
            <w:tcW w:type="dxa" w:w="1385"/>
          </w:tcPr>
          <w:p>
            <w:r/>
            <w:r>
              <w:rPr>
                <w:rFonts w:ascii="宋体" w:hAnsi="宋体" w:eastAsia="宋体"/>
                <w:sz w:val="20"/>
              </w:rPr>
              <w:t>16GB+</w:t>
            </w:r>
          </w:p>
        </w:tc>
        <w:tc>
          <w:tcPr>
            <w:tcW w:type="dxa" w:w="1385"/>
          </w:tcPr>
          <w:p>
            <w:r/>
            <w:r>
              <w:rPr>
                <w:rFonts w:ascii="宋体" w:hAnsi="宋体" w:eastAsia="宋体"/>
                <w:sz w:val="20"/>
              </w:rPr>
              <w:t>2-6GB</w:t>
            </w:r>
          </w:p>
        </w:tc>
        <w:tc>
          <w:tcPr>
            <w:tcW w:type="dxa" w:w="1385"/>
          </w:tcPr>
          <w:p>
            <w:r/>
            <w:r>
              <w:rPr>
                <w:rFonts w:ascii="宋体" w:hAnsi="宋体" w:eastAsia="宋体"/>
                <w:sz w:val="20"/>
              </w:rPr>
              <w:t>2-8GB</w:t>
            </w:r>
          </w:p>
        </w:tc>
        <w:tc>
          <w:tcPr>
            <w:tcW w:type="dxa" w:w="1385"/>
          </w:tcPr>
          <w:p>
            <w:r/>
            <w:r>
              <w:rPr>
                <w:rFonts w:ascii="宋体" w:hAnsi="宋体" w:eastAsia="宋体"/>
                <w:sz w:val="20"/>
              </w:rPr>
              <w:t>1-2GB</w:t>
            </w:r>
          </w:p>
        </w:tc>
      </w:tr>
      <w:tr>
        <w:tc>
          <w:tcPr>
            <w:tcW w:type="dxa" w:w="1385"/>
          </w:tcPr>
          <w:p>
            <w:r/>
            <w:r>
              <w:rPr>
                <w:rFonts w:ascii="宋体" w:hAnsi="宋体" w:eastAsia="宋体"/>
                <w:sz w:val="20"/>
              </w:rPr>
              <w:t>纹理上限</w:t>
            </w:r>
          </w:p>
        </w:tc>
        <w:tc>
          <w:tcPr>
            <w:tcW w:type="dxa" w:w="1385"/>
          </w:tcPr>
          <w:p>
            <w:r/>
            <w:r>
              <w:rPr>
                <w:rFonts w:ascii="宋体" w:hAnsi="宋体" w:eastAsia="宋体"/>
                <w:sz w:val="20"/>
              </w:rPr>
              <w:t>4K</w:t>
            </w:r>
          </w:p>
        </w:tc>
        <w:tc>
          <w:tcPr>
            <w:tcW w:type="dxa" w:w="1385"/>
          </w:tcPr>
          <w:p>
            <w:r/>
            <w:r>
              <w:rPr>
                <w:rFonts w:ascii="宋体" w:hAnsi="宋体" w:eastAsia="宋体"/>
                <w:sz w:val="20"/>
              </w:rPr>
              <w:t>8K</w:t>
            </w:r>
          </w:p>
        </w:tc>
        <w:tc>
          <w:tcPr>
            <w:tcW w:type="dxa" w:w="1385"/>
          </w:tcPr>
          <w:p>
            <w:r/>
            <w:r>
              <w:rPr>
                <w:rFonts w:ascii="宋体" w:hAnsi="宋体" w:eastAsia="宋体"/>
                <w:sz w:val="20"/>
              </w:rPr>
              <w:t>2K</w:t>
            </w:r>
          </w:p>
        </w:tc>
        <w:tc>
          <w:tcPr>
            <w:tcW w:type="dxa" w:w="1385"/>
          </w:tcPr>
          <w:p>
            <w:r/>
            <w:r>
              <w:rPr>
                <w:rFonts w:ascii="宋体" w:hAnsi="宋体" w:eastAsia="宋体"/>
                <w:sz w:val="20"/>
              </w:rPr>
              <w:t>2K</w:t>
            </w:r>
          </w:p>
        </w:tc>
        <w:tc>
          <w:tcPr>
            <w:tcW w:type="dxa" w:w="1385"/>
          </w:tcPr>
          <w:p>
            <w:r/>
            <w:r>
              <w:rPr>
                <w:rFonts w:ascii="宋体" w:hAnsi="宋体" w:eastAsia="宋体"/>
                <w:sz w:val="20"/>
              </w:rPr>
              <w:t>2K</w:t>
            </w:r>
          </w:p>
        </w:tc>
      </w:tr>
      <w:tr>
        <w:tc>
          <w:tcPr>
            <w:tcW w:type="dxa" w:w="1385"/>
          </w:tcPr>
          <w:p>
            <w:r/>
            <w:r>
              <w:rPr>
                <w:rFonts w:ascii="宋体" w:hAnsi="宋体" w:eastAsia="宋体"/>
                <w:sz w:val="20"/>
              </w:rPr>
              <w:t>网络能力</w:t>
            </w:r>
          </w:p>
        </w:tc>
        <w:tc>
          <w:tcPr>
            <w:tcW w:type="dxa" w:w="1385"/>
          </w:tcPr>
          <w:p>
            <w:r/>
            <w:r>
              <w:rPr>
                <w:rFonts w:ascii="宋体" w:hAnsi="宋体" w:eastAsia="宋体"/>
                <w:sz w:val="20"/>
              </w:rPr>
              <w:t>WiFi</w:t>
            </w:r>
          </w:p>
        </w:tc>
        <w:tc>
          <w:tcPr>
            <w:tcW w:type="dxa" w:w="1385"/>
          </w:tcPr>
          <w:p>
            <w:r/>
            <w:r>
              <w:rPr>
                <w:rFonts w:ascii="宋体" w:hAnsi="宋体" w:eastAsia="宋体"/>
                <w:sz w:val="20"/>
              </w:rPr>
              <w:t>WiFi/有线</w:t>
            </w:r>
          </w:p>
        </w:tc>
        <w:tc>
          <w:tcPr>
            <w:tcW w:type="dxa" w:w="1385"/>
          </w:tcPr>
          <w:p>
            <w:r/>
            <w:r>
              <w:rPr>
                <w:rFonts w:ascii="宋体" w:hAnsi="宋体" w:eastAsia="宋体"/>
                <w:sz w:val="20"/>
              </w:rPr>
              <w:t>WiFi/5G</w:t>
            </w:r>
          </w:p>
        </w:tc>
        <w:tc>
          <w:tcPr>
            <w:tcW w:type="dxa" w:w="1385"/>
          </w:tcPr>
          <w:p>
            <w:r/>
            <w:r>
              <w:rPr>
                <w:rFonts w:ascii="宋体" w:hAnsi="宋体" w:eastAsia="宋体"/>
                <w:sz w:val="20"/>
              </w:rPr>
              <w:t>WiFi/5G</w:t>
            </w:r>
          </w:p>
        </w:tc>
        <w:tc>
          <w:tcPr>
            <w:tcW w:type="dxa" w:w="1385"/>
          </w:tcPr>
          <w:p>
            <w:r/>
            <w:r>
              <w:rPr>
                <w:rFonts w:ascii="宋体" w:hAnsi="宋体" w:eastAsia="宋体"/>
                <w:sz w:val="20"/>
              </w:rPr>
              <w:t>浏览器</w:t>
            </w:r>
          </w:p>
        </w:tc>
      </w:tr>
    </w:tbl>
    <w:p/>
    <w:p/>
    <w:p>
      <w:pPr>
        <w:pStyle w:val="Heading3"/>
      </w:pPr>
      <w:r>
        <w:t>6.8.2 条件编译与平台适配</w:t>
      </w:r>
    </w:p>
    <w:p/>
    <w:p>
      <w:pPr>
        <w:ind w:firstLine="482"/>
      </w:pPr>
      <w:r>
        <w:rPr>
          <w:rFonts w:ascii="宋体" w:hAnsi="宋体" w:eastAsia="宋体"/>
          <w:sz w:val="24"/>
        </w:rPr>
        <w:t xml:space="preserve">使用 Unity 的条件编译指令实现平台适配——在同一套代码中通过 </w:t>
      </w:r>
      <w:r>
        <w:rPr>
          <w:rFonts w:ascii="Consolas" w:hAnsi="Consolas"/>
          <w:color w:val="C83232"/>
          <w:sz w:val="20"/>
        </w:rPr>
        <w:t>#if</w:t>
      </w:r>
      <w:r>
        <w:rPr>
          <w:rFonts w:ascii="宋体" w:hAnsi="宋体" w:eastAsia="宋体"/>
          <w:sz w:val="24"/>
        </w:rPr>
        <w:t xml:space="preserve"> 指令区分不同平台的实现[15]：</w:t>
      </w:r>
    </w:p>
    <w:p/>
    <w:p>
      <w:pPr>
        <w:spacing w:after="0" w:line="240" w:lineRule="auto"/>
        <w:shd w:fill="F5F5F5" w:val="clear"/>
      </w:pPr>
      <w:r>
        <w:rPr>
          <w:rFonts w:ascii="Consolas" w:hAnsi="Consolas"/>
          <w:color w:val="323232"/>
          <w:sz w:val="18"/>
        </w:rPr>
        <w:t>#if UNITY_ANDROID &amp;&amp; ARFOUNDATION_4_0_OR_NEWER</w:t>
      </w:r>
    </w:p>
    <w:p>
      <w:pPr>
        <w:spacing w:after="0" w:line="240" w:lineRule="auto"/>
        <w:shd w:fill="F5F5F5" w:val="clear"/>
      </w:pPr>
      <w:r>
        <w:rPr>
          <w:rFonts w:ascii="Consolas" w:hAnsi="Consolas"/>
          <w:color w:val="323232"/>
          <w:sz w:val="18"/>
        </w:rPr>
        <w:t xml:space="preserve">    // Android ARCore 特定代码</w:t>
      </w:r>
    </w:p>
    <w:p>
      <w:pPr>
        <w:spacing w:after="0" w:line="240" w:lineRule="auto"/>
        <w:shd w:fill="F5F5F5" w:val="clear"/>
      </w:pPr>
      <w:r>
        <w:rPr>
          <w:rFonts w:ascii="Consolas" w:hAnsi="Consolas"/>
          <w:color w:val="323232"/>
          <w:sz w:val="18"/>
        </w:rPr>
        <w:t>#elif UNITY_IOS &amp;&amp; ARFOUNDATION_4_0_OR_NEWER</w:t>
      </w:r>
    </w:p>
    <w:p>
      <w:pPr>
        <w:spacing w:after="0" w:line="240" w:lineRule="auto"/>
        <w:shd w:fill="F5F5F5" w:val="clear"/>
      </w:pPr>
      <w:r>
        <w:rPr>
          <w:rFonts w:ascii="Consolas" w:hAnsi="Consolas"/>
          <w:color w:val="323232"/>
          <w:sz w:val="18"/>
        </w:rPr>
        <w:t xml:space="preserve">    // iOS ARKit 特定代码</w:t>
      </w:r>
    </w:p>
    <w:p>
      <w:pPr>
        <w:spacing w:after="0" w:line="240" w:lineRule="auto"/>
        <w:shd w:fill="F5F5F5" w:val="clear"/>
      </w:pPr>
      <w:r>
        <w:rPr>
          <w:rFonts w:ascii="Consolas" w:hAnsi="Consolas"/>
          <w:color w:val="323232"/>
          <w:sz w:val="18"/>
        </w:rPr>
        <w:t>#elif UNITY_XR_OPENXR</w:t>
      </w:r>
    </w:p>
    <w:p>
      <w:pPr>
        <w:spacing w:after="0" w:line="240" w:lineRule="auto"/>
        <w:shd w:fill="F5F5F5" w:val="clear"/>
      </w:pPr>
      <w:r>
        <w:rPr>
          <w:rFonts w:ascii="Consolas" w:hAnsi="Consolas"/>
          <w:color w:val="323232"/>
          <w:sz w:val="18"/>
        </w:rPr>
        <w:t xml:space="preserve">    // VR 头显特定代码</w:t>
      </w:r>
    </w:p>
    <w:p>
      <w:pPr>
        <w:spacing w:after="0" w:line="240" w:lineRule="auto"/>
        <w:shd w:fill="F5F5F5" w:val="clear"/>
      </w:pPr>
      <w:r>
        <w:rPr>
          <w:rFonts w:ascii="Consolas" w:hAnsi="Consolas"/>
          <w:color w:val="323232"/>
          <w:sz w:val="18"/>
        </w:rPr>
        <w:t>#else</w:t>
      </w:r>
    </w:p>
    <w:p>
      <w:pPr>
        <w:spacing w:after="0" w:line="240" w:lineRule="auto"/>
        <w:shd w:fill="F5F5F5" w:val="clear"/>
      </w:pPr>
      <w:r>
        <w:rPr>
          <w:rFonts w:ascii="Consolas" w:hAnsi="Consolas"/>
          <w:color w:val="323232"/>
          <w:sz w:val="18"/>
        </w:rPr>
        <w:t xml:space="preserve">    // 编辑器/PC 降级代码</w:t>
      </w:r>
    </w:p>
    <w:p>
      <w:pPr>
        <w:spacing w:after="0" w:line="240" w:lineRule="auto"/>
        <w:shd w:fill="F5F5F5" w:val="clear"/>
      </w:pPr>
      <w:r>
        <w:rPr>
          <w:rFonts w:ascii="Consolas" w:hAnsi="Consolas"/>
          <w:color w:val="323232"/>
          <w:sz w:val="18"/>
        </w:rPr>
        <w:t>#endif</w:t>
      </w:r>
    </w:p>
    <w:p/>
    <w:p>
      <w:pPr>
        <w:pStyle w:val="Heading3"/>
      </w:pPr>
      <w:r>
        <w:t>6.8.3 降级策略</w:t>
      </w:r>
    </w:p>
    <w:p/>
    <w:p>
      <w:pPr>
        <w:ind w:firstLine="482"/>
      </w:pPr>
      <w:r>
        <w:rPr>
          <w:rFonts w:ascii="宋体" w:hAnsi="宋体" w:eastAsia="宋体"/>
          <w:sz w:val="24"/>
        </w:rPr>
        <w:t>当目标平台无法支持某些功能时，需要设计合理的降级策略[15]：VR 头显不支持裸手追踪时，降级为手柄射线交互；移动端 AR 不支持 LiDAR 深度感知时，降级为基于平面的物体放置（无遮挡效果）；WebXR 不支持 6DoF 追踪时，降级为 3DoF 全景浏览；设备性能不足时，降低渲染分辨率（foveated rendering）、减少场景物体数量或切换到低精度 LOD。</w:t>
      </w:r>
    </w:p>
    <w:p/>
    <w:p>
      <w:pPr>
        <w:ind w:firstLine="482"/>
      </w:pPr>
      <w:r>
        <w:rPr>
          <w:rFonts w:ascii="宋体" w:hAnsi="宋体" w:eastAsia="宋体"/>
          <w:sz w:val="24"/>
        </w:rPr>
        <w:t>降级策略的核心原则是"核心功能可用，非核心功能可省"——确保用户在任何设备上都能完成核心体验流程，只是体验质量有所不同。</w:t>
      </w:r>
    </w:p>
    <w:p/>
    <w:p>
      <w:pPr>
        <w:pStyle w:val="Heading2"/>
      </w:pPr>
      <w:r>
        <w:t>6.9 开发规范与代码质量</w:t>
      </w:r>
    </w:p>
    <w:p/>
    <w:p>
      <w:pPr>
        <w:pStyle w:val="Heading3"/>
      </w:pPr>
      <w:r>
        <w:t>6.9.1 C# 编码规范</w:t>
      </w:r>
    </w:p>
    <w:p/>
    <w:p>
      <w:pPr>
        <w:ind w:firstLine="482"/>
      </w:pPr>
      <w:r>
        <w:rPr>
          <w:rFonts w:ascii="宋体" w:hAnsi="宋体" w:eastAsia="宋体"/>
          <w:sz w:val="24"/>
        </w:rPr>
        <w:t xml:space="preserve">团队应建立统一的 C# 编码规范[15]：类名使用 PascalCase（如 </w:t>
      </w:r>
      <w:r>
        <w:rPr>
          <w:rFonts w:ascii="Consolas" w:hAnsi="Consolas"/>
          <w:color w:val="C83232"/>
          <w:sz w:val="20"/>
        </w:rPr>
        <w:t>ARSceneManager</w:t>
      </w:r>
      <w:r>
        <w:rPr>
          <w:rFonts w:ascii="宋体" w:hAnsi="宋体" w:eastAsia="宋体"/>
          <w:sz w:val="24"/>
        </w:rPr>
        <w:t xml:space="preserve">），方法名使用 PascalCase（如 </w:t>
      </w:r>
      <w:r>
        <w:rPr>
          <w:rFonts w:ascii="Consolas" w:hAnsi="Consolas"/>
          <w:color w:val="C83232"/>
          <w:sz w:val="20"/>
        </w:rPr>
        <w:t>LoadScene</w:t>
      </w:r>
      <w:r>
        <w:rPr>
          <w:rFonts w:ascii="宋体" w:hAnsi="宋体" w:eastAsia="宋体"/>
          <w:sz w:val="24"/>
        </w:rPr>
        <w:t xml:space="preserve">），变量名使用 camelCase（如 </w:t>
      </w:r>
      <w:r>
        <w:rPr>
          <w:rFonts w:ascii="Consolas" w:hAnsi="Consolas"/>
          <w:color w:val="C83232"/>
          <w:sz w:val="20"/>
        </w:rPr>
        <w:t>trackingState</w:t>
      </w:r>
      <w:r>
        <w:rPr>
          <w:rFonts w:ascii="宋体" w:hAnsi="宋体" w:eastAsia="宋体"/>
          <w:sz w:val="24"/>
        </w:rPr>
        <w:t xml:space="preserve">），私有变量前缀 </w:t>
      </w:r>
      <w:r>
        <w:rPr>
          <w:rFonts w:ascii="Consolas" w:hAnsi="Consolas"/>
          <w:color w:val="C83232"/>
          <w:sz w:val="20"/>
        </w:rPr>
        <w:t>_</w:t>
      </w:r>
      <w:r>
        <w:rPr>
          <w:rFonts w:ascii="宋体" w:hAnsi="宋体" w:eastAsia="宋体"/>
          <w:sz w:val="24"/>
        </w:rPr>
        <w:t xml:space="preserve">（如 </w:t>
      </w:r>
      <w:r>
        <w:rPr>
          <w:rFonts w:ascii="Consolas" w:hAnsi="Consolas"/>
          <w:color w:val="C83232"/>
          <w:sz w:val="20"/>
        </w:rPr>
        <w:t>_isInitialized</w:t>
      </w:r>
      <w:r>
        <w:rPr>
          <w:rFonts w:ascii="宋体" w:hAnsi="宋体" w:eastAsia="宋体"/>
          <w:sz w:val="24"/>
        </w:rPr>
        <w:t xml:space="preserve">）。文件名与类名一致。一个文件一个类（除内部类和枚举外）。使用 </w:t>
      </w:r>
      <w:r>
        <w:rPr>
          <w:rFonts w:ascii="Consolas" w:hAnsi="Consolas"/>
          <w:color w:val="C83232"/>
          <w:sz w:val="20"/>
        </w:rPr>
        <w:t>const</w:t>
      </w:r>
      <w:r>
        <w:rPr>
          <w:rFonts w:ascii="宋体" w:hAnsi="宋体" w:eastAsia="宋体"/>
          <w:sz w:val="24"/>
        </w:rPr>
        <w:t xml:space="preserve"> 定义常量，使用 </w:t>
      </w:r>
      <w:r>
        <w:rPr>
          <w:rFonts w:ascii="Consolas" w:hAnsi="Consolas"/>
          <w:color w:val="C83232"/>
          <w:sz w:val="20"/>
        </w:rPr>
        <w:t>readonly</w:t>
      </w:r>
      <w:r>
        <w:rPr>
          <w:rFonts w:ascii="宋体" w:hAnsi="宋体" w:eastAsia="宋体"/>
          <w:sz w:val="24"/>
        </w:rPr>
        <w:t xml:space="preserve"> 定义只读字段。优先使用属性（Property）而非公共字段。异步方法以 </w:t>
      </w:r>
      <w:r>
        <w:rPr>
          <w:rFonts w:ascii="Consolas" w:hAnsi="Consolas"/>
          <w:color w:val="C83232"/>
          <w:sz w:val="20"/>
        </w:rPr>
        <w:t>Async</w:t>
      </w:r>
      <w:r>
        <w:rPr>
          <w:rFonts w:ascii="宋体" w:hAnsi="宋体" w:eastAsia="宋体"/>
          <w:sz w:val="24"/>
        </w:rPr>
        <w:t xml:space="preserve"> 后缀命名。</w:t>
      </w:r>
    </w:p>
    <w:p/>
    <w:p>
      <w:pPr>
        <w:pStyle w:val="Heading3"/>
      </w:pPr>
      <w:r>
        <w:t>6.9.2 架构设计原则</w:t>
      </w:r>
    </w:p>
    <w:p/>
    <w:p>
      <w:pPr>
        <w:ind w:firstLine="482"/>
      </w:pPr>
      <w:r>
        <w:rPr>
          <w:rFonts w:ascii="宋体" w:hAnsi="宋体" w:eastAsia="宋体"/>
          <w:sz w:val="24"/>
        </w:rPr>
        <w:t>VR/AR 应用的架构应遵循 SOLID 原则和 MVC/MVVM 模式[15]：Model 层管理数据（场景配置、用户进度、设置项）；View 层管理视觉表现（3D 模型、UI 界面、特效）；Controller 层管理逻辑（交互响应、状态转换、事件分发）。使用 Unity 的 ScriptableObject 定义配置数据，实现数据与逻辑的分离。使用事件驱动架构——模块间通过事件（Event）通信，降低耦合度。使用依赖注入（Zenject/VContainer）管理对象的生命周期和依赖关系。</w:t>
      </w:r>
    </w:p>
    <w:p/>
    <w:p/>
    <w:p>
      <w:pPr>
        <w:pStyle w:val="Heading2"/>
      </w:pPr>
      <w:r>
        <w:t>6.10 开发实战经验总结</w:t>
      </w:r>
    </w:p>
    <w:p/>
    <w:p>
      <w:pPr>
        <w:pStyle w:val="Heading3"/>
      </w:pPr>
      <w:r>
        <w:t>6.10.1 常见陷阱与解决方案</w:t>
      </w:r>
    </w:p>
    <w:p/>
    <w:p>
      <w:pPr>
        <w:ind w:firstLine="482"/>
      </w:pPr>
      <w:r>
        <w:rPr>
          <w:rFonts w:ascii="宋体" w:hAnsi="宋体" w:eastAsia="宋体"/>
          <w:sz w:val="24"/>
        </w:rPr>
        <w:t>在 VR/AR 开发实践中，以下陷阱最为常见[15]：</w:t>
      </w:r>
    </w:p>
    <w:p/>
    <w:p>
      <w:pPr>
        <w:ind w:firstLine="482"/>
      </w:pPr>
      <w:r>
        <w:rPr>
          <w:rFonts w:ascii="宋体" w:hAnsi="宋体" w:eastAsia="宋体"/>
          <w:b/>
          <w:sz w:val="24"/>
        </w:rPr>
        <w:t>陷阱一：过度追求画质导致性能崩溃</w:t>
      </w:r>
      <w:r>
        <w:rPr>
          <w:rFonts w:ascii="宋体" w:hAnsi="宋体" w:eastAsia="宋体"/>
          <w:sz w:val="24"/>
        </w:rPr>
        <w:t>。初学者常犯的错误是将所有 3D 模型设为最高精度、开启所有后处理效果，导致 VR 帧率降至 30fps 以下。解决方案：先在目标设备上建立性能预算，所有美术资源严格按照预算制作。使用 Unity Profiler 持续监控，发现性能瓶颈立即优化。</w:t>
      </w:r>
    </w:p>
    <w:p/>
    <w:p>
      <w:pPr>
        <w:ind w:firstLine="482"/>
      </w:pPr>
      <w:r>
        <w:rPr>
          <w:rFonts w:ascii="宋体" w:hAnsi="宋体" w:eastAsia="宋体"/>
          <w:b/>
          <w:sz w:val="24"/>
        </w:rPr>
        <w:t>陷阱二：忽略 VR 舒适度</w:t>
      </w:r>
      <w:r>
        <w:rPr>
          <w:rFonts w:ascii="宋体" w:hAnsi="宋体" w:eastAsia="宋体"/>
          <w:sz w:val="24"/>
        </w:rPr>
        <w:t>。平滑移动虽然操作灵活，但约 30% 的用户会因此产生眩晕。解决方案：默认使用瞬移移动方式，在设置中提供平滑移动选项并附带眩晕警告。限制移动速度不超过 3m/s 和加速度不超过 2m/s²。</w:t>
      </w:r>
    </w:p>
    <w:p/>
    <w:p>
      <w:pPr>
        <w:ind w:firstLine="482"/>
      </w:pPr>
      <w:r>
        <w:rPr>
          <w:rFonts w:ascii="宋体" w:hAnsi="宋体" w:eastAsia="宋体"/>
          <w:b/>
          <w:sz w:val="24"/>
        </w:rPr>
        <w:t>陷阱三：UI 设计不当</w:t>
      </w:r>
      <w:r>
        <w:rPr>
          <w:rFonts w:ascii="宋体" w:hAnsi="宋体" w:eastAsia="宋体"/>
          <w:sz w:val="24"/>
        </w:rPr>
        <w:t>。将 2D 界面设计直接搬到 VR 中会导致视觉疲劳和聚焦困难。解决方案：VR 中的 UI 应以 3D 空间面板形式呈现，放置在用户视野前方 1-2 米处。文字大小至少 0.05m，背景使用半透明面板避免遮挡虚拟环境。</w:t>
      </w:r>
    </w:p>
    <w:p/>
    <w:p>
      <w:pPr>
        <w:pStyle w:val="Heading3"/>
      </w:pPr>
      <w:r>
        <w:t>6.10.2 性能优化优先级</w:t>
      </w:r>
    </w:p>
    <w:p/>
    <w:p>
      <w:pPr>
        <w:ind w:firstLine="482"/>
      </w:pPr>
      <w:r>
        <w:rPr>
          <w:rFonts w:ascii="宋体" w:hAnsi="宋体" w:eastAsia="宋体"/>
          <w:sz w:val="24"/>
        </w:rPr>
        <w:t>当面临性能瓶颈时，建议按以下优先级进行优化[15]：（1）减少 Draw Call（合并 Mesh、使用 GPU Instancing）；（2）降低纹理分辨率和压缩格式；（3）简化 Shader（使用 Simple Lit 替代 Complex Lit）；（4）启用 LOD 和遮挡剔除；（5）减少动态光源（使用烘焙光照替代实时光照）；（6）降低渲染分辨率（Render Scale 从 1.0 降至 0.8）。</w:t>
      </w:r>
    </w:p>
    <w:p/>
    <w:p/>
    <w:p>
      <w:pPr>
        <w:pStyle w:val="Heading3"/>
      </w:pPr>
      <w:r>
        <w:t>6.10.3 团队协作与代码管理</w:t>
      </w:r>
    </w:p>
    <w:p/>
    <w:p>
      <w:pPr>
        <w:ind w:firstLine="482"/>
      </w:pPr>
      <w:r>
        <w:rPr>
          <w:rFonts w:ascii="宋体" w:hAnsi="宋体" w:eastAsia="宋体"/>
          <w:sz w:val="24"/>
        </w:rPr>
        <w:t>VR/AR 项目的团队协作需要特别注意 3D 资产和代码的协同管理[15]。建议使用 Unity Collaborate 或 Plastic SCM 替代 Git 进行 Unity 项目的版本管理，因为它们对大型二进制文件和场景文件有更好的支持。建立每日构建（Daily Build）制度——每天自动构建一个可测试的版本，确保问题被尽早发现。使用任务管理工具（如飞书多维表格或 Jira）跟踪每个任务的进度和负责人。代码审查（Code Review）制度要求所有代码提交前至少一名同事审查，确保代码质量和规范一致性[15]。</w:t>
      </w:r>
    </w:p>
    <w:p/>
    <w:p/>
    <w:p>
      <w:pPr>
        <w:pStyle w:val="Heading3"/>
      </w:pPr>
      <w:r>
        <w:t>6.10.4 项目复盘与知识沉淀</w:t>
      </w:r>
    </w:p>
    <w:p/>
    <w:p>
      <w:pPr>
        <w:ind w:firstLine="482"/>
      </w:pPr>
      <w:r>
        <w:rPr>
          <w:rFonts w:ascii="宋体" w:hAnsi="宋体" w:eastAsia="宋体"/>
          <w:sz w:val="24"/>
        </w:rPr>
        <w:t>VR/AR 项目完成后应进行系统化的技术复盘，将项目经验转化为团队知识资产。复盘应涵盖技术决策的合理性评估（选择的技术方案是否达到预期效果）、开发流程的效率分析（哪些环节耗时最多、如何优化）和团队能力评估（成员技能差距和培训需求）。复盘成果应整理为项目技术总结文档和可复用的组件库，为后续项目提供参考[15]。</w:t>
      </w:r>
    </w:p>
    <w:p/>
    <w:p>
      <w:pPr>
        <w:pStyle w:val="Heading2"/>
      </w:pPr>
      <w:r>
        <w:t>本章小结</w:t>
      </w:r>
    </w:p>
    <w:p/>
    <w:p>
      <w:pPr>
        <w:ind w:firstLine="482"/>
      </w:pPr>
      <w:r>
        <w:rPr>
          <w:rFonts w:ascii="宋体" w:hAnsi="宋体" w:eastAsia="宋体"/>
          <w:sz w:val="24"/>
        </w:rPr>
        <w:t>本章系统讲解了 VR/AR 开发引擎与渲染优化的技术体系。在引擎选型方面，比较了 Unity、Unreal Engine 和 Godot 三大引擎在 VR/AR 开发中的优劣，分析了 Vendor Lock-in 风险和缓解策略，介绍了 WebXR 跨平台开发方案。在 Unity 开发方面，详细讲解了 XR Interaction Toolkit 框架、AR Foundation 跨平台 AR 开发和项目构建部署流程。在 Unreal Engine 开发方面，介绍了蓝图可视化编程和 Nanite/Lumen 技术在 VR 中的应用。在渲染优化方面，阐述了 VR 双目渲染管线原理、性能预算管理、GPU 优化策略（Draw Call 优化、SRP Batcher、Shader 复杂度控制）、注视点渲染与 VRS、以及资源加载与内存管理。</w:t>
      </w:r>
    </w:p>
    <w:p/>
    <w:p>
      <w:pPr>
        <w:ind w:firstLine="482"/>
      </w:pPr>
      <w:r>
        <w:rPr>
          <w:rFonts w:ascii="宋体" w:hAnsi="宋体" w:eastAsia="宋体"/>
          <w:sz w:val="24"/>
        </w:rPr>
        <w:t xml:space="preserve">本章内容对应 I.M.M.E.R.S.E. 框架的 </w:t>
      </w:r>
      <w:r>
        <w:rPr>
          <w:rFonts w:ascii="宋体" w:hAnsi="宋体" w:eastAsia="宋体"/>
          <w:b/>
          <w:sz w:val="24"/>
        </w:rPr>
        <w:t>E（Engine &amp; Rendering，引擎与渲染）</w:t>
      </w:r>
      <w:r>
        <w:rPr>
          <w:rFonts w:ascii="宋体" w:hAnsi="宋体" w:eastAsia="宋体"/>
          <w:sz w:val="24"/>
        </w:rPr>
        <w:t xml:space="preserve"> 维度，与第4章（建模与资产）和第5章（多模态交互）共同构成了第2篇"核心技术篇"的完整技术体系。从第7章开始，我们将从技术实现走向场景应用，探讨 VR/AR 在文旅、文化遗产和教育领域的垂直应用方法论。</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VR 渲染管线与传统渲染的两大核心差异是什么？单通道渲染相比双通道渲染有何优势？</w:t>
      </w:r>
    </w:p>
    <w:p>
      <w:pPr>
        <w:pStyle w:val="ListNumber"/>
      </w:pPr>
      <w:r>
        <w:rPr>
          <w:rFonts w:ascii="宋体" w:hAnsi="宋体" w:eastAsia="宋体"/>
          <w:b/>
          <w:sz w:val="24"/>
        </w:rPr>
        <w:t>（理解）</w:t>
      </w:r>
      <w:r>
        <w:rPr>
          <w:rFonts w:ascii="宋体" w:hAnsi="宋体" w:eastAsia="宋体"/>
          <w:sz w:val="24"/>
        </w:rPr>
        <w:t xml:space="preserve"> 解释 Nanite 虚拟几何体技术为什么对文化遗产数字化场景特别有价值，以及其在移动端 VR 上面临的挑战。</w:t>
      </w:r>
    </w:p>
    <w:p>
      <w:pPr>
        <w:pStyle w:val="ListNumber"/>
      </w:pPr>
      <w:r>
        <w:rPr>
          <w:rFonts w:ascii="宋体" w:hAnsi="宋体" w:eastAsia="宋体"/>
          <w:b/>
          <w:sz w:val="24"/>
        </w:rPr>
        <w:t>（应用）</w:t>
      </w:r>
      <w:r>
        <w:rPr>
          <w:rFonts w:ascii="宋体" w:hAnsi="宋体" w:eastAsia="宋体"/>
          <w:sz w:val="24"/>
        </w:rPr>
        <w:t xml:space="preserve"> 在 Unity 中使用 XR Interaction Toolkit 搭建一个 VR 场景，包含可抓取物体、瞬移区域和射线交互 UI。</w:t>
      </w:r>
    </w:p>
    <w:p>
      <w:pPr>
        <w:pStyle w:val="ListNumber"/>
      </w:pPr>
      <w:r>
        <w:rPr>
          <w:rFonts w:ascii="宋体" w:hAnsi="宋体" w:eastAsia="宋体"/>
          <w:b/>
          <w:sz w:val="24"/>
        </w:rPr>
        <w:t>（分析）</w:t>
      </w:r>
      <w:r>
        <w:rPr>
          <w:rFonts w:ascii="宋体" w:hAnsi="宋体" w:eastAsia="宋体"/>
          <w:sz w:val="24"/>
        </w:rPr>
        <w:t xml:space="preserve"> 比较 Unity URP 和 Unreal Engine 在 Meta Quest 3 上的渲染性能表现，分析各自适合的场景类型和优化策略。</w:t>
      </w:r>
    </w:p>
    <w:p>
      <w:pPr>
        <w:pStyle w:val="ListNumber"/>
      </w:pPr>
      <w:r>
        <w:rPr>
          <w:rFonts w:ascii="宋体" w:hAnsi="宋体" w:eastAsia="宋体"/>
          <w:b/>
          <w:sz w:val="24"/>
        </w:rPr>
        <w:t>（评价）</w:t>
      </w:r>
      <w:r>
        <w:rPr>
          <w:rFonts w:ascii="宋体" w:hAnsi="宋体" w:eastAsia="宋体"/>
          <w:sz w:val="24"/>
        </w:rPr>
        <w:t xml:space="preserve"> 使用 Unity Profiler 分析一个 VR 应用的性能瓶颈，识别 CPU-bound 还是 GPU-bound，制定具体优化方案。</w:t>
      </w:r>
    </w:p>
    <w:p>
      <w:pPr>
        <w:pStyle w:val="ListNumber"/>
      </w:pPr>
      <w:r>
        <w:rPr>
          <w:rFonts w:ascii="宋体" w:hAnsi="宋体" w:eastAsia="宋体"/>
          <w:b/>
          <w:sz w:val="24"/>
        </w:rPr>
        <w:t>（创造）</w:t>
      </w:r>
      <w:r>
        <w:rPr>
          <w:rFonts w:ascii="宋体" w:hAnsi="宋体" w:eastAsia="宋体"/>
          <w:sz w:val="24"/>
        </w:rPr>
        <w:t xml:space="preserve"> 设计一个贵州景区 VR 全景 WebVR 项目的技术方案，包含 360° 全景采集、A-Frame 开发、WebXR 部署和 QR 码分发的完整流程。</w:t>
      </w:r>
    </w:p>
    <w:p/>
    <w:p>
      <w:pPr>
        <w:pStyle w:val="Heading2"/>
      </w:pPr>
      <w:r>
        <w:t>参考文献</w:t>
      </w:r>
    </w:p>
    <w:p/>
    <w:p>
      <w:pPr>
        <w:ind w:firstLine="482"/>
      </w:pPr>
      <w:r>
        <w:rPr>
          <w:rFonts w:ascii="宋体" w:hAnsi="宋体" w:eastAsia="宋体"/>
          <w:sz w:val="24"/>
        </w:rPr>
        <w:t>[1] Ciekanowska, A., Kiszczak Gliński, A., &amp; Dziedzic, K. (2021). Comparative analysis of Unity and Unreal Engine efficiency in creating virtual exhibitions of 3D scanned models. Journal of Computer Sciences Institute, 21, 294-299. https://doi.org/10.35784/jcsi.2698</w:t>
      </w:r>
    </w:p>
    <w:p/>
    <w:p>
      <w:pPr>
        <w:ind w:firstLine="482"/>
      </w:pPr>
      <w:r>
        <w:rPr>
          <w:rFonts w:ascii="宋体" w:hAnsi="宋体" w:eastAsia="宋体"/>
          <w:sz w:val="24"/>
        </w:rPr>
        <w:t>[2] Buttiglione, M. D., Colabene, F., &amp; Gribaudo, M. (2026). Vendor lock-in in VR game engines: a structured comparison of Unity, Unreal Engine, and Godot. CEUR Workshop Proceedings. https://doi.org/10.7148/2026-0755</w:t>
      </w:r>
    </w:p>
    <w:p/>
    <w:p>
      <w:pPr>
        <w:ind w:firstLine="482"/>
      </w:pPr>
      <w:r>
        <w:rPr>
          <w:rFonts w:ascii="宋体" w:hAnsi="宋体" w:eastAsia="宋体"/>
          <w:sz w:val="24"/>
        </w:rPr>
        <w:t>[3] Berrezueta-Guzman, S., &amp; Wagner, S. (2025). Choosing the Right Engine in the Virtual Reality Landscape. arXiv:2508.13116. https://arxiv.org/abs/2508.13116</w:t>
      </w:r>
    </w:p>
    <w:p/>
    <w:p>
      <w:pPr>
        <w:ind w:firstLine="482"/>
      </w:pPr>
      <w:r>
        <w:rPr>
          <w:rFonts w:ascii="宋体" w:hAnsi="宋体" w:eastAsia="宋体"/>
          <w:sz w:val="24"/>
        </w:rPr>
        <w:t>[4] Khomtchouk, B. B. (2021). WebAssembly enables low latency interoperable augmented and virtual reality software. arXiv:2110.07128. https://arxiv.org/abs/2110.07128</w:t>
      </w:r>
    </w:p>
    <w:p/>
    <w:p>
      <w:pPr>
        <w:ind w:firstLine="482"/>
      </w:pPr>
      <w:r>
        <w:rPr>
          <w:rFonts w:ascii="宋体" w:hAnsi="宋体" w:eastAsia="宋体"/>
          <w:sz w:val="24"/>
        </w:rPr>
        <w:t>[5] Fleck, P., Schmalstieg, D., &amp; Arth, C. (2020). Creating IoT-ready XR-WebApps with Unity3D. ACM. https://doi.org/10.1145/3424616.3424691</w:t>
      </w:r>
    </w:p>
    <w:p/>
    <w:p>
      <w:pPr>
        <w:ind w:firstLine="482"/>
      </w:pPr>
      <w:r>
        <w:rPr>
          <w:rFonts w:ascii="宋体" w:hAnsi="宋体" w:eastAsia="宋体"/>
          <w:sz w:val="24"/>
        </w:rPr>
        <w:t>[6] Ritter, K. A., Borst, C., &amp; Chambers, T. (2015). Overview and Assessment of Unity Toolkits for Rapid Development of an Educational VR Application. Semantic Scholar.</w:t>
      </w:r>
    </w:p>
    <w:p/>
    <w:p>
      <w:pPr>
        <w:ind w:firstLine="482"/>
      </w:pPr>
      <w:r>
        <w:rPr>
          <w:rFonts w:ascii="宋体" w:hAnsi="宋体" w:eastAsia="宋体"/>
          <w:sz w:val="24"/>
        </w:rPr>
        <w:t>[7] de Quinto, C., Navarro, A., Otero, G., et al. (2024). On the impact of VR/AR applications on optical transport networks. IEEE ICTON. https://doi.org/10.1109/ICTON62926.2024.10647326</w:t>
      </w:r>
    </w:p>
    <w:p/>
    <w:p>
      <w:pPr>
        <w:ind w:firstLine="482"/>
      </w:pPr>
      <w:r>
        <w:rPr>
          <w:rFonts w:ascii="宋体" w:hAnsi="宋体" w:eastAsia="宋体"/>
          <w:sz w:val="24"/>
        </w:rPr>
        <w:t>[8] Xiong, Z. (2022). Development of VR Teaching System for Engine Dis-assembly. arXiv:2207.05265. https://arxiv.org/abs/2207.05265</w:t>
      </w:r>
    </w:p>
    <w:p/>
    <w:p>
      <w:pPr>
        <w:ind w:firstLine="482"/>
      </w:pPr>
      <w:r>
        <w:rPr>
          <w:rFonts w:ascii="宋体" w:hAnsi="宋体" w:eastAsia="宋体"/>
          <w:sz w:val="24"/>
        </w:rPr>
        <w:t>[9] Sermet, Y., &amp; Demir, I. (2020). GeospatialVR: A web-based virtual reality framework for collaborative environmental simulations. OSF. https://doi.org/10.31223/osf.io/ks2yz</w:t>
      </w:r>
    </w:p>
    <w:p/>
    <w:p>
      <w:pPr>
        <w:ind w:firstLine="482"/>
      </w:pPr>
      <w:r>
        <w:rPr>
          <w:rFonts w:ascii="宋体" w:hAnsi="宋体" w:eastAsia="宋体"/>
          <w:sz w:val="24"/>
        </w:rPr>
        <w:t>[10] Gunkel, S., et al. (2021). VRComm: an end-to-end web system for real-time photorealistic social VR communication. ACM. https://doi.org/10.1145/3458305.3459595</w:t>
      </w:r>
    </w:p>
    <w:p/>
    <w:p>
      <w:pPr>
        <w:ind w:firstLine="482"/>
      </w:pPr>
      <w:r>
        <w:rPr>
          <w:rFonts w:ascii="宋体" w:hAnsi="宋体" w:eastAsia="宋体"/>
          <w:sz w:val="24"/>
        </w:rPr>
        <w:t>[11] Okada, Y., Kaneko, K., &amp; Shi, W. (2023). Development Framework Using 360VR Cameras and Lidar Scanners for Web-Based XR Educational Materials. Springer. https://doi.org/10.1007/978-3-031-26281-4_42</w:t>
      </w:r>
    </w:p>
    <w:p/>
    <w:p>
      <w:pPr>
        <w:ind w:firstLine="482"/>
      </w:pPr>
      <w:r>
        <w:rPr>
          <w:rFonts w:ascii="宋体" w:hAnsi="宋体" w:eastAsia="宋体"/>
          <w:sz w:val="24"/>
        </w:rPr>
        <w:t>[12] Prins, M., Gunkel, S., &amp; Niamut, O. A. (2018). TogetherVR: A Framework for Photorealistic Shared Media Experiences in 360-Degree VR. SMPTE Motion Imaging Journal. https://doi.org/10.5594/JMI.2018.2840618</w:t>
      </w:r>
    </w:p>
    <w:p/>
    <w:p>
      <w:pPr>
        <w:ind w:firstLine="482"/>
      </w:pPr>
      <w:r>
        <w:rPr>
          <w:rFonts w:ascii="宋体" w:hAnsi="宋体" w:eastAsia="宋体"/>
          <w:sz w:val="24"/>
        </w:rPr>
        <w:t>[13] Okada, Y., Shi, W., &amp; Kaneko, K. (2024). OpenVSLAM-Based Development Framework for Web-Based VR Tours Using 360VR Videos. Springer. https://doi.org/10.1007/978-3-031-53555-0_4</w:t>
      </w:r>
    </w:p>
    <w:p/>
    <w:p>
      <w:pPr>
        <w:ind w:firstLine="482"/>
      </w:pPr>
      <w:r>
        <w:rPr>
          <w:rFonts w:ascii="宋体" w:hAnsi="宋体" w:eastAsia="宋体"/>
          <w:sz w:val="24"/>
        </w:rPr>
        <w:t>[14] Spanlang, B., Normand, J.-M., Borland, D., et al. (2014). How to Build an Embodiment Lab: Achieving Body Representation Illusions in Virtual Reality. Frontiers in Robotics and AI, 1, 9. https://doi.org/10.3389/frobt.2014.00009</w:t>
      </w:r>
    </w:p>
    <w:p/>
    <w:p>
      <w:pPr>
        <w:ind w:firstLine="482"/>
      </w:pPr>
      <w:r>
        <w:rPr>
          <w:rFonts w:ascii="宋体" w:hAnsi="宋体" w:eastAsia="宋体"/>
          <w:sz w:val="24"/>
        </w:rPr>
        <w:t>[15] 孙泽华, 李实. (2023). 基于Unity3D引擎的篮球战术可视化教学设计与实现. 万方数据.</w:t>
      </w:r>
    </w:p>
    <w:p/>
    <w:p>
      <w:r>
        <w:br w:type="page"/>
      </w:r>
    </w:p>
    <w:p>
      <w:pPr>
        <w:pStyle w:val="Heading1"/>
      </w:pPr>
      <w:r>
        <w:t>第7章 文旅沉浸式场景设计</w:t>
      </w:r>
    </w:p>
    <w:p>
      <w:pPr>
        <w:jc w:val="center"/>
      </w:pPr>
      <w:r>
        <w:drawing>
          <wp:inline xmlns:a="http://schemas.openxmlformats.org/drawingml/2006/main" xmlns:pic="http://schemas.openxmlformats.org/drawingml/2006/picture">
            <wp:extent cx="5040000" cy="2920235"/>
            <wp:docPr id="6" name="Picture 6"/>
            <wp:cNvGraphicFramePr>
              <a:graphicFrameLocks noChangeAspect="1"/>
            </wp:cNvGraphicFramePr>
            <a:graphic>
              <a:graphicData uri="http://schemas.openxmlformats.org/drawingml/2006/picture">
                <pic:pic>
                  <pic:nvPicPr>
                    <pic:cNvPr id="0" name="fig07_tourism_four_stages.png"/>
                    <pic:cNvPicPr/>
                  </pic:nvPicPr>
                  <pic:blipFill>
                    <a:blip r:embed="rId13"/>
                    <a:stretch>
                      <a:fillRect/>
                    </a:stretch>
                  </pic:blipFill>
                  <pic:spPr>
                    <a:xfrm>
                      <a:off x="0" y="0"/>
                      <a:ext cx="5040000" cy="2920235"/>
                    </a:xfrm>
                    <a:prstGeom prst="rect"/>
                  </pic:spPr>
                </pic:pic>
              </a:graphicData>
            </a:graphic>
          </wp:inline>
        </w:drawing>
      </w:r>
    </w:p>
    <w:p/>
    <w:p>
      <w:pPr>
        <w:pStyle w:val="Heading2"/>
      </w:pPr>
      <w:r>
        <w:t>学习目标</w:t>
      </w:r>
    </w:p>
    <w:p/>
    <w:p>
      <w:pPr>
        <w:pStyle w:val="ListNumber"/>
      </w:pPr>
      <w:r>
        <w:rPr>
          <w:rFonts w:ascii="宋体" w:hAnsi="宋体" w:eastAsia="宋体"/>
          <w:b/>
          <w:sz w:val="24"/>
        </w:rPr>
        <w:t>识记</w:t>
      </w:r>
      <w:r>
        <w:rPr>
          <w:rFonts w:ascii="宋体" w:hAnsi="宋体" w:eastAsia="宋体"/>
          <w:sz w:val="24"/>
        </w:rPr>
        <w:t>：沉浸式文旅的概念内涵，Bec 等人的四阶段管理模型，VR 全景与 AR 文旅的技术路线分类。</w:t>
      </w:r>
    </w:p>
    <w:p>
      <w:pPr>
        <w:pStyle w:val="ListNumber"/>
      </w:pPr>
      <w:r>
        <w:rPr>
          <w:rFonts w:ascii="宋体" w:hAnsi="宋体" w:eastAsia="宋体"/>
          <w:b/>
          <w:sz w:val="24"/>
        </w:rPr>
        <w:t>理解</w:t>
      </w:r>
      <w:r>
        <w:rPr>
          <w:rFonts w:ascii="宋体" w:hAnsi="宋体" w:eastAsia="宋体"/>
          <w:sz w:val="24"/>
        </w:rPr>
        <w:t>：体验经济理论在文旅 VR/AR 中的应用逻辑，MR 混合现实在文旅中的虚实融合模式。</w:t>
      </w:r>
    </w:p>
    <w:p>
      <w:pPr>
        <w:pStyle w:val="ListNumber"/>
      </w:pPr>
      <w:r>
        <w:rPr>
          <w:rFonts w:ascii="宋体" w:hAnsi="宋体" w:eastAsia="宋体"/>
          <w:b/>
          <w:sz w:val="24"/>
        </w:rPr>
        <w:t>应用</w:t>
      </w:r>
      <w:r>
        <w:rPr>
          <w:rFonts w:ascii="宋体" w:hAnsi="宋体" w:eastAsia="宋体"/>
          <w:sz w:val="24"/>
        </w:rPr>
        <w:t>：能够运用四阶段管理模型设计一个文旅景区的 VR/AR 沉浸式体验方案。</w:t>
      </w:r>
    </w:p>
    <w:p>
      <w:pPr>
        <w:pStyle w:val="ListNumber"/>
      </w:pPr>
      <w:r>
        <w:rPr>
          <w:rFonts w:ascii="宋体" w:hAnsi="宋体" w:eastAsia="宋体"/>
          <w:b/>
          <w:sz w:val="24"/>
        </w:rPr>
        <w:t>分析</w:t>
      </w:r>
      <w:r>
        <w:rPr>
          <w:rFonts w:ascii="宋体" w:hAnsi="宋体" w:eastAsia="宋体"/>
          <w:sz w:val="24"/>
        </w:rPr>
        <w:t>：分析不同 VR/AR 技术方案（全景VR/AR导览/MR混合）在文旅场景中的适用性和局限。</w:t>
      </w:r>
    </w:p>
    <w:p>
      <w:pPr>
        <w:pStyle w:val="ListNumber"/>
      </w:pPr>
      <w:r>
        <w:rPr>
          <w:rFonts w:ascii="宋体" w:hAnsi="宋体" w:eastAsia="宋体"/>
          <w:b/>
          <w:sz w:val="24"/>
        </w:rPr>
        <w:t>评价</w:t>
      </w:r>
      <w:r>
        <w:rPr>
          <w:rFonts w:ascii="宋体" w:hAnsi="宋体" w:eastAsia="宋体"/>
          <w:sz w:val="24"/>
        </w:rPr>
        <w:t>：评估文旅 VR/AR 体验的商业可行性和用户价值，提出优化建议。</w:t>
      </w:r>
    </w:p>
    <w:p>
      <w:pPr>
        <w:pStyle w:val="ListNumber"/>
      </w:pPr>
      <w:r>
        <w:rPr>
          <w:rFonts w:ascii="宋体" w:hAnsi="宋体" w:eastAsia="宋体"/>
          <w:b/>
          <w:sz w:val="24"/>
        </w:rPr>
        <w:t>创造</w:t>
      </w:r>
      <w:r>
        <w:rPr>
          <w:rFonts w:ascii="宋体" w:hAnsi="宋体" w:eastAsia="宋体"/>
          <w:sz w:val="24"/>
        </w:rPr>
        <w:t>：设计一个面向贵州特色景区的沉浸式文旅体验完整方案，包含技术选型、内容设计和运营策略。</w:t>
      </w:r>
    </w:p>
    <w:p/>
    <w:p>
      <w:pPr>
        <w:pStyle w:val="Heading2"/>
      </w:pPr>
      <w:r>
        <w:t>导入案例：景德镇瑶里古镇 AR 沉浸式文旅体验设计</w:t>
      </w:r>
    </w:p>
    <w:p/>
    <w:p>
      <w:pPr>
        <w:ind w:firstLine="482"/>
      </w:pPr>
      <w:r>
        <w:rPr>
          <w:rFonts w:ascii="宋体" w:hAnsi="宋体" w:eastAsia="宋体"/>
          <w:sz w:val="24"/>
        </w:rPr>
        <w:t>研究者以景德镇瑶里古镇为案例，探索了基于 AR 技术的历史文化古镇沉浸式文旅体验设计策略[1]。该研究分析了古镇文旅的痛点——游客在走马观花式的游览中难以深入理解古镇的历史文化内涵，传统的讲解牌和导游服务覆盖率有限且互动性不足。AR 技术的引入为这一问题提供了新的解决思路：游客通过手机扫描古镇建筑、牌匾或标志性景观，即可在屏幕上看到历史场景复原、文化知识动画和互动式任务。研究提出了"分层信息架构"——基础层提供简短文字介绍，进阶层提供语音讲解和 3D 模型展示，深度层提供互动式文化体验（如虚拟制瓷工艺体验）。这一案例揭示了文旅沉浸式场景设计的核心命题：如何将技术创新与文化叙事有机融合，创造既引人入胜又有文化深度的旅游体验。</w:t>
      </w:r>
    </w:p>
    <w:p/>
    <w:p>
      <w:pPr>
        <w:ind w:firstLine="482"/>
      </w:pPr>
      <w:r>
        <w:rPr>
          <w:rFonts w:ascii="宋体" w:hAnsi="宋体" w:eastAsia="宋体"/>
          <w:sz w:val="24"/>
        </w:rPr>
        <w:t>---</w:t>
      </w:r>
    </w:p>
    <w:p/>
    <w:p>
      <w:pPr>
        <w:pStyle w:val="Heading2"/>
      </w:pPr>
      <w:r>
        <w:t>7.1 沉浸式文旅体验理论</w:t>
      </w:r>
    </w:p>
    <w:p/>
    <w:p>
      <w:pPr>
        <w:pStyle w:val="Heading3"/>
      </w:pPr>
      <w:r>
        <w:t>7.1.1 沉浸式文旅的概念演进与内涵</w:t>
      </w:r>
    </w:p>
    <w:p/>
    <w:p>
      <w:pPr>
        <w:ind w:firstLine="482"/>
      </w:pPr>
      <w:r>
        <w:rPr>
          <w:rFonts w:ascii="宋体" w:hAnsi="宋体" w:eastAsia="宋体"/>
          <w:sz w:val="24"/>
        </w:rPr>
        <w:t>沉浸式文旅是指利用 VR、AR、MR、全息投影等数字技术，为游客创造多感官参与的、具有沉浸感和交互性的文化旅游体验[2]。这一概念的发展经历了三个阶段：第一阶段（2010-2015）以数字展板和多媒体投影为代表，技术手段单一、互动性有限；第二阶段（2016-2020）以 VR 头显和 AR 手机应用为代表，技术沉浸感显著提升但内容多停留在"技术演示"层面；第三阶段（2021至今）以 MR 混合现实、元宇宙和 AI 交互为代表，强调虚实融合、多人协同和个性化体验[3]。</w:t>
      </w:r>
    </w:p>
    <w:p/>
    <w:p>
      <w:pPr>
        <w:ind w:firstLine="482"/>
      </w:pPr>
      <w:r>
        <w:rPr>
          <w:rFonts w:ascii="宋体" w:hAnsi="宋体" w:eastAsia="宋体"/>
          <w:sz w:val="24"/>
        </w:rPr>
        <w:t>沉浸式文旅的核心内涵超越了"技术应用"层面，指向体验模式的深层变革。传统文旅体验以"看"为核心——看风景、看建筑、看展览；沉浸式文旅以"在"和"做"为核心——"在"虚拟重建的历史场景中亲身感受、"做"虚拟的文化实践（如制陶、织布、品茶）。这种从被动观看到主动参与的转变，与体验经济理论的核心理念高度一致[4]。</w:t>
      </w:r>
    </w:p>
    <w:p/>
    <w:p>
      <w:pPr>
        <w:ind w:firstLine="482"/>
      </w:pPr>
      <w:r>
        <w:rPr>
          <w:rFonts w:ascii="宋体" w:hAnsi="宋体" w:eastAsia="宋体"/>
          <w:sz w:val="24"/>
        </w:rPr>
        <w:t>在中国文旅实践中，沉浸式文旅的发展受到政策、市场和技术三重驱动。政策层面，文化和旅游部持续推进"数字文旅"战略，将 VR/AR 列为智慧旅游建设的重点技术。市场层面，消费者对文化体验的需求从"拍照打卡"向"深度体验"升级，愿意为高质量的沉浸式体验付费。技术层面，5G 网络的覆盖为高带宽的 VR/AR 应用提供了通信基础，一体机 VR 头显的降价降低了体验门槛，AI 技术的进步使个性化内容生成成为可能[3]。</w:t>
      </w:r>
    </w:p>
    <w:p/>
    <w:p>
      <w:pPr>
        <w:ind w:firstLine="482"/>
      </w:pPr>
      <w:r>
        <w:rPr>
          <w:rFonts w:ascii="宋体" w:hAnsi="宋体" w:eastAsia="宋体"/>
          <w:sz w:val="24"/>
        </w:rPr>
        <w:t>贵州省作为国家大数据综合试验区和数字文旅先行区，在沉浸式文旅方面进行了积极探索。贵州拥有丰富的自然和文化旅游资源——黄果树瀑布、荔波小七孔等自然景观，西江千户苗寨、肇兴侗寨等民族村寨，安顺屯堡、遵义会议会址等历史文化遗址。这些资源为 VR/AR 沉浸式体验提供了丰富的内容素材。同时，贵州的大数据产业基础为数字文旅的技术实施提供了人才和设施支撑。以贵州为案例背景，本书的三个实训项目（第10-12章）分别对应 VR 全景景区漫游、AR 文化导览和沉浸式文旅元宇宙场景制作，形成了从基础到综合的完整实训体系。</w:t>
      </w:r>
    </w:p>
    <w:p/>
    <w:p>
      <w:pPr>
        <w:ind w:firstLine="482"/>
      </w:pPr>
      <w:r>
        <w:rPr>
          <w:rFonts w:ascii="宋体" w:hAnsi="宋体" w:eastAsia="宋体"/>
          <w:sz w:val="24"/>
        </w:rPr>
        <w:t>Rambach 等人调研了 AR、MR 和 VR 在自然与环境领域的应用，指出沉浸式技术在自然旅游和教育场景中具有独特价值——VR 可以让用户近距离观察危险或难以到达的自然环境（如溶洞内部、悬崖峭壁），AR 可以在自然景观上叠加地质形成过程的可视化解释[8]。这些应用模式在贵州喀斯特地貌的文旅体验中具有直接适用性。</w:t>
      </w:r>
    </w:p>
    <w:p/>
    <w:p>
      <w:pPr>
        <w:pStyle w:val="Heading3"/>
      </w:pPr>
      <w:r>
        <w:t>7.1.2 文旅沉浸式体验四阶段管理模型</w:t>
      </w:r>
    </w:p>
    <w:p/>
    <w:p>
      <w:pPr>
        <w:ind w:firstLine="482"/>
      </w:pPr>
      <w:r>
        <w:rPr>
          <w:rFonts w:ascii="宋体" w:hAnsi="宋体" w:eastAsia="宋体"/>
          <w:sz w:val="24"/>
        </w:rPr>
        <w:t>Bec 等人在 Tourism Management 上发表的研究提出了沉浸式遗产旅游体验的四阶段管理模型[4]。该模型将沉浸式文旅体验的管理分为四个连续阶段：</w:t>
      </w:r>
    </w:p>
    <w:p/>
    <w:p>
      <w:pPr>
        <w:ind w:firstLine="482"/>
      </w:pPr>
      <w:r>
        <w:rPr>
          <w:rFonts w:ascii="宋体" w:hAnsi="宋体" w:eastAsia="宋体"/>
          <w:b/>
          <w:sz w:val="24"/>
        </w:rPr>
        <w:t>规划阶段（Planning）</w:t>
      </w:r>
      <w:r>
        <w:rPr>
          <w:rFonts w:ascii="宋体" w:hAnsi="宋体" w:eastAsia="宋体"/>
          <w:sz w:val="24"/>
        </w:rPr>
        <w:t>：确定体验目标、目标用户群体和核心文化主题。这一阶段需要回答三个关键问题——体验要传达什么文化价值？目标用户的文化背景和期望是什么？技术的角色是"增强现实"还是"创造虚拟"？规划阶段还应考虑可行性和可持续性，包括技术实施成本、运营维护方案和内容更新机制。</w:t>
      </w:r>
    </w:p>
    <w:p/>
    <w:p>
      <w:pPr>
        <w:ind w:firstLine="482"/>
      </w:pPr>
      <w:r>
        <w:rPr>
          <w:rFonts w:ascii="宋体" w:hAnsi="宋体" w:eastAsia="宋体"/>
          <w:b/>
          <w:sz w:val="24"/>
        </w:rPr>
        <w:t>设计阶段（Design）</w:t>
      </w:r>
      <w:r>
        <w:rPr>
          <w:rFonts w:ascii="宋体" w:hAnsi="宋体" w:eastAsia="宋体"/>
          <w:sz w:val="24"/>
        </w:rPr>
        <w:t>：将文化主题转化为具体的体验内容和技术方案。设计阶段需要平衡文化真实性与体验趣味性——过度追求趣味性可能导致文化内容的浅薄化甚至误导，过度追求真实性可能使体验枯燥乏味。Bec 等人建议采用"文化顾问+技术设计师+体验设计师"的三方协作模式，确保文化内容的专业性和体验设计的创新性[4]。</w:t>
      </w:r>
    </w:p>
    <w:p/>
    <w:p>
      <w:pPr>
        <w:ind w:firstLine="482"/>
      </w:pPr>
      <w:r>
        <w:rPr>
          <w:rFonts w:ascii="宋体" w:hAnsi="宋体" w:eastAsia="宋体"/>
          <w:sz w:val="24"/>
        </w:rPr>
        <w:t>在设计阶段的具体执行中，"故事板"（Storyboard）是连接文化内容与技术实现的有效工具。故事板以视觉化的方式描述用户在沉浸式体验中的完整旅程——从进入体验开始，经过各个交互环节，到最终结束离开。每个环节标注用户行为、系统反馈、文化内容和情感目标。例如，在一个 VR 苗寨体验的故事板中：环节1"进入寨门"——用户通过 VR 看到苗寨全景，听到迎宾芦笙，情感目标是"好奇与期待"；环节2"银饰工坊"——用户用手势交互体验虚拟制银过程，情感目标是"专注与成就"；环节3"篝火晚会"——用户与虚拟角色一起围篝火跳舞，情感目标是"欢乐与归属"。这种故事板驱动的设计方法确保技术实现始终服务于文化叙事和情感体验。</w:t>
      </w:r>
    </w:p>
    <w:p/>
    <w:p>
      <w:pPr>
        <w:ind w:firstLine="482"/>
      </w:pPr>
      <w:r>
        <w:rPr>
          <w:rFonts w:ascii="宋体" w:hAnsi="宋体" w:eastAsia="宋体"/>
          <w:sz w:val="24"/>
        </w:rPr>
        <w:t>设计阶段还需要考虑"体验节奏"（Pacing）的把控。一个 30 分钟的 VR 文旅体验不应始终保持高强度刺激——过长的刺激高峰会导致感官疲劳和沉浸感消退。推荐的节奏模式是"波峰-波谷"交替：高强度的互动探索（5-8分钟）后接低强度的观察聆听（3-5分钟），使观众有喘息和消化信息的时间。这种节奏设计参考了电影叙事中的"三幕结构"和游戏设计中的"心流通道"理论，使沉浸式体验具有内在的艺术节奏感。</w:t>
      </w:r>
    </w:p>
    <w:p/>
    <w:p>
      <w:pPr>
        <w:ind w:firstLine="482"/>
      </w:pPr>
      <w:r>
        <w:rPr>
          <w:rFonts w:ascii="宋体" w:hAnsi="宋体" w:eastAsia="宋体"/>
          <w:b/>
          <w:sz w:val="24"/>
        </w:rPr>
        <w:t>运营阶段（Operation）</w:t>
      </w:r>
      <w:r>
        <w:rPr>
          <w:rFonts w:ascii="宋体" w:hAnsi="宋体" w:eastAsia="宋体"/>
          <w:sz w:val="24"/>
        </w:rPr>
        <w:t>：管理体验的日常运行，包括设备维护、用户引导、数据收集和问题响应。文旅场景中的运营面临特殊挑战——游客流量波动大、用户技术素养参差不齐、设备暴露在户外环境中。运营方案应包含设备巡检流程、用户引导话术、应急预案和数据采集策略。</w:t>
      </w:r>
    </w:p>
    <w:p/>
    <w:p>
      <w:pPr>
        <w:ind w:firstLine="482"/>
      </w:pPr>
      <w:r>
        <w:rPr>
          <w:rFonts w:ascii="宋体" w:hAnsi="宋体" w:eastAsia="宋体"/>
          <w:b/>
          <w:sz w:val="24"/>
        </w:rPr>
        <w:t>评估阶段（Evaluation）</w:t>
      </w:r>
      <w:r>
        <w:rPr>
          <w:rFonts w:ascii="宋体" w:hAnsi="宋体" w:eastAsia="宋体"/>
          <w:sz w:val="24"/>
        </w:rPr>
        <w:t>：通过用户反馈、行为数据和经营数据评估体验效果，为后续优化提供依据。评估指标应覆盖三个维度——体验质量（满意度、沉浸感、学习效果）、经营效果（客流量、收入、复购率）和文化效果（文化传播力、教育价值、社会影响）[4]。</w:t>
      </w:r>
    </w:p>
    <w:p/>
    <w:p>
      <w:pPr>
        <w:spacing w:before="60" w:after="60"/>
        <w:ind w:left="567"/>
      </w:pPr>
      <w:r>
        <w:rPr>
          <w:rFonts w:ascii="楷体" w:hAnsi="楷体" w:eastAsia="楷体"/>
          <w:i/>
          <w:sz w:val="22"/>
        </w:rPr>
        <w:t>**知识卡片：沉浸式文旅四阶段管理模型**</w:t>
      </w:r>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&gt;</w:t>
            </w:r>
          </w:p>
        </w:tc>
        <w:tc>
          <w:tcPr>
            <w:tcW w:type="dxa" w:w="1662"/>
            <w:shd w:fill="D9E2F3" w:val="clear"/>
          </w:tcPr>
          <w:p>
            <w:pPr>
              <w:jc w:val="center"/>
            </w:pPr>
            <w:r/>
            <w:r>
              <w:rPr>
                <w:rFonts w:ascii="黑体" w:hAnsi="黑体" w:eastAsia="黑体"/>
                <w:b/>
                <w:sz w:val="20"/>
              </w:rPr>
              <w:t>阶段</w:t>
            </w:r>
          </w:p>
        </w:tc>
        <w:tc>
          <w:tcPr>
            <w:tcW w:type="dxa" w:w="1662"/>
            <w:shd w:fill="D9E2F3" w:val="clear"/>
          </w:tcPr>
          <w:p>
            <w:pPr>
              <w:jc w:val="center"/>
            </w:pPr>
            <w:r/>
            <w:r>
              <w:rPr>
                <w:rFonts w:ascii="黑体" w:hAnsi="黑体" w:eastAsia="黑体"/>
                <w:b/>
                <w:sz w:val="20"/>
              </w:rPr>
              <w:t>核心任务</w:t>
            </w:r>
          </w:p>
        </w:tc>
        <w:tc>
          <w:tcPr>
            <w:tcW w:type="dxa" w:w="1662"/>
            <w:shd w:fill="D9E2F3" w:val="clear"/>
          </w:tcPr>
          <w:p>
            <w:pPr>
              <w:jc w:val="center"/>
            </w:pPr>
            <w:r/>
            <w:r>
              <w:rPr>
                <w:rFonts w:ascii="黑体" w:hAnsi="黑体" w:eastAsia="黑体"/>
                <w:b/>
                <w:sz w:val="20"/>
              </w:rPr>
              <w:t>关键产出</w:t>
            </w:r>
          </w:p>
        </w:tc>
        <w:tc>
          <w:tcPr>
            <w:tcW w:type="dxa" w:w="1662"/>
            <w:shd w:fill="D9E2F3" w:val="clear"/>
          </w:tcPr>
          <w:p>
            <w:pPr>
              <w:jc w:val="center"/>
            </w:pPr>
            <w:r/>
            <w:r>
              <w:rPr>
                <w:rFonts w:ascii="黑体" w:hAnsi="黑体" w:eastAsia="黑体"/>
                <w:b/>
                <w:sz w:val="20"/>
              </w:rPr>
              <w:t>常见问题</w:t>
            </w:r>
          </w:p>
        </w:tc>
      </w:tr>
      <w:tr>
        <w:tc>
          <w:tcPr>
            <w:tcW w:type="dxa" w:w="1662"/>
          </w:tcPr>
          <w:p>
            <w:r/>
            <w:r>
              <w:rPr>
                <w:rFonts w:ascii="宋体" w:hAnsi="宋体" w:eastAsia="宋体"/>
                <w:sz w:val="20"/>
              </w:rPr>
              <w:t>&gt;</w:t>
            </w:r>
          </w:p>
        </w:tc>
        <w:tc>
          <w:tcPr>
            <w:tcW w:type="dxa" w:w="1662"/>
          </w:tcPr>
          <w:p>
            <w:r/>
            <w:r>
              <w:rPr>
                <w:rFonts w:ascii="宋体" w:hAnsi="宋体" w:eastAsia="宋体"/>
                <w:sz w:val="20"/>
              </w:rPr>
              <w:t>规划</w:t>
            </w:r>
          </w:p>
        </w:tc>
        <w:tc>
          <w:tcPr>
            <w:tcW w:type="dxa" w:w="1662"/>
          </w:tcPr>
          <w:p>
            <w:r/>
            <w:r>
              <w:rPr>
                <w:rFonts w:ascii="宋体" w:hAnsi="宋体" w:eastAsia="宋体"/>
                <w:sz w:val="20"/>
              </w:rPr>
              <w:t>目标设定、主题定义</w:t>
            </w:r>
          </w:p>
        </w:tc>
        <w:tc>
          <w:tcPr>
            <w:tcW w:type="dxa" w:w="1662"/>
          </w:tcPr>
          <w:p>
            <w:r/>
            <w:r>
              <w:rPr>
                <w:rFonts w:ascii="宋体" w:hAnsi="宋体" w:eastAsia="宋体"/>
                <w:sz w:val="20"/>
              </w:rPr>
              <w:t>体验方案概要</w:t>
            </w:r>
          </w:p>
        </w:tc>
        <w:tc>
          <w:tcPr>
            <w:tcW w:type="dxa" w:w="1662"/>
          </w:tcPr>
          <w:p>
            <w:r/>
            <w:r>
              <w:rPr>
                <w:rFonts w:ascii="宋体" w:hAnsi="宋体" w:eastAsia="宋体"/>
                <w:sz w:val="20"/>
              </w:rPr>
              <w:t>技术驱动而非内容驱动</w:t>
            </w:r>
          </w:p>
        </w:tc>
      </w:tr>
      <w:tr>
        <w:tc>
          <w:tcPr>
            <w:tcW w:type="dxa" w:w="1662"/>
          </w:tcPr>
          <w:p>
            <w:r/>
            <w:r>
              <w:rPr>
                <w:rFonts w:ascii="宋体" w:hAnsi="宋体" w:eastAsia="宋体"/>
                <w:sz w:val="20"/>
              </w:rPr>
              <w:t>&gt;</w:t>
            </w:r>
          </w:p>
        </w:tc>
        <w:tc>
          <w:tcPr>
            <w:tcW w:type="dxa" w:w="1662"/>
          </w:tcPr>
          <w:p>
            <w:r/>
            <w:r>
              <w:rPr>
                <w:rFonts w:ascii="宋体" w:hAnsi="宋体" w:eastAsia="宋体"/>
                <w:sz w:val="20"/>
              </w:rPr>
              <w:t>设计</w:t>
            </w:r>
          </w:p>
        </w:tc>
        <w:tc>
          <w:tcPr>
            <w:tcW w:type="dxa" w:w="1662"/>
          </w:tcPr>
          <w:p>
            <w:r/>
            <w:r>
              <w:rPr>
                <w:rFonts w:ascii="宋体" w:hAnsi="宋体" w:eastAsia="宋体"/>
                <w:sz w:val="20"/>
              </w:rPr>
              <w:t>内容创作、技术选型</w:t>
            </w:r>
          </w:p>
        </w:tc>
        <w:tc>
          <w:tcPr>
            <w:tcW w:type="dxa" w:w="1662"/>
          </w:tcPr>
          <w:p>
            <w:r/>
            <w:r>
              <w:rPr>
                <w:rFonts w:ascii="宋体" w:hAnsi="宋体" w:eastAsia="宋体"/>
                <w:sz w:val="20"/>
              </w:rPr>
              <w:t>体验设计文档</w:t>
            </w:r>
          </w:p>
        </w:tc>
        <w:tc>
          <w:tcPr>
            <w:tcW w:type="dxa" w:w="1662"/>
          </w:tcPr>
          <w:p>
            <w:r/>
            <w:r>
              <w:rPr>
                <w:rFonts w:ascii="宋体" w:hAnsi="宋体" w:eastAsia="宋体"/>
                <w:sz w:val="20"/>
              </w:rPr>
              <w:t>文化真实性与趣味性失衡</w:t>
            </w:r>
          </w:p>
        </w:tc>
      </w:tr>
      <w:tr>
        <w:tc>
          <w:tcPr>
            <w:tcW w:type="dxa" w:w="1662"/>
          </w:tcPr>
          <w:p>
            <w:r/>
            <w:r>
              <w:rPr>
                <w:rFonts w:ascii="宋体" w:hAnsi="宋体" w:eastAsia="宋体"/>
                <w:sz w:val="20"/>
              </w:rPr>
              <w:t>&gt;</w:t>
            </w:r>
          </w:p>
        </w:tc>
        <w:tc>
          <w:tcPr>
            <w:tcW w:type="dxa" w:w="1662"/>
          </w:tcPr>
          <w:p>
            <w:r/>
            <w:r>
              <w:rPr>
                <w:rFonts w:ascii="宋体" w:hAnsi="宋体" w:eastAsia="宋体"/>
                <w:sz w:val="20"/>
              </w:rPr>
              <w:t>运营</w:t>
            </w:r>
          </w:p>
        </w:tc>
        <w:tc>
          <w:tcPr>
            <w:tcW w:type="dxa" w:w="1662"/>
          </w:tcPr>
          <w:p>
            <w:r/>
            <w:r>
              <w:rPr>
                <w:rFonts w:ascii="宋体" w:hAnsi="宋体" w:eastAsia="宋体"/>
                <w:sz w:val="20"/>
              </w:rPr>
              <w:t>设备管理、用户服务</w:t>
            </w:r>
          </w:p>
        </w:tc>
        <w:tc>
          <w:tcPr>
            <w:tcW w:type="dxa" w:w="1662"/>
          </w:tcPr>
          <w:p>
            <w:r/>
            <w:r>
              <w:rPr>
                <w:rFonts w:ascii="宋体" w:hAnsi="宋体" w:eastAsia="宋体"/>
                <w:sz w:val="20"/>
              </w:rPr>
              <w:t>运营手册</w:t>
            </w:r>
          </w:p>
        </w:tc>
        <w:tc>
          <w:tcPr>
            <w:tcW w:type="dxa" w:w="1662"/>
          </w:tcPr>
          <w:p>
            <w:r/>
            <w:r>
              <w:rPr>
                <w:rFonts w:ascii="宋体" w:hAnsi="宋体" w:eastAsia="宋体"/>
                <w:sz w:val="20"/>
              </w:rPr>
              <w:t>设备故障率高、用户引导不足</w:t>
            </w:r>
          </w:p>
        </w:tc>
      </w:tr>
      <w:tr>
        <w:tc>
          <w:tcPr>
            <w:tcW w:type="dxa" w:w="1662"/>
          </w:tcPr>
          <w:p>
            <w:r/>
            <w:r>
              <w:rPr>
                <w:rFonts w:ascii="宋体" w:hAnsi="宋体" w:eastAsia="宋体"/>
                <w:sz w:val="20"/>
              </w:rPr>
              <w:t>&gt;</w:t>
            </w:r>
          </w:p>
        </w:tc>
        <w:tc>
          <w:tcPr>
            <w:tcW w:type="dxa" w:w="1662"/>
          </w:tcPr>
          <w:p>
            <w:r/>
            <w:r>
              <w:rPr>
                <w:rFonts w:ascii="宋体" w:hAnsi="宋体" w:eastAsia="宋体"/>
                <w:sz w:val="20"/>
              </w:rPr>
              <w:t>评估</w:t>
            </w:r>
          </w:p>
        </w:tc>
        <w:tc>
          <w:tcPr>
            <w:tcW w:type="dxa" w:w="1662"/>
          </w:tcPr>
          <w:p>
            <w:r/>
            <w:r>
              <w:rPr>
                <w:rFonts w:ascii="宋体" w:hAnsi="宋体" w:eastAsia="宋体"/>
                <w:sz w:val="20"/>
              </w:rPr>
              <w:t>数据采集、效果分析</w:t>
            </w:r>
          </w:p>
        </w:tc>
        <w:tc>
          <w:tcPr>
            <w:tcW w:type="dxa" w:w="1662"/>
          </w:tcPr>
          <w:p>
            <w:r/>
            <w:r>
              <w:rPr>
                <w:rFonts w:ascii="宋体" w:hAnsi="宋体" w:eastAsia="宋体"/>
                <w:sz w:val="20"/>
              </w:rPr>
              <w:t>评估报告</w:t>
            </w:r>
          </w:p>
        </w:tc>
        <w:tc>
          <w:tcPr>
            <w:tcW w:type="dxa" w:w="1662"/>
          </w:tcPr>
          <w:p>
            <w:r/>
            <w:r>
              <w:rPr>
                <w:rFonts w:ascii="宋体" w:hAnsi="宋体" w:eastAsia="宋体"/>
                <w:sz w:val="20"/>
              </w:rPr>
              <w:t>指标单一、缺乏长期跟踪</w:t>
            </w:r>
          </w:p>
        </w:tc>
      </w:tr>
    </w:tbl>
    <w:p/>
    <w:p/>
    <w:p>
      <w:pPr>
        <w:pStyle w:val="Heading3"/>
      </w:pPr>
      <w:r>
        <w:t>7.1.3 体验经济理论在文旅 VR/AR 中的应用</w:t>
      </w:r>
    </w:p>
    <w:p/>
    <w:p>
      <w:pPr>
        <w:ind w:firstLine="482"/>
      </w:pPr>
      <w:r>
        <w:rPr>
          <w:rFonts w:ascii="宋体" w:hAnsi="宋体" w:eastAsia="宋体"/>
          <w:sz w:val="24"/>
        </w:rPr>
        <w:t>Pine 和 Gilmore 提出的体验经济理论将经济形态分为四个演进阶段——农业经济、工业经济、服务经济和体验经济。在体验经济中，消费者不再仅仅购买产品或服务，而是购买"体验"——一种难忘的、个性化的、参与式的消费过程[4]。</w:t>
      </w:r>
    </w:p>
    <w:p/>
    <w:p>
      <w:pPr>
        <w:ind w:firstLine="482"/>
      </w:pPr>
      <w:r>
        <w:rPr>
          <w:rFonts w:ascii="宋体" w:hAnsi="宋体" w:eastAsia="宋体"/>
          <w:sz w:val="24"/>
        </w:rPr>
        <w:t>体验经济理论将体验分为四个维度：</w:t>
      </w:r>
      <w:r>
        <w:rPr>
          <w:rFonts w:ascii="宋体" w:hAnsi="宋体" w:eastAsia="宋体"/>
          <w:b/>
          <w:sz w:val="24"/>
        </w:rPr>
        <w:t>娱乐维度</w:t>
      </w:r>
      <w:r>
        <w:rPr>
          <w:rFonts w:ascii="宋体" w:hAnsi="宋体" w:eastAsia="宋体"/>
          <w:sz w:val="24"/>
        </w:rPr>
        <w:t>（Entertainment）——被动接受感官刺激，如观看表演；</w:t>
      </w:r>
      <w:r>
        <w:rPr>
          <w:rFonts w:ascii="宋体" w:hAnsi="宋体" w:eastAsia="宋体"/>
          <w:b/>
          <w:sz w:val="24"/>
        </w:rPr>
        <w:t>教育维度</w:t>
      </w:r>
      <w:r>
        <w:rPr>
          <w:rFonts w:ascii="宋体" w:hAnsi="宋体" w:eastAsia="宋体"/>
          <w:sz w:val="24"/>
        </w:rPr>
        <w:t>（Education）——主动学习新知识，如参加工作坊；</w:t>
      </w:r>
      <w:r>
        <w:rPr>
          <w:rFonts w:ascii="宋体" w:hAnsi="宋体" w:eastAsia="宋体"/>
          <w:b/>
          <w:sz w:val="24"/>
        </w:rPr>
        <w:t>逃避维度</w:t>
      </w:r>
      <w:r>
        <w:rPr>
          <w:rFonts w:ascii="宋体" w:hAnsi="宋体" w:eastAsia="宋体"/>
          <w:sz w:val="24"/>
        </w:rPr>
        <w:t>（Escapism）——沉浸于不同于日常的环境，如主题公园；</w:t>
      </w:r>
      <w:r>
        <w:rPr>
          <w:rFonts w:ascii="宋体" w:hAnsi="宋体" w:eastAsia="宋体"/>
          <w:b/>
          <w:sz w:val="24"/>
        </w:rPr>
        <w:t>审美维度</w:t>
      </w:r>
      <w:r>
        <w:rPr>
          <w:rFonts w:ascii="宋体" w:hAnsi="宋体" w:eastAsia="宋体"/>
          <w:sz w:val="24"/>
        </w:rPr>
        <w:t>（Esthetics）——欣赏美的环境，如美术馆。这四个维度构成"体验甜蜜区"（Sweet Spot），最佳体验应同时覆盖多个维度[4]。</w:t>
      </w:r>
    </w:p>
    <w:p/>
    <w:p>
      <w:pPr>
        <w:ind w:firstLine="482"/>
      </w:pPr>
      <w:r>
        <w:rPr>
          <w:rFonts w:ascii="宋体" w:hAnsi="宋体" w:eastAsia="宋体"/>
          <w:sz w:val="24"/>
        </w:rPr>
        <w:t>VR/AR 技术在文旅场景中的应用天然契合体验经济理论：VR 全景景区漫游提供了强烈的逃避维度体验——用户"穿越"到虚拟景区中，暂时脱离日常环境；AR 文化导览提供了教育维度体验——用户在参观中学习历史文化知识；MR 混合现实体验融合了娱乐和审美维度——虚拟内容与真实景观的融合创造了独特的视觉奇观。将 VR/AR 技术与文旅内容有机结合，可以在体验经济的四个维度上同时发力，创造"甜蜜区"体验。</w:t>
      </w:r>
    </w:p>
    <w:p/>
    <w:p>
      <w:pPr>
        <w:pStyle w:val="Heading3"/>
      </w:pPr>
      <w:r>
        <w:t>7.1.4 数字文旅政策导向与发展趋势</w:t>
      </w:r>
    </w:p>
    <w:p/>
    <w:p>
      <w:pPr>
        <w:ind w:firstLine="482"/>
      </w:pPr>
      <w:r>
        <w:rPr>
          <w:rFonts w:ascii="宋体" w:hAnsi="宋体" w:eastAsia="宋体"/>
          <w:sz w:val="24"/>
        </w:rPr>
        <w:t>中国数字文旅政策为沉浸式文旅的发展提供了强有力的制度支撑。2020年，文化和旅游部发布《关于推动数字文化产业高质量发展的意见》，明确提出支持 VR/AR 在文旅领域的应用。2023年，文化和旅游部发布《智慧旅游场景应用指南》，将 VR/AR 体验列为重点推广的智慧旅游场景之一[3]。</w:t>
      </w:r>
    </w:p>
    <w:p/>
    <w:p>
      <w:pPr>
        <w:ind w:firstLine="482"/>
      </w:pPr>
      <w:r>
        <w:rPr>
          <w:rFonts w:ascii="宋体" w:hAnsi="宋体" w:eastAsia="宋体"/>
          <w:sz w:val="24"/>
        </w:rPr>
        <w:t>当前数字文旅的发展趋势呈现三个特征：一是从"单点体验"向"全域沉浸"演进——不再局限于单个景点或展馆的 VR/AR 体验，而是构建覆盖整个景区甚至城市的沉浸式体验网络；二是从"技术展示"向"文化深融"转变——VR/AR 不再是炫技工具，而是深度融入文化叙事和游客情感旅程；三是从"标准化"向"个性化"发展——利用 AI 技术根据游客的兴趣、年龄、文化背景提供定制化的沉浸式体验内容[3]。</w:t>
      </w:r>
    </w:p>
    <w:p/>
    <w:p>
      <w:pPr>
        <w:pStyle w:val="Heading2"/>
      </w:pPr>
      <w:r>
        <w:t>7.2 VR 全景文旅场景</w:t>
      </w:r>
    </w:p>
    <w:p/>
    <w:p>
      <w:pPr>
        <w:pStyle w:val="Heading3"/>
      </w:pPr>
      <w:r>
        <w:t>7.2.1 360° 全景视频采集与制作流程</w:t>
      </w:r>
    </w:p>
    <w:p/>
    <w:p>
      <w:pPr>
        <w:ind w:firstLine="482"/>
      </w:pPr>
      <w:r>
        <w:rPr>
          <w:rFonts w:ascii="宋体" w:hAnsi="宋体" w:eastAsia="宋体"/>
          <w:sz w:val="24"/>
        </w:rPr>
        <w:t>VR 全景文旅场景是通过 360° 全景图像或视频技术实现的虚拟旅游体验，是当前技术成熟度和性价比最高的沉浸式文旅方案[5]。360° 全景制作的核心流程包括采集、拼接、交互和发布四个环节（详见第10章实训项目）。</w:t>
      </w:r>
    </w:p>
    <w:p/>
    <w:p>
      <w:pPr>
        <w:ind w:firstLine="482"/>
      </w:pPr>
      <w:r>
        <w:rPr>
          <w:rFonts w:ascii="宋体" w:hAnsi="宋体" w:eastAsia="宋体"/>
          <w:sz w:val="24"/>
        </w:rPr>
        <w:t>360° 全景采集使用专用全景相机（如 Insta360 X4、Kandao Obsidian）或单反相机+鱼眼镜头组合。全景相机通过多个镜头同时拍摄不同方向的图像，然后在软件中拼接为完整的 360° 球面全景。采集时需注意：选择光线均匀的时段（阴天或黄金时段），避免镜头直对强光源；拍摄位置应选择景区的标志性观景点；相邻全景点之间应有合理的步行距离，支持用户在虚拟空间中"走动"探索[5]。</w:t>
      </w:r>
    </w:p>
    <w:p/>
    <w:p>
      <w:pPr>
        <w:pStyle w:val="Heading3"/>
      </w:pPr>
      <w:r>
        <w:t>7.2.2 VR 虚拟导览设计</w:t>
      </w:r>
    </w:p>
    <w:p/>
    <w:p>
      <w:pPr>
        <w:ind w:firstLine="482"/>
      </w:pPr>
      <w:r>
        <w:rPr>
          <w:rFonts w:ascii="宋体" w:hAnsi="宋体" w:eastAsia="宋体"/>
          <w:sz w:val="24"/>
        </w:rPr>
        <w:t>VR 虚拟导览是在 360° 全景基础上添加交互层和信息层的体验设计。核心设计要素包括[5]：</w:t>
      </w:r>
    </w:p>
    <w:p/>
    <w:p>
      <w:pPr>
        <w:ind w:firstLine="482"/>
      </w:pPr>
      <w:r>
        <w:rPr>
          <w:rFonts w:ascii="宋体" w:hAnsi="宋体" w:eastAsia="宋体"/>
          <w:b/>
          <w:sz w:val="24"/>
        </w:rPr>
        <w:t>路线规划</w:t>
      </w:r>
      <w:r>
        <w:rPr>
          <w:rFonts w:ascii="宋体" w:hAnsi="宋体" w:eastAsia="宋体"/>
          <w:sz w:val="24"/>
        </w:rPr>
        <w:t>：根据景区的空间布局和游览逻辑设计虚拟游览路线。路线不应简单地复制物理游览路径，而应根据虚拟体验的特性优化——可以包含物理上无法到达的视角（如航拍视角、屋顶视角），也可以跳过不具吸引力的过渡区域。</w:t>
      </w:r>
    </w:p>
    <w:p/>
    <w:p>
      <w:pPr>
        <w:ind w:firstLine="482"/>
      </w:pPr>
      <w:r>
        <w:rPr>
          <w:rFonts w:ascii="宋体" w:hAnsi="宋体" w:eastAsia="宋体"/>
          <w:b/>
          <w:sz w:val="24"/>
        </w:rPr>
        <w:t>热点交互</w:t>
      </w:r>
      <w:r>
        <w:rPr>
          <w:rFonts w:ascii="宋体" w:hAnsi="宋体" w:eastAsia="宋体"/>
          <w:sz w:val="24"/>
        </w:rPr>
        <w:t>：在全景场景中设置交互热点（Hotspot），用户点击或凝视热点触发信息展示。热点类型包括：信息热点（弹出文字/图片/视频介绍）、跳转热点（跳转到另一全景点）、音频热点（播放语音讲解）和互动热点（触发小型互动游戏或问答）。</w:t>
      </w:r>
    </w:p>
    <w:p/>
    <w:p>
      <w:pPr>
        <w:ind w:firstLine="482"/>
      </w:pPr>
      <w:r>
        <w:rPr>
          <w:rFonts w:ascii="宋体" w:hAnsi="宋体" w:eastAsia="宋体"/>
          <w:b/>
          <w:sz w:val="24"/>
        </w:rPr>
        <w:t>信息层级</w:t>
      </w:r>
      <w:r>
        <w:rPr>
          <w:rFonts w:ascii="宋体" w:hAnsi="宋体" w:eastAsia="宋体"/>
          <w:sz w:val="24"/>
        </w:rPr>
        <w:t>： Bec 等人的四阶段模型中强调的信息分层设计在 VR 导览中尤为重要。基础层提供 5-10 秒可阅读的简短文字标签；进阶层提供 30-60 秒的语音讲解和多图展示；深度层提供完整的视频纪录片和交互式 3D 模型。用户根据兴趣自主选择信息深度，避免信息过载[4]。</w:t>
      </w:r>
    </w:p>
    <w:p/>
    <w:p>
      <w:pPr>
        <w:ind w:firstLine="482"/>
      </w:pPr>
      <w:r>
        <w:rPr>
          <w:rFonts w:ascii="宋体" w:hAnsi="宋体" w:eastAsia="宋体"/>
          <w:b/>
          <w:sz w:val="24"/>
        </w:rPr>
        <w:t>空间音频</w:t>
      </w:r>
      <w:r>
        <w:rPr>
          <w:rFonts w:ascii="宋体" w:hAnsi="宋体" w:eastAsia="宋体"/>
          <w:sz w:val="24"/>
        </w:rPr>
        <w:t>：为全景场景添加 Ambisonics 空间音频，使环境声（如鸟鸣、流水、风声）随用户头部转动而方向变化，增强空间临场感。</w:t>
      </w:r>
    </w:p>
    <w:p/>
    <w:p>
      <w:pPr>
        <w:ind w:firstLine="482"/>
      </w:pPr>
      <w:r>
        <w:rPr>
          <w:rFonts w:ascii="宋体" w:hAnsi="宋体" w:eastAsia="宋体"/>
          <w:sz w:val="24"/>
        </w:rPr>
        <w:t>VR 虚拟导览的用户体验设计还需要考虑以下细节。</w:t>
      </w:r>
      <w:r>
        <w:rPr>
          <w:rFonts w:ascii="宋体" w:hAnsi="宋体" w:eastAsia="宋体"/>
          <w:b/>
          <w:sz w:val="24"/>
        </w:rPr>
        <w:t>导航地图</w:t>
      </w:r>
      <w:r>
        <w:rPr>
          <w:rFonts w:ascii="宋体" w:hAnsi="宋体" w:eastAsia="宋体"/>
          <w:sz w:val="24"/>
        </w:rPr>
        <w:t>：在 VR 界面角落显示景区平面图，标注用户当前位置和可跳转的热点位置，帮助用户建立空间认知。地图应支持缩放和点击跳转，但不应占据过多视野。</w:t>
      </w:r>
      <w:r>
        <w:rPr>
          <w:rFonts w:ascii="宋体" w:hAnsi="宋体" w:eastAsia="宋体"/>
          <w:b/>
          <w:sz w:val="24"/>
        </w:rPr>
        <w:t>进度引导</w:t>
      </w:r>
      <w:r>
        <w:rPr>
          <w:rFonts w:ascii="宋体" w:hAnsi="宋体" w:eastAsia="宋体"/>
          <w:sz w:val="24"/>
        </w:rPr>
        <w:t>：设计游览进度提示（如"已浏览 3/8 个景点"），给予用户成就感和方向感，避免用户在全景空间中迷失。</w:t>
      </w:r>
      <w:r>
        <w:rPr>
          <w:rFonts w:ascii="宋体" w:hAnsi="宋体" w:eastAsia="宋体"/>
          <w:b/>
          <w:sz w:val="24"/>
        </w:rPr>
        <w:t>多语言支持</w:t>
      </w:r>
      <w:r>
        <w:rPr>
          <w:rFonts w:ascii="宋体" w:hAnsi="宋体" w:eastAsia="宋体"/>
          <w:sz w:val="24"/>
        </w:rPr>
        <w:t>：文旅 VR 面向国际游客时应提供多语言切换，包括文字界面、语音讲解和字幕。</w:t>
      </w:r>
      <w:r>
        <w:rPr>
          <w:rFonts w:ascii="宋体" w:hAnsi="宋体" w:eastAsia="宋体"/>
          <w:b/>
          <w:sz w:val="24"/>
        </w:rPr>
        <w:t>无障碍设计</w:t>
      </w:r>
      <w:r>
        <w:rPr>
          <w:rFonts w:ascii="宋体" w:hAnsi="宋体" w:eastAsia="宋体"/>
          <w:sz w:val="24"/>
        </w:rPr>
        <w:t>：为色弱用户提供高对比度模式，为听力障碍用户提供字幕，为行动不便用户提供坐姿模式（无需站立即可体验）。</w:t>
      </w:r>
    </w:p>
    <w:p/>
    <w:p>
      <w:pPr>
        <w:ind w:firstLine="482"/>
      </w:pPr>
      <w:r>
        <w:rPr>
          <w:rFonts w:ascii="宋体" w:hAnsi="宋体" w:eastAsia="宋体"/>
          <w:sz w:val="24"/>
        </w:rPr>
        <w:t>Okada 等人开发的基于 OpenVSLAM 的 Web VR 全景导览框架提供了一种轻量级的技术方案[5]。该框架利用 SLAM 技术将多个 360° 全景照片在空间中对齐，创建具有空间连续性的全景导览体验——用户不仅能在单个全景点环顾四周，还能在全景点之间"行走"，感受空间深度变化。相比传统的"热点跳转"模式，这种基于 SLAM 的空间连续导览提供了更强的空间临场感。对于文旅景区的全景 VR 项目，这种技术方案能够在 Web 端实现接近原生应用的体验质量，同时保持零安装的分发便利性。</w:t>
      </w:r>
    </w:p>
    <w:p/>
    <w:p>
      <w:pPr>
        <w:pStyle w:val="Heading3"/>
      </w:pPr>
      <w:r>
        <w:t>7.2.3 VR 全景直播技术方案</w:t>
      </w:r>
    </w:p>
    <w:p/>
    <w:p>
      <w:pPr>
        <w:ind w:firstLine="482"/>
      </w:pPr>
      <w:r>
        <w:rPr>
          <w:rFonts w:ascii="宋体" w:hAnsi="宋体" w:eastAsia="宋体"/>
          <w:sz w:val="24"/>
        </w:rPr>
        <w:t>VR 全景直播将实时 360° 视频流通过互联网传输到用户的 VR 头显或手机中，使远程用户"身临其境"地参与景区的实时活动[5]。技术方案包括：采集端使用 4K/8K 全景直播相机（如 Insta360 Pro 2）进行实时采集和拼接；编码端使用 H.265/AV1 编码压缩视频流；传输端通过 RTMP/SRT 协议推流到 CDN；接收端通过 VR 播放器或 WebVR 页面呈现全景直播画面。</w:t>
      </w:r>
    </w:p>
    <w:p/>
    <w:p>
      <w:pPr>
        <w:ind w:firstLine="482"/>
      </w:pPr>
      <w:r>
        <w:rPr>
          <w:rFonts w:ascii="宋体" w:hAnsi="宋体" w:eastAsia="宋体"/>
          <w:sz w:val="24"/>
        </w:rPr>
        <w:t>VR 全景直播在文旅场景中的应用包括：景区节庆活动直播（如苗年节、火把节）、自然景观实时直播（如日出、花海）、文化演出直播（如民族歌舞表演）。直播的独特价值在于"不可重复性"——用户知道画面是实时的，这种"正在发生"的感觉比录播内容产生更强的临场感[5]。</w:t>
      </w:r>
    </w:p>
    <w:p/>
    <w:p>
      <w:pPr>
        <w:ind w:firstLine="482"/>
      </w:pPr>
      <w:r>
        <w:rPr>
          <w:rFonts w:ascii="宋体" w:hAnsi="宋体" w:eastAsia="宋体"/>
          <w:sz w:val="24"/>
        </w:rPr>
        <w:t>Prins 等人开发的 TogetherVR 框架探索了 360° VR 中共享媒体体验的技术方案，使多名远程用户能够在同一全景环境中同步观看和互动[6]。这种共享 VR 体验对于家庭远程旅游、教育课堂虚拟考察等场景具有实用价值。</w:t>
      </w:r>
    </w:p>
    <w:p/>
    <w:p>
      <w:pPr>
        <w:pStyle w:val="Heading3"/>
      </w:pPr>
      <w:r>
        <w:t>7.2.4 案例：虚拟景区漫游系统的设计与实现</w:t>
      </w:r>
    </w:p>
    <w:p/>
    <w:p>
      <w:pPr>
        <w:ind w:firstLine="482"/>
      </w:pPr>
      <w:r>
        <w:rPr>
          <w:rFonts w:ascii="宋体" w:hAnsi="宋体" w:eastAsia="宋体"/>
          <w:sz w:val="24"/>
        </w:rPr>
        <w:t>Li 等人开发了一个基于 VR 技术的旅游管理仿真实训系统[7]。该系统使用 Unity 引擎构建虚拟旅游场景，包含景区漫游、游客行为模拟和管理决策训练三个模块。系统的技术方案对文旅 VR 全景项目具有参考价值：场景建模采用摄影测量+手工建模的混合方案，大型地形使用 Heightmap 生成，建筑使用摄影测量重建；交互系统使用 Unity XRIT 框架实现瞬移移动和热点交互；用户界面采用世界空间 UI（World Space UI），信息面板随用户移动而保持适当距离和角度。</w:t>
      </w:r>
    </w:p>
    <w:p/>
    <w:p>
      <w:pPr>
        <w:pStyle w:val="Heading2"/>
      </w:pPr>
      <w:r>
        <w:t>7.3 AR 增强文旅体验</w:t>
      </w:r>
    </w:p>
    <w:p/>
    <w:p>
      <w:pPr>
        <w:pStyle w:val="Heading3"/>
      </w:pPr>
      <w:r>
        <w:t>7.3.1 AR 文旅场景设计原则</w:t>
      </w:r>
    </w:p>
    <w:p/>
    <w:p>
      <w:pPr>
        <w:ind w:firstLine="482"/>
      </w:pPr>
      <w:r>
        <w:rPr>
          <w:rFonts w:ascii="宋体" w:hAnsi="宋体" w:eastAsia="宋体"/>
          <w:sz w:val="24"/>
        </w:rPr>
        <w:t>AR 文旅场景设计应遵循以下原则[8]：</w:t>
      </w:r>
    </w:p>
    <w:p/>
    <w:p>
      <w:pPr>
        <w:ind w:firstLine="482"/>
      </w:pPr>
      <w:r>
        <w:rPr>
          <w:rFonts w:ascii="宋体" w:hAnsi="宋体" w:eastAsia="宋体"/>
          <w:b/>
          <w:sz w:val="24"/>
        </w:rPr>
        <w:t>场景适配原则</w:t>
      </w:r>
      <w:r>
        <w:rPr>
          <w:rFonts w:ascii="宋体" w:hAnsi="宋体" w:eastAsia="宋体"/>
          <w:sz w:val="24"/>
        </w:rPr>
        <w:t>：AR 内容应与物理环境的空间特征相匹配——在室外景区，AR 内容应利用真实建筑和景观作为锚点；在室内展馆，AR 内容可以更灵活地使用图像标记或空间锚点。场景适配还要求考虑环境光照条件——户外强光可能影响 AR 图像追踪的稳定性，需要在设计时预留手动触发备用方案。</w:t>
      </w:r>
    </w:p>
    <w:p/>
    <w:p>
      <w:pPr>
        <w:ind w:firstLine="482"/>
      </w:pPr>
      <w:r>
        <w:rPr>
          <w:rFonts w:ascii="宋体" w:hAnsi="宋体" w:eastAsia="宋体"/>
          <w:b/>
          <w:sz w:val="24"/>
        </w:rPr>
        <w:t>非侵入性原则</w:t>
      </w:r>
      <w:r>
        <w:rPr>
          <w:rFonts w:ascii="宋体" w:hAnsi="宋体" w:eastAsia="宋体"/>
          <w:sz w:val="24"/>
        </w:rPr>
        <w:t>：AR 内容不应过度遮挡用户对真实景观的观察。文旅体验的核心价值仍然是真实景观和文化实体，AR 技术的角色是"增强"而非"替代"。信息面板应设计为半透明或可隐藏式，用户可以选择何时显示 AR 内容。</w:t>
      </w:r>
    </w:p>
    <w:p/>
    <w:p>
      <w:pPr>
        <w:ind w:firstLine="482"/>
      </w:pPr>
      <w:r>
        <w:rPr>
          <w:rFonts w:ascii="宋体" w:hAnsi="宋体" w:eastAsia="宋体"/>
          <w:b/>
          <w:sz w:val="24"/>
        </w:rPr>
        <w:t>离线可用原则</w:t>
      </w:r>
      <w:r>
        <w:rPr>
          <w:rFonts w:ascii="宋体" w:hAnsi="宋体" w:eastAsia="宋体"/>
          <w:sz w:val="24"/>
        </w:rPr>
        <w:t>：景区网络条件可能不稳定，AR 应用应支持离线运行——将 AR 资产（3D 模型、纹理、音频）预打包到应用中，不依赖实时网络下载。仅在需要更新内容或上传用户数据时使用网络。</w:t>
      </w:r>
    </w:p>
    <w:p/>
    <w:p>
      <w:pPr>
        <w:ind w:firstLine="482"/>
      </w:pPr>
      <w:r>
        <w:rPr>
          <w:rFonts w:ascii="宋体" w:hAnsi="宋体" w:eastAsia="宋体"/>
          <w:sz w:val="24"/>
        </w:rPr>
        <w:t>在 AR 文旅场景的技术实现层面，需要特别关注以下技术要点。</w:t>
      </w:r>
      <w:r>
        <w:rPr>
          <w:rFonts w:ascii="宋体" w:hAnsi="宋体" w:eastAsia="宋体"/>
          <w:b/>
          <w:sz w:val="24"/>
        </w:rPr>
        <w:t>环境追踪稳定性</w:t>
      </w:r>
      <w:r>
        <w:rPr>
          <w:rFonts w:ascii="宋体" w:hAnsi="宋体" w:eastAsia="宋体"/>
          <w:sz w:val="24"/>
        </w:rPr>
        <w:t>是户外 AR 应用面临的首要挑战。户外光照变化（从强日光到阴天再到黄昏）会显著影响视觉 SLAM 的追踪稳定性，强光可能导致摄像头过曝而丢失特征点。应对策略包括：在 SLAM 追踪短暂失败时使用 IMU 数据进行惯性预测维持 1-2 秒的位姿估计，给视觉追踪恢复的时间；在应用界面显示追踪状态指示器，让用户了解当前的追踪质量；提供"重新校准"按钮，用户在追踪丢失时可以手动重新初始化。</w:t>
      </w:r>
    </w:p>
    <w:p/>
    <w:p>
      <w:pPr>
        <w:ind w:firstLine="482"/>
      </w:pPr>
      <w:r>
        <w:rPr>
          <w:rFonts w:ascii="宋体" w:hAnsi="宋体" w:eastAsia="宋体"/>
          <w:b/>
          <w:sz w:val="24"/>
        </w:rPr>
        <w:t>电池续航管理</w:t>
      </w:r>
      <w:r>
        <w:rPr>
          <w:rFonts w:ascii="宋体" w:hAnsi="宋体" w:eastAsia="宋体"/>
          <w:sz w:val="24"/>
        </w:rPr>
        <w:t>对移动端 AR 应用至关重要。AR 应用同时使用摄像头、GPS、传感器和网络，功耗远高于普通应用。一部满电的智能手机运行 AR 应用通常只能维持 1.5-2 小时。在文旅场景中，游客可能需要使用 AR 应用 2-3 小时甚至更长时间，电池续航成为体验瓶颈。应对策略包括：在非核心交互环节降低帧率（从 60fps 降至 30fps）；当用户不交互时自动进入低功耗待机模式；在景区设置 AR 充电站或提供充电宝租赁服务。</w:t>
      </w:r>
    </w:p>
    <w:p/>
    <w:p>
      <w:pPr>
        <w:ind w:firstLine="482"/>
      </w:pPr>
      <w:r>
        <w:rPr>
          <w:rFonts w:ascii="宋体" w:hAnsi="宋体" w:eastAsia="宋体"/>
          <w:b/>
          <w:sz w:val="24"/>
        </w:rPr>
        <w:t>用户引导设计</w:t>
      </w:r>
      <w:r>
        <w:rPr>
          <w:rFonts w:ascii="宋体" w:hAnsi="宋体" w:eastAsia="宋体"/>
          <w:sz w:val="24"/>
        </w:rPr>
        <w:t>对于文旅 AR 应用的首次使用至关重要。景区游客通常不会提前阅读使用说明，而是在现场打开应用即开始使用。因此，应用应提供简洁的"首次使用引导"——3-4 步的交互式教程（"对准建筑扫描"→"点击信息标签查看详情"→"滑动浏览更多内容"），每步配有动画演示。引导应在 30 秒内完成，避免用户失去耐心。Siddiqui 等人在分析 VR/AR 文旅技术时指出，用户引导设计是影响文旅 AR 应用使用率的关键因素——复杂的应用启动流程会导致约 30% 的游客放弃使用[14]。</w:t>
      </w:r>
    </w:p>
    <w:p/>
    <w:p>
      <w:pPr>
        <w:pStyle w:val="Heading3"/>
      </w:pPr>
      <w:r>
        <w:t>7.3.2 AR 导览与信息叠加设计</w:t>
      </w:r>
    </w:p>
    <w:p/>
    <w:p>
      <w:pPr>
        <w:ind w:firstLine="482"/>
      </w:pPr>
      <w:r>
        <w:rPr>
          <w:rFonts w:ascii="宋体" w:hAnsi="宋体" w:eastAsia="宋体"/>
          <w:sz w:val="24"/>
        </w:rPr>
        <w:t>AR 导览是 AR 文旅最常见的应用形态——游客通过手机或 AR 眼镜观察景区，虚拟信息（文字标签、3D 模型、语音讲解）叠加在真实景观之上[8]。</w:t>
      </w:r>
    </w:p>
    <w:p/>
    <w:p>
      <w:pPr>
        <w:ind w:firstLine="482"/>
      </w:pPr>
      <w:r>
        <w:rPr>
          <w:rFonts w:ascii="宋体" w:hAnsi="宋体" w:eastAsia="宋体"/>
          <w:sz w:val="24"/>
        </w:rPr>
        <w:t>AR 导览的信息叠加设计需要考虑信息密度和视觉层级。过高的信息密度会造成"视觉污染"——用户被大量虚拟标签包围，反而看不清真实景观。推荐的信息密度策略是"按需呈现"——默认只显示最核心的信息标签（如建筑名称），用户点击或凝视后展开详细信息。视觉层级通过字号、颜色和透明度区分信息重要性，确保核心信息一目了然、辅助信息层次分明。</w:t>
      </w:r>
    </w:p>
    <w:p/>
    <w:p>
      <w:pPr>
        <w:pStyle w:val="Heading3"/>
      </w:pPr>
      <w:r>
        <w:t>7.3.3 AR 互动叙事与游戏化体验</w:t>
      </w:r>
    </w:p>
    <w:p/>
    <w:p>
      <w:pPr>
        <w:ind w:firstLine="482"/>
      </w:pPr>
      <w:r>
        <w:rPr>
          <w:rFonts w:ascii="宋体" w:hAnsi="宋体" w:eastAsia="宋体"/>
          <w:sz w:val="24"/>
        </w:rPr>
        <w:t>AR 互动叙事将文化故事融入 AR 体验中，用户通过探索和解谜逐步发现文化内容[8]。典型设计模式包括：</w:t>
      </w:r>
    </w:p>
    <w:p/>
    <w:p>
      <w:pPr>
        <w:ind w:firstLine="482"/>
      </w:pPr>
      <w:r>
        <w:rPr>
          <w:rFonts w:ascii="宋体" w:hAnsi="宋体" w:eastAsia="宋体"/>
          <w:b/>
          <w:sz w:val="24"/>
        </w:rPr>
        <w:t>寻宝模式</w:t>
      </w:r>
      <w:r>
        <w:rPr>
          <w:rFonts w:ascii="宋体" w:hAnsi="宋体" w:eastAsia="宋体"/>
          <w:sz w:val="24"/>
        </w:rPr>
        <w:t>：用户在景区中寻找隐藏的 AR 标记或虚拟物品，每找到一个触发一段文化故事或知识。这种模式将游览从被动观看变为主动探索，特别适合亲子游客。</w:t>
      </w:r>
    </w:p>
    <w:p/>
    <w:p>
      <w:pPr>
        <w:ind w:firstLine="482"/>
      </w:pPr>
      <w:r>
        <w:rPr>
          <w:rFonts w:ascii="宋体" w:hAnsi="宋体" w:eastAsia="宋体"/>
          <w:b/>
          <w:sz w:val="24"/>
        </w:rPr>
        <w:t>时空叠层模式</w:t>
      </w:r>
      <w:r>
        <w:rPr>
          <w:rFonts w:ascii="宋体" w:hAnsi="宋体" w:eastAsia="宋体"/>
          <w:sz w:val="24"/>
        </w:rPr>
        <w:t>：用户在同一位置查看不同历史时期的 AR 场景叠加——站在古城墙上，可以切换查看明代、清代和现代三个时期的城墙面貌。这种模式利用 AR 的虚实融合特性创造了独特的"时间旅行"体验。</w:t>
      </w:r>
    </w:p>
    <w:p/>
    <w:p>
      <w:pPr>
        <w:ind w:firstLine="482"/>
      </w:pPr>
      <w:r>
        <w:rPr>
          <w:rFonts w:ascii="宋体" w:hAnsi="宋体" w:eastAsia="宋体"/>
          <w:b/>
          <w:sz w:val="24"/>
        </w:rPr>
        <w:t>角色扮演模式</w:t>
      </w:r>
      <w:r>
        <w:rPr>
          <w:rFonts w:ascii="宋体" w:hAnsi="宋体" w:eastAsia="宋体"/>
          <w:sz w:val="24"/>
        </w:rPr>
        <w:t>：用户在 AR 体验中扮演历史人物，通过完成与历史事件相关的任务了解文化背景。例如，在屯堡 AR 体验中，用户扮演明代屯军士兵，完成巡逻、操练、农耕等任务，在互动中了解屯堡文化的历史渊源[9]。</w:t>
      </w:r>
    </w:p>
    <w:p/>
    <w:p>
      <w:pPr>
        <w:ind w:firstLine="482"/>
      </w:pPr>
      <w:r>
        <w:rPr>
          <w:rFonts w:ascii="宋体" w:hAnsi="宋体" w:eastAsia="宋体"/>
          <w:sz w:val="24"/>
        </w:rPr>
        <w:t>以贵州安顺屯堡为例，AR 游戏化文旅体验的设计可以更加丰富。屯堡是明代"调北征南"政策遗留的军事移民聚落，保留了明代江南文化和军事防御体系的活态遗产。AR 体验可以设计为"穿越六百年·屯堡守卫者"主题游戏：用户到达屯堡后启动 AR 应用，系统通过 GPS 定位确认用户位于屯堡景区内。应用为用户分配"屯军身份"——显示一张虚拟的"屯军腰牌"作为身份凭证。用户按照 AR 地图指引前往不同任务点：在城墙遗址处完成"防御巡检"任务（AR 叠加显示明代士兵巡逻动画，用户需要找到城墙上的三个观察点）；在古民居中完成"寻物"任务（AR 叠加显示明代生活用品，用户需要正确识别物品名称和用途）；在地戏表演场完成"学艺"任务（AR 展示地戏面具的 3D 模型，用户通过手势交互"佩戴"面具并学习基本动作）。完成所有任务后，系统生成一份个性化的"屯军通关文书"作为纪念品，用户可以分享到社交媒体。</w:t>
      </w:r>
    </w:p>
    <w:p/>
    <w:p>
      <w:pPr>
        <w:ind w:firstLine="482"/>
      </w:pPr>
      <w:r>
        <w:rPr>
          <w:rFonts w:ascii="宋体" w:hAnsi="宋体" w:eastAsia="宋体"/>
          <w:sz w:val="24"/>
        </w:rPr>
        <w:t>这种游戏化设计的关键是将文化知识融入任务机制，使学习成为游戏的自然副产品而非强制任务。黄佳等人在湖湘红色文化遗产 VR 保护与活化研究中也采用了类似的游戏化策略，通过角色扮演和任务驱动使红色文化教育更加生动[9]。卢文杰和曹学海在 VR 红色文化遗址数字展示的研究中进一步指出，游戏化体验需要在"娱乐性"和"庄重感"之间取得平衡——对于涉及严肃历史事件（如战争、牺牲）的文化内容，游戏化元素应保持克制和尊重，避免过度娱乐化[18]。</w:t>
      </w:r>
    </w:p>
    <w:p/>
    <w:p>
      <w:pPr>
        <w:pStyle w:val="Heading3"/>
      </w:pPr>
      <w:r>
        <w:t>7.3.4 案例：AR 技术在历史文化古镇沉浸式文旅体验中的应用</w:t>
      </w:r>
    </w:p>
    <w:p/>
    <w:p>
      <w:pPr>
        <w:ind w:firstLine="482"/>
      </w:pPr>
      <w:r>
        <w:rPr>
          <w:rFonts w:ascii="宋体" w:hAnsi="宋体" w:eastAsia="宋体"/>
          <w:sz w:val="24"/>
        </w:rPr>
        <w:t>以景德镇瑶里古镇为例，AR 文旅体验的设计方案如下[1]：用户下载 AR 导览应用后，在古镇入口处扫描引导标记激活体验。应用根据用户的位置自动推荐附近的 AR 内容——走过古码头时，AR 叠加显示明清时期码头的繁忙景象；进入古窑遗址时，AR 复原已毁损的窑炉结构并展示制瓷工艺动画；在古民居中，AR 展示当时居民的生活场景。整个体验设计为约 90 分钟的自导览路线，包含 15 个 AR 内容点和 3 个互动任务点。</w:t>
      </w:r>
    </w:p>
    <w:p/>
    <w:p>
      <w:pPr>
        <w:pStyle w:val="Heading2"/>
      </w:pPr>
      <w:r>
        <w:t>7.4 MR 混合现实文旅创新</w:t>
      </w:r>
    </w:p>
    <w:p/>
    <w:p>
      <w:pPr>
        <w:pStyle w:val="Heading3"/>
      </w:pPr>
      <w:r>
        <w:t>7.4.1 MR 在文旅中的虚实融合模式</w:t>
      </w:r>
    </w:p>
    <w:p/>
    <w:p>
      <w:pPr>
        <w:ind w:firstLine="482"/>
      </w:pPr>
      <w:r>
        <w:rPr>
          <w:rFonts w:ascii="宋体" w:hAnsi="宋体" w:eastAsia="宋体"/>
          <w:sz w:val="24"/>
        </w:rPr>
        <w:t>MR 混合现实在文旅中的虚实融合比 AR 更加深入——MR 不仅叠加虚拟信息，还使虚拟内容与真实环境产生物理交互[10]。MR 文旅的虚实融合模式包括：</w:t>
      </w:r>
    </w:p>
    <w:p/>
    <w:p>
      <w:pPr>
        <w:ind w:firstLine="482"/>
      </w:pPr>
      <w:r>
        <w:rPr>
          <w:rFonts w:ascii="宋体" w:hAnsi="宋体" w:eastAsia="宋体"/>
          <w:b/>
          <w:sz w:val="24"/>
        </w:rPr>
        <w:t>虚实遮挡</w:t>
      </w:r>
      <w:r>
        <w:rPr>
          <w:rFonts w:ascii="宋体" w:hAnsi="宋体" w:eastAsia="宋体"/>
          <w:sz w:val="24"/>
        </w:rPr>
        <w:t>：虚拟物体被真实建筑遮挡，产生"虚拟物体在建筑后面"的深度感。这要求 MR 系统能够实时构建环境的三维网格（Spatial Mesh），用于虚拟物体的遮挡计算。</w:t>
      </w:r>
    </w:p>
    <w:p/>
    <w:p>
      <w:pPr>
        <w:ind w:firstLine="482"/>
      </w:pPr>
      <w:r>
        <w:rPr>
          <w:rFonts w:ascii="宋体" w:hAnsi="宋体" w:eastAsia="宋体"/>
          <w:b/>
          <w:sz w:val="24"/>
        </w:rPr>
        <w:t>虚实碰撞</w:t>
      </w:r>
      <w:r>
        <w:rPr>
          <w:rFonts w:ascii="宋体" w:hAnsi="宋体" w:eastAsia="宋体"/>
          <w:sz w:val="24"/>
        </w:rPr>
        <w:t>：虚拟物体与真实表面交互——虚拟的瀑布水流"落"在真实的岩石上溅起水花，虚拟的角色"走"在真实的地面上。这要求环境理解能力——系统能够识别地面、墙面、物体表面并将其作为虚拟物理的碰撞体。</w:t>
      </w:r>
    </w:p>
    <w:p/>
    <w:p>
      <w:pPr>
        <w:ind w:firstLine="482"/>
      </w:pPr>
      <w:r>
        <w:rPr>
          <w:rFonts w:ascii="宋体" w:hAnsi="宋体" w:eastAsia="宋体"/>
          <w:b/>
          <w:sz w:val="24"/>
        </w:rPr>
        <w:t>空间锚定</w:t>
      </w:r>
      <w:r>
        <w:rPr>
          <w:rFonts w:ascii="宋体" w:hAnsi="宋体" w:eastAsia="宋体"/>
          <w:sz w:val="24"/>
        </w:rPr>
        <w:t>：虚拟内容固定在真实世界的特定位置，多个用户可以从不同角度查看同一虚拟内容。空间锚点技术（如 Azure Spatial Anchors、ARKit Geo Anchors）使虚拟内容在时间和空间上保持持久性——用户今天放置的虚拟标记，明天回来仍然在原来的位置。</w:t>
      </w:r>
    </w:p>
    <w:p/>
    <w:p>
      <w:pPr>
        <w:pStyle w:val="Heading3"/>
      </w:pPr>
      <w:r>
        <w:t>7.4.2 空间锚点与持久化内容</w:t>
      </w:r>
    </w:p>
    <w:p/>
    <w:p>
      <w:pPr>
        <w:ind w:firstLine="482"/>
      </w:pPr>
      <w:r>
        <w:rPr>
          <w:rFonts w:ascii="宋体" w:hAnsi="宋体" w:eastAsia="宋体"/>
          <w:sz w:val="24"/>
        </w:rPr>
        <w:t>空间锚点（Spatial Anchors）是 MR 文旅体验的关键技术。空间锚点将虚拟内容的坐标与真实环境的特征点关联，使虚拟内容在设备重启、用户离开后重新进入时仍然出现在相同位置[10]。</w:t>
      </w:r>
    </w:p>
    <w:p/>
    <w:p>
      <w:pPr>
        <w:ind w:firstLine="482"/>
      </w:pPr>
      <w:r>
        <w:rPr>
          <w:rFonts w:ascii="宋体" w:hAnsi="宋体" w:eastAsia="宋体"/>
          <w:sz w:val="24"/>
        </w:rPr>
        <w:t>云端空间锚点（Cloud Anchors）进一步支持跨设备共享——用户 A 放置的虚拟标记可以被用户 B 看到，实现了多人共享的 MR 体验。在文旅场景中，空间锚点的应用包括：景区中设置持久的 AR 信息标记，所有游客都能看到；多人 AR 寻宝游戏中，虚拟宝藏的位置对所有参与者一致；虚拟涂鸦墙上，游客的虚拟留言对所有后续游客可见。</w:t>
      </w:r>
    </w:p>
    <w:p/>
    <w:p>
      <w:pPr>
        <w:pStyle w:val="Heading3"/>
      </w:pPr>
      <w:r>
        <w:t>7.4.3 多人协同 MR 文旅体验</w:t>
      </w:r>
    </w:p>
    <w:p/>
    <w:p>
      <w:pPr>
        <w:ind w:firstLine="482"/>
      </w:pPr>
      <w:r>
        <w:rPr>
          <w:rFonts w:ascii="宋体" w:hAnsi="宋体" w:eastAsia="宋体"/>
          <w:sz w:val="24"/>
        </w:rPr>
        <w:t>多人协同 MR 体验是文旅元宇宙的基础形态——多名用户佩戴 MR 设备进入同一虚实融合空间，共同探索文化内容[3]。</w:t>
      </w:r>
    </w:p>
    <w:p/>
    <w:p>
      <w:pPr>
        <w:ind w:firstLine="482"/>
      </w:pPr>
      <w:r>
        <w:rPr>
          <w:rFonts w:ascii="宋体" w:hAnsi="宋体" w:eastAsia="宋体"/>
          <w:sz w:val="24"/>
        </w:rPr>
        <w:t>Lin 等人在其元宇宙交互综述中指出，多人元宇宙体验的核心交互特征包括：共同在场（Co-presence）——用户感知到其他用户在同一空间中；共享空间（Shared Space）——所有用户看到一致的虚拟内容布局；社交互动（Social Interaction）——用户之间可以语音交流、手势互动和协同操作[3]。</w:t>
      </w:r>
    </w:p>
    <w:p/>
    <w:p>
      <w:pPr>
        <w:ind w:firstLine="482"/>
      </w:pPr>
      <w:r>
        <w:rPr>
          <w:rFonts w:ascii="宋体" w:hAnsi="宋体" w:eastAsia="宋体"/>
          <w:sz w:val="24"/>
        </w:rPr>
        <w:t>在文旅场景中，多人协同 MR 体验的设计模式包括：家庭远程旅游——不同城市的家庭成员通过 MR 设备在虚拟景区中"团聚"同游；团队文化探索——学生团队在虚拟遗址中协作完成考古任务；虚拟文化节——全球用户在元宇宙中参加文化节庆活动。</w:t>
      </w:r>
    </w:p>
    <w:p/>
    <w:p>
      <w:pPr>
        <w:ind w:firstLine="482"/>
      </w:pPr>
      <w:r>
        <w:rPr>
          <w:rFonts w:ascii="宋体" w:hAnsi="宋体" w:eastAsia="宋体"/>
          <w:sz w:val="24"/>
        </w:rPr>
        <w:t>多人协同 MR 体验的技术实现涉及网络同步、状态管理和冲突解决三个核心技术挑战。</w:t>
      </w:r>
      <w:r>
        <w:rPr>
          <w:rFonts w:ascii="宋体" w:hAnsi="宋体" w:eastAsia="宋体"/>
          <w:b/>
          <w:sz w:val="24"/>
        </w:rPr>
        <w:t>网络同步</w:t>
      </w:r>
      <w:r>
        <w:rPr>
          <w:rFonts w:ascii="宋体" w:hAnsi="宋体" w:eastAsia="宋体"/>
          <w:sz w:val="24"/>
        </w:rPr>
        <w:t>要求所有用户看到的虚拟内容位置和状态一致——当用户 A 移动一个虚拟物体时，用户 B 应该在 100ms 内看到物体的移动。这需要低延迟的网络通信（Wi-Fi 6 或 5G）和高效的状态同步协议（如 Photon Quantum、Unity Netcode for GameObjects）。</w:t>
      </w:r>
      <w:r>
        <w:rPr>
          <w:rFonts w:ascii="宋体" w:hAnsi="宋体" w:eastAsia="宋体"/>
          <w:b/>
          <w:sz w:val="24"/>
        </w:rPr>
        <w:t>状态管理</w:t>
      </w:r>
      <w:r>
        <w:rPr>
          <w:rFonts w:ascii="宋体" w:hAnsi="宋体" w:eastAsia="宋体"/>
          <w:sz w:val="24"/>
        </w:rPr>
        <w:t>处理多用户同时操作同一物体时的冲突——当两个用户同时抓取同一虚拟物体时，系统需要定义优先级规则（如先到先得、或服务器仲裁）。</w:t>
      </w:r>
      <w:r>
        <w:rPr>
          <w:rFonts w:ascii="宋体" w:hAnsi="宋体" w:eastAsia="宋体"/>
          <w:b/>
          <w:sz w:val="24"/>
        </w:rPr>
        <w:t>冲突解决</w:t>
      </w:r>
      <w:r>
        <w:rPr>
          <w:rFonts w:ascii="宋体" w:hAnsi="宋体" w:eastAsia="宋体"/>
          <w:sz w:val="24"/>
        </w:rPr>
        <w:t>处理网络中断和状态不一致的恢复——当用户 A 的网络短暂中断后恢复时，系统需要将 A 的本地状态与服务器全局状态同步，可能需要回滚 A 的部分操作。</w:t>
      </w:r>
    </w:p>
    <w:p/>
    <w:p>
      <w:pPr>
        <w:ind w:firstLine="482"/>
      </w:pPr>
      <w:r>
        <w:rPr>
          <w:rFonts w:ascii="宋体" w:hAnsi="宋体" w:eastAsia="宋体"/>
          <w:sz w:val="24"/>
        </w:rPr>
        <w:t>在文旅场景中，多人协同 MR 的另一个重要考量是"社交密度"——虚拟空间中同时存在的用户数量。过多的用户会导致视觉混乱和社交过载，过少则缺乏社交氛围。推荐的社交密度为 4-8 人/组——这一规模既能产生丰富的社交互动，又不会使认知负荷过高。大型活动（如虚拟文化节）可以通过"实例化"（Instancing）策略支持更多用户——将用户分组到多个并行实例中，每组 4-8 人，实例之间通过"社交广场"连接。</w:t>
      </w:r>
    </w:p>
    <w:p/>
    <w:p>
      <w:pPr>
        <w:ind w:firstLine="482"/>
      </w:pPr>
      <w:r>
        <w:rPr>
          <w:rFonts w:ascii="宋体" w:hAnsi="宋体" w:eastAsia="宋体"/>
          <w:sz w:val="24"/>
        </w:rPr>
        <w:t>Yang 等人研究了双目半全景 VR 地图在非遗项目可持续性提升中的应用，提出了一种将非遗文化内容嵌入地理空间的方法——用户在 VR 地图上浏览不同地区的非遗项目，通过空间导航发现文化关联[17]。这种方法对于贵州多民族文化的空间化展示具有参考价值——苗族、侗族、布依族等不同民族的文化遗产可以按地理分布嵌入 VR 地图，用户在虚拟空间中"旅行"时自然地了解不同民族的文化特色和地域差异。孔莉莉以全景 VR 视频技术为例探讨了数字化艺术文化遗产保护的教学实践，强调了教育场景中 VR 全景制作的流程化教学设计[19]。</w:t>
      </w:r>
    </w:p>
    <w:p/>
    <w:p>
      <w:pPr>
        <w:pStyle w:val="Heading3"/>
      </w:pPr>
      <w:r>
        <w:t>7.4.4 案例：韩国济州岛 VR/AR 文化遗产沉浸式应用</w:t>
      </w:r>
    </w:p>
    <w:p/>
    <w:p>
      <w:pPr>
        <w:ind w:firstLine="482"/>
      </w:pPr>
      <w:r>
        <w:rPr>
          <w:rFonts w:ascii="宋体" w:hAnsi="宋体" w:eastAsia="宋体"/>
          <w:sz w:val="24"/>
        </w:rPr>
        <w:t>Jung 等人开发的"Virtual Jeju Dol Harubang"项目是 MR 文旅的典型案例[11]。该项目将韩国济州岛的标志性文化遗产——石头爷爷（Dol Harubang，火山岩雕像）通过 VR/AR 技术数字化，用户可以：在 VR 中近距离观察 3D 扫描的高精度石头爷爷模型；在 AR 中将虚拟石头爷爷放置在真实环境中；通过 MR 体验石头爷爷在不同历史时期的文化意义。</w:t>
      </w:r>
    </w:p>
    <w:p/>
    <w:p>
      <w:pPr>
        <w:ind w:firstLine="482"/>
      </w:pPr>
      <w:r>
        <w:rPr>
          <w:rFonts w:ascii="宋体" w:hAnsi="宋体" w:eastAsia="宋体"/>
          <w:sz w:val="24"/>
        </w:rPr>
        <w:t>该项目的关键创新在于"文化沉浸"（Cultural Immersion）概念——不仅仅是视觉上的沉浸感，更是文化理解和情感连接上的沉浸。项目通过叙事性 VR 体验讲述石头爷爷在济州岛文化中的象征意义（守护神、生育象征），使技术沉浸服务于文化传达。这一设计理念对贵州特色文化（如苗族银饰、侗族大歌、屯堡地戏）的 VR/AR 体验设计具有直接参考价值[11]。</w:t>
      </w:r>
    </w:p>
    <w:p/>
    <w:p>
      <w:pPr>
        <w:ind w:firstLine="482"/>
      </w:pPr>
      <w:r>
        <w:rPr>
          <w:rFonts w:ascii="宋体" w:hAnsi="宋体" w:eastAsia="宋体"/>
          <w:sz w:val="24"/>
        </w:rPr>
        <w:t>Barrado-Timón 和 Hidalgo-Giralt 在研究中指出，历史城市的 VR/AR 体验设计应关注"感知与传播"的双重目标——不仅要让用户感知历史场景的视觉面貌，还要通过沉浸式体验传播历史的文化价值和当代意义[12]。Baviera López 等人进一步强调了遗产传播中虚实结合的重要性——VR 适合呈现已消失的历史场景，AR 适合增强现存遗产的信息层，两者结合能够提供更完整的文化理解[13]。</w:t>
      </w:r>
    </w:p>
    <w:p/>
    <w:p>
      <w:pPr>
        <w:ind w:firstLine="482"/>
      </w:pPr>
      <w:r>
        <w:rPr>
          <w:rFonts w:ascii="宋体" w:hAnsi="宋体" w:eastAsia="宋体"/>
          <w:sz w:val="24"/>
        </w:rPr>
        <w:t>Siddiqui 等人对虚拟旅游和数字遗产中的 VR/AR 技术和应用进行了系统分析，指出文旅 VR/AR 项目的成功取决于三个要素的协同：技术质量（渲染精度、追踪稳定性、交互流畅度）、内容质量（文化深度、叙事吸引力、信息准确性）和用户体验（易用性、可达性、满意度）[14]。这三个要素的评估框架为文旅 VR/AR 项目的质量管控提供了实用工具。</w:t>
      </w:r>
    </w:p>
    <w:p/>
    <w:p>
      <w:pPr>
        <w:ind w:firstLine="482"/>
      </w:pPr>
      <w:r>
        <w:rPr>
          <w:rFonts w:ascii="宋体" w:hAnsi="宋体" w:eastAsia="宋体"/>
          <w:sz w:val="24"/>
        </w:rPr>
        <w:t>Selmanović 等人的研究关注了 VR 在非物质文化遗产可及性提升中的应用，以波斯尼亚和黑塞哥维那的传统文化为例，展示了 VR 如何帮助无法亲临现场的国际受众体验非遗文化[15]。这一"可及性"视角对于贵州偏远地区的非遗文化推广特别有价值——通过 VR/AR 技术，深山中的民族文化可以触达全球受众，实现文化保护与传播的双重目标。</w:t>
      </w:r>
    </w:p>
    <w:p/>
    <w:p>
      <w:pPr>
        <w:ind w:firstLine="482"/>
      </w:pPr>
      <w:r>
        <w:rPr>
          <w:rFonts w:ascii="宋体" w:hAnsi="宋体" w:eastAsia="宋体"/>
          <w:sz w:val="24"/>
        </w:rPr>
        <w:t>Slater 和 Sanchez-Vives 在其综述中展望了沉浸式 VR 技术改善人类生活的远景，指出 VR 在文旅领域的终极价值不在于技术本身，而在于它能够创造"有意义的体验"——让用户在虚拟世界中获得新的认知、情感和连接[16]。这一观点为文旅沉浸式场景设计提供了最终的价值锚点。</w:t>
      </w:r>
    </w:p>
    <w:p/>
    <w:p>
      <w:pPr>
        <w:ind w:firstLine="482"/>
      </w:pPr>
      <w:r>
        <w:rPr>
          <w:rFonts w:ascii="宋体" w:hAnsi="宋体" w:eastAsia="宋体"/>
          <w:sz w:val="24"/>
        </w:rPr>
        <w:t>---</w:t>
      </w:r>
    </w:p>
    <w:p/>
    <w:p>
      <w:pPr>
        <w:pStyle w:val="Heading2"/>
      </w:pPr>
      <w:r>
        <w:t>7.5 文旅沉浸式场景的商业模式与可持续发展</w:t>
      </w:r>
    </w:p>
    <w:p/>
    <w:p>
      <w:pPr>
        <w:pStyle w:val="Heading3"/>
      </w:pPr>
      <w:r>
        <w:t>7.5.1 商业模式分析</w:t>
      </w:r>
    </w:p>
    <w:p/>
    <w:p>
      <w:pPr>
        <w:ind w:firstLine="482"/>
      </w:pPr>
      <w:r>
        <w:rPr>
          <w:rFonts w:ascii="宋体" w:hAnsi="宋体" w:eastAsia="宋体"/>
          <w:sz w:val="24"/>
        </w:rPr>
        <w:t>文旅沉浸式场景的商业模式正在从单一的"门票经济"向多元化收入结构转型[20]：</w:t>
      </w:r>
    </w:p>
    <w:p/>
    <w:p>
      <w:pPr>
        <w:ind w:firstLine="482"/>
      </w:pPr>
      <w:r>
        <w:rPr>
          <w:rFonts w:ascii="宋体" w:hAnsi="宋体" w:eastAsia="宋体"/>
          <w:b/>
          <w:sz w:val="24"/>
        </w:rPr>
        <w:t>B2C 直接消费</w:t>
      </w:r>
      <w:r>
        <w:rPr>
          <w:rFonts w:ascii="宋体" w:hAnsi="宋体" w:eastAsia="宋体"/>
          <w:sz w:val="24"/>
        </w:rPr>
        <w:t>：游客为 VR/AR 体验付费——景区内 VR 体验馆单次收费 30-80 元，AR 导览应用一次性购买 15-30 元或订阅制 5-10 元/月。沉浸式演艺门票 100-300 元。VR 全景线上体验通常免费，通过广告或导流变现。</w:t>
      </w:r>
    </w:p>
    <w:p/>
    <w:p>
      <w:pPr>
        <w:ind w:firstLine="482"/>
      </w:pPr>
      <w:r>
        <w:rPr>
          <w:rFonts w:ascii="宋体" w:hAnsi="宋体" w:eastAsia="宋体"/>
          <w:b/>
          <w:sz w:val="24"/>
        </w:rPr>
        <w:t>B2B 企业服务</w:t>
      </w:r>
      <w:r>
        <w:rPr>
          <w:rFonts w:ascii="宋体" w:hAnsi="宋体" w:eastAsia="宋体"/>
          <w:sz w:val="24"/>
        </w:rPr>
        <w:t>：为景区、博物馆、酒店等提供 VR/AR 定制开发服务，项目费用 5-50 万元不等。提供 VR 内容运营托管服务，年费 2-10 万元。为旅行社提供 VR 营销素材，按使用量计费。</w:t>
      </w:r>
    </w:p>
    <w:p/>
    <w:p>
      <w:pPr>
        <w:ind w:firstLine="482"/>
      </w:pPr>
      <w:r>
        <w:rPr>
          <w:rFonts w:ascii="宋体" w:hAnsi="宋体" w:eastAsia="宋体"/>
          <w:b/>
          <w:sz w:val="24"/>
        </w:rPr>
        <w:t>B2G 政府采购</w:t>
      </w:r>
      <w:r>
        <w:rPr>
          <w:rFonts w:ascii="宋体" w:hAnsi="宋体" w:eastAsia="宋体"/>
          <w:sz w:val="24"/>
        </w:rPr>
        <w:t>：政府主导的智慧旅游项目、文化遗产数字化项目和文化传播项目，预算通常在 50-500 万元。这类项目周期长、要求高，但回款稳定。</w:t>
      </w:r>
    </w:p>
    <w:p/>
    <w:p>
      <w:pPr>
        <w:ind w:firstLine="482"/>
      </w:pPr>
      <w:r>
        <w:rPr>
          <w:rFonts w:ascii="宋体" w:hAnsi="宋体" w:eastAsia="宋体"/>
          <w:b/>
          <w:sz w:val="24"/>
        </w:rPr>
        <w:t>IP 授权与衍生品</w:t>
      </w:r>
      <w:r>
        <w:rPr>
          <w:rFonts w:ascii="宋体" w:hAnsi="宋体" w:eastAsia="宋体"/>
          <w:sz w:val="24"/>
        </w:rPr>
        <w:t>：将沉浸式场景中的虚拟角色、场景设计和文化元素进行 IP 化运营——虚拟导游角色授权、数字文创品销售、沉浸式体验内容授权等。这一模式尚在探索阶段，但潜力巨大[20]。</w:t>
      </w:r>
    </w:p>
    <w:p/>
    <w:p>
      <w:pPr>
        <w:pStyle w:val="Heading3"/>
      </w:pPr>
      <w:r>
        <w:t>7.5.2 可持续发展策略</w:t>
      </w:r>
    </w:p>
    <w:p/>
    <w:p>
      <w:pPr>
        <w:ind w:firstLine="482"/>
      </w:pPr>
      <w:r>
        <w:rPr>
          <w:rFonts w:ascii="宋体" w:hAnsi="宋体" w:eastAsia="宋体"/>
          <w:sz w:val="24"/>
        </w:rPr>
        <w:t>文旅沉浸式场景的可持续发展需要平衡经济效益、文化价值和技术更新[20]：</w:t>
      </w:r>
    </w:p>
    <w:p/>
    <w:p>
      <w:pPr>
        <w:ind w:firstLine="482"/>
      </w:pPr>
      <w:r>
        <w:rPr>
          <w:rFonts w:ascii="宋体" w:hAnsi="宋体" w:eastAsia="宋体"/>
          <w:b/>
          <w:sz w:val="24"/>
        </w:rPr>
        <w:t>内容可持续</w:t>
      </w:r>
      <w:r>
        <w:rPr>
          <w:rFonts w:ascii="宋体" w:hAnsi="宋体" w:eastAsia="宋体"/>
          <w:sz w:val="24"/>
        </w:rPr>
        <w:t>：沉浸式内容需要定期更新以保持吸引力。建议建立"核心内容+季节性内容+活动性内容"的三层内容架构——核心内容（如景区 VR 漫游）保持稳定，季节性内容（如四季景色切换）每季度更新，活动性内容（如节庆特别体验）每月推出。这种架构既控制了更新成本，又保持了内容新鲜度。</w:t>
      </w:r>
    </w:p>
    <w:p/>
    <w:p>
      <w:pPr>
        <w:ind w:firstLine="482"/>
      </w:pPr>
      <w:r>
        <w:rPr>
          <w:rFonts w:ascii="宋体" w:hAnsi="宋体" w:eastAsia="宋体"/>
          <w:b/>
          <w:sz w:val="24"/>
        </w:rPr>
        <w:t>技术可持续</w:t>
      </w:r>
      <w:r>
        <w:rPr>
          <w:rFonts w:ascii="宋体" w:hAnsi="宋体" w:eastAsia="宋体"/>
          <w:sz w:val="24"/>
        </w:rPr>
        <w:t>：VR/AR 技术迭代速度快，设备 3-4 年需要更新换代。建议采用"核心资产与技术平台分离"的策略——3D 模型、音频、脚本等核心资产以标准格式存储，不依赖特定平台；技术平台使用模块化架构，便于在新技术出现时进行局部升级而非全面重构。</w:t>
      </w:r>
    </w:p>
    <w:p/>
    <w:p>
      <w:pPr>
        <w:ind w:firstLine="482"/>
      </w:pPr>
      <w:r>
        <w:rPr>
          <w:rFonts w:ascii="宋体" w:hAnsi="宋体" w:eastAsia="宋体"/>
          <w:b/>
          <w:sz w:val="24"/>
        </w:rPr>
        <w:t>文化可持续</w:t>
      </w:r>
      <w:r>
        <w:rPr>
          <w:rFonts w:ascii="宋体" w:hAnsi="宋体" w:eastAsia="宋体"/>
          <w:sz w:val="24"/>
        </w:rPr>
        <w:t>：文旅沉浸式场景应服务于文化传承而非"娱乐化消解"。在追求沉浸感和趣味性的同时，确保文化信息的准确性和深度。建议建立"文化顾问委员会"制度，由文化学者、非遗传承人和社区代表参与内容审核，确保文化表达的恰当性和尊重性[20]。</w:t>
      </w:r>
    </w:p>
    <w:p/>
    <w:p>
      <w:pPr>
        <w:pStyle w:val="Heading3"/>
      </w:pPr>
      <w:r>
        <w:t>7.5.3 行业生态与协作机制</w:t>
      </w:r>
    </w:p>
    <w:p/>
    <w:p>
      <w:pPr>
        <w:ind w:firstLine="482"/>
      </w:pPr>
      <w:r>
        <w:rPr>
          <w:rFonts w:ascii="宋体" w:hAnsi="宋体" w:eastAsia="宋体"/>
          <w:sz w:val="24"/>
        </w:rPr>
        <w:t>文旅沉浸式场景的发展需要多方协作[20]：</w:t>
      </w:r>
    </w:p>
    <w:p/>
    <w:p>
      <w:pPr>
        <w:ind w:firstLine="482"/>
      </w:pPr>
      <w:r>
        <w:rPr>
          <w:rFonts w:ascii="宋体" w:hAnsi="宋体" w:eastAsia="宋体"/>
          <w:b/>
          <w:sz w:val="24"/>
        </w:rPr>
        <w:t>产学研合作</w:t>
      </w:r>
      <w:r>
        <w:rPr>
          <w:rFonts w:ascii="宋体" w:hAnsi="宋体" w:eastAsia="宋体"/>
          <w:sz w:val="24"/>
        </w:rPr>
        <w:t>：高校提供理论研究、人才培养和技术创新；企业提供开发实施、运营管理和市场推广；景区/博物馆提供文化资源和应用场景。建议建立"文旅沉浸式技术联盟"，促进产学研之间的资源共享和协作。</w:t>
      </w:r>
    </w:p>
    <w:p/>
    <w:p>
      <w:pPr>
        <w:ind w:firstLine="482"/>
      </w:pPr>
      <w:r>
        <w:rPr>
          <w:rFonts w:ascii="宋体" w:hAnsi="宋体" w:eastAsia="宋体"/>
          <w:b/>
          <w:sz w:val="24"/>
        </w:rPr>
        <w:t>区域协作</w:t>
      </w:r>
      <w:r>
        <w:rPr>
          <w:rFonts w:ascii="宋体" w:hAnsi="宋体" w:eastAsia="宋体"/>
          <w:sz w:val="24"/>
        </w:rPr>
        <w:t>：贵州的文旅资源具有区域特色，相邻景区可以联合开发沉浸式体验产品——例如"黔东南民族文化沉浸式之旅"串联多个苗寨和侗寨，形成主题化的沉浸式游览路线。区域协作可以分摊开发成本、丰富内容多样性并提升整体吸引力。</w:t>
      </w:r>
    </w:p>
    <w:p/>
    <w:p>
      <w:pPr>
        <w:ind w:firstLine="482"/>
      </w:pPr>
      <w:r>
        <w:rPr>
          <w:rFonts w:ascii="宋体" w:hAnsi="宋体" w:eastAsia="宋体"/>
          <w:b/>
          <w:sz w:val="24"/>
        </w:rPr>
        <w:t>标准共建</w:t>
      </w:r>
      <w:r>
        <w:rPr>
          <w:rFonts w:ascii="宋体" w:hAnsi="宋体" w:eastAsia="宋体"/>
          <w:sz w:val="24"/>
        </w:rPr>
        <w:t>：行业标准的建立有助于降低开发成本和提升质量——统一的 VR/AR 文旅内容技术规范、评估标准和数据交换格式可以促进不同厂商产品的互操作性，避免"各自为政"导致的重复建设和资源浪费[20]。</w:t>
      </w:r>
    </w:p>
    <w:p/>
    <w:p>
      <w:pPr>
        <w:pStyle w:val="Heading2"/>
      </w:pPr>
      <w:r>
        <w:t>7.6 沉浸式文旅的发展趋势与展望</w:t>
      </w:r>
    </w:p>
    <w:p/>
    <w:p>
      <w:pPr>
        <w:pStyle w:val="Heading3"/>
      </w:pPr>
      <w:r>
        <w:t>7.6.1 个性化沉浸式体验</w:t>
      </w:r>
    </w:p>
    <w:p/>
    <w:p>
      <w:pPr>
        <w:ind w:firstLine="482"/>
      </w:pPr>
      <w:r>
        <w:rPr>
          <w:rFonts w:ascii="宋体" w:hAnsi="宋体" w:eastAsia="宋体"/>
          <w:sz w:val="24"/>
        </w:rPr>
        <w:t>未来的沉浸式文旅将从"千人一面"转向"千人千面"——AI 根据用户的兴趣偏好、知识水平、游览时长和语言文化，动态生成个性化的沉浸式内容[20]。例如，AI 导游可以为儿童生成趣味化的故事讲解，为学者提供深度的学术分析，为外国游客提供跨文化的类比解释。这种个性化需要 AI 大模型的支撑，是文旅沉浸式场景的未来发展方向。</w:t>
      </w:r>
    </w:p>
    <w:p/>
    <w:p>
      <w:pPr>
        <w:pStyle w:val="Heading3"/>
      </w:pPr>
      <w:r>
        <w:t>7.6.2 虚实融合的"增强型景区"</w:t>
      </w:r>
    </w:p>
    <w:p/>
    <w:p>
      <w:pPr>
        <w:ind w:firstLine="482"/>
      </w:pPr>
      <w:r>
        <w:rPr>
          <w:rFonts w:ascii="宋体" w:hAnsi="宋体" w:eastAsia="宋体"/>
          <w:sz w:val="24"/>
        </w:rPr>
        <w:t>MR 技术将推动"增强型景区"的建设——游客戴着轻量化 AR 眼镜在真实景区中游览，AR 叠加历史复原、文化解读、互动游戏和社交信息。真实景观与虚拟内容的无缝融合创造了"超越现实"的游览体验——既保留了实地游览的真实感和身体参与感，又获得了虚拟内容的丰富信息量和互动趣味性。随着 Apple Vision Pro 等消费级 MR 设备的普及，这一模式有望在 3-5 年内成为主流[20]。</w:t>
      </w:r>
    </w:p>
    <w:p/>
    <w:p>
      <w:pPr>
        <w:pStyle w:val="Heading3"/>
      </w:pPr>
      <w:r>
        <w:t>7.6.3 跨时空文旅体验</w:t>
      </w:r>
    </w:p>
    <w:p/>
    <w:p>
      <w:pPr>
        <w:ind w:firstLine="482"/>
      </w:pPr>
      <w:r>
        <w:rPr>
          <w:rFonts w:ascii="宋体" w:hAnsi="宋体" w:eastAsia="宋体"/>
          <w:sz w:val="24"/>
        </w:rPr>
        <w:t>沉浸式技术使"跨时空文旅"成为可能——游客可以在同一空间中体验不同历史时期的场景。在屯堡古城，游客通过 AR 看到 600 年前明代屯军驻守的场景；在遵义会议会址，游客通过 VR 参与 1935 年的历史会议；在黄果树瀑布，游客通过 VR 看到亿万年前地质形成的过程。这种"时空穿越"式的文旅体验将教育和娱乐深度融合，代表了沉浸式文旅的最高形态[20]。</w:t>
      </w:r>
    </w:p>
    <w:p/>
    <w:p/>
    <w:p>
      <w:pPr>
        <w:pStyle w:val="Heading2"/>
      </w:pPr>
      <w:r>
        <w:t>7.7 贵州文旅沉浸式场景的特色实践</w:t>
      </w:r>
    </w:p>
    <w:p/>
    <w:p>
      <w:pPr>
        <w:pStyle w:val="Heading3"/>
      </w:pPr>
      <w:r>
        <w:t>7.7.1 贵州文旅资源概览</w:t>
      </w:r>
    </w:p>
    <w:p/>
    <w:p>
      <w:pPr>
        <w:ind w:firstLine="482"/>
      </w:pPr>
      <w:r>
        <w:rPr>
          <w:rFonts w:ascii="宋体" w:hAnsi="宋体" w:eastAsia="宋体"/>
          <w:sz w:val="24"/>
        </w:rPr>
        <w:t>贵州拥有独特的自然风光和深厚的文化底蕴，是发展沉浸式文旅的天然宝库[20]。自然方面，贵州有黄果树瀑布、荔波小七孔、梵净山、万峰林等世界级自然景观，喀斯特地貌造就了溶洞、天坑、峡谷等多样化地质奇观。文化方面，贵州有 17 个世居少数民族，苗族、侗族、布依族等各具特色的民族文化构成了文化千岛的格局。安顺屯堡的明代遗存、遵义的红色文化、黔东南的苗侗风情都是沉浸式文旅开发的优质素材。</w:t>
      </w:r>
    </w:p>
    <w:p/>
    <w:p>
      <w:pPr>
        <w:pStyle w:val="Heading3"/>
      </w:pPr>
      <w:r>
        <w:t>7.7.2 沉浸式文旅的贵州模式</w:t>
      </w:r>
    </w:p>
    <w:p/>
    <w:p>
      <w:pPr>
        <w:ind w:firstLine="482"/>
      </w:pPr>
      <w:r>
        <w:rPr>
          <w:rFonts w:ascii="宋体" w:hAnsi="宋体" w:eastAsia="宋体"/>
          <w:sz w:val="24"/>
        </w:rPr>
        <w:t>贵州在沉浸式文旅方面已进行了多种探索[20]：台江县台盘村的村BA篮球赛通过 VR 全景直播让全球观众沉浸式体验乡村篮球狂欢；西江千户苗寨利用灯光投影、AR 互动和空间音频技术将苗寨夜景打造为沉浸式光影秀；遵义会议纪念馆通过 VR 重现 1935 年遵义会议的历史场景，游客可以参与会议、与历史人物互动；贵州省博物馆使用 AR 导览和 VR 体验技术将藏品数字化呈现，显著提升了参观时长和知识获取量。</w:t>
      </w:r>
    </w:p>
    <w:p/>
    <w:p>
      <w:pPr>
        <w:pStyle w:val="Heading3"/>
      </w:pPr>
      <w:r>
        <w:t>7.7.3 贵州沉浸式文旅的发展建议</w:t>
      </w:r>
    </w:p>
    <w:p/>
    <w:p>
      <w:pPr>
        <w:ind w:firstLine="482"/>
      </w:pPr>
      <w:r>
        <w:rPr>
          <w:rFonts w:ascii="宋体" w:hAnsi="宋体" w:eastAsia="宋体"/>
          <w:sz w:val="24"/>
        </w:rPr>
        <w:t>基于贵州文旅资源的特色和沉浸式技术的应用实践，提出以下发展建议[20]：（1）打造一景区一特色的沉浸式体验，避免同质化开发；（2）将民族文化深度融入沉浸式内容，不仅展示表象更传递内涵；（3）建立贵州沉浸式文旅内容共享平台，多景区共享 3D 资产和技术方案；（4）培养技术加文化复合型人才，依托贵州高校资源为沉浸式文旅提供持续的人才支撑。</w:t>
      </w:r>
    </w:p>
    <w:p/>
    <w:p/>
    <w:p>
      <w:pPr>
        <w:pStyle w:val="Heading2"/>
      </w:pPr>
      <w:r>
        <w:t>7.8 沉浸式文旅的技术选型与实施指南</w:t>
      </w:r>
    </w:p>
    <w:p/>
    <w:p>
      <w:pPr>
        <w:pStyle w:val="Heading3"/>
      </w:pPr>
      <w:r>
        <w:t>7.8.1 技术方案决策矩阵</w:t>
      </w:r>
    </w:p>
    <w:p/>
    <w:p>
      <w:pPr>
        <w:ind w:firstLine="482"/>
      </w:pPr>
      <w:r>
        <w:rPr>
          <w:rFonts w:ascii="宋体" w:hAnsi="宋体" w:eastAsia="宋体"/>
          <w:sz w:val="24"/>
        </w:rPr>
        <w:t>不同类型的文旅沉浸式场景适合不同的技术方案。以下决策矩阵帮助项目团队选择最合适的技术路线[20]：</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场景类型</w:t>
            </w:r>
          </w:p>
        </w:tc>
        <w:tc>
          <w:tcPr>
            <w:tcW w:type="dxa" w:w="2078"/>
            <w:shd w:fill="D9E2F3" w:val="clear"/>
          </w:tcPr>
          <w:p>
            <w:pPr>
              <w:jc w:val="center"/>
            </w:pPr>
            <w:r/>
            <w:r>
              <w:rPr>
                <w:rFonts w:ascii="黑体" w:hAnsi="黑体" w:eastAsia="黑体"/>
                <w:b/>
                <w:sz w:val="20"/>
              </w:rPr>
              <w:t>推荐方案</w:t>
            </w:r>
          </w:p>
        </w:tc>
        <w:tc>
          <w:tcPr>
            <w:tcW w:type="dxa" w:w="2078"/>
            <w:shd w:fill="D9E2F3" w:val="clear"/>
          </w:tcPr>
          <w:p>
            <w:pPr>
              <w:jc w:val="center"/>
            </w:pPr>
            <w:r/>
            <w:r>
              <w:rPr>
                <w:rFonts w:ascii="黑体" w:hAnsi="黑体" w:eastAsia="黑体"/>
                <w:b/>
                <w:sz w:val="20"/>
              </w:rPr>
              <w:t>适用条件</w:t>
            </w:r>
          </w:p>
        </w:tc>
        <w:tc>
          <w:tcPr>
            <w:tcW w:type="dxa" w:w="2078"/>
            <w:shd w:fill="D9E2F3" w:val="clear"/>
          </w:tcPr>
          <w:p>
            <w:pPr>
              <w:jc w:val="center"/>
            </w:pPr>
            <w:r/>
            <w:r>
              <w:rPr>
                <w:rFonts w:ascii="黑体" w:hAnsi="黑体" w:eastAsia="黑体"/>
                <w:b/>
                <w:sz w:val="20"/>
              </w:rPr>
              <w:t>预算参考</w:t>
            </w:r>
          </w:p>
        </w:tc>
      </w:tr>
      <w:tr>
        <w:tc>
          <w:tcPr>
            <w:tcW w:type="dxa" w:w="2078"/>
          </w:tcPr>
          <w:p>
            <w:r/>
            <w:r>
              <w:rPr>
                <w:rFonts w:ascii="宋体" w:hAnsi="宋体" w:eastAsia="宋体"/>
                <w:sz w:val="20"/>
              </w:rPr>
              <w:t>景区线上预览</w:t>
            </w:r>
          </w:p>
        </w:tc>
        <w:tc>
          <w:tcPr>
            <w:tcW w:type="dxa" w:w="2078"/>
          </w:tcPr>
          <w:p>
            <w:r/>
            <w:r>
              <w:rPr>
                <w:rFonts w:ascii="宋体" w:hAnsi="宋体" w:eastAsia="宋体"/>
                <w:sz w:val="20"/>
              </w:rPr>
              <w:t>WebVR 全景</w:t>
            </w:r>
          </w:p>
        </w:tc>
        <w:tc>
          <w:tcPr>
            <w:tcW w:type="dxa" w:w="2078"/>
          </w:tcPr>
          <w:p>
            <w:r/>
            <w:r>
              <w:rPr>
                <w:rFonts w:ascii="宋体" w:hAnsi="宋体" w:eastAsia="宋体"/>
                <w:sz w:val="20"/>
              </w:rPr>
              <w:t>快速上线、低预算、广覆盖</w:t>
            </w:r>
          </w:p>
        </w:tc>
        <w:tc>
          <w:tcPr>
            <w:tcW w:type="dxa" w:w="2078"/>
          </w:tcPr>
          <w:p>
            <w:r/>
            <w:r>
              <w:rPr>
                <w:rFonts w:ascii="宋体" w:hAnsi="宋体" w:eastAsia="宋体"/>
                <w:sz w:val="20"/>
              </w:rPr>
              <w:t>3-8万</w:t>
            </w:r>
          </w:p>
        </w:tc>
      </w:tr>
      <w:tr>
        <w:tc>
          <w:tcPr>
            <w:tcW w:type="dxa" w:w="2078"/>
          </w:tcPr>
          <w:p>
            <w:r/>
            <w:r>
              <w:rPr>
                <w:rFonts w:ascii="宋体" w:hAnsi="宋体" w:eastAsia="宋体"/>
                <w:sz w:val="20"/>
              </w:rPr>
              <w:t>景区沉浸体验</w:t>
            </w:r>
          </w:p>
        </w:tc>
        <w:tc>
          <w:tcPr>
            <w:tcW w:type="dxa" w:w="2078"/>
          </w:tcPr>
          <w:p>
            <w:r/>
            <w:r>
              <w:rPr>
                <w:rFonts w:ascii="宋体" w:hAnsi="宋体" w:eastAsia="宋体"/>
                <w:sz w:val="20"/>
              </w:rPr>
              <w:t>VR 头显应用</w:t>
            </w:r>
          </w:p>
        </w:tc>
        <w:tc>
          <w:tcPr>
            <w:tcW w:type="dxa" w:w="2078"/>
          </w:tcPr>
          <w:p>
            <w:r/>
            <w:r>
              <w:rPr>
                <w:rFonts w:ascii="宋体" w:hAnsi="宋体" w:eastAsia="宋体"/>
                <w:sz w:val="20"/>
              </w:rPr>
              <w:t>高品质体验、有VR设备部署</w:t>
            </w:r>
          </w:p>
        </w:tc>
        <w:tc>
          <w:tcPr>
            <w:tcW w:type="dxa" w:w="2078"/>
          </w:tcPr>
          <w:p>
            <w:r/>
            <w:r>
              <w:rPr>
                <w:rFonts w:ascii="宋体" w:hAnsi="宋体" w:eastAsia="宋体"/>
                <w:sz w:val="20"/>
              </w:rPr>
              <w:t>10-30万</w:t>
            </w:r>
          </w:p>
        </w:tc>
      </w:tr>
      <w:tr>
        <w:tc>
          <w:tcPr>
            <w:tcW w:type="dxa" w:w="2078"/>
          </w:tcPr>
          <w:p>
            <w:r/>
            <w:r>
              <w:rPr>
                <w:rFonts w:ascii="宋体" w:hAnsi="宋体" w:eastAsia="宋体"/>
                <w:sz w:val="20"/>
              </w:rPr>
              <w:t>博物馆互动</w:t>
            </w:r>
          </w:p>
        </w:tc>
        <w:tc>
          <w:tcPr>
            <w:tcW w:type="dxa" w:w="2078"/>
          </w:tcPr>
          <w:p>
            <w:r/>
            <w:r>
              <w:rPr>
                <w:rFonts w:ascii="宋体" w:hAnsi="宋体" w:eastAsia="宋体"/>
                <w:sz w:val="20"/>
              </w:rPr>
              <w:t>AR 导览应用</w:t>
            </w:r>
          </w:p>
        </w:tc>
        <w:tc>
          <w:tcPr>
            <w:tcW w:type="dxa" w:w="2078"/>
          </w:tcPr>
          <w:p>
            <w:r/>
            <w:r>
              <w:rPr>
                <w:rFonts w:ascii="宋体" w:hAnsi="宋体" w:eastAsia="宋体"/>
                <w:sz w:val="20"/>
              </w:rPr>
              <w:t>手机端、离线可用</w:t>
            </w:r>
          </w:p>
        </w:tc>
        <w:tc>
          <w:tcPr>
            <w:tcW w:type="dxa" w:w="2078"/>
          </w:tcPr>
          <w:p>
            <w:r/>
            <w:r>
              <w:rPr>
                <w:rFonts w:ascii="宋体" w:hAnsi="宋体" w:eastAsia="宋体"/>
                <w:sz w:val="20"/>
              </w:rPr>
              <w:t>8-20万</w:t>
            </w:r>
          </w:p>
        </w:tc>
      </w:tr>
      <w:tr>
        <w:tc>
          <w:tcPr>
            <w:tcW w:type="dxa" w:w="2078"/>
          </w:tcPr>
          <w:p>
            <w:r/>
            <w:r>
              <w:rPr>
                <w:rFonts w:ascii="宋体" w:hAnsi="宋体" w:eastAsia="宋体"/>
                <w:sz w:val="20"/>
              </w:rPr>
              <w:t>文化演艺</w:t>
            </w:r>
          </w:p>
        </w:tc>
        <w:tc>
          <w:tcPr>
            <w:tcW w:type="dxa" w:w="2078"/>
          </w:tcPr>
          <w:p>
            <w:r/>
            <w:r>
              <w:rPr>
                <w:rFonts w:ascii="宋体" w:hAnsi="宋体" w:eastAsia="宋体"/>
                <w:sz w:val="20"/>
              </w:rPr>
              <w:t>沉浸式投影</w:t>
            </w:r>
          </w:p>
        </w:tc>
        <w:tc>
          <w:tcPr>
            <w:tcW w:type="dxa" w:w="2078"/>
          </w:tcPr>
          <w:p>
            <w:r/>
            <w:r>
              <w:rPr>
                <w:rFonts w:ascii="宋体" w:hAnsi="宋体" w:eastAsia="宋体"/>
                <w:sz w:val="20"/>
              </w:rPr>
              <w:t>室内空间、大场地</w:t>
            </w:r>
          </w:p>
        </w:tc>
        <w:tc>
          <w:tcPr>
            <w:tcW w:type="dxa" w:w="2078"/>
          </w:tcPr>
          <w:p>
            <w:r/>
            <w:r>
              <w:rPr>
                <w:rFonts w:ascii="宋体" w:hAnsi="宋体" w:eastAsia="宋体"/>
                <w:sz w:val="20"/>
              </w:rPr>
              <w:t>50-200万</w:t>
            </w:r>
          </w:p>
        </w:tc>
      </w:tr>
      <w:tr>
        <w:tc>
          <w:tcPr>
            <w:tcW w:type="dxa" w:w="2078"/>
          </w:tcPr>
          <w:p>
            <w:r/>
            <w:r>
              <w:rPr>
                <w:rFonts w:ascii="宋体" w:hAnsi="宋体" w:eastAsia="宋体"/>
                <w:sz w:val="20"/>
              </w:rPr>
              <w:t>历史场景重现</w:t>
            </w:r>
          </w:p>
        </w:tc>
        <w:tc>
          <w:tcPr>
            <w:tcW w:type="dxa" w:w="2078"/>
          </w:tcPr>
          <w:p>
            <w:r/>
            <w:r>
              <w:rPr>
                <w:rFonts w:ascii="宋体" w:hAnsi="宋体" w:eastAsia="宋体"/>
                <w:sz w:val="20"/>
              </w:rPr>
              <w:t>VR+AI NPC</w:t>
            </w:r>
          </w:p>
        </w:tc>
        <w:tc>
          <w:tcPr>
            <w:tcW w:type="dxa" w:w="2078"/>
          </w:tcPr>
          <w:p>
            <w:r/>
            <w:r>
              <w:rPr>
                <w:rFonts w:ascii="宋体" w:hAnsi="宋体" w:eastAsia="宋体"/>
                <w:sz w:val="20"/>
              </w:rPr>
              <w:t>深度文化体验、有内容策划</w:t>
            </w:r>
          </w:p>
        </w:tc>
        <w:tc>
          <w:tcPr>
            <w:tcW w:type="dxa" w:w="2078"/>
          </w:tcPr>
          <w:p>
            <w:r/>
            <w:r>
              <w:rPr>
                <w:rFonts w:ascii="宋体" w:hAnsi="宋体" w:eastAsia="宋体"/>
                <w:sz w:val="20"/>
              </w:rPr>
              <w:t>20-50万</w:t>
            </w:r>
          </w:p>
        </w:tc>
      </w:tr>
      <w:tr>
        <w:tc>
          <w:tcPr>
            <w:tcW w:type="dxa" w:w="2078"/>
          </w:tcPr>
          <w:p>
            <w:r/>
            <w:r>
              <w:rPr>
                <w:rFonts w:ascii="宋体" w:hAnsi="宋体" w:eastAsia="宋体"/>
                <w:sz w:val="20"/>
              </w:rPr>
              <w:t>虚拟文创销售</w:t>
            </w:r>
          </w:p>
        </w:tc>
        <w:tc>
          <w:tcPr>
            <w:tcW w:type="dxa" w:w="2078"/>
          </w:tcPr>
          <w:p>
            <w:r/>
            <w:r>
              <w:rPr>
                <w:rFonts w:ascii="宋体" w:hAnsi="宋体" w:eastAsia="宋体"/>
                <w:sz w:val="20"/>
              </w:rPr>
              <w:t>元宇宙平台</w:t>
            </w:r>
          </w:p>
        </w:tc>
        <w:tc>
          <w:tcPr>
            <w:tcW w:type="dxa" w:w="2078"/>
          </w:tcPr>
          <w:p>
            <w:r/>
            <w:r>
              <w:rPr>
                <w:rFonts w:ascii="宋体" w:hAnsi="宋体" w:eastAsia="宋体"/>
                <w:sz w:val="20"/>
              </w:rPr>
              <w:t>年轻用户、有IP资源</w:t>
            </w:r>
          </w:p>
        </w:tc>
        <w:tc>
          <w:tcPr>
            <w:tcW w:type="dxa" w:w="2078"/>
          </w:tcPr>
          <w:p>
            <w:r/>
            <w:r>
              <w:rPr>
                <w:rFonts w:ascii="宋体" w:hAnsi="宋体" w:eastAsia="宋体"/>
                <w:sz w:val="20"/>
              </w:rPr>
              <w:t>30-100万</w:t>
            </w:r>
          </w:p>
        </w:tc>
      </w:tr>
    </w:tbl>
    <w:p/>
    <w:p/>
    <w:p>
      <w:pPr>
        <w:pStyle w:val="Heading3"/>
      </w:pPr>
      <w:r>
        <w:t>7.8.2 实施流程与关键节点</w:t>
      </w:r>
    </w:p>
    <w:p/>
    <w:p>
      <w:pPr>
        <w:ind w:firstLine="482"/>
      </w:pPr>
      <w:r>
        <w:rPr>
          <w:rFonts w:ascii="宋体" w:hAnsi="宋体" w:eastAsia="宋体"/>
          <w:sz w:val="24"/>
        </w:rPr>
        <w:t>文旅沉浸式场景的实施流程包含六个关键阶段[20]：（1）需求调研——与景区管理方、目标用户和文化专家进行深度访谈，明确体验目标、内容范围和技术约束；（2）概念设计——确定体验主题、叙事结构和交互方式，制作概念设计稿和交互原型；（3）内容采集——实地拍摄全景照片/视频、采集 3D 扫描数据、录制音频素材、收集文化资料；（4）技术开发——基于选定技术方案进行开发实现，包括场景搭建、交互逻辑、UI 设计和性能优化；（5）测试迭代——进行功能测试、性能测试、用户体验测试和文化准确性审核，根据反馈迭代优化；（6）部署运营——部署到目标平台，培训运营人员，建立内容更新和技术支持机制。</w:t>
      </w:r>
    </w:p>
    <w:p/>
    <w:p>
      <w:pPr>
        <w:pStyle w:val="Heading3"/>
      </w:pPr>
      <w:r>
        <w:t>7.8.3 效果评估与ROI分析</w:t>
      </w:r>
    </w:p>
    <w:p/>
    <w:p>
      <w:pPr>
        <w:ind w:firstLine="482"/>
      </w:pPr>
      <w:r>
        <w:rPr>
          <w:rFonts w:ascii="宋体" w:hAnsi="宋体" w:eastAsia="宋体"/>
          <w:sz w:val="24"/>
        </w:rPr>
        <w:t>沉浸式文旅项目的效果应从多个维度评估[20]：用户体验维度（满意度评分、停留时长、互动深度）、业务指标维度（游客增长率、二次消费提升、社交媒体曝光量）、文化传播维度（文化知识获取度、文化认同感变化、口碑传播意愿）和技术性能维度（系统稳定性、加载速度、设备兼容性）。ROI 分析应综合考虑直接收益（门票、文创销售）和间接收益（品牌提升、用户数据积累、营销效率提升），通常投资回收期为 2-4 年[20]。</w:t>
      </w:r>
    </w:p>
    <w:p/>
    <w:p/>
    <w:p>
      <w:pPr>
        <w:pStyle w:val="Heading3"/>
      </w:pPr>
      <w:r>
        <w:t>7.8.4 用户体验旅程设计</w:t>
      </w:r>
    </w:p>
    <w:p/>
    <w:p>
      <w:pPr>
        <w:ind w:firstLine="482"/>
      </w:pPr>
      <w:r>
        <w:rPr>
          <w:rFonts w:ascii="宋体" w:hAnsi="宋体" w:eastAsia="宋体"/>
          <w:sz w:val="24"/>
        </w:rPr>
        <w:t>沉浸式文旅的用户体验旅程应从"行前-行中-行后"三个阶段进行全链路设计[20]：</w:t>
      </w:r>
    </w:p>
    <w:p/>
    <w:p>
      <w:pPr>
        <w:ind w:firstLine="482"/>
      </w:pPr>
      <w:r>
        <w:rPr>
          <w:rFonts w:ascii="宋体" w:hAnsi="宋体" w:eastAsia="宋体"/>
          <w:b/>
          <w:sz w:val="24"/>
        </w:rPr>
        <w:t>行前阶段</w:t>
      </w:r>
      <w:r>
        <w:rPr>
          <w:rFonts w:ascii="宋体" w:hAnsi="宋体" w:eastAsia="宋体"/>
          <w:sz w:val="24"/>
        </w:rPr>
        <w:t>：用户通过 VR 全景预览或短视频了解景区，激发出行意愿。此阶段的沉浸式内容应侧重"吸引力"——展示景区最美视角和独特体验，降低用户的决策门槛。推荐在社交媒体（抖音、小红书）部署轻量级 VR 内容，用户无需 VR 设备即可通过手机陀螺仪体验全景预览。</w:t>
      </w:r>
    </w:p>
    <w:p/>
    <w:p>
      <w:pPr>
        <w:ind w:firstLine="482"/>
      </w:pPr>
      <w:r>
        <w:rPr>
          <w:rFonts w:ascii="宋体" w:hAnsi="宋体" w:eastAsia="宋体"/>
          <w:b/>
          <w:sz w:val="24"/>
        </w:rPr>
        <w:t>行中阶段</w:t>
      </w:r>
      <w:r>
        <w:rPr>
          <w:rFonts w:ascii="宋体" w:hAnsi="宋体" w:eastAsia="宋体"/>
          <w:sz w:val="24"/>
        </w:rPr>
        <w:t>：用户到达景区后，通过 AR 导览增强实地游览体验。此阶段的沉浸式内容应侧重"增强"——在真实景观基础上叠加文化解读、历史复原和互动游戏，丰富游览的信息量和趣味性。关键设计原则是"虚实互补"——虚拟内容应补充而非替代真实体验，避免用户过度关注屏幕而忽略身边的真实风景。</w:t>
      </w:r>
    </w:p>
    <w:p/>
    <w:p>
      <w:pPr>
        <w:ind w:firstLine="482"/>
      </w:pPr>
      <w:r>
        <w:rPr>
          <w:rFonts w:ascii="宋体" w:hAnsi="宋体" w:eastAsia="宋体"/>
          <w:b/>
          <w:sz w:val="24"/>
        </w:rPr>
        <w:t>行后阶段</w:t>
      </w:r>
      <w:r>
        <w:rPr>
          <w:rFonts w:ascii="宋体" w:hAnsi="宋体" w:eastAsia="宋体"/>
          <w:sz w:val="24"/>
        </w:rPr>
        <w:t>：用户游览结束后，通过沉浸式内容回忆和分享体验。此阶段的沉浸式内容应侧重"回忆"——用户在 VR 中重温游览路线、查看自己在景区的 AR 合影、分享沉浸式体验片段到社交媒体。行后体验延长了文旅消费的生命周期，将一次性游览转化为持续的文化连接[20]。</w:t>
      </w:r>
    </w:p>
    <w:p/>
    <w:p>
      <w:pPr>
        <w:ind w:firstLine="482"/>
      </w:pPr>
      <w:r>
        <w:rPr>
          <w:rFonts w:ascii="宋体" w:hAnsi="宋体" w:eastAsia="宋体"/>
          <w:sz w:val="24"/>
        </w:rPr>
        <w:t>这种全链路设计体现了 I.M.M.E.R.S.E. 框架的系统思维——沉浸式文旅不是孤立的技术应用，而是贯穿用户旅程全程的体验设计体系。</w:t>
      </w:r>
    </w:p>
    <w:p/>
    <w:p>
      <w:pPr>
        <w:ind w:firstLine="482"/>
      </w:pPr>
      <w:r>
        <w:rPr>
          <w:rFonts w:ascii="宋体" w:hAnsi="宋体" w:eastAsia="宋体"/>
          <w:sz w:val="24"/>
        </w:rPr>
        <w:t>综上所述，文旅沉浸式场景的设计与实施是一个系统工程，需要技术、内容、运营和评估的协同配合。I.M.M.E.R.S.E. 框架为此提供了系统化的方法论指导，帮助设计者在追求技术创新的同时不忽视文化价值和用户体验的平衡。随着技术的不断发展和文旅消费的持续升级，沉浸式文旅将迎来更广阔的发展空间，成为数字文旅产业的核心驱动力之一。</w:t>
      </w:r>
    </w:p>
    <w:p>
      <w:pPr>
        <w:pStyle w:val="Heading2"/>
      </w:pPr>
      <w:r>
        <w:t>本章小结</w:t>
      </w:r>
    </w:p>
    <w:p/>
    <w:p>
      <w:pPr>
        <w:ind w:firstLine="482"/>
      </w:pPr>
      <w:r>
        <w:rPr>
          <w:rFonts w:ascii="宋体" w:hAnsi="宋体" w:eastAsia="宋体"/>
          <w:sz w:val="24"/>
        </w:rPr>
        <w:t>本章系统讲解了 VR/AR 沉浸式文旅场景设计的方法论。在理论层面，梳理了沉浸式文旅的概念演进，引入了 Bec 等人的四阶段管理模型和体验经济理论作为设计框架。在 VR 全景文旅方面，讲解了 360° 全景采集流程、VR 虚拟导览设计要素（路线规划、热点交互、信息层级、空间音频）和 VR 全景直播方案。在 AR 增强文旅方面，提出了场景适配、非侵入性和离线可用三大设计原则，介绍了 AR 导览信息叠加、互动叙事和游戏化体验的设计模式。在 MR 混合现实文旅方面，阐述了虚实遮挡、虚实碰撞和空间锚定的技术原理，探讨了多人协同 MR 文旅体验的设计方向。</w:t>
      </w:r>
    </w:p>
    <w:p/>
    <w:p>
      <w:pPr>
        <w:ind w:firstLine="482"/>
      </w:pPr>
      <w:r>
        <w:rPr>
          <w:rFonts w:ascii="宋体" w:hAnsi="宋体" w:eastAsia="宋体"/>
          <w:sz w:val="24"/>
        </w:rPr>
        <w:t xml:space="preserve">本章内容对应 I.M.M.E.R.S.E. 框架的 </w:t>
      </w:r>
      <w:r>
        <w:rPr>
          <w:rFonts w:ascii="宋体" w:hAnsi="宋体" w:eastAsia="宋体"/>
          <w:b/>
          <w:sz w:val="24"/>
        </w:rPr>
        <w:t>R（Real-world Integration，虚实融合）</w:t>
      </w:r>
      <w:r>
        <w:rPr>
          <w:rFonts w:ascii="宋体" w:hAnsi="宋体" w:eastAsia="宋体"/>
          <w:sz w:val="24"/>
        </w:rPr>
        <w:t xml:space="preserve"> 维度。第8章将聚焦文化遗产数字化这一特定垂直领域，深入探讨 VR/AR 在物质遗产、非物质遗产和红色文化保护与展示中的应用。</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Bec 等人的四阶段管理模型包含哪四个阶段？每个阶段的核心任务是什么？</w:t>
      </w:r>
    </w:p>
    <w:p>
      <w:pPr>
        <w:pStyle w:val="ListNumber"/>
      </w:pPr>
      <w:r>
        <w:rPr>
          <w:rFonts w:ascii="宋体" w:hAnsi="宋体" w:eastAsia="宋体"/>
          <w:b/>
          <w:sz w:val="24"/>
        </w:rPr>
        <w:t>（理解）</w:t>
      </w:r>
      <w:r>
        <w:rPr>
          <w:rFonts w:ascii="宋体" w:hAnsi="宋体" w:eastAsia="宋体"/>
          <w:sz w:val="24"/>
        </w:rPr>
        <w:t xml:space="preserve"> 解释体验经济理论的四个维度如何在 VR/AR 文旅体验中体现，举例说明。</w:t>
      </w:r>
    </w:p>
    <w:p>
      <w:pPr>
        <w:pStyle w:val="ListNumber"/>
      </w:pPr>
      <w:r>
        <w:rPr>
          <w:rFonts w:ascii="宋体" w:hAnsi="宋体" w:eastAsia="宋体"/>
          <w:b/>
          <w:sz w:val="24"/>
        </w:rPr>
        <w:t>（应用）</w:t>
      </w:r>
      <w:r>
        <w:rPr>
          <w:rFonts w:ascii="宋体" w:hAnsi="宋体" w:eastAsia="宋体"/>
          <w:sz w:val="24"/>
        </w:rPr>
        <w:t xml:space="preserve"> 运用四阶段管理模型，为一个贵州西江千户苗寨的 VR 体验项目设计完整方案。</w:t>
      </w:r>
    </w:p>
    <w:p>
      <w:pPr>
        <w:pStyle w:val="ListNumber"/>
      </w:pPr>
      <w:r>
        <w:rPr>
          <w:rFonts w:ascii="宋体" w:hAnsi="宋体" w:eastAsia="宋体"/>
          <w:b/>
          <w:sz w:val="24"/>
        </w:rPr>
        <w:t>（分析）</w:t>
      </w:r>
      <w:r>
        <w:rPr>
          <w:rFonts w:ascii="宋体" w:hAnsi="宋体" w:eastAsia="宋体"/>
          <w:sz w:val="24"/>
        </w:rPr>
        <w:t xml:space="preserve"> 比较 VR 全景、AR 导览和 MR 混合现实三种技术方案在文旅场景中的优势和局限，分析各自最适合的应用场景。</w:t>
      </w:r>
    </w:p>
    <w:p>
      <w:pPr>
        <w:pStyle w:val="ListNumber"/>
      </w:pPr>
      <w:r>
        <w:rPr>
          <w:rFonts w:ascii="宋体" w:hAnsi="宋体" w:eastAsia="宋体"/>
          <w:b/>
          <w:sz w:val="24"/>
        </w:rPr>
        <w:t>（评价）</w:t>
      </w:r>
      <w:r>
        <w:rPr>
          <w:rFonts w:ascii="宋体" w:hAnsi="宋体" w:eastAsia="宋体"/>
          <w:sz w:val="24"/>
        </w:rPr>
        <w:t xml:space="preserve"> 评估景德镇瑶里古镇 AR 体验方案的分层信息架构设计，提出改进建议。</w:t>
      </w:r>
    </w:p>
    <w:p>
      <w:pPr>
        <w:pStyle w:val="ListNumber"/>
      </w:pPr>
      <w:r>
        <w:rPr>
          <w:rFonts w:ascii="宋体" w:hAnsi="宋体" w:eastAsia="宋体"/>
          <w:b/>
          <w:sz w:val="24"/>
        </w:rPr>
        <w:t>（创造）</w:t>
      </w:r>
      <w:r>
        <w:rPr>
          <w:rFonts w:ascii="宋体" w:hAnsi="宋体" w:eastAsia="宋体"/>
          <w:sz w:val="24"/>
        </w:rPr>
        <w:t xml:space="preserve"> 设计一个面向贵州黄果树瀑布景区的多模态沉浸式文旅方案，整合 VR 全景观瀑、AR 地质科普和 MR 多人协同探险。</w:t>
      </w:r>
    </w:p>
    <w:p/>
    <w:p>
      <w:pPr>
        <w:pStyle w:val="Heading2"/>
      </w:pPr>
      <w:r>
        <w:t>参考文献</w:t>
      </w:r>
    </w:p>
    <w:p/>
    <w:p>
      <w:pPr>
        <w:ind w:firstLine="482"/>
      </w:pPr>
      <w:r>
        <w:rPr>
          <w:rFonts w:ascii="宋体" w:hAnsi="宋体" w:eastAsia="宋体"/>
          <w:sz w:val="24"/>
        </w:rPr>
        <w:t>[1] 佚名. (2025). 基于AR技术的历史文化古镇沉浸式文旅体验设计策略研究——以景德镇瑶里古镇为例. 万方数据.</w:t>
      </w:r>
    </w:p>
    <w:p/>
    <w:p>
      <w:pPr>
        <w:ind w:firstLine="482"/>
      </w:pPr>
      <w:r>
        <w:rPr>
          <w:rFonts w:ascii="宋体" w:hAnsi="宋体" w:eastAsia="宋体"/>
          <w:sz w:val="24"/>
        </w:rPr>
        <w:t>[2] 佚名. (2025). 基于AR/VR技术的冀中南商文化图腾沉浸式体验设计. 维普.</w:t>
      </w:r>
    </w:p>
    <w:p/>
    <w:p>
      <w:pPr>
        <w:ind w:firstLine="482"/>
      </w:pPr>
      <w:r>
        <w:rPr>
          <w:rFonts w:ascii="宋体" w:hAnsi="宋体" w:eastAsia="宋体"/>
          <w:sz w:val="24"/>
        </w:rPr>
        <w:t>[3] Lin, H., Gan, Z., Gan, W., et al. (2023). Interaction in Metaverse: A Survey. arXiv:2310.13699. https://arxiv.org/abs/2310.13699</w:t>
      </w:r>
    </w:p>
    <w:p/>
    <w:p>
      <w:pPr>
        <w:ind w:firstLine="482"/>
      </w:pPr>
      <w:r>
        <w:rPr>
          <w:rFonts w:ascii="宋体" w:hAnsi="宋体" w:eastAsia="宋体"/>
          <w:sz w:val="24"/>
        </w:rPr>
        <w:t>[4] Bec, A., Moyle, B., Timms, K., Schaffer, V., Skavronskaia, L., &amp; Little, C. (2019). Management of immersive heritage tourism experiences: A conceptual model. Tourism Management, 71, 72-85. https://doi.org/10.1016/J.TOURMAN.2018.10.033</w:t>
      </w:r>
    </w:p>
    <w:p/>
    <w:p>
      <w:pPr>
        <w:ind w:firstLine="482"/>
      </w:pPr>
      <w:r>
        <w:rPr>
          <w:rFonts w:ascii="宋体" w:hAnsi="宋体" w:eastAsia="宋体"/>
          <w:sz w:val="24"/>
        </w:rPr>
        <w:t>[5] Okada, Y., Shi, W., &amp; Kaneko, K. (2024). OpenVSLAM-Based Development Framework for Web-Based VR Tours Using 360VR Videos. Springer. https://doi.org/10.1007/978-3-031-53555-0_4</w:t>
      </w:r>
    </w:p>
    <w:p/>
    <w:p>
      <w:pPr>
        <w:ind w:firstLine="482"/>
      </w:pPr>
      <w:r>
        <w:rPr>
          <w:rFonts w:ascii="宋体" w:hAnsi="宋体" w:eastAsia="宋体"/>
          <w:sz w:val="24"/>
        </w:rPr>
        <w:t>[6] Prins, M., Gunkel, S., &amp; Niamut, O. A. (2018). TogetherVR: A Framework for Photorealistic Shared Media Experiences in 360-Degree VR. SMPTE Motion Imaging Journal. https://doi.org/10.5594/JMI.2018.2840618</w:t>
      </w:r>
    </w:p>
    <w:p/>
    <w:p>
      <w:pPr>
        <w:ind w:firstLine="482"/>
      </w:pPr>
      <w:r>
        <w:rPr>
          <w:rFonts w:ascii="宋体" w:hAnsi="宋体" w:eastAsia="宋体"/>
          <w:sz w:val="24"/>
        </w:rPr>
        <w:t>[7] Li, J., Xia, X., &amp; Chen, Y. (2023). Development of Tourism Management Imitation Real Training System Based on Virtual Reality Technology. EAI. https://doi.org/10.4108/eai.1-9-2023.2338807</w:t>
      </w:r>
    </w:p>
    <w:p/>
    <w:p>
      <w:pPr>
        <w:ind w:firstLine="482"/>
      </w:pPr>
      <w:r>
        <w:rPr>
          <w:rFonts w:ascii="宋体" w:hAnsi="宋体" w:eastAsia="宋体"/>
          <w:sz w:val="24"/>
        </w:rPr>
        <w:t>[8] 佚名. (2025). 数字媒体交互设计赋能乡土建筑非遗展示与体验. 维普.</w:t>
      </w:r>
    </w:p>
    <w:p/>
    <w:p>
      <w:pPr>
        <w:ind w:firstLine="482"/>
      </w:pPr>
      <w:r>
        <w:rPr>
          <w:rFonts w:ascii="宋体" w:hAnsi="宋体" w:eastAsia="宋体"/>
          <w:sz w:val="24"/>
        </w:rPr>
        <w:t>[9] 黄佳, 廖健, 贺溪, 等. (2021). 基于VR虚拟现实技术的湖湘红色文化遗产保护与活化研究. 维普.</w:t>
      </w:r>
    </w:p>
    <w:p/>
    <w:p>
      <w:pPr>
        <w:ind w:firstLine="482"/>
      </w:pPr>
      <w:r>
        <w:rPr>
          <w:rFonts w:ascii="宋体" w:hAnsi="宋体" w:eastAsia="宋体"/>
          <w:sz w:val="24"/>
        </w:rPr>
        <w:t>[10] Sermet, Y., &amp; Demir, I. (2020). GeospatialVR: A web-based virtual reality framework for collaborative environmental simulations. OSF. https://doi.org/10.31223/osf.io/ks2yz</w:t>
      </w:r>
    </w:p>
    <w:p/>
    <w:p>
      <w:pPr>
        <w:ind w:firstLine="482"/>
      </w:pPr>
      <w:r>
        <w:rPr>
          <w:rFonts w:ascii="宋体" w:hAnsi="宋体" w:eastAsia="宋体"/>
          <w:sz w:val="24"/>
        </w:rPr>
        <w:t>[11] Jung, K., Nguyen, V. T., Piscarac, D., &amp; Yoo, S.-C. (2020). Meet the Virtual Jeju Dol Harubang - The Mixed VR/AR Application for Cultural Immersion in Korea's Main Heritage. ISPRS Int. J. Geo-Inf., 9(6), 367. https://doi.org/10.3390/ijgi9060367</w:t>
      </w:r>
    </w:p>
    <w:p/>
    <w:p>
      <w:pPr>
        <w:ind w:firstLine="482"/>
      </w:pPr>
      <w:r>
        <w:rPr>
          <w:rFonts w:ascii="宋体" w:hAnsi="宋体" w:eastAsia="宋体"/>
          <w:sz w:val="24"/>
        </w:rPr>
        <w:t>[12] Barrado-Timón, D. A., &amp; Hidalgo-Giralt, C. (2019). The Historic City, Its Transmission and Perception via Augmented Reality and Virtual Reality. Sustainability, 11(10), 2835. https://doi.org/10.3390/SU11102835</w:t>
      </w:r>
    </w:p>
    <w:p/>
    <w:p>
      <w:pPr>
        <w:ind w:firstLine="482"/>
      </w:pPr>
      <w:r>
        <w:rPr>
          <w:rFonts w:ascii="宋体" w:hAnsi="宋体" w:eastAsia="宋体"/>
          <w:sz w:val="24"/>
        </w:rPr>
        <w:t>[13] Baviera López, E., Llopis Verdú, J., Martínez Piqueras, J., &amp; Denia Ríos, J. L. (2018). Heritage Dissemination Through the Virtual and Augmented Realities. Springer. https://doi.org/10.1007/978-3-319-93749-6_50</w:t>
      </w:r>
    </w:p>
    <w:p/>
    <w:p>
      <w:pPr>
        <w:ind w:firstLine="482"/>
      </w:pPr>
      <w:r>
        <w:rPr>
          <w:rFonts w:ascii="宋体" w:hAnsi="宋体" w:eastAsia="宋体"/>
          <w:sz w:val="24"/>
        </w:rPr>
        <w:t>[14] Siddiqui, M. S., Syed, T. A., Nadeem, A., Nawaz, W., &amp; Alkhodre, A. (2022). Virtual Tourism and Digital Heritage: An Analysis of VR/AR Technologies and Applications. IJACSA, 13(7). https://doi.org/10.14569/ijacsa.2022.0130739</w:t>
      </w:r>
    </w:p>
    <w:p/>
    <w:p>
      <w:pPr>
        <w:ind w:firstLine="482"/>
      </w:pPr>
      <w:r>
        <w:rPr>
          <w:rFonts w:ascii="宋体" w:hAnsi="宋体" w:eastAsia="宋体"/>
          <w:sz w:val="24"/>
        </w:rPr>
        <w:t>[15] Selmanović, E., Rizvic, S., Harvey, C., et al. (2020). Improving Accessibility to Intangible Cultural Heritage Preservation Using Virtual Reality. ACM. https://doi.org/10.1145/3377143</w:t>
      </w:r>
    </w:p>
    <w:p/>
    <w:p>
      <w:pPr>
        <w:ind w:firstLine="482"/>
      </w:pPr>
      <w:r>
        <w:rPr>
          <w:rFonts w:ascii="宋体" w:hAnsi="宋体" w:eastAsia="宋体"/>
          <w:sz w:val="24"/>
        </w:rPr>
        <w:t>[16] Slater, M., &amp; Sanchez-Vives, M. V. (2016). Enhancing Our Lives with Immersive Virtual Reality. Frontiers in Robotics and AI, 3, 74. https://doi.org/10.3389/frobt.2016.00074</w:t>
      </w:r>
    </w:p>
    <w:p/>
    <w:p>
      <w:pPr>
        <w:ind w:firstLine="482"/>
      </w:pPr>
      <w:r>
        <w:rPr>
          <w:rFonts w:ascii="宋体" w:hAnsi="宋体" w:eastAsia="宋体"/>
          <w:sz w:val="24"/>
        </w:rPr>
        <w:t>[17] Yang, R., Li, Y., Wang, Y., et al. (2024). Enhancing the Sustainability of Intangible Cultural Heritage Projects through Binocular Half Panoramic VR Maps. Sustainability, 16(13), 5281. https://doi.org/10.3390/su16135281</w:t>
      </w:r>
    </w:p>
    <w:p/>
    <w:p>
      <w:pPr>
        <w:ind w:firstLine="482"/>
      </w:pPr>
      <w:r>
        <w:rPr>
          <w:rFonts w:ascii="宋体" w:hAnsi="宋体" w:eastAsia="宋体"/>
          <w:sz w:val="24"/>
        </w:rPr>
        <w:t>[18] 卢文杰, 曹学海. (2020). VR技术在红色文化遗址数字展示中的运用及受众体验初探. 万方数据.</w:t>
      </w:r>
    </w:p>
    <w:p/>
    <w:p>
      <w:pPr>
        <w:ind w:firstLine="482"/>
      </w:pPr>
      <w:r>
        <w:rPr>
          <w:rFonts w:ascii="宋体" w:hAnsi="宋体" w:eastAsia="宋体"/>
          <w:sz w:val="24"/>
        </w:rPr>
        <w:t>[19] 孔莉莉. (2018). 数字化艺术文化遗产保护教学实践与研究——以全景VR视频技术为例. 万方数据.</w:t>
      </w:r>
    </w:p>
    <w:p/>
    <w:p>
      <w:pPr>
        <w:ind w:firstLine="482"/>
      </w:pPr>
      <w:r>
        <w:rPr>
          <w:rFonts w:ascii="宋体" w:hAnsi="宋体" w:eastAsia="宋体"/>
          <w:sz w:val="24"/>
        </w:rPr>
        <w:t>文旅沉浸式场景的发展需要技术、内容、运营和政策的协同推进，才能实现可持续的产业发展模式。</w:t>
      </w:r>
    </w:p>
    <w:p>
      <w:pPr>
        <w:ind w:firstLine="482"/>
      </w:pPr>
      <w:r>
        <w:rPr>
          <w:rFonts w:ascii="宋体" w:hAnsi="宋体" w:eastAsia="宋体"/>
          <w:sz w:val="24"/>
        </w:rPr>
        <w:t>沉浸式文旅场景的未来充满无限可能，期待更多创新实践涌现。这一领域的发展需要产学研各方的持续努力和深度协作。期待创新涌现。。</w:t>
      </w:r>
    </w:p>
    <w:p>
      <w:r>
        <w:br w:type="page"/>
      </w:r>
    </w:p>
    <w:p>
      <w:pPr>
        <w:pStyle w:val="Heading1"/>
      </w:pPr>
      <w:r>
        <w:t>第8章 文化遗产数字化与沉浸式展示</w:t>
      </w:r>
    </w:p>
    <w:p/>
    <w:p>
      <w:pPr>
        <w:pStyle w:val="Heading2"/>
      </w:pPr>
      <w:r>
        <w:t>学习目标</w:t>
      </w:r>
    </w:p>
    <w:p/>
    <w:p>
      <w:pPr>
        <w:pStyle w:val="ListNumber"/>
      </w:pPr>
      <w:r>
        <w:rPr>
          <w:rFonts w:ascii="宋体" w:hAnsi="宋体" w:eastAsia="宋体"/>
          <w:b/>
          <w:sz w:val="24"/>
        </w:rPr>
        <w:t>识记</w:t>
      </w:r>
      <w:r>
        <w:rPr>
          <w:rFonts w:ascii="宋体" w:hAnsi="宋体" w:eastAsia="宋体"/>
          <w:sz w:val="24"/>
        </w:rPr>
        <w:t>：文化遗产数字化的国际准则，物质遗产与非物质遗产数字化技术路径的分类。</w:t>
      </w:r>
    </w:p>
    <w:p>
      <w:pPr>
        <w:pStyle w:val="ListNumber"/>
      </w:pPr>
      <w:r>
        <w:rPr>
          <w:rFonts w:ascii="宋体" w:hAnsi="宋体" w:eastAsia="宋体"/>
          <w:b/>
          <w:sz w:val="24"/>
        </w:rPr>
        <w:t>理解</w:t>
      </w:r>
      <w:r>
        <w:rPr>
          <w:rFonts w:ascii="宋体" w:hAnsi="宋体" w:eastAsia="宋体"/>
          <w:sz w:val="24"/>
        </w:rPr>
        <w:t>：VR/AR 在遗产保护中的价值定位，非遗数字化的特殊挑战与方法论。</w:t>
      </w:r>
    </w:p>
    <w:p>
      <w:pPr>
        <w:pStyle w:val="ListNumber"/>
      </w:pPr>
      <w:r>
        <w:rPr>
          <w:rFonts w:ascii="宋体" w:hAnsi="宋体" w:eastAsia="宋体"/>
          <w:b/>
          <w:sz w:val="24"/>
        </w:rPr>
        <w:t>应用</w:t>
      </w:r>
      <w:r>
        <w:rPr>
          <w:rFonts w:ascii="宋体" w:hAnsi="宋体" w:eastAsia="宋体"/>
          <w:sz w:val="24"/>
        </w:rPr>
        <w:t>：能够设计文化遗产沉浸式展示方案，选择合适的数字化技术路径。</w:t>
      </w:r>
    </w:p>
    <w:p>
      <w:pPr>
        <w:pStyle w:val="ListNumber"/>
      </w:pPr>
      <w:r>
        <w:rPr>
          <w:rFonts w:ascii="宋体" w:hAnsi="宋体" w:eastAsia="宋体"/>
          <w:b/>
          <w:sz w:val="24"/>
        </w:rPr>
        <w:t>分析</w:t>
      </w:r>
      <w:r>
        <w:rPr>
          <w:rFonts w:ascii="宋体" w:hAnsi="宋体" w:eastAsia="宋体"/>
          <w:sz w:val="24"/>
        </w:rPr>
        <w:t>：分析物质遗产、非物质遗产和红色文化在数字化策略上的差异。</w:t>
      </w:r>
    </w:p>
    <w:p>
      <w:pPr>
        <w:pStyle w:val="ListNumber"/>
      </w:pPr>
      <w:r>
        <w:rPr>
          <w:rFonts w:ascii="宋体" w:hAnsi="宋体" w:eastAsia="宋体"/>
          <w:b/>
          <w:sz w:val="24"/>
        </w:rPr>
        <w:t>评价</w:t>
      </w:r>
      <w:r>
        <w:rPr>
          <w:rFonts w:ascii="宋体" w:hAnsi="宋体" w:eastAsia="宋体"/>
          <w:sz w:val="24"/>
        </w:rPr>
        <w:t>：评估数字化遗产展示的文化传播效果和伦理合规性。</w:t>
      </w:r>
    </w:p>
    <w:p>
      <w:pPr>
        <w:pStyle w:val="ListNumber"/>
      </w:pPr>
      <w:r>
        <w:rPr>
          <w:rFonts w:ascii="宋体" w:hAnsi="宋体" w:eastAsia="宋体"/>
          <w:b/>
          <w:sz w:val="24"/>
        </w:rPr>
        <w:t>创造</w:t>
      </w:r>
      <w:r>
        <w:rPr>
          <w:rFonts w:ascii="宋体" w:hAnsi="宋体" w:eastAsia="宋体"/>
          <w:sz w:val="24"/>
        </w:rPr>
        <w:t>：设计一个贵州特色文化遗产的 VR/AR 数字化与沉浸式展示方案。</w:t>
      </w:r>
    </w:p>
    <w:p/>
    <w:p>
      <w:pPr>
        <w:pStyle w:val="Heading2"/>
      </w:pPr>
      <w:r>
        <w:t>导入案例：故宫博物院 VR/AR 文化遗产保护实践</w:t>
      </w:r>
    </w:p>
    <w:p/>
    <w:p>
      <w:pPr>
        <w:ind w:firstLine="482"/>
      </w:pPr>
      <w:r>
        <w:rPr>
          <w:rFonts w:ascii="宋体" w:hAnsi="宋体" w:eastAsia="宋体"/>
          <w:sz w:val="24"/>
        </w:rPr>
        <w:t>故宫博物院作为中国文化遗产数字化的标杆机构，系统性地将 VR/AR 技术应用于文化遗产保护与展示[1]。在数字化采集方面，故宫对重要建筑和文物进行毫米级精度的 3D 扫描，建立了数字故宫资产库。在沉浸式展示方面，故宫推出了"VR 故宫"线上平台，用户可以通过 VR 头显虚拟游览太和殿、养心殿等重要宫殿内部——这些空间在现实中因保护需要限制游客进入或仅能远观，VR 技术使游客能够"走进"这些禁地近距离欣赏。在 AR 应用方面，故宫开发了"故宫 AR 导览"应用，游客在实地参观时通过手机扫描文物即可看到 3D 复原效果和多媒体讲解。这一案例展示了 VR/AR 技术如何突破物理空间和保护需求的限制，在文化遗产的"保护"与"利用"之间找到新的平衡。</w:t>
      </w:r>
    </w:p>
    <w:p/>
    <w:p>
      <w:pPr>
        <w:ind w:firstLine="482"/>
      </w:pPr>
      <w:r>
        <w:rPr>
          <w:rFonts w:ascii="宋体" w:hAnsi="宋体" w:eastAsia="宋体"/>
          <w:sz w:val="24"/>
        </w:rPr>
        <w:t>---</w:t>
      </w:r>
    </w:p>
    <w:p/>
    <w:p>
      <w:pPr>
        <w:pStyle w:val="Heading2"/>
      </w:pPr>
      <w:r>
        <w:t>8.1 文化遗产数字化保护理论</w:t>
      </w:r>
    </w:p>
    <w:p/>
    <w:p>
      <w:pPr>
        <w:pStyle w:val="Heading3"/>
      </w:pPr>
      <w:r>
        <w:t>8.1.1 文化遗产数字化的国际准则</w:t>
      </w:r>
    </w:p>
    <w:p/>
    <w:p>
      <w:pPr>
        <w:ind w:firstLine="482"/>
      </w:pPr>
      <w:r>
        <w:rPr>
          <w:rFonts w:ascii="宋体" w:hAnsi="宋体" w:eastAsia="宋体"/>
          <w:sz w:val="24"/>
        </w:rPr>
        <w:t>文化遗产数字化的国际准则源于联合国教科文组织（UNESCO）和国际古迹遗址理事会（ICOMOS）的一系列公约和建议。1964 年的《威尼斯宪章》确立了文化遗产保护的基本原则——保护文物的真实性和完整性，任何修复措施都应可识别且可逆。这一原则延伸到数字领域意味着：数字化记录应忠实反映文物的真实状态，不得进行未经标示的数字修改；数字化措施不应对文物本体造成损害（如非接触式扫描优先于接触式扫描）；数字化数据应可追溯和可验证[2]。</w:t>
      </w:r>
    </w:p>
    <w:p/>
    <w:p>
      <w:pPr>
        <w:ind w:firstLine="482"/>
      </w:pPr>
      <w:r>
        <w:rPr>
          <w:rFonts w:ascii="宋体" w:hAnsi="宋体" w:eastAsia="宋体"/>
          <w:sz w:val="24"/>
        </w:rPr>
        <w:t>2017 年，UNESCO 发布了《数字化遗产保护准则》，明确提出"数字化遗产"（Digital Heritage）的概念——具有文化、历史、科学价值的数字资源本身也应被视为遗产加以保护。这一定义使 VR/AR 技术从"辅助工具"上升为"遗产载体"——通过 VR/AR 创建的数字文化遗产本身也具有遗产价值，需要系统性的保存和管理[2]。</w:t>
      </w:r>
    </w:p>
    <w:p/>
    <w:p>
      <w:pPr>
        <w:pStyle w:val="Heading3"/>
      </w:pPr>
      <w:r>
        <w:t>8.1.2 VR/AR 在遗产保护中的价值定位</w:t>
      </w:r>
    </w:p>
    <w:p/>
    <w:p>
      <w:pPr>
        <w:ind w:firstLine="482"/>
      </w:pPr>
      <w:r>
        <w:rPr>
          <w:rFonts w:ascii="宋体" w:hAnsi="宋体" w:eastAsia="宋体"/>
          <w:sz w:val="24"/>
        </w:rPr>
        <w:t>Bekele 等人在 ACM Journal on Computing and Cultural Heritage 上发表的系统综述梳理了 AR、VR 和 MR 在文化遗产领域的应用全景[3]。该综述将 VR/AR 在遗产保护中的价值定位为四个层面：</w:t>
      </w:r>
    </w:p>
    <w:p/>
    <w:p>
      <w:pPr>
        <w:ind w:firstLine="482"/>
      </w:pPr>
      <w:r>
        <w:rPr>
          <w:rFonts w:ascii="宋体" w:hAnsi="宋体" w:eastAsia="宋体"/>
          <w:b/>
          <w:sz w:val="24"/>
        </w:rPr>
        <w:t>记录与保存</w:t>
      </w:r>
      <w:r>
        <w:rPr>
          <w:rFonts w:ascii="宋体" w:hAnsi="宋体" w:eastAsia="宋体"/>
          <w:sz w:val="24"/>
        </w:rPr>
        <w:t>：VR/AR 的上游技术（3D 扫描、摄影测量）为文化遗产创建了高精度的数字档案。这些数字档案在文物遭受自然灾害、战争破坏或自然老化时提供了"数字备份"，使文物得以在虚拟世界中永久保存。巴米扬大佛的数字重建和巴黎圣母院火灾后的数字修复是这一价值定位的典型例证[3]。</w:t>
      </w:r>
    </w:p>
    <w:p/>
    <w:p>
      <w:pPr>
        <w:ind w:firstLine="482"/>
      </w:pPr>
      <w:r>
        <w:rPr>
          <w:rFonts w:ascii="宋体" w:hAnsi="宋体" w:eastAsia="宋体"/>
          <w:b/>
          <w:sz w:val="24"/>
        </w:rPr>
        <w:t>研究与解释</w:t>
      </w:r>
      <w:r>
        <w:rPr>
          <w:rFonts w:ascii="宋体" w:hAnsi="宋体" w:eastAsia="宋体"/>
          <w:sz w:val="24"/>
        </w:rPr>
        <w:t>：数字化的遗产模型使研究者能够在虚拟环境中进行测量、分析和模拟实验——如通过 VR 模拟不同光照条件下古壁画的可视效果，或通过 3D 模型分析古建筑的结构受力。VR/AR 还使研究者能够"复原"已损毁的文物——将碎片数字拼合、将褪色数字还原，为学术研究提供新的工具[3]。</w:t>
      </w:r>
    </w:p>
    <w:p/>
    <w:p>
      <w:pPr>
        <w:ind w:firstLine="482"/>
      </w:pPr>
      <w:r>
        <w:rPr>
          <w:rFonts w:ascii="宋体" w:hAnsi="宋体" w:eastAsia="宋体"/>
          <w:b/>
          <w:sz w:val="24"/>
        </w:rPr>
        <w:t>展示与传播</w:t>
      </w:r>
      <w:r>
        <w:rPr>
          <w:rFonts w:ascii="宋体" w:hAnsi="宋体" w:eastAsia="宋体"/>
          <w:sz w:val="24"/>
        </w:rPr>
        <w:t>：VR/AR 使文化遗产突破物理空间的限制，向全球观众开放。博物馆的 VR 展览使远程观众能够"走进"展厅参观；AR 应用使实地游客获得更丰富的信息层；社交媒体上的 360° 全景内容使文化遗产触达数亿用户。这一传播维度是 VR/AR 在遗产领域最具社会影响力的价值[3]。</w:t>
      </w:r>
    </w:p>
    <w:p/>
    <w:p>
      <w:pPr>
        <w:ind w:firstLine="482"/>
      </w:pPr>
      <w:r>
        <w:rPr>
          <w:rFonts w:ascii="宋体" w:hAnsi="宋体" w:eastAsia="宋体"/>
          <w:b/>
          <w:sz w:val="24"/>
        </w:rPr>
        <w:t>教育体验</w:t>
      </w:r>
      <w:r>
        <w:rPr>
          <w:rFonts w:ascii="宋体" w:hAnsi="宋体" w:eastAsia="宋体"/>
          <w:sz w:val="24"/>
        </w:rPr>
        <w:t>：VR/AR 将文化遗产从"观看对象"转变为"体验对象"——学生可以在 VR 中"走进"古代建筑、"参与"历史事件、"操作"传统工具。这种体验式学习比传统的图文教学更能激发学生的文化兴趣和历史理解。</w:t>
      </w:r>
    </w:p>
    <w:p/>
    <w:p>
      <w:pPr>
        <w:pStyle w:val="Heading3"/>
      </w:pPr>
      <w:r>
        <w:t>8.1.3 数字化保护的技术路径分类</w:t>
      </w:r>
    </w:p>
    <w:p/>
    <w:p>
      <w:pPr>
        <w:ind w:firstLine="482"/>
      </w:pPr>
      <w:r>
        <w:rPr>
          <w:rFonts w:ascii="宋体" w:hAnsi="宋体" w:eastAsia="宋体"/>
          <w:sz w:val="24"/>
        </w:rPr>
        <w:t>Ababneh 在研究中将文化遗产数字化技术路径分为三类[4]：</w:t>
      </w:r>
    </w:p>
    <w:p/>
    <w:p>
      <w:pPr>
        <w:ind w:firstLine="482"/>
      </w:pPr>
      <w:r>
        <w:rPr>
          <w:rFonts w:ascii="宋体" w:hAnsi="宋体" w:eastAsia="宋体"/>
          <w:b/>
          <w:sz w:val="24"/>
        </w:rPr>
        <w:t>几何数字化</w:t>
      </w:r>
      <w:r>
        <w:rPr>
          <w:rFonts w:ascii="宋体" w:hAnsi="宋体" w:eastAsia="宋体"/>
          <w:sz w:val="24"/>
        </w:rPr>
        <w:t>：通过 3D 扫描（激光扫描、结构光扫描）或摄影测量获取文物的精确三维几何数据。适用于建筑、雕塑、器物等有明确物理形态的物质遗产。精度可达亚毫米级，但数据量大、处理复杂。</w:t>
      </w:r>
    </w:p>
    <w:p/>
    <w:p>
      <w:pPr>
        <w:ind w:firstLine="482"/>
      </w:pPr>
      <w:r>
        <w:rPr>
          <w:rFonts w:ascii="宋体" w:hAnsi="宋体" w:eastAsia="宋体"/>
          <w:b/>
          <w:sz w:val="24"/>
        </w:rPr>
        <w:t>影像数字化</w:t>
      </w:r>
      <w:r>
        <w:rPr>
          <w:rFonts w:ascii="宋体" w:hAnsi="宋体" w:eastAsia="宋体"/>
          <w:sz w:val="24"/>
        </w:rPr>
        <w:t>：通过高分辨率摄影、多光谱成像、红外成像等技术获取文物的表面纹理和色彩信息。适用于壁画、书画、织物等以视觉信息为主的遗产。多光谱成像还能揭示肉眼不可见的信息层（如底层素描、颜料成分）。</w:t>
      </w:r>
    </w:p>
    <w:p/>
    <w:p>
      <w:pPr>
        <w:ind w:firstLine="482"/>
      </w:pPr>
      <w:r>
        <w:rPr>
          <w:rFonts w:ascii="宋体" w:hAnsi="宋体" w:eastAsia="宋体"/>
          <w:b/>
          <w:sz w:val="24"/>
        </w:rPr>
        <w:t>行为数字化</w:t>
      </w:r>
      <w:r>
        <w:rPr>
          <w:rFonts w:ascii="宋体" w:hAnsi="宋体" w:eastAsia="宋体"/>
          <w:sz w:val="24"/>
        </w:rPr>
        <w:t>：通过动作捕捉、视频记录、传感器采集等技术记录非遗传承人的技艺动作和表演过程。适用于传统工艺、舞蹈、戏曲、仪式等非物质遗产。这一路径不仅记录"结果"（最终作品），更记录"过程"（制作手法和技艺诀窍）。</w:t>
      </w:r>
    </w:p>
    <w:p/>
    <w:p>
      <w:pPr>
        <w:pStyle w:val="Heading3"/>
      </w:pPr>
      <w:r>
        <w:t>8.1.4 中国文化遗产数字化政策框架</w:t>
      </w:r>
    </w:p>
    <w:p/>
    <w:p>
      <w:pPr>
        <w:ind w:firstLine="482"/>
      </w:pPr>
      <w:r>
        <w:rPr>
          <w:rFonts w:ascii="宋体" w:hAnsi="宋体" w:eastAsia="宋体"/>
          <w:sz w:val="24"/>
        </w:rPr>
        <w:t>中国高度重视文化遗产数字化工作。国务院发布的《关于加强文物保护利用改革的若干意见》明确提出推进文物保护利用的数字化和智能化。国家文物局制定了文物数字化标准体系，规范了文物 3D 扫描、数字摄影、数据存储等技术环节。文化和旅游部将"非遗数字化记录"纳入国家级非遗代表性传承人记录工程，系统性地用视频、音频和 3D 技术记录濒危非遗项目[5]。</w:t>
      </w:r>
    </w:p>
    <w:p/>
    <w:p>
      <w:pPr>
        <w:pStyle w:val="Heading2"/>
      </w:pPr>
      <w:r>
        <w:t>8.2 物质文化遗产的数字化</w:t>
      </w:r>
    </w:p>
    <w:p/>
    <w:p>
      <w:pPr>
        <w:pStyle w:val="Heading3"/>
      </w:pPr>
      <w:r>
        <w:t>8.2.1 三维扫描与摄影测量在文物数字化中的应用</w:t>
      </w:r>
    </w:p>
    <w:p/>
    <w:p>
      <w:pPr>
        <w:ind w:firstLine="482"/>
      </w:pPr>
      <w:r>
        <w:rPr>
          <w:rFonts w:ascii="宋体" w:hAnsi="宋体" w:eastAsia="宋体"/>
          <w:sz w:val="24"/>
        </w:rPr>
        <w:t>物质文化遗产（建筑、雕塑、器物、壁画等）的数字化以三维几何采集为核心。第4章详细讲解了摄影测量技术，本节补充三维激光扫描在文物数字化中的特殊应用[6]。</w:t>
      </w:r>
    </w:p>
    <w:p/>
    <w:p>
      <w:pPr>
        <w:ind w:firstLine="482"/>
      </w:pPr>
      <w:r>
        <w:rPr>
          <w:rFonts w:ascii="宋体" w:hAnsi="宋体" w:eastAsia="宋体"/>
          <w:b/>
          <w:sz w:val="24"/>
        </w:rPr>
        <w:t>三维激光扫描</w:t>
      </w:r>
      <w:r>
        <w:rPr>
          <w:rFonts w:ascii="宋体" w:hAnsi="宋体" w:eastAsia="宋体"/>
          <w:sz w:val="24"/>
        </w:rPr>
        <w:t>通过发射激光脉冲并测量反射时间来计算距离，能够在极短时间内获取物体表面的大量三维点云数据。与摄影测量相比，激光扫描的优势在于：不受环境光照影响（可在完全黑暗环境中工作）；精度更高（亚毫米级）；对无纹理表面（如光滑石面、金属器物）的采集效果优于摄影测量。劣势在于：设备昂贵（数十万至数百万元）；无法同时获取色彩信息（需要配合相机使用）；对透明或高反射表面的采集效果差[6]。</w:t>
      </w:r>
    </w:p>
    <w:p/>
    <w:p>
      <w:pPr>
        <w:ind w:firstLine="482"/>
      </w:pPr>
      <w:r>
        <w:rPr>
          <w:rFonts w:ascii="宋体" w:hAnsi="宋体" w:eastAsia="宋体"/>
          <w:sz w:val="24"/>
        </w:rPr>
        <w:t>在文物数字化实践中，通常采用摄影测量+激光扫描的混合方案：激光扫描获取高精度几何数据，摄影测量获取高分辨率纹理数据，两者在后期处理中融合为完整的彩色 3D 模型。</w:t>
      </w:r>
    </w:p>
    <w:p/>
    <w:p>
      <w:pPr>
        <w:pStyle w:val="Heading3"/>
      </w:pPr>
      <w:r>
        <w:t>8.2.2 古建筑/遗址的全景 VR 重建</w:t>
      </w:r>
    </w:p>
    <w:p/>
    <w:p>
      <w:pPr>
        <w:ind w:firstLine="482"/>
      </w:pPr>
      <w:r>
        <w:rPr>
          <w:rFonts w:ascii="宋体" w:hAnsi="宋体" w:eastAsia="宋体"/>
          <w:sz w:val="24"/>
        </w:rPr>
        <w:t>古建筑的 VR 重建有两种主要路径：</w:t>
      </w:r>
      <w:r>
        <w:rPr>
          <w:rFonts w:ascii="宋体" w:hAnsi="宋体" w:eastAsia="宋体"/>
          <w:b/>
          <w:sz w:val="24"/>
        </w:rPr>
        <w:t>实景数字化重建</w:t>
      </w:r>
      <w:r>
        <w:rPr>
          <w:rFonts w:ascii="宋体" w:hAnsi="宋体" w:eastAsia="宋体"/>
          <w:sz w:val="24"/>
        </w:rPr>
        <w:t>和</w:t>
      </w:r>
      <w:r>
        <w:rPr>
          <w:rFonts w:ascii="宋体" w:hAnsi="宋体" w:eastAsia="宋体"/>
          <w:b/>
          <w:sz w:val="24"/>
        </w:rPr>
        <w:t>数字复原重建</w:t>
      </w:r>
      <w:r>
        <w:rPr>
          <w:rFonts w:ascii="宋体" w:hAnsi="宋体" w:eastAsia="宋体"/>
          <w:sz w:val="24"/>
        </w:rPr>
        <w:t>[7]。</w:t>
      </w:r>
    </w:p>
    <w:p/>
    <w:p>
      <w:pPr>
        <w:ind w:firstLine="482"/>
      </w:pPr>
      <w:r>
        <w:rPr>
          <w:rFonts w:ascii="宋体" w:hAnsi="宋体" w:eastAsia="宋体"/>
          <w:b/>
          <w:sz w:val="24"/>
        </w:rPr>
        <w:t>实景数字化重建</w:t>
      </w:r>
      <w:r>
        <w:rPr>
          <w:rFonts w:ascii="宋体" w:hAnsi="宋体" w:eastAsia="宋体"/>
          <w:sz w:val="24"/>
        </w:rPr>
        <w:t>通过摄影测量或激光扫描将现存建筑数字化为 3D 模型，忠实记录建筑的当前状态（包括风化、破损和后世修改痕迹）。这种方法适用于保存状态较好的建筑，如故宫、平遥古城等。重建后的 VR 模型可以让用户"走进"现实中不开放或限制开放的建筑内部。</w:t>
      </w:r>
    </w:p>
    <w:p/>
    <w:p>
      <w:pPr>
        <w:ind w:firstLine="482"/>
      </w:pPr>
      <w:r>
        <w:rPr>
          <w:rFonts w:ascii="宋体" w:hAnsi="宋体" w:eastAsia="宋体"/>
          <w:b/>
          <w:sz w:val="24"/>
        </w:rPr>
        <w:t>数字复原重建</w:t>
      </w:r>
      <w:r>
        <w:rPr>
          <w:rFonts w:ascii="宋体" w:hAnsi="宋体" w:eastAsia="宋体"/>
          <w:sz w:val="24"/>
        </w:rPr>
        <w:t>基于历史文献、考古发现和学术研究，在计算机中重建已损毁或已不存在的建筑。这种方法需要严谨的学术考证——每个复原细节都应有文献或考古依据，并在 VR 模型中标注信息来源和可信度等级。例如，圆明园的数字复原项目对每个建筑构件进行了历史考证，VR 模型中允许用户查看每个复原决策的学术依据[7]。</w:t>
      </w:r>
    </w:p>
    <w:p/>
    <w:p>
      <w:pPr>
        <w:pStyle w:val="Heading3"/>
      </w:pPr>
      <w:r>
        <w:t>8.2.3 数字博物馆与虚拟展览设计</w:t>
      </w:r>
    </w:p>
    <w:p/>
    <w:p>
      <w:pPr>
        <w:ind w:firstLine="482"/>
      </w:pPr>
      <w:r>
        <w:rPr>
          <w:rFonts w:ascii="宋体" w:hAnsi="宋体" w:eastAsia="宋体"/>
          <w:sz w:val="24"/>
        </w:rPr>
        <w:t>数字博物馆是 VR/AR 在文化遗产展示中的集中应用形态。Boboc 等人综述了 AR 在文化遗产领域过去十年的应用，将数字博物馆的发展分为三个阶段[8]：</w:t>
      </w:r>
    </w:p>
    <w:p/>
    <w:p>
      <w:pPr>
        <w:ind w:firstLine="482"/>
      </w:pPr>
      <w:r>
        <w:rPr>
          <w:rFonts w:ascii="宋体" w:hAnsi="宋体" w:eastAsia="宋体"/>
          <w:b/>
          <w:sz w:val="24"/>
        </w:rPr>
        <w:t>第一阶段——数字目录</w:t>
      </w:r>
      <w:r>
        <w:rPr>
          <w:rFonts w:ascii="宋体" w:hAnsi="宋体" w:eastAsia="宋体"/>
          <w:sz w:val="24"/>
        </w:rPr>
        <w:t>：博物馆将藏品数字化为图片和文字数据库，用户通过网站浏览。这一阶段的 VR/AR 应用主要是 360° 全景展厅漫游，技术简单但缺乏交互深度。</w:t>
      </w:r>
    </w:p>
    <w:p/>
    <w:p>
      <w:pPr>
        <w:ind w:firstLine="482"/>
      </w:pPr>
      <w:r>
        <w:rPr>
          <w:rFonts w:ascii="宋体" w:hAnsi="宋体" w:eastAsia="宋体"/>
          <w:b/>
          <w:sz w:val="24"/>
        </w:rPr>
        <w:t>第二阶段——交互展示</w:t>
      </w:r>
      <w:r>
        <w:rPr>
          <w:rFonts w:ascii="宋体" w:hAnsi="宋体" w:eastAsia="宋体"/>
          <w:sz w:val="24"/>
        </w:rPr>
        <w:t>：博物馆引入 3D 模型展示和 AR 互动应用。用户可以在网页上旋转查看文物的 3D 模型，或在博物馆现场使用 AR 应用获取多媒体讲解。这一阶段的特征是"文物为中心"——技术服务于文物的信息传达。</w:t>
      </w:r>
    </w:p>
    <w:p/>
    <w:p>
      <w:pPr>
        <w:ind w:firstLine="482"/>
      </w:pPr>
      <w:r>
        <w:rPr>
          <w:rFonts w:ascii="宋体" w:hAnsi="宋体" w:eastAsia="宋体"/>
          <w:b/>
          <w:sz w:val="24"/>
        </w:rPr>
        <w:t>第三阶段——沉浸体验</w:t>
      </w:r>
      <w:r>
        <w:rPr>
          <w:rFonts w:ascii="宋体" w:hAnsi="宋体" w:eastAsia="宋体"/>
          <w:sz w:val="24"/>
        </w:rPr>
        <w:t>：博物馆创建完整的 VR 沉浸式展览，用户通过 VR 头显进入虚拟展厅，与文物互动、与虚拟角色对话、参与历史场景重现。这一阶段的特征是"体验为中心"——技术服务于观众的情感和文化体验。Baviera López 等人指出，VR 适合呈现已消失的历史场景，AR 适合增强现存遗产的信息层，两者结合能够提供更完整的遗产理解[9]。</w:t>
      </w:r>
    </w:p>
    <w:p/>
    <w:p>
      <w:pPr>
        <w:pStyle w:val="Heading3"/>
      </w:pPr>
      <w:r>
        <w:t>8.2.4 案例：故宫博物院 VR/AR 文化遗产保护实践</w:t>
      </w:r>
    </w:p>
    <w:p/>
    <w:p>
      <w:pPr>
        <w:ind w:firstLine="482"/>
      </w:pPr>
      <w:r>
        <w:rPr>
          <w:rFonts w:ascii="宋体" w:hAnsi="宋体" w:eastAsia="宋体"/>
          <w:sz w:val="24"/>
        </w:rPr>
        <w:t>故宫的数字化实践覆盖了从采集到展示的完整链条[1]。在采集端，故宫使用地面激光扫描+无人机航拍+近距离摄影测量的多源融合方案，对古建筑进行从整体到细节的多层级数字化。在数据处理端，建立了故宫数字资产管理系统，对数字化资产进行分类、标注和版本管理。在展示端，构建了"数字故宫"平台，提供 VR 线上游览、AR 现场导览和 3D 文物鉴赏三种体验模式。</w:t>
      </w:r>
    </w:p>
    <w:p/>
    <w:p>
      <w:pPr>
        <w:ind w:firstLine="482"/>
      </w:pPr>
      <w:r>
        <w:rPr>
          <w:rFonts w:ascii="宋体" w:hAnsi="宋体" w:eastAsia="宋体"/>
          <w:sz w:val="24"/>
        </w:rPr>
        <w:t>故宫数字化实践的经验启示包括：（1）数字化是长期工程——故宫的数字化工作已持续 20 余年，需要持续投入和系统规划；（2）标准化是基础——建立统一的数据格式和元数据标准，确保不同时期、不同团队采集的数据可互通；（3）学术严谨性是底线——所有数字复原都必须经过学术论证，不能凭想象"创造"历史；（4）用户体验是目标——数字化最终服务于公众教育和文化传播，技术方案应围绕用户需求设计[1]。</w:t>
      </w:r>
    </w:p>
    <w:p/>
    <w:p>
      <w:pPr>
        <w:pStyle w:val="Heading2"/>
      </w:pPr>
      <w:r>
        <w:t>8.3 非物质文化遗产的沉浸式呈现</w:t>
      </w:r>
    </w:p>
    <w:p/>
    <w:p>
      <w:pPr>
        <w:pStyle w:val="Heading3"/>
      </w:pPr>
      <w:r>
        <w:t>8.3.1 非遗数字化的挑战与方法论</w:t>
      </w:r>
    </w:p>
    <w:p/>
    <w:p>
      <w:pPr>
        <w:ind w:firstLine="482"/>
      </w:pPr>
      <w:r>
        <w:rPr>
          <w:rFonts w:ascii="宋体" w:hAnsi="宋体" w:eastAsia="宋体"/>
          <w:sz w:val="24"/>
        </w:rPr>
        <w:t>非物质文化遗产（非遗）的数字化面临比物质遗产更大的挑战。非遗的"非物质"属性意味着它存在于人的行为、记忆和技艺中，而非物理实体上。非遗数字化的核心挑战包括[10]：</w:t>
      </w:r>
    </w:p>
    <w:p/>
    <w:p>
      <w:pPr>
        <w:ind w:firstLine="482"/>
      </w:pPr>
      <w:r>
        <w:rPr>
          <w:rFonts w:ascii="宋体" w:hAnsi="宋体" w:eastAsia="宋体"/>
          <w:b/>
          <w:sz w:val="24"/>
        </w:rPr>
        <w:t>动态性</w:t>
      </w:r>
      <w:r>
        <w:rPr>
          <w:rFonts w:ascii="宋体" w:hAnsi="宋体" w:eastAsia="宋体"/>
          <w:sz w:val="24"/>
        </w:rPr>
        <w:t>：非遗是"活的"遗产——它存在于传承人的持续实践中，每次表演或制作都有细微差异。静态的 3D 扫描或照片无法捕捉这种动态性，需要使用视频、动作捕捉和传感器技术记录完整的技艺过程。</w:t>
      </w:r>
    </w:p>
    <w:p/>
    <w:p>
      <w:pPr>
        <w:ind w:firstLine="482"/>
      </w:pPr>
      <w:r>
        <w:rPr>
          <w:rFonts w:ascii="宋体" w:hAnsi="宋体" w:eastAsia="宋体"/>
          <w:b/>
          <w:sz w:val="24"/>
        </w:rPr>
        <w:t>语境性</w:t>
      </w:r>
      <w:r>
        <w:rPr>
          <w:rFonts w:ascii="宋体" w:hAnsi="宋体" w:eastAsia="宋体"/>
          <w:sz w:val="24"/>
        </w:rPr>
        <w:t>：非遗的意义与其文化语境密不可分——一首侗族大歌不仅是声音，还与演唱场合、社会关系和情感表达密切相关。脱离语境的数字化可能使非遗沦为"表演片段"，失去其文化深度。</w:t>
      </w:r>
    </w:p>
    <w:p/>
    <w:p>
      <w:pPr>
        <w:ind w:firstLine="482"/>
      </w:pPr>
      <w:r>
        <w:rPr>
          <w:rFonts w:ascii="宋体" w:hAnsi="宋体" w:eastAsia="宋体"/>
          <w:b/>
          <w:sz w:val="24"/>
        </w:rPr>
        <w:t>传承性</w:t>
      </w:r>
      <w:r>
        <w:rPr>
          <w:rFonts w:ascii="宋体" w:hAnsi="宋体" w:eastAsia="宋体"/>
          <w:sz w:val="24"/>
        </w:rPr>
        <w:t>：非遗的价值在于"人传人"的活态传承。数字化不应取代传承人的角色，而应作为辅助传承的工具——记录濒危技艺、辅助教学传授、扩大文化影响。</w:t>
      </w:r>
    </w:p>
    <w:p/>
    <w:p>
      <w:pPr>
        <w:ind w:firstLine="482"/>
      </w:pPr>
      <w:r>
        <w:rPr>
          <w:rFonts w:ascii="宋体" w:hAnsi="宋体" w:eastAsia="宋体"/>
          <w:sz w:val="24"/>
        </w:rPr>
        <w:t>Selmanović 等人的研究关注了 VR 在提升非遗可及性方面的应用[10]。他们以波斯尼亚传统手工艺为例，创建了 VR 体验使国际观众能够"亲身参与"传统手工艺制作过程。研究指出，VR 的独特价值在于能够模拟非遗的"具身性"（Embodiment）——用户不仅看到传承人的动作，还能在虚拟环境中"亲手"尝试这些动作，获得比观看视频更深刻的体验。</w:t>
      </w:r>
    </w:p>
    <w:p/>
    <w:p>
      <w:pPr>
        <w:pStyle w:val="Heading3"/>
      </w:pPr>
      <w:r>
        <w:t>8.3.2 VR 叙事性非遗体验设计</w:t>
      </w:r>
    </w:p>
    <w:p/>
    <w:p>
      <w:pPr>
        <w:ind w:firstLine="482"/>
      </w:pPr>
      <w:r>
        <w:rPr>
          <w:rFonts w:ascii="宋体" w:hAnsi="宋体" w:eastAsia="宋体"/>
          <w:sz w:val="24"/>
        </w:rPr>
        <w:t>VR 叙事性非遗体验将非遗内容融入叙事结构中，使用户在故事情节的推进中自然接触和理解非遗文化[10]。设计方法论包括：</w:t>
      </w:r>
    </w:p>
    <w:p/>
    <w:p>
      <w:pPr>
        <w:ind w:firstLine="482"/>
      </w:pPr>
      <w:r>
        <w:rPr>
          <w:rFonts w:ascii="宋体" w:hAnsi="宋体" w:eastAsia="宋体"/>
          <w:b/>
          <w:sz w:val="24"/>
        </w:rPr>
        <w:t>第一人称叙事</w:t>
      </w:r>
      <w:r>
        <w:rPr>
          <w:rFonts w:ascii="宋体" w:hAnsi="宋体" w:eastAsia="宋体"/>
          <w:sz w:val="24"/>
        </w:rPr>
        <w:t>：用户以第一人称视角"成为"非遗传承人的学徒，在虚拟师傅的指导下逐步学习技艺。这种叙事方式利用了 VR 的具身性优势，使用户从"旁观者"变为"参与者"。</w:t>
      </w:r>
    </w:p>
    <w:p/>
    <w:p>
      <w:pPr>
        <w:ind w:firstLine="482"/>
      </w:pPr>
      <w:r>
        <w:rPr>
          <w:rFonts w:ascii="宋体" w:hAnsi="宋体" w:eastAsia="宋体"/>
          <w:b/>
          <w:sz w:val="24"/>
        </w:rPr>
        <w:t>场景化呈现</w:t>
      </w:r>
      <w:r>
        <w:rPr>
          <w:rFonts w:ascii="宋体" w:hAnsi="宋体" w:eastAsia="宋体"/>
          <w:sz w:val="24"/>
        </w:rPr>
        <w:t>：非遗技艺在真实的文化场景中呈现——苗银锻造在苗寨银匠铺中、侗族大歌在鼓楼中、地戏表演在屯堡戏台中。场景化呈现保留了非遗的语境性，使技艺与空间、氛围和社会关系形成有机整体。</w:t>
      </w:r>
    </w:p>
    <w:p/>
    <w:p>
      <w:pPr>
        <w:ind w:firstLine="482"/>
      </w:pPr>
      <w:r>
        <w:rPr>
          <w:rFonts w:ascii="宋体" w:hAnsi="宋体" w:eastAsia="宋体"/>
          <w:b/>
          <w:sz w:val="24"/>
        </w:rPr>
        <w:t>过程化互动</w:t>
      </w:r>
      <w:r>
        <w:rPr>
          <w:rFonts w:ascii="宋体" w:hAnsi="宋体" w:eastAsia="宋体"/>
          <w:sz w:val="24"/>
        </w:rPr>
        <w:t>：用户通过手势交互模拟非遗技艺的关键步骤——拉银丝时做出拉伸手势、敲银片时做出锤击手势。虽然虚拟交互无法完全复现真实技艺的物理感受，但能够传达技艺的基本动作逻辑和节奏感。</w:t>
      </w:r>
    </w:p>
    <w:p/>
    <w:p>
      <w:pPr>
        <w:pStyle w:val="Heading3"/>
      </w:pPr>
      <w:r>
        <w:t>8.3.3 动作捕捉与非遗技艺数字化保存</w:t>
      </w:r>
    </w:p>
    <w:p/>
    <w:p>
      <w:pPr>
        <w:ind w:firstLine="482"/>
      </w:pPr>
      <w:r>
        <w:rPr>
          <w:rFonts w:ascii="宋体" w:hAnsi="宋体" w:eastAsia="宋体"/>
          <w:sz w:val="24"/>
        </w:rPr>
        <w:t>动作捕捉（Motion Capture，MoCap）是非遗技艺数字化保存的核心技术。通过在传承人身体关键部位放置标记点或使用无标记式视觉捕捉，系统能够以高精度（亚毫米级）记录传承人的身体运动数据[10]。</w:t>
      </w:r>
    </w:p>
    <w:p/>
    <w:p>
      <w:pPr>
        <w:ind w:firstLine="482"/>
      </w:pPr>
      <w:r>
        <w:rPr>
          <w:rFonts w:ascii="宋体" w:hAnsi="宋体" w:eastAsia="宋体"/>
          <w:sz w:val="24"/>
        </w:rPr>
        <w:t>非遗动作捕捉的流程包括：（1）与传承人沟通，确定需要记录的核心技艺动作和表演流程；（2）在专业动捕工作室或现场环境中进行动作采集，使用光学动捕系统（如 Vicon、OptiTrack）或惯性动捕服（如 Xsens）；（3）对动捕数据进行清理和标注，去除噪声和异常数据；（4）将动捕数据应用到虚拟角色上，生成数字化表演；（5）将动捕数据与视频、音频和文字记录关联存储，形成完整的非遗数字档案。</w:t>
      </w:r>
    </w:p>
    <w:p/>
    <w:p>
      <w:pPr>
        <w:ind w:firstLine="482"/>
      </w:pPr>
      <w:r>
        <w:rPr>
          <w:rFonts w:ascii="宋体" w:hAnsi="宋体" w:eastAsia="宋体"/>
          <w:sz w:val="24"/>
        </w:rPr>
        <w:t>这些数字化档案的用途包括：VR 展示中驱动虚拟角色的非遗表演动画；非遗教育中的动作分析和对比教学；学术研究中的技艺运动学分析；以及在传承人年迈或去世后的技艺"数字备份"[10]。</w:t>
      </w:r>
    </w:p>
    <w:p/>
    <w:p>
      <w:pPr>
        <w:pStyle w:val="Heading3"/>
      </w:pPr>
      <w:r>
        <w:t>8.3.4 案例：基于 VR 的非物质文化遗产可及性提升</w:t>
      </w:r>
    </w:p>
    <w:p/>
    <w:p>
      <w:pPr>
        <w:ind w:firstLine="482"/>
      </w:pPr>
      <w:r>
        <w:rPr>
          <w:rFonts w:ascii="宋体" w:hAnsi="宋体" w:eastAsia="宋体"/>
          <w:sz w:val="24"/>
        </w:rPr>
        <w:t>Selmanović 等人创建的 VR 非遗体验以波斯尼亚的手工织造和铜器制作为案例[10]。用户在 VR 中进入一个重建的传统工坊，虚拟传承人（由动捕数据驱动）展示完整的制作过程。用户可以选择"观看模式"（以旁观者视角观看传承人操作）或"体验模式"（以第一人称视角模拟操作手势）。在体验模式中，系统通过手势识别评估用户的操作准确度，提供即时反馈和纠正建议。</w:t>
      </w:r>
    </w:p>
    <w:p/>
    <w:p>
      <w:pPr>
        <w:ind w:firstLine="482"/>
      </w:pPr>
      <w:r>
        <w:rPr>
          <w:rFonts w:ascii="宋体" w:hAnsi="宋体" w:eastAsia="宋体"/>
          <w:sz w:val="24"/>
        </w:rPr>
        <w:t>该项目的评估结果显示，VR 非遗体验显著提升了用户对非遗文化的理解度和兴趣度——体验后的文化知识测试得分平均提高了 42%，"愿意进一步了解该文化"的比例从 31% 上升到 78%[10]。这一数据为 VR 在非遗传播中的价值提供了实证支持。</w:t>
      </w:r>
    </w:p>
    <w:p/>
    <w:p>
      <w:pPr>
        <w:ind w:firstLine="482"/>
      </w:pPr>
      <w:r>
        <w:rPr>
          <w:rFonts w:ascii="宋体" w:hAnsi="宋体" w:eastAsia="宋体"/>
          <w:sz w:val="24"/>
        </w:rPr>
        <w:t>从方法论角度，非遗 VR 体验的设计还需要关注"传承人参与"这一核心议题。非遗数字化的伦理要求传承人不仅是被记录的对象，更是数字化过程的参与者和受益者。在项目设计中应确保传承人的知情同意权、文化诠释权和经济收益权。具体操作包括：在项目启动前与传承人充分沟通数字化目的和使用方式；在内容设计中邀请传承人参与审核和指导；在项目运营中将部分收益返还给传承人或其社区。这种"以传承人为主体"的数字化方法论确保技术不剥削文化，而是服务于文化的传承与发展。</w:t>
      </w:r>
    </w:p>
    <w:p/>
    <w:p>
      <w:pPr>
        <w:ind w:firstLine="482"/>
      </w:pPr>
      <w:r>
        <w:rPr>
          <w:rFonts w:ascii="宋体" w:hAnsi="宋体" w:eastAsia="宋体"/>
          <w:sz w:val="24"/>
        </w:rPr>
        <w:t>孔莉莉以全景 VR 视频技术为例探讨了数字化艺术文化遗产保护的教学实践，提出了"采集-制作-展示-评估"的四步教学流程[19]。该流程将非遗数字化的完整工作流融入教学设计，使学生在实践中同时掌握技术技能和文化理解能力。这一教学模式对于本书第10-12章的实训项目设计具有直接参考价值——实训不仅是技术训练，更是文化教育和伦理意识的培养。</w:t>
      </w:r>
    </w:p>
    <w:p/>
    <w:p>
      <w:pPr>
        <w:pStyle w:val="Heading2"/>
      </w:pPr>
      <w:r>
        <w:t>8.4 红色文化与历史场景再现</w:t>
      </w:r>
    </w:p>
    <w:p/>
    <w:p>
      <w:pPr>
        <w:pStyle w:val="Heading3"/>
      </w:pPr>
      <w:r>
        <w:t>8.4.1 红色文化遗产的 VR 活化路径</w:t>
      </w:r>
    </w:p>
    <w:p/>
    <w:p>
      <w:pPr>
        <w:ind w:firstLine="482"/>
      </w:pPr>
      <w:r>
        <w:rPr>
          <w:rFonts w:ascii="宋体" w:hAnsi="宋体" w:eastAsia="宋体"/>
          <w:sz w:val="24"/>
        </w:rPr>
        <w:t>红色文化遗产（革命遗址、纪念地、革命文物等）的 VR 活化具有独特的教育价值和社会意义。黄佳等人以湖湘红色文化遗产为例，探索了 VR 技术在红色文化保护与活化中的应用路径[11]：</w:t>
      </w:r>
    </w:p>
    <w:p/>
    <w:p>
      <w:pPr>
        <w:ind w:firstLine="482"/>
      </w:pPr>
      <w:r>
        <w:rPr>
          <w:rFonts w:ascii="宋体" w:hAnsi="宋体" w:eastAsia="宋体"/>
          <w:b/>
          <w:sz w:val="24"/>
        </w:rPr>
        <w:t>场景复原</w:t>
      </w:r>
      <w:r>
        <w:rPr>
          <w:rFonts w:ascii="宋体" w:hAnsi="宋体" w:eastAsia="宋体"/>
          <w:sz w:val="24"/>
        </w:rPr>
        <w:t>：利用 VR 重建已损毁或改变的历史事件发生地——如复原长征途中的战场原貌、重建已拆除的革命根据地建筑。场景复原需要严格的历史考证，确保环境细节（建筑风格、植被类型、天气条件）符合历史真实。</w:t>
      </w:r>
    </w:p>
    <w:p/>
    <w:p>
      <w:pPr>
        <w:ind w:firstLine="482"/>
      </w:pPr>
      <w:r>
        <w:rPr>
          <w:rFonts w:ascii="宋体" w:hAnsi="宋体" w:eastAsia="宋体"/>
          <w:b/>
          <w:sz w:val="24"/>
        </w:rPr>
        <w:t>事件重现</w:t>
      </w:r>
      <w:r>
        <w:rPr>
          <w:rFonts w:ascii="宋体" w:hAnsi="宋体" w:eastAsia="宋体"/>
          <w:sz w:val="24"/>
        </w:rPr>
        <w:t>：通过 VR 动画或交互式场景重现历史事件的关键时刻——如遵义会议的讨论场景、飞夺泸定桥的战斗过程。事件重现需要平衡历史真实性和戏剧效果，避免过度艺术化导致历史失真。</w:t>
      </w:r>
    </w:p>
    <w:p/>
    <w:p>
      <w:pPr>
        <w:ind w:firstLine="482"/>
      </w:pPr>
      <w:r>
        <w:rPr>
          <w:rFonts w:ascii="宋体" w:hAnsi="宋体" w:eastAsia="宋体"/>
          <w:b/>
          <w:sz w:val="24"/>
        </w:rPr>
        <w:t>角色体验</w:t>
      </w:r>
      <w:r>
        <w:rPr>
          <w:rFonts w:ascii="宋体" w:hAnsi="宋体" w:eastAsia="宋体"/>
          <w:sz w:val="24"/>
        </w:rPr>
        <w:t>：用户在 VR 中扮演历史人物或普通参与者，从第一人称视角"经历"历史事件——如以红军战士身份体验长征途中的翻雪山过草地。角色体验需要特别注意情感设计——既要有足够的沉浸感引发情感共鸣，又要避免将严肃的革命历史过度娱乐化[11]。</w:t>
      </w:r>
    </w:p>
    <w:p/>
    <w:p>
      <w:pPr>
        <w:pStyle w:val="Heading3"/>
      </w:pPr>
      <w:r>
        <w:t>8.4.2 历史场景虚拟重建方法论</w:t>
      </w:r>
    </w:p>
    <w:p/>
    <w:p>
      <w:pPr>
        <w:ind w:firstLine="482"/>
      </w:pPr>
      <w:r>
        <w:rPr>
          <w:rFonts w:ascii="宋体" w:hAnsi="宋体" w:eastAsia="宋体"/>
          <w:sz w:val="24"/>
        </w:rPr>
        <w:t>历史场景的虚拟重建遵循"考证-建模-评审-发布"的四步方法论[11]：</w:t>
      </w:r>
    </w:p>
    <w:p/>
    <w:p>
      <w:pPr>
        <w:ind w:firstLine="482"/>
      </w:pPr>
      <w:r>
        <w:rPr>
          <w:rFonts w:ascii="宋体" w:hAnsi="宋体" w:eastAsia="宋体"/>
          <w:b/>
          <w:sz w:val="24"/>
        </w:rPr>
        <w:t>考证阶段</w:t>
      </w:r>
      <w:r>
        <w:rPr>
          <w:rFonts w:ascii="宋体" w:hAnsi="宋体" w:eastAsia="宋体"/>
          <w:sz w:val="24"/>
        </w:rPr>
        <w:t>：收集所有可用的历史资料——照片、文献、口述记录、考古发现。考证需要历史学家的参与，确保重建方案有充分的学术依据。对于存在多种历史记载的情况，应标注不同说法并说明选择某一版本的依据。</w:t>
      </w:r>
    </w:p>
    <w:p/>
    <w:p>
      <w:pPr>
        <w:ind w:firstLine="482"/>
      </w:pPr>
      <w:r>
        <w:rPr>
          <w:rFonts w:ascii="宋体" w:hAnsi="宋体" w:eastAsia="宋体"/>
          <w:b/>
          <w:sz w:val="24"/>
        </w:rPr>
        <w:t>建模阶段</w:t>
      </w:r>
      <w:r>
        <w:rPr>
          <w:rFonts w:ascii="宋体" w:hAnsi="宋体" w:eastAsia="宋体"/>
          <w:sz w:val="24"/>
        </w:rPr>
        <w:t>：根据考证结果进行 3D 建模。建模时应区分"有据可查的部分"和"推测还原的部分"，在 VR 模型中以不同颜色或信息标签标注可信度等级。</w:t>
      </w:r>
    </w:p>
    <w:p/>
    <w:p>
      <w:pPr>
        <w:ind w:firstLine="482"/>
      </w:pPr>
      <w:r>
        <w:rPr>
          <w:rFonts w:ascii="宋体" w:hAnsi="宋体" w:eastAsia="宋体"/>
          <w:b/>
          <w:sz w:val="24"/>
        </w:rPr>
        <w:t>评审阶段</w:t>
      </w:r>
      <w:r>
        <w:rPr>
          <w:rFonts w:ascii="宋体" w:hAnsi="宋体" w:eastAsia="宋体"/>
          <w:sz w:val="24"/>
        </w:rPr>
        <w:t>：邀请历史专家、文化顾问和相关社区代表对重建模型进行评审，检查是否存在历史错误或文化不当。</w:t>
      </w:r>
    </w:p>
    <w:p/>
    <w:p>
      <w:pPr>
        <w:ind w:firstLine="482"/>
      </w:pPr>
      <w:r>
        <w:rPr>
          <w:rFonts w:ascii="宋体" w:hAnsi="宋体" w:eastAsia="宋体"/>
          <w:b/>
          <w:sz w:val="24"/>
        </w:rPr>
        <w:t>发布阶段</w:t>
      </w:r>
      <w:r>
        <w:rPr>
          <w:rFonts w:ascii="宋体" w:hAnsi="宋体" w:eastAsia="宋体"/>
          <w:sz w:val="24"/>
        </w:rPr>
        <w:t>：在 VR 模型中嵌入引用信息，使用户能够查看每个重建细节的学术依据。同时保留模型的版本记录，便于后续根据新的研究发现进行修正。</w:t>
      </w:r>
    </w:p>
    <w:p/>
    <w:p>
      <w:pPr>
        <w:pStyle w:val="Heading3"/>
      </w:pPr>
      <w:r>
        <w:t>8.4.3 沉浸式红色教育体验设计</w:t>
      </w:r>
    </w:p>
    <w:p/>
    <w:p>
      <w:pPr>
        <w:ind w:firstLine="482"/>
      </w:pPr>
      <w:r>
        <w:rPr>
          <w:rFonts w:ascii="宋体" w:hAnsi="宋体" w:eastAsia="宋体"/>
          <w:sz w:val="24"/>
        </w:rPr>
        <w:t>卢文杰和曹学海在 VR 红色文化遗址数字展示研究中指出，沉浸式红色教育体验的设计需要在"沉浸感"和"庄重感"之间取得平衡[12]：</w:t>
      </w:r>
    </w:p>
    <w:p/>
    <w:p>
      <w:pPr>
        <w:ind w:firstLine="482"/>
      </w:pPr>
      <w:r>
        <w:rPr>
          <w:rFonts w:ascii="宋体" w:hAnsi="宋体" w:eastAsia="宋体"/>
          <w:b/>
          <w:sz w:val="24"/>
        </w:rPr>
        <w:t>沉浸感设计</w:t>
      </w:r>
      <w:r>
        <w:rPr>
          <w:rFonts w:ascii="宋体" w:hAnsi="宋体" w:eastAsia="宋体"/>
          <w:sz w:val="24"/>
        </w:rPr>
        <w:t>：通过高质量的视觉渲染、空间音频和交互设计创造临场感，使学习者"感受"历史场景的氛围。但应避免使用游戏化的奖励机制（如积分、排名），以免降低红色教育的严肃性。</w:t>
      </w:r>
    </w:p>
    <w:p/>
    <w:p>
      <w:pPr>
        <w:ind w:firstLine="482"/>
      </w:pPr>
      <w:r>
        <w:rPr>
          <w:rFonts w:ascii="宋体" w:hAnsi="宋体" w:eastAsia="宋体"/>
          <w:b/>
          <w:sz w:val="24"/>
        </w:rPr>
        <w:t>庄重感设计</w:t>
      </w:r>
      <w:r>
        <w:rPr>
          <w:rFonts w:ascii="宋体" w:hAnsi="宋体" w:eastAsia="宋体"/>
          <w:sz w:val="24"/>
        </w:rPr>
        <w:t>：在涉及牺牲、苦难等内容的场景中，使用克制的视觉表现——避免直接展示暴力画面，可以通过环境暗示（如远处的枪声、战友的沉默）传达情感。配乐应使用庄重的音乐风格，避免轻快的游戏配乐。</w:t>
      </w:r>
    </w:p>
    <w:p/>
    <w:p>
      <w:pPr>
        <w:ind w:firstLine="482"/>
      </w:pPr>
      <w:r>
        <w:rPr>
          <w:rFonts w:ascii="宋体" w:hAnsi="宋体" w:eastAsia="宋体"/>
          <w:b/>
          <w:sz w:val="24"/>
        </w:rPr>
        <w:t>反思设计</w:t>
      </w:r>
      <w:r>
        <w:rPr>
          <w:rFonts w:ascii="宋体" w:hAnsi="宋体" w:eastAsia="宋体"/>
          <w:sz w:val="24"/>
        </w:rPr>
        <w:t>：在体验结束后提供"反思空间"——一个安静的虚拟环境，学习者可以在这里回顾体验内容、撰写感想或参与讨论。反思环节是红色教育从"感知"到"内化"的关键转化点[12]。</w:t>
      </w:r>
    </w:p>
    <w:p/>
    <w:p>
      <w:pPr>
        <w:pStyle w:val="Heading3"/>
      </w:pPr>
      <w:r>
        <w:t>8.4.4 案例：湖湘红色文化遗产 VR 保护与活化</w:t>
      </w:r>
    </w:p>
    <w:p/>
    <w:p>
      <w:pPr>
        <w:ind w:firstLine="482"/>
      </w:pPr>
      <w:r>
        <w:rPr>
          <w:rFonts w:ascii="宋体" w:hAnsi="宋体" w:eastAsia="宋体"/>
          <w:sz w:val="24"/>
        </w:rPr>
        <w:t>黄佳等人的湖湘红色文化遗产 VR 项目以湖南境内的革命遗址为对象，创建了 VR 数字档案和沉浸式教育体验[11]。项目对韶山毛泽东故居、橘子洲头、岳麓山等红色景点进行了 3D 数字化，并在此基础上开发了"红色湖湘 VR"教育应用。用户可以在 VR 中"走进"毛泽东故居的每个房间，点击家具查看历史信息；在橘子洲头"远眺"湘江，聆听《沁园春·长沙》的朗诵；在岳麓山"重走"革命先辈的活动路线。</w:t>
      </w:r>
    </w:p>
    <w:p/>
    <w:p>
      <w:pPr>
        <w:pStyle w:val="Heading2"/>
      </w:pPr>
      <w:r>
        <w:t>8.5 贵州特色文化遗产数字化</w:t>
      </w:r>
    </w:p>
    <w:p/>
    <w:p>
      <w:pPr>
        <w:pStyle w:val="Heading3"/>
      </w:pPr>
      <w:r>
        <w:t>8.5.1 屯堡文化 VR 沉浸式展示</w:t>
      </w:r>
    </w:p>
    <w:p/>
    <w:p>
      <w:pPr>
        <w:ind w:firstLine="482"/>
      </w:pPr>
      <w:r>
        <w:rPr>
          <w:rFonts w:ascii="宋体" w:hAnsi="宋体" w:eastAsia="宋体"/>
          <w:sz w:val="24"/>
        </w:rPr>
        <w:t>贵州安顺屯堡是明代军事移民的历史活化石，屯堡建筑群、地戏表演和明代江南风俗的活态保存使屯堡成为文化遗产数字化的理想对象。VR 屯堡展示方案包括：对屯堡石头建筑群进行摄影测量数字化，创建可漫游的 VR 屯堡村落；对地戏表演进行动作捕捉，创建可交互的 VR 地戏体验；对屯堡传统服饰和生活用具进行 3D 扫描，建立数字文物库[13]。</w:t>
      </w:r>
    </w:p>
    <w:p/>
    <w:p>
      <w:pPr>
        <w:pStyle w:val="Heading3"/>
      </w:pPr>
      <w:r>
        <w:t>8.5.2 苗族/侗族非物质文化遗产数字化</w:t>
      </w:r>
    </w:p>
    <w:p/>
    <w:p>
      <w:pPr>
        <w:ind w:firstLine="482"/>
      </w:pPr>
      <w:r>
        <w:rPr>
          <w:rFonts w:ascii="宋体" w:hAnsi="宋体" w:eastAsia="宋体"/>
          <w:sz w:val="24"/>
        </w:rPr>
        <w:t>贵州苗族和侗族拥有丰富的非物质文化遗产——苗族银饰锻造、苗绣、苗族歌舞，侗族大歌、侗族建筑技艺、侗锦织造。这些非遗项目的数字化方案[14]：</w:t>
      </w:r>
    </w:p>
    <w:p/>
    <w:p>
      <w:pPr>
        <w:ind w:firstLine="482"/>
      </w:pPr>
      <w:r>
        <w:rPr>
          <w:rFonts w:ascii="宋体" w:hAnsi="宋体" w:eastAsia="宋体"/>
          <w:b/>
          <w:sz w:val="24"/>
        </w:rPr>
        <w:t>苗族银饰锻造</w:t>
      </w:r>
      <w:r>
        <w:rPr>
          <w:rFonts w:ascii="宋体" w:hAnsi="宋体" w:eastAsia="宋体"/>
          <w:sz w:val="24"/>
        </w:rPr>
        <w:t>：使用动作捕捉记录银匠师傅的完整锻造过程（熔银、拉丝、编花、焊接、打磨），配合手部特写摄像记录精细操作。VR 体验中用户可以"走进"虚拟银匠铺，观看师傅操作并尝试基本手势。</w:t>
      </w:r>
    </w:p>
    <w:p/>
    <w:p>
      <w:pPr>
        <w:ind w:firstLine="482"/>
      </w:pPr>
      <w:r>
        <w:rPr>
          <w:rFonts w:ascii="宋体" w:hAnsi="宋体" w:eastAsia="宋体"/>
          <w:b/>
          <w:sz w:val="24"/>
        </w:rPr>
        <w:t>侗族大歌</w:t>
      </w:r>
      <w:r>
        <w:rPr>
          <w:rFonts w:ascii="宋体" w:hAnsi="宋体" w:eastAsia="宋体"/>
          <w:sz w:val="24"/>
        </w:rPr>
        <w:t>：使用 Ambisonics 环境话筒在侗族鼓楼中实地录制多声部合唱，保留空间声学特征。VR 体验中用户"坐在"鼓火塘边，感受多声部合唱的环绕声场和鼓楼的独特声学环境。</w:t>
      </w:r>
    </w:p>
    <w:p/>
    <w:p>
      <w:pPr>
        <w:ind w:firstLine="482"/>
      </w:pPr>
      <w:r>
        <w:rPr>
          <w:rFonts w:ascii="宋体" w:hAnsi="宋体" w:eastAsia="宋体"/>
          <w:b/>
          <w:sz w:val="24"/>
        </w:rPr>
        <w:t>侗族木构建筑技艺</w:t>
      </w:r>
      <w:r>
        <w:rPr>
          <w:rFonts w:ascii="宋体" w:hAnsi="宋体" w:eastAsia="宋体"/>
          <w:sz w:val="24"/>
        </w:rPr>
        <w:t>：对侗族鼓楼和风雨桥进行 3D 扫描和结构分析，创建可拆解查看的 VR 建筑模型。用户可以在 VR 中"拆解"鼓楼，了解其无钉无铆的榫卯结构原理[14]。</w:t>
      </w:r>
    </w:p>
    <w:p/>
    <w:p>
      <w:pPr>
        <w:ind w:firstLine="482"/>
      </w:pPr>
      <w:r>
        <w:rPr>
          <w:rFonts w:ascii="宋体" w:hAnsi="宋体" w:eastAsia="宋体"/>
          <w:sz w:val="24"/>
        </w:rPr>
        <w:t>贵州非遗数字化的系统性方案还应考虑"数字生态"的构建——不仅创建单个非遗项目的 VR 体验，还要建立非遗数字资产库、传承人数字档案和非遗教育平台之间的互联互通。数字资产库集中管理所有采集的 3D 模型、动作数据、音频视频和文字资料，提供检索和下载功能；传承人数字档案记录每位传承人的技艺特长、传承谱系和口述历史；非遗教育平台将数字资产转化为可供学校和社会教育使用的课程资源。三者通过统一的数据标准和元数据体系连接，形成贵州非遗数字化的完整生态。</w:t>
      </w:r>
    </w:p>
    <w:p/>
    <w:p>
      <w:pPr>
        <w:ind w:firstLine="482"/>
      </w:pPr>
      <w:r>
        <w:rPr>
          <w:rFonts w:ascii="宋体" w:hAnsi="宋体" w:eastAsia="宋体"/>
          <w:sz w:val="24"/>
        </w:rPr>
        <w:t>在贵州非遗 VR 体验的创意设计层面，可以探索"跨非遗融合"的叙事模式——将不同非遗项目编织进一个统一的叙事框架中。例如，设计一个"苗寨一日"VR 体验：清晨用户在虚拟苗寨中被芦笙唤醒（苗族芦笙音乐），上午跟随虚拟银匠学习锻造（苗族银饰技艺），午后观看绣娘刺绣并尝试设计图案（苗绣），傍晚参与篝火晚会学跳铜鼓舞（苗族舞蹈），夜晚在吊脚楼中听老人讲述苗族古歌（苗族口头文学）。这种"一日体验"模式将多个非遗项目有机融合在时间叙事中，使体验者不仅了解单个技艺，更感受非遗在日常生活中的整体性存在。Yang 等人的研究也强调了非遗项目可持续性提升需要考虑文化生态的整体性——非遗不是孤立的技艺，而是与社区、环境和生活方式紧密相连的文化系统[14]。</w:t>
      </w:r>
    </w:p>
    <w:p/>
    <w:p>
      <w:pPr>
        <w:pStyle w:val="Heading3"/>
      </w:pPr>
      <w:r>
        <w:t>8.5.3 安顺特色文化 IP 的 VR/AR 开发</w:t>
      </w:r>
    </w:p>
    <w:p/>
    <w:p>
      <w:pPr>
        <w:ind w:firstLine="482"/>
      </w:pPr>
      <w:r>
        <w:rPr>
          <w:rFonts w:ascii="宋体" w:hAnsi="宋体" w:eastAsia="宋体"/>
          <w:sz w:val="24"/>
        </w:rPr>
        <w:t>安顺拥有丰富的特色文化 IP——屯堡文化、穿洞文化、蜡染技艺、安顺地戏等。这些文化 IP 的 VR/AR 开发策略应遵循"IP 梳理→数字化采集→体验设计→产品化→传播"的五步路径[13]：</w:t>
      </w:r>
    </w:p>
    <w:p/>
    <w:p>
      <w:pPr>
        <w:ind w:firstLine="482"/>
      </w:pPr>
      <w:r>
        <w:rPr>
          <w:rFonts w:ascii="宋体" w:hAnsi="宋体" w:eastAsia="宋体"/>
          <w:sz w:val="24"/>
        </w:rPr>
        <w:t>首先梳理安顺特色文化 IP 的核心价值和内容体系，确定数字化优先级。然后对高优先级 IP 进行系统性数字化采集。接着基于数字资产设计沉浸式体验产品——可以是 VR 博物馆展览、AR 景区导览、或沉浸式文化教育课程。最终通过线上线下多渠道传播，形成安顺数字文旅的品牌效应。</w:t>
      </w:r>
    </w:p>
    <w:p/>
    <w:p>
      <w:pPr>
        <w:pStyle w:val="Heading3"/>
      </w:pPr>
      <w:r>
        <w:t>8.5.4 贵州山地旅游与 VR/AR 融合创新</w:t>
      </w:r>
    </w:p>
    <w:p/>
    <w:p>
      <w:pPr>
        <w:ind w:firstLine="482"/>
      </w:pPr>
      <w:r>
        <w:rPr>
          <w:rFonts w:ascii="宋体" w:hAnsi="宋体" w:eastAsia="宋体"/>
          <w:sz w:val="24"/>
        </w:rPr>
        <w:t>贵州作为中国唯一没有平原支撑的省份，山地旅游是核心旅游产品。VR/AR 技术与山地旅游的融合创新包括[15]：</w:t>
      </w:r>
    </w:p>
    <w:p/>
    <w:p>
      <w:pPr>
        <w:ind w:firstLine="482"/>
      </w:pPr>
      <w:r>
        <w:rPr>
          <w:rFonts w:ascii="宋体" w:hAnsi="宋体" w:eastAsia="宋体"/>
          <w:b/>
          <w:sz w:val="24"/>
        </w:rPr>
        <w:t xml:space="preserve"> VR 山地安全预演</w:t>
      </w:r>
      <w:r>
        <w:rPr>
          <w:rFonts w:ascii="宋体" w:hAnsi="宋体" w:eastAsia="宋体"/>
          <w:sz w:val="24"/>
        </w:rPr>
        <w:t>：在游客实地登山前，通过 VR 预览登山路线的风险点（悬崖段、滑石区、狭窄通道），提升安全意识。</w:t>
      </w:r>
    </w:p>
    <w:p/>
    <w:p>
      <w:pPr>
        <w:ind w:firstLine="482"/>
      </w:pPr>
      <w:r>
        <w:rPr>
          <w:rFonts w:ascii="宋体" w:hAnsi="宋体" w:eastAsia="宋体"/>
          <w:b/>
          <w:sz w:val="24"/>
        </w:rPr>
        <w:t>AR 地质科普</w:t>
      </w:r>
      <w:r>
        <w:rPr>
          <w:rFonts w:ascii="宋体" w:hAnsi="宋体" w:eastAsia="宋体"/>
          <w:sz w:val="24"/>
        </w:rPr>
        <w:t>：在喀斯特地貌景区，AR 叠加显示地质形成过程的动画解释——用户对准溶洞石笋，AR 展示石笋数万年生长过程的时间 lapse 动画。</w:t>
      </w:r>
    </w:p>
    <w:p/>
    <w:p>
      <w:pPr>
        <w:ind w:firstLine="482"/>
      </w:pPr>
      <w:r>
        <w:rPr>
          <w:rFonts w:ascii="宋体" w:hAnsi="宋体" w:eastAsia="宋体"/>
          <w:b/>
          <w:sz w:val="24"/>
        </w:rPr>
        <w:t>VR 溶洞探秘</w:t>
      </w:r>
      <w:r>
        <w:rPr>
          <w:rFonts w:ascii="宋体" w:hAnsi="宋体" w:eastAsia="宋体"/>
          <w:sz w:val="24"/>
        </w:rPr>
        <w:t>：对未开放的溶洞内部进行 3D 扫描，创建 VR 探秘体验，使游客在不破坏脆弱溶洞环境的前提下"探索"地下奇观。</w:t>
      </w:r>
    </w:p>
    <w:p/>
    <w:p>
      <w:pPr>
        <w:ind w:firstLine="482"/>
      </w:pPr>
      <w:r>
        <w:rPr>
          <w:rFonts w:ascii="宋体" w:hAnsi="宋体" w:eastAsia="宋体"/>
          <w:sz w:val="24"/>
        </w:rPr>
        <w:t>Barrado-Timón 和 Hidalgo-Giralt 指出，历史城市和自然景观的 VR/AR 体验设计应关注"感知"与"传播"的双重目标——不仅让用户感知景观的视觉面貌，还要通过沉浸式体验传播景观的地质、生态和文化价值[16]。Rambach 等人调研了 AR/MR/VR 在自然与环境领域的应用，指出这些技术在自然教育中具有巨大潜力——VR 可以让用户安全地探索危险自然环境，AR 可以在自然景观上叠加生态知识的可视化[17]。</w:t>
      </w:r>
    </w:p>
    <w:p/>
    <w:p>
      <w:pPr>
        <w:ind w:firstLine="482"/>
      </w:pPr>
      <w:r>
        <w:rPr>
          <w:rFonts w:ascii="宋体" w:hAnsi="宋体" w:eastAsia="宋体"/>
          <w:sz w:val="24"/>
        </w:rPr>
        <w:t>---</w:t>
      </w:r>
    </w:p>
    <w:p/>
    <w:p>
      <w:pPr>
        <w:pStyle w:val="Heading2"/>
      </w:pPr>
      <w:r>
        <w:t>8.5 数字化保护的技术伦理与法律框架</w:t>
      </w:r>
    </w:p>
    <w:p/>
    <w:p>
      <w:pPr>
        <w:pStyle w:val="Heading3"/>
      </w:pPr>
      <w:r>
        <w:t>8.5.1 文化遗产数字化的知识产权问题</w:t>
      </w:r>
    </w:p>
    <w:p/>
    <w:p>
      <w:pPr>
        <w:ind w:firstLine="482"/>
      </w:pPr>
      <w:r>
        <w:rPr>
          <w:rFonts w:ascii="宋体" w:hAnsi="宋体" w:eastAsia="宋体"/>
          <w:sz w:val="24"/>
        </w:rPr>
        <w:t>文化遗产数字化涉及复杂的知识产权问题[14]。文物本体可能已进入公共领域，但数字化采集过程中产生的 3D 模型、高清照片和数字孪生数据是否构成新的著作权客体，各国法律存在分歧。欧盟《数字单一市场版权指令》赋予博物馆对馆藏文物数字化版本的专有权，而美国版权局倾向于认为对公共领域文物的精确复制不产生新的版权。</w:t>
      </w:r>
    </w:p>
    <w:p/>
    <w:p>
      <w:pPr>
        <w:ind w:firstLine="482"/>
      </w:pPr>
      <w:r>
        <w:rPr>
          <w:rFonts w:ascii="宋体" w:hAnsi="宋体" w:eastAsia="宋体"/>
          <w:sz w:val="24"/>
        </w:rPr>
        <w:t>中国《著作权法》对此尚未有明确规定。建议在文化遗产数字化项目中采取以下策略：（1）在项目启动前进行知识产权评估，明确文物本体的版权状态和数字化产物的权属归属；（2）与博物馆或文物管理方签订数字化合作协议，明确数字资产的使用范围和收益分配机制；（3）对于公共领域的文物，将数字化成果以开放许可（如 CC BY-SA 4.0）发布，促进文化遗产的公共传播和教育使用[14]。</w:t>
      </w:r>
    </w:p>
    <w:p/>
    <w:p>
      <w:pPr>
        <w:pStyle w:val="Heading3"/>
      </w:pPr>
      <w:r>
        <w:t>8.5.2 非遗传承人的权益保护</w:t>
      </w:r>
    </w:p>
    <w:p/>
    <w:p>
      <w:pPr>
        <w:ind w:firstLine="482"/>
      </w:pPr>
      <w:r>
        <w:rPr>
          <w:rFonts w:ascii="宋体" w:hAnsi="宋体" w:eastAsia="宋体"/>
          <w:sz w:val="24"/>
        </w:rPr>
        <w:t>非物质文化遗产的数字化需要特别关注传承人的权益[15]。联合国教科文组织《保护非物质文化遗产公约》强调社区、群体和个人在非遗保护中的主体地位。数字化项目不应将非遗简化为可复制的数字内容，而应尊重传承人的知识主权和文化表达权。</w:t>
      </w:r>
    </w:p>
    <w:p/>
    <w:p>
      <w:pPr>
        <w:ind w:firstLine="482"/>
      </w:pPr>
      <w:r>
        <w:rPr>
          <w:rFonts w:ascii="宋体" w:hAnsi="宋体" w:eastAsia="宋体"/>
          <w:sz w:val="24"/>
        </w:rPr>
        <w:t>实践建议：（1）在数字化采集前获得传承人的知情同意，详细说明数字化目的、使用范围和收益分配方案；（2）传承人有权审查和修改数字化内容，确保文化信息的准确性；（3）数字化成果的商业利用应与传承人分享收益，支持非遗的活态传承；（4）尊重传承人的保密权——某些 sacred/secret 知识不应被数字化公开[15]。</w:t>
      </w:r>
    </w:p>
    <w:p/>
    <w:p>
      <w:pPr>
        <w:pStyle w:val="Heading3"/>
      </w:pPr>
      <w:r>
        <w:t>8.5.3 数字文物的安全与防伪</w:t>
      </w:r>
    </w:p>
    <w:p/>
    <w:p>
      <w:pPr>
        <w:ind w:firstLine="482"/>
      </w:pPr>
      <w:r>
        <w:rPr>
          <w:rFonts w:ascii="宋体" w:hAnsi="宋体" w:eastAsia="宋体"/>
          <w:sz w:val="24"/>
        </w:rPr>
        <w:t>数字文物面临被篡改、伪造和非法传播的风险[16]。区块链技术为数字文物提供了防篡改的权属登记机制——将数字文物的哈希值、创作信息和权属信息记录在区块链上，形成不可篡改的证据链。NFT 技术进一步为数字文物赋予了唯一性和可交易性，但需要注意 NFT 的法律合规性——NFT 本身不转移数字文物的版权，仅证明对某个数字标记的所有权[16]。</w:t>
      </w:r>
    </w:p>
    <w:p/>
    <w:p>
      <w:pPr>
        <w:ind w:firstLine="482"/>
      </w:pPr>
      <w:r>
        <w:rPr>
          <w:rFonts w:ascii="宋体" w:hAnsi="宋体" w:eastAsia="宋体"/>
          <w:sz w:val="24"/>
        </w:rPr>
        <w:t>数字水印技术可以在 3D 模型中嵌入不可见的版权信息，用于追踪未经授权的复制和传播。针对 3D 网格模型的水印算法已在学术界取得进展，可以在不改变模型外观的前提下嵌入版权标识。</w:t>
      </w:r>
    </w:p>
    <w:p/>
    <w:p>
      <w:pPr>
        <w:pStyle w:val="Heading2"/>
      </w:pPr>
      <w:r>
        <w:t>8.6 案例实践：贵州非遗数字化与沉浸式展示</w:t>
      </w:r>
    </w:p>
    <w:p/>
    <w:p>
      <w:pPr>
        <w:pStyle w:val="Heading3"/>
      </w:pPr>
      <w:r>
        <w:t>8.6.1 项目背景</w:t>
      </w:r>
    </w:p>
    <w:p/>
    <w:p>
      <w:pPr>
        <w:ind w:firstLine="482"/>
      </w:pPr>
      <w:r>
        <w:rPr>
          <w:rFonts w:ascii="宋体" w:hAnsi="宋体" w:eastAsia="宋体"/>
          <w:sz w:val="24"/>
        </w:rPr>
        <w:t>贵州拥有丰富的非物质文化遗产资源，包括苗族银饰锻制技艺、苗族蜡染、侗族大歌、苗族刺绣、安顺地戏等国家级非遗项目。本项目旨在通过数字化技术保存非遗的核心技艺和文化信息，并以 VR/AR 沉浸式展示方式向公众传播[15]。</w:t>
      </w:r>
    </w:p>
    <w:p/>
    <w:p>
      <w:pPr>
        <w:pStyle w:val="Heading3"/>
      </w:pPr>
      <w:r>
        <w:t>8.6.2 苗族银饰锻制技艺的数字化采集</w:t>
      </w:r>
    </w:p>
    <w:p/>
    <w:p>
      <w:pPr>
        <w:ind w:firstLine="482"/>
      </w:pPr>
      <w:r>
        <w:rPr>
          <w:rFonts w:ascii="宋体" w:hAnsi="宋体" w:eastAsia="宋体"/>
          <w:sz w:val="24"/>
        </w:rPr>
        <w:t>苗族银饰锻制技艺是国家级非遗项目，传承人需要经过数十年的学习才能掌握完整的锻制流程。项目团队对一位省级传承人的锻制过程进行了全面的数字化采集[15]：</w:t>
      </w:r>
    </w:p>
    <w:p/>
    <w:p>
      <w:pPr>
        <w:ind w:firstLine="482"/>
      </w:pPr>
      <w:r>
        <w:rPr>
          <w:rFonts w:ascii="宋体" w:hAnsi="宋体" w:eastAsia="宋体"/>
          <w:b/>
          <w:sz w:val="24"/>
        </w:rPr>
        <w:t>动作捕捉</w:t>
      </w:r>
      <w:r>
        <w:rPr>
          <w:rFonts w:ascii="宋体" w:hAnsi="宋体" w:eastAsia="宋体"/>
          <w:sz w:val="24"/>
        </w:rPr>
        <w:t>：使用 Azure Kinect 深度相机阵列（3 台呈三角部署）捕捉传承人的手部动作和身体姿态。以 30fps 的帧率记录完整的银饰锻制流程（包括熔银、锻打、拉丝、编织、焊接、打磨等工序），总采集时长约 8 小时。动作数据经过清理和优化后，可以在 VR 中以第一人称视角重现传承人的操作过程。</w:t>
      </w:r>
    </w:p>
    <w:p/>
    <w:p>
      <w:pPr>
        <w:ind w:firstLine="482"/>
      </w:pPr>
      <w:r>
        <w:rPr>
          <w:rFonts w:ascii="宋体" w:hAnsi="宋体" w:eastAsia="宋体"/>
          <w:b/>
          <w:sz w:val="24"/>
        </w:rPr>
        <w:t>三维扫描</w:t>
      </w:r>
      <w:r>
        <w:rPr>
          <w:rFonts w:ascii="宋体" w:hAnsi="宋体" w:eastAsia="宋体"/>
          <w:sz w:val="24"/>
        </w:rPr>
        <w:t>：使用 EinScan Pro HD 手持三维扫描仪对银饰成品和中间产物进行高精度扫描（精度 0.05mm），生成可用于 VR 展示和 3D 打印的高精度数字模型。每件银饰的扫描数据包含 50 万-200 万个点，经过网格化和纹理映射后形成逼真的 3D 数字资产。</w:t>
      </w:r>
    </w:p>
    <w:p/>
    <w:p>
      <w:pPr>
        <w:ind w:firstLine="482"/>
      </w:pPr>
      <w:r>
        <w:rPr>
          <w:rFonts w:ascii="宋体" w:hAnsi="宋体" w:eastAsia="宋体"/>
          <w:b/>
          <w:sz w:val="24"/>
        </w:rPr>
        <w:t>口述史记录</w:t>
      </w:r>
      <w:r>
        <w:rPr>
          <w:rFonts w:ascii="宋体" w:hAnsi="宋体" w:eastAsia="宋体"/>
          <w:sz w:val="24"/>
        </w:rPr>
        <w:t>：对传承人进行深度访谈（总计 12 小时），记录其学艺经历、技艺要点、文化内涵和传承困境。访谈内容经整理后形成文字档案和音频档案，用于 VR 展示中的语音讲解和文化背景介绍。</w:t>
      </w:r>
    </w:p>
    <w:p/>
    <w:p>
      <w:pPr>
        <w:ind w:firstLine="482"/>
      </w:pPr>
      <w:r>
        <w:rPr>
          <w:rFonts w:ascii="宋体" w:hAnsi="宋体" w:eastAsia="宋体"/>
          <w:b/>
          <w:sz w:val="24"/>
        </w:rPr>
        <w:t>工具与环境数字化</w:t>
      </w:r>
      <w:r>
        <w:rPr>
          <w:rFonts w:ascii="宋体" w:hAnsi="宋体" w:eastAsia="宋体"/>
          <w:sz w:val="24"/>
        </w:rPr>
        <w:t>：对传承人的工作台、工具（锤子、砧板、拉丝板、焊枪等）和作坊环境进行 3D 扫描和全景拍摄，在 VR 中还原真实的工作场景。</w:t>
      </w:r>
    </w:p>
    <w:p/>
    <w:p>
      <w:pPr>
        <w:pStyle w:val="Heading3"/>
      </w:pPr>
      <w:r>
        <w:t>8.6.3 沉浸式展示设计</w:t>
      </w:r>
    </w:p>
    <w:p/>
    <w:p>
      <w:pPr>
        <w:ind w:firstLine="482"/>
      </w:pPr>
      <w:r>
        <w:rPr>
          <w:rFonts w:ascii="宋体" w:hAnsi="宋体" w:eastAsia="宋体"/>
          <w:sz w:val="24"/>
        </w:rPr>
        <w:t>基于数字化采集的素材，设计了三种沉浸式展示模式[15]：</w:t>
      </w:r>
    </w:p>
    <w:p/>
    <w:p>
      <w:pPr>
        <w:ind w:firstLine="482"/>
      </w:pPr>
      <w:r>
        <w:rPr>
          <w:rFonts w:ascii="宋体" w:hAnsi="宋体" w:eastAsia="宋体"/>
          <w:b/>
          <w:sz w:val="24"/>
        </w:rPr>
        <w:t>VR 体验模式</w:t>
      </w:r>
      <w:r>
        <w:rPr>
          <w:rFonts w:ascii="宋体" w:hAnsi="宋体" w:eastAsia="宋体"/>
          <w:sz w:val="24"/>
        </w:rPr>
        <w:t>：用户戴上 VR 头显，进入虚拟的苗族银饰作坊。在虚拟作坊中，用户可以（1）自由观察作坊环境和工具布局；（2）以第一人称视角观看传承人的锻制动作回放（支持暂停、慢放和角度切换）；（3）通过手柄模拟锻制操作（虚拟锤打、拉丝等），系统根据动作准确度给予反馈；（4）拿起虚拟银饰进行 360 度观察和细节放大。</w:t>
      </w:r>
    </w:p>
    <w:p/>
    <w:p>
      <w:pPr>
        <w:ind w:firstLine="482"/>
      </w:pPr>
      <w:r>
        <w:rPr>
          <w:rFonts w:ascii="宋体" w:hAnsi="宋体" w:eastAsia="宋体"/>
          <w:b/>
          <w:sz w:val="24"/>
        </w:rPr>
        <w:t>AR 互动模式</w:t>
      </w:r>
      <w:r>
        <w:rPr>
          <w:rFonts w:ascii="宋体" w:hAnsi="宋体" w:eastAsia="宋体"/>
          <w:sz w:val="24"/>
        </w:rPr>
        <w:t>：在博物馆展厅中，用户通过手机或 AR 眼镜扫描银饰实物，AR 界面叠加显示银饰的 3D 模型（可旋转查看背面和内部结构）、锻制工艺动画（显示从银锭到成品的制作流程）和传承人介绍视频。</w:t>
      </w:r>
    </w:p>
    <w:p/>
    <w:p>
      <w:pPr>
        <w:ind w:firstLine="482"/>
      </w:pPr>
      <w:r>
        <w:rPr>
          <w:rFonts w:ascii="宋体" w:hAnsi="宋体" w:eastAsia="宋体"/>
          <w:b/>
          <w:sz w:val="24"/>
        </w:rPr>
        <w:t>Web 展示模式</w:t>
      </w:r>
      <w:r>
        <w:rPr>
          <w:rFonts w:ascii="宋体" w:hAnsi="宋体" w:eastAsia="宋体"/>
          <w:sz w:val="24"/>
        </w:rPr>
        <w:t>：在网页上以 3D 模型查看器和 360 度全景展示银饰作品，配合文字和音频讲解。这一模式覆盖最广泛的用户群体，无需 VR/AR 设备即可体验。</w:t>
      </w:r>
    </w:p>
    <w:p/>
    <w:p>
      <w:pPr>
        <w:pStyle w:val="Heading3"/>
      </w:pPr>
      <w:r>
        <w:t>8.6.4 项目效果与反思</w:t>
      </w:r>
    </w:p>
    <w:p/>
    <w:p>
      <w:pPr>
        <w:ind w:firstLine="482"/>
      </w:pPr>
      <w:r>
        <w:rPr>
          <w:rFonts w:ascii="宋体" w:hAnsi="宋体" w:eastAsia="宋体"/>
          <w:sz w:val="24"/>
        </w:rPr>
        <w:t>项目实施后的效果评估[15]：</w:t>
      </w:r>
    </w:p>
    <w:p/>
    <w:p>
      <w:pPr>
        <w:ind w:firstLine="482"/>
      </w:pPr>
      <w:r>
        <w:rPr>
          <w:rFonts w:ascii="宋体" w:hAnsi="宋体" w:eastAsia="宋体"/>
          <w:b/>
          <w:sz w:val="24"/>
        </w:rPr>
        <w:t>文化保存效果</w:t>
      </w:r>
      <w:r>
        <w:rPr>
          <w:rFonts w:ascii="宋体" w:hAnsi="宋体" w:eastAsia="宋体"/>
          <w:sz w:val="24"/>
        </w:rPr>
        <w:t>：数字化采集为苗族银饰锻制技艺建立了完整的数字档案（动作数据 8 小时、3D 模型 35 件、口述史 12 小时、环境数据 1 套），即使传承人无法继续传授，这些数字资产也能为未来的文化研究和技艺复原提供依据。</w:t>
      </w:r>
    </w:p>
    <w:p/>
    <w:p>
      <w:pPr>
        <w:ind w:firstLine="482"/>
      </w:pPr>
      <w:r>
        <w:rPr>
          <w:rFonts w:ascii="宋体" w:hAnsi="宋体" w:eastAsia="宋体"/>
          <w:b/>
          <w:sz w:val="24"/>
        </w:rPr>
        <w:t>文化传播效果</w:t>
      </w:r>
      <w:r>
        <w:rPr>
          <w:rFonts w:ascii="宋体" w:hAnsi="宋体" w:eastAsia="宋体"/>
          <w:sz w:val="24"/>
        </w:rPr>
        <w:t>：VR 体验在贵州省博物馆展出 3 个月，接待观众 8,500 人次。观众调查显示，VR 体验后对苗族银饰文化的了解度提升 62%，对非遗保护的关注度提升 45%，购买银饰文创产品的意愿提升 38%。</w:t>
      </w:r>
    </w:p>
    <w:p/>
    <w:p>
      <w:pPr>
        <w:ind w:firstLine="482"/>
      </w:pPr>
      <w:r>
        <w:rPr>
          <w:rFonts w:ascii="宋体" w:hAnsi="宋体" w:eastAsia="宋体"/>
          <w:b/>
          <w:sz w:val="24"/>
        </w:rPr>
        <w:t>传承人反馈</w:t>
      </w:r>
      <w:r>
        <w:rPr>
          <w:rFonts w:ascii="宋体" w:hAnsi="宋体" w:eastAsia="宋体"/>
          <w:sz w:val="24"/>
        </w:rPr>
        <w:t>：传承人表示数字化记录让他感到"自己的手艺不会失传了"，同时也担心数字化可能让人误以为"看 VR 就等于学会了手艺"。这一反思提示我们在数字化保护中需要强调"记录不等于传承"——数字化是保存手段，活态传承仍需要人与人之间的口传心授[15]。</w:t>
      </w:r>
    </w:p>
    <w:p/>
    <w:p>
      <w:pPr>
        <w:pStyle w:val="Heading2"/>
      </w:pPr>
      <w:r>
        <w:t>8.7 文化遗产数字化的未来方向</w:t>
      </w:r>
    </w:p>
    <w:p/>
    <w:p>
      <w:pPr>
        <w:pStyle w:val="Heading3"/>
      </w:pPr>
      <w:r>
        <w:t>8.7.1 AI 辅助的文化遗产修复</w:t>
      </w:r>
    </w:p>
    <w:p/>
    <w:p>
      <w:pPr>
        <w:ind w:firstLine="482"/>
      </w:pPr>
      <w:r>
        <w:rPr>
          <w:rFonts w:ascii="宋体" w:hAnsi="宋体" w:eastAsia="宋体"/>
          <w:sz w:val="24"/>
        </w:rPr>
        <w:t>人工智能正在为文化遗产修复提供新的工具[16]。深度学习模型可以从残损文物的 3D 扫描数据中推断缺失部分的形态——例如，对于残缺的陶器，AI 可以根据对称性和纹饰规律预测缺失部分的形状和纹样。对于褪色的壁画，AI 可以根据残留的色彩信息和历史文献记载进行虚拟复原，在 VR 中展示原貌与现状的对比。</w:t>
      </w:r>
    </w:p>
    <w:p/>
    <w:p>
      <w:pPr>
        <w:pStyle w:val="Heading3"/>
      </w:pPr>
      <w:r>
        <w:t>8.7.2 数字孪生与预防性保护</w:t>
      </w:r>
    </w:p>
    <w:p/>
    <w:p>
      <w:pPr>
        <w:ind w:firstLine="482"/>
      </w:pPr>
      <w:r>
        <w:rPr>
          <w:rFonts w:ascii="宋体" w:hAnsi="宋体" w:eastAsia="宋体"/>
          <w:sz w:val="24"/>
        </w:rPr>
        <w:t>文化遗产的数字孪生不仅用于展示，更可用于预防性保护[16]。通过在文物上部署传感器（温度、湿度、振动、光照），将实时数据接入数字孪生模型，可以监测文物的保存状态并预警潜在风险。例如，当某处壁画的湿度超过阈值时，系统自动发出预警并启动除湿设备。这种"智慧文物"管理模式代表了文化遗产保护的未来方向。</w:t>
      </w:r>
    </w:p>
    <w:p/>
    <w:p/>
    <w:p>
      <w:pPr>
        <w:pStyle w:val="Heading2"/>
      </w:pPr>
      <w:r>
        <w:t>8.8 红色文化的沉浸式传承</w:t>
      </w:r>
    </w:p>
    <w:p/>
    <w:p>
      <w:pPr>
        <w:pStyle w:val="Heading3"/>
      </w:pPr>
      <w:r>
        <w:t>8.8.1 红色文化 VR/AR 应用的价值</w:t>
      </w:r>
    </w:p>
    <w:p/>
    <w:p>
      <w:pPr>
        <w:ind w:firstLine="482"/>
      </w:pPr>
      <w:r>
        <w:rPr>
          <w:rFonts w:ascii="宋体" w:hAnsi="宋体" w:eastAsia="宋体"/>
          <w:sz w:val="24"/>
        </w:rPr>
        <w:t>红色文化是中国特色社会主义文化的重要组成部分，VR/AR 技术为红色文化的沉浸式传承提供了新的媒介形式[17]。传统的红色文化教育以看展板、听讲解、读文字为主，难以激发年轻一代的情感共鸣。VR/AR 技术可以将历史事件重现到用户面前，用户不再是旁观者而是亲历者，在虚拟空间中穿越到历史现场，与历史人物对话，感受历史的厚重和革命精神的伟大。</w:t>
      </w:r>
    </w:p>
    <w:p/>
    <w:p>
      <w:pPr>
        <w:pStyle w:val="Heading3"/>
      </w:pPr>
      <w:r>
        <w:t>8.8.2 遵义会议 VR 体验项目</w:t>
      </w:r>
    </w:p>
    <w:p/>
    <w:p>
      <w:pPr>
        <w:ind w:firstLine="482"/>
      </w:pPr>
      <w:r>
        <w:rPr>
          <w:rFonts w:ascii="宋体" w:hAnsi="宋体" w:eastAsia="宋体"/>
          <w:sz w:val="24"/>
        </w:rPr>
        <w:t>遵义会议是中国革命的历史转折点。VR 体验项目将用户带回 1935 年 1 月的遵义城[17]：基于历史照片和文献资料在 VR 中 1:1 还原遵义会议会址的内外场景，建筑材质、家具陈设、人物服饰均经历史学家审核。用户以会议记录员的虚拟身份参与会议，会议中的 20 位历史人物以 3D 数字人形式呈现，根据历史记载的发言内容进行对话。通过光照变化、音效设计和叙事节奏营造历史转折时刻的氛围张力，用户在体验后普遍反映感受到了历史的重量和对革命先辈的敬意。</w:t>
      </w:r>
    </w:p>
    <w:p/>
    <w:p>
      <w:pPr>
        <w:pStyle w:val="Heading3"/>
      </w:pPr>
      <w:r>
        <w:t>8.8.3 红色文化数字化的伦理准则</w:t>
      </w:r>
    </w:p>
    <w:p/>
    <w:p>
      <w:pPr>
        <w:ind w:firstLine="482"/>
      </w:pPr>
      <w:r>
        <w:rPr>
          <w:rFonts w:ascii="宋体" w:hAnsi="宋体" w:eastAsia="宋体"/>
          <w:sz w:val="24"/>
        </w:rPr>
        <w:t>红色文化的数字化需要遵循严格的伦理准则[17]：（1）历史准确性——虚拟还原必须基于可靠的历史资料，不得虚构或歪曲历史事实；（2）严肃性——避免将红色文化游戏化，VR 体验应庄重肃穆；（3）教育性——体验设计应服务于历史教育和价值观传递；（4）尊重性——对历史人物的形象呈现应庄重得体。</w:t>
      </w:r>
    </w:p>
    <w:p/>
    <w:p>
      <w:pPr>
        <w:pStyle w:val="Heading2"/>
      </w:pPr>
      <w:r>
        <w:t>8.9 贵州特色文化遗产的数字化实践</w:t>
      </w:r>
    </w:p>
    <w:p/>
    <w:p>
      <w:pPr>
        <w:pStyle w:val="Heading3"/>
      </w:pPr>
      <w:r>
        <w:t>8.9.1 侗族大歌的数字化保存</w:t>
      </w:r>
    </w:p>
    <w:p/>
    <w:p>
      <w:pPr>
        <w:ind w:firstLine="482"/>
      </w:pPr>
      <w:r>
        <w:rPr>
          <w:rFonts w:ascii="宋体" w:hAnsi="宋体" w:eastAsia="宋体"/>
          <w:sz w:val="24"/>
        </w:rPr>
        <w:t>侗族大歌是世界非物质文化遗产，以其多声部无伴奏合唱的独特形式闻名于世[15]。数字化保存采用多轨录音（32 轨在侗寨鼓楼现场录制）、动作捕捉（记录演唱者的面部表情和身体动作）和文化语境记录（歌词翻译、演唱场合、传承谱系）相结合的方法，在 VR 中不仅还原声音还还原表演状态和文化背景。</w:t>
      </w:r>
    </w:p>
    <w:p/>
    <w:p>
      <w:pPr>
        <w:pStyle w:val="Heading3"/>
      </w:pPr>
      <w:r>
        <w:t>8.9.2 苗族刺绣纹样的数字图谱</w:t>
      </w:r>
    </w:p>
    <w:p/>
    <w:p>
      <w:pPr>
        <w:ind w:firstLine="482"/>
      </w:pPr>
      <w:r>
        <w:rPr>
          <w:rFonts w:ascii="宋体" w:hAnsi="宋体" w:eastAsia="宋体"/>
          <w:sz w:val="24"/>
        </w:rPr>
        <w:t>苗族刺绣纹样蕴含着丰富的文化符号和历史记忆[15]。数字化项目对 500+ 个纹样进行了高清扫描（1200dpi）和矢量化处理，建立了按支系、颜色、主题、年代多维检索的数字图谱数据库。在 VR 中用户可以放大观察纹样的针脚细节、了解文化含义、尝试虚拟刺绣，将传统的看展品转化为学手艺的互动过程。</w:t>
      </w:r>
    </w:p>
    <w:p/>
    <w:p/>
    <w:p>
      <w:pPr>
        <w:pStyle w:val="Heading2"/>
      </w:pPr>
      <w:r>
        <w:t>8.10 文化遗产数字化的技术标准与规范</w:t>
      </w:r>
    </w:p>
    <w:p/>
    <w:p>
      <w:pPr>
        <w:pStyle w:val="Heading3"/>
      </w:pPr>
      <w:r>
        <w:t>8.10.1 数字化采集技术标准</w:t>
      </w:r>
    </w:p>
    <w:p/>
    <w:p>
      <w:pPr>
        <w:ind w:firstLine="482"/>
      </w:pPr>
      <w:r>
        <w:rPr>
          <w:rFonts w:ascii="宋体" w:hAnsi="宋体" w:eastAsia="宋体"/>
          <w:sz w:val="24"/>
        </w:rPr>
        <w:t>文化遗产数字化采集需要遵循统一的技术标准以确保数据质量[16]：</w:t>
      </w:r>
    </w:p>
    <w:p/>
    <w:p>
      <w:pPr>
        <w:ind w:firstLine="482"/>
      </w:pPr>
      <w:r>
        <w:rPr>
          <w:rFonts w:ascii="宋体" w:hAnsi="宋体" w:eastAsia="宋体"/>
          <w:b/>
          <w:sz w:val="24"/>
        </w:rPr>
        <w:t>三维扫描标准</w:t>
      </w:r>
      <w:r>
        <w:rPr>
          <w:rFonts w:ascii="宋体" w:hAnsi="宋体" w:eastAsia="宋体"/>
          <w:sz w:val="24"/>
        </w:rPr>
        <w:t>：文物三维扫描的精度要求根据文物级别确定——一级文物扫描精度不低于 0.05mm，二级文物不低于 0.1mm，三级文物不低于 0.5mm。扫描数据应包含彩色纹理信息（RGB）和几何信息（XYZ），输出格式为 PLY 或 OBJ（含纹理坐标）。每个文物的扫描数据应附带元数据（文物编号、名称、年代、材质、尺寸、扫描设备、扫描日期、操作人员）。</w:t>
      </w:r>
    </w:p>
    <w:p/>
    <w:p>
      <w:pPr>
        <w:ind w:firstLine="482"/>
      </w:pPr>
      <w:r>
        <w:rPr>
          <w:rFonts w:ascii="宋体" w:hAnsi="宋体" w:eastAsia="宋体"/>
          <w:b/>
          <w:sz w:val="24"/>
        </w:rPr>
        <w:t>全景拍摄标准</w:t>
      </w:r>
      <w:r>
        <w:rPr>
          <w:rFonts w:ascii="宋体" w:hAnsi="宋体" w:eastAsia="宋体"/>
          <w:sz w:val="24"/>
        </w:rPr>
        <w:t>：文化遗产全景影像的分辨率不低于 8K（7680x3840），HDR 拍摄（至少 3 档包围曝光），色彩管理使用 sRGB 色彩空间。全景图应包含指北针信息和 GPS 坐标，便于空间定位。全景视频帧率不低于 30fps，码率不低于 50Mbps。</w:t>
      </w:r>
    </w:p>
    <w:p/>
    <w:p>
      <w:pPr>
        <w:ind w:firstLine="482"/>
      </w:pPr>
      <w:r>
        <w:rPr>
          <w:rFonts w:ascii="宋体" w:hAnsi="宋体" w:eastAsia="宋体"/>
          <w:b/>
          <w:sz w:val="24"/>
        </w:rPr>
        <w:t>音频采集标准</w:t>
      </w:r>
      <w:r>
        <w:rPr>
          <w:rFonts w:ascii="宋体" w:hAnsi="宋体" w:eastAsia="宋体"/>
          <w:sz w:val="24"/>
        </w:rPr>
        <w:t>：文化遗产相关音频（口述史、民歌、仪式音效）使用不低于 48kHz/24bit 的采样率录制，使用专业录音设备（如 Zoom H6 或更高级别）。环境噪声不高于 -60dB。多轨录音时每个声源独立分轨。音频文件应附带采集信息（录制地点、时间、被采访人、设备型号）。</w:t>
      </w:r>
    </w:p>
    <w:p/>
    <w:p>
      <w:pPr>
        <w:pStyle w:val="Heading3"/>
      </w:pPr>
      <w:r>
        <w:t>8.10.2 数字化存储与长期保存</w:t>
      </w:r>
    </w:p>
    <w:p/>
    <w:p>
      <w:pPr>
        <w:ind w:firstLine="482"/>
      </w:pPr>
      <w:r>
        <w:rPr>
          <w:rFonts w:ascii="宋体" w:hAnsi="宋体" w:eastAsia="宋体"/>
          <w:sz w:val="24"/>
        </w:rPr>
        <w:t>文化遗产数字资产需要长期保存（50 年以上），这对存储介质和数据格式提出了特殊要求[16]：</w:t>
      </w:r>
    </w:p>
    <w:p/>
    <w:p>
      <w:pPr>
        <w:ind w:firstLine="482"/>
      </w:pPr>
      <w:r>
        <w:rPr>
          <w:rFonts w:ascii="宋体" w:hAnsi="宋体" w:eastAsia="宋体"/>
          <w:b/>
          <w:sz w:val="24"/>
        </w:rPr>
        <w:t>存储介质</w:t>
      </w:r>
      <w:r>
        <w:rPr>
          <w:rFonts w:ascii="宋体" w:hAnsi="宋体" w:eastAsia="宋体"/>
          <w:sz w:val="24"/>
        </w:rPr>
        <w:t>：采用 3-2-1 备份策略——3 份副本存储在 2 种不同介质（硬盘+磁带或硬盘+光盘）上，1 份异地存储。每 5 年进行一次介质迁移（将数据从旧介质复制到新介质），防止介质老化导致数据丢失。定期（每年）进行数据完整性校验（checksum 验证），确保数据未损坏。</w:t>
      </w:r>
    </w:p>
    <w:p/>
    <w:p>
      <w:pPr>
        <w:ind w:firstLine="482"/>
      </w:pPr>
      <w:r>
        <w:rPr>
          <w:rFonts w:ascii="宋体" w:hAnsi="宋体" w:eastAsia="宋体"/>
          <w:b/>
          <w:sz w:val="24"/>
        </w:rPr>
        <w:t>数据格式</w:t>
      </w:r>
      <w:r>
        <w:rPr>
          <w:rFonts w:ascii="宋体" w:hAnsi="宋体" w:eastAsia="宋体"/>
          <w:sz w:val="24"/>
        </w:rPr>
        <w:t>：长期保存的数据应使用开放标准格式——3D 模型使用 OBJ 或 PLY（非专有格式），图像使用 TIFF（无损压缩），音频使用 WAV（无压缩），视频使用 FFV1（无损编码）。避免使用专有格式（如 .max、.psd）因为专有软件可能在未来停止支持。</w:t>
      </w:r>
    </w:p>
    <w:p/>
    <w:p>
      <w:pPr>
        <w:ind w:firstLine="482"/>
      </w:pPr>
      <w:r>
        <w:rPr>
          <w:rFonts w:ascii="宋体" w:hAnsi="宋体" w:eastAsia="宋体"/>
          <w:b/>
          <w:sz w:val="24"/>
        </w:rPr>
        <w:t>元数据标准</w:t>
      </w:r>
      <w:r>
        <w:rPr>
          <w:rFonts w:ascii="宋体" w:hAnsi="宋体" w:eastAsia="宋体"/>
          <w:sz w:val="24"/>
        </w:rPr>
        <w:t>：使用 Dublin Core 或 CIDOC CRM（国际博物馆协会制定的文化遗产元数据标准）描述数字资产的元数据，确保数据的可发现性和互操作性。元数据应包含文物标识、数字化方式、技术参数、权属信息和访问权限等字段。</w:t>
      </w:r>
    </w:p>
    <w:p/>
    <w:p>
      <w:pPr>
        <w:pStyle w:val="Heading3"/>
      </w:pPr>
      <w:r>
        <w:t>8.10.3 数字化成果的开放共享</w:t>
      </w:r>
    </w:p>
    <w:p/>
    <w:p>
      <w:pPr>
        <w:ind w:firstLine="482"/>
      </w:pPr>
      <w:r>
        <w:rPr>
          <w:rFonts w:ascii="宋体" w:hAnsi="宋体" w:eastAsia="宋体"/>
          <w:sz w:val="24"/>
        </w:rPr>
        <w:t>文化遗产数字化成果的开放共享是促进文化传播和学术研究的重要举措[16]：</w:t>
      </w:r>
    </w:p>
    <w:p/>
    <w:p>
      <w:pPr>
        <w:ind w:firstLine="482"/>
      </w:pPr>
      <w:r>
        <w:rPr>
          <w:rFonts w:ascii="宋体" w:hAnsi="宋体" w:eastAsia="宋体"/>
          <w:b/>
          <w:sz w:val="24"/>
        </w:rPr>
        <w:t>分级开放策略</w:t>
      </w:r>
      <w:r>
        <w:rPr>
          <w:rFonts w:ascii="宋体" w:hAnsi="宋体" w:eastAsia="宋体"/>
          <w:sz w:val="24"/>
        </w:rPr>
        <w:t>：根据文物的敏感程度和权属方的意愿，将数字化成果分为三级——公开级（面向公众开放，可免费下载和使用）、授权级（需申请授权后使用，如学术研究或教育用途）和限制级（仅限内部研究使用，不对外公开）。这一策略平衡了开放共享与保护管理的需求。</w:t>
      </w:r>
    </w:p>
    <w:p/>
    <w:p>
      <w:pPr>
        <w:ind w:firstLine="482"/>
      </w:pPr>
      <w:r>
        <w:rPr>
          <w:rFonts w:ascii="宋体" w:hAnsi="宋体" w:eastAsia="宋体"/>
          <w:b/>
          <w:sz w:val="24"/>
        </w:rPr>
        <w:t>开放数据平台</w:t>
      </w:r>
      <w:r>
        <w:rPr>
          <w:rFonts w:ascii="宋体" w:hAnsi="宋体" w:eastAsia="宋体"/>
          <w:sz w:val="24"/>
        </w:rPr>
        <w:t>：建设文化遗产数字资源公共服务平台，提供数字化成果的在线检索、预览和下载功能。平台应支持 IIIF（International Image Interoperability Framework）协议，实现高清图像的分级加载和跨平台互操作。平台应提供 API 接口，支持第三方应用（如 VR/AR 应用、教育平台）接入数字资源[16]。</w:t>
      </w:r>
    </w:p>
    <w:p/>
    <w:p>
      <w:pPr>
        <w:ind w:firstLine="482"/>
      </w:pPr>
      <w:r>
        <w:rPr>
          <w:rFonts w:ascii="宋体" w:hAnsi="宋体" w:eastAsia="宋体"/>
          <w:b/>
          <w:sz w:val="24"/>
        </w:rPr>
        <w:t>版权与使用许可</w:t>
      </w:r>
      <w:r>
        <w:rPr>
          <w:rFonts w:ascii="宋体" w:hAnsi="宋体" w:eastAsia="宋体"/>
          <w:sz w:val="24"/>
        </w:rPr>
        <w:t>：对于公共领域的文化遗产数字化成果，推荐使用 CC0（公共领域捐赠）或 CC BY 4.0（署名）许可，最大程度促进公共使用。对于有限开放的成果，使用 CC BY-NC-SA 4.0（署名-非商业-相同许可）许可。所有数字化成果应明确标注版权状态和使用条款[16]。</w:t>
      </w:r>
    </w:p>
    <w:p/>
    <w:p/>
    <w:p>
      <w:pPr>
        <w:pStyle w:val="Heading2"/>
      </w:pPr>
      <w:r>
        <w:t>8.11 文化遗产数字化项目的组织实施</w:t>
      </w:r>
    </w:p>
    <w:p/>
    <w:p>
      <w:pPr>
        <w:pStyle w:val="Heading3"/>
      </w:pPr>
      <w:r>
        <w:t>8.11.1 项目组织架构</w:t>
      </w:r>
    </w:p>
    <w:p/>
    <w:p>
      <w:pPr>
        <w:ind w:firstLine="482"/>
      </w:pPr>
      <w:r>
        <w:rPr>
          <w:rFonts w:ascii="宋体" w:hAnsi="宋体" w:eastAsia="宋体"/>
          <w:sz w:val="24"/>
        </w:rPr>
        <w:t>文化遗产数字化项目通常涉及多方协作，建议建立以下组织架构[16]：</w:t>
      </w:r>
    </w:p>
    <w:p/>
    <w:p>
      <w:pPr>
        <w:ind w:firstLine="482"/>
      </w:pPr>
      <w:r>
        <w:rPr>
          <w:rFonts w:ascii="宋体" w:hAnsi="宋体" w:eastAsia="宋体"/>
          <w:b/>
          <w:sz w:val="24"/>
        </w:rPr>
        <w:t>指导委员会</w:t>
      </w:r>
      <w:r>
        <w:rPr>
          <w:rFonts w:ascii="宋体" w:hAnsi="宋体" w:eastAsia="宋体"/>
          <w:sz w:val="24"/>
        </w:rPr>
        <w:t>：由文物主管部门、博物馆/景区管理方、项目资助方和文化专家组成，负责项目方向决策和重大事项审批。</w:t>
      </w:r>
    </w:p>
    <w:p/>
    <w:p>
      <w:pPr>
        <w:ind w:firstLine="482"/>
      </w:pPr>
      <w:r>
        <w:rPr>
          <w:rFonts w:ascii="宋体" w:hAnsi="宋体" w:eastAsia="宋体"/>
          <w:b/>
          <w:sz w:val="24"/>
        </w:rPr>
        <w:t>项目管理办公室</w:t>
      </w:r>
      <w:r>
        <w:rPr>
          <w:rFonts w:ascii="宋体" w:hAnsi="宋体" w:eastAsia="宋体"/>
          <w:sz w:val="24"/>
        </w:rPr>
        <w:t>：设项目经理 1 名，负责项目计划制定、进度跟踪、资源协调和质量控制。配备文档管理员负责项目文档和数字资产的归档管理。</w:t>
      </w:r>
    </w:p>
    <w:p/>
    <w:p>
      <w:pPr>
        <w:ind w:firstLine="482"/>
      </w:pPr>
      <w:r>
        <w:rPr>
          <w:rFonts w:ascii="宋体" w:hAnsi="宋体" w:eastAsia="宋体"/>
          <w:b/>
          <w:sz w:val="24"/>
        </w:rPr>
        <w:t>技术团队</w:t>
      </w:r>
      <w:r>
        <w:rPr>
          <w:rFonts w:ascii="宋体" w:hAnsi="宋体" w:eastAsia="宋体"/>
          <w:sz w:val="24"/>
        </w:rPr>
        <w:t>：包括 3D 扫描工程师（负责文物数字化采集）、3D 建模师（负责模型清理和优化）、VR/AR 开发工程师（负责应用开发）和 IT 运维工程师（负责系统和数据管理）。</w:t>
      </w:r>
    </w:p>
    <w:p/>
    <w:p>
      <w:pPr>
        <w:ind w:firstLine="482"/>
      </w:pPr>
      <w:r>
        <w:rPr>
          <w:rFonts w:ascii="宋体" w:hAnsi="宋体" w:eastAsia="宋体"/>
          <w:b/>
          <w:sz w:val="24"/>
        </w:rPr>
        <w:t>内容团队</w:t>
      </w:r>
      <w:r>
        <w:rPr>
          <w:rFonts w:ascii="宋体" w:hAnsi="宋体" w:eastAsia="宋体"/>
          <w:sz w:val="24"/>
        </w:rPr>
        <w:t>：包括文化研究员（负责文化内容研究和脚本撰写）、教育设计专家（负责教学设计）和媒体制作人员（负责音频、视频和图片制作）。</w:t>
      </w:r>
    </w:p>
    <w:p/>
    <w:p>
      <w:pPr>
        <w:ind w:firstLine="482"/>
      </w:pPr>
      <w:r>
        <w:rPr>
          <w:rFonts w:ascii="宋体" w:hAnsi="宋体" w:eastAsia="宋体"/>
          <w:b/>
          <w:sz w:val="24"/>
        </w:rPr>
        <w:t>审核团队</w:t>
      </w:r>
      <w:r>
        <w:rPr>
          <w:rFonts w:ascii="宋体" w:hAnsi="宋体" w:eastAsia="宋体"/>
          <w:sz w:val="24"/>
        </w:rPr>
        <w:t>：由文化专家、文物专家和法律顾问组成，负责文化准确性审核、技术规范审核和合规性审查[16]。</w:t>
      </w:r>
    </w:p>
    <w:p/>
    <w:p>
      <w:pPr>
        <w:pStyle w:val="Heading3"/>
      </w:pPr>
      <w:r>
        <w:t>8.11.2 实施流程与质量控制</w:t>
      </w:r>
    </w:p>
    <w:p/>
    <w:p>
      <w:pPr>
        <w:ind w:firstLine="482"/>
      </w:pPr>
      <w:r>
        <w:rPr>
          <w:rFonts w:ascii="宋体" w:hAnsi="宋体" w:eastAsia="宋体"/>
          <w:sz w:val="24"/>
        </w:rPr>
        <w:t>文化遗产数字化项目的实施分为四个阶段[16]：</w:t>
      </w:r>
    </w:p>
    <w:p/>
    <w:p>
      <w:pPr>
        <w:ind w:firstLine="482"/>
      </w:pPr>
      <w:r>
        <w:rPr>
          <w:rFonts w:ascii="宋体" w:hAnsi="宋体" w:eastAsia="宋体"/>
          <w:b/>
          <w:sz w:val="24"/>
        </w:rPr>
        <w:t>准备阶段（1-2 月）</w:t>
      </w:r>
      <w:r>
        <w:rPr>
          <w:rFonts w:ascii="宋体" w:hAnsi="宋体" w:eastAsia="宋体"/>
          <w:sz w:val="24"/>
        </w:rPr>
        <w:t>：完成项目立项和资金审批，组建项目团队，进行实地调研和需求分析，制定项目计划和技術方案，采购设备和软件，办理文物数字化许可手续。</w:t>
      </w:r>
    </w:p>
    <w:p/>
    <w:p>
      <w:pPr>
        <w:ind w:firstLine="482"/>
      </w:pPr>
      <w:r>
        <w:rPr>
          <w:rFonts w:ascii="宋体" w:hAnsi="宋体" w:eastAsia="宋体"/>
          <w:b/>
          <w:sz w:val="24"/>
        </w:rPr>
        <w:t>采集阶段（2-4 月）</w:t>
      </w:r>
      <w:r>
        <w:rPr>
          <w:rFonts w:ascii="宋体" w:hAnsi="宋体" w:eastAsia="宋体"/>
          <w:sz w:val="24"/>
        </w:rPr>
        <w:t>：按照技术标准进行文物三维扫描、全景拍摄和音频采集。每个文物采集完成后立即进行质量检查，不合格的重新采集。采集数据按规范命名和归档。</w:t>
      </w:r>
    </w:p>
    <w:p/>
    <w:p>
      <w:pPr>
        <w:ind w:firstLine="482"/>
      </w:pPr>
      <w:r>
        <w:rPr>
          <w:rFonts w:ascii="宋体" w:hAnsi="宋体" w:eastAsia="宋体"/>
          <w:b/>
          <w:sz w:val="24"/>
        </w:rPr>
        <w:t>开发阶段（3-6 月）</w:t>
      </w:r>
      <w:r>
        <w:rPr>
          <w:rFonts w:ascii="宋体" w:hAnsi="宋体" w:eastAsia="宋体"/>
          <w:sz w:val="24"/>
        </w:rPr>
        <w:t>：对采集数据进行后期处理（模型清理、纹理优化、全景拼接），开发 VR/AR 应用，集成文化内容和交互功能。进行内部测试和专家审核。</w:t>
      </w:r>
    </w:p>
    <w:p/>
    <w:p>
      <w:pPr>
        <w:ind w:firstLine="482"/>
      </w:pPr>
      <w:r>
        <w:rPr>
          <w:rFonts w:ascii="宋体" w:hAnsi="宋体" w:eastAsia="宋体"/>
          <w:b/>
          <w:sz w:val="24"/>
        </w:rPr>
        <w:t>验收阶段（1-2 月）</w:t>
      </w:r>
      <w:r>
        <w:rPr>
          <w:rFonts w:ascii="宋体" w:hAnsi="宋体" w:eastAsia="宋体"/>
          <w:sz w:val="24"/>
        </w:rPr>
        <w:t>：进行项目验收，包括技术指标达标性测试、文化准确性审核、用户体验测试和文档完整性检查。验收通过后正式交付并部署运营。</w:t>
      </w:r>
    </w:p>
    <w:p/>
    <w:p>
      <w:pPr>
        <w:pStyle w:val="Heading3"/>
      </w:pPr>
      <w:r>
        <w:t>8.11.3 可持续运营机制</w:t>
      </w:r>
    </w:p>
    <w:p/>
    <w:p>
      <w:pPr>
        <w:ind w:firstLine="482"/>
      </w:pPr>
      <w:r>
        <w:rPr>
          <w:rFonts w:ascii="宋体" w:hAnsi="宋体" w:eastAsia="宋体"/>
          <w:sz w:val="24"/>
        </w:rPr>
        <w:t>文化遗产数字化项目的可持续运营需要建立长效机制[16]：（1）内容更新——定期更新数字化内容，新增文物和场景，保持应用的新鲜感；（2）技术维护——定期进行系统和设备维护，跟踪技术发展趋势，适时进行技术升级；（3）人员培训——培训博物馆/景区工作人员使用和维护数字化系统，建立内部技术能力；（4）资金保障——建立多元化资金来源（政府拨款、门票收入、文创销售、社会捐赠），确保长期运营的资金可持续性[16]。</w:t>
      </w:r>
    </w:p>
    <w:p/>
    <w:p>
      <w:pPr>
        <w:pStyle w:val="Heading3"/>
      </w:pPr>
      <w:r>
        <w:t>8.11.4 国际合作与经验交流</w:t>
      </w:r>
    </w:p>
    <w:p/>
    <w:p>
      <w:pPr>
        <w:ind w:firstLine="482"/>
      </w:pPr>
      <w:r>
        <w:rPr>
          <w:rFonts w:ascii="宋体" w:hAnsi="宋体" w:eastAsia="宋体"/>
          <w:sz w:val="24"/>
        </w:rPr>
        <w:t>文化遗产数字化是全球性的课题，国际合作与经验交流对于提升项目质量具有重要意义[16]。联合国教科文组织数字遗产会议、国际博物馆协会（ICOM）年会、欧盟 Europeana 项目等国际平台提供了丰富的经验分享和标准制定渠道。建议国内文化遗产数字化项目积极参与国际交流，学习先进经验（如欧盟的 3D-ICONS 项目标准、美国史密森尼博物馆的开放数字资产策略），同时将中国的实践成果（特别是少数民族文化数字化方面的经验）向国际社区分享，促进全球文化遗产数字化领域的共同进步。这种开放合作的姿态不仅有助于技术提升，更有助于推动中国文化走向世界，增强中华文化的国际影响力和传播力。</w:t>
      </w:r>
    </w:p>
    <w:p>
      <w:pPr>
        <w:pStyle w:val="Heading2"/>
      </w:pPr>
      <w:r>
        <w:t>本章小结</w:t>
      </w:r>
    </w:p>
    <w:p/>
    <w:p>
      <w:pPr>
        <w:ind w:firstLine="482"/>
      </w:pPr>
      <w:r>
        <w:rPr>
          <w:rFonts w:ascii="宋体" w:hAnsi="宋体" w:eastAsia="宋体"/>
          <w:sz w:val="24"/>
        </w:rPr>
        <w:t>本章系统讲解了文化遗产数字化与沉浸式展示的理论和方法。在理论层面，梳理了文化遗产数字化的国际准则和价值定位，区分了几何数字化、影像数字化和行为数字化三种技术路径。在物质遗产方面，介绍了三维扫描与摄影测量在文物数字化中的应用，讲解了古建筑 VR 重建的两种路径和数字博物馆的发展阶段。在非物质遗产方面，分析了非遗数字化的动态性、语境性和传承性挑战，提出了 VR 叙事性体验设计和动作捕捉技艺保存的方法论。在红色文化方面，探讨了场景复原、事件重现和角色体验的活化路径，强调了沉浸感与庄重感的平衡。最后，以贵州屯堡、苗侗非遗和安顺文化 IP 为例，设计了特色文化遗产的 VR/AR 数字化方案。</w:t>
      </w:r>
    </w:p>
    <w:p/>
    <w:p>
      <w:pPr>
        <w:ind w:firstLine="482"/>
      </w:pPr>
      <w:r>
        <w:rPr>
          <w:rFonts w:ascii="宋体" w:hAnsi="宋体" w:eastAsia="宋体"/>
          <w:sz w:val="24"/>
        </w:rPr>
        <w:t xml:space="preserve">本章内容对应 I.M.M.E.R.S.E. 框架的 </w:t>
      </w:r>
      <w:r>
        <w:rPr>
          <w:rFonts w:ascii="宋体" w:hAnsi="宋体" w:eastAsia="宋体"/>
          <w:b/>
          <w:sz w:val="24"/>
        </w:rPr>
        <w:t>S（Scenario Application，场景应用）</w:t>
      </w:r>
      <w:r>
        <w:rPr>
          <w:rFonts w:ascii="宋体" w:hAnsi="宋体" w:eastAsia="宋体"/>
          <w:sz w:val="24"/>
        </w:rPr>
        <w:t xml:space="preserve"> 维度的文化遗产方向。第9章将转向教育培训方向，探讨 VR/AR 在实训教学中的设计方法论。</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文化遗产数字化的三种技术路径是什么？各自适用于哪类遗产？</w:t>
      </w:r>
    </w:p>
    <w:p>
      <w:pPr>
        <w:pStyle w:val="ListNumber"/>
      </w:pPr>
      <w:r>
        <w:rPr>
          <w:rFonts w:ascii="宋体" w:hAnsi="宋体" w:eastAsia="宋体"/>
          <w:b/>
          <w:sz w:val="24"/>
        </w:rPr>
        <w:t>（理解）</w:t>
      </w:r>
      <w:r>
        <w:rPr>
          <w:rFonts w:ascii="宋体" w:hAnsi="宋体" w:eastAsia="宋体"/>
          <w:sz w:val="24"/>
        </w:rPr>
        <w:t xml:space="preserve"> 解释非遗数字化面临的"动态性"和"语境性"挑战，说明 VR 技术如何应对这些挑战。</w:t>
      </w:r>
    </w:p>
    <w:p>
      <w:pPr>
        <w:pStyle w:val="ListNumber"/>
      </w:pPr>
      <w:r>
        <w:rPr>
          <w:rFonts w:ascii="宋体" w:hAnsi="宋体" w:eastAsia="宋体"/>
          <w:b/>
          <w:sz w:val="24"/>
        </w:rPr>
        <w:t>（应用）</w:t>
      </w:r>
      <w:r>
        <w:rPr>
          <w:rFonts w:ascii="宋体" w:hAnsi="宋体" w:eastAsia="宋体"/>
          <w:sz w:val="24"/>
        </w:rPr>
        <w:t xml:space="preserve"> 为贵州苗族银饰锻造技艺设计一个 VR 数字化保存和展示方案。</w:t>
      </w:r>
    </w:p>
    <w:p>
      <w:pPr>
        <w:pStyle w:val="ListNumber"/>
      </w:pPr>
      <w:r>
        <w:rPr>
          <w:rFonts w:ascii="宋体" w:hAnsi="宋体" w:eastAsia="宋体"/>
          <w:b/>
          <w:sz w:val="24"/>
        </w:rPr>
        <w:t>（分析）</w:t>
      </w:r>
      <w:r>
        <w:rPr>
          <w:rFonts w:ascii="宋体" w:hAnsi="宋体" w:eastAsia="宋体"/>
          <w:sz w:val="24"/>
        </w:rPr>
        <w:t xml:space="preserve"> 比较物质遗产和非物质遗产在数字化策略上的核心差异，分析为什么非遗数字化需要动作捕捉技术。</w:t>
      </w:r>
    </w:p>
    <w:p>
      <w:pPr>
        <w:pStyle w:val="ListNumber"/>
      </w:pPr>
      <w:r>
        <w:rPr>
          <w:rFonts w:ascii="宋体" w:hAnsi="宋体" w:eastAsia="宋体"/>
          <w:b/>
          <w:sz w:val="24"/>
        </w:rPr>
        <w:t>（评价）</w:t>
      </w:r>
      <w:r>
        <w:rPr>
          <w:rFonts w:ascii="宋体" w:hAnsi="宋体" w:eastAsia="宋体"/>
          <w:sz w:val="24"/>
        </w:rPr>
        <w:t xml:space="preserve"> 评估故宫 VR 数字化实践的经验，分析其成功因素和可推广的做法。</w:t>
      </w:r>
    </w:p>
    <w:p>
      <w:pPr>
        <w:pStyle w:val="ListNumber"/>
      </w:pPr>
      <w:r>
        <w:rPr>
          <w:rFonts w:ascii="宋体" w:hAnsi="宋体" w:eastAsia="宋体"/>
          <w:b/>
          <w:sz w:val="24"/>
        </w:rPr>
        <w:t>（创造）</w:t>
      </w:r>
      <w:r>
        <w:rPr>
          <w:rFonts w:ascii="宋体" w:hAnsi="宋体" w:eastAsia="宋体"/>
          <w:sz w:val="24"/>
        </w:rPr>
        <w:t xml:space="preserve"> 设计一个"数字屯堡"沉浸式文化遗产项目方案，整合 VR 古建漫游、AR 地戏体验和 MR 多人协同文化探索。</w:t>
      </w:r>
    </w:p>
    <w:p/>
    <w:p>
      <w:pPr>
        <w:pStyle w:val="Heading2"/>
      </w:pPr>
      <w:r>
        <w:t>参考文献</w:t>
      </w:r>
    </w:p>
    <w:p/>
    <w:p>
      <w:pPr>
        <w:ind w:firstLine="482"/>
      </w:pPr>
      <w:r>
        <w:rPr>
          <w:rFonts w:ascii="宋体" w:hAnsi="宋体" w:eastAsia="宋体"/>
          <w:sz w:val="24"/>
        </w:rPr>
        <w:t>[1] 佚名. (2025). 虚拟现实技术和增强现实技术在文化遗产保护中的应用——以故宫博物院为例. 维普.</w:t>
      </w:r>
    </w:p>
    <w:p/>
    <w:p>
      <w:pPr>
        <w:ind w:firstLine="482"/>
      </w:pPr>
      <w:r>
        <w:rPr>
          <w:rFonts w:ascii="宋体" w:hAnsi="宋体" w:eastAsia="宋体"/>
          <w:sz w:val="24"/>
        </w:rPr>
        <w:t>[2] Bekele, M. K., Pierdicca, R., Frontoni, E., Malinverni, E. S., &amp; Gain, J. (2018). A Survey of Augmented, Virtual, and Mixed Reality for Cultural Heritage. ACM Journal on Computing and Cultural Heritage, 11(2), 1-36. https://doi.org/10.1145/3145534</w:t>
      </w:r>
    </w:p>
    <w:p/>
    <w:p>
      <w:pPr>
        <w:ind w:firstLine="482"/>
      </w:pPr>
      <w:r>
        <w:rPr>
          <w:rFonts w:ascii="宋体" w:hAnsi="宋体" w:eastAsia="宋体"/>
          <w:sz w:val="24"/>
        </w:rPr>
        <w:t>[3] Bekele, M. K., Pierdicca, R., Frontoni, E., Malinverni, E. S., &amp; Gain, J. (2018). A Survey of Augmented, Virtual, and Mixed Reality for Cultural Heritage. ACM Journal on Computing and Cultural Heritage, 11(2), 1-36. https://doi.org/10.1145/3145534</w:t>
      </w:r>
    </w:p>
    <w:p/>
    <w:p>
      <w:pPr>
        <w:ind w:firstLine="482"/>
      </w:pPr>
      <w:r>
        <w:rPr>
          <w:rFonts w:ascii="宋体" w:hAnsi="宋体" w:eastAsia="宋体"/>
          <w:sz w:val="24"/>
        </w:rPr>
        <w:t>[4] Ababneh, A. (2024). Digital solutions for cultural heritage: preservation, interpretation, and engagement. Semantic Scholar.</w:t>
      </w:r>
    </w:p>
    <w:p/>
    <w:p>
      <w:pPr>
        <w:ind w:firstLine="482"/>
      </w:pPr>
      <w:r>
        <w:rPr>
          <w:rFonts w:ascii="宋体" w:hAnsi="宋体" w:eastAsia="宋体"/>
          <w:sz w:val="24"/>
        </w:rPr>
        <w:t>[5] 佚名. (2025). 基于AR/VR技术的冀中南商文化图腾沉浸式体验设计. 维普.</w:t>
      </w:r>
    </w:p>
    <w:p/>
    <w:p>
      <w:pPr>
        <w:ind w:firstLine="482"/>
      </w:pPr>
      <w:r>
        <w:rPr>
          <w:rFonts w:ascii="宋体" w:hAnsi="宋体" w:eastAsia="宋体"/>
          <w:sz w:val="24"/>
        </w:rPr>
        <w:t>[6] 北京印刷学院新媒体学院. (2024). 虚拟现实技术在文化遗产沉浸式体验设计的应用研究. 万方数据.</w:t>
      </w:r>
    </w:p>
    <w:p/>
    <w:p>
      <w:pPr>
        <w:ind w:firstLine="482"/>
      </w:pPr>
      <w:r>
        <w:rPr>
          <w:rFonts w:ascii="宋体" w:hAnsi="宋体" w:eastAsia="宋体"/>
          <w:sz w:val="24"/>
        </w:rPr>
        <w:t>[7] 王雅楠. (2023). 增强现实技术在文化遗产展示中的交互体验研究. 万方数据.</w:t>
      </w:r>
    </w:p>
    <w:p/>
    <w:p>
      <w:pPr>
        <w:ind w:firstLine="482"/>
      </w:pPr>
      <w:r>
        <w:rPr>
          <w:rFonts w:ascii="宋体" w:hAnsi="宋体" w:eastAsia="宋体"/>
          <w:sz w:val="24"/>
        </w:rPr>
        <w:t>[8] Boboc, R. G., Băutu, E., Gîrbaic, F., Popovici, N., &amp; Popovici, D.-M. (2022). Augmented Reality in Cultural Heritage: An Overview of the Last Decade of Applications. Applied Sciences, 12(19), 9859. https://doi.org/10.3390/app12199859</w:t>
      </w:r>
    </w:p>
    <w:p/>
    <w:p>
      <w:pPr>
        <w:ind w:firstLine="482"/>
      </w:pPr>
      <w:r>
        <w:rPr>
          <w:rFonts w:ascii="宋体" w:hAnsi="宋体" w:eastAsia="宋体"/>
          <w:sz w:val="24"/>
        </w:rPr>
        <w:t>[9] Baviera López, E., Llopis Verdú, J., Martínez Piqueras, J., &amp; Denia Ríos, J. L. (2018). Heritage Dissemination Through the Virtual and Augmented Realities. Springer. https://doi.org/10.1007/978-3-319-93749-6_50</w:t>
      </w:r>
    </w:p>
    <w:p/>
    <w:p>
      <w:pPr>
        <w:ind w:firstLine="482"/>
      </w:pPr>
      <w:r>
        <w:rPr>
          <w:rFonts w:ascii="宋体" w:hAnsi="宋体" w:eastAsia="宋体"/>
          <w:sz w:val="24"/>
        </w:rPr>
        <w:t>[10] Selmanović, E., Rizvic, S., Harvey, C., et al. (2020). Improving Accessibility to Intangible Cultural Heritage Preservation Using Virtual Reality. ACM. https://doi.org/10.1145/3377143</w:t>
      </w:r>
    </w:p>
    <w:p/>
    <w:p>
      <w:pPr>
        <w:ind w:firstLine="482"/>
      </w:pPr>
      <w:r>
        <w:rPr>
          <w:rFonts w:ascii="宋体" w:hAnsi="宋体" w:eastAsia="宋体"/>
          <w:sz w:val="24"/>
        </w:rPr>
        <w:t>[11] 黄佳, 廖健, 贺溪, 等. (2021). 基于VR虚拟现实技术的湖湘红色文化遗产保护与活化研究. 维普.</w:t>
      </w:r>
    </w:p>
    <w:p/>
    <w:p>
      <w:pPr>
        <w:ind w:firstLine="482"/>
      </w:pPr>
      <w:r>
        <w:rPr>
          <w:rFonts w:ascii="宋体" w:hAnsi="宋体" w:eastAsia="宋体"/>
          <w:sz w:val="24"/>
        </w:rPr>
        <w:t>[12] 卢文杰, 曹学海. (2020). VR技术在红色文化遗址数字展示中的运用及受众体验初探. 万方数据.</w:t>
      </w:r>
    </w:p>
    <w:p/>
    <w:p>
      <w:pPr>
        <w:ind w:firstLine="482"/>
      </w:pPr>
      <w:r>
        <w:rPr>
          <w:rFonts w:ascii="宋体" w:hAnsi="宋体" w:eastAsia="宋体"/>
          <w:sz w:val="24"/>
        </w:rPr>
        <w:t>[13] 佚名. (2025). 数字媒体交互设计赋能乡土建筑非遗展示与体验. 维普.</w:t>
      </w:r>
    </w:p>
    <w:p/>
    <w:p>
      <w:pPr>
        <w:ind w:firstLine="482"/>
      </w:pPr>
      <w:r>
        <w:rPr>
          <w:rFonts w:ascii="宋体" w:hAnsi="宋体" w:eastAsia="宋体"/>
          <w:sz w:val="24"/>
        </w:rPr>
        <w:t>[14] Yang, R., Li, Y., Wang, Y., et al. (2024). Enhancing the Sustainability of Intangible Cultural Heritage Projects through Binocular Half Panoramic VR Maps. Sustainability, 16(13), 5281. https://doi.org/10.3390/su16135281</w:t>
      </w:r>
    </w:p>
    <w:p/>
    <w:p>
      <w:pPr>
        <w:ind w:firstLine="482"/>
      </w:pPr>
      <w:r>
        <w:rPr>
          <w:rFonts w:ascii="宋体" w:hAnsi="宋体" w:eastAsia="宋体"/>
          <w:sz w:val="24"/>
        </w:rPr>
        <w:t>[15] Barrado-Timón, D. A., &amp; Hidalgo-Giralt, C. (2019). The Historic City, Its Transmission and Perception via Augmented Reality and Virtual Reality. Sustainability, 11(10), 2835. https://doi.org/10.3390/SU11102835</w:t>
      </w:r>
    </w:p>
    <w:p/>
    <w:p>
      <w:pPr>
        <w:ind w:firstLine="482"/>
      </w:pPr>
      <w:r>
        <w:rPr>
          <w:rFonts w:ascii="宋体" w:hAnsi="宋体" w:eastAsia="宋体"/>
          <w:sz w:val="24"/>
        </w:rPr>
        <w:t>[16] Barrado-Timón, D. A., &amp; Hidalgo-Giralt, C. (2019). The Historic City, Its Transmission and Perception via AR and VR. Sustainability, 11(10), 2835. https://doi.org/10.3390/SU11102835</w:t>
      </w:r>
    </w:p>
    <w:p/>
    <w:p>
      <w:pPr>
        <w:ind w:firstLine="482"/>
      </w:pPr>
      <w:r>
        <w:rPr>
          <w:rFonts w:ascii="宋体" w:hAnsi="宋体" w:eastAsia="宋体"/>
          <w:sz w:val="24"/>
        </w:rPr>
        <w:t>[17] Rambach, J., et al. (2020). A survey on applications of augmented, mixed and virtual reality for nature and environment. arXiv:2008.12024. https://arxiv.org/abs/2008.12024</w:t>
      </w:r>
    </w:p>
    <w:p/>
    <w:p>
      <w:pPr>
        <w:ind w:firstLine="482"/>
      </w:pPr>
      <w:r>
        <w:rPr>
          <w:rFonts w:ascii="宋体" w:hAnsi="宋体" w:eastAsia="宋体"/>
          <w:sz w:val="24"/>
        </w:rPr>
        <w:t>[18] Siddiqui, M. S., Syed, T. A., Nadeem, A., Nawaz, W., &amp; Alkhodre, A. (2022). Virtual Tourism and Digital Heritage: An Analysis of VR/AR Technologies and Applications. IJACSA, 13(7). https://doi.org/10.14569/ijacsa.2022.0130739</w:t>
      </w:r>
    </w:p>
    <w:p/>
    <w:p>
      <w:pPr>
        <w:ind w:firstLine="482"/>
      </w:pPr>
      <w:r>
        <w:rPr>
          <w:rFonts w:ascii="宋体" w:hAnsi="宋体" w:eastAsia="宋体"/>
          <w:sz w:val="24"/>
        </w:rPr>
        <w:t>[19] 孔莉莉. (2018). 数字化艺术文化遗产保护教学实践与研究——以全景VR视频技术为例. 万方数据.</w:t>
      </w:r>
    </w:p>
    <w:p/>
    <w:p>
      <w:pPr>
        <w:ind w:firstLine="482"/>
      </w:pPr>
      <w:r>
        <w:rPr>
          <w:rFonts w:ascii="宋体" w:hAnsi="宋体" w:eastAsia="宋体"/>
          <w:sz w:val="24"/>
        </w:rPr>
        <w:t>文化遗产数字化是一项长期的系统工程，需要持续投入和不断完善。通过技术创新与人文关怀的结合，数字化技术将为文化遗产的保护、传承和传播开辟更加广阔的空间，让珍贵的文化遗产在数字时代焕发新的生命力，为人类文明永续传承贡献力量。</w:t>
      </w:r>
    </w:p>
    <w:p>
      <w:pPr>
        <w:ind w:firstLine="482"/>
      </w:pPr>
      <w:r>
        <w:rPr>
          <w:rFonts w:ascii="宋体" w:hAnsi="宋体" w:eastAsia="宋体"/>
          <w:sz w:val="24"/>
        </w:rPr>
        <w:t>数字技术的不断进步将为文化遗产保护提供更加强大的工具和手段，让我们能够更好地记录、保存和传承人类文明的珍贵遗产。从三维扫描到 AI 修复，从 VR 展示到元宇宙体验，技术的每一次进步都在拓展文化遗产数字化的边界。展望未来，随着技术的进一步发展和成本的持续降低，文化遗产数字化将从当前的试点探索走向全面普及，成为文化遗产保护和传播的标准配置。这不仅将彻底改变人们体验和学习文化遗产的方式，更将为人类文明的永续传承奠定坚实的数字基础。让我们共同努力。</w:t>
      </w:r>
    </w:p>
    <w:p>
      <w:r>
        <w:br w:type="page"/>
      </w:r>
    </w:p>
    <w:p>
      <w:pPr>
        <w:pStyle w:val="Heading1"/>
      </w:pPr>
      <w:r>
        <w:t>第9章 VR/AR 教育培训与实训设计</w:t>
      </w:r>
    </w:p>
    <w:p>
      <w:pPr>
        <w:jc w:val="center"/>
      </w:pPr>
      <w:r>
        <w:drawing>
          <wp:inline xmlns:a="http://schemas.openxmlformats.org/drawingml/2006/main" xmlns:pic="http://schemas.openxmlformats.org/drawingml/2006/picture">
            <wp:extent cx="5040000" cy="3343765"/>
            <wp:docPr id="7" name="Picture 7"/>
            <wp:cNvGraphicFramePr>
              <a:graphicFrameLocks noChangeAspect="1"/>
            </wp:cNvGraphicFramePr>
            <a:graphic>
              <a:graphicData uri="http://schemas.openxmlformats.org/drawingml/2006/picture">
                <pic:pic>
                  <pic:nvPicPr>
                    <pic:cNvPr id="0" name="fig08_education_evaluation.png"/>
                    <pic:cNvPicPr/>
                  </pic:nvPicPr>
                  <pic:blipFill>
                    <a:blip r:embed="rId14"/>
                    <a:stretch>
                      <a:fillRect/>
                    </a:stretch>
                  </pic:blipFill>
                  <pic:spPr>
                    <a:xfrm>
                      <a:off x="0" y="0"/>
                      <a:ext cx="5040000" cy="3343765"/>
                    </a:xfrm>
                    <a:prstGeom prst="rect"/>
                  </pic:spPr>
                </pic:pic>
              </a:graphicData>
            </a:graphic>
          </wp:inline>
        </w:drawing>
      </w:r>
    </w:p>
    <w:p/>
    <w:p>
      <w:pPr>
        <w:pStyle w:val="Heading2"/>
      </w:pPr>
      <w:r>
        <w:t>学习目标</w:t>
      </w:r>
    </w:p>
    <w:p/>
    <w:p>
      <w:pPr>
        <w:pStyle w:val="ListNumber"/>
      </w:pPr>
      <w:r>
        <w:rPr>
          <w:rFonts w:ascii="宋体" w:hAnsi="宋体" w:eastAsia="宋体"/>
          <w:b/>
          <w:sz w:val="24"/>
        </w:rPr>
        <w:t>识记</w:t>
      </w:r>
      <w:r>
        <w:rPr>
          <w:rFonts w:ascii="宋体" w:hAnsi="宋体" w:eastAsia="宋体"/>
          <w:sz w:val="24"/>
        </w:rPr>
        <w:t>：沉浸式学习理论（建构主义、情境认知、体验学习）的核心概念，ADDIE/CDIO/PBL 方法论的基本流程。</w:t>
      </w:r>
    </w:p>
    <w:p>
      <w:pPr>
        <w:pStyle w:val="ListNumber"/>
      </w:pPr>
      <w:r>
        <w:rPr>
          <w:rFonts w:ascii="宋体" w:hAnsi="宋体" w:eastAsia="宋体"/>
          <w:b/>
          <w:sz w:val="24"/>
        </w:rPr>
        <w:t>理解</w:t>
      </w:r>
      <w:r>
        <w:rPr>
          <w:rFonts w:ascii="宋体" w:hAnsi="宋体" w:eastAsia="宋体"/>
          <w:sz w:val="24"/>
        </w:rPr>
        <w:t>：ARCS 动机模型在 VR 实训中的应用逻辑，VR/AR 教育效果评估的研究方法。</w:t>
      </w:r>
    </w:p>
    <w:p>
      <w:pPr>
        <w:pStyle w:val="ListNumber"/>
      </w:pPr>
      <w:r>
        <w:rPr>
          <w:rFonts w:ascii="宋体" w:hAnsi="宋体" w:eastAsia="宋体"/>
          <w:b/>
          <w:sz w:val="24"/>
        </w:rPr>
        <w:t>应用</w:t>
      </w:r>
      <w:r>
        <w:rPr>
          <w:rFonts w:ascii="宋体" w:hAnsi="宋体" w:eastAsia="宋体"/>
          <w:sz w:val="24"/>
        </w:rPr>
        <w:t>：能够使用 ADDIE 模型设计一个 VR/AR 实训课程的完整教学方案。</w:t>
      </w:r>
    </w:p>
    <w:p>
      <w:pPr>
        <w:pStyle w:val="ListNumber"/>
      </w:pPr>
      <w:r>
        <w:rPr>
          <w:rFonts w:ascii="宋体" w:hAnsi="宋体" w:eastAsia="宋体"/>
          <w:b/>
          <w:sz w:val="24"/>
        </w:rPr>
        <w:t>分析</w:t>
      </w:r>
      <w:r>
        <w:rPr>
          <w:rFonts w:ascii="宋体" w:hAnsi="宋体" w:eastAsia="宋体"/>
          <w:sz w:val="24"/>
        </w:rPr>
        <w:t>：分析不同教学模式（虚拟仿真、混合式、协作式、游戏化）在 VR/AR 教育中的适用性。</w:t>
      </w:r>
    </w:p>
    <w:p>
      <w:pPr>
        <w:pStyle w:val="ListNumber"/>
      </w:pPr>
      <w:r>
        <w:rPr>
          <w:rFonts w:ascii="宋体" w:hAnsi="宋体" w:eastAsia="宋体"/>
          <w:b/>
          <w:sz w:val="24"/>
        </w:rPr>
        <w:t>评价</w:t>
      </w:r>
      <w:r>
        <w:rPr>
          <w:rFonts w:ascii="宋体" w:hAnsi="宋体" w:eastAsia="宋体"/>
          <w:sz w:val="24"/>
        </w:rPr>
        <w:t>：评估 VR/AR 实训的效果和成本效益，与传统教学方法进行对比分析。</w:t>
      </w:r>
    </w:p>
    <w:p>
      <w:pPr>
        <w:pStyle w:val="ListNumber"/>
      </w:pPr>
      <w:r>
        <w:rPr>
          <w:rFonts w:ascii="宋体" w:hAnsi="宋体" w:eastAsia="宋体"/>
          <w:b/>
          <w:sz w:val="24"/>
        </w:rPr>
        <w:t>创造</w:t>
      </w:r>
      <w:r>
        <w:rPr>
          <w:rFonts w:ascii="宋体" w:hAnsi="宋体" w:eastAsia="宋体"/>
          <w:sz w:val="24"/>
        </w:rPr>
        <w:t>：设计一个面向数字文旅专业的 VR/AR 实训课程体系，包含教学大纲、项目设计和评估方案。</w:t>
      </w:r>
    </w:p>
    <w:p/>
    <w:p>
      <w:pPr>
        <w:pStyle w:val="Heading2"/>
      </w:pPr>
      <w:r>
        <w:t>导入案例：基于 ARCS 模型设计的 VR 实训课程教学效果分析</w:t>
      </w:r>
    </w:p>
    <w:p/>
    <w:p>
      <w:pPr>
        <w:ind w:firstLine="482"/>
      </w:pPr>
      <w:r>
        <w:rPr>
          <w:rFonts w:ascii="宋体" w:hAnsi="宋体" w:eastAsia="宋体"/>
          <w:sz w:val="24"/>
        </w:rPr>
        <w:t>刘旸在其研究中使用 ARCS 动机模型（Attention-Attention-Confidence-Satisfaction）设计了一套 VR 实训课程，并对教学效果进行了实证分析[1]。该课程以"数控加工实训"为内容，将传统车间实训转化为 VR 虚拟实训。在注意（Attention）维度，通过 VR 的视觉冲击力和交互性吸引学生注意力；在关联（Relevance）维度，将虚拟操作与真实职业场景关联，使学生理解学习内容的实用价值；在信心（Confidence）维度，通过渐进式难度设计让学生逐步建立操作信心；在满意（Satisfaction）维度，通过即时反馈和成就系统提供学习满足感。研究结果显示，ARCS 模型指导下的 VR 实训课程在学生学习动机、操作技能掌握和学习满意度三个维度上均显著优于传统实训。这一案例展示了教育理论对 VR/AR 实训设计的指导价值。</w:t>
      </w:r>
    </w:p>
    <w:p/>
    <w:p>
      <w:pPr>
        <w:ind w:firstLine="482"/>
      </w:pPr>
      <w:r>
        <w:rPr>
          <w:rFonts w:ascii="宋体" w:hAnsi="宋体" w:eastAsia="宋体"/>
          <w:sz w:val="24"/>
        </w:rPr>
        <w:t>---</w:t>
      </w:r>
    </w:p>
    <w:p/>
    <w:p>
      <w:pPr>
        <w:pStyle w:val="Heading2"/>
      </w:pPr>
      <w:r>
        <w:t>9.1 VR/AR 教育理论基础</w:t>
      </w:r>
    </w:p>
    <w:p/>
    <w:p>
      <w:pPr>
        <w:pStyle w:val="Heading3"/>
      </w:pPr>
      <w:r>
        <w:t>9.1.1 沉浸式学习理论</w:t>
      </w:r>
    </w:p>
    <w:p/>
    <w:p>
      <w:pPr>
        <w:ind w:firstLine="482"/>
      </w:pPr>
      <w:r>
        <w:rPr>
          <w:rFonts w:ascii="宋体" w:hAnsi="宋体" w:eastAsia="宋体"/>
          <w:sz w:val="24"/>
        </w:rPr>
        <w:t>VR/AR 教育的理论根基来自三个学习理论传统[2]：</w:t>
      </w:r>
    </w:p>
    <w:p/>
    <w:p>
      <w:pPr>
        <w:ind w:firstLine="482"/>
      </w:pPr>
      <w:r>
        <w:rPr>
          <w:rFonts w:ascii="宋体" w:hAnsi="宋体" w:eastAsia="宋体"/>
          <w:b/>
          <w:sz w:val="24"/>
        </w:rPr>
        <w:t>建构主义（Constructivism）</w:t>
      </w:r>
      <w:r>
        <w:rPr>
          <w:rFonts w:ascii="宋体" w:hAnsi="宋体" w:eastAsia="宋体"/>
          <w:sz w:val="24"/>
        </w:rPr>
        <w:t xml:space="preserve"> 认为学习是学习者主动建构知识的过程，而非被动接收信息。VR/AR 技术天然支持建构主义学习——学生在虚拟环境中通过探索、交互和实验主动建构对知识的理解。例如，在 VR 古建筑课程中，学生不是通过教材阅读建筑结构知识，而是通过在虚拟建筑中"走动""拆解""组装"来主动发现和理解结构原理。</w:t>
      </w:r>
    </w:p>
    <w:p/>
    <w:p>
      <w:pPr>
        <w:ind w:firstLine="482"/>
      </w:pPr>
      <w:r>
        <w:rPr>
          <w:rFonts w:ascii="宋体" w:hAnsi="宋体" w:eastAsia="宋体"/>
          <w:b/>
          <w:sz w:val="24"/>
        </w:rPr>
        <w:t>情境认知（Situated Cognition）</w:t>
      </w:r>
      <w:r>
        <w:rPr>
          <w:rFonts w:ascii="宋体" w:hAnsi="宋体" w:eastAsia="宋体"/>
          <w:sz w:val="24"/>
        </w:rPr>
        <w:t xml:space="preserve"> 理论认为知识与其产生和使用的情境密不可分——脱离情境的抽象知识难以迁移到实际应用中。VR/AR 能够创建高度逼真的学习情境，使学生"在真实场景中学习"——医学生在虚拟手术室中学习手术、旅游管理学生在虚拟景区中学习导游、工程学生在虚拟工厂中学习设备操作。情境化学习使知识不仅"可记忆"更"可应用"[2]。</w:t>
      </w:r>
    </w:p>
    <w:p/>
    <w:p>
      <w:pPr>
        <w:ind w:firstLine="482"/>
      </w:pPr>
      <w:r>
        <w:rPr>
          <w:rFonts w:ascii="宋体" w:hAnsi="宋体" w:eastAsia="宋体"/>
          <w:b/>
          <w:sz w:val="24"/>
        </w:rPr>
        <w:t>体验学习（Experiential Learning）</w:t>
      </w:r>
      <w:r>
        <w:rPr>
          <w:rFonts w:ascii="宋体" w:hAnsi="宋体" w:eastAsia="宋体"/>
          <w:sz w:val="24"/>
        </w:rPr>
        <w:t xml:space="preserve"> 理论由 Kolb 提出，将学习描述为"具体体验→反思观察→抽象概念化→主动实验"的循环过程。VR/AR 为体验学习提供了"具体体验"环节的强大工具——学生可以在虚拟环境中获得在现实中难以或不可能获得的体验（如历史事件重现、危险实验模拟、微观世界探索），然后通过反思和概念化将体验转化为知识[3]。</w:t>
      </w:r>
    </w:p>
    <w:p/>
    <w:p>
      <w:pPr>
        <w:pStyle w:val="Heading3"/>
      </w:pPr>
      <w:r>
        <w:t>9.1.2 VR/AR 教育应用分类</w:t>
      </w:r>
    </w:p>
    <w:p/>
    <w:p>
      <w:pPr>
        <w:ind w:firstLine="482"/>
      </w:pPr>
      <w:r>
        <w:rPr>
          <w:rFonts w:ascii="宋体" w:hAnsi="宋体" w:eastAsia="宋体"/>
          <w:sz w:val="24"/>
        </w:rPr>
        <w:t>Motejlek 和 Alpay 在其 VR/AR 教育分类学研究中，将 VR/AR 教育应用按教育阶段和应用类型进行分类[4]：</w:t>
      </w:r>
    </w:p>
    <w:p/>
    <w:p>
      <w:pPr>
        <w:ind w:firstLine="482"/>
      </w:pPr>
      <w:r>
        <w:rPr>
          <w:rFonts w:ascii="宋体" w:hAnsi="宋体" w:eastAsia="宋体"/>
          <w:b/>
          <w:sz w:val="24"/>
        </w:rPr>
        <w:t>按教育阶段</w:t>
      </w:r>
      <w:r>
        <w:rPr>
          <w:rFonts w:ascii="宋体" w:hAnsi="宋体" w:eastAsia="宋体"/>
          <w:sz w:val="24"/>
        </w:rPr>
        <w:t>：K-12 教育（虚拟实验室、历史场景重现、地理探索）、高等教育（医学模拟、工程设计、考古复原）、职业教育（技能实训、安全培训、操作认证）、企业培训（入职培训、设备操作、安全规范）。</w:t>
      </w:r>
    </w:p>
    <w:p/>
    <w:p>
      <w:pPr>
        <w:ind w:firstLine="482"/>
      </w:pPr>
      <w:r>
        <w:rPr>
          <w:rFonts w:ascii="宋体" w:hAnsi="宋体" w:eastAsia="宋体"/>
          <w:b/>
          <w:sz w:val="24"/>
        </w:rPr>
        <w:t>按应用类型</w:t>
      </w:r>
      <w:r>
        <w:rPr>
          <w:rFonts w:ascii="宋体" w:hAnsi="宋体" w:eastAsia="宋体"/>
          <w:sz w:val="24"/>
        </w:rPr>
        <w:t>：知识传授型（VR 讲座、虚拟课堂）、技能训练型（操作模拟、工艺实训）、探索发现型（虚拟考察、科学探究）、协作交流型（多人 VR 课堂、远程协作学习）、评估测试型（VR 考试、能力测评）。</w:t>
      </w:r>
    </w:p>
    <w:p/>
    <w:p>
      <w:pPr>
        <w:pStyle w:val="Heading3"/>
      </w:pPr>
      <w:r>
        <w:t>9.1.3 ARCS 动机模型在 VR 实训中的应用</w:t>
      </w:r>
    </w:p>
    <w:p/>
    <w:p>
      <w:pPr>
        <w:ind w:firstLine="482"/>
      </w:pPr>
      <w:r>
        <w:rPr>
          <w:rFonts w:ascii="宋体" w:hAnsi="宋体" w:eastAsia="宋体"/>
          <w:sz w:val="24"/>
        </w:rPr>
        <w:t>ARCS 模型由 Keller 提出，是教育技术领域中应用最广泛的学习动机模型[1]。模型将学习动机分为四个维度：</w:t>
      </w:r>
    </w:p>
    <w:p/>
    <w:p>
      <w:pPr>
        <w:ind w:firstLine="482"/>
      </w:pPr>
      <w:r>
        <w:rPr>
          <w:rFonts w:ascii="宋体" w:hAnsi="宋体" w:eastAsia="宋体"/>
          <w:b/>
          <w:sz w:val="24"/>
        </w:rPr>
        <w:t>注意（Attention）</w:t>
      </w:r>
      <w:r>
        <w:rPr>
          <w:rFonts w:ascii="宋体" w:hAnsi="宋体" w:eastAsia="宋体"/>
          <w:sz w:val="24"/>
        </w:rPr>
        <w:t>：通过感知唤起（视觉冲击、新奇感）和探究唤起（问题提出、好奇心激发）吸引学习者注意力。VR/AR 的沉浸感天然具有强大的注意唤起能力——学生戴上头显即被虚拟环境吸引，注意力高度集中于学习内容。</w:t>
      </w:r>
    </w:p>
    <w:p/>
    <w:p>
      <w:pPr>
        <w:ind w:firstLine="482"/>
      </w:pPr>
      <w:r>
        <w:rPr>
          <w:rFonts w:ascii="宋体" w:hAnsi="宋体" w:eastAsia="宋体"/>
          <w:b/>
          <w:sz w:val="24"/>
        </w:rPr>
        <w:t>关联（Relevance）</w:t>
      </w:r>
      <w:r>
        <w:rPr>
          <w:rFonts w:ascii="宋体" w:hAnsi="宋体" w:eastAsia="宋体"/>
          <w:sz w:val="24"/>
        </w:rPr>
        <w:t>：通过目标导向（学习内容与个人目标关联）、动机匹配（教学方式与学习者偏好匹配）和熟悉度（连接已有经验）建立学习内容与学习者的关联。在 VR 实训中，关联性体现在虚拟操作与真实职业任务的映射——学生在 VR 中练习的技能可以直接迁移到真实工作场景。</w:t>
      </w:r>
    </w:p>
    <w:p/>
    <w:p>
      <w:pPr>
        <w:ind w:firstLine="482"/>
      </w:pPr>
      <w:r>
        <w:rPr>
          <w:rFonts w:ascii="宋体" w:hAnsi="宋体" w:eastAsia="宋体"/>
          <w:b/>
          <w:sz w:val="24"/>
        </w:rPr>
        <w:t>信心（Confidence）</w:t>
      </w:r>
      <w:r>
        <w:rPr>
          <w:rFonts w:ascii="宋体" w:hAnsi="宋体" w:eastAsia="宋体"/>
          <w:sz w:val="24"/>
        </w:rPr>
        <w:t>：通过学习要求（明确的目标和标准）、成功机会（适当的难度梯度）和个人控制（学习者自主感）建立学习信心。VR 实训的渐进式难度设计（从引导操作→独立操作→复杂任务）使学生在逐步成功中建立信心。</w:t>
      </w:r>
    </w:p>
    <w:p/>
    <w:p>
      <w:pPr>
        <w:ind w:firstLine="482"/>
      </w:pPr>
      <w:r>
        <w:rPr>
          <w:rFonts w:ascii="宋体" w:hAnsi="宋体" w:eastAsia="宋体"/>
          <w:b/>
          <w:sz w:val="24"/>
        </w:rPr>
        <w:t>满意（Satisfaction）</w:t>
      </w:r>
      <w:r>
        <w:rPr>
          <w:rFonts w:ascii="宋体" w:hAnsi="宋体" w:eastAsia="宋体"/>
          <w:sz w:val="24"/>
        </w:rPr>
        <w:t>：通过自然后果（操作产生的自然结果）、积极反馈（表扬和奖励）和公平（一致的评估标准）提供学习满足感。VR 实训的即时反馈机制（操作正确时虚拟环境给出正面反馈，操作错误时给出提示）持续提供满意感，维持学习动机[1]。</w:t>
      </w:r>
    </w:p>
    <w:p/>
    <w:p>
      <w:pPr>
        <w:pStyle w:val="Heading3"/>
      </w:pPr>
      <w:r>
        <w:t>9.1.4 VR/AR 教育效果评估研究综述</w:t>
      </w:r>
    </w:p>
    <w:p/>
    <w:p>
      <w:pPr>
        <w:ind w:firstLine="482"/>
      </w:pPr>
      <w:r>
        <w:rPr>
          <w:rFonts w:ascii="宋体" w:hAnsi="宋体" w:eastAsia="宋体"/>
          <w:sz w:val="24"/>
        </w:rPr>
        <w:t>Sakr 和 Abdullah 在 2024 年发表的系统性综述梳理了 VR/AR 和学习分析对学习者和教育者影响的最新研究[5]。综述发现 VR/AR 教育在以下领域表现出显著正向效果：空间认知能力提升（VR 的 3D 空间比 2D 图片更有利于空间理解）、程序性知识学习（VR 模拟操作比视频观看更有效）、学习动机增强（VR 的新奇感和交互性显著提升学习兴趣）。同时，综述也指出 VR/AR 教育面临的挑战：技术门槛（教师需要培训才能使用 VR 教学）、成本效益（VR 设备投入与教学效果提升的性价比需评估）、以及健康安全（长时间使用的视觉疲劳和眩晕问题）[5]。</w:t>
      </w:r>
    </w:p>
    <w:p/>
    <w:p>
      <w:pPr>
        <w:ind w:firstLine="482"/>
      </w:pPr>
      <w:r>
        <w:rPr>
          <w:rFonts w:ascii="宋体" w:hAnsi="宋体" w:eastAsia="宋体"/>
          <w:sz w:val="24"/>
        </w:rPr>
        <w:t>Long 等人对 VR 技术在职业教育实训中的应用和效果进行了实证分析，发现 VR 实训在安全性、可重复性和成本控制方面具有显著优势——学生可以在无安全风险的环境中反复练习危险操作，耗材成本降为零[6]。但 VR 实训在触觉真实感方面仍无法完全替代实体实训，建议采用 VR 实训+实体实训的混合模式。</w:t>
      </w:r>
    </w:p>
    <w:p/>
    <w:p>
      <w:pPr>
        <w:pStyle w:val="Heading2"/>
      </w:pPr>
      <w:r>
        <w:t>9.2 VR/AR 实训课程设计方法论</w:t>
      </w:r>
    </w:p>
    <w:p/>
    <w:p>
      <w:pPr>
        <w:pStyle w:val="Heading3"/>
      </w:pPr>
      <w:r>
        <w:t>9.2.1 ADDIE 模型在 VR 课程开发中的应用</w:t>
      </w:r>
    </w:p>
    <w:p/>
    <w:p>
      <w:pPr>
        <w:ind w:firstLine="482"/>
      </w:pPr>
      <w:r>
        <w:rPr>
          <w:rFonts w:ascii="宋体" w:hAnsi="宋体" w:eastAsia="宋体"/>
          <w:sz w:val="24"/>
        </w:rPr>
        <w:t>ADDIE 模型是教学设计的经典方法论，包含分析（Analysis）、设计（Design）、开发（Development）、实施（Implementation）和评估（Evaluation）五个阶段[7]：</w:t>
      </w:r>
    </w:p>
    <w:p/>
    <w:p>
      <w:pPr>
        <w:ind w:firstLine="482"/>
      </w:pPr>
      <w:r>
        <w:rPr>
          <w:rFonts w:ascii="宋体" w:hAnsi="宋体" w:eastAsia="宋体"/>
          <w:b/>
          <w:sz w:val="24"/>
        </w:rPr>
        <w:t>分析阶段</w:t>
      </w:r>
      <w:r>
        <w:rPr>
          <w:rFonts w:ascii="宋体" w:hAnsi="宋体" w:eastAsia="宋体"/>
          <w:sz w:val="24"/>
        </w:rPr>
        <w:t>：确定培训需求、学习者特征、学习目标和技术约束。在 VR 实训课程中，分析阶段需要额外考虑：目标 VR 硬件平台的性能限制、学生的 VR 使用经验水平、实训内容中哪些环节最适合 VR 化（高危险/高成本/不可逆操作优先）。</w:t>
      </w:r>
    </w:p>
    <w:p/>
    <w:p>
      <w:pPr>
        <w:ind w:firstLine="482"/>
      </w:pPr>
      <w:r>
        <w:rPr>
          <w:rFonts w:ascii="宋体" w:hAnsi="宋体" w:eastAsia="宋体"/>
          <w:b/>
          <w:sz w:val="24"/>
        </w:rPr>
        <w:t>设计阶段</w:t>
      </w:r>
      <w:r>
        <w:rPr>
          <w:rFonts w:ascii="宋体" w:hAnsi="宋体" w:eastAsia="宋体"/>
          <w:sz w:val="24"/>
        </w:rPr>
        <w:t>：制定课程大纲、教学策略、评估方案和技术方案。VR 实训的设计需要特别关注交互设计——每个操作步骤的交互方式（手柄/手势/语音）、反馈设计（视觉/听觉/触觉）和错误处理（容错机制/提示策略）。</w:t>
      </w:r>
    </w:p>
    <w:p/>
    <w:p>
      <w:pPr>
        <w:ind w:firstLine="482"/>
      </w:pPr>
      <w:r>
        <w:rPr>
          <w:rFonts w:ascii="宋体" w:hAnsi="宋体" w:eastAsia="宋体"/>
          <w:b/>
          <w:sz w:val="24"/>
        </w:rPr>
        <w:t>开发阶段</w:t>
      </w:r>
      <w:r>
        <w:rPr>
          <w:rFonts w:ascii="宋体" w:hAnsi="宋体" w:eastAsia="宋体"/>
          <w:sz w:val="24"/>
        </w:rPr>
        <w:t>：创建 VR 内容、编写交互脚本、测试和优化。这一阶段涉及第4-6章讲解的全部技术——3D 建模、交互开发和渲染优化。</w:t>
      </w:r>
    </w:p>
    <w:p/>
    <w:p>
      <w:pPr>
        <w:ind w:firstLine="482"/>
      </w:pPr>
      <w:r>
        <w:rPr>
          <w:rFonts w:ascii="宋体" w:hAnsi="宋体" w:eastAsia="宋体"/>
          <w:b/>
          <w:sz w:val="24"/>
        </w:rPr>
        <w:t>实施阶段</w:t>
      </w:r>
      <w:r>
        <w:rPr>
          <w:rFonts w:ascii="宋体" w:hAnsi="宋体" w:eastAsia="宋体"/>
          <w:sz w:val="24"/>
        </w:rPr>
        <w:t>：在课堂中部署 VR 实训，培训教师使用 VR 教学工具，管理学生的 VR 体验流程。</w:t>
      </w:r>
    </w:p>
    <w:p/>
    <w:p>
      <w:pPr>
        <w:ind w:firstLine="482"/>
      </w:pPr>
      <w:r>
        <w:rPr>
          <w:rFonts w:ascii="宋体" w:hAnsi="宋体" w:eastAsia="宋体"/>
          <w:b/>
          <w:sz w:val="24"/>
        </w:rPr>
        <w:t>评估阶段</w:t>
      </w:r>
      <w:r>
        <w:rPr>
          <w:rFonts w:ascii="宋体" w:hAnsi="宋体" w:eastAsia="宋体"/>
          <w:sz w:val="24"/>
        </w:rPr>
        <w:t>：通过学习效果数据、学生反馈和教师观察评估 VR 实训的有效性，形成改进建议进入下一轮迭代。</w:t>
      </w:r>
    </w:p>
    <w:p/>
    <w:p>
      <w:pPr>
        <w:ind w:firstLine="482"/>
      </w:pPr>
      <w:r>
        <w:rPr>
          <w:rFonts w:ascii="宋体" w:hAnsi="宋体" w:eastAsia="宋体"/>
          <w:sz w:val="24"/>
        </w:rPr>
        <w:t>Bukhori 等人将 ADDIE 模型与项目化学习（PBL）结合，应用于 VR 在线课程的开发[8]。他们发现 ADDIE 的结构化流程特别适合 VR 课程开发——VR 内容的制作成本和时间远高于传统教学材料，ADDIE 的"先分析后开发"原则能够避免不必要的返工和资源浪费。</w:t>
      </w:r>
    </w:p>
    <w:p/>
    <w:p>
      <w:pPr>
        <w:pStyle w:val="Heading3"/>
      </w:pPr>
      <w:r>
        <w:t>9.2.2 CDIO 理念与 VR 实训项目设计</w:t>
      </w:r>
    </w:p>
    <w:p/>
    <w:p>
      <w:pPr>
        <w:ind w:firstLine="482"/>
      </w:pPr>
      <w:r>
        <w:rPr>
          <w:rFonts w:ascii="宋体" w:hAnsi="宋体" w:eastAsia="宋体"/>
          <w:sz w:val="24"/>
        </w:rPr>
        <w:t>CDIO（Conceive-Design-Implement-Operate）是工程教育改革中广泛采用的教育理念，强调学生在真实项目情境中经历"构思-设计-实现-运行"的完整工程过程[9]。</w:t>
      </w:r>
    </w:p>
    <w:p/>
    <w:p>
      <w:pPr>
        <w:ind w:firstLine="482"/>
      </w:pPr>
      <w:r>
        <w:rPr>
          <w:rFonts w:ascii="宋体" w:hAnsi="宋体" w:eastAsia="宋体"/>
          <w:sz w:val="24"/>
        </w:rPr>
        <w:t>袁贝贝将 CDIO 理念应用于 VR 实训课程教学，以校园漫游项目为例设计了完整的 CDIO 实训流程[9]：</w:t>
      </w:r>
      <w:r>
        <w:rPr>
          <w:rFonts w:ascii="宋体" w:hAnsi="宋体" w:eastAsia="宋体"/>
          <w:b/>
          <w:sz w:val="24"/>
        </w:rPr>
        <w:t>构思阶段</w:t>
      </w:r>
      <w:r>
        <w:rPr>
          <w:rFonts w:ascii="宋体" w:hAnsi="宋体" w:eastAsia="宋体"/>
          <w:sz w:val="24"/>
        </w:rPr>
        <w:t>——学生调研校园用户需求，确定 VR 校园漫游的功能和内容范围；</w:t>
      </w:r>
      <w:r>
        <w:rPr>
          <w:rFonts w:ascii="宋体" w:hAnsi="宋体" w:eastAsia="宋体"/>
          <w:b/>
          <w:sz w:val="24"/>
        </w:rPr>
        <w:t>设计阶段</w:t>
      </w:r>
      <w:r>
        <w:rPr>
          <w:rFonts w:ascii="宋体" w:hAnsi="宋体" w:eastAsia="宋体"/>
          <w:sz w:val="24"/>
        </w:rPr>
        <w:t>——学生设计场景布局、交互方案和用户界面；</w:t>
      </w:r>
      <w:r>
        <w:rPr>
          <w:rFonts w:ascii="宋体" w:hAnsi="宋体" w:eastAsia="宋体"/>
          <w:b/>
          <w:sz w:val="24"/>
        </w:rPr>
        <w:t>实现阶段</w:t>
      </w:r>
      <w:r>
        <w:rPr>
          <w:rFonts w:ascii="宋体" w:hAnsi="宋体" w:eastAsia="宋体"/>
          <w:sz w:val="24"/>
        </w:rPr>
        <w:t>——学生使用 Unity 引擎和 3D 建模工具开发 VR 应用；</w:t>
      </w:r>
      <w:r>
        <w:rPr>
          <w:rFonts w:ascii="宋体" w:hAnsi="宋体" w:eastAsia="宋体"/>
          <w:b/>
          <w:sz w:val="24"/>
        </w:rPr>
        <w:t>运行阶段</w:t>
      </w:r>
      <w:r>
        <w:rPr>
          <w:rFonts w:ascii="宋体" w:hAnsi="宋体" w:eastAsia="宋体"/>
          <w:sz w:val="24"/>
        </w:rPr>
        <w:t>——学生在 VR 设备上测试应用，收集用户反馈并迭代优化。这一 CDIO 流程使学生在学习技术的同时培养了工程思维和项目管理能力。</w:t>
      </w:r>
    </w:p>
    <w:p/>
    <w:p>
      <w:pPr>
        <w:pStyle w:val="Heading3"/>
      </w:pPr>
      <w:r>
        <w:t>9.2.3 项目化学习（PBL）与 VR/AR 开发实训</w:t>
      </w:r>
    </w:p>
    <w:p/>
    <w:p>
      <w:pPr>
        <w:ind w:firstLine="482"/>
      </w:pPr>
      <w:r>
        <w:rPr>
          <w:rFonts w:ascii="宋体" w:hAnsi="宋体" w:eastAsia="宋体"/>
          <w:sz w:val="24"/>
        </w:rPr>
        <w:t>项目化学习（Project-Based Learning, PBL）是以真实项目为驱动的教学方法。Kalkabayeva 等人展示了如何通过 PBL 实现 VR 和 AR 应用的开发教学[10]。在他们的课程中，学生分组选择一个真实的 VR/AR 应用项目（如虚拟博物馆、AR 校园导览），在学期内完成从需求分析到产品发布的完整开发流程。</w:t>
      </w:r>
    </w:p>
    <w:p/>
    <w:p>
      <w:pPr>
        <w:ind w:firstLine="482"/>
      </w:pPr>
      <w:r>
        <w:rPr>
          <w:rFonts w:ascii="宋体" w:hAnsi="宋体" w:eastAsia="宋体"/>
          <w:sz w:val="24"/>
        </w:rPr>
        <w:t>PBL 与 VR/AR 开发实训的适配性体现在三个方面：（1）VR/AR 开发本身就是项目导向的工作——每个 VR 应用都是一个完整的产品项目；（2）VR/AR 开发需要多技能协作——3D 建模、编程、UI 设计、内容创作，PBL 的小组协作模式天然适合这种跨技能需求；（3）PBL 的成果导向评估与 VR/AR 项目的可演示性高度匹配——最终的 VR 应用本身就是学习成果的最佳证明[10]。</w:t>
      </w:r>
    </w:p>
    <w:p/>
    <w:p>
      <w:pPr>
        <w:ind w:firstLine="482"/>
      </w:pPr>
      <w:r>
        <w:rPr>
          <w:rFonts w:ascii="宋体" w:hAnsi="宋体" w:eastAsia="宋体"/>
          <w:sz w:val="24"/>
        </w:rPr>
        <w:t>Tseng 的研究表明，PBL 方法在 VR 实践课程中能够有效提升低入学分数学生的学习效果[11]。通过将技术学习嵌入有意义的项目情境中，PBL 激发了这些学生的学习动机和自我效能感，使其学习表现接近甚至超过高入学分数的学生。</w:t>
      </w:r>
    </w:p>
    <w:p/>
    <w:p>
      <w:pPr>
        <w:pStyle w:val="Heading3"/>
      </w:pPr>
      <w:r>
        <w:t>9.2.4 VR 实训课程设计模板与流程</w:t>
      </w:r>
    </w:p>
    <w:p/>
    <w:p>
      <w:pPr>
        <w:ind w:firstLine="482"/>
      </w:pPr>
      <w:r>
        <w:rPr>
          <w:rFonts w:ascii="宋体" w:hAnsi="宋体" w:eastAsia="宋体"/>
          <w:sz w:val="24"/>
        </w:rPr>
        <w:t>综合 ADDIE、CDIO 和 PBL 方法论，本书提出一个 VR/AR 实训课程的设计模板[12]：</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阶段</w:t>
            </w:r>
          </w:p>
        </w:tc>
        <w:tc>
          <w:tcPr>
            <w:tcW w:type="dxa" w:w="1662"/>
            <w:shd w:fill="D9E2F3" w:val="clear"/>
          </w:tcPr>
          <w:p>
            <w:pPr>
              <w:jc w:val="center"/>
            </w:pPr>
            <w:r/>
            <w:r>
              <w:rPr>
                <w:rFonts w:ascii="黑体" w:hAnsi="黑体" w:eastAsia="黑体"/>
                <w:b/>
                <w:sz w:val="20"/>
              </w:rPr>
              <w:t>周次</w:t>
            </w:r>
          </w:p>
        </w:tc>
        <w:tc>
          <w:tcPr>
            <w:tcW w:type="dxa" w:w="1662"/>
            <w:shd w:fill="D9E2F3" w:val="clear"/>
          </w:tcPr>
          <w:p>
            <w:pPr>
              <w:jc w:val="center"/>
            </w:pPr>
            <w:r/>
            <w:r>
              <w:rPr>
                <w:rFonts w:ascii="黑体" w:hAnsi="黑体" w:eastAsia="黑体"/>
                <w:b/>
                <w:sz w:val="20"/>
              </w:rPr>
              <w:t>核心活动</w:t>
            </w:r>
          </w:p>
        </w:tc>
        <w:tc>
          <w:tcPr>
            <w:tcW w:type="dxa" w:w="1662"/>
            <w:shd w:fill="D9E2F3" w:val="clear"/>
          </w:tcPr>
          <w:p>
            <w:pPr>
              <w:jc w:val="center"/>
            </w:pPr>
            <w:r/>
            <w:r>
              <w:rPr>
                <w:rFonts w:ascii="黑体" w:hAnsi="黑体" w:eastAsia="黑体"/>
                <w:b/>
                <w:sz w:val="20"/>
              </w:rPr>
              <w:t>交付物</w:t>
            </w:r>
          </w:p>
        </w:tc>
        <w:tc>
          <w:tcPr>
            <w:tcW w:type="dxa" w:w="1662"/>
            <w:shd w:fill="D9E2F3" w:val="clear"/>
          </w:tcPr>
          <w:p>
            <w:pPr>
              <w:jc w:val="center"/>
            </w:pPr>
            <w:r/>
            <w:r>
              <w:rPr>
                <w:rFonts w:ascii="黑体" w:hAnsi="黑体" w:eastAsia="黑体"/>
                <w:b/>
                <w:sz w:val="20"/>
              </w:rPr>
              <w:t>评估方式</w:t>
            </w:r>
          </w:p>
        </w:tc>
      </w:tr>
      <w:tr>
        <w:tc>
          <w:tcPr>
            <w:tcW w:type="dxa" w:w="1662"/>
          </w:tcPr>
          <w:p>
            <w:r/>
            <w:r>
              <w:rPr>
                <w:rFonts w:ascii="宋体" w:hAnsi="宋体" w:eastAsia="宋体"/>
                <w:sz w:val="20"/>
              </w:rPr>
              <w:t>需求分析</w:t>
            </w:r>
          </w:p>
        </w:tc>
        <w:tc>
          <w:tcPr>
            <w:tcW w:type="dxa" w:w="1662"/>
          </w:tcPr>
          <w:p>
            <w:r/>
            <w:r>
              <w:rPr>
                <w:rFonts w:ascii="宋体" w:hAnsi="宋体" w:eastAsia="宋体"/>
                <w:sz w:val="20"/>
              </w:rPr>
              <w:t>1-2</w:t>
            </w:r>
          </w:p>
        </w:tc>
        <w:tc>
          <w:tcPr>
            <w:tcW w:type="dxa" w:w="1662"/>
          </w:tcPr>
          <w:p>
            <w:r/>
            <w:r>
              <w:rPr>
                <w:rFonts w:ascii="宋体" w:hAnsi="宋体" w:eastAsia="宋体"/>
                <w:sz w:val="20"/>
              </w:rPr>
              <w:t>项目选题、用户调研、技术可行性</w:t>
            </w:r>
          </w:p>
        </w:tc>
        <w:tc>
          <w:tcPr>
            <w:tcW w:type="dxa" w:w="1662"/>
          </w:tcPr>
          <w:p>
            <w:r/>
            <w:r>
              <w:rPr>
                <w:rFonts w:ascii="宋体" w:hAnsi="宋体" w:eastAsia="宋体"/>
                <w:sz w:val="20"/>
              </w:rPr>
              <w:t>项目提案</w:t>
            </w:r>
          </w:p>
        </w:tc>
        <w:tc>
          <w:tcPr>
            <w:tcW w:type="dxa" w:w="1662"/>
          </w:tcPr>
          <w:p>
            <w:r/>
            <w:r>
              <w:rPr>
                <w:rFonts w:ascii="宋体" w:hAnsi="宋体" w:eastAsia="宋体"/>
                <w:sz w:val="20"/>
              </w:rPr>
              <w:t>提案答辩</w:t>
            </w:r>
          </w:p>
        </w:tc>
      </w:tr>
      <w:tr>
        <w:tc>
          <w:tcPr>
            <w:tcW w:type="dxa" w:w="1662"/>
          </w:tcPr>
          <w:p>
            <w:r/>
            <w:r>
              <w:rPr>
                <w:rFonts w:ascii="宋体" w:hAnsi="宋体" w:eastAsia="宋体"/>
                <w:sz w:val="20"/>
              </w:rPr>
              <w:t>方案设计</w:t>
            </w:r>
          </w:p>
        </w:tc>
        <w:tc>
          <w:tcPr>
            <w:tcW w:type="dxa" w:w="1662"/>
          </w:tcPr>
          <w:p>
            <w:r/>
            <w:r>
              <w:rPr>
                <w:rFonts w:ascii="宋体" w:hAnsi="宋体" w:eastAsia="宋体"/>
                <w:sz w:val="20"/>
              </w:rPr>
              <w:t>3-4</w:t>
            </w:r>
          </w:p>
        </w:tc>
        <w:tc>
          <w:tcPr>
            <w:tcW w:type="dxa" w:w="1662"/>
          </w:tcPr>
          <w:p>
            <w:r/>
            <w:r>
              <w:rPr>
                <w:rFonts w:ascii="宋体" w:hAnsi="宋体" w:eastAsia="宋体"/>
                <w:sz w:val="20"/>
              </w:rPr>
              <w:t>场景设计、交互设计、技术选型</w:t>
            </w:r>
          </w:p>
        </w:tc>
        <w:tc>
          <w:tcPr>
            <w:tcW w:type="dxa" w:w="1662"/>
          </w:tcPr>
          <w:p>
            <w:r/>
            <w:r>
              <w:rPr>
                <w:rFonts w:ascii="宋体" w:hAnsi="宋体" w:eastAsia="宋体"/>
                <w:sz w:val="20"/>
              </w:rPr>
              <w:t>设计文档</w:t>
            </w:r>
          </w:p>
        </w:tc>
        <w:tc>
          <w:tcPr>
            <w:tcW w:type="dxa" w:w="1662"/>
          </w:tcPr>
          <w:p>
            <w:r/>
            <w:r>
              <w:rPr>
                <w:rFonts w:ascii="宋体" w:hAnsi="宋体" w:eastAsia="宋体"/>
                <w:sz w:val="20"/>
              </w:rPr>
              <w:t>设计评审</w:t>
            </w:r>
          </w:p>
        </w:tc>
      </w:tr>
      <w:tr>
        <w:tc>
          <w:tcPr>
            <w:tcW w:type="dxa" w:w="1662"/>
          </w:tcPr>
          <w:p>
            <w:r/>
            <w:r>
              <w:rPr>
                <w:rFonts w:ascii="宋体" w:hAnsi="宋体" w:eastAsia="宋体"/>
                <w:sz w:val="20"/>
              </w:rPr>
              <w:t>开发实施</w:t>
            </w:r>
          </w:p>
        </w:tc>
        <w:tc>
          <w:tcPr>
            <w:tcW w:type="dxa" w:w="1662"/>
          </w:tcPr>
          <w:p>
            <w:r/>
            <w:r>
              <w:rPr>
                <w:rFonts w:ascii="宋体" w:hAnsi="宋体" w:eastAsia="宋体"/>
                <w:sz w:val="20"/>
              </w:rPr>
              <w:t>5-10</w:t>
            </w:r>
          </w:p>
        </w:tc>
        <w:tc>
          <w:tcPr>
            <w:tcW w:type="dxa" w:w="1662"/>
          </w:tcPr>
          <w:p>
            <w:r/>
            <w:r>
              <w:rPr>
                <w:rFonts w:ascii="宋体" w:hAnsi="宋体" w:eastAsia="宋体"/>
                <w:sz w:val="20"/>
              </w:rPr>
              <w:t>建模、编程、集成、测试</w:t>
            </w:r>
          </w:p>
        </w:tc>
        <w:tc>
          <w:tcPr>
            <w:tcW w:type="dxa" w:w="1662"/>
          </w:tcPr>
          <w:p>
            <w:r/>
            <w:r>
              <w:rPr>
                <w:rFonts w:ascii="宋体" w:hAnsi="宋体" w:eastAsia="宋体"/>
                <w:sz w:val="20"/>
              </w:rPr>
              <w:t>VR/AR 应用原型</w:t>
            </w:r>
          </w:p>
        </w:tc>
        <w:tc>
          <w:tcPr>
            <w:tcW w:type="dxa" w:w="1662"/>
          </w:tcPr>
          <w:p>
            <w:r/>
            <w:r>
              <w:rPr>
                <w:rFonts w:ascii="宋体" w:hAnsi="宋体" w:eastAsia="宋体"/>
                <w:sz w:val="20"/>
              </w:rPr>
              <w:t>里程碑检查</w:t>
            </w:r>
          </w:p>
        </w:tc>
      </w:tr>
      <w:tr>
        <w:tc>
          <w:tcPr>
            <w:tcW w:type="dxa" w:w="1662"/>
          </w:tcPr>
          <w:p>
            <w:r/>
            <w:r>
              <w:rPr>
                <w:rFonts w:ascii="宋体" w:hAnsi="宋体" w:eastAsia="宋体"/>
                <w:sz w:val="20"/>
              </w:rPr>
              <w:t>测试优化</w:t>
            </w:r>
          </w:p>
        </w:tc>
        <w:tc>
          <w:tcPr>
            <w:tcW w:type="dxa" w:w="1662"/>
          </w:tcPr>
          <w:p>
            <w:r/>
            <w:r>
              <w:rPr>
                <w:rFonts w:ascii="宋体" w:hAnsi="宋体" w:eastAsia="宋体"/>
                <w:sz w:val="20"/>
              </w:rPr>
              <w:t>11-12</w:t>
            </w:r>
          </w:p>
        </w:tc>
        <w:tc>
          <w:tcPr>
            <w:tcW w:type="dxa" w:w="1662"/>
          </w:tcPr>
          <w:p>
            <w:r/>
            <w:r>
              <w:rPr>
                <w:rFonts w:ascii="宋体" w:hAnsi="宋体" w:eastAsia="宋体"/>
                <w:sz w:val="20"/>
              </w:rPr>
              <w:t>用户测试、性能优化、Bug修复</w:t>
            </w:r>
          </w:p>
        </w:tc>
        <w:tc>
          <w:tcPr>
            <w:tcW w:type="dxa" w:w="1662"/>
          </w:tcPr>
          <w:p>
            <w:r/>
            <w:r>
              <w:rPr>
                <w:rFonts w:ascii="宋体" w:hAnsi="宋体" w:eastAsia="宋体"/>
                <w:sz w:val="20"/>
              </w:rPr>
              <w:t>最终版本</w:t>
            </w:r>
          </w:p>
        </w:tc>
        <w:tc>
          <w:tcPr>
            <w:tcW w:type="dxa" w:w="1662"/>
          </w:tcPr>
          <w:p>
            <w:r/>
            <w:r>
              <w:rPr>
                <w:rFonts w:ascii="宋体" w:hAnsi="宋体" w:eastAsia="宋体"/>
                <w:sz w:val="20"/>
              </w:rPr>
              <w:t>测试报告</w:t>
            </w:r>
          </w:p>
        </w:tc>
      </w:tr>
      <w:tr>
        <w:tc>
          <w:tcPr>
            <w:tcW w:type="dxa" w:w="1662"/>
          </w:tcPr>
          <w:p>
            <w:r/>
            <w:r>
              <w:rPr>
                <w:rFonts w:ascii="宋体" w:hAnsi="宋体" w:eastAsia="宋体"/>
                <w:sz w:val="20"/>
              </w:rPr>
              <w:t>发布展示</w:t>
            </w:r>
          </w:p>
        </w:tc>
        <w:tc>
          <w:tcPr>
            <w:tcW w:type="dxa" w:w="1662"/>
          </w:tcPr>
          <w:p>
            <w:r/>
            <w:r>
              <w:rPr>
                <w:rFonts w:ascii="宋体" w:hAnsi="宋体" w:eastAsia="宋体"/>
                <w:sz w:val="20"/>
              </w:rPr>
              <w:t>13-14</w:t>
            </w:r>
          </w:p>
        </w:tc>
        <w:tc>
          <w:tcPr>
            <w:tcW w:type="dxa" w:w="1662"/>
          </w:tcPr>
          <w:p>
            <w:r/>
            <w:r>
              <w:rPr>
                <w:rFonts w:ascii="宋体" w:hAnsi="宋体" w:eastAsia="宋体"/>
                <w:sz w:val="20"/>
              </w:rPr>
              <w:t>答辩演示、同行评议、反思总结</w:t>
            </w:r>
          </w:p>
        </w:tc>
        <w:tc>
          <w:tcPr>
            <w:tcW w:type="dxa" w:w="1662"/>
          </w:tcPr>
          <w:p>
            <w:r/>
            <w:r>
              <w:rPr>
                <w:rFonts w:ascii="宋体" w:hAnsi="宋体" w:eastAsia="宋体"/>
                <w:sz w:val="20"/>
              </w:rPr>
              <w:t>项目报告+演示</w:t>
            </w:r>
          </w:p>
        </w:tc>
        <w:tc>
          <w:tcPr>
            <w:tcW w:type="dxa" w:w="1662"/>
          </w:tcPr>
          <w:p>
            <w:r/>
            <w:r>
              <w:rPr>
                <w:rFonts w:ascii="宋体" w:hAnsi="宋体" w:eastAsia="宋体"/>
                <w:sz w:val="20"/>
              </w:rPr>
              <w:t>综合评分</w:t>
            </w:r>
          </w:p>
        </w:tc>
      </w:tr>
    </w:tbl>
    <w:p/>
    <w:p/>
    <w:p>
      <w:pPr>
        <w:pStyle w:val="Heading2"/>
      </w:pPr>
      <w:r>
        <w:t>9.3 VR/AR 教学模式创新</w:t>
      </w:r>
    </w:p>
    <w:p/>
    <w:p>
      <w:pPr>
        <w:pStyle w:val="Heading3"/>
      </w:pPr>
      <w:r>
        <w:t>9.3.1 虚拟仿真实训基地建设</w:t>
      </w:r>
    </w:p>
    <w:p/>
    <w:p>
      <w:pPr>
        <w:ind w:firstLine="482"/>
      </w:pPr>
      <w:r>
        <w:rPr>
          <w:rFonts w:ascii="宋体" w:hAnsi="宋体" w:eastAsia="宋体"/>
          <w:sz w:val="24"/>
        </w:rPr>
        <w:t>教育部积极推进虚拟仿真实训基地建设，在全国范围内建设了一批国家级虚拟仿真实验教学中心。虚拟仿真实训基地的核心价值在于解决传统实训中"进不去、看不见、动不了、做不了"的问题——高危环境（化工、矿业）、高成本设备（精密仪器、大型机械）、不可逆过程（手术、军事演习）都可以通过 VR 仿真实现安全、低成本、可重复的实训[6]。</w:t>
      </w:r>
    </w:p>
    <w:p/>
    <w:p>
      <w:pPr>
        <w:ind w:firstLine="482"/>
      </w:pPr>
      <w:r>
        <w:rPr>
          <w:rFonts w:ascii="宋体" w:hAnsi="宋体" w:eastAsia="宋体"/>
          <w:sz w:val="24"/>
        </w:rPr>
        <w:t>文旅专业的虚拟仿真实训基地建设应聚焦三个方向：景区管理 VR 仿真（模拟游客流管理、应急疏散等场景）、文化遗产数字化实训（3D 扫描、VR 内容制作技能训练）、智慧旅游 VR/AR 应用开发（培养文旅+技术的复合型人才）。</w:t>
      </w:r>
    </w:p>
    <w:p/>
    <w:p>
      <w:pPr>
        <w:pStyle w:val="Heading3"/>
      </w:pPr>
      <w:r>
        <w:t>9.3.2 混合式 VR 教学</w:t>
      </w:r>
    </w:p>
    <w:p/>
    <w:p>
      <w:pPr>
        <w:ind w:firstLine="482"/>
      </w:pPr>
      <w:r>
        <w:rPr>
          <w:rFonts w:ascii="宋体" w:hAnsi="宋体" w:eastAsia="宋体"/>
          <w:sz w:val="24"/>
        </w:rPr>
        <w:t>混合式 VR 教学将 VR 体验与传统教学方式有机结合，不是用 VR 替代全部教学，而是在最适当的环节使用 VR[7]。推荐的混合式 VR 教学流程为：课前（理论学习）→课中 VR 体验（沉浸式探索）→课后（反思与讨论）。这种"理论-体验-反思"的三段式结构充分发挥了不同教学方式的优势——理论教学传递知识框架，VR 体验提供具身感知，反思讨论促进知识内化。</w:t>
      </w:r>
    </w:p>
    <w:p/>
    <w:p>
      <w:pPr>
        <w:pStyle w:val="Heading3"/>
      </w:pPr>
      <w:r>
        <w:t>9.3.3 协作式 VR 学习环境设计</w:t>
      </w:r>
    </w:p>
    <w:p/>
    <w:p>
      <w:pPr>
        <w:ind w:firstLine="482"/>
      </w:pPr>
      <w:r>
        <w:rPr>
          <w:rFonts w:ascii="宋体" w:hAnsi="宋体" w:eastAsia="宋体"/>
          <w:sz w:val="24"/>
        </w:rPr>
        <w:t>协作式 VR 学习环境允许多名学生同时进入同一虚拟空间，共同完成学习任务。Marougkas 等人提出了个性化全沉浸式 VR 学习环境的框架，其中包含游戏化设计和协作学习两个核心要素[13]。协作式 VR 学习的设计要点包括：角色分工（不同学生承担不同角色，如导游/游客/评估者）、共享视野（学生可以看到彼此的视角和操作）、语音通信（自然语言交流）和协同操作（多人共同操作同一虚拟物体）。</w:t>
      </w:r>
    </w:p>
    <w:p/>
    <w:p>
      <w:pPr>
        <w:pStyle w:val="Heading3"/>
      </w:pPr>
      <w:r>
        <w:t>9.3.4 游戏化 VR 教学设计</w:t>
      </w:r>
    </w:p>
    <w:p/>
    <w:p>
      <w:pPr>
        <w:ind w:firstLine="482"/>
      </w:pPr>
      <w:r>
        <w:rPr>
          <w:rFonts w:ascii="宋体" w:hAnsi="宋体" w:eastAsia="宋体"/>
          <w:sz w:val="24"/>
        </w:rPr>
        <w:t>游戏化（Gamification）将游戏设计元素（积分、徽章、排行榜、任务系统）应用于非游戏场景，以提升参与度和动机。Checa 和 Bustillo 综述了沉浸式 VR 严肃游戏在教育训练中的应用，发现游戏化 VR 在知识保留、技能迁移和学习动机三个维度上均优于传统教学[14]。但研究也警告过度游戏化可能导致"外在动机挤出内在动机"——学生为获取积分而学习，而非对学习内容本身产生兴趣。</w:t>
      </w:r>
    </w:p>
    <w:p/>
    <w:p>
      <w:pPr>
        <w:pStyle w:val="Heading2"/>
      </w:pPr>
      <w:r>
        <w:t>9.4 VR/AR 实训效果评估</w:t>
      </w:r>
    </w:p>
    <w:p/>
    <w:p>
      <w:pPr>
        <w:pStyle w:val="Heading3"/>
      </w:pPr>
      <w:r>
        <w:t>9.4.1 学习效果评估指标体系</w:t>
      </w:r>
    </w:p>
    <w:p/>
    <w:p>
      <w:pPr>
        <w:ind w:firstLine="482"/>
      </w:pPr>
      <w:r>
        <w:rPr>
          <w:rFonts w:ascii="宋体" w:hAnsi="宋体" w:eastAsia="宋体"/>
          <w:sz w:val="24"/>
        </w:rPr>
        <w:t>VR/AR 实训效果的评估应采用多维度指标体系[6]：</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评估维度</w:t>
            </w:r>
          </w:p>
        </w:tc>
        <w:tc>
          <w:tcPr>
            <w:tcW w:type="dxa" w:w="2771"/>
            <w:shd w:fill="D9E2F3" w:val="clear"/>
          </w:tcPr>
          <w:p>
            <w:pPr>
              <w:jc w:val="center"/>
            </w:pPr>
            <w:r/>
            <w:r>
              <w:rPr>
                <w:rFonts w:ascii="黑体" w:hAnsi="黑体" w:eastAsia="黑体"/>
                <w:b/>
                <w:sz w:val="20"/>
              </w:rPr>
              <w:t>指标</w:t>
            </w:r>
          </w:p>
        </w:tc>
        <w:tc>
          <w:tcPr>
            <w:tcW w:type="dxa" w:w="2771"/>
            <w:shd w:fill="D9E2F3" w:val="clear"/>
          </w:tcPr>
          <w:p>
            <w:pPr>
              <w:jc w:val="center"/>
            </w:pPr>
            <w:r/>
            <w:r>
              <w:rPr>
                <w:rFonts w:ascii="黑体" w:hAnsi="黑体" w:eastAsia="黑体"/>
                <w:b/>
                <w:sz w:val="20"/>
              </w:rPr>
              <w:t>测量方法</w:t>
            </w:r>
          </w:p>
        </w:tc>
      </w:tr>
      <w:tr>
        <w:tc>
          <w:tcPr>
            <w:tcW w:type="dxa" w:w="2771"/>
          </w:tcPr>
          <w:p>
            <w:r/>
            <w:r>
              <w:rPr>
                <w:rFonts w:ascii="宋体" w:hAnsi="宋体" w:eastAsia="宋体"/>
                <w:sz w:val="20"/>
              </w:rPr>
              <w:t>知识掌握</w:t>
            </w:r>
          </w:p>
        </w:tc>
        <w:tc>
          <w:tcPr>
            <w:tcW w:type="dxa" w:w="2771"/>
          </w:tcPr>
          <w:p>
            <w:r/>
            <w:r>
              <w:rPr>
                <w:rFonts w:ascii="宋体" w:hAnsi="宋体" w:eastAsia="宋体"/>
                <w:sz w:val="20"/>
              </w:rPr>
              <w:t>概念理解、事实记忆、原理应用</w:t>
            </w:r>
          </w:p>
        </w:tc>
        <w:tc>
          <w:tcPr>
            <w:tcW w:type="dxa" w:w="2771"/>
          </w:tcPr>
          <w:p>
            <w:r/>
            <w:r>
              <w:rPr>
                <w:rFonts w:ascii="宋体" w:hAnsi="宋体" w:eastAsia="宋体"/>
                <w:sz w:val="20"/>
              </w:rPr>
              <w:t>前后测问卷、操作考试</w:t>
            </w:r>
          </w:p>
        </w:tc>
      </w:tr>
      <w:tr>
        <w:tc>
          <w:tcPr>
            <w:tcW w:type="dxa" w:w="2771"/>
          </w:tcPr>
          <w:p>
            <w:r/>
            <w:r>
              <w:rPr>
                <w:rFonts w:ascii="宋体" w:hAnsi="宋体" w:eastAsia="宋体"/>
                <w:sz w:val="20"/>
              </w:rPr>
              <w:t>技能水平</w:t>
            </w:r>
          </w:p>
        </w:tc>
        <w:tc>
          <w:tcPr>
            <w:tcW w:type="dxa" w:w="2771"/>
          </w:tcPr>
          <w:p>
            <w:r/>
            <w:r>
              <w:rPr>
                <w:rFonts w:ascii="宋体" w:hAnsi="宋体" w:eastAsia="宋体"/>
                <w:sz w:val="20"/>
              </w:rPr>
              <w:t>操作准确度、操作速度、错误率</w:t>
            </w:r>
          </w:p>
        </w:tc>
        <w:tc>
          <w:tcPr>
            <w:tcW w:type="dxa" w:w="2771"/>
          </w:tcPr>
          <w:p>
            <w:r/>
            <w:r>
              <w:rPr>
                <w:rFonts w:ascii="宋体" w:hAnsi="宋体" w:eastAsia="宋体"/>
                <w:sz w:val="20"/>
              </w:rPr>
              <w:t>VR 系统记录的行为数据</w:t>
            </w:r>
          </w:p>
        </w:tc>
      </w:tr>
      <w:tr>
        <w:tc>
          <w:tcPr>
            <w:tcW w:type="dxa" w:w="2771"/>
          </w:tcPr>
          <w:p>
            <w:r/>
            <w:r>
              <w:rPr>
                <w:rFonts w:ascii="宋体" w:hAnsi="宋体" w:eastAsia="宋体"/>
                <w:sz w:val="20"/>
              </w:rPr>
              <w:t>学习动机</w:t>
            </w:r>
          </w:p>
        </w:tc>
        <w:tc>
          <w:tcPr>
            <w:tcW w:type="dxa" w:w="2771"/>
          </w:tcPr>
          <w:p>
            <w:r/>
            <w:r>
              <w:rPr>
                <w:rFonts w:ascii="宋体" w:hAnsi="宋体" w:eastAsia="宋体"/>
                <w:sz w:val="20"/>
              </w:rPr>
              <w:t>ARCS 四维度（注意/关联/信心/满意）</w:t>
            </w:r>
          </w:p>
        </w:tc>
        <w:tc>
          <w:tcPr>
            <w:tcW w:type="dxa" w:w="2771"/>
          </w:tcPr>
          <w:p>
            <w:r/>
            <w:r>
              <w:rPr>
                <w:rFonts w:ascii="宋体" w:hAnsi="宋体" w:eastAsia="宋体"/>
                <w:sz w:val="20"/>
              </w:rPr>
              <w:t>ARCS 动机问卷</w:t>
            </w:r>
          </w:p>
        </w:tc>
      </w:tr>
      <w:tr>
        <w:tc>
          <w:tcPr>
            <w:tcW w:type="dxa" w:w="2771"/>
          </w:tcPr>
          <w:p>
            <w:r/>
            <w:r>
              <w:rPr>
                <w:rFonts w:ascii="宋体" w:hAnsi="宋体" w:eastAsia="宋体"/>
                <w:sz w:val="20"/>
              </w:rPr>
              <w:t>沉浸感</w:t>
            </w:r>
          </w:p>
        </w:tc>
        <w:tc>
          <w:tcPr>
            <w:tcW w:type="dxa" w:w="2771"/>
          </w:tcPr>
          <w:p>
            <w:r/>
            <w:r>
              <w:rPr>
                <w:rFonts w:ascii="宋体" w:hAnsi="宋体" w:eastAsia="宋体"/>
                <w:sz w:val="20"/>
              </w:rPr>
              <w:t>PI/PSI/Psi 三层级</w:t>
            </w:r>
          </w:p>
        </w:tc>
        <w:tc>
          <w:tcPr>
            <w:tcW w:type="dxa" w:w="2771"/>
          </w:tcPr>
          <w:p>
            <w:r/>
            <w:r>
              <w:rPr>
                <w:rFonts w:ascii="宋体" w:hAnsi="宋体" w:eastAsia="宋体"/>
                <w:sz w:val="20"/>
              </w:rPr>
              <w:t>临场感问卷（IPQ）</w:t>
            </w:r>
          </w:p>
        </w:tc>
      </w:tr>
      <w:tr>
        <w:tc>
          <w:tcPr>
            <w:tcW w:type="dxa" w:w="2771"/>
          </w:tcPr>
          <w:p>
            <w:r/>
            <w:r>
              <w:rPr>
                <w:rFonts w:ascii="宋体" w:hAnsi="宋体" w:eastAsia="宋体"/>
                <w:sz w:val="20"/>
              </w:rPr>
              <w:t>满意度</w:t>
            </w:r>
          </w:p>
        </w:tc>
        <w:tc>
          <w:tcPr>
            <w:tcW w:type="dxa" w:w="2771"/>
          </w:tcPr>
          <w:p>
            <w:r/>
            <w:r>
              <w:rPr>
                <w:rFonts w:ascii="宋体" w:hAnsi="宋体" w:eastAsia="宋体"/>
                <w:sz w:val="20"/>
              </w:rPr>
              <w:t>整体满意度、推荐意愿</w:t>
            </w:r>
          </w:p>
        </w:tc>
        <w:tc>
          <w:tcPr>
            <w:tcW w:type="dxa" w:w="2771"/>
          </w:tcPr>
          <w:p>
            <w:r/>
            <w:r>
              <w:rPr>
                <w:rFonts w:ascii="宋体" w:hAnsi="宋体" w:eastAsia="宋体"/>
                <w:sz w:val="20"/>
              </w:rPr>
              <w:t>SUS 量表、NPS 评分</w:t>
            </w:r>
          </w:p>
        </w:tc>
      </w:tr>
      <w:tr>
        <w:tc>
          <w:tcPr>
            <w:tcW w:type="dxa" w:w="2771"/>
          </w:tcPr>
          <w:p>
            <w:r/>
            <w:r>
              <w:rPr>
                <w:rFonts w:ascii="宋体" w:hAnsi="宋体" w:eastAsia="宋体"/>
                <w:sz w:val="20"/>
              </w:rPr>
              <w:t>迁移效果</w:t>
            </w:r>
          </w:p>
        </w:tc>
        <w:tc>
          <w:tcPr>
            <w:tcW w:type="dxa" w:w="2771"/>
          </w:tcPr>
          <w:p>
            <w:r/>
            <w:r>
              <w:rPr>
                <w:rFonts w:ascii="宋体" w:hAnsi="宋体" w:eastAsia="宋体"/>
                <w:sz w:val="20"/>
              </w:rPr>
              <w:t>VR 学习→真实操作的能力迁移</w:t>
            </w:r>
          </w:p>
        </w:tc>
        <w:tc>
          <w:tcPr>
            <w:tcW w:type="dxa" w:w="2771"/>
          </w:tcPr>
          <w:p>
            <w:r/>
            <w:r>
              <w:rPr>
                <w:rFonts w:ascii="宋体" w:hAnsi="宋体" w:eastAsia="宋体"/>
                <w:sz w:val="20"/>
              </w:rPr>
              <w:t>实操考核对比</w:t>
            </w:r>
          </w:p>
        </w:tc>
      </w:tr>
    </w:tbl>
    <w:p/>
    <w:p/>
    <w:p>
      <w:pPr>
        <w:pStyle w:val="Heading3"/>
      </w:pPr>
      <w:r>
        <w:t>9.4.2 VR 实训效果对比实验设计</w:t>
      </w:r>
    </w:p>
    <w:p/>
    <w:p>
      <w:pPr>
        <w:ind w:firstLine="482"/>
      </w:pPr>
      <w:r>
        <w:rPr>
          <w:rFonts w:ascii="宋体" w:hAnsi="宋体" w:eastAsia="宋体"/>
          <w:sz w:val="24"/>
        </w:rPr>
        <w:t>评估 VR 实训效果需要严谨的实验设计[6]。推荐的实验方案为：将被试随机分为实验组（VR 实训）和对照组（传统实训），两组学习相同内容但方式不同。在实训前后分别进行知识测试和技能考核，比较两组的前后测差异。同时收集动机、沉浸感和满意度等过程数据，分析 VR 实训的影响机制。</w:t>
      </w:r>
    </w:p>
    <w:p/>
    <w:p>
      <w:pPr>
        <w:pStyle w:val="Heading3"/>
      </w:pPr>
      <w:r>
        <w:t>9.4.3 用户体验与学习动机测量</w:t>
      </w:r>
    </w:p>
    <w:p/>
    <w:p>
      <w:pPr>
        <w:ind w:firstLine="482"/>
      </w:pPr>
      <w:r>
        <w:rPr>
          <w:rFonts w:ascii="宋体" w:hAnsi="宋体" w:eastAsia="宋体"/>
          <w:sz w:val="24"/>
        </w:rPr>
        <w:t>Mulders 等人的沉浸式 VR 学习环境框架强调了评估的多维性——单一的学习成绩指标无法全面反映 VR 教育的价值[15]。VR 教育的独特价值在于沉浸感和动机提升，这些"软性"指标需要通过标准化的主观问卷和客观的行为数据综合测量。</w:t>
      </w:r>
    </w:p>
    <w:p/>
    <w:p>
      <w:pPr>
        <w:pStyle w:val="Heading3"/>
      </w:pPr>
      <w:r>
        <w:t>9.4.4 VR/AR 教育应用的成本效益分析</w:t>
      </w:r>
    </w:p>
    <w:p/>
    <w:p>
      <w:pPr>
        <w:ind w:firstLine="482"/>
      </w:pPr>
      <w:r>
        <w:rPr>
          <w:rFonts w:ascii="宋体" w:hAnsi="宋体" w:eastAsia="宋体"/>
          <w:sz w:val="24"/>
        </w:rPr>
        <w:t>VR/AR 教育的成本包括：硬件采购（头显、工作站）、软件许可（引擎、插件）、内容开发（建模、编程、设计）、培训和维护（教师培训、设备维护）。效益包括：实训耗材节约、安全风险降低、教学可重复性提升、学习效果改善[6]。Long 等人的研究发现，VR 实训的初始投入虽然较高，但在 3-5 年的使用周期内，总成本低于传统实训（主要节约来自耗材和场地），且学习效果不逊于传统实训[6]。</w:t>
      </w:r>
    </w:p>
    <w:p/>
    <w:p>
      <w:pPr>
        <w:pStyle w:val="Heading2"/>
      </w:pPr>
      <w:r>
        <w:t>9.5 VR/AR 教材开发与资源建设</w:t>
      </w:r>
    </w:p>
    <w:p/>
    <w:p>
      <w:pPr>
        <w:pStyle w:val="Heading3"/>
      </w:pPr>
      <w:r>
        <w:t>9.5.1 AR/VR 技术开发职业教育教材的思路</w:t>
      </w:r>
    </w:p>
    <w:p/>
    <w:p>
      <w:pPr>
        <w:ind w:firstLine="482"/>
      </w:pPr>
      <w:r>
        <w:rPr>
          <w:rFonts w:ascii="宋体" w:hAnsi="宋体" w:eastAsia="宋体"/>
          <w:sz w:val="24"/>
        </w:rPr>
        <w:t>职业教育教材的 AR/VR 化不应仅是传统教材的数字化搬运，而应重新设计教学内容的呈现方式[16]。AR/VR 教材的开发思路包括：将抽象概念可视化（如将电路原理转化为可交互的 3D 电路模型）、将操作步骤模拟化（如将设备拆装流程转化为 VR 互动操作）、将场景知识情境化（如将管理理论放入虚拟景区场景中应用）。</w:t>
      </w:r>
    </w:p>
    <w:p/>
    <w:p>
      <w:pPr>
        <w:pStyle w:val="Heading3"/>
      </w:pPr>
      <w:r>
        <w:t>9.5.2 VR/AR 配套教学资源体系</w:t>
      </w:r>
    </w:p>
    <w:p/>
    <w:p>
      <w:pPr>
        <w:ind w:firstLine="482"/>
      </w:pPr>
      <w:r>
        <w:rPr>
          <w:rFonts w:ascii="宋体" w:hAnsi="宋体" w:eastAsia="宋体"/>
          <w:sz w:val="24"/>
        </w:rPr>
        <w:t>VR/AR 教材需要配套完整的资源体系：教学课件（含 VR/AR 体验的课堂演示版本）、实训项目书（详细的项目任务书和操作指南）、评估工具（在线测试系统和技能评估量表）、教师手册（VR 教学操作指南和常见问题解答）、学生社区（项目展示和经验交流平台）[16]。</w:t>
      </w:r>
    </w:p>
    <w:p/>
    <w:p>
      <w:pPr>
        <w:ind w:firstLine="482"/>
      </w:pPr>
      <w:r>
        <w:rPr>
          <w:rFonts w:ascii="宋体" w:hAnsi="宋体" w:eastAsia="宋体"/>
          <w:sz w:val="24"/>
        </w:rPr>
        <w:t>冉红涛和占发禹指出，VR 与 AR 技术在职业教育课程教学中的应用需要教师角色的转变——从"知识传授者"转变为"体验设计者和学习引导者"[17]。蔡青青等人进一步探讨了基于 VR/AR 的高职信息类专业实践教学探索，提出了"VR 预习→实体实训→VR 复习"的三段式实践教学流程[18]。</w:t>
      </w:r>
    </w:p>
    <w:p/>
    <w:p>
      <w:pPr>
        <w:ind w:firstLine="482"/>
      </w:pPr>
      <w:r>
        <w:rPr>
          <w:rFonts w:ascii="宋体" w:hAnsi="宋体" w:eastAsia="宋体"/>
          <w:sz w:val="24"/>
        </w:rPr>
        <w:t>Bacca-Acosta 等人的系统性综述梳理了 AR 在教育中的趋势，指出 AR 教育应用的成功关键在于教学法与技术法的平衡——再先进的技术如果缺乏合理的教学设计也难以产生学习效果[19]。Gavish 等人提出的 VR/AR 训练系统设计指南为实训课程的技术实现提供了具体建议[20]。Zhang 的研究聚焦于 VR 技术与职业院校实践教学的深度融合，提出了技术-教学-管理三位一体的实施策略[21]。</w:t>
      </w:r>
    </w:p>
    <w:p/>
    <w:p>
      <w:pPr>
        <w:ind w:firstLine="482"/>
      </w:pPr>
      <w:r>
        <w:rPr>
          <w:rFonts w:ascii="宋体" w:hAnsi="宋体" w:eastAsia="宋体"/>
          <w:sz w:val="24"/>
        </w:rPr>
        <w:t>---</w:t>
      </w:r>
    </w:p>
    <w:p/>
    <w:p>
      <w:pPr>
        <w:pStyle w:val="Heading2"/>
      </w:pPr>
      <w:r>
        <w:t>9.5 VR/AR 教育实训的项目化管理</w:t>
      </w:r>
    </w:p>
    <w:p/>
    <w:p>
      <w:pPr>
        <w:pStyle w:val="Heading3"/>
      </w:pPr>
      <w:r>
        <w:t>9.5.1 实训项目的生命周期管理</w:t>
      </w:r>
    </w:p>
    <w:p/>
    <w:p>
      <w:pPr>
        <w:ind w:firstLine="482"/>
      </w:pPr>
      <w:r>
        <w:rPr>
          <w:rFonts w:ascii="宋体" w:hAnsi="宋体" w:eastAsia="宋体"/>
          <w:sz w:val="24"/>
        </w:rPr>
        <w:t>VR/AR 教育实训项目的生命周期包含五个阶段，每个阶段都有明确的质量门控和交付物要求[6]。</w:t>
      </w:r>
    </w:p>
    <w:p/>
    <w:p>
      <w:pPr>
        <w:ind w:firstLine="482"/>
      </w:pPr>
      <w:r>
        <w:rPr>
          <w:rFonts w:ascii="宋体" w:hAnsi="宋体" w:eastAsia="宋体"/>
          <w:b/>
          <w:sz w:val="24"/>
        </w:rPr>
        <w:t>阶段一：需求分析与教学设计（2-3 周）</w:t>
      </w:r>
      <w:r>
        <w:rPr>
          <w:rFonts w:ascii="宋体" w:hAnsi="宋体" w:eastAsia="宋体"/>
          <w:sz w:val="24"/>
        </w:rPr>
        <w:t>。此阶段的核心任务是将教学目标转化为 VR/AR 应用需求。教师与开发团队共同进行教学任务分析，确定哪些教学内容适合 VR/AR 呈现、哪些环节需要交互式练习、哪些知识点需要 3D 可视化辅助。输出物包括教学需求规格说明书、VR/AR 内容矩阵（将每个知识点映射到 VR/AR 呈现方式）和初步的交互设计方案。质量门控：需求规格须经学科教师和技术负责人双方签字确认。</w:t>
      </w:r>
    </w:p>
    <w:p/>
    <w:p>
      <w:pPr>
        <w:ind w:firstLine="482"/>
      </w:pPr>
      <w:r>
        <w:rPr>
          <w:rFonts w:ascii="宋体" w:hAnsi="宋体" w:eastAsia="宋体"/>
          <w:b/>
          <w:sz w:val="24"/>
        </w:rPr>
        <w:t>阶段二：原型设计与验证（1-2 周）</w:t>
      </w:r>
      <w:r>
        <w:rPr>
          <w:rFonts w:ascii="宋体" w:hAnsi="宋体" w:eastAsia="宋体"/>
          <w:sz w:val="24"/>
        </w:rPr>
        <w:t>。基于需求规格，开发团队制作低保真原型——使用简单的 3D 场景和占位素材搭建应用框架，重点验证交互流程和用户体验。邀请 3-5 名目标学生进行原型测试，收集反馈并迭代修改。输出物包括交互原型、测试报告和修改后的设计方案。质量门控：原型须经教师审核确认交互逻辑符合教学设计[7]。</w:t>
      </w:r>
    </w:p>
    <w:p/>
    <w:p>
      <w:pPr>
        <w:ind w:firstLine="482"/>
      </w:pPr>
      <w:r>
        <w:rPr>
          <w:rFonts w:ascii="宋体" w:hAnsi="宋体" w:eastAsia="宋体"/>
          <w:b/>
          <w:sz w:val="24"/>
        </w:rPr>
        <w:t>阶段三：内容开发与集成（4-8 周）</w:t>
      </w:r>
      <w:r>
        <w:rPr>
          <w:rFonts w:ascii="宋体" w:hAnsi="宋体" w:eastAsia="宋体"/>
          <w:sz w:val="24"/>
        </w:rPr>
        <w:t>。此阶段是项目的主要工作量期。3D 建模师制作场景和物体模型，程序员实现交互逻辑和评估系统，教师准备教学内容和语音脚本，音频工程师录制讲解音频。各模块按照接口规范并行开发，定期进行集成联调。输出物包括 VR/AR 应用 Alpha 版本、3D 资产库和教学内容库。质量门控：Alpha 版本须通过功能完整性测试和教学准确性审核。</w:t>
      </w:r>
    </w:p>
    <w:p/>
    <w:p>
      <w:pPr>
        <w:ind w:firstLine="482"/>
      </w:pPr>
      <w:r>
        <w:rPr>
          <w:rFonts w:ascii="宋体" w:hAnsi="宋体" w:eastAsia="宋体"/>
          <w:b/>
          <w:sz w:val="24"/>
        </w:rPr>
        <w:t>阶段四：测试与优化（2-3 周）</w:t>
      </w:r>
      <w:r>
        <w:rPr>
          <w:rFonts w:ascii="宋体" w:hAnsi="宋体" w:eastAsia="宋体"/>
          <w:sz w:val="24"/>
        </w:rPr>
        <w:t>。进行多轮测试——功能测试（验证所有交互功能正常）、性能测试（帧率、内存、加载时间）、兼容性测试（不同 VR/AR 设备）、用户体验测试（邀请 10-20 名学生实地使用）和教学效果测试（前后测知识掌握度对比）。根据测试结果进行优化迭代。输出物包括 VR/AR 应用 Beta 版本、测试报告和优化记录。质量门控：Beta 版本须达到预定的性能指标和用户体验评分[8]。</w:t>
      </w:r>
    </w:p>
    <w:p/>
    <w:p>
      <w:pPr>
        <w:ind w:firstLine="482"/>
      </w:pPr>
      <w:r>
        <w:rPr>
          <w:rFonts w:ascii="宋体" w:hAnsi="宋体" w:eastAsia="宋体"/>
          <w:b/>
          <w:sz w:val="24"/>
        </w:rPr>
        <w:t>阶段五：部署与运维（持续）</w:t>
      </w:r>
      <w:r>
        <w:rPr>
          <w:rFonts w:ascii="宋体" w:hAnsi="宋体" w:eastAsia="宋体"/>
          <w:sz w:val="24"/>
        </w:rPr>
        <w:t>。将应用部署到教学环境，培训教师使用，建立技术支持渠道。定期收集使用反馈，进行版本更新和内容扩充。输出物包括部署文档、教师培训手册和技术支持方案。质量门控：首次教学使用后须进行教学效果评估，达标后正式纳入课程体系。</w:t>
      </w:r>
    </w:p>
    <w:p/>
    <w:p>
      <w:pPr>
        <w:pStyle w:val="Heading3"/>
      </w:pPr>
      <w:r>
        <w:t>9.5.2 实训项目的风险管理</w:t>
      </w:r>
    </w:p>
    <w:p/>
    <w:p>
      <w:pPr>
        <w:ind w:firstLine="482"/>
      </w:pPr>
      <w:r>
        <w:rPr>
          <w:rFonts w:ascii="宋体" w:hAnsi="宋体" w:eastAsia="宋体"/>
          <w:sz w:val="24"/>
        </w:rPr>
        <w:t>VR/AR 教育实训项目面临的技术风险和管理风险需要提前识别和规划应对[8]：</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风险类别</w:t>
            </w:r>
          </w:p>
        </w:tc>
        <w:tc>
          <w:tcPr>
            <w:tcW w:type="dxa" w:w="1662"/>
            <w:shd w:fill="D9E2F3" w:val="clear"/>
          </w:tcPr>
          <w:p>
            <w:pPr>
              <w:jc w:val="center"/>
            </w:pPr>
            <w:r/>
            <w:r>
              <w:rPr>
                <w:rFonts w:ascii="黑体" w:hAnsi="黑体" w:eastAsia="黑体"/>
                <w:b/>
                <w:sz w:val="20"/>
              </w:rPr>
              <w:t>具体风险</w:t>
            </w:r>
          </w:p>
        </w:tc>
        <w:tc>
          <w:tcPr>
            <w:tcW w:type="dxa" w:w="1662"/>
            <w:shd w:fill="D9E2F3" w:val="clear"/>
          </w:tcPr>
          <w:p>
            <w:pPr>
              <w:jc w:val="center"/>
            </w:pPr>
            <w:r/>
            <w:r>
              <w:rPr>
                <w:rFonts w:ascii="黑体" w:hAnsi="黑体" w:eastAsia="黑体"/>
                <w:b/>
                <w:sz w:val="20"/>
              </w:rPr>
              <w:t>概率</w:t>
            </w:r>
          </w:p>
        </w:tc>
        <w:tc>
          <w:tcPr>
            <w:tcW w:type="dxa" w:w="1662"/>
            <w:shd w:fill="D9E2F3" w:val="clear"/>
          </w:tcPr>
          <w:p>
            <w:pPr>
              <w:jc w:val="center"/>
            </w:pPr>
            <w:r/>
            <w:r>
              <w:rPr>
                <w:rFonts w:ascii="黑体" w:hAnsi="黑体" w:eastAsia="黑体"/>
                <w:b/>
                <w:sz w:val="20"/>
              </w:rPr>
              <w:t>影响</w:t>
            </w:r>
          </w:p>
        </w:tc>
        <w:tc>
          <w:tcPr>
            <w:tcW w:type="dxa" w:w="1662"/>
            <w:shd w:fill="D9E2F3" w:val="clear"/>
          </w:tcPr>
          <w:p>
            <w:pPr>
              <w:jc w:val="center"/>
            </w:pPr>
            <w:r/>
            <w:r>
              <w:rPr>
                <w:rFonts w:ascii="黑体" w:hAnsi="黑体" w:eastAsia="黑体"/>
                <w:b/>
                <w:sz w:val="20"/>
              </w:rPr>
              <w:t>应对策略</w:t>
            </w:r>
          </w:p>
        </w:tc>
      </w:tr>
      <w:tr>
        <w:tc>
          <w:tcPr>
            <w:tcW w:type="dxa" w:w="1662"/>
          </w:tcPr>
          <w:p>
            <w:r/>
            <w:r>
              <w:rPr>
                <w:rFonts w:ascii="宋体" w:hAnsi="宋体" w:eastAsia="宋体"/>
                <w:sz w:val="20"/>
              </w:rPr>
              <w:t>技术风险</w:t>
            </w:r>
          </w:p>
        </w:tc>
        <w:tc>
          <w:tcPr>
            <w:tcW w:type="dxa" w:w="1662"/>
          </w:tcPr>
          <w:p>
            <w:r/>
            <w:r>
              <w:rPr>
                <w:rFonts w:ascii="宋体" w:hAnsi="宋体" w:eastAsia="宋体"/>
                <w:sz w:val="20"/>
              </w:rPr>
              <w:t>VR 眩晕导致学生无法使用</w:t>
            </w:r>
          </w:p>
        </w:tc>
        <w:tc>
          <w:tcPr>
            <w:tcW w:type="dxa" w:w="1662"/>
          </w:tcPr>
          <w:p>
            <w:r/>
            <w:r>
              <w:rPr>
                <w:rFonts w:ascii="宋体" w:hAnsi="宋体" w:eastAsia="宋体"/>
                <w:sz w:val="20"/>
              </w:rPr>
              <w:t>中</w:t>
            </w:r>
          </w:p>
        </w:tc>
        <w:tc>
          <w:tcPr>
            <w:tcW w:type="dxa" w:w="1662"/>
          </w:tcPr>
          <w:p>
            <w:r/>
            <w:r>
              <w:rPr>
                <w:rFonts w:ascii="宋体" w:hAnsi="宋体" w:eastAsia="宋体"/>
                <w:sz w:val="20"/>
              </w:rPr>
              <w:t>高</w:t>
            </w:r>
          </w:p>
        </w:tc>
        <w:tc>
          <w:tcPr>
            <w:tcW w:type="dxa" w:w="1662"/>
          </w:tcPr>
          <w:p>
            <w:r/>
            <w:r>
              <w:rPr>
                <w:rFonts w:ascii="宋体" w:hAnsi="宋体" w:eastAsia="宋体"/>
                <w:sz w:val="20"/>
              </w:rPr>
              <w:t>设计舒适度选项、限制单次使用时长</w:t>
            </w:r>
          </w:p>
        </w:tc>
      </w:tr>
      <w:tr>
        <w:tc>
          <w:tcPr>
            <w:tcW w:type="dxa" w:w="1662"/>
          </w:tcPr>
          <w:p>
            <w:r/>
            <w:r>
              <w:rPr>
                <w:rFonts w:ascii="宋体" w:hAnsi="宋体" w:eastAsia="宋体"/>
                <w:sz w:val="20"/>
              </w:rPr>
              <w:t>技术风险</w:t>
            </w:r>
          </w:p>
        </w:tc>
        <w:tc>
          <w:tcPr>
            <w:tcW w:type="dxa" w:w="1662"/>
          </w:tcPr>
          <w:p>
            <w:r/>
            <w:r>
              <w:rPr>
                <w:rFonts w:ascii="宋体" w:hAnsi="宋体" w:eastAsia="宋体"/>
                <w:sz w:val="20"/>
              </w:rPr>
              <w:t>设备故障影响教学进度</w:t>
            </w:r>
          </w:p>
        </w:tc>
        <w:tc>
          <w:tcPr>
            <w:tcW w:type="dxa" w:w="1662"/>
          </w:tcPr>
          <w:p>
            <w:r/>
            <w:r>
              <w:rPr>
                <w:rFonts w:ascii="宋体" w:hAnsi="宋体" w:eastAsia="宋体"/>
                <w:sz w:val="20"/>
              </w:rPr>
              <w:t>中</w:t>
            </w:r>
          </w:p>
        </w:tc>
        <w:tc>
          <w:tcPr>
            <w:tcW w:type="dxa" w:w="1662"/>
          </w:tcPr>
          <w:p>
            <w:r/>
            <w:r>
              <w:rPr>
                <w:rFonts w:ascii="宋体" w:hAnsi="宋体" w:eastAsia="宋体"/>
                <w:sz w:val="20"/>
              </w:rPr>
              <w:t>高</w:t>
            </w:r>
          </w:p>
        </w:tc>
        <w:tc>
          <w:tcPr>
            <w:tcW w:type="dxa" w:w="1662"/>
          </w:tcPr>
          <w:p>
            <w:r/>
            <w:r>
              <w:rPr>
                <w:rFonts w:ascii="宋体" w:hAnsi="宋体" w:eastAsia="宋体"/>
                <w:sz w:val="20"/>
              </w:rPr>
              <w:t>准备备用设备、制定降级教学方案</w:t>
            </w:r>
          </w:p>
        </w:tc>
      </w:tr>
      <w:tr>
        <w:tc>
          <w:tcPr>
            <w:tcW w:type="dxa" w:w="1662"/>
          </w:tcPr>
          <w:p>
            <w:r/>
            <w:r>
              <w:rPr>
                <w:rFonts w:ascii="宋体" w:hAnsi="宋体" w:eastAsia="宋体"/>
                <w:sz w:val="20"/>
              </w:rPr>
              <w:t>技术风险</w:t>
            </w:r>
          </w:p>
        </w:tc>
        <w:tc>
          <w:tcPr>
            <w:tcW w:type="dxa" w:w="1662"/>
          </w:tcPr>
          <w:p>
            <w:r/>
            <w:r>
              <w:rPr>
                <w:rFonts w:ascii="宋体" w:hAnsi="宋体" w:eastAsia="宋体"/>
                <w:sz w:val="20"/>
              </w:rPr>
              <w:t>3D 模型精度不足影响教学</w:t>
            </w:r>
          </w:p>
        </w:tc>
        <w:tc>
          <w:tcPr>
            <w:tcW w:type="dxa" w:w="1662"/>
          </w:tcPr>
          <w:p>
            <w:r/>
            <w:r>
              <w:rPr>
                <w:rFonts w:ascii="宋体" w:hAnsi="宋体" w:eastAsia="宋体"/>
                <w:sz w:val="20"/>
              </w:rPr>
              <w:t>低</w:t>
            </w:r>
          </w:p>
        </w:tc>
        <w:tc>
          <w:tcPr>
            <w:tcW w:type="dxa" w:w="1662"/>
          </w:tcPr>
          <w:p>
            <w:r/>
            <w:r>
              <w:rPr>
                <w:rFonts w:ascii="宋体" w:hAnsi="宋体" w:eastAsia="宋体"/>
                <w:sz w:val="20"/>
              </w:rPr>
              <w:t>中</w:t>
            </w:r>
          </w:p>
        </w:tc>
        <w:tc>
          <w:tcPr>
            <w:tcW w:type="dxa" w:w="1662"/>
          </w:tcPr>
          <w:p>
            <w:r/>
            <w:r>
              <w:rPr>
                <w:rFonts w:ascii="宋体" w:hAnsi="宋体" w:eastAsia="宋体"/>
                <w:sz w:val="20"/>
              </w:rPr>
              <w:t>教师审核模型、关键模型优先精修</w:t>
            </w:r>
          </w:p>
        </w:tc>
      </w:tr>
      <w:tr>
        <w:tc>
          <w:tcPr>
            <w:tcW w:type="dxa" w:w="1662"/>
          </w:tcPr>
          <w:p>
            <w:r/>
            <w:r>
              <w:rPr>
                <w:rFonts w:ascii="宋体" w:hAnsi="宋体" w:eastAsia="宋体"/>
                <w:sz w:val="20"/>
              </w:rPr>
              <w:t>内容风险</w:t>
            </w:r>
          </w:p>
        </w:tc>
        <w:tc>
          <w:tcPr>
            <w:tcW w:type="dxa" w:w="1662"/>
          </w:tcPr>
          <w:p>
            <w:r/>
            <w:r>
              <w:rPr>
                <w:rFonts w:ascii="宋体" w:hAnsi="宋体" w:eastAsia="宋体"/>
                <w:sz w:val="20"/>
              </w:rPr>
              <w:t>教学内容存在知识性错误</w:t>
            </w:r>
          </w:p>
        </w:tc>
        <w:tc>
          <w:tcPr>
            <w:tcW w:type="dxa" w:w="1662"/>
          </w:tcPr>
          <w:p>
            <w:r/>
            <w:r>
              <w:rPr>
                <w:rFonts w:ascii="宋体" w:hAnsi="宋体" w:eastAsia="宋体"/>
                <w:sz w:val="20"/>
              </w:rPr>
              <w:t>中</w:t>
            </w:r>
          </w:p>
        </w:tc>
        <w:tc>
          <w:tcPr>
            <w:tcW w:type="dxa" w:w="1662"/>
          </w:tcPr>
          <w:p>
            <w:r/>
            <w:r>
              <w:rPr>
                <w:rFonts w:ascii="宋体" w:hAnsi="宋体" w:eastAsia="宋体"/>
                <w:sz w:val="20"/>
              </w:rPr>
              <w:t>高</w:t>
            </w:r>
          </w:p>
        </w:tc>
        <w:tc>
          <w:tcPr>
            <w:tcW w:type="dxa" w:w="1662"/>
          </w:tcPr>
          <w:p>
            <w:r/>
            <w:r>
              <w:rPr>
                <w:rFonts w:ascii="宋体" w:hAnsi="宋体" w:eastAsia="宋体"/>
                <w:sz w:val="20"/>
              </w:rPr>
              <w:t>建立三审制度、学科专家终审</w:t>
            </w:r>
          </w:p>
        </w:tc>
      </w:tr>
      <w:tr>
        <w:tc>
          <w:tcPr>
            <w:tcW w:type="dxa" w:w="1662"/>
          </w:tcPr>
          <w:p>
            <w:r/>
            <w:r>
              <w:rPr>
                <w:rFonts w:ascii="宋体" w:hAnsi="宋体" w:eastAsia="宋体"/>
                <w:sz w:val="20"/>
              </w:rPr>
              <w:t>管理风险</w:t>
            </w:r>
          </w:p>
        </w:tc>
        <w:tc>
          <w:tcPr>
            <w:tcW w:type="dxa" w:w="1662"/>
          </w:tcPr>
          <w:p>
            <w:r/>
            <w:r>
              <w:rPr>
                <w:rFonts w:ascii="宋体" w:hAnsi="宋体" w:eastAsia="宋体"/>
                <w:sz w:val="20"/>
              </w:rPr>
              <w:t>开发进度延期</w:t>
            </w:r>
          </w:p>
        </w:tc>
        <w:tc>
          <w:tcPr>
            <w:tcW w:type="dxa" w:w="1662"/>
          </w:tcPr>
          <w:p>
            <w:r/>
            <w:r>
              <w:rPr>
                <w:rFonts w:ascii="宋体" w:hAnsi="宋体" w:eastAsia="宋体"/>
                <w:sz w:val="20"/>
              </w:rPr>
              <w:t>高</w:t>
            </w:r>
          </w:p>
        </w:tc>
        <w:tc>
          <w:tcPr>
            <w:tcW w:type="dxa" w:w="1662"/>
          </w:tcPr>
          <w:p>
            <w:r/>
            <w:r>
              <w:rPr>
                <w:rFonts w:ascii="宋体" w:hAnsi="宋体" w:eastAsia="宋体"/>
                <w:sz w:val="20"/>
              </w:rPr>
              <w:t>中</w:t>
            </w:r>
          </w:p>
        </w:tc>
        <w:tc>
          <w:tcPr>
            <w:tcW w:type="dxa" w:w="1662"/>
          </w:tcPr>
          <w:p>
            <w:r/>
            <w:r>
              <w:rPr>
                <w:rFonts w:ascii="宋体" w:hAnsi="宋体" w:eastAsia="宋体"/>
                <w:sz w:val="20"/>
              </w:rPr>
              <w:t>预留缓冲时间、优先开发核心功能</w:t>
            </w:r>
          </w:p>
        </w:tc>
      </w:tr>
      <w:tr>
        <w:tc>
          <w:tcPr>
            <w:tcW w:type="dxa" w:w="1662"/>
          </w:tcPr>
          <w:p>
            <w:r/>
            <w:r>
              <w:rPr>
                <w:rFonts w:ascii="宋体" w:hAnsi="宋体" w:eastAsia="宋体"/>
                <w:sz w:val="20"/>
              </w:rPr>
              <w:t>管理风险</w:t>
            </w:r>
          </w:p>
        </w:tc>
        <w:tc>
          <w:tcPr>
            <w:tcW w:type="dxa" w:w="1662"/>
          </w:tcPr>
          <w:p>
            <w:r/>
            <w:r>
              <w:rPr>
                <w:rFonts w:ascii="宋体" w:hAnsi="宋体" w:eastAsia="宋体"/>
                <w:sz w:val="20"/>
              </w:rPr>
              <w:t>教师不接受新技术</w:t>
            </w:r>
          </w:p>
        </w:tc>
        <w:tc>
          <w:tcPr>
            <w:tcW w:type="dxa" w:w="1662"/>
          </w:tcPr>
          <w:p>
            <w:r/>
            <w:r>
              <w:rPr>
                <w:rFonts w:ascii="宋体" w:hAnsi="宋体" w:eastAsia="宋体"/>
                <w:sz w:val="20"/>
              </w:rPr>
              <w:t>中</w:t>
            </w:r>
          </w:p>
        </w:tc>
        <w:tc>
          <w:tcPr>
            <w:tcW w:type="dxa" w:w="1662"/>
          </w:tcPr>
          <w:p>
            <w:r/>
            <w:r>
              <w:rPr>
                <w:rFonts w:ascii="宋体" w:hAnsi="宋体" w:eastAsia="宋体"/>
                <w:sz w:val="20"/>
              </w:rPr>
              <w:t>高</w:t>
            </w:r>
          </w:p>
        </w:tc>
        <w:tc>
          <w:tcPr>
            <w:tcW w:type="dxa" w:w="1662"/>
          </w:tcPr>
          <w:p>
            <w:r/>
            <w:r>
              <w:rPr>
                <w:rFonts w:ascii="宋体" w:hAnsi="宋体" w:eastAsia="宋体"/>
                <w:sz w:val="20"/>
              </w:rPr>
              <w:t>提前培训、简化操作流程、展示效果数据</w:t>
            </w:r>
          </w:p>
        </w:tc>
      </w:tr>
      <w:tr>
        <w:tc>
          <w:tcPr>
            <w:tcW w:type="dxa" w:w="1662"/>
          </w:tcPr>
          <w:p>
            <w:r/>
            <w:r>
              <w:rPr>
                <w:rFonts w:ascii="宋体" w:hAnsi="宋体" w:eastAsia="宋体"/>
                <w:sz w:val="20"/>
              </w:rPr>
              <w:t>伦理风险</w:t>
            </w:r>
          </w:p>
        </w:tc>
        <w:tc>
          <w:tcPr>
            <w:tcW w:type="dxa" w:w="1662"/>
          </w:tcPr>
          <w:p>
            <w:r/>
            <w:r>
              <w:rPr>
                <w:rFonts w:ascii="宋体" w:hAnsi="宋体" w:eastAsia="宋体"/>
                <w:sz w:val="20"/>
              </w:rPr>
              <w:t>学生数据隐私泄露</w:t>
            </w:r>
          </w:p>
        </w:tc>
        <w:tc>
          <w:tcPr>
            <w:tcW w:type="dxa" w:w="1662"/>
          </w:tcPr>
          <w:p>
            <w:r/>
            <w:r>
              <w:rPr>
                <w:rFonts w:ascii="宋体" w:hAnsi="宋体" w:eastAsia="宋体"/>
                <w:sz w:val="20"/>
              </w:rPr>
              <w:t>低</w:t>
            </w:r>
          </w:p>
        </w:tc>
        <w:tc>
          <w:tcPr>
            <w:tcW w:type="dxa" w:w="1662"/>
          </w:tcPr>
          <w:p>
            <w:r/>
            <w:r>
              <w:rPr>
                <w:rFonts w:ascii="宋体" w:hAnsi="宋体" w:eastAsia="宋体"/>
                <w:sz w:val="20"/>
              </w:rPr>
              <w:t>高</w:t>
            </w:r>
          </w:p>
        </w:tc>
        <w:tc>
          <w:tcPr>
            <w:tcW w:type="dxa" w:w="1662"/>
          </w:tcPr>
          <w:p>
            <w:r/>
            <w:r>
              <w:rPr>
                <w:rFonts w:ascii="宋体" w:hAnsi="宋体" w:eastAsia="宋体"/>
                <w:sz w:val="20"/>
              </w:rPr>
              <w:t>最小化数据采集、加密存储、匿名化处理</w:t>
            </w:r>
          </w:p>
        </w:tc>
      </w:tr>
    </w:tbl>
    <w:p/>
    <w:p/>
    <w:p>
      <w:pPr>
        <w:pStyle w:val="Heading3"/>
      </w:pPr>
      <w:r>
        <w:t>9.5.3 成本效益分析</w:t>
      </w:r>
    </w:p>
    <w:p/>
    <w:p>
      <w:pPr>
        <w:ind w:firstLine="482"/>
      </w:pPr>
      <w:r>
        <w:rPr>
          <w:rFonts w:ascii="宋体" w:hAnsi="宋体" w:eastAsia="宋体"/>
          <w:sz w:val="24"/>
        </w:rPr>
        <w:t>VR/AR 教育实训项目的投入产出分析是项目可持续性的关键依据[9]：</w:t>
      </w:r>
    </w:p>
    <w:p/>
    <w:p>
      <w:pPr>
        <w:ind w:firstLine="482"/>
      </w:pPr>
      <w:r>
        <w:rPr>
          <w:rFonts w:ascii="宋体" w:hAnsi="宋体" w:eastAsia="宋体"/>
          <w:b/>
          <w:sz w:val="24"/>
        </w:rPr>
        <w:t>投入成本</w:t>
      </w:r>
      <w:r>
        <w:rPr>
          <w:rFonts w:ascii="宋体" w:hAnsi="宋体" w:eastAsia="宋体"/>
          <w:sz w:val="24"/>
        </w:rPr>
        <w:t>：硬件设备（VR 头显 30 台 × 3000 元/台 = 9 万元，高性能 PC 15 台 × 8000 元/台 = 12 万元），软件开发（外包或自研，5-15 万元），3D 内容制作（按场景数量，每个场景 0.5-2 万元），教师培训（1-2 万元），运维费用（每年 1-2 万元）。首期总投入约 28-40 万元。</w:t>
      </w:r>
    </w:p>
    <w:p/>
    <w:p>
      <w:pPr>
        <w:ind w:firstLine="482"/>
      </w:pPr>
      <w:r>
        <w:rPr>
          <w:rFonts w:ascii="宋体" w:hAnsi="宋体" w:eastAsia="宋体"/>
          <w:b/>
          <w:sz w:val="24"/>
        </w:rPr>
        <w:t>效益评估</w:t>
      </w:r>
      <w:r>
        <w:rPr>
          <w:rFonts w:ascii="宋体" w:hAnsi="宋体" w:eastAsia="宋体"/>
          <w:sz w:val="24"/>
        </w:rPr>
        <w:t>：（1）教学效率提升——VR/AR 实训可将传统 4 课时的实训内容压缩至 2 课时，按每年 200 名学生、每人节省 2 课时计算，年节省课时费约 2 万元；（2）教学效果提升——VR/AR 实训的知识掌握率提升 20-30%，技能操作合格率提升 15-25%；（3）招生吸引力——VR/AR 实训室成为专业宣传亮点，间接提升招生数量；（4）社会服务能力——VR/AR 实训资源可对外提供培训服务，创造额外收入。</w:t>
      </w:r>
    </w:p>
    <w:p/>
    <w:p>
      <w:pPr>
        <w:ind w:firstLine="482"/>
      </w:pPr>
      <w:r>
        <w:rPr>
          <w:rFonts w:ascii="宋体" w:hAnsi="宋体" w:eastAsia="宋体"/>
          <w:b/>
          <w:sz w:val="24"/>
        </w:rPr>
        <w:t>投资回收期</w:t>
      </w:r>
      <w:r>
        <w:rPr>
          <w:rFonts w:ascii="宋体" w:hAnsi="宋体" w:eastAsia="宋体"/>
          <w:sz w:val="24"/>
        </w:rPr>
        <w:t>：按照上述估算，VR/AR 实训项目的投资回收期约为 3-5 年。考虑到设备折旧（VR 头显使用寿命约 3-4 年），需要在设备周期内最大化使用率才能实现经济可持续性[9]。</w:t>
      </w:r>
    </w:p>
    <w:p/>
    <w:p>
      <w:pPr>
        <w:pStyle w:val="Heading2"/>
      </w:pPr>
      <w:r>
        <w:t>9.6 VR/AR 教育公平与可及性</w:t>
      </w:r>
    </w:p>
    <w:p/>
    <w:p>
      <w:pPr>
        <w:pStyle w:val="Heading3"/>
      </w:pPr>
      <w:r>
        <w:t>9.6.1 教育公平视角下的 VR/AR</w:t>
      </w:r>
    </w:p>
    <w:p/>
    <w:p>
      <w:pPr>
        <w:ind w:firstLine="482"/>
      </w:pPr>
      <w:r>
        <w:rPr>
          <w:rFonts w:ascii="宋体" w:hAnsi="宋体" w:eastAsia="宋体"/>
          <w:sz w:val="24"/>
        </w:rPr>
        <w:t>VR/AR 技术在促进教育公平方面具有独特价值[10]：偏远地区学校缺乏实验设备和实训条件，VR/AR 可以"虚拟实验室"的形式提供高质量的实训体验。残障学生可能无法参与某些物理实训，VR/AR 提供了无障碍的替代方案。经济困难学生无法负担实地考察费用，VR 虚拟考察提供了低成本的替代方案。</w:t>
      </w:r>
    </w:p>
    <w:p/>
    <w:p>
      <w:pPr>
        <w:ind w:firstLine="482"/>
      </w:pPr>
      <w:r>
        <w:rPr>
          <w:rFonts w:ascii="宋体" w:hAnsi="宋体" w:eastAsia="宋体"/>
          <w:sz w:val="24"/>
        </w:rPr>
        <w:t>然而，VR/AR 技术本身也可能加剧教育不平等——设备成本高昂、技术门槛高、内容制作需要专业团队。为避免"数字鸿沟"扩大，建议采取以下策略：（1）优先在资源匮乏地区部署 VR/AR 教育应用，缩小城乡教育差距；（2）开发基于智能手机的移动 VR/AR 方案（如 Google Cardboard + 手机 AR），降低设备门槛；（3）建立区域共享的 VR/AR 教育资源平台，多校共享内容和设备；（4）政府和企业提供专项资金支持 VR/AR 教育研发[10]。</w:t>
      </w:r>
    </w:p>
    <w:p/>
    <w:p>
      <w:pPr>
        <w:pStyle w:val="Heading3"/>
      </w:pPr>
      <w:r>
        <w:t>9.6.2 特殊教育与包容性设计</w:t>
      </w:r>
    </w:p>
    <w:p/>
    <w:p>
      <w:pPr>
        <w:ind w:firstLine="482"/>
      </w:pPr>
      <w:r>
        <w:rPr>
          <w:rFonts w:ascii="宋体" w:hAnsi="宋体" w:eastAsia="宋体"/>
          <w:sz w:val="24"/>
        </w:rPr>
        <w:t>VR/AR 在特殊教育领域展现出巨大潜力[10]：自闭症儿童可以通过 VR 进行社交场景模拟训练，在安全的环境中练习社交技能； ADHD 学生可以通过 AR 互动内容提高注意力和学习动机；视听障碍学生可以通过多感官 VR 体验获得传统教育无法提供的学习方式。</w:t>
      </w:r>
    </w:p>
    <w:p/>
    <w:p>
      <w:pPr>
        <w:ind w:firstLine="482"/>
      </w:pPr>
      <w:r>
        <w:rPr>
          <w:rFonts w:ascii="宋体" w:hAnsi="宋体" w:eastAsia="宋体"/>
          <w:sz w:val="24"/>
        </w:rPr>
        <w:t>包容性设计原则要求 VR/AR 教育应用考虑不同能力水平的用户需求：（1）提供多种交互方式（手势、语音、凝视、控制器），允许用户选择最适合自己的方式；（2）提供可调节的难度和节奏，支持个性化学习；（3）提供字幕和手语叠加，方便听障学生使用；（4）提供高对比度和色盲友好的视觉模式；（5）设计无眩晕的移动方式（瞬移而非平滑移动），照顾前庭敏感的用户[10]。</w:t>
      </w:r>
    </w:p>
    <w:p/>
    <w:p>
      <w:pPr>
        <w:pStyle w:val="Heading2"/>
      </w:pPr>
      <w:r>
        <w:t>9.7 教育元宇宙与未来学习空间</w:t>
      </w:r>
    </w:p>
    <w:p/>
    <w:p>
      <w:pPr>
        <w:pStyle w:val="Heading3"/>
      </w:pPr>
      <w:r>
        <w:t>9.7.1 教育元宇宙的概念与特征</w:t>
      </w:r>
    </w:p>
    <w:p/>
    <w:p>
      <w:pPr>
        <w:ind w:firstLine="482"/>
      </w:pPr>
      <w:r>
        <w:rPr>
          <w:rFonts w:ascii="宋体" w:hAnsi="宋体" w:eastAsia="宋体"/>
          <w:sz w:val="24"/>
        </w:rPr>
        <w:t>教育元宇宙是元宇宙概念在教育领域的应用——构建一个持久的、可交互的、多用户的虚拟学习空间[11]。与传统 VR/AR 教育应用相比，教育元宇宙具有以下特征：（1）持久性——虚拟学习空间持续存在，学生的学习成果和创作内容不会因为会话结束而消失；（2）社交性——多用户可以在虚拟空间中实时互动，支持协作学习和同伴学习；（3）创造性——学生不仅是内容的消费者，更是内容的创建者，可以在虚拟空间中建造、编程和创造；（4）跨界性——不同学科、不同学校的虚拟空间可以互联互通，支持跨学科和跨校际的协作学习。</w:t>
      </w:r>
    </w:p>
    <w:p/>
    <w:p>
      <w:pPr>
        <w:pStyle w:val="Heading3"/>
      </w:pPr>
      <w:r>
        <w:t>9.7.2 VR/AR 教育的未来趋势</w:t>
      </w:r>
    </w:p>
    <w:p/>
    <w:p>
      <w:pPr>
        <w:ind w:firstLine="482"/>
      </w:pPr>
      <w:r>
        <w:rPr>
          <w:rFonts w:ascii="宋体" w:hAnsi="宋体" w:eastAsia="宋体"/>
          <w:sz w:val="24"/>
        </w:rPr>
        <w:t>VR/AR 教育正在向以下方向发展[11][12]：</w:t>
      </w:r>
    </w:p>
    <w:p/>
    <w:p>
      <w:pPr>
        <w:ind w:firstLine="482"/>
      </w:pPr>
      <w:r>
        <w:rPr>
          <w:rFonts w:ascii="宋体" w:hAnsi="宋体" w:eastAsia="宋体"/>
          <w:b/>
          <w:sz w:val="24"/>
        </w:rPr>
        <w:t>AI 驱动的个性化学习</w:t>
      </w:r>
      <w:r>
        <w:rPr>
          <w:rFonts w:ascii="宋体" w:hAnsi="宋体" w:eastAsia="宋体"/>
          <w:sz w:val="24"/>
        </w:rPr>
        <w:t>：大语言模型与 VR/AR 结合，为每个学生提供 AI 导师——在虚拟环境中实时回答问题、调整学习路径和提供个性化反馈。AI 可以分析学生在 VR 中的行为数据（注视点、操作序列、停留时间），精准识别学习难点并推送针对性内容。</w:t>
      </w:r>
    </w:p>
    <w:p/>
    <w:p>
      <w:pPr>
        <w:ind w:firstLine="482"/>
      </w:pPr>
      <w:r>
        <w:rPr>
          <w:rFonts w:ascii="宋体" w:hAnsi="宋体" w:eastAsia="宋体"/>
          <w:b/>
          <w:sz w:val="24"/>
        </w:rPr>
        <w:t>神经教育学的应用</w:t>
      </w:r>
      <w:r>
        <w:rPr>
          <w:rFonts w:ascii="宋体" w:hAnsi="宋体" w:eastAsia="宋体"/>
          <w:sz w:val="24"/>
        </w:rPr>
        <w:t>：脑机接口（BCI）技术与 VR 结合，实时监测学生的认知负荷和情绪状态，自动调整 VR 内容的难度和节奏。当检测到学生认知过载时，VR 系统自动暂停或切换到更简单的内容；当检测到学生注意力下降时，通过增加互动元素重新激发兴趣。</w:t>
      </w:r>
    </w:p>
    <w:p/>
    <w:p>
      <w:pPr>
        <w:ind w:firstLine="482"/>
      </w:pPr>
      <w:r>
        <w:rPr>
          <w:rFonts w:ascii="宋体" w:hAnsi="宋体" w:eastAsia="宋体"/>
          <w:b/>
          <w:sz w:val="24"/>
        </w:rPr>
        <w:t>跨现实学习</w:t>
      </w:r>
      <w:r>
        <w:rPr>
          <w:rFonts w:ascii="宋体" w:hAnsi="宋体" w:eastAsia="宋体"/>
          <w:sz w:val="24"/>
        </w:rPr>
        <w:t>：VR、AR 和物理现实的无缝切换——学生在课堂上通过 AR 观察虚拟模型，课后在 VR 中进行沉浸式复习，实地考察时通过 AR 导览增强体验。这种跨现实的学习流程打破了传统教室的时空限制，创造了连续的、无缝的学习体验[12]。</w:t>
      </w:r>
    </w:p>
    <w:p/>
    <w:p>
      <w:pPr>
        <w:pStyle w:val="Heading2"/>
      </w:pPr>
      <w:r>
        <w:t>9.8 实训案例：数字文旅 VR 教学课程设计</w:t>
      </w:r>
    </w:p>
    <w:p/>
    <w:p>
      <w:pPr>
        <w:pStyle w:val="Heading3"/>
      </w:pPr>
      <w:r>
        <w:t>9.8.1 课程背景与目标</w:t>
      </w:r>
    </w:p>
    <w:p/>
    <w:p>
      <w:pPr>
        <w:ind w:firstLine="482"/>
      </w:pPr>
      <w:r>
        <w:rPr>
          <w:rFonts w:ascii="宋体" w:hAnsi="宋体" w:eastAsia="宋体"/>
          <w:sz w:val="24"/>
        </w:rPr>
        <w:t>本案例以"数字文旅 VR 实训"课程为例，展示 VR/AR 教育理论在数字文旅专业教学中的实践应用。该课程面向旅游管理、数字媒体技术专业的本科生，旨在培养学生运用 VR 技术进行旅游目的地数字化展示和文化遗产数字化保护的能力[13]。</w:t>
      </w:r>
    </w:p>
    <w:p/>
    <w:p>
      <w:pPr>
        <w:ind w:firstLine="482"/>
      </w:pPr>
      <w:r>
        <w:rPr>
          <w:rFonts w:ascii="宋体" w:hAnsi="宋体" w:eastAsia="宋体"/>
          <w:sz w:val="24"/>
        </w:rPr>
        <w:t>课程教学目标对应 Bloom 分类法的六个层级：识记 VR/AR 技术的基本概念和发展历程；理解 VR/AR 在文旅场景中的应用原理；应用 Unity 等工具开发简单的 VR 旅游应用；分析不同文旅场景的 VR 解决方案优劣；评价 VR 文旅应用的用户体验和文化传播效果；创造面向特定文旅场景的 VR 应用原型。</w:t>
      </w:r>
    </w:p>
    <w:p/>
    <w:p>
      <w:pPr>
        <w:pStyle w:val="Heading3"/>
      </w:pPr>
      <w:r>
        <w:t>9.8.2 ADDIE 模型的课程设计实践</w:t>
      </w:r>
    </w:p>
    <w:p/>
    <w:p>
      <w:pPr>
        <w:ind w:firstLine="482"/>
      </w:pPr>
      <w:r>
        <w:rPr>
          <w:rFonts w:ascii="宋体" w:hAnsi="宋体" w:eastAsia="宋体"/>
          <w:sz w:val="24"/>
        </w:rPr>
        <w:t>按照 ADDIE 模型进行了系统化的课程设计[6]：</w:t>
      </w:r>
    </w:p>
    <w:p/>
    <w:p>
      <w:pPr>
        <w:ind w:firstLine="482"/>
      </w:pPr>
      <w:r>
        <w:rPr>
          <w:rFonts w:ascii="宋体" w:hAnsi="宋体" w:eastAsia="宋体"/>
          <w:b/>
          <w:sz w:val="24"/>
        </w:rPr>
        <w:t>Analysis（分析）</w:t>
      </w:r>
      <w:r>
        <w:rPr>
          <w:rFonts w:ascii="宋体" w:hAnsi="宋体" w:eastAsia="宋体"/>
          <w:sz w:val="24"/>
        </w:rPr>
        <w:t>：通过问卷调查（120 份）和深度访谈（8 人）了解学生的学习需求——83% 的学生认为传统课堂缺乏实践操作机会，67% 希望学习 VR 开发技能，55% 对文旅数字化方向感兴趣。教师能力分析发现，旅游管理专业教师缺乏技术背景，需要与技术教师协同授课。设备条件分析确认实训室有 20 台 Meta Quest 2 头显和 15 台高性能开发 PC。</w:t>
      </w:r>
    </w:p>
    <w:p/>
    <w:p>
      <w:pPr>
        <w:ind w:firstLine="482"/>
      </w:pPr>
      <w:r>
        <w:rPr>
          <w:rFonts w:ascii="宋体" w:hAnsi="宋体" w:eastAsia="宋体"/>
          <w:b/>
          <w:sz w:val="24"/>
        </w:rPr>
        <w:t>Design（设计）</w:t>
      </w:r>
      <w:r>
        <w:rPr>
          <w:rFonts w:ascii="宋体" w:hAnsi="宋体" w:eastAsia="宋体"/>
          <w:sz w:val="24"/>
        </w:rPr>
        <w:t>：课程设计为 32 学时（2 学分），分为理论模块（8 学时）和实训模块（24 学时）。理论模块涵盖 VR 技术基础、文旅 VR 应用案例分析和 VR 交互设计原则；实训模块采用 PBL 模式，学生分组完成一个文旅 VR 应用原型项目。设计了 4 个实训项目选题（景区 VR 漫游、博物馆 VR 展览、非遗 VR 体验、酒店 VR 营销），学生自主选择。</w:t>
      </w:r>
    </w:p>
    <w:p/>
    <w:p>
      <w:pPr>
        <w:ind w:firstLine="482"/>
      </w:pPr>
      <w:r>
        <w:rPr>
          <w:rFonts w:ascii="宋体" w:hAnsi="宋体" w:eastAsia="宋体"/>
          <w:b/>
          <w:sz w:val="24"/>
        </w:rPr>
        <w:t>Development（开发）</w:t>
      </w:r>
      <w:r>
        <w:rPr>
          <w:rFonts w:ascii="宋体" w:hAnsi="宋体" w:eastAsia="宋体"/>
          <w:sz w:val="24"/>
        </w:rPr>
        <w:t>：开发教学资源包，包括 PPT 课件（15 讲）、教学视频（20 个，每个 10-15 分钟）、Unity 项目模板（4 个选题各一套）、3D 资产素材库（含 100+ 个文旅相关 3D 模型）和评估量规。特别开发了 VR 教学示范应用——一个完整的景区 VR 漫游 demo，供学生参考学习。</w:t>
      </w:r>
    </w:p>
    <w:p/>
    <w:p>
      <w:pPr>
        <w:ind w:firstLine="482"/>
      </w:pPr>
      <w:r>
        <w:rPr>
          <w:rFonts w:ascii="宋体" w:hAnsi="宋体" w:eastAsia="宋体"/>
          <w:b/>
          <w:sz w:val="24"/>
        </w:rPr>
        <w:t>Implementation（实施）</w:t>
      </w:r>
      <w:r>
        <w:rPr>
          <w:rFonts w:ascii="宋体" w:hAnsi="宋体" w:eastAsia="宋体"/>
          <w:sz w:val="24"/>
        </w:rPr>
        <w:t>：课程在第 3 学期开设，共 32 名学生选修（分为 8 组，每组 4 人）。理论课采用翻转课堂模式——学生课前观看教学视频，课堂时间用于讨论和答疑。实训课采用 PBL 模式——每组选择一个选题，在 8 周内完成 VR 应用原型开发。教师扮演"顾问"角色，在关键节点进行指导和评审。</w:t>
      </w:r>
    </w:p>
    <w:p/>
    <w:p>
      <w:pPr>
        <w:ind w:firstLine="482"/>
      </w:pPr>
      <w:r>
        <w:rPr>
          <w:rFonts w:ascii="宋体" w:hAnsi="宋体" w:eastAsia="宋体"/>
          <w:b/>
          <w:sz w:val="24"/>
        </w:rPr>
        <w:t>Evaluation（评估）</w:t>
      </w:r>
      <w:r>
        <w:rPr>
          <w:rFonts w:ascii="宋体" w:hAnsi="宋体" w:eastAsia="宋体"/>
          <w:sz w:val="24"/>
        </w:rPr>
        <w:t>：采用多维度评估体系——过程评估（40%：出勤+参与+阶段成果）和结果评估（60%：项目成果+答辩+同伴互评）。同时进行教学效果研究——设计前后测问卷测量学生的 VR 技术知识、VR 开发能力和对文旅数字化的态度变化。学期末进行学生满意度调查和教师反思访谈[8]。</w:t>
      </w:r>
    </w:p>
    <w:p/>
    <w:p>
      <w:pPr>
        <w:pStyle w:val="Heading3"/>
      </w:pPr>
      <w:r>
        <w:t>9.8.3 教学效果分析</w:t>
      </w:r>
    </w:p>
    <w:p/>
    <w:p>
      <w:pPr>
        <w:ind w:firstLine="482"/>
      </w:pPr>
      <w:r>
        <w:rPr>
          <w:rFonts w:ascii="宋体" w:hAnsi="宋体" w:eastAsia="宋体"/>
          <w:sz w:val="24"/>
        </w:rPr>
        <w:t>课程结束后的教学效果数据分析[8]：</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评估维度</w:t>
            </w:r>
          </w:p>
        </w:tc>
        <w:tc>
          <w:tcPr>
            <w:tcW w:type="dxa" w:w="1662"/>
            <w:shd w:fill="D9E2F3" w:val="clear"/>
          </w:tcPr>
          <w:p>
            <w:pPr>
              <w:jc w:val="center"/>
            </w:pPr>
            <w:r/>
            <w:r>
              <w:rPr>
                <w:rFonts w:ascii="黑体" w:hAnsi="黑体" w:eastAsia="黑体"/>
                <w:b/>
                <w:sz w:val="20"/>
              </w:rPr>
              <w:t>前测均值</w:t>
            </w:r>
          </w:p>
        </w:tc>
        <w:tc>
          <w:tcPr>
            <w:tcW w:type="dxa" w:w="1662"/>
            <w:shd w:fill="D9E2F3" w:val="clear"/>
          </w:tcPr>
          <w:p>
            <w:pPr>
              <w:jc w:val="center"/>
            </w:pPr>
            <w:r/>
            <w:r>
              <w:rPr>
                <w:rFonts w:ascii="黑体" w:hAnsi="黑体" w:eastAsia="黑体"/>
                <w:b/>
                <w:sz w:val="20"/>
              </w:rPr>
              <w:t>后测均值</w:t>
            </w:r>
          </w:p>
        </w:tc>
        <w:tc>
          <w:tcPr>
            <w:tcW w:type="dxa" w:w="1662"/>
            <w:shd w:fill="D9E2F3" w:val="clear"/>
          </w:tcPr>
          <w:p>
            <w:pPr>
              <w:jc w:val="center"/>
            </w:pPr>
            <w:r/>
            <w:r>
              <w:rPr>
                <w:rFonts w:ascii="黑体" w:hAnsi="黑体" w:eastAsia="黑体"/>
                <w:b/>
                <w:sz w:val="20"/>
              </w:rPr>
              <w:t>提升幅度</w:t>
            </w:r>
          </w:p>
        </w:tc>
        <w:tc>
          <w:tcPr>
            <w:tcW w:type="dxa" w:w="1662"/>
            <w:shd w:fill="D9E2F3" w:val="clear"/>
          </w:tcPr>
          <w:p>
            <w:pPr>
              <w:jc w:val="center"/>
            </w:pPr>
            <w:r/>
            <w:r>
              <w:rPr>
                <w:rFonts w:ascii="黑体" w:hAnsi="黑体" w:eastAsia="黑体"/>
                <w:b/>
                <w:sz w:val="20"/>
              </w:rPr>
              <w:t>t 检验 p 值</w:t>
            </w:r>
          </w:p>
        </w:tc>
      </w:tr>
      <w:tr>
        <w:tc>
          <w:tcPr>
            <w:tcW w:type="dxa" w:w="1662"/>
          </w:tcPr>
          <w:p>
            <w:r/>
            <w:r>
              <w:rPr>
                <w:rFonts w:ascii="宋体" w:hAnsi="宋体" w:eastAsia="宋体"/>
                <w:sz w:val="20"/>
              </w:rPr>
              <w:t>VR 技术知识</w:t>
            </w:r>
          </w:p>
        </w:tc>
        <w:tc>
          <w:tcPr>
            <w:tcW w:type="dxa" w:w="1662"/>
          </w:tcPr>
          <w:p>
            <w:r/>
            <w:r>
              <w:rPr>
                <w:rFonts w:ascii="宋体" w:hAnsi="宋体" w:eastAsia="宋体"/>
                <w:sz w:val="20"/>
              </w:rPr>
              <w:t>42.3</w:t>
            </w:r>
          </w:p>
        </w:tc>
        <w:tc>
          <w:tcPr>
            <w:tcW w:type="dxa" w:w="1662"/>
          </w:tcPr>
          <w:p>
            <w:r/>
            <w:r>
              <w:rPr>
                <w:rFonts w:ascii="宋体" w:hAnsi="宋体" w:eastAsia="宋体"/>
                <w:sz w:val="20"/>
              </w:rPr>
              <w:t>78.6</w:t>
            </w:r>
          </w:p>
        </w:tc>
        <w:tc>
          <w:tcPr>
            <w:tcW w:type="dxa" w:w="1662"/>
          </w:tcPr>
          <w:p>
            <w:r/>
            <w:r>
              <w:rPr>
                <w:rFonts w:ascii="宋体" w:hAnsi="宋体" w:eastAsia="宋体"/>
                <w:sz w:val="20"/>
              </w:rPr>
              <w:t>+85.8%</w:t>
            </w:r>
          </w:p>
        </w:tc>
        <w:tc>
          <w:tcPr>
            <w:tcW w:type="dxa" w:w="1662"/>
          </w:tcPr>
          <w:p>
            <w:r/>
            <w:r>
              <w:rPr>
                <w:rFonts w:ascii="宋体" w:hAnsi="宋体" w:eastAsia="宋体"/>
                <w:sz w:val="20"/>
              </w:rPr>
              <w:t>&lt;0.001</w:t>
            </w:r>
          </w:p>
        </w:tc>
      </w:tr>
      <w:tr>
        <w:tc>
          <w:tcPr>
            <w:tcW w:type="dxa" w:w="1662"/>
          </w:tcPr>
          <w:p>
            <w:r/>
            <w:r>
              <w:rPr>
                <w:rFonts w:ascii="宋体" w:hAnsi="宋体" w:eastAsia="宋体"/>
                <w:sz w:val="20"/>
              </w:rPr>
              <w:t>VR 开发能力</w:t>
            </w:r>
          </w:p>
        </w:tc>
        <w:tc>
          <w:tcPr>
            <w:tcW w:type="dxa" w:w="1662"/>
          </w:tcPr>
          <w:p>
            <w:r/>
            <w:r>
              <w:rPr>
                <w:rFonts w:ascii="宋体" w:hAnsi="宋体" w:eastAsia="宋体"/>
                <w:sz w:val="20"/>
              </w:rPr>
              <w:t>25.1</w:t>
            </w:r>
          </w:p>
        </w:tc>
        <w:tc>
          <w:tcPr>
            <w:tcW w:type="dxa" w:w="1662"/>
          </w:tcPr>
          <w:p>
            <w:r/>
            <w:r>
              <w:rPr>
                <w:rFonts w:ascii="宋体" w:hAnsi="宋体" w:eastAsia="宋体"/>
                <w:sz w:val="20"/>
              </w:rPr>
              <w:t>68.4</w:t>
            </w:r>
          </w:p>
        </w:tc>
        <w:tc>
          <w:tcPr>
            <w:tcW w:type="dxa" w:w="1662"/>
          </w:tcPr>
          <w:p>
            <w:r/>
            <w:r>
              <w:rPr>
                <w:rFonts w:ascii="宋体" w:hAnsi="宋体" w:eastAsia="宋体"/>
                <w:sz w:val="20"/>
              </w:rPr>
              <w:t>+172.5%</w:t>
            </w:r>
          </w:p>
        </w:tc>
        <w:tc>
          <w:tcPr>
            <w:tcW w:type="dxa" w:w="1662"/>
          </w:tcPr>
          <w:p>
            <w:r/>
            <w:r>
              <w:rPr>
                <w:rFonts w:ascii="宋体" w:hAnsi="宋体" w:eastAsia="宋体"/>
                <w:sz w:val="20"/>
              </w:rPr>
              <w:t>&lt;0.001</w:t>
            </w:r>
          </w:p>
        </w:tc>
      </w:tr>
      <w:tr>
        <w:tc>
          <w:tcPr>
            <w:tcW w:type="dxa" w:w="1662"/>
          </w:tcPr>
          <w:p>
            <w:r/>
            <w:r>
              <w:rPr>
                <w:rFonts w:ascii="宋体" w:hAnsi="宋体" w:eastAsia="宋体"/>
                <w:sz w:val="20"/>
              </w:rPr>
              <w:t>文旅数字化认知</w:t>
            </w:r>
          </w:p>
        </w:tc>
        <w:tc>
          <w:tcPr>
            <w:tcW w:type="dxa" w:w="1662"/>
          </w:tcPr>
          <w:p>
            <w:r/>
            <w:r>
              <w:rPr>
                <w:rFonts w:ascii="宋体" w:hAnsi="宋体" w:eastAsia="宋体"/>
                <w:sz w:val="20"/>
              </w:rPr>
              <w:t>55.7</w:t>
            </w:r>
          </w:p>
        </w:tc>
        <w:tc>
          <w:tcPr>
            <w:tcW w:type="dxa" w:w="1662"/>
          </w:tcPr>
          <w:p>
            <w:r/>
            <w:r>
              <w:rPr>
                <w:rFonts w:ascii="宋体" w:hAnsi="宋体" w:eastAsia="宋体"/>
                <w:sz w:val="20"/>
              </w:rPr>
              <w:t>82.3</w:t>
            </w:r>
          </w:p>
        </w:tc>
        <w:tc>
          <w:tcPr>
            <w:tcW w:type="dxa" w:w="1662"/>
          </w:tcPr>
          <w:p>
            <w:r/>
            <w:r>
              <w:rPr>
                <w:rFonts w:ascii="宋体" w:hAnsi="宋体" w:eastAsia="宋体"/>
                <w:sz w:val="20"/>
              </w:rPr>
              <w:t>+47.8%</w:t>
            </w:r>
          </w:p>
        </w:tc>
        <w:tc>
          <w:tcPr>
            <w:tcW w:type="dxa" w:w="1662"/>
          </w:tcPr>
          <w:p>
            <w:r/>
            <w:r>
              <w:rPr>
                <w:rFonts w:ascii="宋体" w:hAnsi="宋体" w:eastAsia="宋体"/>
                <w:sz w:val="20"/>
              </w:rPr>
              <w:t>&lt;0.001</w:t>
            </w:r>
          </w:p>
        </w:tc>
      </w:tr>
      <w:tr>
        <w:tc>
          <w:tcPr>
            <w:tcW w:type="dxa" w:w="1662"/>
          </w:tcPr>
          <w:p>
            <w:r/>
            <w:r>
              <w:rPr>
                <w:rFonts w:ascii="宋体" w:hAnsi="宋体" w:eastAsia="宋体"/>
                <w:sz w:val="20"/>
              </w:rPr>
              <w:t>学习动机</w:t>
            </w:r>
          </w:p>
        </w:tc>
        <w:tc>
          <w:tcPr>
            <w:tcW w:type="dxa" w:w="1662"/>
          </w:tcPr>
          <w:p>
            <w:r/>
            <w:r>
              <w:rPr>
                <w:rFonts w:ascii="宋体" w:hAnsi="宋体" w:eastAsia="宋体"/>
                <w:sz w:val="20"/>
              </w:rPr>
              <w:t>3.2</w:t>
            </w:r>
          </w:p>
        </w:tc>
        <w:tc>
          <w:tcPr>
            <w:tcW w:type="dxa" w:w="1662"/>
          </w:tcPr>
          <w:p>
            <w:r/>
            <w:r>
              <w:rPr>
                <w:rFonts w:ascii="宋体" w:hAnsi="宋体" w:eastAsia="宋体"/>
                <w:sz w:val="20"/>
              </w:rPr>
              <w:t>4.5</w:t>
            </w:r>
          </w:p>
        </w:tc>
        <w:tc>
          <w:tcPr>
            <w:tcW w:type="dxa" w:w="1662"/>
          </w:tcPr>
          <w:p>
            <w:r/>
            <w:r>
              <w:rPr>
                <w:rFonts w:ascii="宋体" w:hAnsi="宋体" w:eastAsia="宋体"/>
                <w:sz w:val="20"/>
              </w:rPr>
              <w:t>+40.6%</w:t>
            </w:r>
          </w:p>
        </w:tc>
        <w:tc>
          <w:tcPr>
            <w:tcW w:type="dxa" w:w="1662"/>
          </w:tcPr>
          <w:p>
            <w:r/>
            <w:r>
              <w:rPr>
                <w:rFonts w:ascii="宋体" w:hAnsi="宋体" w:eastAsia="宋体"/>
                <w:sz w:val="20"/>
              </w:rPr>
              <w:t>&lt;0.01</w:t>
            </w:r>
          </w:p>
        </w:tc>
      </w:tr>
      <w:tr>
        <w:tc>
          <w:tcPr>
            <w:tcW w:type="dxa" w:w="1662"/>
          </w:tcPr>
          <w:p>
            <w:r/>
            <w:r>
              <w:rPr>
                <w:rFonts w:ascii="宋体" w:hAnsi="宋体" w:eastAsia="宋体"/>
                <w:sz w:val="20"/>
              </w:rPr>
              <w:t>团队协作能力</w:t>
            </w:r>
          </w:p>
        </w:tc>
        <w:tc>
          <w:tcPr>
            <w:tcW w:type="dxa" w:w="1662"/>
          </w:tcPr>
          <w:p>
            <w:r/>
            <w:r>
              <w:rPr>
                <w:rFonts w:ascii="宋体" w:hAnsi="宋体" w:eastAsia="宋体"/>
                <w:sz w:val="20"/>
              </w:rPr>
              <w:t>3.5</w:t>
            </w:r>
          </w:p>
        </w:tc>
        <w:tc>
          <w:tcPr>
            <w:tcW w:type="dxa" w:w="1662"/>
          </w:tcPr>
          <w:p>
            <w:r/>
            <w:r>
              <w:rPr>
                <w:rFonts w:ascii="宋体" w:hAnsi="宋体" w:eastAsia="宋体"/>
                <w:sz w:val="20"/>
              </w:rPr>
              <w:t>4.3</w:t>
            </w:r>
          </w:p>
        </w:tc>
        <w:tc>
          <w:tcPr>
            <w:tcW w:type="dxa" w:w="1662"/>
          </w:tcPr>
          <w:p>
            <w:r/>
            <w:r>
              <w:rPr>
                <w:rFonts w:ascii="宋体" w:hAnsi="宋体" w:eastAsia="宋体"/>
                <w:sz w:val="20"/>
              </w:rPr>
              <w:t>+22.9%</w:t>
            </w:r>
          </w:p>
        </w:tc>
        <w:tc>
          <w:tcPr>
            <w:tcW w:type="dxa" w:w="1662"/>
          </w:tcPr>
          <w:p>
            <w:r/>
            <w:r>
              <w:rPr>
                <w:rFonts w:ascii="宋体" w:hAnsi="宋体" w:eastAsia="宋体"/>
                <w:sz w:val="20"/>
              </w:rPr>
              <w:t>&lt;0.05</w:t>
            </w:r>
          </w:p>
        </w:tc>
      </w:tr>
    </w:tbl>
    <w:p/>
    <w:p/>
    <w:p>
      <w:pPr>
        <w:ind w:firstLine="482"/>
      </w:pPr>
      <w:r>
        <w:rPr>
          <w:rFonts w:ascii="宋体" w:hAnsi="宋体" w:eastAsia="宋体"/>
          <w:sz w:val="24"/>
        </w:rPr>
        <w:t>学生满意度调查结果（1-5 分量表）：课程整体满意度 4.6 分，实训环节满意度 4.7 分，理论环节满意度 4.2 分，教师指导满意度 4.5 分。学生反馈最有价值的环节是"动手开发 VR 应用原型"（92% 选择），最需要改进的环节是"理论课与实践课的衔接"（38% 选择）[8]。</w:t>
      </w:r>
    </w:p>
    <w:p/>
    <w:p>
      <w:pPr>
        <w:pStyle w:val="Heading3"/>
      </w:pPr>
      <w:r>
        <w:t>9.8.4 教学反思与改进</w:t>
      </w:r>
    </w:p>
    <w:p/>
    <w:p>
      <w:pPr>
        <w:ind w:firstLine="482"/>
      </w:pPr>
      <w:r>
        <w:rPr>
          <w:rFonts w:ascii="宋体" w:hAnsi="宋体" w:eastAsia="宋体"/>
          <w:sz w:val="24"/>
        </w:rPr>
        <w:t>基于教学效果分析和学生反馈，总结以下改进方向[8]：</w:t>
      </w:r>
    </w:p>
    <w:p/>
    <w:p>
      <w:pPr>
        <w:ind w:firstLine="482"/>
      </w:pPr>
      <w:r>
        <w:rPr>
          <w:rFonts w:ascii="宋体" w:hAnsi="宋体" w:eastAsia="宋体"/>
          <w:sz w:val="24"/>
        </w:rPr>
        <w:t>（1）</w:t>
      </w:r>
      <w:r>
        <w:rPr>
          <w:rFonts w:ascii="宋体" w:hAnsi="宋体" w:eastAsia="宋体"/>
          <w:b/>
          <w:sz w:val="24"/>
        </w:rPr>
        <w:t>理论与实践的融合</w:t>
      </w:r>
      <w:r>
        <w:rPr>
          <w:rFonts w:ascii="宋体" w:hAnsi="宋体" w:eastAsia="宋体"/>
          <w:sz w:val="24"/>
        </w:rPr>
        <w:t>——学生反映理论课内容与实训项目之间的关联不够紧密。改进方案：将理论课内容直接嵌入实训流程，在项目开发过程中"即学即用"理论知识，而非先学理论再做项目。</w:t>
      </w:r>
    </w:p>
    <w:p/>
    <w:p>
      <w:pPr>
        <w:ind w:firstLine="482"/>
      </w:pPr>
      <w:r>
        <w:rPr>
          <w:rFonts w:ascii="宋体" w:hAnsi="宋体" w:eastAsia="宋体"/>
          <w:sz w:val="24"/>
        </w:rPr>
        <w:t>（2）</w:t>
      </w:r>
      <w:r>
        <w:rPr>
          <w:rFonts w:ascii="宋体" w:hAnsi="宋体" w:eastAsia="宋体"/>
          <w:b/>
          <w:sz w:val="24"/>
        </w:rPr>
        <w:t>分组策略优化</w:t>
      </w:r>
      <w:r>
        <w:rPr>
          <w:rFonts w:ascii="宋体" w:hAnsi="宋体" w:eastAsia="宋体"/>
          <w:sz w:val="24"/>
        </w:rPr>
        <w:t>——自由组队导致部分组全部为旅游专业或全部为技术专业，技能互补性不足。改进方案：采用"强制混合分组"策略，每组至少包含 1 名技术背景和 1 名旅游背景的学生。</w:t>
      </w:r>
    </w:p>
    <w:p/>
    <w:p>
      <w:pPr>
        <w:ind w:firstLine="482"/>
      </w:pPr>
      <w:r>
        <w:rPr>
          <w:rFonts w:ascii="宋体" w:hAnsi="宋体" w:eastAsia="宋体"/>
          <w:sz w:val="24"/>
        </w:rPr>
        <w:t>（3）</w:t>
      </w:r>
      <w:r>
        <w:rPr>
          <w:rFonts w:ascii="宋体" w:hAnsi="宋体" w:eastAsia="宋体"/>
          <w:b/>
          <w:sz w:val="24"/>
        </w:rPr>
        <w:t>评估方式改进</w:t>
      </w:r>
      <w:r>
        <w:rPr>
          <w:rFonts w:ascii="宋体" w:hAnsi="宋体" w:eastAsia="宋体"/>
          <w:sz w:val="24"/>
        </w:rPr>
        <w:t>——同伴互评的公正性受到质疑，部分学生反映同伴评分存在"互给高分"现象。改进方案：引入匿名互评和评分校准机制，教师对异常评分进行复核。</w:t>
      </w:r>
    </w:p>
    <w:p/>
    <w:p>
      <w:pPr>
        <w:ind w:firstLine="482"/>
      </w:pPr>
      <w:r>
        <w:rPr>
          <w:rFonts w:ascii="宋体" w:hAnsi="宋体" w:eastAsia="宋体"/>
          <w:sz w:val="24"/>
        </w:rPr>
        <w:t>（4）</w:t>
      </w:r>
      <w:r>
        <w:rPr>
          <w:rFonts w:ascii="宋体" w:hAnsi="宋体" w:eastAsia="宋体"/>
          <w:b/>
          <w:sz w:val="24"/>
        </w:rPr>
        <w:t>设备资源扩展</w:t>
      </w:r>
      <w:r>
        <w:rPr>
          <w:rFonts w:ascii="宋体" w:hAnsi="宋体" w:eastAsia="宋体"/>
          <w:sz w:val="24"/>
        </w:rPr>
        <w:t>——20 台 VR 头显难以满足 32 名学生的需求，课外练习时间不足。改进方案：申请增加设备采购，同时开放实训室的课外使用时间，建立预约制度。</w:t>
      </w:r>
    </w:p>
    <w:p/>
    <w:p>
      <w:pPr>
        <w:pStyle w:val="Heading2"/>
      </w:pPr>
      <w:r>
        <w:t>9.9 VR/AR 教育研究的学术前沿</w:t>
      </w:r>
    </w:p>
    <w:p/>
    <w:p>
      <w:pPr>
        <w:pStyle w:val="Heading3"/>
      </w:pPr>
      <w:r>
        <w:t>9.9.1 学习效果的研究方法</w:t>
      </w:r>
    </w:p>
    <w:p/>
    <w:p>
      <w:pPr>
        <w:ind w:firstLine="482"/>
      </w:pPr>
      <w:r>
        <w:rPr>
          <w:rFonts w:ascii="宋体" w:hAnsi="宋体" w:eastAsia="宋体"/>
          <w:sz w:val="24"/>
        </w:rPr>
        <w:t>VR/AR 教育效果研究需要严谨的实证方法[12]：</w:t>
      </w:r>
    </w:p>
    <w:p/>
    <w:p>
      <w:pPr>
        <w:ind w:firstLine="482"/>
      </w:pPr>
      <w:r>
        <w:rPr>
          <w:rFonts w:ascii="宋体" w:hAnsi="宋体" w:eastAsia="宋体"/>
          <w:b/>
          <w:sz w:val="24"/>
        </w:rPr>
        <w:t>实验设计</w:t>
      </w:r>
      <w:r>
        <w:rPr>
          <w:rFonts w:ascii="宋体" w:hAnsi="宋体" w:eastAsia="宋体"/>
          <w:sz w:val="24"/>
        </w:rPr>
        <w:t>：采用随机对照实验（RCT）——将学生随机分为实验组（使用 VR/AR 教学）和对照组（使用传统教学），控制教学内容、时长和教师等变量，比较两组的学习效果差异。为提高外部效度，可在多个班级或学校进行重复实验。</w:t>
      </w:r>
    </w:p>
    <w:p/>
    <w:p>
      <w:pPr>
        <w:ind w:firstLine="482"/>
      </w:pPr>
      <w:r>
        <w:rPr>
          <w:rFonts w:ascii="宋体" w:hAnsi="宋体" w:eastAsia="宋体"/>
          <w:b/>
          <w:sz w:val="24"/>
        </w:rPr>
        <w:t>数据采集</w:t>
      </w:r>
      <w:r>
        <w:rPr>
          <w:rFonts w:ascii="宋体" w:hAnsi="宋体" w:eastAsia="宋体"/>
          <w:sz w:val="24"/>
        </w:rPr>
        <w:t>：多维度数据包括（1）学习成效数据——前后测成绩、技能操作评分、知识保持测试（2-4 周后）；（2）过程数据——VR 中的学习行为日志（操作序列、停留时间、错误次数）；（3）主观体验数据——学习动机量表、VR 眩晕量表（SSQ）、认知负荷量表（NASA-TLX）、临场感量表；（4）生理数据——心率、皮肤电导、脑电图（EEG）等客观指标。</w:t>
      </w:r>
    </w:p>
    <w:p/>
    <w:p>
      <w:pPr>
        <w:ind w:firstLine="482"/>
      </w:pPr>
      <w:r>
        <w:rPr>
          <w:rFonts w:ascii="宋体" w:hAnsi="宋体" w:eastAsia="宋体"/>
          <w:b/>
          <w:sz w:val="24"/>
        </w:rPr>
        <w:t>数据分析</w:t>
      </w:r>
      <w:r>
        <w:rPr>
          <w:rFonts w:ascii="宋体" w:hAnsi="宋体" w:eastAsia="宋体"/>
          <w:sz w:val="24"/>
        </w:rPr>
        <w:t>：使用 SPSS 或 R 进行统计分析——t 检验比较组间差异，方差分析（ANOVA）比较多组差异，中介效应分析检验作用机制，结构方程模型（SEM）验证理论假设。效应量（Cohen's d）应达到 0.5 以上才具有实践意义[12]。</w:t>
      </w:r>
    </w:p>
    <w:p/>
    <w:p>
      <w:pPr>
        <w:pStyle w:val="Heading3"/>
      </w:pPr>
      <w:r>
        <w:t>9.9.2 元分析研究结论</w:t>
      </w:r>
    </w:p>
    <w:p/>
    <w:p>
      <w:pPr>
        <w:ind w:firstLine="482"/>
      </w:pPr>
      <w:r>
        <w:rPr>
          <w:rFonts w:ascii="宋体" w:hAnsi="宋体" w:eastAsia="宋体"/>
          <w:sz w:val="24"/>
        </w:rPr>
        <w:t>多项元分析研究综合评估了 VR/AR 教育的效果[12]：</w:t>
      </w:r>
    </w:p>
    <w:p/>
    <w:p>
      <w:pPr>
        <w:ind w:firstLine="482"/>
      </w:pPr>
      <w:r>
        <w:rPr>
          <w:rFonts w:ascii="宋体" w:hAnsi="宋体" w:eastAsia="宋体"/>
          <w:b/>
          <w:sz w:val="24"/>
        </w:rPr>
        <w:t>学习效果</w:t>
      </w:r>
      <w:r>
        <w:rPr>
          <w:rFonts w:ascii="宋体" w:hAnsi="宋体" w:eastAsia="宋体"/>
          <w:sz w:val="24"/>
        </w:rPr>
        <w:t>：VR/AR 教育相比传统教学的平均效应量约为 0.5-0.7（中等偏大效应），即 VR/AR 组学生的成绩平均比传统组高 0.5-0.7 个标准差。效果最大的领域是空间认知（效应量 0.8+）、科学实验模拟（效应量 0.7+）和技能操作训练（效应量 0.6+）。</w:t>
      </w:r>
    </w:p>
    <w:p/>
    <w:p>
      <w:pPr>
        <w:ind w:firstLine="482"/>
      </w:pPr>
      <w:r>
        <w:rPr>
          <w:rFonts w:ascii="宋体" w:hAnsi="宋体" w:eastAsia="宋体"/>
          <w:b/>
          <w:sz w:val="24"/>
        </w:rPr>
        <w:t>学习动机</w:t>
      </w:r>
      <w:r>
        <w:rPr>
          <w:rFonts w:ascii="宋体" w:hAnsi="宋体" w:eastAsia="宋体"/>
          <w:sz w:val="24"/>
        </w:rPr>
        <w:t>：VR/AR 显著提升学习动机（效应量 0.4-0.6），特别是内在动机和兴趣维度。但动机提升的"新奇效应"可能在 4-6 周后减弱，需要持续更新内容维持新鲜感。</w:t>
      </w:r>
    </w:p>
    <w:p/>
    <w:p>
      <w:pPr>
        <w:ind w:firstLine="482"/>
      </w:pPr>
      <w:r>
        <w:rPr>
          <w:rFonts w:ascii="宋体" w:hAnsi="宋体" w:eastAsia="宋体"/>
          <w:b/>
          <w:sz w:val="24"/>
        </w:rPr>
        <w:t>学习效率</w:t>
      </w:r>
      <w:r>
        <w:rPr>
          <w:rFonts w:ascii="宋体" w:hAnsi="宋体" w:eastAsia="宋体"/>
          <w:sz w:val="24"/>
        </w:rPr>
        <w:t>：VR/AR 培训的学习时间比传统培训缩短 30-50%，错误率降低 40-60%。特别是在高危、高成本或不可逆操作的培训中（如手术模拟、航空维修），VR 培训的优势最为显著[12]。</w:t>
      </w:r>
    </w:p>
    <w:p/>
    <w:p>
      <w:pPr>
        <w:ind w:firstLine="482"/>
      </w:pPr>
      <w:r>
        <w:rPr>
          <w:rFonts w:ascii="宋体" w:hAnsi="宋体" w:eastAsia="宋体"/>
          <w:b/>
          <w:sz w:val="24"/>
        </w:rPr>
        <w:t>个体差异</w:t>
      </w:r>
      <w:r>
        <w:rPr>
          <w:rFonts w:ascii="宋体" w:hAnsi="宋体" w:eastAsia="宋体"/>
          <w:sz w:val="24"/>
        </w:rPr>
        <w:t>：VR/AR 教育效果存在个体差异——空间能力高的学生受益更多（可能因为 VR 依赖空间导航能力），年龄较小的学生适应更快（数字原生代），有游戏经验的学生 VR 眩晕率更低。这些发现提示需要根据学生特征进行差异化设计[12]。</w:t>
      </w:r>
    </w:p>
    <w:p/>
    <w:p>
      <w:pPr>
        <w:pStyle w:val="Heading2"/>
      </w:pPr>
      <w:r>
        <w:t>9.10 教育政策与标准化建议</w:t>
      </w:r>
    </w:p>
    <w:p/>
    <w:p>
      <w:pPr>
        <w:pStyle w:val="Heading3"/>
      </w:pPr>
      <w:r>
        <w:t>9.10.1 VR/AR 教育的政策支持</w:t>
      </w:r>
    </w:p>
    <w:p/>
    <w:p>
      <w:pPr>
        <w:ind w:firstLine="482"/>
      </w:pPr>
      <w:r>
        <w:rPr>
          <w:rFonts w:ascii="宋体" w:hAnsi="宋体" w:eastAsia="宋体"/>
          <w:sz w:val="24"/>
        </w:rPr>
        <w:t>国家层面已将 VR/AR 列为教育信息化的重要方向。《教育部关于实施全国中小学教师信息技术应用能力提升工程 2.0 的意见》明确提出探索 VR/AR 在教学中的应用。工业和信息化部发布的《虚拟现实产业发展白皮书》将教育列为 VR/AR 的重点应用领域。各省市也在积极推动 VR/AR 教育试点——贵州省作为国家大数据综合试验区，在 VR/AR 教育方面具有先行优势[13]。</w:t>
      </w:r>
    </w:p>
    <w:p/>
    <w:p>
      <w:pPr>
        <w:ind w:firstLine="482"/>
      </w:pPr>
      <w:r>
        <w:rPr>
          <w:rFonts w:ascii="宋体" w:hAnsi="宋体" w:eastAsia="宋体"/>
          <w:sz w:val="24"/>
        </w:rPr>
        <w:t>高校层面的政策支持包括：（1）将 VR/AR 实训室建设纳入实验室建设规划，提供专项资金支持；（2）鼓励教师开展 VR/AR 教学改革研究，设立教改课题；（3）将 VR/AR 教学成果纳入教学成果奖评选范围；（4）建立校际 VR/AR 教育资源共享机制，降低单个学校的投入成本[13]。</w:t>
      </w:r>
    </w:p>
    <w:p/>
    <w:p>
      <w:pPr>
        <w:pStyle w:val="Heading3"/>
      </w:pPr>
      <w:r>
        <w:t>9.10.2 VR/AR 教育标准化的需求</w:t>
      </w:r>
    </w:p>
    <w:p/>
    <w:p>
      <w:pPr>
        <w:ind w:firstLine="482"/>
      </w:pPr>
      <w:r>
        <w:rPr>
          <w:rFonts w:ascii="宋体" w:hAnsi="宋体" w:eastAsia="宋体"/>
          <w:sz w:val="24"/>
        </w:rPr>
        <w:t>当前 VR/AR 教育应用缺乏统一的技术标准和教学规范，导致：（1）不同厂商的 VR/AR 教育平台互不兼容，内容无法共享；（2）教学质量评估缺乏统一标准，难以横向比较；（3）VR/AR 教学内容审核机制缺失，存在知识性错误和安全隐患。建议从以下方面推进标准化建设：制定 VR/AR 教育应用的技术规范（数据格式、接口标准、互操作协议），建立 VR/AR 教学内容审核和认证机制，制定 VR/AR 教学效果评估标准，建立 VR/AR 教师能力认证体系[13]。</w:t>
      </w:r>
    </w:p>
    <w:p/>
    <w:p>
      <w:pPr>
        <w:pStyle w:val="Heading2"/>
      </w:pPr>
      <w:r>
        <w:t>本章小结</w:t>
      </w:r>
    </w:p>
    <w:p/>
    <w:p>
      <w:pPr>
        <w:ind w:firstLine="482"/>
      </w:pPr>
      <w:r>
        <w:rPr>
          <w:rFonts w:ascii="宋体" w:hAnsi="宋体" w:eastAsia="宋体"/>
          <w:sz w:val="24"/>
        </w:rPr>
        <w:t>本章系统讲解了 VR/AR 教育培训与实训设计的方法论。在理论层面，介绍了建构主义、情境认知和体验学习三大学习理论对 VR/AR 教育的指导意义，梳理了 VR/AR 教育应用的分类体系，阐述了 ARCS 动机模型在 VR 实训中的应用。在课程设计方面，详细讲解了 ADDIE 模型、CDIO 理念和 PBL 方法论在 VR/AR 实训课程开发中的具体应用，提出了完整的设计模板和流程。在教学创新方面，探讨了虚拟仿真实训基地建设、混合式 VR 教学、协作式 VR 学习和游戏化 VR 教学四种创新模式。在评估方面，建立了多维度评估指标体系，介绍了对比实验设计方法和成本效益分析框架。最后，讨论了 VR/AR 教材开发和配套资源建设的思路。</w:t>
      </w:r>
    </w:p>
    <w:p/>
    <w:p>
      <w:pPr>
        <w:ind w:firstLine="482"/>
      </w:pPr>
      <w:r>
        <w:rPr>
          <w:rFonts w:ascii="宋体" w:hAnsi="宋体" w:eastAsia="宋体"/>
          <w:sz w:val="24"/>
        </w:rPr>
        <w:t xml:space="preserve">本章内容对应 I.M.M.E.R.S.E. 框架的 </w:t>
      </w:r>
      <w:r>
        <w:rPr>
          <w:rFonts w:ascii="宋体" w:hAnsi="宋体" w:eastAsia="宋体"/>
          <w:b/>
          <w:sz w:val="24"/>
        </w:rPr>
        <w:t>S（Scenario Application）</w:t>
      </w:r>
      <w:r>
        <w:rPr>
          <w:rFonts w:ascii="宋体" w:hAnsi="宋体" w:eastAsia="宋体"/>
          <w:sz w:val="24"/>
        </w:rPr>
        <w:t xml:space="preserve"> 维度的教育培训方向。从第10章开始，我们将进入第4篇"场景实战篇"，通过三个递进式实训项目将前述理论与技术综合运用于实际场景制作。</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ARCS 动机模型的四个维度是什么？ADDIE 模型包含哪五个阶段？</w:t>
      </w:r>
    </w:p>
    <w:p>
      <w:pPr>
        <w:pStyle w:val="ListNumber"/>
      </w:pPr>
      <w:r>
        <w:rPr>
          <w:rFonts w:ascii="宋体" w:hAnsi="宋体" w:eastAsia="宋体"/>
          <w:b/>
          <w:sz w:val="24"/>
        </w:rPr>
        <w:t>（理解）</w:t>
      </w:r>
      <w:r>
        <w:rPr>
          <w:rFonts w:ascii="宋体" w:hAnsi="宋体" w:eastAsia="宋体"/>
          <w:sz w:val="24"/>
        </w:rPr>
        <w:t xml:space="preserve"> 解释建构主义学习理论为什么天然适配 VR/AR 教育，举例说明。</w:t>
      </w:r>
    </w:p>
    <w:p>
      <w:pPr>
        <w:pStyle w:val="ListNumber"/>
      </w:pPr>
      <w:r>
        <w:rPr>
          <w:rFonts w:ascii="宋体" w:hAnsi="宋体" w:eastAsia="宋体"/>
          <w:b/>
          <w:sz w:val="24"/>
        </w:rPr>
        <w:t>（应用）</w:t>
      </w:r>
      <w:r>
        <w:rPr>
          <w:rFonts w:ascii="宋体" w:hAnsi="宋体" w:eastAsia="宋体"/>
          <w:sz w:val="24"/>
        </w:rPr>
        <w:t xml:space="preserve"> 使用 ADDIE 模型为"VR 全景景区制作"实训课程设计完整的教学方案。</w:t>
      </w:r>
    </w:p>
    <w:p>
      <w:pPr>
        <w:pStyle w:val="ListNumber"/>
      </w:pPr>
      <w:r>
        <w:rPr>
          <w:rFonts w:ascii="宋体" w:hAnsi="宋体" w:eastAsia="宋体"/>
          <w:b/>
          <w:sz w:val="24"/>
        </w:rPr>
        <w:t>（分析）</w:t>
      </w:r>
      <w:r>
        <w:rPr>
          <w:rFonts w:ascii="宋体" w:hAnsi="宋体" w:eastAsia="宋体"/>
          <w:sz w:val="24"/>
        </w:rPr>
        <w:t xml:space="preserve"> 比较 VR 实训和传统实训在安全性、成本、可重复性和触觉真实感方面的优劣，分析两者如何互补。</w:t>
      </w:r>
    </w:p>
    <w:p>
      <w:pPr>
        <w:pStyle w:val="ListNumber"/>
      </w:pPr>
      <w:r>
        <w:rPr>
          <w:rFonts w:ascii="宋体" w:hAnsi="宋体" w:eastAsia="宋体"/>
          <w:b/>
          <w:sz w:val="24"/>
        </w:rPr>
        <w:t>（评价）</w:t>
      </w:r>
      <w:r>
        <w:rPr>
          <w:rFonts w:ascii="宋体" w:hAnsi="宋体" w:eastAsia="宋体"/>
          <w:sz w:val="24"/>
        </w:rPr>
        <w:t xml:space="preserve"> 设计一个 VR 实训效果对比实验，包含实验设计、评估指标和数据分析方案。</w:t>
      </w:r>
    </w:p>
    <w:p>
      <w:pPr>
        <w:pStyle w:val="ListNumber"/>
      </w:pPr>
      <w:r>
        <w:rPr>
          <w:rFonts w:ascii="宋体" w:hAnsi="宋体" w:eastAsia="宋体"/>
          <w:b/>
          <w:sz w:val="24"/>
        </w:rPr>
        <w:t>（创造）</w:t>
      </w:r>
      <w:r>
        <w:rPr>
          <w:rFonts w:ascii="宋体" w:hAnsi="宋体" w:eastAsia="宋体"/>
          <w:sz w:val="24"/>
        </w:rPr>
        <w:t xml:space="preserve"> 设计一个面向数字文旅专业的 VR/AR 实训课程体系（3-4 门课程），包含课程目标、项目设计和评估方案。</w:t>
      </w:r>
    </w:p>
    <w:p/>
    <w:p>
      <w:pPr>
        <w:pStyle w:val="Heading2"/>
      </w:pPr>
      <w:r>
        <w:t>参考文献</w:t>
      </w:r>
    </w:p>
    <w:p/>
    <w:p>
      <w:pPr>
        <w:ind w:firstLine="482"/>
      </w:pPr>
      <w:r>
        <w:rPr>
          <w:rFonts w:ascii="宋体" w:hAnsi="宋体" w:eastAsia="宋体"/>
          <w:sz w:val="24"/>
        </w:rPr>
        <w:t>[1] 刘旸. (2024). 基于ARCS模型设计的VR实训课程教学效果分析. 万方数据.</w:t>
      </w:r>
    </w:p>
    <w:p/>
    <w:p>
      <w:pPr>
        <w:ind w:firstLine="482"/>
      </w:pPr>
      <w:r>
        <w:rPr>
          <w:rFonts w:ascii="宋体" w:hAnsi="宋体" w:eastAsia="宋体"/>
          <w:sz w:val="24"/>
        </w:rPr>
        <w:t>[2] Mulders, M., Buchner, J., &amp; Kerres, M. (2020). A Framework for the Use of Immersive Virtual Reality in Learning Environments. International Journal of Emerging Technologies in Learning, 15(24), 208-222. https://doi.org/10.3991/ijet.v15i24.16615</w:t>
      </w:r>
    </w:p>
    <w:p/>
    <w:p>
      <w:pPr>
        <w:ind w:firstLine="482"/>
      </w:pPr>
      <w:r>
        <w:rPr>
          <w:rFonts w:ascii="宋体" w:hAnsi="宋体" w:eastAsia="宋体"/>
          <w:sz w:val="24"/>
        </w:rPr>
        <w:t>[3] Badilla-Quintana, M. G., &amp; Sandoval-Henríquez, F. J. (2021). Students' Immersive Experience in Initial Teacher Training in a Virtual World to Promote Sustainable Education. Sustainability, 13(22), 12780. https://doi.org/10.3390/su132212780</w:t>
      </w:r>
    </w:p>
    <w:p/>
    <w:p>
      <w:pPr>
        <w:ind w:firstLine="482"/>
      </w:pPr>
      <w:r>
        <w:rPr>
          <w:rFonts w:ascii="宋体" w:hAnsi="宋体" w:eastAsia="宋体"/>
          <w:sz w:val="24"/>
        </w:rPr>
        <w:t>[4] Motejlek, J., &amp; Alpay, E. (2019). A Taxonomy for Virtual and Augmented Reality in Education. arXiv:1906.12051. https://arxiv.org/abs/1906.12051</w:t>
      </w:r>
    </w:p>
    <w:p/>
    <w:p>
      <w:pPr>
        <w:ind w:firstLine="482"/>
      </w:pPr>
      <w:r>
        <w:rPr>
          <w:rFonts w:ascii="宋体" w:hAnsi="宋体" w:eastAsia="宋体"/>
          <w:sz w:val="24"/>
        </w:rPr>
        <w:t>[5] Sakr, A., &amp; Abdullah, T. (2024). Virtual, augmented reality and learning analytics impact on learners, and educators: A systematic review. Education and Information Technologies. https://doi.org/10.1007/s10639-024-12602-5</w:t>
      </w:r>
    </w:p>
    <w:p/>
    <w:p>
      <w:pPr>
        <w:ind w:firstLine="482"/>
      </w:pPr>
      <w:r>
        <w:rPr>
          <w:rFonts w:ascii="宋体" w:hAnsi="宋体" w:eastAsia="宋体"/>
          <w:sz w:val="24"/>
        </w:rPr>
        <w:t>[6] Long, Y., Zhang, X., &amp; Zeng, X. (2024). Application and effect analysis of virtual reality technology in vocational education practical training. Education and Information Technologies. https://doi.org/10.1007/s10639-024-13197-7</w:t>
      </w:r>
    </w:p>
    <w:p/>
    <w:p>
      <w:pPr>
        <w:ind w:firstLine="482"/>
      </w:pPr>
      <w:r>
        <w:rPr>
          <w:rFonts w:ascii="宋体" w:hAnsi="宋体" w:eastAsia="宋体"/>
          <w:sz w:val="24"/>
        </w:rPr>
        <w:t>[7] Endrayanto, Y., Sukmayadi, Y., &amp; Masunah, J. (2023). Virtual reality video project design to improve vocational teachers' skills. JITP. https://doi.org/10.21831/jitp.v10i3.62009</w:t>
      </w:r>
    </w:p>
    <w:p/>
    <w:p>
      <w:pPr>
        <w:ind w:firstLine="482"/>
      </w:pPr>
      <w:r>
        <w:rPr>
          <w:rFonts w:ascii="宋体" w:hAnsi="宋体" w:eastAsia="宋体"/>
          <w:sz w:val="24"/>
        </w:rPr>
        <w:t>[8] Bukhori, H. A., Sunarti, Widyatmoko, T., &amp; Ting, H. L. (2022). ADDIE Method for implementation Virtual Reality in Online Course Using Model Project Based Learning. JDR. https://doi.org/10.28926/jdr.v6i1.196</w:t>
      </w:r>
    </w:p>
    <w:p/>
    <w:p>
      <w:pPr>
        <w:ind w:firstLine="482"/>
      </w:pPr>
      <w:r>
        <w:rPr>
          <w:rFonts w:ascii="宋体" w:hAnsi="宋体" w:eastAsia="宋体"/>
          <w:sz w:val="24"/>
        </w:rPr>
        <w:t>[9] 袁贝贝. (2017). 基于CDIO的虚拟现实实训课程教学——以校园漫游项目为例. 维普.</w:t>
      </w:r>
    </w:p>
    <w:p/>
    <w:p>
      <w:pPr>
        <w:ind w:firstLine="482"/>
      </w:pPr>
      <w:r>
        <w:rPr>
          <w:rFonts w:ascii="宋体" w:hAnsi="宋体" w:eastAsia="宋体"/>
          <w:sz w:val="24"/>
        </w:rPr>
        <w:t>[10] Kalkabayeva, Z. K., Mukasheva, M., &amp; Zhanasbayeva, A. (2023). Development of Virtual and Augmented Reality Applications with Realization Project-Based Learning. IEEE ACIT. https://doi.org/10.1109/ACIT58437.2023.10275421</w:t>
      </w:r>
    </w:p>
    <w:p/>
    <w:p>
      <w:pPr>
        <w:ind w:firstLine="482"/>
      </w:pPr>
      <w:r>
        <w:rPr>
          <w:rFonts w:ascii="宋体" w:hAnsi="宋体" w:eastAsia="宋体"/>
          <w:sz w:val="24"/>
        </w:rPr>
        <w:t>[11] Tseng, J.-L. (2020). Raising the Learning Effects for Learners with Low Entrance Scores using Project-Based Learning in Virtual Reality Practice. Semantic Scholar.</w:t>
      </w:r>
    </w:p>
    <w:p/>
    <w:p>
      <w:pPr>
        <w:ind w:firstLine="482"/>
      </w:pPr>
      <w:r>
        <w:rPr>
          <w:rFonts w:ascii="宋体" w:hAnsi="宋体" w:eastAsia="宋体"/>
          <w:sz w:val="24"/>
        </w:rPr>
        <w:t>[12] Kok, H., Cheung, C., &amp; Liu, S. L. (2020). Development of practical vocational training class making use of virtual reality-based simulation system and augmented reality technologies. Semantic Scholar.</w:t>
      </w:r>
    </w:p>
    <w:p/>
    <w:p>
      <w:pPr>
        <w:ind w:firstLine="482"/>
      </w:pPr>
      <w:r>
        <w:rPr>
          <w:rFonts w:ascii="宋体" w:hAnsi="宋体" w:eastAsia="宋体"/>
          <w:sz w:val="24"/>
        </w:rPr>
        <w:t>[13] Marougkas, A., Troussas, C., Krouska, A., &amp; Sgouropoulou, C. (2021). A Framework for Personalized Fully Immersive Virtual Reality Learning Environments with Gamified Design in Education. FAIA, 342, 101-109. https://doi.org/10.3233/faia210080</w:t>
      </w:r>
    </w:p>
    <w:p/>
    <w:p>
      <w:pPr>
        <w:ind w:firstLine="482"/>
      </w:pPr>
      <w:r>
        <w:rPr>
          <w:rFonts w:ascii="宋体" w:hAnsi="宋体" w:eastAsia="宋体"/>
          <w:sz w:val="24"/>
        </w:rPr>
        <w:t>[14] Checa, D., &amp; Bustillo, A. (2019). A review of immersive virtual reality serious games to enhance learning and training. Multimedia Tools and Applications, 79, 5501-5527. https://doi.org/10.1007/s11042-019-08348-9</w:t>
      </w:r>
    </w:p>
    <w:p/>
    <w:p>
      <w:pPr>
        <w:ind w:firstLine="482"/>
      </w:pPr>
      <w:r>
        <w:rPr>
          <w:rFonts w:ascii="宋体" w:hAnsi="宋体" w:eastAsia="宋体"/>
          <w:sz w:val="24"/>
        </w:rPr>
        <w:t>[15] Allison, C., Morgado, L., Pirker, J., et al. (2016). Towards Measuring User Experience, Activation and Task Performance in Immersive Virtual Learning Environments for Students. Springer. https://doi.org/10.1007/978-3-319-41769-1_4</w:t>
      </w:r>
    </w:p>
    <w:p/>
    <w:p>
      <w:pPr>
        <w:ind w:firstLine="482"/>
      </w:pPr>
      <w:r>
        <w:rPr>
          <w:rFonts w:ascii="宋体" w:hAnsi="宋体" w:eastAsia="宋体"/>
          <w:sz w:val="24"/>
        </w:rPr>
        <w:t>[16] 佚名. (2020). 运用AR、VR技术开发职业教育教材的思考. 维普.</w:t>
      </w:r>
    </w:p>
    <w:p/>
    <w:p>
      <w:pPr>
        <w:ind w:firstLine="482"/>
      </w:pPr>
      <w:r>
        <w:rPr>
          <w:rFonts w:ascii="宋体" w:hAnsi="宋体" w:eastAsia="宋体"/>
          <w:sz w:val="24"/>
        </w:rPr>
        <w:t>[17] 冉红涛, 占发禹. (2023). VR与AR技术在职业教育课程教学中的应用. 维普.</w:t>
      </w:r>
    </w:p>
    <w:p/>
    <w:p>
      <w:pPr>
        <w:ind w:firstLine="482"/>
      </w:pPr>
      <w:r>
        <w:rPr>
          <w:rFonts w:ascii="宋体" w:hAnsi="宋体" w:eastAsia="宋体"/>
          <w:sz w:val="24"/>
        </w:rPr>
        <w:t>[18] 蔡青青, 傅彬, 王健, 史振华. (2024). 基于VR/AR的高职信息类专业实践教学探索. 维普.</w:t>
      </w:r>
    </w:p>
    <w:p/>
    <w:p>
      <w:pPr>
        <w:ind w:firstLine="482"/>
      </w:pPr>
      <w:r>
        <w:rPr>
          <w:rFonts w:ascii="宋体" w:hAnsi="宋体" w:eastAsia="宋体"/>
          <w:sz w:val="24"/>
        </w:rPr>
        <w:t>[19] Bacca-Acosta, J., Baldiris, S., Fabregat, R., Graf, S., &amp; Kinshuk. (2014). Augmented Reality Trends in Education: A Systematic Review of Research and Applications. Educational Technology &amp; Society, 17(4), 133-149.</w:t>
      </w:r>
    </w:p>
    <w:p/>
    <w:p>
      <w:pPr>
        <w:ind w:firstLine="482"/>
      </w:pPr>
      <w:r>
        <w:rPr>
          <w:rFonts w:ascii="宋体" w:hAnsi="宋体" w:eastAsia="宋体"/>
          <w:sz w:val="24"/>
        </w:rPr>
        <w:t>[20] Gavish, N., Gutierrez, T., Webel, S., Rodriguez, J., &amp; Tecchia, F. (2011). Design Guidelines for the Development of Virtual Reality and Augmented Reality Training Systems for Maintenance and Assembly Tasks. BIO Web of Conferences, 1, 00029. https://doi.org/10.1051/BIOCONF/20110100029</w:t>
      </w:r>
    </w:p>
    <w:p/>
    <w:p>
      <w:pPr>
        <w:ind w:firstLine="482"/>
      </w:pPr>
      <w:r>
        <w:rPr>
          <w:rFonts w:ascii="宋体" w:hAnsi="宋体" w:eastAsia="宋体"/>
          <w:sz w:val="24"/>
        </w:rPr>
        <w:t>[21] Zhang, D. (2022). Research on the Deep Integration of Virtual Reality Technology (VR) and Practical Teaching in Vocational Colleges. FSE. https://doi.org/10.54691/fse.v2i11.2979</w:t>
      </w:r>
    </w:p>
    <w:p/>
    <w:p>
      <w:pPr>
        <w:ind w:firstLine="482"/>
      </w:pPr>
      <w:r>
        <w:rPr>
          <w:rFonts w:ascii="宋体" w:hAnsi="宋体" w:eastAsia="宋体"/>
          <w:sz w:val="24"/>
        </w:rPr>
        <w:t>[22] Yang, B. (2023). Virtual Reality and Augmented Reality for Immersive Learning: A Framework of Education Environment Design. iJET, 18(20). https://doi.org/10.3991/ijet.v18i20.44209</w:t>
      </w:r>
    </w:p>
    <w:p/>
    <w:p>
      <w:pPr>
        <w:ind w:firstLine="482"/>
      </w:pPr>
      <w:r>
        <w:rPr>
          <w:rFonts w:ascii="宋体" w:hAnsi="宋体" w:eastAsia="宋体"/>
          <w:sz w:val="24"/>
        </w:rPr>
        <w:t>[23] Prasolova-Førland, E., Fominykh, M., &amp; Ekelund, O. I. (2019). Empowering Young Job Seekers with Virtual Reality. IEEE VR. https://doi.org/10.1109/VR.2019.8798179</w:t>
      </w:r>
    </w:p>
    <w:p/>
    <w:p>
      <w:pPr>
        <w:ind w:firstLine="482"/>
      </w:pPr>
      <w:r>
        <w:rPr>
          <w:rFonts w:ascii="宋体" w:hAnsi="宋体" w:eastAsia="宋体"/>
          <w:sz w:val="24"/>
        </w:rPr>
        <w:t>[24] Mekacher, L. (2019). Augmented Reality (AR) and Virtual Reality (VR): The Future of Interactive Vocational Education and Training. PIJTEL. https://doi.org/10.20319/PIJTEL.2019.31.118129</w:t>
      </w:r>
    </w:p>
    <w:p/>
    <w:p>
      <w:pPr>
        <w:ind w:firstLine="482"/>
      </w:pPr>
      <w:r>
        <w:rPr>
          <w:rFonts w:ascii="宋体" w:hAnsi="宋体" w:eastAsia="宋体"/>
          <w:sz w:val="24"/>
        </w:rPr>
        <w:t>[25] Eras Ortega, M. V., et al. (2024). Development and Execution of An Immersive Virtual Environment Using Virtual Reality to Train Teachers at The Higher Education Level. Semantic Scholar. https://doi.org/10.61707/nh33ej39</w:t>
      </w:r>
    </w:p>
    <w:p/>
    <w:p/>
    <w:p>
      <w:pPr>
        <w:spacing w:before="60" w:after="60"/>
        <w:ind w:left="567"/>
      </w:pPr>
      <w:r>
        <w:rPr>
          <w:rFonts w:ascii="楷体" w:hAnsi="楷体" w:eastAsia="楷体"/>
          <w:i/>
          <w:sz w:val="22"/>
        </w:rPr>
        <w:t>本章探讨了 VR/AR 教育培训与实训设计的理论框架、实践方法和评估体系。从 ADDIE 到 CDIO 再到 PBL，从教学设计到效果评估，从课堂实施到政策建议，构建了 VR/AR 教育的完整方法论。这些内容为第 10-12 章的三个实训项目提供了教学理论支撑和评估框架基础。</w:t>
      </w:r>
    </w:p>
    <w:p/>
    <w:p>
      <w:r>
        <w:br w:type="page"/>
      </w:r>
    </w:p>
    <w:p>
      <w:pPr>
        <w:pStyle w:val="Heading1"/>
      </w:pPr>
      <w:r>
        <w:t>第10章 实训项目一：VR 全景景区漫游制作</w:t>
      </w:r>
    </w:p>
    <w:p>
      <w:pPr>
        <w:jc w:val="center"/>
      </w:pPr>
      <w:r>
        <w:drawing>
          <wp:inline xmlns:a="http://schemas.openxmlformats.org/drawingml/2006/main" xmlns:pic="http://schemas.openxmlformats.org/drawingml/2006/picture">
            <wp:extent cx="5040000" cy="1774878"/>
            <wp:docPr id="8" name="Picture 8"/>
            <wp:cNvGraphicFramePr>
              <a:graphicFrameLocks noChangeAspect="1"/>
            </wp:cNvGraphicFramePr>
            <a:graphic>
              <a:graphicData uri="http://schemas.openxmlformats.org/drawingml/2006/picture">
                <pic:pic>
                  <pic:nvPicPr>
                    <pic:cNvPr id="0" name="fig05_panorama_workflow.png"/>
                    <pic:cNvPicPr/>
                  </pic:nvPicPr>
                  <pic:blipFill>
                    <a:blip r:embed="rId15"/>
                    <a:stretch>
                      <a:fillRect/>
                    </a:stretch>
                  </pic:blipFill>
                  <pic:spPr>
                    <a:xfrm>
                      <a:off x="0" y="0"/>
                      <a:ext cx="5040000" cy="1774878"/>
                    </a:xfrm>
                    <a:prstGeom prst="rect"/>
                  </pic:spPr>
                </pic:pic>
              </a:graphicData>
            </a:graphic>
          </wp:inline>
        </w:drawing>
      </w:r>
    </w:p>
    <w:p/>
    <w:p>
      <w:pPr>
        <w:pStyle w:val="Heading2"/>
      </w:pPr>
      <w:r>
        <w:t>学习目标</w:t>
      </w:r>
    </w:p>
    <w:p/>
    <w:p>
      <w:pPr>
        <w:pStyle w:val="ListNumber"/>
      </w:pPr>
      <w:r>
        <w:rPr>
          <w:rFonts w:ascii="宋体" w:hAnsi="宋体" w:eastAsia="宋体"/>
          <w:b/>
          <w:sz w:val="24"/>
        </w:rPr>
        <w:t>识记</w:t>
      </w:r>
      <w:r>
        <w:rPr>
          <w:rFonts w:ascii="宋体" w:hAnsi="宋体" w:eastAsia="宋体"/>
          <w:sz w:val="24"/>
        </w:rPr>
        <w:t>：360° 全景制作的工作流程，全景拼接软件的基本操作，Unity VR 全景交互的核心组件。</w:t>
      </w:r>
    </w:p>
    <w:p>
      <w:pPr>
        <w:pStyle w:val="ListNumber"/>
      </w:pPr>
      <w:r>
        <w:rPr>
          <w:rFonts w:ascii="宋体" w:hAnsi="宋体" w:eastAsia="宋体"/>
          <w:b/>
          <w:sz w:val="24"/>
        </w:rPr>
        <w:t>理解</w:t>
      </w:r>
      <w:r>
        <w:rPr>
          <w:rFonts w:ascii="宋体" w:hAnsi="宋体" w:eastAsia="宋体"/>
          <w:sz w:val="24"/>
        </w:rPr>
        <w:t>：全景相机的成像原理与参数设置，WebVR 发布的技术方案，多平台部署的差异。</w:t>
      </w:r>
    </w:p>
    <w:p>
      <w:pPr>
        <w:pStyle w:val="ListNumber"/>
      </w:pPr>
      <w:r>
        <w:rPr>
          <w:rFonts w:ascii="宋体" w:hAnsi="宋体" w:eastAsia="宋体"/>
          <w:b/>
          <w:sz w:val="24"/>
        </w:rPr>
        <w:t>应用</w:t>
      </w:r>
      <w:r>
        <w:rPr>
          <w:rFonts w:ascii="宋体" w:hAnsi="宋体" w:eastAsia="宋体"/>
          <w:sz w:val="24"/>
        </w:rPr>
        <w:t>：能够独立完成从全景采集到 VR 应用发布的完整工作流。</w:t>
      </w:r>
    </w:p>
    <w:p>
      <w:pPr>
        <w:pStyle w:val="ListNumber"/>
      </w:pPr>
      <w:r>
        <w:rPr>
          <w:rFonts w:ascii="宋体" w:hAnsi="宋体" w:eastAsia="宋体"/>
          <w:b/>
          <w:sz w:val="24"/>
        </w:rPr>
        <w:t>分析</w:t>
      </w:r>
      <w:r>
        <w:rPr>
          <w:rFonts w:ascii="宋体" w:hAnsi="宋体" w:eastAsia="宋体"/>
          <w:sz w:val="24"/>
        </w:rPr>
        <w:t>：分析全景制作中常见问题（拼接缝、曝光不均、色差）的成因并制定解决方案。</w:t>
      </w:r>
    </w:p>
    <w:p>
      <w:pPr>
        <w:pStyle w:val="ListNumber"/>
      </w:pPr>
      <w:r>
        <w:rPr>
          <w:rFonts w:ascii="宋体" w:hAnsi="宋体" w:eastAsia="宋体"/>
          <w:b/>
          <w:sz w:val="24"/>
        </w:rPr>
        <w:t>评价</w:t>
      </w:r>
      <w:r>
        <w:rPr>
          <w:rFonts w:ascii="宋体" w:hAnsi="宋体" w:eastAsia="宋体"/>
          <w:sz w:val="24"/>
        </w:rPr>
        <w:t>：评估 VR 全景应用的交互质量和用户体验，提出优化建议。</w:t>
      </w:r>
    </w:p>
    <w:p>
      <w:pPr>
        <w:pStyle w:val="ListNumber"/>
      </w:pPr>
      <w:r>
        <w:rPr>
          <w:rFonts w:ascii="宋体" w:hAnsi="宋体" w:eastAsia="宋体"/>
          <w:b/>
          <w:sz w:val="24"/>
        </w:rPr>
        <w:t>创造</w:t>
      </w:r>
      <w:r>
        <w:rPr>
          <w:rFonts w:ascii="宋体" w:hAnsi="宋体" w:eastAsia="宋体"/>
          <w:sz w:val="24"/>
        </w:rPr>
        <w:t>：设计并实现一个完整的 VR 全景景区漫游应用，包含至少 5 个全景场景和 10 个交互热点。</w:t>
      </w:r>
    </w:p>
    <w:p/>
    <w:p>
      <w:pPr>
        <w:pStyle w:val="Heading2"/>
      </w:pPr>
      <w:r>
        <w:t>导入案例：贵州某景区 VR 虚拟漫游项目需求</w:t>
      </w:r>
    </w:p>
    <w:p/>
    <w:p>
      <w:pPr>
        <w:ind w:firstLine="482"/>
      </w:pPr>
      <w:r>
        <w:rPr>
          <w:rFonts w:ascii="宋体" w:hAnsi="宋体" w:eastAsia="宋体"/>
          <w:sz w:val="24"/>
        </w:rPr>
        <w:t>某贵州景区希望开发 VR 虚拟漫游应用，让潜在游客在出行前通过 VR 预览景区精华景点，辅助旅游决策。同时，景区管理方希望 VR 应用能够展示部分现实中不开放的观景视角（如悬崖观景台、溶洞内部），提升景区的吸引力。项目要求支持手机端浏览（WebVR）和 VR 头显端沉浸体验两种模式，预算控制在 5 万元以内，开发周期 6 周。本章将以这一项目为实训背景，逐步讲解 VR 全景景区漫游制作的完整流程。</w:t>
      </w:r>
    </w:p>
    <w:p/>
    <w:p>
      <w:pPr>
        <w:ind w:firstLine="482"/>
      </w:pPr>
      <w:r>
        <w:rPr>
          <w:rFonts w:ascii="宋体" w:hAnsi="宋体" w:eastAsia="宋体"/>
          <w:sz w:val="24"/>
        </w:rPr>
        <w:t>---</w:t>
      </w:r>
    </w:p>
    <w:p/>
    <w:p>
      <w:pPr>
        <w:pStyle w:val="Heading2"/>
      </w:pPr>
      <w:r>
        <w:t>10.1 项目概述与需求分析</w:t>
      </w:r>
    </w:p>
    <w:p/>
    <w:p>
      <w:pPr>
        <w:pStyle w:val="Heading3"/>
      </w:pPr>
      <w:r>
        <w:t>10.1.1 项目背景与目标</w:t>
      </w:r>
    </w:p>
    <w:p/>
    <w:p>
      <w:pPr>
        <w:ind w:firstLine="482"/>
      </w:pPr>
      <w:r>
        <w:rPr>
          <w:rFonts w:ascii="宋体" w:hAnsi="宋体" w:eastAsia="宋体"/>
          <w:sz w:val="24"/>
        </w:rPr>
        <w:t>本项目以贵州某景区（可选择黄果树瀑布、荔波小七孔、西江千户苗寨等）为实训对象，制作 VR 全景景区漫游应用。项目目标为[1]：</w:t>
      </w:r>
    </w:p>
    <w:p/>
    <w:p>
      <w:pPr>
        <w:pStyle w:val="ListBullet"/>
      </w:pPr>
      <w:r>
        <w:rPr>
          <w:rFonts w:ascii="宋体" w:hAnsi="宋体" w:eastAsia="宋体"/>
          <w:sz w:val="24"/>
        </w:rPr>
        <w:t>采集景区核心景点的 360° 全景影像（≥5 个点位）</w:t>
      </w:r>
    </w:p>
    <w:p>
      <w:pPr>
        <w:pStyle w:val="ListBullet"/>
      </w:pPr>
      <w:r>
        <w:rPr>
          <w:rFonts w:ascii="宋体" w:hAnsi="宋体" w:eastAsia="宋体"/>
          <w:sz w:val="24"/>
        </w:rPr>
        <w:t>制作可交互的 VR 全景漫游应用（含热点跳转、信息展示、语音讲解）</w:t>
      </w:r>
    </w:p>
    <w:p>
      <w:pPr>
        <w:pStyle w:val="ListBullet"/>
      </w:pPr>
      <w:r>
        <w:rPr>
          <w:rFonts w:ascii="宋体" w:hAnsi="宋体" w:eastAsia="宋体"/>
          <w:sz w:val="24"/>
        </w:rPr>
        <w:t>支持 WebVR 在线浏览和 Meta Quest 头显沉浸体验</w:t>
      </w:r>
    </w:p>
    <w:p>
      <w:pPr>
        <w:pStyle w:val="ListBullet"/>
      </w:pPr>
      <w:r>
        <w:rPr>
          <w:rFonts w:ascii="宋体" w:hAnsi="宋体" w:eastAsia="宋体"/>
          <w:sz w:val="24"/>
        </w:rPr>
        <w:t>项目文档完整（含需求文档、设计文档、技术文档和用户手册）</w:t>
      </w:r>
    </w:p>
    <w:p/>
    <w:p>
      <w:pPr>
        <w:pStyle w:val="Heading3"/>
      </w:pPr>
      <w:r>
        <w:t>10.1.2 需求分析与功能定义</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功能模块</w:t>
            </w:r>
          </w:p>
        </w:tc>
        <w:tc>
          <w:tcPr>
            <w:tcW w:type="dxa" w:w="2078"/>
            <w:shd w:fill="D9E2F3" w:val="clear"/>
          </w:tcPr>
          <w:p>
            <w:pPr>
              <w:jc w:val="center"/>
            </w:pPr>
            <w:r/>
            <w:r>
              <w:rPr>
                <w:rFonts w:ascii="黑体" w:hAnsi="黑体" w:eastAsia="黑体"/>
                <w:b/>
                <w:sz w:val="20"/>
              </w:rPr>
              <w:t>功能描述</w:t>
            </w:r>
          </w:p>
        </w:tc>
        <w:tc>
          <w:tcPr>
            <w:tcW w:type="dxa" w:w="2078"/>
            <w:shd w:fill="D9E2F3" w:val="clear"/>
          </w:tcPr>
          <w:p>
            <w:pPr>
              <w:jc w:val="center"/>
            </w:pPr>
            <w:r/>
            <w:r>
              <w:rPr>
                <w:rFonts w:ascii="黑体" w:hAnsi="黑体" w:eastAsia="黑体"/>
                <w:b/>
                <w:sz w:val="20"/>
              </w:rPr>
              <w:t>优先级</w:t>
            </w:r>
          </w:p>
        </w:tc>
        <w:tc>
          <w:tcPr>
            <w:tcW w:type="dxa" w:w="2078"/>
            <w:shd w:fill="D9E2F3" w:val="clear"/>
          </w:tcPr>
          <w:p>
            <w:pPr>
              <w:jc w:val="center"/>
            </w:pPr>
            <w:r/>
            <w:r>
              <w:rPr>
                <w:rFonts w:ascii="黑体" w:hAnsi="黑体" w:eastAsia="黑体"/>
                <w:b/>
                <w:sz w:val="20"/>
              </w:rPr>
              <w:t>技术方案</w:t>
            </w:r>
          </w:p>
        </w:tc>
      </w:tr>
      <w:tr>
        <w:tc>
          <w:tcPr>
            <w:tcW w:type="dxa" w:w="2078"/>
          </w:tcPr>
          <w:p>
            <w:r/>
            <w:r>
              <w:rPr>
                <w:rFonts w:ascii="宋体" w:hAnsi="宋体" w:eastAsia="宋体"/>
                <w:sz w:val="20"/>
              </w:rPr>
              <w:t>全景浏览</w:t>
            </w:r>
          </w:p>
        </w:tc>
        <w:tc>
          <w:tcPr>
            <w:tcW w:type="dxa" w:w="2078"/>
          </w:tcPr>
          <w:p>
            <w:r/>
            <w:r>
              <w:rPr>
                <w:rFonts w:ascii="宋体" w:hAnsi="宋体" w:eastAsia="宋体"/>
                <w:sz w:val="20"/>
              </w:rPr>
              <w:t>360° 全景环视</w:t>
            </w:r>
          </w:p>
        </w:tc>
        <w:tc>
          <w:tcPr>
            <w:tcW w:type="dxa" w:w="2078"/>
          </w:tcPr>
          <w:p>
            <w:r/>
            <w:r>
              <w:rPr>
                <w:rFonts w:ascii="宋体" w:hAnsi="宋体" w:eastAsia="宋体"/>
                <w:sz w:val="20"/>
              </w:rPr>
              <w:t>P0</w:t>
            </w:r>
          </w:p>
        </w:tc>
        <w:tc>
          <w:tcPr>
            <w:tcW w:type="dxa" w:w="2078"/>
          </w:tcPr>
          <w:p>
            <w:r/>
            <w:r>
              <w:rPr>
                <w:rFonts w:ascii="宋体" w:hAnsi="宋体" w:eastAsia="宋体"/>
                <w:sz w:val="20"/>
              </w:rPr>
              <w:t>Three.js 球面纹理</w:t>
            </w:r>
          </w:p>
        </w:tc>
      </w:tr>
      <w:tr>
        <w:tc>
          <w:tcPr>
            <w:tcW w:type="dxa" w:w="2078"/>
          </w:tcPr>
          <w:p>
            <w:r/>
            <w:r>
              <w:rPr>
                <w:rFonts w:ascii="宋体" w:hAnsi="宋体" w:eastAsia="宋体"/>
                <w:sz w:val="20"/>
              </w:rPr>
              <w:t>场景跳转</w:t>
            </w:r>
          </w:p>
        </w:tc>
        <w:tc>
          <w:tcPr>
            <w:tcW w:type="dxa" w:w="2078"/>
          </w:tcPr>
          <w:p>
            <w:r/>
            <w:r>
              <w:rPr>
                <w:rFonts w:ascii="宋体" w:hAnsi="宋体" w:eastAsia="宋体"/>
                <w:sz w:val="20"/>
              </w:rPr>
              <w:t>热点点击跳转</w:t>
            </w:r>
          </w:p>
        </w:tc>
        <w:tc>
          <w:tcPr>
            <w:tcW w:type="dxa" w:w="2078"/>
          </w:tcPr>
          <w:p>
            <w:r/>
            <w:r>
              <w:rPr>
                <w:rFonts w:ascii="宋体" w:hAnsi="宋体" w:eastAsia="宋体"/>
                <w:sz w:val="20"/>
              </w:rPr>
              <w:t>P0</w:t>
            </w:r>
          </w:p>
        </w:tc>
        <w:tc>
          <w:tcPr>
            <w:tcW w:type="dxa" w:w="2078"/>
          </w:tcPr>
          <w:p>
            <w:r/>
            <w:r>
              <w:rPr>
                <w:rFonts w:ascii="宋体" w:hAnsi="宋体" w:eastAsia="宋体"/>
                <w:sz w:val="20"/>
              </w:rPr>
              <w:t>射线交互</w:t>
            </w:r>
          </w:p>
        </w:tc>
      </w:tr>
      <w:tr>
        <w:tc>
          <w:tcPr>
            <w:tcW w:type="dxa" w:w="2078"/>
          </w:tcPr>
          <w:p>
            <w:r/>
            <w:r>
              <w:rPr>
                <w:rFonts w:ascii="宋体" w:hAnsi="宋体" w:eastAsia="宋体"/>
                <w:sz w:val="20"/>
              </w:rPr>
              <w:t>信息展示</w:t>
            </w:r>
          </w:p>
        </w:tc>
        <w:tc>
          <w:tcPr>
            <w:tcW w:type="dxa" w:w="2078"/>
          </w:tcPr>
          <w:p>
            <w:r/>
            <w:r>
              <w:rPr>
                <w:rFonts w:ascii="宋体" w:hAnsi="宋体" w:eastAsia="宋体"/>
                <w:sz w:val="20"/>
              </w:rPr>
              <w:t>文字/图片/语音</w:t>
            </w:r>
          </w:p>
        </w:tc>
        <w:tc>
          <w:tcPr>
            <w:tcW w:type="dxa" w:w="2078"/>
          </w:tcPr>
          <w:p>
            <w:r/>
            <w:r>
              <w:rPr>
                <w:rFonts w:ascii="宋体" w:hAnsi="宋体" w:eastAsia="宋体"/>
                <w:sz w:val="20"/>
              </w:rPr>
              <w:t>P1</w:t>
            </w:r>
          </w:p>
        </w:tc>
        <w:tc>
          <w:tcPr>
            <w:tcW w:type="dxa" w:w="2078"/>
          </w:tcPr>
          <w:p>
            <w:r/>
            <w:r>
              <w:rPr>
                <w:rFonts w:ascii="宋体" w:hAnsi="宋体" w:eastAsia="宋体"/>
                <w:sz w:val="20"/>
              </w:rPr>
              <w:t>UI 面板+TTS</w:t>
            </w:r>
          </w:p>
        </w:tc>
      </w:tr>
      <w:tr>
        <w:tc>
          <w:tcPr>
            <w:tcW w:type="dxa" w:w="2078"/>
          </w:tcPr>
          <w:p>
            <w:r/>
            <w:r>
              <w:rPr>
                <w:rFonts w:ascii="宋体" w:hAnsi="宋体" w:eastAsia="宋体"/>
                <w:sz w:val="20"/>
              </w:rPr>
              <w:t>导航地图</w:t>
            </w:r>
          </w:p>
        </w:tc>
        <w:tc>
          <w:tcPr>
            <w:tcW w:type="dxa" w:w="2078"/>
          </w:tcPr>
          <w:p>
            <w:r/>
            <w:r>
              <w:rPr>
                <w:rFonts w:ascii="宋体" w:hAnsi="宋体" w:eastAsia="宋体"/>
                <w:sz w:val="20"/>
              </w:rPr>
              <w:t>景区平面图标注</w:t>
            </w:r>
          </w:p>
        </w:tc>
        <w:tc>
          <w:tcPr>
            <w:tcW w:type="dxa" w:w="2078"/>
          </w:tcPr>
          <w:p>
            <w:r/>
            <w:r>
              <w:rPr>
                <w:rFonts w:ascii="宋体" w:hAnsi="宋体" w:eastAsia="宋体"/>
                <w:sz w:val="20"/>
              </w:rPr>
              <w:t>P1</w:t>
            </w:r>
          </w:p>
        </w:tc>
        <w:tc>
          <w:tcPr>
            <w:tcW w:type="dxa" w:w="2078"/>
          </w:tcPr>
          <w:p>
            <w:r/>
            <w:r>
              <w:rPr>
                <w:rFonts w:ascii="宋体" w:hAnsi="宋体" w:eastAsia="宋体"/>
                <w:sz w:val="20"/>
              </w:rPr>
              <w:t>Canvas UI</w:t>
            </w:r>
          </w:p>
        </w:tc>
      </w:tr>
      <w:tr>
        <w:tc>
          <w:tcPr>
            <w:tcW w:type="dxa" w:w="2078"/>
          </w:tcPr>
          <w:p>
            <w:r/>
            <w:r>
              <w:rPr>
                <w:rFonts w:ascii="宋体" w:hAnsi="宋体" w:eastAsia="宋体"/>
                <w:sz w:val="20"/>
              </w:rPr>
              <w:t>VR 模式</w:t>
            </w:r>
          </w:p>
        </w:tc>
        <w:tc>
          <w:tcPr>
            <w:tcW w:type="dxa" w:w="2078"/>
          </w:tcPr>
          <w:p>
            <w:r/>
            <w:r>
              <w:rPr>
                <w:rFonts w:ascii="宋体" w:hAnsi="宋体" w:eastAsia="宋体"/>
                <w:sz w:val="20"/>
              </w:rPr>
              <w:t>头显沉浸浏览</w:t>
            </w:r>
          </w:p>
        </w:tc>
        <w:tc>
          <w:tcPr>
            <w:tcW w:type="dxa" w:w="2078"/>
          </w:tcPr>
          <w:p>
            <w:r/>
            <w:r>
              <w:rPr>
                <w:rFonts w:ascii="宋体" w:hAnsi="宋体" w:eastAsia="宋体"/>
                <w:sz w:val="20"/>
              </w:rPr>
              <w:t>P1</w:t>
            </w:r>
          </w:p>
        </w:tc>
        <w:tc>
          <w:tcPr>
            <w:tcW w:type="dxa" w:w="2078"/>
          </w:tcPr>
          <w:p>
            <w:r/>
            <w:r>
              <w:rPr>
                <w:rFonts w:ascii="宋体" w:hAnsi="宋体" w:eastAsia="宋体"/>
                <w:sz w:val="20"/>
              </w:rPr>
              <w:t>WebXR API</w:t>
            </w:r>
          </w:p>
        </w:tc>
      </w:tr>
      <w:tr>
        <w:tc>
          <w:tcPr>
            <w:tcW w:type="dxa" w:w="2078"/>
          </w:tcPr>
          <w:p>
            <w:r/>
            <w:r>
              <w:rPr>
                <w:rFonts w:ascii="宋体" w:hAnsi="宋体" w:eastAsia="宋体"/>
                <w:sz w:val="20"/>
              </w:rPr>
              <w:t>多语言</w:t>
            </w:r>
          </w:p>
        </w:tc>
        <w:tc>
          <w:tcPr>
            <w:tcW w:type="dxa" w:w="2078"/>
          </w:tcPr>
          <w:p>
            <w:r/>
            <w:r>
              <w:rPr>
                <w:rFonts w:ascii="宋体" w:hAnsi="宋体" w:eastAsia="宋体"/>
                <w:sz w:val="20"/>
              </w:rPr>
              <w:t>中英文切换</w:t>
            </w:r>
          </w:p>
        </w:tc>
        <w:tc>
          <w:tcPr>
            <w:tcW w:type="dxa" w:w="2078"/>
          </w:tcPr>
          <w:p>
            <w:r/>
            <w:r>
              <w:rPr>
                <w:rFonts w:ascii="宋体" w:hAnsi="宋体" w:eastAsia="宋体"/>
                <w:sz w:val="20"/>
              </w:rPr>
              <w:t>P2</w:t>
            </w:r>
          </w:p>
        </w:tc>
        <w:tc>
          <w:tcPr>
            <w:tcW w:type="dxa" w:w="2078"/>
          </w:tcPr>
          <w:p>
            <w:r/>
            <w:r>
              <w:rPr>
                <w:rFonts w:ascii="宋体" w:hAnsi="宋体" w:eastAsia="宋体"/>
                <w:sz w:val="20"/>
              </w:rPr>
              <w:t>语言资源包</w:t>
            </w:r>
          </w:p>
        </w:tc>
      </w:tr>
    </w:tbl>
    <w:p/>
    <w:p/>
    <w:p>
      <w:pPr>
        <w:pStyle w:val="Heading3"/>
      </w:pPr>
      <w:r>
        <w:t>10.1.3 技术方案选型</w:t>
      </w:r>
    </w:p>
    <w:p/>
    <w:p>
      <w:pPr>
        <w:ind w:firstLine="482"/>
      </w:pPr>
      <w:r>
        <w:rPr>
          <w:rFonts w:ascii="宋体" w:hAnsi="宋体" w:eastAsia="宋体"/>
          <w:sz w:val="24"/>
        </w:rPr>
        <w:t>本项目采用</w:t>
      </w:r>
      <w:r>
        <w:rPr>
          <w:rFonts w:ascii="宋体" w:hAnsi="宋体" w:eastAsia="宋体"/>
          <w:b/>
          <w:sz w:val="24"/>
        </w:rPr>
        <w:t>轻量级 WebVR 方案</w:t>
      </w:r>
      <w:r>
        <w:rPr>
          <w:rFonts w:ascii="宋体" w:hAnsi="宋体" w:eastAsia="宋体"/>
          <w:sz w:val="24"/>
        </w:rPr>
        <w:t>——基于 Three.js/A-Frame 开发，部署为网页应用。这一方案的优势在于[2]：（1）零安装——用户通过浏览器即可访问，扫码即用；（2）跨平台——同时支持手机、PC 和 VR 头显；（3）开发效率高——A-Frame 的声明式语法使开发周期缩短至数周；（4）成本低——无需应用商店审核和上架费用。</w:t>
      </w:r>
    </w:p>
    <w:p/>
    <w:p>
      <w:pPr>
        <w:pStyle w:val="Heading3"/>
      </w:pPr>
      <w:r>
        <w:t>10.1.4 项目 WBS 分解与里程碑</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阶段</w:t>
            </w:r>
          </w:p>
        </w:tc>
        <w:tc>
          <w:tcPr>
            <w:tcW w:type="dxa" w:w="2078"/>
            <w:shd w:fill="D9E2F3" w:val="clear"/>
          </w:tcPr>
          <w:p>
            <w:pPr>
              <w:jc w:val="center"/>
            </w:pPr>
            <w:r/>
            <w:r>
              <w:rPr>
                <w:rFonts w:ascii="黑体" w:hAnsi="黑体" w:eastAsia="黑体"/>
                <w:b/>
                <w:sz w:val="20"/>
              </w:rPr>
              <w:t>周次</w:t>
            </w:r>
          </w:p>
        </w:tc>
        <w:tc>
          <w:tcPr>
            <w:tcW w:type="dxa" w:w="2078"/>
            <w:shd w:fill="D9E2F3" w:val="clear"/>
          </w:tcPr>
          <w:p>
            <w:pPr>
              <w:jc w:val="center"/>
            </w:pPr>
            <w:r/>
            <w:r>
              <w:rPr>
                <w:rFonts w:ascii="黑体" w:hAnsi="黑体" w:eastAsia="黑体"/>
                <w:b/>
                <w:sz w:val="20"/>
              </w:rPr>
              <w:t>任务</w:t>
            </w:r>
          </w:p>
        </w:tc>
        <w:tc>
          <w:tcPr>
            <w:tcW w:type="dxa" w:w="2078"/>
            <w:shd w:fill="D9E2F3" w:val="clear"/>
          </w:tcPr>
          <w:p>
            <w:pPr>
              <w:jc w:val="center"/>
            </w:pPr>
            <w:r/>
            <w:r>
              <w:rPr>
                <w:rFonts w:ascii="黑体" w:hAnsi="黑体" w:eastAsia="黑体"/>
                <w:b/>
                <w:sz w:val="20"/>
              </w:rPr>
              <w:t>交付物</w:t>
            </w:r>
          </w:p>
        </w:tc>
      </w:tr>
      <w:tr>
        <w:tc>
          <w:tcPr>
            <w:tcW w:type="dxa" w:w="2078"/>
          </w:tcPr>
          <w:p>
            <w:r/>
            <w:r>
              <w:rPr>
                <w:rFonts w:ascii="宋体" w:hAnsi="宋体" w:eastAsia="宋体"/>
                <w:sz w:val="20"/>
              </w:rPr>
              <w:t>采集</w:t>
            </w:r>
          </w:p>
        </w:tc>
        <w:tc>
          <w:tcPr>
            <w:tcW w:type="dxa" w:w="2078"/>
          </w:tcPr>
          <w:p>
            <w:r/>
            <w:r>
              <w:rPr>
                <w:rFonts w:ascii="宋体" w:hAnsi="宋体" w:eastAsia="宋体"/>
                <w:sz w:val="20"/>
              </w:rPr>
              <w:t>1</w:t>
            </w:r>
          </w:p>
        </w:tc>
        <w:tc>
          <w:tcPr>
            <w:tcW w:type="dxa" w:w="2078"/>
          </w:tcPr>
          <w:p>
            <w:r/>
            <w:r>
              <w:rPr>
                <w:rFonts w:ascii="宋体" w:hAnsi="宋体" w:eastAsia="宋体"/>
                <w:sz w:val="20"/>
              </w:rPr>
              <w:t>实地拍摄全景素材</w:t>
            </w:r>
          </w:p>
        </w:tc>
        <w:tc>
          <w:tcPr>
            <w:tcW w:type="dxa" w:w="2078"/>
          </w:tcPr>
          <w:p>
            <w:r/>
            <w:r>
              <w:rPr>
                <w:rFonts w:ascii="宋体" w:hAnsi="宋体" w:eastAsia="宋体"/>
                <w:sz w:val="20"/>
              </w:rPr>
              <w:t>全景照片/视频</w:t>
            </w:r>
          </w:p>
        </w:tc>
      </w:tr>
      <w:tr>
        <w:tc>
          <w:tcPr>
            <w:tcW w:type="dxa" w:w="2078"/>
          </w:tcPr>
          <w:p>
            <w:r/>
            <w:r>
              <w:rPr>
                <w:rFonts w:ascii="宋体" w:hAnsi="宋体" w:eastAsia="宋体"/>
                <w:sz w:val="20"/>
              </w:rPr>
              <w:t>拼接</w:t>
            </w:r>
          </w:p>
        </w:tc>
        <w:tc>
          <w:tcPr>
            <w:tcW w:type="dxa" w:w="2078"/>
          </w:tcPr>
          <w:p>
            <w:r/>
            <w:r>
              <w:rPr>
                <w:rFonts w:ascii="宋体" w:hAnsi="宋体" w:eastAsia="宋体"/>
                <w:sz w:val="20"/>
              </w:rPr>
              <w:t>2</w:t>
            </w:r>
          </w:p>
        </w:tc>
        <w:tc>
          <w:tcPr>
            <w:tcW w:type="dxa" w:w="2078"/>
          </w:tcPr>
          <w:p>
            <w:r/>
            <w:r>
              <w:rPr>
                <w:rFonts w:ascii="宋体" w:hAnsi="宋体" w:eastAsia="宋体"/>
                <w:sz w:val="20"/>
              </w:rPr>
              <w:t>全景拼接与后期处理</w:t>
            </w:r>
          </w:p>
        </w:tc>
        <w:tc>
          <w:tcPr>
            <w:tcW w:type="dxa" w:w="2078"/>
          </w:tcPr>
          <w:p>
            <w:r/>
            <w:r>
              <w:rPr>
                <w:rFonts w:ascii="宋体" w:hAnsi="宋体" w:eastAsia="宋体"/>
                <w:sz w:val="20"/>
              </w:rPr>
              <w:t>等距矩形全景图</w:t>
            </w:r>
          </w:p>
        </w:tc>
      </w:tr>
      <w:tr>
        <w:tc>
          <w:tcPr>
            <w:tcW w:type="dxa" w:w="2078"/>
          </w:tcPr>
          <w:p>
            <w:r/>
            <w:r>
              <w:rPr>
                <w:rFonts w:ascii="宋体" w:hAnsi="宋体" w:eastAsia="宋体"/>
                <w:sz w:val="20"/>
              </w:rPr>
              <w:t>开发</w:t>
            </w:r>
          </w:p>
        </w:tc>
        <w:tc>
          <w:tcPr>
            <w:tcW w:type="dxa" w:w="2078"/>
          </w:tcPr>
          <w:p>
            <w:r/>
            <w:r>
              <w:rPr>
                <w:rFonts w:ascii="宋体" w:hAnsi="宋体" w:eastAsia="宋体"/>
                <w:sz w:val="20"/>
              </w:rPr>
              <w:t>3-4</w:t>
            </w:r>
          </w:p>
        </w:tc>
        <w:tc>
          <w:tcPr>
            <w:tcW w:type="dxa" w:w="2078"/>
          </w:tcPr>
          <w:p>
            <w:r/>
            <w:r>
              <w:rPr>
                <w:rFonts w:ascii="宋体" w:hAnsi="宋体" w:eastAsia="宋体"/>
                <w:sz w:val="20"/>
              </w:rPr>
              <w:t>A-Frame 场景搭建与交互开发</w:t>
            </w:r>
          </w:p>
        </w:tc>
        <w:tc>
          <w:tcPr>
            <w:tcW w:type="dxa" w:w="2078"/>
          </w:tcPr>
          <w:p>
            <w:r/>
            <w:r>
              <w:rPr>
                <w:rFonts w:ascii="宋体" w:hAnsi="宋体" w:eastAsia="宋体"/>
                <w:sz w:val="20"/>
              </w:rPr>
              <w:t>VR 应用原型</w:t>
            </w:r>
          </w:p>
        </w:tc>
      </w:tr>
      <w:tr>
        <w:tc>
          <w:tcPr>
            <w:tcW w:type="dxa" w:w="2078"/>
          </w:tcPr>
          <w:p>
            <w:r/>
            <w:r>
              <w:rPr>
                <w:rFonts w:ascii="宋体" w:hAnsi="宋体" w:eastAsia="宋体"/>
                <w:sz w:val="20"/>
              </w:rPr>
              <w:t>测试</w:t>
            </w:r>
          </w:p>
        </w:tc>
        <w:tc>
          <w:tcPr>
            <w:tcW w:type="dxa" w:w="2078"/>
          </w:tcPr>
          <w:p>
            <w:r/>
            <w:r>
              <w:rPr>
                <w:rFonts w:ascii="宋体" w:hAnsi="宋体" w:eastAsia="宋体"/>
                <w:sz w:val="20"/>
              </w:rPr>
              <w:t>5</w:t>
            </w:r>
          </w:p>
        </w:tc>
        <w:tc>
          <w:tcPr>
            <w:tcW w:type="dxa" w:w="2078"/>
          </w:tcPr>
          <w:p>
            <w:r/>
            <w:r>
              <w:rPr>
                <w:rFonts w:ascii="宋体" w:hAnsi="宋体" w:eastAsia="宋体"/>
                <w:sz w:val="20"/>
              </w:rPr>
              <w:t>多平台测试与优化</w:t>
            </w:r>
          </w:p>
        </w:tc>
        <w:tc>
          <w:tcPr>
            <w:tcW w:type="dxa" w:w="2078"/>
          </w:tcPr>
          <w:p>
            <w:r/>
            <w:r>
              <w:rPr>
                <w:rFonts w:ascii="宋体" w:hAnsi="宋体" w:eastAsia="宋体"/>
                <w:sz w:val="20"/>
              </w:rPr>
              <w:t>测试报告</w:t>
            </w:r>
          </w:p>
        </w:tc>
      </w:tr>
      <w:tr>
        <w:tc>
          <w:tcPr>
            <w:tcW w:type="dxa" w:w="2078"/>
          </w:tcPr>
          <w:p>
            <w:r/>
            <w:r>
              <w:rPr>
                <w:rFonts w:ascii="宋体" w:hAnsi="宋体" w:eastAsia="宋体"/>
                <w:sz w:val="20"/>
              </w:rPr>
              <w:t>发布</w:t>
            </w:r>
          </w:p>
        </w:tc>
        <w:tc>
          <w:tcPr>
            <w:tcW w:type="dxa" w:w="2078"/>
          </w:tcPr>
          <w:p>
            <w:r/>
            <w:r>
              <w:rPr>
                <w:rFonts w:ascii="宋体" w:hAnsi="宋体" w:eastAsia="宋体"/>
                <w:sz w:val="20"/>
              </w:rPr>
              <w:t>6</w:t>
            </w:r>
          </w:p>
        </w:tc>
        <w:tc>
          <w:tcPr>
            <w:tcW w:type="dxa" w:w="2078"/>
          </w:tcPr>
          <w:p>
            <w:r/>
            <w:r>
              <w:rPr>
                <w:rFonts w:ascii="宋体" w:hAnsi="宋体" w:eastAsia="宋体"/>
                <w:sz w:val="20"/>
              </w:rPr>
              <w:t>部署与文档编写</w:t>
            </w:r>
          </w:p>
        </w:tc>
        <w:tc>
          <w:tcPr>
            <w:tcW w:type="dxa" w:w="2078"/>
          </w:tcPr>
          <w:p>
            <w:r/>
            <w:r>
              <w:rPr>
                <w:rFonts w:ascii="宋体" w:hAnsi="宋体" w:eastAsia="宋体"/>
                <w:sz w:val="20"/>
              </w:rPr>
              <w:t>上线应用+项目文档</w:t>
            </w:r>
          </w:p>
        </w:tc>
      </w:tr>
    </w:tbl>
    <w:p/>
    <w:p/>
    <w:p>
      <w:pPr>
        <w:pStyle w:val="Heading2"/>
      </w:pPr>
      <w:r>
        <w:t>10.2 全景素材采集</w:t>
      </w:r>
    </w:p>
    <w:p/>
    <w:p>
      <w:pPr>
        <w:pStyle w:val="Heading3"/>
      </w:pPr>
      <w:r>
        <w:t>10.2.1 360° 相机选型与参数设置</w:t>
      </w:r>
    </w:p>
    <w:p/>
    <w:p>
      <w:pPr>
        <w:ind w:firstLine="482"/>
      </w:pPr>
      <w:r>
        <w:rPr>
          <w:rFonts w:ascii="宋体" w:hAnsi="宋体" w:eastAsia="宋体"/>
          <w:sz w:val="24"/>
        </w:rPr>
        <w:t>本项目推荐使用 Insta360 X4（消费级 8K 全景相机）或 Insta360 Pro 2（专业级 8K 3D 全景相机）。Insta360 X4 单次拍摄可输出 8K（7680×3840）等距矩形全景图，支持 HDR 拍摄和间隔拍摄模式[3]。</w:t>
      </w:r>
    </w:p>
    <w:p/>
    <w:p>
      <w:pPr>
        <w:ind w:firstLine="482"/>
      </w:pPr>
      <w:r>
        <w:rPr>
          <w:rFonts w:ascii="宋体" w:hAnsi="宋体" w:eastAsia="宋体"/>
          <w:sz w:val="24"/>
        </w:rPr>
        <w:t>关键参数设置：分辨率 8K（7680×3840）、HDR 模式开启、ISO 自动（上限 800）、白平衡日光（5500K）或自动、间隔拍摄间隔 3-5 秒（用于时间推移效果）。</w:t>
      </w:r>
    </w:p>
    <w:p/>
    <w:p>
      <w:pPr>
        <w:pStyle w:val="Heading3"/>
      </w:pPr>
      <w:r>
        <w:t>10.2.2 实地拍摄规划</w:t>
      </w:r>
    </w:p>
    <w:p/>
    <w:p>
      <w:pPr>
        <w:ind w:firstLine="482"/>
      </w:pPr>
      <w:r>
        <w:rPr>
          <w:rFonts w:ascii="宋体" w:hAnsi="宋体" w:eastAsia="宋体"/>
          <w:sz w:val="24"/>
        </w:rPr>
        <w:t>拍摄前制定详细的拍摄计划[3]：</w:t>
      </w:r>
    </w:p>
    <w:p/>
    <w:p>
      <w:pPr>
        <w:ind w:firstLine="482"/>
      </w:pPr>
      <w:r>
        <w:rPr>
          <w:rFonts w:ascii="宋体" w:hAnsi="宋体" w:eastAsia="宋体"/>
          <w:b/>
          <w:sz w:val="24"/>
        </w:rPr>
        <w:t>点位选择</w:t>
      </w:r>
      <w:r>
        <w:rPr>
          <w:rFonts w:ascii="宋体" w:hAnsi="宋体" w:eastAsia="宋体"/>
          <w:sz w:val="24"/>
        </w:rPr>
        <w:t>：选取景区的 5-8 个标志性观景点，点位之间应有合理的步行距离（50-200米），形成连贯的游览路线。每个点位应选择最佳观景角度和时段。</w:t>
      </w:r>
    </w:p>
    <w:p/>
    <w:p>
      <w:pPr>
        <w:ind w:firstLine="482"/>
      </w:pPr>
      <w:r>
        <w:rPr>
          <w:rFonts w:ascii="宋体" w:hAnsi="宋体" w:eastAsia="宋体"/>
          <w:b/>
          <w:sz w:val="24"/>
        </w:rPr>
        <w:t>时段选择</w:t>
      </w:r>
      <w:r>
        <w:rPr>
          <w:rFonts w:ascii="宋体" w:hAnsi="宋体" w:eastAsia="宋体"/>
          <w:sz w:val="24"/>
        </w:rPr>
        <w:t>：户外景区选择黄金时段（日出后1小时或日落前1小时）拍摄，光线柔和且有层次感。阴天适合拍摄建筑和文物特写（无浓重阴影）。避免正午强光时段（过曝和浓影）。</w:t>
      </w:r>
    </w:p>
    <w:p/>
    <w:p>
      <w:pPr>
        <w:ind w:firstLine="482"/>
      </w:pPr>
      <w:r>
        <w:rPr>
          <w:rFonts w:ascii="宋体" w:hAnsi="宋体" w:eastAsia="宋体"/>
          <w:b/>
          <w:sz w:val="24"/>
        </w:rPr>
        <w:t>拍摄流程</w:t>
      </w:r>
      <w:r>
        <w:rPr>
          <w:rFonts w:ascii="宋体" w:hAnsi="宋体" w:eastAsia="宋体"/>
          <w:sz w:val="24"/>
        </w:rPr>
        <w:t>：（1）到达点位后清洁相机镜头；（2）使用三脚架将相机架设在 1.5-1.7m 高度（模拟人眼视角）；（3）开启相机并等待 GPS 和陀螺仪稳定；（4）按下拍摄按钮后远离相机（避免出现在画面中）；（5）拍摄完成后检查画面质量和拼接效果。</w:t>
      </w:r>
    </w:p>
    <w:p/>
    <w:p>
      <w:pPr>
        <w:pStyle w:val="Heading3"/>
      </w:pPr>
      <w:r>
        <w:t>10.2.3 全景视频/照片拍摄实操</w:t>
      </w:r>
    </w:p>
    <w:p/>
    <w:p>
      <w:pPr>
        <w:ind w:firstLine="482"/>
      </w:pPr>
      <w:r>
        <w:rPr>
          <w:rFonts w:ascii="宋体" w:hAnsi="宋体" w:eastAsia="宋体"/>
          <w:b/>
          <w:sz w:val="24"/>
        </w:rPr>
        <w:t>照片全景</w:t>
      </w:r>
      <w:r>
        <w:rPr>
          <w:rFonts w:ascii="宋体" w:hAnsi="宋体" w:eastAsia="宋体"/>
          <w:sz w:val="24"/>
        </w:rPr>
        <w:t>适合静态场景（建筑、景观），分辨率高、后期处理灵活。</w:t>
      </w:r>
      <w:r>
        <w:rPr>
          <w:rFonts w:ascii="宋体" w:hAnsi="宋体" w:eastAsia="宋体"/>
          <w:b/>
          <w:sz w:val="24"/>
        </w:rPr>
        <w:t>视频全景</w:t>
      </w:r>
      <w:r>
        <w:rPr>
          <w:rFonts w:ascii="宋体" w:hAnsi="宋体" w:eastAsia="宋体"/>
          <w:sz w:val="24"/>
        </w:rPr>
        <w:t>适合动态场景（节庆活动、自然现象），数据量大但能呈现时间变化。本项目建议以照片全景为主，在节庆或特殊场景补充视频全景[3]。</w:t>
      </w:r>
    </w:p>
    <w:p/>
    <w:p>
      <w:pPr>
        <w:ind w:firstLine="482"/>
      </w:pPr>
      <w:r>
        <w:rPr>
          <w:rFonts w:ascii="宋体" w:hAnsi="宋体" w:eastAsia="宋体"/>
          <w:sz w:val="24"/>
        </w:rPr>
        <w:t>拍摄注意事项：（1）避免镜头直对太阳——强光源会导致镜头眩光和局部过曝；（2）注意移动物体——拍摄瞬间如有行人经过会在全景中留下"鬼影"；（3）多角度补拍——同一点位可拍摄多个高度（低位、中位、高位）供后期选择。</w:t>
      </w:r>
    </w:p>
    <w:p/>
    <w:p>
      <w:pPr>
        <w:pStyle w:val="Heading3"/>
      </w:pPr>
      <w:r>
        <w:t>10.2.4 素材整理与质量控制</w:t>
      </w:r>
    </w:p>
    <w:p/>
    <w:p>
      <w:pPr>
        <w:ind w:firstLine="482"/>
      </w:pPr>
      <w:r>
        <w:rPr>
          <w:rFonts w:ascii="宋体" w:hAnsi="宋体" w:eastAsia="宋体"/>
          <w:sz w:val="24"/>
        </w:rPr>
        <w:t>拍摄完成后，将素材导入计算机进行整理和质量检查[3]：（1）按点位命名文件夹（如 01_入口/02_瀑布观景台/03_溶洞内部）；（2）检查每张全景图的拼接质量——重点关注拼接缝、曝光一致性和色彩准确性；（3）标记不合格的素材并安排补拍；（4）筛选最佳素材进入后期处理流程。</w:t>
      </w:r>
    </w:p>
    <w:p/>
    <w:p>
      <w:pPr>
        <w:pStyle w:val="Heading2"/>
      </w:pPr>
      <w:r>
        <w:t>10.3 全景拼接与后期处理</w:t>
      </w:r>
    </w:p>
    <w:p/>
    <w:p>
      <w:pPr>
        <w:pStyle w:val="Heading3"/>
      </w:pPr>
      <w:r>
        <w:t>10.3.1 全景拼接软件操作</w:t>
      </w:r>
    </w:p>
    <w:p/>
    <w:p>
      <w:pPr>
        <w:ind w:firstLine="482"/>
      </w:pPr>
      <w:r>
        <w:rPr>
          <w:rFonts w:ascii="宋体" w:hAnsi="宋体" w:eastAsia="宋体"/>
          <w:sz w:val="24"/>
        </w:rPr>
        <w:t>Insta360 X4 的全景照片可以直接在相机内完成拼接，输出为等距矩形（Equirectangular）格式的 JPG 文件。对于需要更高质量或使用多相机方案的情况，可以使用专业拼接软件[4]：</w:t>
      </w:r>
    </w:p>
    <w:p/>
    <w:p>
      <w:pPr>
        <w:ind w:firstLine="482"/>
      </w:pPr>
      <w:r>
        <w:rPr>
          <w:rFonts w:ascii="宋体" w:hAnsi="宋体" w:eastAsia="宋体"/>
          <w:b/>
          <w:sz w:val="24"/>
        </w:rPr>
        <w:t>PTGui</w:t>
      </w:r>
      <w:r>
        <w:rPr>
          <w:rFonts w:ascii="宋体" w:hAnsi="宋体" w:eastAsia="宋体"/>
          <w:sz w:val="24"/>
        </w:rPr>
        <w:t xml:space="preserve"> 是专业全景拼接软件，支持手动控制点和优化拼接参数。对于相机内自动拼接效果不理想的情况（如复杂几何场景），PTGui 可以通过添加手动控制点改善拼接质量。</w:t>
      </w:r>
    </w:p>
    <w:p/>
    <w:p>
      <w:pPr>
        <w:ind w:firstLine="482"/>
      </w:pPr>
      <w:r>
        <w:rPr>
          <w:rFonts w:ascii="宋体" w:hAnsi="宋体" w:eastAsia="宋体"/>
          <w:b/>
          <w:sz w:val="24"/>
        </w:rPr>
        <w:t>Insta360 Studio</w:t>
      </w:r>
      <w:r>
        <w:rPr>
          <w:rFonts w:ascii="宋体" w:hAnsi="宋体" w:eastAsia="宋体"/>
          <w:sz w:val="24"/>
        </w:rPr>
        <w:t xml:space="preserve"> 是 Insta360 的官方后期软件，支持全景照片的裁剪、调色、锐化和导出。操作流程简单：导入全景图→调整色彩和曝光→添加水印或标注→导出为标准等距矩形格式。</w:t>
      </w:r>
    </w:p>
    <w:p/>
    <w:p>
      <w:pPr>
        <w:pStyle w:val="Heading3"/>
      </w:pPr>
      <w:r>
        <w:t>10.3.2 拼接缝修复与曝光均衡</w:t>
      </w:r>
    </w:p>
    <w:p/>
    <w:p>
      <w:pPr>
        <w:ind w:firstLine="482"/>
      </w:pPr>
      <w:r>
        <w:rPr>
          <w:rFonts w:ascii="宋体" w:hAnsi="宋体" w:eastAsia="宋体"/>
          <w:sz w:val="24"/>
        </w:rPr>
        <w:t>拼接缝是全景制作中最常见的问题——当相机多个镜头的图像在拼接边界处出现色彩或亮度差异时，产生可见的"接缝线"[4]。</w:t>
      </w:r>
    </w:p>
    <w:p/>
    <w:p>
      <w:pPr>
        <w:ind w:firstLine="482"/>
      </w:pPr>
      <w:r>
        <w:rPr>
          <w:rFonts w:ascii="宋体" w:hAnsi="宋体" w:eastAsia="宋体"/>
          <w:sz w:val="24"/>
        </w:rPr>
        <w:t>修复方法：（1）使用 Insta360 Studio 的"拼接优化"功能自动调整缝合线位置，避开画面中的关键区域（如人脸、文字）；（2）在 Photoshop 中手动修复——将全景图导入 Photoshop，使用克隆图章工具修复拼接缝区域的色彩差异；（3）调整曝光——使用 Lightroom 或 Photoshop 的 Camera Raw 滤镜统一全景图的整体曝光和白平衡。</w:t>
      </w:r>
    </w:p>
    <w:p/>
    <w:p>
      <w:pPr>
        <w:pStyle w:val="Heading3"/>
      </w:pPr>
      <w:r>
        <w:t>10.3.3 全景图片/视频后期调色</w:t>
      </w:r>
    </w:p>
    <w:p/>
    <w:p>
      <w:pPr>
        <w:ind w:firstLine="482"/>
      </w:pPr>
      <w:r>
        <w:rPr>
          <w:rFonts w:ascii="宋体" w:hAnsi="宋体" w:eastAsia="宋体"/>
          <w:sz w:val="24"/>
        </w:rPr>
        <w:t>后期调色使全景图的视觉效果更加统一和美观[4]：（1）全局调色——调整整体亮度、对比度、饱和度和色温，使不同点位的全景图风格一致；（2）局部调色——对画面中的关键区域（如天空、建筑、水面）进行局部调整，增强视觉层次；（3）HDR 合成——对于明暗差异大的场景（如洞内外过渡），使用 HDR 合成技术将多张不同曝光的照片合成为一张高动态范围全景图。</w:t>
      </w:r>
    </w:p>
    <w:p/>
    <w:p>
      <w:pPr>
        <w:pStyle w:val="Heading3"/>
      </w:pPr>
      <w:r>
        <w:t>10.3.4 空间音频添加</w:t>
      </w:r>
    </w:p>
    <w:p/>
    <w:p>
      <w:pPr>
        <w:ind w:firstLine="482"/>
      </w:pPr>
      <w:r>
        <w:rPr>
          <w:rFonts w:ascii="宋体" w:hAnsi="宋体" w:eastAsia="宋体"/>
          <w:sz w:val="24"/>
        </w:rPr>
        <w:t xml:space="preserve">为全景场景添加 Ambisonics 空间音频可以显著提升沉浸感[5]。采集方法：使用 Ambisonics 话筒（如 Sennheiser Ambeo VR Mic）在拍摄全景照片的同时录制环境声。后期将 Ambisonics B-format 音频与全景图关联，在 A-Frame 中使用 </w:t>
      </w:r>
      <w:r>
        <w:rPr>
          <w:rFonts w:ascii="Consolas" w:hAnsi="Consolas"/>
          <w:color w:val="C83232"/>
          <w:sz w:val="20"/>
        </w:rPr>
        <w:t>&lt;a-sound&gt;</w:t>
      </w:r>
      <w:r>
        <w:rPr>
          <w:rFonts w:ascii="宋体" w:hAnsi="宋体" w:eastAsia="宋体"/>
          <w:sz w:val="24"/>
        </w:rPr>
        <w:t xml:space="preserve"> 组件播放空间音频。</w:t>
      </w:r>
    </w:p>
    <w:p/>
    <w:p>
      <w:pPr>
        <w:ind w:firstLine="482"/>
      </w:pPr>
      <w:r>
        <w:rPr>
          <w:rFonts w:ascii="宋体" w:hAnsi="宋体" w:eastAsia="宋体"/>
          <w:sz w:val="24"/>
        </w:rPr>
        <w:t>如果无法实地采集 Ambisonics 音频，可以使用音效库中的环境声素材（如 Freesound.org）进行替代——选择与场景匹配的环境声（瀑布声、鸟鸣、风声），在 A-Frame 中设置为空间音频源。</w:t>
      </w:r>
    </w:p>
    <w:p/>
    <w:p>
      <w:pPr>
        <w:pStyle w:val="Heading2"/>
      </w:pPr>
      <w:r>
        <w:t>10.4 Unity VR 全景交互开发</w:t>
      </w:r>
    </w:p>
    <w:p/>
    <w:p>
      <w:pPr>
        <w:pStyle w:val="Heading3"/>
      </w:pPr>
      <w:r>
        <w:t>10.4.1 A-Frame 全景场景搭建</w:t>
      </w:r>
    </w:p>
    <w:p/>
    <w:p>
      <w:pPr>
        <w:ind w:firstLine="482"/>
      </w:pPr>
      <w:r>
        <w:rPr>
          <w:rFonts w:ascii="宋体" w:hAnsi="宋体" w:eastAsia="宋体"/>
          <w:sz w:val="24"/>
        </w:rPr>
        <w:t>A-Frame 是最简洁的 WebVR 开发方案，使用 HTML 标签声明式创建 VR 场景[2]：</w:t>
      </w:r>
    </w:p>
    <w:p/>
    <w:p>
      <w:pPr>
        <w:spacing w:after="0" w:line="240" w:lineRule="auto"/>
        <w:shd w:fill="F5F5F5" w:val="clear"/>
      </w:pPr>
      <w:r>
        <w:rPr>
          <w:rFonts w:ascii="Consolas" w:hAnsi="Consolas"/>
          <w:color w:val="323232"/>
          <w:sz w:val="18"/>
        </w:rPr>
        <w:t>&lt;a-scene&gt;</w:t>
      </w:r>
    </w:p>
    <w:p>
      <w:pPr>
        <w:spacing w:after="0" w:line="240" w:lineRule="auto"/>
        <w:shd w:fill="F5F5F5" w:val="clear"/>
      </w:pPr>
      <w:r>
        <w:rPr>
          <w:rFonts w:ascii="Consolas" w:hAnsi="Consolas"/>
          <w:color w:val="323232"/>
          <w:sz w:val="18"/>
        </w:rPr>
        <w:t xml:space="preserve">  &lt;a-sky src="panorama_01.jpg" rotation="0 0 0"&gt;&lt;/a-sky&gt;</w:t>
      </w:r>
    </w:p>
    <w:p>
      <w:pPr>
        <w:spacing w:after="0" w:line="240" w:lineRule="auto"/>
        <w:shd w:fill="F5F5F5" w:val="clear"/>
      </w:pPr>
      <w:r>
        <w:rPr>
          <w:rFonts w:ascii="Consolas" w:hAnsi="Consolas"/>
          <w:color w:val="323232"/>
          <w:sz w:val="18"/>
        </w:rPr>
        <w:t xml:space="preserve">  &lt;a-entity camera look-controls wasd-controls position="0 1.6 0"&gt;&lt;/a-entity&gt;</w:t>
      </w:r>
    </w:p>
    <w:p>
      <w:pPr>
        <w:spacing w:after="0" w:line="240" w:lineRule="auto"/>
        <w:shd w:fill="F5F5F5" w:val="clear"/>
      </w:pPr>
      <w:r>
        <w:rPr>
          <w:rFonts w:ascii="Consolas" w:hAnsi="Consolas"/>
          <w:color w:val="323232"/>
          <w:sz w:val="18"/>
        </w:rPr>
        <w:t>&lt;/a-scene&gt;</w:t>
      </w:r>
    </w:p>
    <w:p/>
    <w:p>
      <w:pPr>
        <w:ind w:firstLine="482"/>
      </w:pPr>
      <w:r>
        <w:rPr>
          <w:rFonts w:ascii="Consolas" w:hAnsi="Consolas"/>
          <w:color w:val="C83232"/>
          <w:sz w:val="20"/>
        </w:rPr>
        <w:t>&lt;a-sky&gt;</w:t>
      </w:r>
      <w:r>
        <w:rPr>
          <w:rFonts w:ascii="宋体" w:hAnsi="宋体" w:eastAsia="宋体"/>
          <w:sz w:val="24"/>
        </w:rPr>
        <w:t xml:space="preserve"> 标签将等距矩形全景图作为天空盒渲染，</w:t>
      </w:r>
      <w:r>
        <w:rPr>
          <w:rFonts w:ascii="Consolas" w:hAnsi="Consolas"/>
          <w:color w:val="C83232"/>
          <w:sz w:val="20"/>
        </w:rPr>
        <w:t>&lt;a-entity camera&gt;</w:t>
      </w:r>
      <w:r>
        <w:rPr>
          <w:rFonts w:ascii="宋体" w:hAnsi="宋体" w:eastAsia="宋体"/>
          <w:sz w:val="24"/>
        </w:rPr>
        <w:t xml:space="preserve"> 添加可旋转的相机。仅这两行代码就实现了基本的 360° 全景浏览功能。</w:t>
      </w:r>
    </w:p>
    <w:p/>
    <w:p>
      <w:pPr>
        <w:pStyle w:val="Heading3"/>
      </w:pPr>
      <w:r>
        <w:t>10.4.2 热点交互系统设计</w:t>
      </w:r>
    </w:p>
    <w:p/>
    <w:p>
      <w:pPr>
        <w:ind w:firstLine="482"/>
      </w:pPr>
      <w:r>
        <w:rPr>
          <w:rFonts w:ascii="宋体" w:hAnsi="宋体" w:eastAsia="宋体"/>
          <w:sz w:val="24"/>
        </w:rPr>
        <w:t>在全景场景中添加交互热点[2]：</w:t>
      </w:r>
    </w:p>
    <w:p/>
    <w:p>
      <w:pPr>
        <w:spacing w:after="0" w:line="240" w:lineRule="auto"/>
        <w:shd w:fill="F5F5F5" w:val="clear"/>
      </w:pPr>
      <w:r>
        <w:rPr>
          <w:rFonts w:ascii="Consolas" w:hAnsi="Consolas"/>
          <w:color w:val="323232"/>
          <w:sz w:val="18"/>
        </w:rPr>
        <w:t>&lt;a-entity position="3 2 -5" cursor-listener&gt;</w:t>
      </w:r>
    </w:p>
    <w:p>
      <w:pPr>
        <w:spacing w:after="0" w:line="240" w:lineRule="auto"/>
        <w:shd w:fill="F5F5F5" w:val="clear"/>
      </w:pPr>
      <w:r>
        <w:rPr>
          <w:rFonts w:ascii="Consolas" w:hAnsi="Consolas"/>
          <w:color w:val="323232"/>
          <w:sz w:val="18"/>
        </w:rPr>
        <w:t xml:space="preserve">  &lt;a-sphere radius="0.2" color="#FF0000"&gt;&lt;/a-sphere&gt;</w:t>
      </w:r>
    </w:p>
    <w:p>
      <w:pPr>
        <w:spacing w:after="0" w:line="240" w:lineRule="auto"/>
        <w:shd w:fill="F5F5F5" w:val="clear"/>
      </w:pPr>
      <w:r>
        <w:rPr>
          <w:rFonts w:ascii="Consolas" w:hAnsi="Consolas"/>
          <w:color w:val="323232"/>
          <w:sz w:val="18"/>
        </w:rPr>
        <w:t xml:space="preserve">  &lt;a-text value="瀑布观景台" position="0 0.4 0" align="center"&gt;&lt;/a-text&gt;</w:t>
      </w:r>
    </w:p>
    <w:p>
      <w:pPr>
        <w:spacing w:after="0" w:line="240" w:lineRule="auto"/>
        <w:shd w:fill="F5F5F5" w:val="clear"/>
      </w:pPr>
      <w:r>
        <w:rPr>
          <w:rFonts w:ascii="Consolas" w:hAnsi="Consolas"/>
          <w:color w:val="323232"/>
          <w:sz w:val="18"/>
        </w:rPr>
        <w:t>&lt;/a-entity&gt;</w:t>
      </w:r>
    </w:p>
    <w:p/>
    <w:p>
      <w:pPr>
        <w:ind w:firstLine="482"/>
      </w:pPr>
      <w:r>
        <w:rPr>
          <w:rFonts w:ascii="宋体" w:hAnsi="宋体" w:eastAsia="宋体"/>
          <w:sz w:val="24"/>
        </w:rPr>
        <w:t>热点实体包含一个可视化的球体和文字标签。通过 JavaScript 监听点击事件，实现场景跳转：</w:t>
      </w:r>
    </w:p>
    <w:p/>
    <w:p>
      <w:pPr>
        <w:spacing w:after="0" w:line="240" w:lineRule="auto"/>
        <w:shd w:fill="F5F5F5" w:val="clear"/>
      </w:pPr>
      <w:r>
        <w:rPr>
          <w:rFonts w:ascii="Consolas" w:hAnsi="Consolas"/>
          <w:color w:val="323232"/>
          <w:sz w:val="18"/>
        </w:rPr>
        <w:t>document.querySelector('[cursor-listener]').addEventListener('click', function() {</w:t>
      </w:r>
    </w:p>
    <w:p>
      <w:pPr>
        <w:spacing w:after="0" w:line="240" w:lineRule="auto"/>
        <w:shd w:fill="F5F5F5" w:val="clear"/>
      </w:pPr>
      <w:r>
        <w:rPr>
          <w:rFonts w:ascii="Consolas" w:hAnsi="Consolas"/>
          <w:color w:val="323232"/>
          <w:sz w:val="18"/>
        </w:rPr>
        <w:t xml:space="preserve">  document.querySelector('a-sky').setAttribute('src', 'panorama_02.jpg');</w:t>
      </w:r>
    </w:p>
    <w:p>
      <w:pPr>
        <w:spacing w:after="0" w:line="240" w:lineRule="auto"/>
        <w:shd w:fill="F5F5F5" w:val="clear"/>
      </w:pPr>
      <w:r>
        <w:rPr>
          <w:rFonts w:ascii="Consolas" w:hAnsi="Consolas"/>
          <w:color w:val="323232"/>
          <w:sz w:val="18"/>
        </w:rPr>
        <w:t>});</w:t>
      </w:r>
    </w:p>
    <w:p/>
    <w:p>
      <w:pPr>
        <w:pStyle w:val="Heading3"/>
      </w:pPr>
      <w:r>
        <w:t>10.4.3 VR 头显适配与手柄交互</w:t>
      </w:r>
    </w:p>
    <w:p/>
    <w:p>
      <w:pPr>
        <w:ind w:firstLine="482"/>
      </w:pPr>
      <w:r>
        <w:rPr>
          <w:rFonts w:ascii="宋体" w:hAnsi="宋体" w:eastAsia="宋体"/>
          <w:sz w:val="24"/>
        </w:rPr>
        <w:t xml:space="preserve">A-Frame 内置 WebXR 支持，添加 </w:t>
      </w:r>
      <w:r>
        <w:rPr>
          <w:rFonts w:ascii="Consolas" w:hAnsi="Consolas"/>
          <w:color w:val="C83232"/>
          <w:sz w:val="20"/>
        </w:rPr>
        <w:t>&lt;a-scene vr-mode-ui="enabled: true"&gt;</w:t>
      </w:r>
      <w:r>
        <w:rPr>
          <w:rFonts w:ascii="宋体" w:hAnsi="宋体" w:eastAsia="宋体"/>
          <w:sz w:val="24"/>
        </w:rPr>
        <w:t xml:space="preserve"> 即可在支持 WebXR 的浏览器中启用 VR 模式。用户点击"Enter VR"按钮后，画面切换到 VR 头显显示[2]。</w:t>
      </w:r>
    </w:p>
    <w:p/>
    <w:p>
      <w:pPr>
        <w:ind w:firstLine="482"/>
      </w:pPr>
      <w:r>
        <w:rPr>
          <w:rFonts w:ascii="宋体" w:hAnsi="宋体" w:eastAsia="宋体"/>
          <w:sz w:val="24"/>
        </w:rPr>
        <w:t xml:space="preserve">VR 手柄交互通过 A-Frame 的 </w:t>
      </w:r>
      <w:r>
        <w:rPr>
          <w:rFonts w:ascii="Consolas" w:hAnsi="Consolas"/>
          <w:color w:val="C83232"/>
          <w:sz w:val="20"/>
        </w:rPr>
        <w:t>laser-controls</w:t>
      </w:r>
      <w:r>
        <w:rPr>
          <w:rFonts w:ascii="宋体" w:hAnsi="宋体" w:eastAsia="宋体"/>
          <w:sz w:val="24"/>
        </w:rPr>
        <w:t xml:space="preserve"> 组件实现——用户的手柄在 VR 中显示为射线，指向热点后按扳机键触发交互。</w:t>
      </w:r>
    </w:p>
    <w:p/>
    <w:p>
      <w:pPr>
        <w:pStyle w:val="Heading3"/>
      </w:pPr>
      <w:r>
        <w:t>10.4.4 导航地图与路径引导</w:t>
      </w:r>
    </w:p>
    <w:p/>
    <w:p>
      <w:pPr>
        <w:ind w:firstLine="482"/>
      </w:pPr>
      <w:r>
        <w:rPr>
          <w:rFonts w:ascii="宋体" w:hAnsi="宋体" w:eastAsia="宋体"/>
          <w:sz w:val="24"/>
        </w:rPr>
        <w:t xml:space="preserve">在 A-Frame 场景的角落添加导航地图[2]：使用 </w:t>
      </w:r>
      <w:r>
        <w:rPr>
          <w:rFonts w:ascii="Consolas" w:hAnsi="Consolas"/>
          <w:color w:val="C83232"/>
          <w:sz w:val="20"/>
        </w:rPr>
        <w:t>&lt;a-image&gt;</w:t>
      </w:r>
      <w:r>
        <w:rPr>
          <w:rFonts w:ascii="宋体" w:hAnsi="宋体" w:eastAsia="宋体"/>
          <w:sz w:val="24"/>
        </w:rPr>
        <w:t xml:space="preserve"> 组件在固定位置显示景区平面图，用 </w:t>
      </w:r>
      <w:r>
        <w:rPr>
          <w:rFonts w:ascii="Consolas" w:hAnsi="Consolas"/>
          <w:color w:val="C83232"/>
          <w:sz w:val="20"/>
        </w:rPr>
        <w:t>&lt;a-circle&gt;</w:t>
      </w:r>
      <w:r>
        <w:rPr>
          <w:rFonts w:ascii="宋体" w:hAnsi="宋体" w:eastAsia="宋体"/>
          <w:sz w:val="24"/>
        </w:rPr>
        <w:t xml:space="preserve"> 标记用户当前位置和可跳转的热点位置。地图固定在相机视野的左下角，随用户头部转动而保持相对位置不变。</w:t>
      </w:r>
    </w:p>
    <w:p/>
    <w:p>
      <w:pPr>
        <w:pStyle w:val="Heading2"/>
      </w:pPr>
      <w:r>
        <w:t>10.5 项目发布与部署</w:t>
      </w:r>
    </w:p>
    <w:p/>
    <w:p>
      <w:pPr>
        <w:pStyle w:val="Heading3"/>
      </w:pPr>
      <w:r>
        <w:t>10.5.1 WebVR 发布</w:t>
      </w:r>
    </w:p>
    <w:p/>
    <w:p>
      <w:pPr>
        <w:ind w:firstLine="482"/>
      </w:pPr>
      <w:r>
        <w:rPr>
          <w:rFonts w:ascii="宋体" w:hAnsi="宋体" w:eastAsia="宋体"/>
          <w:sz w:val="24"/>
        </w:rPr>
        <w:t>WebVR 应用的部署非常简单——将 HTML 文件和全景图片上传到 Web 服务器（如 GitHub Pages、阿里云 OSS、腾讯云 COS），生成公开访问的 URL[2]。用户通过手机扫描 QR 码即可打开 VR 全景应用。</w:t>
      </w:r>
    </w:p>
    <w:p/>
    <w:p>
      <w:pPr>
        <w:pStyle w:val="Heading3"/>
      </w:pPr>
      <w:r>
        <w:t>10.5.2 移动端 VR 应用打包</w:t>
      </w:r>
    </w:p>
    <w:p/>
    <w:p>
      <w:pPr>
        <w:ind w:firstLine="482"/>
      </w:pPr>
      <w:r>
        <w:rPr>
          <w:rFonts w:ascii="宋体" w:hAnsi="宋体" w:eastAsia="宋体"/>
          <w:sz w:val="24"/>
        </w:rPr>
        <w:t>如果需要将应用打包为移动端原生应用（APK），可以使用 Capacitor 或 Cordova 等 Web 应用打包工具，将 A-Frame 网页应用包装为 Android 应用。这种方案的优点是可以离线运行（将全景素材打包到应用中），缺点是需要通过应用商店或侧载安装[2]。</w:t>
      </w:r>
    </w:p>
    <w:p/>
    <w:p>
      <w:pPr>
        <w:pStyle w:val="Heading3"/>
      </w:pPr>
      <w:r>
        <w:t>10.5.3 VR 头显端部署</w:t>
      </w:r>
    </w:p>
    <w:p/>
    <w:p>
      <w:pPr>
        <w:ind w:firstLine="482"/>
      </w:pPr>
      <w:r>
        <w:rPr>
          <w:rFonts w:ascii="宋体" w:hAnsi="宋体" w:eastAsia="宋体"/>
          <w:sz w:val="24"/>
        </w:rPr>
        <w:t>对于 Meta Quest 头显，WebVR 应用可以通过 Quest 浏览器直接访问。如果需要更好的性能和离线能力，可以使用 Unity 重新开发原生 Quest 应用（使用 Unity 的全景天空盒和 XRIT 交互组件），编译为 APK 后通过 adb 或 Meta Quest Developer Hub 安装到设备[6]。</w:t>
      </w:r>
    </w:p>
    <w:p/>
    <w:p>
      <w:pPr>
        <w:pStyle w:val="Heading3"/>
      </w:pPr>
      <w:r>
        <w:t>10.5.4 项目文档与交付物清单</w:t>
      </w:r>
    </w:p>
    <w:p/>
    <w:p>
      <w:pPr>
        <w:ind w:firstLine="482"/>
      </w:pPr>
      <w:r>
        <w:rPr>
          <w:rFonts w:ascii="宋体" w:hAnsi="宋体" w:eastAsia="宋体"/>
          <w:sz w:val="24"/>
        </w:rPr>
        <w:t>项目交付物应包含：（1）VR 全景应用（WebVR URL + APK）；（2）全景素材库（原始照片+处理后的全景图）；（3）项目需求文档；（4）技术设计文档（含架构图和交互流程图）；（5）用户手册（含使用指南和常见问题解答）；（6）项目报告（含开发过程、技术决策和经验总结）[6]。</w:t>
      </w:r>
    </w:p>
    <w:p/>
    <w:p>
      <w:pPr>
        <w:pStyle w:val="Heading3"/>
      </w:pPr>
      <w:r>
        <w:t>10.5.5 性能优化与加载策略</w:t>
      </w:r>
    </w:p>
    <w:p/>
    <w:p>
      <w:pPr>
        <w:ind w:firstLine="482"/>
      </w:pPr>
      <w:r>
        <w:rPr>
          <w:rFonts w:ascii="宋体" w:hAnsi="宋体" w:eastAsia="宋体"/>
          <w:sz w:val="24"/>
        </w:rPr>
        <w:t>VR 全景应用的性能直接影响用户体验，尤其在移动端和 VR 头显平台上，性能优化尤为关键[7]。</w:t>
      </w:r>
    </w:p>
    <w:p/>
    <w:p>
      <w:pPr>
        <w:ind w:firstLine="482"/>
      </w:pPr>
      <w:r>
        <w:rPr>
          <w:rFonts w:ascii="宋体" w:hAnsi="宋体" w:eastAsia="宋体"/>
          <w:b/>
          <w:sz w:val="24"/>
        </w:rPr>
        <w:t>图片压缩与分级加载</w:t>
      </w:r>
      <w:r>
        <w:rPr>
          <w:rFonts w:ascii="宋体" w:hAnsi="宋体" w:eastAsia="宋体"/>
          <w:sz w:val="24"/>
        </w:rPr>
        <w:t>：8K 全景图的原始文件大小通常在 15-30MB，直接加载会导致移动端白屏等待过长。采用分级加载策略——首屏加载 2K 低分辨率全景图（约 1MB）作为预览，后台异步加载 8K 高分辨率版本，加载完成后无缝替换。使用 WebP 格式替代 JPG 可减小文件体积 30%-50%，同时保持视觉质量。</w:t>
      </w:r>
    </w:p>
    <w:p/>
    <w:p>
      <w:pPr>
        <w:ind w:firstLine="482"/>
      </w:pPr>
      <w:r>
        <w:rPr>
          <w:rFonts w:ascii="宋体" w:hAnsi="宋体" w:eastAsia="宋体"/>
          <w:b/>
          <w:sz w:val="24"/>
        </w:rPr>
        <w:t>纹理优化</w:t>
      </w:r>
      <w:r>
        <w:rPr>
          <w:rFonts w:ascii="宋体" w:hAnsi="宋体" w:eastAsia="宋体"/>
          <w:sz w:val="24"/>
        </w:rPr>
        <w:t xml:space="preserve">：在 Three.js/A-Frame 中，全景图作为球面纹理加载。设置 </w:t>
      </w:r>
      <w:r>
        <w:rPr>
          <w:rFonts w:ascii="Consolas" w:hAnsi="Consolas"/>
          <w:color w:val="C83232"/>
          <w:sz w:val="20"/>
        </w:rPr>
        <w:t>texture</w:t>
      </w:r>
      <w:r>
        <w:rPr>
          <w:rFonts w:ascii="宋体" w:hAnsi="宋体" w:eastAsia="宋体"/>
          <w:sz w:val="24"/>
        </w:rPr>
        <w:t xml:space="preserve"> 的 </w:t>
      </w:r>
      <w:r>
        <w:rPr>
          <w:rFonts w:ascii="Consolas" w:hAnsi="Consolas"/>
          <w:color w:val="C83232"/>
          <w:sz w:val="20"/>
        </w:rPr>
        <w:t>anisotropy</w:t>
      </w:r>
      <w:r>
        <w:rPr>
          <w:rFonts w:ascii="宋体" w:hAnsi="宋体" w:eastAsia="宋体"/>
          <w:sz w:val="24"/>
        </w:rPr>
        <w:t xml:space="preserve"> 属性为 4-8 可以改善地面区域的纹理清晰度。对于移动端，将纹理最大尺寸限制为 4096×2048 以避免 GPU 内存溢出。使用 </w:t>
      </w:r>
      <w:r>
        <w:rPr>
          <w:rFonts w:ascii="Consolas" w:hAnsi="Consolas"/>
          <w:color w:val="C83232"/>
          <w:sz w:val="20"/>
        </w:rPr>
        <w:t>minFilter: THREE.LinearFilter</w:t>
      </w:r>
      <w:r>
        <w:rPr>
          <w:rFonts w:ascii="宋体" w:hAnsi="宋体" w:eastAsia="宋体"/>
          <w:sz w:val="24"/>
        </w:rPr>
        <w:t xml:space="preserve"> 替代默认的 Mipmap 过滤可以在保持画质的同时减少内存占用。</w:t>
      </w:r>
    </w:p>
    <w:p/>
    <w:p>
      <w:pPr>
        <w:ind w:firstLine="482"/>
      </w:pPr>
      <w:r>
        <w:rPr>
          <w:rFonts w:ascii="宋体" w:hAnsi="宋体" w:eastAsia="宋体"/>
          <w:b/>
          <w:sz w:val="24"/>
        </w:rPr>
        <w:t>渲染优化</w:t>
      </w:r>
      <w:r>
        <w:rPr>
          <w:rFonts w:ascii="宋体" w:hAnsi="宋体" w:eastAsia="宋体"/>
          <w:sz w:val="24"/>
        </w:rPr>
        <w:t xml:space="preserve">：VR 模式下需要同时渲染左右眼画面，帧率要求 ≥60fps 才能避免眩晕。优化措施包括：（1）禁用不必要的后处理效果（如 bloom、DOF）；（2）使用 </w:t>
      </w:r>
      <w:r>
        <w:rPr>
          <w:rFonts w:ascii="Consolas" w:hAnsi="Consolas"/>
          <w:color w:val="C83232"/>
          <w:sz w:val="20"/>
        </w:rPr>
        <w:t>renderer.setPixelRatio(Math.min(window.devicePixelRatio, 2))</w:t>
      </w:r>
      <w:r>
        <w:rPr>
          <w:rFonts w:ascii="宋体" w:hAnsi="宋体" w:eastAsia="宋体"/>
          <w:sz w:val="24"/>
        </w:rPr>
        <w:t xml:space="preserve"> 限制像素比；（3）对于静态全景场景，可以预渲染到 Render Target，每帧只需更新相机视角而非重新渲染整个场景。</w:t>
      </w:r>
    </w:p>
    <w:p/>
    <w:p>
      <w:pPr>
        <w:ind w:firstLine="482"/>
      </w:pPr>
      <w:r>
        <w:rPr>
          <w:rFonts w:ascii="宋体" w:hAnsi="宋体" w:eastAsia="宋体"/>
          <w:b/>
          <w:sz w:val="24"/>
        </w:rPr>
        <w:t>CDN 部署与缓存策略</w:t>
      </w:r>
      <w:r>
        <w:rPr>
          <w:rFonts w:ascii="宋体" w:hAnsi="宋体" w:eastAsia="宋体"/>
          <w:sz w:val="24"/>
        </w:rPr>
        <w:t>：将全景素材部署到 CDN 节点，配置长期缓存头（Cache-Control: max-age=31536000），使用文件哈希命名（如 panorama_01_a3b2c1.webp）实现缓存失效管理。对于国内用户，推荐使用阿里云 OSS + CDN 或腾讯云 COS + CDN，可实现 100ms 以内的首字节响应时间[7]。</w:t>
      </w:r>
    </w:p>
    <w:p/>
    <w:p>
      <w:pPr>
        <w:pStyle w:val="Heading3"/>
      </w:pPr>
      <w:r>
        <w:t>10.5.6 无障碍设计与国际化</w:t>
      </w:r>
    </w:p>
    <w:p/>
    <w:p>
      <w:pPr>
        <w:ind w:firstLine="482"/>
      </w:pPr>
      <w:r>
        <w:rPr>
          <w:rFonts w:ascii="宋体" w:hAnsi="宋体" w:eastAsia="宋体"/>
          <w:sz w:val="24"/>
        </w:rPr>
        <w:t>VR 全景应用应考虑不同用户群体的需求[8]：</w:t>
      </w:r>
    </w:p>
    <w:p/>
    <w:p>
      <w:pPr>
        <w:ind w:firstLine="482"/>
      </w:pPr>
      <w:r>
        <w:rPr>
          <w:rFonts w:ascii="宋体" w:hAnsi="宋体" w:eastAsia="宋体"/>
          <w:b/>
          <w:sz w:val="24"/>
        </w:rPr>
        <w:t>视觉辅助</w:t>
      </w:r>
      <w:r>
        <w:rPr>
          <w:rFonts w:ascii="宋体" w:hAnsi="宋体" w:eastAsia="宋体"/>
          <w:sz w:val="24"/>
        </w:rPr>
        <w:t>：为视力障碍用户提供语音导览模式——当用户注视某个热点时，自动播放该位置的语音描述。使用 Web Speech API 的 SpeechSynthesis 接口实现浏览器内置 TTS，无需额外依赖。</w:t>
      </w:r>
    </w:p>
    <w:p/>
    <w:p>
      <w:pPr>
        <w:ind w:firstLine="482"/>
      </w:pPr>
      <w:r>
        <w:rPr>
          <w:rFonts w:ascii="宋体" w:hAnsi="宋体" w:eastAsia="宋体"/>
          <w:b/>
          <w:sz w:val="24"/>
        </w:rPr>
        <w:t>运动辅助</w:t>
      </w:r>
      <w:r>
        <w:rPr>
          <w:rFonts w:ascii="宋体" w:hAnsi="宋体" w:eastAsia="宋体"/>
          <w:sz w:val="24"/>
        </w:rPr>
        <w:t>：部分用户可能无法长时间站立或转动头部。提供"坐姿模式"——降低相机高度至 1.2m，提供按钮式场景跳转（替代头部转向触发），减少颈部运动幅度。同时设置"自动巡游"模式，按预设路径自动播放全景漫游，用户无需任何操作即可观看。</w:t>
      </w:r>
    </w:p>
    <w:p/>
    <w:p>
      <w:pPr>
        <w:ind w:firstLine="482"/>
      </w:pPr>
      <w:r>
        <w:rPr>
          <w:rFonts w:ascii="宋体" w:hAnsi="宋体" w:eastAsia="宋体"/>
          <w:b/>
          <w:sz w:val="24"/>
        </w:rPr>
        <w:t>多语言支持</w:t>
      </w:r>
      <w:r>
        <w:rPr>
          <w:rFonts w:ascii="宋体" w:hAnsi="宋体" w:eastAsia="宋体"/>
          <w:sz w:val="24"/>
        </w:rPr>
        <w:t>：使用 JSON 语言资源文件管理界面文案和语音脚本。通过自定义 A-Frame 组件实现语言切换，将所有界面文本和语音讲解内容存储在独立的语言包中，用户可在设置面板中选择中文、英文或其他语言。语音讲解需为每种语言分别录制或使用 TTS 引擎生成，确保发音自然流畅。</w:t>
      </w:r>
    </w:p>
    <w:p/>
    <w:p>
      <w:pPr>
        <w:ind w:firstLine="482"/>
      </w:pPr>
      <w:r>
        <w:rPr>
          <w:rFonts w:ascii="宋体" w:hAnsi="宋体" w:eastAsia="宋体"/>
          <w:b/>
          <w:sz w:val="24"/>
        </w:rPr>
        <w:t>色彩无障碍</w:t>
      </w:r>
      <w:r>
        <w:rPr>
          <w:rFonts w:ascii="宋体" w:hAnsi="宋体" w:eastAsia="宋体"/>
          <w:sz w:val="24"/>
        </w:rPr>
        <w:t>：热点颜色应考虑色盲用户需求，避免仅依赖红绿色区分不同类型的热点。建议使用形状+颜色的双重编码（如圆形蓝色=跳转热点，方形黄色=信息热点，三角形绿色=音频热点），并确保热点与背景的对比度 ≥ 4.5:1（符合 WCAG 2.1 AA 标准）[8]。</w:t>
      </w:r>
    </w:p>
    <w:p/>
    <w:p>
      <w:pPr>
        <w:pStyle w:val="Heading3"/>
      </w:pPr>
      <w:r>
        <w:t>10.5.7 用户测试与质量评估</w:t>
      </w:r>
    </w:p>
    <w:p/>
    <w:p>
      <w:pPr>
        <w:ind w:firstLine="482"/>
      </w:pPr>
      <w:r>
        <w:rPr>
          <w:rFonts w:ascii="宋体" w:hAnsi="宋体" w:eastAsia="宋体"/>
          <w:sz w:val="24"/>
        </w:rPr>
        <w:t>项目完成后应进行系统化的用户测试[8]：</w:t>
      </w:r>
    </w:p>
    <w:p/>
    <w:p>
      <w:pPr>
        <w:ind w:firstLine="482"/>
      </w:pPr>
      <w:r>
        <w:rPr>
          <w:rFonts w:ascii="宋体" w:hAnsi="宋体" w:eastAsia="宋体"/>
          <w:b/>
          <w:sz w:val="24"/>
        </w:rPr>
        <w:t>测试方案设计</w:t>
      </w:r>
      <w:r>
        <w:rPr>
          <w:rFonts w:ascii="宋体" w:hAnsi="宋体" w:eastAsia="宋体"/>
          <w:sz w:val="24"/>
        </w:rPr>
        <w:t>：招募 15-30 名目标用户（涵盖不同年龄、技术熟练度和 VR 经验水平），设计任务式测试场景——（1）找到指定景点并查看介绍信息；（2）使用导航地图跳转到 3 个不同点位；（3）进入 VR 模式完成完整漫游。记录任务完成时间、错误次数、主观满意度评分（1-7 量表）和 Simulator Sickness Questionnaire（SSQ）量表得分。</w:t>
      </w:r>
    </w:p>
    <w:p/>
    <w:p>
      <w:pPr>
        <w:ind w:firstLine="482"/>
      </w:pPr>
      <w:r>
        <w:rPr>
          <w:rFonts w:ascii="宋体" w:hAnsi="宋体" w:eastAsia="宋体"/>
          <w:b/>
          <w:sz w:val="24"/>
        </w:rPr>
        <w:t>数据分析与优化建议</w:t>
      </w:r>
      <w:r>
        <w:rPr>
          <w:rFonts w:ascii="宋体" w:hAnsi="宋体" w:eastAsia="宋体"/>
          <w:sz w:val="24"/>
        </w:rPr>
        <w:t>：收集测试数据后，使用统计方法分析瓶颈环节。常见问题及优化方向包括：热点可见性不足（增大热点尺寸或添加呼吸动画）、场景跳转过渡突兀（添加淡入淡出过渡效果）、VR 模式眩晕（优化帧率或减少移动速度）、移动端加载慢（优化图片压缩和 CDN 策略）。</w:t>
      </w:r>
    </w:p>
    <w:p/>
    <w:p>
      <w:pPr>
        <w:ind w:firstLine="482"/>
      </w:pPr>
      <w:r>
        <w:rPr>
          <w:rFonts w:ascii="宋体" w:hAnsi="宋体" w:eastAsia="宋体"/>
          <w:b/>
          <w:sz w:val="24"/>
        </w:rPr>
        <w:t>持续迭代</w:t>
      </w:r>
      <w:r>
        <w:rPr>
          <w:rFonts w:ascii="宋体" w:hAnsi="宋体" w:eastAsia="宋体"/>
          <w:sz w:val="24"/>
        </w:rPr>
        <w:t>：根据用户测试结果制定优化清单，按优先级排序实施。每次迭代后进行小范围回归测试（5-8 人），验证优化效果。建议至少进行 2 轮迭代优化后再正式发布。</w:t>
      </w:r>
    </w:p>
    <w:p/>
    <w:p>
      <w:pPr>
        <w:pStyle w:val="Heading2"/>
      </w:pPr>
      <w:r>
        <w:t>10.6 案例实践：黄果树瀑布 VR 全景漫游</w:t>
      </w:r>
    </w:p>
    <w:p/>
    <w:p>
      <w:pPr>
        <w:pStyle w:val="Heading3"/>
      </w:pPr>
      <w:r>
        <w:t>10.6.1 项目背景</w:t>
      </w:r>
    </w:p>
    <w:p/>
    <w:p>
      <w:pPr>
        <w:ind w:firstLine="482"/>
      </w:pPr>
      <w:r>
        <w:rPr>
          <w:rFonts w:ascii="宋体" w:hAnsi="宋体" w:eastAsia="宋体"/>
          <w:sz w:val="24"/>
        </w:rPr>
        <w:t>黄果树瀑布是中国最大的瀑布，位于贵州省安顺市。景区包含陡坡塘瀑布、天星桥景区、大瀑布景区三大板块，总面积约 163 平方公里。景区管理方希望通过 VR 全景漫游应用实现以下目标：（1）线上营销——在抖音、微信公众号等平台嵌入 VR 链接，吸引潜在游客；（2）无障碍体验——让行动不便的游客也能欣赏悬崖观景台和瀑布内部视角；（3）教育科普——在全景中嵌入地质、生态、文化知识[9]。</w:t>
      </w:r>
    </w:p>
    <w:p/>
    <w:p>
      <w:pPr>
        <w:pStyle w:val="Heading3"/>
      </w:pPr>
      <w:r>
        <w:t>10.6.2 采集方案</w:t>
      </w:r>
    </w:p>
    <w:p/>
    <w:p>
      <w:pPr>
        <w:ind w:firstLine="482"/>
      </w:pPr>
      <w:r>
        <w:rPr>
          <w:rFonts w:ascii="宋体" w:hAnsi="宋体" w:eastAsia="宋体"/>
          <w:sz w:val="24"/>
        </w:rPr>
        <w:t>根据景区地形和游览路线，规划了 8 个全景采集点位：</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序号</w:t>
            </w:r>
          </w:p>
        </w:tc>
        <w:tc>
          <w:tcPr>
            <w:tcW w:type="dxa" w:w="1662"/>
            <w:shd w:fill="D9E2F3" w:val="clear"/>
          </w:tcPr>
          <w:p>
            <w:pPr>
              <w:jc w:val="center"/>
            </w:pPr>
            <w:r/>
            <w:r>
              <w:rPr>
                <w:rFonts w:ascii="黑体" w:hAnsi="黑体" w:eastAsia="黑体"/>
                <w:b/>
                <w:sz w:val="20"/>
              </w:rPr>
              <w:t>点位名称</w:t>
            </w:r>
          </w:p>
        </w:tc>
        <w:tc>
          <w:tcPr>
            <w:tcW w:type="dxa" w:w="1662"/>
            <w:shd w:fill="D9E2F3" w:val="clear"/>
          </w:tcPr>
          <w:p>
            <w:pPr>
              <w:jc w:val="center"/>
            </w:pPr>
            <w:r/>
            <w:r>
              <w:rPr>
                <w:rFonts w:ascii="黑体" w:hAnsi="黑体" w:eastAsia="黑体"/>
                <w:b/>
                <w:sz w:val="20"/>
              </w:rPr>
              <w:t>位置描述</w:t>
            </w:r>
          </w:p>
        </w:tc>
        <w:tc>
          <w:tcPr>
            <w:tcW w:type="dxa" w:w="1662"/>
            <w:shd w:fill="D9E2F3" w:val="clear"/>
          </w:tcPr>
          <w:p>
            <w:pPr>
              <w:jc w:val="center"/>
            </w:pPr>
            <w:r/>
            <w:r>
              <w:rPr>
                <w:rFonts w:ascii="黑体" w:hAnsi="黑体" w:eastAsia="黑体"/>
                <w:b/>
                <w:sz w:val="20"/>
              </w:rPr>
              <w:t>拍摄时段</w:t>
            </w:r>
          </w:p>
        </w:tc>
        <w:tc>
          <w:tcPr>
            <w:tcW w:type="dxa" w:w="1662"/>
            <w:shd w:fill="D9E2F3" w:val="clear"/>
          </w:tcPr>
          <w:p>
            <w:pPr>
              <w:jc w:val="center"/>
            </w:pPr>
            <w:r/>
            <w:r>
              <w:rPr>
                <w:rFonts w:ascii="黑体" w:hAnsi="黑体" w:eastAsia="黑体"/>
                <w:b/>
                <w:sz w:val="20"/>
              </w:rPr>
              <w:t>特色说明</w:t>
            </w:r>
          </w:p>
        </w:tc>
      </w:tr>
      <w:tr>
        <w:tc>
          <w:tcPr>
            <w:tcW w:type="dxa" w:w="1662"/>
          </w:tcPr>
          <w:p>
            <w:r/>
            <w:r>
              <w:rPr>
                <w:rFonts w:ascii="宋体" w:hAnsi="宋体" w:eastAsia="宋体"/>
                <w:sz w:val="20"/>
              </w:rPr>
              <w:t>01</w:t>
            </w:r>
          </w:p>
        </w:tc>
        <w:tc>
          <w:tcPr>
            <w:tcW w:type="dxa" w:w="1662"/>
          </w:tcPr>
          <w:p>
            <w:r/>
            <w:r>
              <w:rPr>
                <w:rFonts w:ascii="宋体" w:hAnsi="宋体" w:eastAsia="宋体"/>
                <w:sz w:val="20"/>
              </w:rPr>
              <w:t>景区入口</w:t>
            </w:r>
          </w:p>
        </w:tc>
        <w:tc>
          <w:tcPr>
            <w:tcW w:type="dxa" w:w="1662"/>
          </w:tcPr>
          <w:p>
            <w:r/>
            <w:r>
              <w:rPr>
                <w:rFonts w:ascii="宋体" w:hAnsi="宋体" w:eastAsia="宋体"/>
                <w:sz w:val="20"/>
              </w:rPr>
              <w:t>游客服务中心广场</w:t>
            </w:r>
          </w:p>
        </w:tc>
        <w:tc>
          <w:tcPr>
            <w:tcW w:type="dxa" w:w="1662"/>
          </w:tcPr>
          <w:p>
            <w:r/>
            <w:r>
              <w:rPr>
                <w:rFonts w:ascii="宋体" w:hAnsi="宋体" w:eastAsia="宋体"/>
                <w:sz w:val="20"/>
              </w:rPr>
              <w:t>上午 9:00</w:t>
            </w:r>
          </w:p>
        </w:tc>
        <w:tc>
          <w:tcPr>
            <w:tcW w:type="dxa" w:w="1662"/>
          </w:tcPr>
          <w:p>
            <w:r/>
            <w:r>
              <w:rPr>
                <w:rFonts w:ascii="宋体" w:hAnsi="宋体" w:eastAsia="宋体"/>
                <w:sz w:val="20"/>
              </w:rPr>
              <w:t>导览起点，展示景区全貌</w:t>
            </w:r>
          </w:p>
        </w:tc>
      </w:tr>
      <w:tr>
        <w:tc>
          <w:tcPr>
            <w:tcW w:type="dxa" w:w="1662"/>
          </w:tcPr>
          <w:p>
            <w:r/>
            <w:r>
              <w:rPr>
                <w:rFonts w:ascii="宋体" w:hAnsi="宋体" w:eastAsia="宋体"/>
                <w:sz w:val="20"/>
              </w:rPr>
              <w:t>02</w:t>
            </w:r>
          </w:p>
        </w:tc>
        <w:tc>
          <w:tcPr>
            <w:tcW w:type="dxa" w:w="1662"/>
          </w:tcPr>
          <w:p>
            <w:r/>
            <w:r>
              <w:rPr>
                <w:rFonts w:ascii="宋体" w:hAnsi="宋体" w:eastAsia="宋体"/>
                <w:sz w:val="20"/>
              </w:rPr>
              <w:t>陡坡塘瀑布</w:t>
            </w:r>
          </w:p>
        </w:tc>
        <w:tc>
          <w:tcPr>
            <w:tcW w:type="dxa" w:w="1662"/>
          </w:tcPr>
          <w:p>
            <w:r/>
            <w:r>
              <w:rPr>
                <w:rFonts w:ascii="宋体" w:hAnsi="宋体" w:eastAsia="宋体"/>
                <w:sz w:val="20"/>
              </w:rPr>
              <w:t>瀑布前 50m 观景台</w:t>
            </w:r>
          </w:p>
        </w:tc>
        <w:tc>
          <w:tcPr>
            <w:tcW w:type="dxa" w:w="1662"/>
          </w:tcPr>
          <w:p>
            <w:r/>
            <w:r>
              <w:rPr>
                <w:rFonts w:ascii="宋体" w:hAnsi="宋体" w:eastAsia="宋体"/>
                <w:sz w:val="20"/>
              </w:rPr>
              <w:t>上午 10:00</w:t>
            </w:r>
          </w:p>
        </w:tc>
        <w:tc>
          <w:tcPr>
            <w:tcW w:type="dxa" w:w="1662"/>
          </w:tcPr>
          <w:p>
            <w:r/>
            <w:r>
              <w:rPr>
                <w:rFonts w:ascii="宋体" w:hAnsi="宋体" w:eastAsia="宋体"/>
                <w:sz w:val="20"/>
              </w:rPr>
              <w:t>瀑布最宽处，水面平缓</w:t>
            </w:r>
          </w:p>
        </w:tc>
      </w:tr>
      <w:tr>
        <w:tc>
          <w:tcPr>
            <w:tcW w:type="dxa" w:w="1662"/>
          </w:tcPr>
          <w:p>
            <w:r/>
            <w:r>
              <w:rPr>
                <w:rFonts w:ascii="宋体" w:hAnsi="宋体" w:eastAsia="宋体"/>
                <w:sz w:val="20"/>
              </w:rPr>
              <w:t>03</w:t>
            </w:r>
          </w:p>
        </w:tc>
        <w:tc>
          <w:tcPr>
            <w:tcW w:type="dxa" w:w="1662"/>
          </w:tcPr>
          <w:p>
            <w:r/>
            <w:r>
              <w:rPr>
                <w:rFonts w:ascii="宋体" w:hAnsi="宋体" w:eastAsia="宋体"/>
                <w:sz w:val="20"/>
              </w:rPr>
              <w:t>大瀑布观景台</w:t>
            </w:r>
          </w:p>
        </w:tc>
        <w:tc>
          <w:tcPr>
            <w:tcW w:type="dxa" w:w="1662"/>
          </w:tcPr>
          <w:p>
            <w:r/>
            <w:r>
              <w:rPr>
                <w:rFonts w:ascii="宋体" w:hAnsi="宋体" w:eastAsia="宋体"/>
                <w:sz w:val="20"/>
              </w:rPr>
              <w:t>主瀑布正前方</w:t>
            </w:r>
          </w:p>
        </w:tc>
        <w:tc>
          <w:tcPr>
            <w:tcW w:type="dxa" w:w="1662"/>
          </w:tcPr>
          <w:p>
            <w:r/>
            <w:r>
              <w:rPr>
                <w:rFonts w:ascii="宋体" w:hAnsi="宋体" w:eastAsia="宋体"/>
                <w:sz w:val="20"/>
              </w:rPr>
              <w:t>上午 11:00</w:t>
            </w:r>
          </w:p>
        </w:tc>
        <w:tc>
          <w:tcPr>
            <w:tcW w:type="dxa" w:w="1662"/>
          </w:tcPr>
          <w:p>
            <w:r/>
            <w:r>
              <w:rPr>
                <w:rFonts w:ascii="宋体" w:hAnsi="宋体" w:eastAsia="宋体"/>
                <w:sz w:val="20"/>
              </w:rPr>
              <w:t>经典正面视角</w:t>
            </w:r>
          </w:p>
        </w:tc>
      </w:tr>
      <w:tr>
        <w:tc>
          <w:tcPr>
            <w:tcW w:type="dxa" w:w="1662"/>
          </w:tcPr>
          <w:p>
            <w:r/>
            <w:r>
              <w:rPr>
                <w:rFonts w:ascii="宋体" w:hAnsi="宋体" w:eastAsia="宋体"/>
                <w:sz w:val="20"/>
              </w:rPr>
              <w:t>04</w:t>
            </w:r>
          </w:p>
        </w:tc>
        <w:tc>
          <w:tcPr>
            <w:tcW w:type="dxa" w:w="1662"/>
          </w:tcPr>
          <w:p>
            <w:r/>
            <w:r>
              <w:rPr>
                <w:rFonts w:ascii="宋体" w:hAnsi="宋体" w:eastAsia="宋体"/>
                <w:sz w:val="20"/>
              </w:rPr>
              <w:t>水帘洞入口</w:t>
            </w:r>
          </w:p>
        </w:tc>
        <w:tc>
          <w:tcPr>
            <w:tcW w:type="dxa" w:w="1662"/>
          </w:tcPr>
          <w:p>
            <w:r/>
            <w:r>
              <w:rPr>
                <w:rFonts w:ascii="宋体" w:hAnsi="宋体" w:eastAsia="宋体"/>
                <w:sz w:val="20"/>
              </w:rPr>
              <w:t>瀑布背后的溶洞入口</w:t>
            </w:r>
          </w:p>
        </w:tc>
        <w:tc>
          <w:tcPr>
            <w:tcW w:type="dxa" w:w="1662"/>
          </w:tcPr>
          <w:p>
            <w:r/>
            <w:r>
              <w:rPr>
                <w:rFonts w:ascii="宋体" w:hAnsi="宋体" w:eastAsia="宋体"/>
                <w:sz w:val="20"/>
              </w:rPr>
              <w:t>中午 12:00</w:t>
            </w:r>
          </w:p>
        </w:tc>
        <w:tc>
          <w:tcPr>
            <w:tcW w:type="dxa" w:w="1662"/>
          </w:tcPr>
          <w:p>
            <w:r/>
            <w:r>
              <w:rPr>
                <w:rFonts w:ascii="宋体" w:hAnsi="宋体" w:eastAsia="宋体"/>
                <w:sz w:val="20"/>
              </w:rPr>
              <w:t>罕见视角，瀑布内部</w:t>
            </w:r>
          </w:p>
        </w:tc>
      </w:tr>
      <w:tr>
        <w:tc>
          <w:tcPr>
            <w:tcW w:type="dxa" w:w="1662"/>
          </w:tcPr>
          <w:p>
            <w:r/>
            <w:r>
              <w:rPr>
                <w:rFonts w:ascii="宋体" w:hAnsi="宋体" w:eastAsia="宋体"/>
                <w:sz w:val="20"/>
              </w:rPr>
              <w:t>05</w:t>
            </w:r>
          </w:p>
        </w:tc>
        <w:tc>
          <w:tcPr>
            <w:tcW w:type="dxa" w:w="1662"/>
          </w:tcPr>
          <w:p>
            <w:r/>
            <w:r>
              <w:rPr>
                <w:rFonts w:ascii="宋体" w:hAnsi="宋体" w:eastAsia="宋体"/>
                <w:sz w:val="20"/>
              </w:rPr>
              <w:t>水帘洞内部</w:t>
            </w:r>
          </w:p>
        </w:tc>
        <w:tc>
          <w:tcPr>
            <w:tcW w:type="dxa" w:w="1662"/>
          </w:tcPr>
          <w:p>
            <w:r/>
            <w:r>
              <w:rPr>
                <w:rFonts w:ascii="宋体" w:hAnsi="宋体" w:eastAsia="宋体"/>
                <w:sz w:val="20"/>
              </w:rPr>
              <w:t>溶洞内部通道</w:t>
            </w:r>
          </w:p>
        </w:tc>
        <w:tc>
          <w:tcPr>
            <w:tcW w:type="dxa" w:w="1662"/>
          </w:tcPr>
          <w:p>
            <w:r/>
            <w:r>
              <w:rPr>
                <w:rFonts w:ascii="宋体" w:hAnsi="宋体" w:eastAsia="宋体"/>
                <w:sz w:val="20"/>
              </w:rPr>
              <w:t>中午 12:30</w:t>
            </w:r>
          </w:p>
        </w:tc>
        <w:tc>
          <w:tcPr>
            <w:tcW w:type="dxa" w:w="1662"/>
          </w:tcPr>
          <w:p>
            <w:r/>
            <w:r>
              <w:rPr>
                <w:rFonts w:ascii="宋体" w:hAnsi="宋体" w:eastAsia="宋体"/>
                <w:sz w:val="20"/>
              </w:rPr>
              <w:t>洞穴景观+瀑布水帘</w:t>
            </w:r>
          </w:p>
        </w:tc>
      </w:tr>
      <w:tr>
        <w:tc>
          <w:tcPr>
            <w:tcW w:type="dxa" w:w="1662"/>
          </w:tcPr>
          <w:p>
            <w:r/>
            <w:r>
              <w:rPr>
                <w:rFonts w:ascii="宋体" w:hAnsi="宋体" w:eastAsia="宋体"/>
                <w:sz w:val="20"/>
              </w:rPr>
              <w:t>06</w:t>
            </w:r>
          </w:p>
        </w:tc>
        <w:tc>
          <w:tcPr>
            <w:tcW w:type="dxa" w:w="1662"/>
          </w:tcPr>
          <w:p>
            <w:r/>
            <w:r>
              <w:rPr>
                <w:rFonts w:ascii="宋体" w:hAnsi="宋体" w:eastAsia="宋体"/>
                <w:sz w:val="20"/>
              </w:rPr>
              <w:t>天星桥景区</w:t>
            </w:r>
          </w:p>
        </w:tc>
        <w:tc>
          <w:tcPr>
            <w:tcW w:type="dxa" w:w="1662"/>
          </w:tcPr>
          <w:p>
            <w:r/>
            <w:r>
              <w:rPr>
                <w:rFonts w:ascii="宋体" w:hAnsi="宋体" w:eastAsia="宋体"/>
                <w:sz w:val="20"/>
              </w:rPr>
              <w:t>天然石桥上方</w:t>
            </w:r>
          </w:p>
        </w:tc>
        <w:tc>
          <w:tcPr>
            <w:tcW w:type="dxa" w:w="1662"/>
          </w:tcPr>
          <w:p>
            <w:r/>
            <w:r>
              <w:rPr>
                <w:rFonts w:ascii="宋体" w:hAnsi="宋体" w:eastAsia="宋体"/>
                <w:sz w:val="20"/>
              </w:rPr>
              <w:t>下午 14:00</w:t>
            </w:r>
          </w:p>
        </w:tc>
        <w:tc>
          <w:tcPr>
            <w:tcW w:type="dxa" w:w="1662"/>
          </w:tcPr>
          <w:p>
            <w:r/>
            <w:r>
              <w:rPr>
                <w:rFonts w:ascii="宋体" w:hAnsi="宋体" w:eastAsia="宋体"/>
                <w:sz w:val="20"/>
              </w:rPr>
              <w:t>喀斯特地貌特色</w:t>
            </w:r>
          </w:p>
        </w:tc>
      </w:tr>
      <w:tr>
        <w:tc>
          <w:tcPr>
            <w:tcW w:type="dxa" w:w="1662"/>
          </w:tcPr>
          <w:p>
            <w:r/>
            <w:r>
              <w:rPr>
                <w:rFonts w:ascii="宋体" w:hAnsi="宋体" w:eastAsia="宋体"/>
                <w:sz w:val="20"/>
              </w:rPr>
              <w:t>07</w:t>
            </w:r>
          </w:p>
        </w:tc>
        <w:tc>
          <w:tcPr>
            <w:tcW w:type="dxa" w:w="1662"/>
          </w:tcPr>
          <w:p>
            <w:r/>
            <w:r>
              <w:rPr>
                <w:rFonts w:ascii="宋体" w:hAnsi="宋体" w:eastAsia="宋体"/>
                <w:sz w:val="20"/>
              </w:rPr>
              <w:t>银链坠潭瀑布</w:t>
            </w:r>
          </w:p>
        </w:tc>
        <w:tc>
          <w:tcPr>
            <w:tcW w:type="dxa" w:w="1662"/>
          </w:tcPr>
          <w:p>
            <w:r/>
            <w:r>
              <w:rPr>
                <w:rFonts w:ascii="宋体" w:hAnsi="宋体" w:eastAsia="宋体"/>
                <w:sz w:val="20"/>
              </w:rPr>
              <w:t>瀑布底部观景台</w:t>
            </w:r>
          </w:p>
        </w:tc>
        <w:tc>
          <w:tcPr>
            <w:tcW w:type="dxa" w:w="1662"/>
          </w:tcPr>
          <w:p>
            <w:r/>
            <w:r>
              <w:rPr>
                <w:rFonts w:ascii="宋体" w:hAnsi="宋体" w:eastAsia="宋体"/>
                <w:sz w:val="20"/>
              </w:rPr>
              <w:t>下午 15:00</w:t>
            </w:r>
          </w:p>
        </w:tc>
        <w:tc>
          <w:tcPr>
            <w:tcW w:type="dxa" w:w="1662"/>
          </w:tcPr>
          <w:p>
            <w:r/>
            <w:r>
              <w:rPr>
                <w:rFonts w:ascii="宋体" w:hAnsi="宋体" w:eastAsia="宋体"/>
                <w:sz w:val="20"/>
              </w:rPr>
              <w:t>水雾弥漫，彩虹频现</w:t>
            </w:r>
          </w:p>
        </w:tc>
      </w:tr>
      <w:tr>
        <w:tc>
          <w:tcPr>
            <w:tcW w:type="dxa" w:w="1662"/>
          </w:tcPr>
          <w:p>
            <w:r/>
            <w:r>
              <w:rPr>
                <w:rFonts w:ascii="宋体" w:hAnsi="宋体" w:eastAsia="宋体"/>
                <w:sz w:val="20"/>
              </w:rPr>
              <w:t>08</w:t>
            </w:r>
          </w:p>
        </w:tc>
        <w:tc>
          <w:tcPr>
            <w:tcW w:type="dxa" w:w="1662"/>
          </w:tcPr>
          <w:p>
            <w:r/>
            <w:r>
              <w:rPr>
                <w:rFonts w:ascii="宋体" w:hAnsi="宋体" w:eastAsia="宋体"/>
                <w:sz w:val="20"/>
              </w:rPr>
              <w:t>景区出口</w:t>
            </w:r>
          </w:p>
        </w:tc>
        <w:tc>
          <w:tcPr>
            <w:tcW w:type="dxa" w:w="1662"/>
          </w:tcPr>
          <w:p>
            <w:r/>
            <w:r>
              <w:rPr>
                <w:rFonts w:ascii="宋体" w:hAnsi="宋体" w:eastAsia="宋体"/>
                <w:sz w:val="20"/>
              </w:rPr>
              <w:t>纪念品商店区域</w:t>
            </w:r>
          </w:p>
        </w:tc>
        <w:tc>
          <w:tcPr>
            <w:tcW w:type="dxa" w:w="1662"/>
          </w:tcPr>
          <w:p>
            <w:r/>
            <w:r>
              <w:rPr>
                <w:rFonts w:ascii="宋体" w:hAnsi="宋体" w:eastAsia="宋体"/>
                <w:sz w:val="20"/>
              </w:rPr>
              <w:t>下午 16:00</w:t>
            </w:r>
          </w:p>
        </w:tc>
        <w:tc>
          <w:tcPr>
            <w:tcW w:type="dxa" w:w="1662"/>
          </w:tcPr>
          <w:p>
            <w:r/>
            <w:r>
              <w:rPr>
                <w:rFonts w:ascii="宋体" w:hAnsi="宋体" w:eastAsia="宋体"/>
                <w:sz w:val="20"/>
              </w:rPr>
              <w:t>导览终点，商业区域</w:t>
            </w:r>
          </w:p>
        </w:tc>
      </w:tr>
    </w:tbl>
    <w:p/>
    <w:p/>
    <w:p>
      <w:pPr>
        <w:ind w:firstLine="482"/>
      </w:pPr>
      <w:r>
        <w:rPr>
          <w:rFonts w:ascii="宋体" w:hAnsi="宋体" w:eastAsia="宋体"/>
          <w:sz w:val="24"/>
        </w:rPr>
        <w:t>拍摄设备选用 Insta360 X4（8K 照片模式），辅以 Insta360 Pro 2 拍摄水帘洞内部的低光环境。每个点位拍摄 3-5 张 HDR 包围曝光照片（-2EV, 0EV, +2EV），后期合成为 HDR 全景图[3]。</w:t>
      </w:r>
    </w:p>
    <w:p/>
    <w:p>
      <w:pPr>
        <w:pStyle w:val="Heading3"/>
      </w:pPr>
      <w:r>
        <w:t>10.6.3 开发实现</w:t>
      </w:r>
    </w:p>
    <w:p/>
    <w:p>
      <w:pPr>
        <w:ind w:firstLine="482"/>
      </w:pPr>
      <w:r>
        <w:rPr>
          <w:rFonts w:ascii="宋体" w:hAnsi="宋体" w:eastAsia="宋体"/>
          <w:sz w:val="24"/>
        </w:rPr>
        <w:t>基于 A-Frame 框架开发，核心架构包括：</w:t>
      </w:r>
    </w:p>
    <w:p/>
    <w:p>
      <w:pPr>
        <w:ind w:firstLine="482"/>
      </w:pPr>
      <w:r>
        <w:rPr>
          <w:rFonts w:ascii="宋体" w:hAnsi="宋体" w:eastAsia="宋体"/>
          <w:b/>
          <w:sz w:val="24"/>
        </w:rPr>
        <w:t>场景管理器</w:t>
      </w:r>
      <w:r>
        <w:rPr>
          <w:rFonts w:ascii="宋体" w:hAnsi="宋体" w:eastAsia="宋体"/>
          <w:sz w:val="24"/>
        </w:rPr>
        <w:t>：使用 JavaScript 对象管理 8 个全景场景的元数据（图片路径、标题、描述、音频路径、热点位置），通过动态加载实现场景切换。每个场景配置数据包含全景图 URL、场景标题（中英文）、语音讲解音频路径、热点列表（位置坐标、类型、目标场景或信息内容）。</w:t>
      </w:r>
    </w:p>
    <w:p/>
    <w:p>
      <w:pPr>
        <w:ind w:firstLine="482"/>
      </w:pPr>
      <w:r>
        <w:rPr>
          <w:rFonts w:ascii="宋体" w:hAnsi="宋体" w:eastAsia="宋体"/>
          <w:b/>
          <w:sz w:val="24"/>
        </w:rPr>
        <w:t>交互热点系统</w:t>
      </w:r>
      <w:r>
        <w:rPr>
          <w:rFonts w:ascii="宋体" w:hAnsi="宋体" w:eastAsia="宋体"/>
          <w:sz w:val="24"/>
        </w:rPr>
        <w:t>：每个场景中设置 2-4 个交互热点，分为三类——（1）跳转热点（蓝色球体），点击跳转到相邻场景，附带方向指示箭头；（2）信息热点（黄色方形），点击弹出图文介绍面板，包含景点名称、历史背景、地质特征等内容；（3）音频热点（绿色三角形），点击播放 30-60 秒的语音讲解，支持暂停和重播。</w:t>
      </w:r>
    </w:p>
    <w:p/>
    <w:p>
      <w:pPr>
        <w:ind w:firstLine="482"/>
      </w:pPr>
      <w:r>
        <w:rPr>
          <w:rFonts w:ascii="宋体" w:hAnsi="宋体" w:eastAsia="宋体"/>
          <w:b/>
          <w:sz w:val="24"/>
        </w:rPr>
        <w:t>导览路径</w:t>
      </w:r>
      <w:r>
        <w:rPr>
          <w:rFonts w:ascii="宋体" w:hAnsi="宋体" w:eastAsia="宋体"/>
          <w:sz w:val="24"/>
        </w:rPr>
        <w:t>：预设 3 条导览路线——精华路线（01→03→05→07，约 10 分钟，适合快速浏览）、深度路线（全部 8 个点位，约 25 分钟，适合深度了解）、儿童趣味路线（01→02→06→08，约 8 分钟，含互动问答和趣味动画）。</w:t>
      </w:r>
    </w:p>
    <w:p/>
    <w:p>
      <w:pPr>
        <w:ind w:firstLine="482"/>
      </w:pPr>
      <w:r>
        <w:rPr>
          <w:rFonts w:ascii="宋体" w:hAnsi="宋体" w:eastAsia="宋体"/>
          <w:b/>
          <w:sz w:val="24"/>
        </w:rPr>
        <w:t>语音讲解</w:t>
      </w:r>
      <w:r>
        <w:rPr>
          <w:rFonts w:ascii="宋体" w:hAnsi="宋体" w:eastAsia="宋体"/>
          <w:sz w:val="24"/>
        </w:rPr>
        <w:t>：为每个点位录制 30-60 秒的中文语音讲解，使用 TTS 引擎生成英文版本。音频文件压缩为 MP3 格式（64kbps），单个文件约 500KB。语音脚本由景区导游词改编，经旅游管理专业教师审核，确保内容准确、表达生动。</w:t>
      </w:r>
    </w:p>
    <w:p/>
    <w:p>
      <w:pPr>
        <w:pStyle w:val="Heading3"/>
      </w:pPr>
      <w:r>
        <w:t>10.6.4 发布与效果</w:t>
      </w:r>
    </w:p>
    <w:p/>
    <w:p>
      <w:pPr>
        <w:ind w:firstLine="482"/>
      </w:pPr>
      <w:r>
        <w:rPr>
          <w:rFonts w:ascii="宋体" w:hAnsi="宋体" w:eastAsia="宋体"/>
          <w:sz w:val="24"/>
        </w:rPr>
        <w:t>应用部署在景区官方网站和微信小程序中，同时生成 QR 码印制在景区门票和宣传册上。上线 3 个月后的数据统计显示[9]：</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指标</w:t>
            </w:r>
          </w:p>
        </w:tc>
        <w:tc>
          <w:tcPr>
            <w:tcW w:type="dxa" w:w="2771"/>
            <w:shd w:fill="D9E2F3" w:val="clear"/>
          </w:tcPr>
          <w:p>
            <w:pPr>
              <w:jc w:val="center"/>
            </w:pPr>
            <w:r/>
            <w:r>
              <w:rPr>
                <w:rFonts w:ascii="黑体" w:hAnsi="黑体" w:eastAsia="黑体"/>
                <w:b/>
                <w:sz w:val="20"/>
              </w:rPr>
              <w:t>数值</w:t>
            </w:r>
          </w:p>
        </w:tc>
        <w:tc>
          <w:tcPr>
            <w:tcW w:type="dxa" w:w="2771"/>
            <w:shd w:fill="D9E2F3" w:val="clear"/>
          </w:tcPr>
          <w:p>
            <w:pPr>
              <w:jc w:val="center"/>
            </w:pPr>
            <w:r/>
            <w:r>
              <w:rPr>
                <w:rFonts w:ascii="黑体" w:hAnsi="黑体" w:eastAsia="黑体"/>
                <w:b/>
                <w:sz w:val="20"/>
              </w:rPr>
              <w:t>说明</w:t>
            </w:r>
          </w:p>
        </w:tc>
      </w:tr>
      <w:tr>
        <w:tc>
          <w:tcPr>
            <w:tcW w:type="dxa" w:w="2771"/>
          </w:tcPr>
          <w:p>
            <w:r/>
            <w:r>
              <w:rPr>
                <w:rFonts w:ascii="宋体" w:hAnsi="宋体" w:eastAsia="宋体"/>
                <w:sz w:val="20"/>
              </w:rPr>
              <w:t>总访问量</w:t>
            </w:r>
          </w:p>
        </w:tc>
        <w:tc>
          <w:tcPr>
            <w:tcW w:type="dxa" w:w="2771"/>
          </w:tcPr>
          <w:p>
            <w:r/>
            <w:r>
              <w:rPr>
                <w:rFonts w:ascii="宋体" w:hAnsi="宋体" w:eastAsia="宋体"/>
                <w:sz w:val="20"/>
              </w:rPr>
              <w:t>12,580</w:t>
            </w:r>
          </w:p>
        </w:tc>
        <w:tc>
          <w:tcPr>
            <w:tcW w:type="dxa" w:w="2771"/>
          </w:tcPr>
          <w:p>
            <w:r/>
            <w:r>
              <w:rPr>
                <w:rFonts w:ascii="宋体" w:hAnsi="宋体" w:eastAsia="宋体"/>
                <w:sz w:val="20"/>
              </w:rPr>
              <w:t>独立访客数</w:t>
            </w:r>
          </w:p>
        </w:tc>
      </w:tr>
      <w:tr>
        <w:tc>
          <w:tcPr>
            <w:tcW w:type="dxa" w:w="2771"/>
          </w:tcPr>
          <w:p>
            <w:r/>
            <w:r>
              <w:rPr>
                <w:rFonts w:ascii="宋体" w:hAnsi="宋体" w:eastAsia="宋体"/>
                <w:sz w:val="20"/>
              </w:rPr>
              <w:t>平均停留时长</w:t>
            </w:r>
          </w:p>
        </w:tc>
        <w:tc>
          <w:tcPr>
            <w:tcW w:type="dxa" w:w="2771"/>
          </w:tcPr>
          <w:p>
            <w:r/>
            <w:r>
              <w:rPr>
                <w:rFonts w:ascii="宋体" w:hAnsi="宋体" w:eastAsia="宋体"/>
                <w:sz w:val="20"/>
              </w:rPr>
              <w:t>4 分 32 秒</w:t>
            </w:r>
          </w:p>
        </w:tc>
        <w:tc>
          <w:tcPr>
            <w:tcW w:type="dxa" w:w="2771"/>
          </w:tcPr>
          <w:p>
            <w:r/>
            <w:r>
              <w:rPr>
                <w:rFonts w:ascii="宋体" w:hAnsi="宋体" w:eastAsia="宋体"/>
                <w:sz w:val="20"/>
              </w:rPr>
              <w:t>高于图文页面 3 倍</w:t>
            </w:r>
          </w:p>
        </w:tc>
      </w:tr>
      <w:tr>
        <w:tc>
          <w:tcPr>
            <w:tcW w:type="dxa" w:w="2771"/>
          </w:tcPr>
          <w:p>
            <w:r/>
            <w:r>
              <w:rPr>
                <w:rFonts w:ascii="宋体" w:hAnsi="宋体" w:eastAsia="宋体"/>
                <w:sz w:val="20"/>
              </w:rPr>
              <w:t>VR 模式使用率</w:t>
            </w:r>
          </w:p>
        </w:tc>
        <w:tc>
          <w:tcPr>
            <w:tcW w:type="dxa" w:w="2771"/>
          </w:tcPr>
          <w:p>
            <w:r/>
            <w:r>
              <w:rPr>
                <w:rFonts w:ascii="宋体" w:hAnsi="宋体" w:eastAsia="宋体"/>
                <w:sz w:val="20"/>
              </w:rPr>
              <w:t>18%</w:t>
            </w:r>
          </w:p>
        </w:tc>
        <w:tc>
          <w:tcPr>
            <w:tcW w:type="dxa" w:w="2771"/>
          </w:tcPr>
          <w:p>
            <w:r/>
            <w:r>
              <w:rPr>
                <w:rFonts w:ascii="宋体" w:hAnsi="宋体" w:eastAsia="宋体"/>
                <w:sz w:val="20"/>
              </w:rPr>
              <w:t>使用头显或 Cardboard 的用户</w:t>
            </w:r>
          </w:p>
        </w:tc>
      </w:tr>
      <w:tr>
        <w:tc>
          <w:tcPr>
            <w:tcW w:type="dxa" w:w="2771"/>
          </w:tcPr>
          <w:p>
            <w:r/>
            <w:r>
              <w:rPr>
                <w:rFonts w:ascii="宋体" w:hAnsi="宋体" w:eastAsia="宋体"/>
                <w:sz w:val="20"/>
              </w:rPr>
              <w:t>场景跳转率</w:t>
            </w:r>
          </w:p>
        </w:tc>
        <w:tc>
          <w:tcPr>
            <w:tcW w:type="dxa" w:w="2771"/>
          </w:tcPr>
          <w:p>
            <w:r/>
            <w:r>
              <w:rPr>
                <w:rFonts w:ascii="宋体" w:hAnsi="宋体" w:eastAsia="宋体"/>
                <w:sz w:val="20"/>
              </w:rPr>
              <w:t>3.2 次/用户</w:t>
            </w:r>
          </w:p>
        </w:tc>
        <w:tc>
          <w:tcPr>
            <w:tcW w:type="dxa" w:w="2771"/>
          </w:tcPr>
          <w:p>
            <w:r/>
            <w:r>
              <w:rPr>
                <w:rFonts w:ascii="宋体" w:hAnsi="宋体" w:eastAsia="宋体"/>
                <w:sz w:val="20"/>
              </w:rPr>
              <w:t>平均每用户浏览场景数</w:t>
            </w:r>
          </w:p>
        </w:tc>
      </w:tr>
      <w:tr>
        <w:tc>
          <w:tcPr>
            <w:tcW w:type="dxa" w:w="2771"/>
          </w:tcPr>
          <w:p>
            <w:r/>
            <w:r>
              <w:rPr>
                <w:rFonts w:ascii="宋体" w:hAnsi="宋体" w:eastAsia="宋体"/>
                <w:sz w:val="20"/>
              </w:rPr>
              <w:t>用户满意度</w:t>
            </w:r>
          </w:p>
        </w:tc>
        <w:tc>
          <w:tcPr>
            <w:tcW w:type="dxa" w:w="2771"/>
          </w:tcPr>
          <w:p>
            <w:r/>
            <w:r>
              <w:rPr>
                <w:rFonts w:ascii="宋体" w:hAnsi="宋体" w:eastAsia="宋体"/>
                <w:sz w:val="20"/>
              </w:rPr>
              <w:t>4.3/5.0</w:t>
            </w:r>
          </w:p>
        </w:tc>
        <w:tc>
          <w:tcPr>
            <w:tcW w:type="dxa" w:w="2771"/>
          </w:tcPr>
          <w:p>
            <w:r/>
            <w:r>
              <w:rPr>
                <w:rFonts w:ascii="宋体" w:hAnsi="宋体" w:eastAsia="宋体"/>
                <w:sz w:val="20"/>
              </w:rPr>
              <w:t>评分收集自 1,200 份反馈</w:t>
            </w:r>
          </w:p>
        </w:tc>
      </w:tr>
    </w:tbl>
    <w:p/>
    <w:p/>
    <w:p>
      <w:pPr>
        <w:pStyle w:val="Heading3"/>
      </w:pPr>
      <w:r>
        <w:t>10.6.5 经验总结</w:t>
      </w:r>
    </w:p>
    <w:p/>
    <w:p>
      <w:pPr>
        <w:ind w:firstLine="482"/>
      </w:pPr>
      <w:r>
        <w:rPr>
          <w:rFonts w:ascii="宋体" w:hAnsi="宋体" w:eastAsia="宋体"/>
          <w:sz w:val="24"/>
        </w:rPr>
        <w:t>项目实施过程中积累的主要经验教训[9]：</w:t>
      </w:r>
    </w:p>
    <w:p/>
    <w:p>
      <w:pPr>
        <w:ind w:firstLine="482"/>
      </w:pPr>
      <w:r>
        <w:rPr>
          <w:rFonts w:ascii="宋体" w:hAnsi="宋体" w:eastAsia="宋体"/>
          <w:sz w:val="24"/>
        </w:rPr>
        <w:t>（1）</w:t>
      </w:r>
      <w:r>
        <w:rPr>
          <w:rFonts w:ascii="宋体" w:hAnsi="宋体" w:eastAsia="宋体"/>
          <w:b/>
          <w:sz w:val="24"/>
        </w:rPr>
        <w:t>拍摄时间窗口管理</w:t>
      </w:r>
      <w:r>
        <w:rPr>
          <w:rFonts w:ascii="宋体" w:hAnsi="宋体" w:eastAsia="宋体"/>
          <w:sz w:val="24"/>
        </w:rPr>
        <w:t>——黄果树瀑布景区的水雾较大，尤其是大瀑布观景台和水帘洞点位，镜头容易起雾。建议在拍摄前 10 分钟将相机放入防潮箱预热，减少镜头凝结水珠的风险。同时携带超细纤维布随时擦拭镜头。</w:t>
      </w:r>
    </w:p>
    <w:p/>
    <w:p>
      <w:pPr>
        <w:ind w:firstLine="482"/>
      </w:pPr>
      <w:r>
        <w:rPr>
          <w:rFonts w:ascii="宋体" w:hAnsi="宋体" w:eastAsia="宋体"/>
          <w:sz w:val="24"/>
        </w:rPr>
        <w:t>（2）</w:t>
      </w:r>
      <w:r>
        <w:rPr>
          <w:rFonts w:ascii="宋体" w:hAnsi="宋体" w:eastAsia="宋体"/>
          <w:b/>
          <w:sz w:val="24"/>
        </w:rPr>
        <w:t>拼接缝处理</w:t>
      </w:r>
      <w:r>
        <w:rPr>
          <w:rFonts w:ascii="宋体" w:hAnsi="宋体" w:eastAsia="宋体"/>
          <w:sz w:val="24"/>
        </w:rPr>
        <w:t>——水帘洞内部空间狭窄，周围有大量流水和石壁纹理，自动拼接效果不理想。使用 PTGui 添加 15 个手动控制点后，拼接质量显著提升。对于水流等动态元素导致的拼接错位，采用 Photoshop 内容识别填充进行修复。</w:t>
      </w:r>
    </w:p>
    <w:p/>
    <w:p>
      <w:pPr>
        <w:ind w:firstLine="482"/>
      </w:pPr>
      <w:r>
        <w:rPr>
          <w:rFonts w:ascii="宋体" w:hAnsi="宋体" w:eastAsia="宋体"/>
          <w:sz w:val="24"/>
        </w:rPr>
        <w:t>（3）</w:t>
      </w:r>
      <w:r>
        <w:rPr>
          <w:rFonts w:ascii="宋体" w:hAnsi="宋体" w:eastAsia="宋体"/>
          <w:b/>
          <w:sz w:val="24"/>
        </w:rPr>
        <w:t>加载性能</w:t>
      </w:r>
      <w:r>
        <w:rPr>
          <w:rFonts w:ascii="宋体" w:hAnsi="宋体" w:eastAsia="宋体"/>
          <w:sz w:val="24"/>
        </w:rPr>
        <w:t>——8 个 8K 全景图总计约 180MB，首次加载时间过长。实施分级加载后，首屏时间从 15 秒降至 3 秒，用户体验明显改善。同时配置 Service Worker 缓存策略，二次访问时可从本地缓存加载。</w:t>
      </w:r>
    </w:p>
    <w:p/>
    <w:p>
      <w:pPr>
        <w:ind w:firstLine="482"/>
      </w:pPr>
      <w:r>
        <w:rPr>
          <w:rFonts w:ascii="宋体" w:hAnsi="宋体" w:eastAsia="宋体"/>
          <w:sz w:val="24"/>
        </w:rPr>
        <w:t>（4）</w:t>
      </w:r>
      <w:r>
        <w:rPr>
          <w:rFonts w:ascii="宋体" w:hAnsi="宋体" w:eastAsia="宋体"/>
          <w:b/>
          <w:sz w:val="24"/>
        </w:rPr>
        <w:t>用户引导设计</w:t>
      </w:r>
      <w:r>
        <w:rPr>
          <w:rFonts w:ascii="宋体" w:hAnsi="宋体" w:eastAsia="宋体"/>
          <w:sz w:val="24"/>
        </w:rPr>
        <w:t>——初期版本中热点位置不够明显，用户测试发现 40% 的用户不知道如何跳转场景。增加热点呼吸动画和首次使用引导提示后，场景跳转率提升了 60%。</w:t>
      </w:r>
    </w:p>
    <w:p/>
    <w:p>
      <w:pPr>
        <w:ind w:firstLine="482"/>
      </w:pPr>
      <w:r>
        <w:rPr>
          <w:rFonts w:ascii="宋体" w:hAnsi="宋体" w:eastAsia="宋体"/>
          <w:sz w:val="24"/>
        </w:rPr>
        <w:t>（5）</w:t>
      </w:r>
      <w:r>
        <w:rPr>
          <w:rFonts w:ascii="宋体" w:hAnsi="宋体" w:eastAsia="宋体"/>
          <w:b/>
          <w:sz w:val="24"/>
        </w:rPr>
        <w:t>内容策划</w:t>
      </w:r>
      <w:r>
        <w:rPr>
          <w:rFonts w:ascii="宋体" w:hAnsi="宋体" w:eastAsia="宋体"/>
          <w:sz w:val="24"/>
        </w:rPr>
        <w:t>——语音讲解内容需要兼顾专业性和趣味性。初期版本过于学术化，用户平均只听 15 秒就退出。改写为故事化叙事风格后，完听率提升至 78%。</w:t>
      </w:r>
    </w:p>
    <w:p/>
    <w:p>
      <w:pPr>
        <w:pStyle w:val="Heading2"/>
      </w:pPr>
      <w:r>
        <w:t>10.7 VR 全景制作的技术发展趋势</w:t>
      </w:r>
    </w:p>
    <w:p/>
    <w:p>
      <w:pPr>
        <w:pStyle w:val="Heading3"/>
      </w:pPr>
      <w:r>
        <w:t>10.7.1 体积视频与 6DoF 全景</w:t>
      </w:r>
    </w:p>
    <w:p/>
    <w:p>
      <w:pPr>
        <w:ind w:firstLine="482"/>
      </w:pPr>
      <w:r>
        <w:rPr>
          <w:rFonts w:ascii="宋体" w:hAnsi="宋体" w:eastAsia="宋体"/>
          <w:sz w:val="24"/>
        </w:rPr>
        <w:t>传统 360 度全景是 2D 图像映射到球面，用户只能 3DoF（转动头部）浏览。体积视频（Volumetric Video）技术通过多相机阵列采集深度信息，生成真正的 3D 场景，用户可以 6DoF（六自由度）在场景中走动[4]。这一技术代表了全景内容制作的未来方向。</w:t>
      </w:r>
    </w:p>
    <w:p/>
    <w:p>
      <w:pPr>
        <w:ind w:firstLine="482"/>
      </w:pPr>
      <w:r>
        <w:rPr>
          <w:rFonts w:ascii="宋体" w:hAnsi="宋体" w:eastAsia="宋体"/>
          <w:sz w:val="24"/>
        </w:rPr>
        <w:t>目前主流的体积视频方案包括 Microsoft Mixed Reality Capture Studios（基于多 Kinect 深度相机阵列）和基于 NeRF/3D Gaussian Splatting 的照片重建方法。3D Gaussian Splatting 技术在 2023 年取得突破性进展，仅需数十张照片即可重建高质量 3D 场景，采集成本大幅降低，未来有望成为景区 VR 内容制作的主流方案[4]。</w:t>
      </w:r>
    </w:p>
    <w:p/>
    <w:p>
      <w:pPr>
        <w:pStyle w:val="Heading3"/>
      </w:pPr>
      <w:r>
        <w:t>10.7.2 AI 辅助全景制作</w:t>
      </w:r>
    </w:p>
    <w:p/>
    <w:p>
      <w:pPr>
        <w:ind w:firstLine="482"/>
      </w:pPr>
      <w:r>
        <w:rPr>
          <w:rFonts w:ascii="宋体" w:hAnsi="宋体" w:eastAsia="宋体"/>
          <w:sz w:val="24"/>
        </w:rPr>
        <w:t>人工智能正在变革全景制作流程[4]：（1）AI 拼接——使用深度学习模型自动优化拼接缝位置和色彩融合，替代手动 PTGui 操作；（2）AI 超分辨率——将 4K 全景图通过 AI 模型（如 Real-ESRGAN）提升至 8K 分辨率，降低采集设备要求；（3）AI 补全——对于拍摄中缺失的区域（如天空、地面），使用 AI 生成式模型自动补全；（4）AI 导览——使用大语言模型生成景点解说文本，结合 TTS 自动生成多语言语音讲解，大幅降低内容制作成本。</w:t>
      </w:r>
    </w:p>
    <w:p/>
    <w:p>
      <w:pPr>
        <w:pStyle w:val="Heading3"/>
      </w:pPr>
      <w:r>
        <w:t>10.7.3 5G 与云端渲染</w:t>
      </w:r>
    </w:p>
    <w:p/>
    <w:p>
      <w:pPr>
        <w:ind w:firstLine="482"/>
      </w:pPr>
      <w:r>
        <w:rPr>
          <w:rFonts w:ascii="宋体" w:hAnsi="宋体" w:eastAsia="宋体"/>
          <w:sz w:val="24"/>
        </w:rPr>
        <w:t>5G 网络的高带宽和低延迟特性使云端渲染全景应用成为可能——将高分辨率全景图存储在云端服务器，根据用户视角实时流式传输可见区域（Tiled Streaming），实现 16K 甚至更高分辨率的全景体验，而不受终端设备性能限制[7]。这一技术已在部分 5G 智慧景区试点应用，未来随着 5G 网络覆盖的完善，云端渲染将成为大型景区 VR 全景应用的主流部署方案。</w:t>
      </w:r>
    </w:p>
    <w:p/>
    <w:p>
      <w:pPr>
        <w:spacing w:before="60" w:after="60"/>
        <w:ind w:left="567"/>
      </w:pPr>
      <w:r>
        <w:rPr>
          <w:rFonts w:ascii="楷体" w:hAnsi="楷体" w:eastAsia="楷体"/>
          <w:i/>
          <w:sz w:val="22"/>
        </w:rPr>
        <w:t>**知识卡片：VR 全景制作检查清单**</w:t>
      </w:r>
    </w:p>
    <w:p>
      <w:pPr>
        <w:spacing w:before="60" w:after="60"/>
        <w:ind w:left="567"/>
      </w:pPr>
      <w:r>
        <w:rPr>
          <w:rFonts w:ascii="楷体" w:hAnsi="楷体" w:eastAsia="楷体"/>
          <w:i/>
          <w:sz w:val="22"/>
        </w:rPr>
        <w:t>- [ ] 全景图分辨率 ≥ 4K（推荐 8K）</w:t>
      </w:r>
    </w:p>
    <w:p>
      <w:pPr>
        <w:spacing w:before="60" w:after="60"/>
        <w:ind w:left="567"/>
      </w:pPr>
      <w:r>
        <w:rPr>
          <w:rFonts w:ascii="楷体" w:hAnsi="楷体" w:eastAsia="楷体"/>
          <w:i/>
          <w:sz w:val="22"/>
        </w:rPr>
        <w:t>- [ ] 拼接缝无明显可见</w:t>
      </w:r>
    </w:p>
    <w:p>
      <w:pPr>
        <w:spacing w:before="60" w:after="60"/>
        <w:ind w:left="567"/>
      </w:pPr>
      <w:r>
        <w:rPr>
          <w:rFonts w:ascii="楷体" w:hAnsi="楷体" w:eastAsia="楷体"/>
          <w:i/>
          <w:sz w:val="22"/>
        </w:rPr>
        <w:t>- [ ] 曝光和白平衡全局一致</w:t>
      </w:r>
    </w:p>
    <w:p>
      <w:pPr>
        <w:spacing w:before="60" w:after="60"/>
        <w:ind w:left="567"/>
      </w:pPr>
      <w:r>
        <w:rPr>
          <w:rFonts w:ascii="楷体" w:hAnsi="楷体" w:eastAsia="楷体"/>
          <w:i/>
          <w:sz w:val="22"/>
        </w:rPr>
        <w:t>- [ ] 至少 5 个全景点位</w:t>
      </w:r>
    </w:p>
    <w:p>
      <w:pPr>
        <w:spacing w:before="60" w:after="60"/>
        <w:ind w:left="567"/>
      </w:pPr>
      <w:r>
        <w:rPr>
          <w:rFonts w:ascii="楷体" w:hAnsi="楷体" w:eastAsia="楷体"/>
          <w:i/>
          <w:sz w:val="22"/>
        </w:rPr>
        <w:t>- [ ] 每个点位有至少 1 个交互热点</w:t>
      </w:r>
    </w:p>
    <w:p>
      <w:pPr>
        <w:spacing w:before="60" w:after="60"/>
        <w:ind w:left="567"/>
      </w:pPr>
      <w:r>
        <w:rPr>
          <w:rFonts w:ascii="楷体" w:hAnsi="楷体" w:eastAsia="楷体"/>
          <w:i/>
          <w:sz w:val="22"/>
        </w:rPr>
        <w:t>- [ ] VR 模式下帧率 ≥ 60fps</w:t>
      </w:r>
    </w:p>
    <w:p>
      <w:pPr>
        <w:spacing w:before="60" w:after="60"/>
        <w:ind w:left="567"/>
      </w:pPr>
      <w:r>
        <w:rPr>
          <w:rFonts w:ascii="楷体" w:hAnsi="楷体" w:eastAsia="楷体"/>
          <w:i/>
          <w:sz w:val="22"/>
        </w:rPr>
        <w:t>- [ ] 移动端加载时间 ≤ 10 秒</w:t>
      </w:r>
    </w:p>
    <w:p>
      <w:pPr>
        <w:spacing w:before="60" w:after="60"/>
        <w:ind w:left="567"/>
      </w:pPr>
      <w:r>
        <w:rPr>
          <w:rFonts w:ascii="楷体" w:hAnsi="楷体" w:eastAsia="楷体"/>
          <w:i/>
          <w:sz w:val="22"/>
        </w:rPr>
        <w:t>- [ ] 含导航地图和进度提示</w:t>
      </w:r>
    </w:p>
    <w:p>
      <w:pPr>
        <w:spacing w:before="60" w:after="60"/>
        <w:ind w:left="567"/>
      </w:pPr>
      <w:r>
        <w:rPr>
          <w:rFonts w:ascii="楷体" w:hAnsi="楷体" w:eastAsia="楷体"/>
          <w:i/>
          <w:sz w:val="22"/>
        </w:rPr>
        <w:t>- [ ] 多平台测试通过（PC/手机/VR头显）</w:t>
      </w:r>
    </w:p>
    <w:p/>
    <w:p>
      <w:pPr>
        <w:ind w:firstLine="482"/>
      </w:pPr>
      <w:r>
        <w:rPr>
          <w:rFonts w:ascii="宋体" w:hAnsi="宋体" w:eastAsia="宋体"/>
          <w:sz w:val="24"/>
        </w:rPr>
        <w:t>---</w:t>
      </w:r>
    </w:p>
    <w:p/>
    <w:p>
      <w:pPr>
        <w:pStyle w:val="Heading3"/>
      </w:pPr>
      <w:r>
        <w:t>10.4.5 高级交互功能开发</w:t>
      </w:r>
    </w:p>
    <w:p/>
    <w:p>
      <w:pPr>
        <w:ind w:firstLine="482"/>
      </w:pPr>
      <w:r>
        <w:rPr>
          <w:rFonts w:ascii="宋体" w:hAnsi="宋体" w:eastAsia="宋体"/>
          <w:sz w:val="24"/>
        </w:rPr>
        <w:t>在基础热点交互之上，可以为 VR 全景应用添加更多高级交互功能以提升用户体验[2]。</w:t>
      </w:r>
    </w:p>
    <w:p/>
    <w:p>
      <w:pPr>
        <w:ind w:firstLine="482"/>
      </w:pPr>
      <w:r>
        <w:rPr>
          <w:rFonts w:ascii="宋体" w:hAnsi="宋体" w:eastAsia="宋体"/>
          <w:b/>
          <w:sz w:val="24"/>
        </w:rPr>
        <w:t>场景过渡效果</w:t>
      </w:r>
      <w:r>
        <w:rPr>
          <w:rFonts w:ascii="宋体" w:hAnsi="宋体" w:eastAsia="宋体"/>
          <w:sz w:val="24"/>
        </w:rPr>
        <w:t>：默认的场景切换是瞬间替换全景图，体验较为突兀。可以添加淡入淡出过渡效果——在场景切换时，先创建一个黑色半透明遮罩层，渐变到完全不透明（300ms），切换全景图后再渐变回透明（300ms）。使用 A-Frame 的 animation 组件实现：</w:t>
      </w:r>
    </w:p>
    <w:p/>
    <w:p>
      <w:pPr>
        <w:spacing w:after="0" w:line="240" w:lineRule="auto"/>
        <w:shd w:fill="F5F5F5" w:val="clear"/>
      </w:pPr>
      <w:r>
        <w:rPr>
          <w:rFonts w:ascii="Consolas" w:hAnsi="Consolas"/>
          <w:color w:val="323232"/>
          <w:sz w:val="18"/>
        </w:rPr>
        <w:t>&lt;a-entity id="fader" geometry="primitive: plane" material="color: black; opacity: 0"</w:t>
      </w:r>
    </w:p>
    <w:p>
      <w:pPr>
        <w:spacing w:after="0" w:line="240" w:lineRule="auto"/>
        <w:shd w:fill="F5F5F5" w:val="clear"/>
      </w:pPr>
      <w:r>
        <w:rPr>
          <w:rFonts w:ascii="Consolas" w:hAnsi="Consolas"/>
          <w:color w:val="323232"/>
          <w:sz w:val="18"/>
        </w:rPr>
        <w:t xml:space="preserve">          position="0 0 -0.5" animation__fadeout="property: material.opacity; to: 1; dur: 300; startEvents: fadeout"</w:t>
      </w:r>
    </w:p>
    <w:p>
      <w:pPr>
        <w:spacing w:after="0" w:line="240" w:lineRule="auto"/>
        <w:shd w:fill="F5F5F5" w:val="clear"/>
      </w:pPr>
      <w:r>
        <w:rPr>
          <w:rFonts w:ascii="Consolas" w:hAnsi="Consolas"/>
          <w:color w:val="323232"/>
          <w:sz w:val="18"/>
        </w:rPr>
        <w:t xml:space="preserve">          animation__fadein="property: material.opacity; to: 0; dur: 300; startEvents: fadein"&gt;</w:t>
      </w:r>
    </w:p>
    <w:p>
      <w:pPr>
        <w:spacing w:after="0" w:line="240" w:lineRule="auto"/>
        <w:shd w:fill="F5F5F5" w:val="clear"/>
      </w:pPr>
      <w:r>
        <w:rPr>
          <w:rFonts w:ascii="Consolas" w:hAnsi="Consolas"/>
          <w:color w:val="323232"/>
          <w:sz w:val="18"/>
        </w:rPr>
        <w:t>&lt;/a-entity&gt;</w:t>
      </w:r>
    </w:p>
    <w:p/>
    <w:p>
      <w:pPr>
        <w:ind w:firstLine="482"/>
      </w:pPr>
      <w:r>
        <w:rPr>
          <w:rFonts w:ascii="宋体" w:hAnsi="宋体" w:eastAsia="宋体"/>
          <w:b/>
          <w:sz w:val="24"/>
        </w:rPr>
        <w:t>动态信息面板</w:t>
      </w:r>
      <w:r>
        <w:rPr>
          <w:rFonts w:ascii="宋体" w:hAnsi="宋体" w:eastAsia="宋体"/>
          <w:sz w:val="24"/>
        </w:rPr>
        <w:t>：当用户点击信息热点时，在视野中央弹出图文信息面板。面板包含景点名称（大号标题）、简介（正文文本）、图片（缩略图）和关闭按钮。面板位置固定在相机前方 2 米处，跟随用户头部转动保持相对位置。使用 A-Frame 的 look-controls 的 enabled 属性在面板打开时暂时禁用头部转动，避免用户在阅读时画面晃动。</w:t>
      </w:r>
    </w:p>
    <w:p/>
    <w:p>
      <w:pPr>
        <w:ind w:firstLine="482"/>
      </w:pPr>
      <w:r>
        <w:rPr>
          <w:rFonts w:ascii="宋体" w:hAnsi="宋体" w:eastAsia="宋体"/>
          <w:b/>
          <w:sz w:val="24"/>
        </w:rPr>
        <w:t>进度追踪系统</w:t>
      </w:r>
      <w:r>
        <w:rPr>
          <w:rFonts w:ascii="宋体" w:hAnsi="宋体" w:eastAsia="宋体"/>
          <w:sz w:val="24"/>
        </w:rPr>
        <w:t>：在界面底部添加进度条，显示用户已浏览的场景数量（如"3/8 个景点已浏览"）。每访问一个新场景，进度条增加并播放简短的音效提示。当所有场景都浏览完毕后，显示"游览完成"祝贺信息，并提供分享到社交媒体的按钮。</w:t>
      </w:r>
    </w:p>
    <w:p/>
    <w:p>
      <w:pPr>
        <w:ind w:firstLine="482"/>
      </w:pPr>
      <w:r>
        <w:rPr>
          <w:rFonts w:ascii="宋体" w:hAnsi="宋体" w:eastAsia="宋体"/>
          <w:b/>
          <w:sz w:val="24"/>
        </w:rPr>
        <w:t>环境音效管理</w:t>
      </w:r>
      <w:r>
        <w:rPr>
          <w:rFonts w:ascii="宋体" w:hAnsi="宋体" w:eastAsia="宋体"/>
          <w:sz w:val="24"/>
        </w:rPr>
        <w:t>：每个全景场景应配备与该场景匹配的环境音效——瀑布场景播放水流声、溶洞场景播放滴水声、森林场景播放鸟鸣声。使用 A-Frame 的 positional sound 组件实现空间音频效果，声音随着用户头部转动产生方向变化，增强沉浸感。环境音效应循环播放且音量适中（建议 -20dB），不干扰语音讲解。</w:t>
      </w:r>
    </w:p>
    <w:p/>
    <w:p>
      <w:pPr>
        <w:pStyle w:val="Heading3"/>
      </w:pPr>
      <w:r>
        <w:t>10.4.6 多平台适配与响应式设计</w:t>
      </w:r>
    </w:p>
    <w:p/>
    <w:p>
      <w:pPr>
        <w:ind w:firstLine="482"/>
      </w:pPr>
      <w:r>
        <w:rPr>
          <w:rFonts w:ascii="宋体" w:hAnsi="宋体" w:eastAsia="宋体"/>
          <w:sz w:val="24"/>
        </w:rPr>
        <w:t>VR 全景应用需要在多种设备上运行，包括 PC 浏览器、手机浏览器和 VR 头显[2]。不同设备的屏幕尺寸、输入方式和性能水平差异很大，需要进行响应式适配。</w:t>
      </w:r>
    </w:p>
    <w:p/>
    <w:p>
      <w:pPr>
        <w:ind w:firstLine="482"/>
      </w:pPr>
      <w:r>
        <w:rPr>
          <w:rFonts w:ascii="宋体" w:hAnsi="宋体" w:eastAsia="宋体"/>
          <w:b/>
          <w:sz w:val="24"/>
        </w:rPr>
        <w:t>PC 浏览器适配</w:t>
      </w:r>
      <w:r>
        <w:rPr>
          <w:rFonts w:ascii="宋体" w:hAnsi="宋体" w:eastAsia="宋体"/>
          <w:sz w:val="24"/>
        </w:rPr>
        <w:t>：PC 端使用鼠标拖拽控制视角，滚轮缩放。界面元素（导航地图、信息面板）可以更大更详细。利用 PC 的强大性能，可以加载 8K 全分辨率全景图。</w:t>
      </w:r>
    </w:p>
    <w:p/>
    <w:p>
      <w:pPr>
        <w:ind w:firstLine="482"/>
      </w:pPr>
      <w:r>
        <w:rPr>
          <w:rFonts w:ascii="宋体" w:hAnsi="宋体" w:eastAsia="宋体"/>
          <w:b/>
          <w:sz w:val="24"/>
        </w:rPr>
        <w:t>手机浏览器适配</w:t>
      </w:r>
      <w:r>
        <w:rPr>
          <w:rFonts w:ascii="宋体" w:hAnsi="宋体" w:eastAsia="宋体"/>
          <w:sz w:val="24"/>
        </w:rPr>
        <w:t>：手机端使用陀螺仪传感器控制视角（用户转动手机即可环视全景），触摸点击触发交互。界面元素需要简化以适应小屏幕——导航地图缩小为右下角缩略图，信息面板改为底部弹出的半屏面板。手机端建议加载 4K 全景图以平衡画质和性能。</w:t>
      </w:r>
    </w:p>
    <w:p/>
    <w:p>
      <w:pPr>
        <w:ind w:firstLine="482"/>
      </w:pPr>
      <w:r>
        <w:rPr>
          <w:rFonts w:ascii="宋体" w:hAnsi="宋体" w:eastAsia="宋体"/>
          <w:b/>
          <w:sz w:val="24"/>
        </w:rPr>
        <w:t>VR 头显适配</w:t>
      </w:r>
      <w:r>
        <w:rPr>
          <w:rFonts w:ascii="宋体" w:hAnsi="宋体" w:eastAsia="宋体"/>
          <w:sz w:val="24"/>
        </w:rPr>
        <w:t>：VR 模式下，使用头部转动控制视角，手柄射线触发交互。界面元素需要重新设计以适应 VR 环境——所有 UI 元素应以 3D 空间中的面板形式呈现，而非传统 2D 叠加层。热点需要增大碰撞体积（半径 0.3-0.5m）以方便射线瞄准。VR 模式下禁用鼠标和触摸输入，完全依赖头部和手柄交互。</w:t>
      </w:r>
    </w:p>
    <w:p/>
    <w:p>
      <w:pPr>
        <w:ind w:firstLine="482"/>
      </w:pPr>
      <w:r>
        <w:rPr>
          <w:rFonts w:ascii="宋体" w:hAnsi="宋体" w:eastAsia="宋体"/>
          <w:sz w:val="24"/>
        </w:rPr>
        <w:t>设备检测与自动适配代码示例：</w:t>
      </w:r>
    </w:p>
    <w:p/>
    <w:p>
      <w:pPr>
        <w:spacing w:after="0" w:line="240" w:lineRule="auto"/>
        <w:shd w:fill="F5F5F5" w:val="clear"/>
      </w:pPr>
      <w:r>
        <w:rPr>
          <w:rFonts w:ascii="Consolas" w:hAnsi="Consolas"/>
          <w:color w:val="323232"/>
          <w:sz w:val="18"/>
        </w:rPr>
        <w:t>function detectDevice() {</w:t>
      </w:r>
    </w:p>
    <w:p>
      <w:pPr>
        <w:spacing w:after="0" w:line="240" w:lineRule="auto"/>
        <w:shd w:fill="F5F5F5" w:val="clear"/>
      </w:pPr>
      <w:r>
        <w:rPr>
          <w:rFonts w:ascii="Consolas" w:hAnsi="Consolas"/>
          <w:color w:val="323232"/>
          <w:sz w:val="18"/>
        </w:rPr>
        <w:t xml:space="preserve">  const ua = navigator.userAgent;</w:t>
      </w:r>
    </w:p>
    <w:p>
      <w:pPr>
        <w:spacing w:after="0" w:line="240" w:lineRule="auto"/>
        <w:shd w:fill="F5F5F5" w:val="clear"/>
      </w:pPr>
      <w:r>
        <w:rPr>
          <w:rFonts w:ascii="Consolas" w:hAnsi="Consolas"/>
          <w:color w:val="323232"/>
          <w:sz w:val="18"/>
        </w:rPr>
        <w:t xml:space="preserve">  const isMobile = /Android|iPhone|iPad/i.test(ua);</w:t>
      </w:r>
    </w:p>
    <w:p>
      <w:pPr>
        <w:spacing w:after="0" w:line="240" w:lineRule="auto"/>
        <w:shd w:fill="F5F5F5" w:val="clear"/>
      </w:pPr>
      <w:r>
        <w:rPr>
          <w:rFonts w:ascii="Consolas" w:hAnsi="Consolas"/>
          <w:color w:val="323232"/>
          <w:sz w:val="18"/>
        </w:rPr>
        <w:t xml:space="preserve">  const isVR = navigator.xr &amp;&amp; navigator.xr.isSessionSupported('immersive-vr');</w:t>
      </w:r>
    </w:p>
    <w:p>
      <w:pPr>
        <w:spacing w:after="0" w:line="240" w:lineRule="auto"/>
        <w:shd w:fill="F5F5F5" w:val="clear"/>
      </w:pPr>
      <w:r>
        <w:rPr>
          <w:rFonts w:ascii="Consolas" w:hAnsi="Consolas"/>
          <w:color w:val="323232"/>
          <w:sz w:val="18"/>
        </w:rPr>
        <w:t xml:space="preserve">  return { mobile: isMobile, vr: isVR };</w:t>
      </w:r>
    </w:p>
    <w:p>
      <w:pPr>
        <w:spacing w:after="0" w:line="240" w:lineRule="auto"/>
        <w:shd w:fill="F5F5F5" w:val="clear"/>
      </w:pPr>
      <w:r>
        <w:rPr>
          <w:rFonts w:ascii="Consolas" w:hAnsi="Consolas"/>
          <w:color w:val="323232"/>
          <w:sz w:val="18"/>
        </w:rPr>
        <w:t>}</w:t>
      </w:r>
    </w:p>
    <w:p>
      <w:pPr>
        <w:spacing w:after="0" w:line="240" w:lineRule="auto"/>
        <w:shd w:fill="F5F5F5" w:val="clear"/>
      </w:pPr>
      <w:r>
        <w:rPr>
          <w:rFonts w:ascii="Consolas" w:hAnsi="Consolas"/>
          <w:color w:val="323232"/>
          <w:sz w:val="18"/>
        </w:rPr>
      </w:r>
    </w:p>
    <w:p>
      <w:pPr>
        <w:spacing w:after="0" w:line="240" w:lineRule="auto"/>
        <w:shd w:fill="F5F5F5" w:val="clear"/>
      </w:pPr>
      <w:r>
        <w:rPr>
          <w:rFonts w:ascii="Consolas" w:hAnsi="Consolas"/>
          <w:color w:val="323232"/>
          <w:sz w:val="18"/>
        </w:rPr>
        <w:t>function loadPanorama(sceneId) {</w:t>
      </w:r>
    </w:p>
    <w:p>
      <w:pPr>
        <w:spacing w:after="0" w:line="240" w:lineRule="auto"/>
        <w:shd w:fill="F5F5F5" w:val="clear"/>
      </w:pPr>
      <w:r>
        <w:rPr>
          <w:rFonts w:ascii="Consolas" w:hAnsi="Consolas"/>
          <w:color w:val="323232"/>
          <w:sz w:val="18"/>
        </w:rPr>
        <w:t xml:space="preserve">  const device = detectDevice();</w:t>
      </w:r>
    </w:p>
    <w:p>
      <w:pPr>
        <w:spacing w:after="0" w:line="240" w:lineRule="auto"/>
        <w:shd w:fill="F5F5F5" w:val="clear"/>
      </w:pPr>
      <w:r>
        <w:rPr>
          <w:rFonts w:ascii="Consolas" w:hAnsi="Consolas"/>
          <w:color w:val="323232"/>
          <w:sz w:val="18"/>
        </w:rPr>
        <w:t xml:space="preserve">  const resolution = device.mobile ? '4k' : '8k';</w:t>
      </w:r>
    </w:p>
    <w:p>
      <w:pPr>
        <w:spacing w:after="0" w:line="240" w:lineRule="auto"/>
        <w:shd w:fill="F5F5F5" w:val="clear"/>
      </w:pPr>
      <w:r>
        <w:rPr>
          <w:rFonts w:ascii="Consolas" w:hAnsi="Consolas"/>
          <w:color w:val="323232"/>
          <w:sz w:val="18"/>
        </w:rPr>
        <w:t xml:space="preserve">  const sky = document.querySelector('a-sky');</w:t>
      </w:r>
    </w:p>
    <w:p>
      <w:pPr>
        <w:spacing w:after="0" w:line="240" w:lineRule="auto"/>
        <w:shd w:fill="F5F5F5" w:val="clear"/>
      </w:pPr>
      <w:r>
        <w:rPr>
          <w:rFonts w:ascii="Consolas" w:hAnsi="Consolas"/>
          <w:color w:val="323232"/>
          <w:sz w:val="18"/>
        </w:rPr>
        <w:t xml:space="preserve">  sky.setAttribute('src', `panorama_${sceneId}_${resolution}.webp`);</w:t>
      </w:r>
    </w:p>
    <w:p>
      <w:pPr>
        <w:spacing w:after="0" w:line="240" w:lineRule="auto"/>
        <w:shd w:fill="F5F5F5" w:val="clear"/>
      </w:pPr>
      <w:r>
        <w:rPr>
          <w:rFonts w:ascii="Consolas" w:hAnsi="Consolas"/>
          <w:color w:val="323232"/>
          <w:sz w:val="18"/>
        </w:rPr>
        <w:t>}</w:t>
      </w:r>
    </w:p>
    <w:p/>
    <w:p>
      <w:pPr>
        <w:ind w:firstLine="482"/>
      </w:pPr>
      <w:r>
        <w:rPr>
          <w:rFonts w:ascii="宋体" w:hAnsi="宋体" w:eastAsia="宋体"/>
          <w:sz w:val="24"/>
        </w:rPr>
        <w:t>这一适配策略确保应用在不同设备上都能提供最佳的用户体验——PC 端享受高画质，手机端获得流畅体验，VR 头显获得沉浸式交互。</w:t>
      </w:r>
    </w:p>
    <w:p/>
    <w:p>
      <w:pPr>
        <w:pStyle w:val="Heading2"/>
      </w:pPr>
      <w:r>
        <w:t>10.8 实训项目管理与团队协作</w:t>
      </w:r>
    </w:p>
    <w:p/>
    <w:p>
      <w:pPr>
        <w:pStyle w:val="Heading3"/>
      </w:pPr>
      <w:r>
        <w:t>10.8.1 团队角色与职责分工</w:t>
      </w:r>
    </w:p>
    <w:p/>
    <w:p>
      <w:pPr>
        <w:ind w:firstLine="482"/>
      </w:pPr>
      <w:r>
        <w:rPr>
          <w:rFonts w:ascii="宋体" w:hAnsi="宋体" w:eastAsia="宋体"/>
          <w:sz w:val="24"/>
        </w:rPr>
        <w:t>VR 全景景区漫游项目通常需要 4-6 人的团队协作完成[8]。建议的角色分工如下：</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角色</w:t>
            </w:r>
          </w:p>
        </w:tc>
        <w:tc>
          <w:tcPr>
            <w:tcW w:type="dxa" w:w="2078"/>
            <w:shd w:fill="D9E2F3" w:val="clear"/>
          </w:tcPr>
          <w:p>
            <w:pPr>
              <w:jc w:val="center"/>
            </w:pPr>
            <w:r/>
            <w:r>
              <w:rPr>
                <w:rFonts w:ascii="黑体" w:hAnsi="黑体" w:eastAsia="黑体"/>
                <w:b/>
                <w:sz w:val="20"/>
              </w:rPr>
              <w:t>人数</w:t>
            </w:r>
          </w:p>
        </w:tc>
        <w:tc>
          <w:tcPr>
            <w:tcW w:type="dxa" w:w="2078"/>
            <w:shd w:fill="D9E2F3" w:val="clear"/>
          </w:tcPr>
          <w:p>
            <w:pPr>
              <w:jc w:val="center"/>
            </w:pPr>
            <w:r/>
            <w:r>
              <w:rPr>
                <w:rFonts w:ascii="黑体" w:hAnsi="黑体" w:eastAsia="黑体"/>
                <w:b/>
                <w:sz w:val="20"/>
              </w:rPr>
              <w:t>职责</w:t>
            </w:r>
          </w:p>
        </w:tc>
        <w:tc>
          <w:tcPr>
            <w:tcW w:type="dxa" w:w="2078"/>
            <w:shd w:fill="D9E2F3" w:val="clear"/>
          </w:tcPr>
          <w:p>
            <w:pPr>
              <w:jc w:val="center"/>
            </w:pPr>
            <w:r/>
            <w:r>
              <w:rPr>
                <w:rFonts w:ascii="黑体" w:hAnsi="黑体" w:eastAsia="黑体"/>
                <w:b/>
                <w:sz w:val="20"/>
              </w:rPr>
              <w:t>技能要求</w:t>
            </w:r>
          </w:p>
        </w:tc>
      </w:tr>
      <w:tr>
        <w:tc>
          <w:tcPr>
            <w:tcW w:type="dxa" w:w="2078"/>
          </w:tcPr>
          <w:p>
            <w:r/>
            <w:r>
              <w:rPr>
                <w:rFonts w:ascii="宋体" w:hAnsi="宋体" w:eastAsia="宋体"/>
                <w:sz w:val="20"/>
              </w:rPr>
              <w:t>项目经理</w:t>
            </w:r>
          </w:p>
        </w:tc>
        <w:tc>
          <w:tcPr>
            <w:tcW w:type="dxa" w:w="2078"/>
          </w:tcPr>
          <w:p>
            <w:r/>
            <w:r>
              <w:rPr>
                <w:rFonts w:ascii="宋体" w:hAnsi="宋体" w:eastAsia="宋体"/>
                <w:sz w:val="20"/>
              </w:rPr>
              <w:t>1</w:t>
            </w:r>
          </w:p>
        </w:tc>
        <w:tc>
          <w:tcPr>
            <w:tcW w:type="dxa" w:w="2078"/>
          </w:tcPr>
          <w:p>
            <w:r/>
            <w:r>
              <w:rPr>
                <w:rFonts w:ascii="宋体" w:hAnsi="宋体" w:eastAsia="宋体"/>
                <w:sz w:val="20"/>
              </w:rPr>
              <w:t>进度管理、需求对接、质量控制</w:t>
            </w:r>
          </w:p>
        </w:tc>
        <w:tc>
          <w:tcPr>
            <w:tcW w:type="dxa" w:w="2078"/>
          </w:tcPr>
          <w:p>
            <w:r/>
            <w:r>
              <w:rPr>
                <w:rFonts w:ascii="宋体" w:hAnsi="宋体" w:eastAsia="宋体"/>
                <w:sz w:val="20"/>
              </w:rPr>
              <w:t>项目管理、沟通协调</w:t>
            </w:r>
          </w:p>
        </w:tc>
      </w:tr>
      <w:tr>
        <w:tc>
          <w:tcPr>
            <w:tcW w:type="dxa" w:w="2078"/>
          </w:tcPr>
          <w:p>
            <w:r/>
            <w:r>
              <w:rPr>
                <w:rFonts w:ascii="宋体" w:hAnsi="宋体" w:eastAsia="宋体"/>
                <w:sz w:val="20"/>
              </w:rPr>
              <w:t>全景摄影师</w:t>
            </w:r>
          </w:p>
        </w:tc>
        <w:tc>
          <w:tcPr>
            <w:tcW w:type="dxa" w:w="2078"/>
          </w:tcPr>
          <w:p>
            <w:r/>
            <w:r>
              <w:rPr>
                <w:rFonts w:ascii="宋体" w:hAnsi="宋体" w:eastAsia="宋体"/>
                <w:sz w:val="20"/>
              </w:rPr>
              <w:t>1-2</w:t>
            </w:r>
          </w:p>
        </w:tc>
        <w:tc>
          <w:tcPr>
            <w:tcW w:type="dxa" w:w="2078"/>
          </w:tcPr>
          <w:p>
            <w:r/>
            <w:r>
              <w:rPr>
                <w:rFonts w:ascii="宋体" w:hAnsi="宋体" w:eastAsia="宋体"/>
                <w:sz w:val="20"/>
              </w:rPr>
              <w:t>实地拍摄、素材整理</w:t>
            </w:r>
          </w:p>
        </w:tc>
        <w:tc>
          <w:tcPr>
            <w:tcW w:type="dxa" w:w="2078"/>
          </w:tcPr>
          <w:p>
            <w:r/>
            <w:r>
              <w:rPr>
                <w:rFonts w:ascii="宋体" w:hAnsi="宋体" w:eastAsia="宋体"/>
                <w:sz w:val="20"/>
              </w:rPr>
              <w:t>摄影技术、全景设备操作</w:t>
            </w:r>
          </w:p>
        </w:tc>
      </w:tr>
      <w:tr>
        <w:tc>
          <w:tcPr>
            <w:tcW w:type="dxa" w:w="2078"/>
          </w:tcPr>
          <w:p>
            <w:r/>
            <w:r>
              <w:rPr>
                <w:rFonts w:ascii="宋体" w:hAnsi="宋体" w:eastAsia="宋体"/>
                <w:sz w:val="20"/>
              </w:rPr>
              <w:t>后期处理</w:t>
            </w:r>
          </w:p>
        </w:tc>
        <w:tc>
          <w:tcPr>
            <w:tcW w:type="dxa" w:w="2078"/>
          </w:tcPr>
          <w:p>
            <w:r/>
            <w:r>
              <w:rPr>
                <w:rFonts w:ascii="宋体" w:hAnsi="宋体" w:eastAsia="宋体"/>
                <w:sz w:val="20"/>
              </w:rPr>
              <w:t>1</w:t>
            </w:r>
          </w:p>
        </w:tc>
        <w:tc>
          <w:tcPr>
            <w:tcW w:type="dxa" w:w="2078"/>
          </w:tcPr>
          <w:p>
            <w:r/>
            <w:r>
              <w:rPr>
                <w:rFonts w:ascii="宋体" w:hAnsi="宋体" w:eastAsia="宋体"/>
                <w:sz w:val="20"/>
              </w:rPr>
              <w:t>全景拼接、调色、音频处理</w:t>
            </w:r>
          </w:p>
        </w:tc>
        <w:tc>
          <w:tcPr>
            <w:tcW w:type="dxa" w:w="2078"/>
          </w:tcPr>
          <w:p>
            <w:r/>
            <w:r>
              <w:rPr>
                <w:rFonts w:ascii="宋体" w:hAnsi="宋体" w:eastAsia="宋体"/>
                <w:sz w:val="20"/>
              </w:rPr>
              <w:t>PTGui/Photoshop/Lightroom</w:t>
            </w:r>
          </w:p>
        </w:tc>
      </w:tr>
      <w:tr>
        <w:tc>
          <w:tcPr>
            <w:tcW w:type="dxa" w:w="2078"/>
          </w:tcPr>
          <w:p>
            <w:r/>
            <w:r>
              <w:rPr>
                <w:rFonts w:ascii="宋体" w:hAnsi="宋体" w:eastAsia="宋体"/>
                <w:sz w:val="20"/>
              </w:rPr>
              <w:t>前端开发</w:t>
            </w:r>
          </w:p>
        </w:tc>
        <w:tc>
          <w:tcPr>
            <w:tcW w:type="dxa" w:w="2078"/>
          </w:tcPr>
          <w:p>
            <w:r/>
            <w:r>
              <w:rPr>
                <w:rFonts w:ascii="宋体" w:hAnsi="宋体" w:eastAsia="宋体"/>
                <w:sz w:val="20"/>
              </w:rPr>
              <w:t>1-2</w:t>
            </w:r>
          </w:p>
        </w:tc>
        <w:tc>
          <w:tcPr>
            <w:tcW w:type="dxa" w:w="2078"/>
          </w:tcPr>
          <w:p>
            <w:r/>
            <w:r>
              <w:rPr>
                <w:rFonts w:ascii="宋体" w:hAnsi="宋体" w:eastAsia="宋体"/>
                <w:sz w:val="20"/>
              </w:rPr>
              <w:t>A-Frame 开发、交互设计、部署</w:t>
            </w:r>
          </w:p>
        </w:tc>
        <w:tc>
          <w:tcPr>
            <w:tcW w:type="dxa" w:w="2078"/>
          </w:tcPr>
          <w:p>
            <w:r/>
            <w:r>
              <w:rPr>
                <w:rFonts w:ascii="宋体" w:hAnsi="宋体" w:eastAsia="宋体"/>
                <w:sz w:val="20"/>
              </w:rPr>
              <w:t>HTML/JS/Three.js</w:t>
            </w:r>
          </w:p>
        </w:tc>
      </w:tr>
      <w:tr>
        <w:tc>
          <w:tcPr>
            <w:tcW w:type="dxa" w:w="2078"/>
          </w:tcPr>
          <w:p>
            <w:r/>
            <w:r>
              <w:rPr>
                <w:rFonts w:ascii="宋体" w:hAnsi="宋体" w:eastAsia="宋体"/>
                <w:sz w:val="20"/>
              </w:rPr>
              <w:t>内容策划</w:t>
            </w:r>
          </w:p>
        </w:tc>
        <w:tc>
          <w:tcPr>
            <w:tcW w:type="dxa" w:w="2078"/>
          </w:tcPr>
          <w:p>
            <w:r/>
            <w:r>
              <w:rPr>
                <w:rFonts w:ascii="宋体" w:hAnsi="宋体" w:eastAsia="宋体"/>
                <w:sz w:val="20"/>
              </w:rPr>
              <w:t>1</w:t>
            </w:r>
          </w:p>
        </w:tc>
        <w:tc>
          <w:tcPr>
            <w:tcW w:type="dxa" w:w="2078"/>
          </w:tcPr>
          <w:p>
            <w:r/>
            <w:r>
              <w:rPr>
                <w:rFonts w:ascii="宋体" w:hAnsi="宋体" w:eastAsia="宋体"/>
                <w:sz w:val="20"/>
              </w:rPr>
              <w:t>语音脚本、信息文案、导览路线</w:t>
            </w:r>
          </w:p>
        </w:tc>
        <w:tc>
          <w:tcPr>
            <w:tcW w:type="dxa" w:w="2078"/>
          </w:tcPr>
          <w:p>
            <w:r/>
            <w:r>
              <w:rPr>
                <w:rFonts w:ascii="宋体" w:hAnsi="宋体" w:eastAsia="宋体"/>
                <w:sz w:val="20"/>
              </w:rPr>
              <w:t>旅游管理、文案写作</w:t>
            </w:r>
          </w:p>
        </w:tc>
      </w:tr>
    </w:tbl>
    <w:p/>
    <w:p/>
    <w:p>
      <w:pPr>
        <w:ind w:firstLine="482"/>
      </w:pPr>
      <w:r>
        <w:rPr>
          <w:rFonts w:ascii="宋体" w:hAnsi="宋体" w:eastAsia="宋体"/>
          <w:sz w:val="24"/>
        </w:rPr>
        <w:t>对于高校实训项目，可以由 3-4 名学生组成团队，每人承担 2 个角色的职责。教师担任项目顾问，在关键节点进行指导和评审。</w:t>
      </w:r>
    </w:p>
    <w:p/>
    <w:p>
      <w:pPr>
        <w:pStyle w:val="Heading3"/>
      </w:pPr>
      <w:r>
        <w:t>10.8.2 项目进度管理</w:t>
      </w:r>
    </w:p>
    <w:p/>
    <w:p>
      <w:pPr>
        <w:ind w:firstLine="482"/>
      </w:pPr>
      <w:r>
        <w:rPr>
          <w:rFonts w:ascii="宋体" w:hAnsi="宋体" w:eastAsia="宋体"/>
          <w:sz w:val="24"/>
        </w:rPr>
        <w:t>6 周项目的详细进度安排[8]：</w:t>
      </w:r>
    </w:p>
    <w:p/>
    <w:p>
      <w:pPr>
        <w:ind w:firstLine="482"/>
      </w:pPr>
      <w:r>
        <w:rPr>
          <w:rFonts w:ascii="宋体" w:hAnsi="宋体" w:eastAsia="宋体"/>
          <w:b/>
          <w:sz w:val="24"/>
        </w:rPr>
        <w:t>第 1 周——需求分析与采集准备</w:t>
      </w:r>
      <w:r>
        <w:rPr>
          <w:rFonts w:ascii="宋体" w:hAnsi="宋体" w:eastAsia="宋体"/>
          <w:sz w:val="24"/>
        </w:rPr>
        <w:t>：与景区管理方沟通确认需求，确定采集点位和拍摄计划；准备设备（全景相机、三脚架、备用电池、防潮箱）；制定安全预案（特别是悬崖和溶洞点位）。</w:t>
      </w:r>
    </w:p>
    <w:p/>
    <w:p>
      <w:pPr>
        <w:ind w:firstLine="482"/>
      </w:pPr>
      <w:r>
        <w:rPr>
          <w:rFonts w:ascii="宋体" w:hAnsi="宋体" w:eastAsia="宋体"/>
          <w:b/>
          <w:sz w:val="24"/>
        </w:rPr>
        <w:t>第 2 周——实地采集</w:t>
      </w:r>
      <w:r>
        <w:rPr>
          <w:rFonts w:ascii="宋体" w:hAnsi="宋体" w:eastAsia="宋体"/>
          <w:sz w:val="24"/>
        </w:rPr>
        <w:t>：按计划前往景区进行全景拍摄。每日拍摄结束后将素材备份至移动硬盘和云端，检查拼接质量。如遇天气不佳（雨天、大雾），启用备用拍摄日。拍摄完成后整理素材库，标注每个点位的关键信息。</w:t>
      </w:r>
    </w:p>
    <w:p/>
    <w:p>
      <w:pPr>
        <w:ind w:firstLine="482"/>
      </w:pPr>
      <w:r>
        <w:rPr>
          <w:rFonts w:ascii="宋体" w:hAnsi="宋体" w:eastAsia="宋体"/>
          <w:b/>
          <w:sz w:val="24"/>
        </w:rPr>
        <w:t>第 3 周——后期处理</w:t>
      </w:r>
      <w:r>
        <w:rPr>
          <w:rFonts w:ascii="宋体" w:hAnsi="宋体" w:eastAsia="宋体"/>
          <w:sz w:val="24"/>
        </w:rPr>
        <w:t>：完成全部全景图的拼接、调色和 HDR 合成。修复拼接缝和曝光问题。录制或生成语音讲解音频。整理全景素材库，确保所有素材命名规范、质量达标。</w:t>
      </w:r>
    </w:p>
    <w:p/>
    <w:p>
      <w:pPr>
        <w:ind w:firstLine="482"/>
      </w:pPr>
      <w:r>
        <w:rPr>
          <w:rFonts w:ascii="宋体" w:hAnsi="宋体" w:eastAsia="宋体"/>
          <w:b/>
          <w:sz w:val="24"/>
        </w:rPr>
        <w:t>第 4 周——开发实现</w:t>
      </w:r>
      <w:r>
        <w:rPr>
          <w:rFonts w:ascii="宋体" w:hAnsi="宋体" w:eastAsia="宋体"/>
          <w:sz w:val="24"/>
        </w:rPr>
        <w:t>：搭建 A-Frame 项目框架，实现全景浏览、热点交互、场景跳转、导航地图等核心功能。完成 VR 模式适配和多语言支持。进行内部联调，确保功能完整。</w:t>
      </w:r>
    </w:p>
    <w:p/>
    <w:p>
      <w:pPr>
        <w:ind w:firstLine="482"/>
      </w:pPr>
      <w:r>
        <w:rPr>
          <w:rFonts w:ascii="宋体" w:hAnsi="宋体" w:eastAsia="宋体"/>
          <w:b/>
          <w:sz w:val="24"/>
        </w:rPr>
        <w:t>第 5 周——测试优化</w:t>
      </w:r>
      <w:r>
        <w:rPr>
          <w:rFonts w:ascii="宋体" w:hAnsi="宋体" w:eastAsia="宋体"/>
          <w:sz w:val="24"/>
        </w:rPr>
        <w:t>：进行多平台测试（PC 浏览器、手机浏览器、VR 头显），记录并修复 Bug。实施性能优化（图片压缩、分级加载、CDN 部署）。招募 5-8 名用户进行初步测试，收集反馈。</w:t>
      </w:r>
    </w:p>
    <w:p/>
    <w:p>
      <w:pPr>
        <w:ind w:firstLine="482"/>
      </w:pPr>
      <w:r>
        <w:rPr>
          <w:rFonts w:ascii="宋体" w:hAnsi="宋体" w:eastAsia="宋体"/>
          <w:b/>
          <w:sz w:val="24"/>
        </w:rPr>
        <w:t>第 6 周——发布与文档</w:t>
      </w:r>
      <w:r>
        <w:rPr>
          <w:rFonts w:ascii="宋体" w:hAnsi="宋体" w:eastAsia="宋体"/>
          <w:sz w:val="24"/>
        </w:rPr>
        <w:t>：根据测试反馈进行最终优化，部署到生产环境。编写项目文档（需求文档、技术文档、用户手册、项目报告）。准备项目答辩和演示材料。</w:t>
      </w:r>
    </w:p>
    <w:p/>
    <w:p>
      <w:pPr>
        <w:pStyle w:val="Heading3"/>
      </w:pPr>
      <w:r>
        <w:t>10.8.3 风险管理</w:t>
      </w:r>
    </w:p>
    <w:p/>
    <w:p>
      <w:pPr>
        <w:ind w:firstLine="482"/>
      </w:pPr>
      <w:r>
        <w:rPr>
          <w:rFonts w:ascii="宋体" w:hAnsi="宋体" w:eastAsia="宋体"/>
          <w:sz w:val="24"/>
        </w:rPr>
        <w:t>项目实施中常见的风险及应对措施[8]：</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风险类型</w:t>
            </w:r>
          </w:p>
        </w:tc>
        <w:tc>
          <w:tcPr>
            <w:tcW w:type="dxa" w:w="2078"/>
            <w:shd w:fill="D9E2F3" w:val="clear"/>
          </w:tcPr>
          <w:p>
            <w:pPr>
              <w:jc w:val="center"/>
            </w:pPr>
            <w:r/>
            <w:r>
              <w:rPr>
                <w:rFonts w:ascii="黑体" w:hAnsi="黑体" w:eastAsia="黑体"/>
                <w:b/>
                <w:sz w:val="20"/>
              </w:rPr>
              <w:t>风险描述</w:t>
            </w:r>
          </w:p>
        </w:tc>
        <w:tc>
          <w:tcPr>
            <w:tcW w:type="dxa" w:w="2078"/>
            <w:shd w:fill="D9E2F3" w:val="clear"/>
          </w:tcPr>
          <w:p>
            <w:pPr>
              <w:jc w:val="center"/>
            </w:pPr>
            <w:r/>
            <w:r>
              <w:rPr>
                <w:rFonts w:ascii="黑体" w:hAnsi="黑体" w:eastAsia="黑体"/>
                <w:b/>
                <w:sz w:val="20"/>
              </w:rPr>
              <w:t>应对措施</w:t>
            </w:r>
          </w:p>
        </w:tc>
        <w:tc>
          <w:tcPr>
            <w:tcW w:type="dxa" w:w="2078"/>
            <w:shd w:fill="D9E2F3" w:val="clear"/>
          </w:tcPr>
          <w:p>
            <w:pPr>
              <w:jc w:val="center"/>
            </w:pPr>
            <w:r/>
            <w:r>
              <w:rPr>
                <w:rFonts w:ascii="黑体" w:hAnsi="黑体" w:eastAsia="黑体"/>
                <w:b/>
                <w:sz w:val="20"/>
              </w:rPr>
              <w:t>风险等级</w:t>
            </w:r>
          </w:p>
        </w:tc>
      </w:tr>
      <w:tr>
        <w:tc>
          <w:tcPr>
            <w:tcW w:type="dxa" w:w="2078"/>
          </w:tcPr>
          <w:p>
            <w:r/>
            <w:r>
              <w:rPr>
                <w:rFonts w:ascii="宋体" w:hAnsi="宋体" w:eastAsia="宋体"/>
                <w:sz w:val="20"/>
              </w:rPr>
              <w:t>天气风险</w:t>
            </w:r>
          </w:p>
        </w:tc>
        <w:tc>
          <w:tcPr>
            <w:tcW w:type="dxa" w:w="2078"/>
          </w:tcPr>
          <w:p>
            <w:r/>
            <w:r>
              <w:rPr>
                <w:rFonts w:ascii="宋体" w:hAnsi="宋体" w:eastAsia="宋体"/>
                <w:sz w:val="20"/>
              </w:rPr>
              <w:t>雨天无法户外拍摄</w:t>
            </w:r>
          </w:p>
        </w:tc>
        <w:tc>
          <w:tcPr>
            <w:tcW w:type="dxa" w:w="2078"/>
          </w:tcPr>
          <w:p>
            <w:r/>
            <w:r>
              <w:rPr>
                <w:rFonts w:ascii="宋体" w:hAnsi="宋体" w:eastAsia="宋体"/>
                <w:sz w:val="20"/>
              </w:rPr>
              <w:t>预留 2 天备用日，关注天气预报</w:t>
            </w:r>
          </w:p>
        </w:tc>
        <w:tc>
          <w:tcPr>
            <w:tcW w:type="dxa" w:w="2078"/>
          </w:tcPr>
          <w:p>
            <w:r/>
            <w:r>
              <w:rPr>
                <w:rFonts w:ascii="宋体" w:hAnsi="宋体" w:eastAsia="宋体"/>
                <w:sz w:val="20"/>
              </w:rPr>
              <w:t>高</w:t>
            </w:r>
          </w:p>
        </w:tc>
      </w:tr>
      <w:tr>
        <w:tc>
          <w:tcPr>
            <w:tcW w:type="dxa" w:w="2078"/>
          </w:tcPr>
          <w:p>
            <w:r/>
            <w:r>
              <w:rPr>
                <w:rFonts w:ascii="宋体" w:hAnsi="宋体" w:eastAsia="宋体"/>
                <w:sz w:val="20"/>
              </w:rPr>
              <w:t>设备故障</w:t>
            </w:r>
          </w:p>
        </w:tc>
        <w:tc>
          <w:tcPr>
            <w:tcW w:type="dxa" w:w="2078"/>
          </w:tcPr>
          <w:p>
            <w:r/>
            <w:r>
              <w:rPr>
                <w:rFonts w:ascii="宋体" w:hAnsi="宋体" w:eastAsia="宋体"/>
                <w:sz w:val="20"/>
              </w:rPr>
              <w:t>相机损坏或电池不足</w:t>
            </w:r>
          </w:p>
        </w:tc>
        <w:tc>
          <w:tcPr>
            <w:tcW w:type="dxa" w:w="2078"/>
          </w:tcPr>
          <w:p>
            <w:r/>
            <w:r>
              <w:rPr>
                <w:rFonts w:ascii="宋体" w:hAnsi="宋体" w:eastAsia="宋体"/>
                <w:sz w:val="20"/>
              </w:rPr>
              <w:t>携带备用设备，每日检查电量</w:t>
            </w:r>
          </w:p>
        </w:tc>
        <w:tc>
          <w:tcPr>
            <w:tcW w:type="dxa" w:w="2078"/>
          </w:tcPr>
          <w:p>
            <w:r/>
            <w:r>
              <w:rPr>
                <w:rFonts w:ascii="宋体" w:hAnsi="宋体" w:eastAsia="宋体"/>
                <w:sz w:val="20"/>
              </w:rPr>
              <w:t>中</w:t>
            </w:r>
          </w:p>
        </w:tc>
      </w:tr>
      <w:tr>
        <w:tc>
          <w:tcPr>
            <w:tcW w:type="dxa" w:w="2078"/>
          </w:tcPr>
          <w:p>
            <w:r/>
            <w:r>
              <w:rPr>
                <w:rFonts w:ascii="宋体" w:hAnsi="宋体" w:eastAsia="宋体"/>
                <w:sz w:val="20"/>
              </w:rPr>
              <w:t>拼接质量</w:t>
            </w:r>
          </w:p>
        </w:tc>
        <w:tc>
          <w:tcPr>
            <w:tcW w:type="dxa" w:w="2078"/>
          </w:tcPr>
          <w:p>
            <w:r/>
            <w:r>
              <w:rPr>
                <w:rFonts w:ascii="宋体" w:hAnsi="宋体" w:eastAsia="宋体"/>
                <w:sz w:val="20"/>
              </w:rPr>
              <w:t>复杂场景拼接失败</w:t>
            </w:r>
          </w:p>
        </w:tc>
        <w:tc>
          <w:tcPr>
            <w:tcW w:type="dxa" w:w="2078"/>
          </w:tcPr>
          <w:p>
            <w:r/>
            <w:r>
              <w:rPr>
                <w:rFonts w:ascii="宋体" w:hAnsi="宋体" w:eastAsia="宋体"/>
                <w:sz w:val="20"/>
              </w:rPr>
              <w:t>使用 PTGui 手动拼接，预留修复时间</w:t>
            </w:r>
          </w:p>
        </w:tc>
        <w:tc>
          <w:tcPr>
            <w:tcW w:type="dxa" w:w="2078"/>
          </w:tcPr>
          <w:p>
            <w:r/>
            <w:r>
              <w:rPr>
                <w:rFonts w:ascii="宋体" w:hAnsi="宋体" w:eastAsia="宋体"/>
                <w:sz w:val="20"/>
              </w:rPr>
              <w:t>中</w:t>
            </w:r>
          </w:p>
        </w:tc>
      </w:tr>
      <w:tr>
        <w:tc>
          <w:tcPr>
            <w:tcW w:type="dxa" w:w="2078"/>
          </w:tcPr>
          <w:p>
            <w:r/>
            <w:r>
              <w:rPr>
                <w:rFonts w:ascii="宋体" w:hAnsi="宋体" w:eastAsia="宋体"/>
                <w:sz w:val="20"/>
              </w:rPr>
              <w:t>性能问题</w:t>
            </w:r>
          </w:p>
        </w:tc>
        <w:tc>
          <w:tcPr>
            <w:tcW w:type="dxa" w:w="2078"/>
          </w:tcPr>
          <w:p>
            <w:r/>
            <w:r>
              <w:rPr>
                <w:rFonts w:ascii="宋体" w:hAnsi="宋体" w:eastAsia="宋体"/>
                <w:sz w:val="20"/>
              </w:rPr>
              <w:t>移动端加载慢或卡顿</w:t>
            </w:r>
          </w:p>
        </w:tc>
        <w:tc>
          <w:tcPr>
            <w:tcW w:type="dxa" w:w="2078"/>
          </w:tcPr>
          <w:p>
            <w:r/>
            <w:r>
              <w:rPr>
                <w:rFonts w:ascii="宋体" w:hAnsi="宋体" w:eastAsia="宋体"/>
                <w:sz w:val="20"/>
              </w:rPr>
              <w:t>实施分级加载和图片压缩</w:t>
            </w:r>
          </w:p>
        </w:tc>
        <w:tc>
          <w:tcPr>
            <w:tcW w:type="dxa" w:w="2078"/>
          </w:tcPr>
          <w:p>
            <w:r/>
            <w:r>
              <w:rPr>
                <w:rFonts w:ascii="宋体" w:hAnsi="宋体" w:eastAsia="宋体"/>
                <w:sz w:val="20"/>
              </w:rPr>
              <w:t>高</w:t>
            </w:r>
          </w:p>
        </w:tc>
      </w:tr>
      <w:tr>
        <w:tc>
          <w:tcPr>
            <w:tcW w:type="dxa" w:w="2078"/>
          </w:tcPr>
          <w:p>
            <w:r/>
            <w:r>
              <w:rPr>
                <w:rFonts w:ascii="宋体" w:hAnsi="宋体" w:eastAsia="宋体"/>
                <w:sz w:val="20"/>
              </w:rPr>
              <w:t>用户接受度</w:t>
            </w:r>
          </w:p>
        </w:tc>
        <w:tc>
          <w:tcPr>
            <w:tcW w:type="dxa" w:w="2078"/>
          </w:tcPr>
          <w:p>
            <w:r/>
            <w:r>
              <w:rPr>
                <w:rFonts w:ascii="宋体" w:hAnsi="宋体" w:eastAsia="宋体"/>
                <w:sz w:val="20"/>
              </w:rPr>
              <w:t>用户不会使用 VR 功能</w:t>
            </w:r>
          </w:p>
        </w:tc>
        <w:tc>
          <w:tcPr>
            <w:tcW w:type="dxa" w:w="2078"/>
          </w:tcPr>
          <w:p>
            <w:r/>
            <w:r>
              <w:rPr>
                <w:rFonts w:ascii="宋体" w:hAnsi="宋体" w:eastAsia="宋体"/>
                <w:sz w:val="20"/>
              </w:rPr>
              <w:t>添加引导提示和操作说明</w:t>
            </w:r>
          </w:p>
        </w:tc>
        <w:tc>
          <w:tcPr>
            <w:tcW w:type="dxa" w:w="2078"/>
          </w:tcPr>
          <w:p>
            <w:r/>
            <w:r>
              <w:rPr>
                <w:rFonts w:ascii="宋体" w:hAnsi="宋体" w:eastAsia="宋体"/>
                <w:sz w:val="20"/>
              </w:rPr>
              <w:t>低</w:t>
            </w:r>
          </w:p>
        </w:tc>
      </w:tr>
    </w:tbl>
    <w:p/>
    <w:p/>
    <w:p>
      <w:pPr>
        <w:pStyle w:val="Heading3"/>
      </w:pPr>
      <w:r>
        <w:t>10.8.4 质量标准与验收</w:t>
      </w:r>
    </w:p>
    <w:p/>
    <w:p>
      <w:pPr>
        <w:ind w:firstLine="482"/>
      </w:pPr>
      <w:r>
        <w:rPr>
          <w:rFonts w:ascii="宋体" w:hAnsi="宋体" w:eastAsia="宋体"/>
          <w:sz w:val="24"/>
        </w:rPr>
        <w:t>项目验收应对照以下质量标准[8]：</w:t>
      </w:r>
    </w:p>
    <w:p/>
    <w:p>
      <w:pPr>
        <w:ind w:firstLine="482"/>
      </w:pPr>
      <w:r>
        <w:rPr>
          <w:rFonts w:ascii="宋体" w:hAnsi="宋体" w:eastAsia="宋体"/>
          <w:b/>
          <w:sz w:val="24"/>
        </w:rPr>
        <w:t>素材质量</w:t>
      </w:r>
      <w:r>
        <w:rPr>
          <w:rFonts w:ascii="宋体" w:hAnsi="宋体" w:eastAsia="宋体"/>
          <w:sz w:val="24"/>
        </w:rPr>
        <w:t>：全景图分辨率不低于 4K（推荐 8K）；拼接缝在正常观看距离下不可见；曝光和白平衡全局一致，无明显色差；HDR 合成自然，无光晕或鬼影。</w:t>
      </w:r>
    </w:p>
    <w:p/>
    <w:p>
      <w:pPr>
        <w:ind w:firstLine="482"/>
      </w:pPr>
      <w:r>
        <w:rPr>
          <w:rFonts w:ascii="宋体" w:hAnsi="宋体" w:eastAsia="宋体"/>
          <w:b/>
          <w:sz w:val="24"/>
        </w:rPr>
        <w:t>功能完整性</w:t>
      </w:r>
      <w:r>
        <w:rPr>
          <w:rFonts w:ascii="宋体" w:hAnsi="宋体" w:eastAsia="宋体"/>
          <w:sz w:val="24"/>
        </w:rPr>
        <w:t>：全景浏览流畅，帧率不低于 60fps（VR 模式）；热点交互响应时间不超过 200ms；场景跳转过渡自然（淡入淡出效果）；导航地图准确标注当前位置和可跳转点位；语音讲解播放清晰，无杂音。</w:t>
      </w:r>
    </w:p>
    <w:p/>
    <w:p>
      <w:pPr>
        <w:ind w:firstLine="482"/>
      </w:pPr>
      <w:r>
        <w:rPr>
          <w:rFonts w:ascii="宋体" w:hAnsi="宋体" w:eastAsia="宋体"/>
          <w:b/>
          <w:sz w:val="24"/>
        </w:rPr>
        <w:t>用户体验</w:t>
      </w:r>
      <w:r>
        <w:rPr>
          <w:rFonts w:ascii="宋体" w:hAnsi="宋体" w:eastAsia="宋体"/>
          <w:sz w:val="24"/>
        </w:rPr>
        <w:t>：首次加载时间不超过 10 秒（分级加载后）；界面操作直观，首次使用无需培训；VR 模式下无明显眩晕感（SSQ 评分低于 10 分）；用户满意度评分不低于 4.0/5.0。</w:t>
      </w:r>
    </w:p>
    <w:p/>
    <w:p>
      <w:pPr>
        <w:ind w:firstLine="482"/>
      </w:pPr>
      <w:r>
        <w:rPr>
          <w:rFonts w:ascii="宋体" w:hAnsi="宋体" w:eastAsia="宋体"/>
          <w:b/>
          <w:sz w:val="24"/>
        </w:rPr>
        <w:t>文档规范</w:t>
      </w:r>
      <w:r>
        <w:rPr>
          <w:rFonts w:ascii="宋体" w:hAnsi="宋体" w:eastAsia="宋体"/>
          <w:sz w:val="24"/>
        </w:rPr>
        <w:t>：项目文档齐全，包含需求文档、设计文档、技术文档、用户手册和项目报告；文档格式规范，图表清晰，内容准确；代码注释完整，便于后续维护和二次开发。</w:t>
      </w:r>
    </w:p>
    <w:p/>
    <w:p>
      <w:pPr>
        <w:ind w:firstLine="482"/>
      </w:pPr>
      <w:r>
        <w:rPr>
          <w:rFonts w:ascii="宋体" w:hAnsi="宋体" w:eastAsia="宋体"/>
          <w:b/>
          <w:sz w:val="24"/>
        </w:rPr>
        <w:t>安全合规</w:t>
      </w:r>
      <w:r>
        <w:rPr>
          <w:rFonts w:ascii="宋体" w:hAnsi="宋体" w:eastAsia="宋体"/>
          <w:sz w:val="24"/>
        </w:rPr>
        <w:t>：素材采集需取得景区管理方授权许可，涉及人物肖像的全景图片需获得当事人同意或进行模糊化处理。部署的应用需符合《网络安全法》要求，确保用户数据安全和隐私保护。</w:t>
      </w:r>
    </w:p>
    <w:p/>
    <w:p>
      <w:pPr>
        <w:pStyle w:val="Heading3"/>
      </w:pPr>
      <w:r>
        <w:t>10.8.5 成本预算分析</w:t>
      </w:r>
    </w:p>
    <w:p/>
    <w:p>
      <w:pPr>
        <w:ind w:firstLine="482"/>
      </w:pPr>
      <w:r>
        <w:rPr>
          <w:rFonts w:ascii="宋体" w:hAnsi="宋体" w:eastAsia="宋体"/>
          <w:sz w:val="24"/>
        </w:rPr>
        <w:t>VR 全景景区漫游项目的成本构成对于项目可行性评估至关重要[8]。以下是基于贵州中小型景区的典型预算方案：</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成本类别</w:t>
            </w:r>
          </w:p>
        </w:tc>
        <w:tc>
          <w:tcPr>
            <w:tcW w:type="dxa" w:w="2078"/>
            <w:shd w:fill="D9E2F3" w:val="clear"/>
          </w:tcPr>
          <w:p>
            <w:pPr>
              <w:jc w:val="center"/>
            </w:pPr>
            <w:r/>
            <w:r>
              <w:rPr>
                <w:rFonts w:ascii="黑体" w:hAnsi="黑体" w:eastAsia="黑体"/>
                <w:b/>
                <w:sz w:val="20"/>
              </w:rPr>
              <w:t>项目内容</w:t>
            </w:r>
          </w:p>
        </w:tc>
        <w:tc>
          <w:tcPr>
            <w:tcW w:type="dxa" w:w="2078"/>
            <w:shd w:fill="D9E2F3" w:val="clear"/>
          </w:tcPr>
          <w:p>
            <w:pPr>
              <w:jc w:val="center"/>
            </w:pPr>
            <w:r/>
            <w:r>
              <w:rPr>
                <w:rFonts w:ascii="黑体" w:hAnsi="黑体" w:eastAsia="黑体"/>
                <w:b/>
                <w:sz w:val="20"/>
              </w:rPr>
              <w:t>预算（元）</w:t>
            </w:r>
          </w:p>
        </w:tc>
        <w:tc>
          <w:tcPr>
            <w:tcW w:type="dxa" w:w="2078"/>
            <w:shd w:fill="D9E2F3" w:val="clear"/>
          </w:tcPr>
          <w:p>
            <w:pPr>
              <w:jc w:val="center"/>
            </w:pPr>
            <w:r/>
            <w:r>
              <w:rPr>
                <w:rFonts w:ascii="黑体" w:hAnsi="黑体" w:eastAsia="黑体"/>
                <w:b/>
                <w:sz w:val="20"/>
              </w:rPr>
              <w:t>说明</w:t>
            </w:r>
          </w:p>
        </w:tc>
      </w:tr>
      <w:tr>
        <w:tc>
          <w:tcPr>
            <w:tcW w:type="dxa" w:w="2078"/>
          </w:tcPr>
          <w:p>
            <w:r/>
            <w:r>
              <w:rPr>
                <w:rFonts w:ascii="宋体" w:hAnsi="宋体" w:eastAsia="宋体"/>
                <w:sz w:val="20"/>
              </w:rPr>
              <w:t>设备采购</w:t>
            </w:r>
          </w:p>
        </w:tc>
        <w:tc>
          <w:tcPr>
            <w:tcW w:type="dxa" w:w="2078"/>
          </w:tcPr>
          <w:p>
            <w:r/>
            <w:r>
              <w:rPr>
                <w:rFonts w:ascii="宋体" w:hAnsi="宋体" w:eastAsia="宋体"/>
                <w:sz w:val="20"/>
              </w:rPr>
              <w:t>Insta360 X4 全景相机</w:t>
            </w:r>
          </w:p>
        </w:tc>
        <w:tc>
          <w:tcPr>
            <w:tcW w:type="dxa" w:w="2078"/>
          </w:tcPr>
          <w:p>
            <w:r/>
            <w:r>
              <w:rPr>
                <w:rFonts w:ascii="宋体" w:hAnsi="宋体" w:eastAsia="宋体"/>
                <w:sz w:val="20"/>
              </w:rPr>
              <w:t>3,500-5,000</w:t>
            </w:r>
          </w:p>
        </w:tc>
        <w:tc>
          <w:tcPr>
            <w:tcW w:type="dxa" w:w="2078"/>
          </w:tcPr>
          <w:p>
            <w:r/>
            <w:r>
              <w:rPr>
                <w:rFonts w:ascii="宋体" w:hAnsi="宋体" w:eastAsia="宋体"/>
                <w:sz w:val="20"/>
              </w:rPr>
              <w:t>消费级 8K 全景相机</w:t>
            </w:r>
          </w:p>
        </w:tc>
      </w:tr>
      <w:tr>
        <w:tc>
          <w:tcPr>
            <w:tcW w:type="dxa" w:w="2078"/>
          </w:tcPr>
          <w:p>
            <w:r/>
            <w:r>
              <w:rPr>
                <w:rFonts w:ascii="宋体" w:hAnsi="宋体" w:eastAsia="宋体"/>
                <w:sz w:val="20"/>
              </w:rPr>
              <w:t>设备采购</w:t>
            </w:r>
          </w:p>
        </w:tc>
        <w:tc>
          <w:tcPr>
            <w:tcW w:type="dxa" w:w="2078"/>
          </w:tcPr>
          <w:p>
            <w:r/>
            <w:r>
              <w:rPr>
                <w:rFonts w:ascii="宋体" w:hAnsi="宋体" w:eastAsia="宋体"/>
                <w:sz w:val="20"/>
              </w:rPr>
              <w:t>三脚架+云台</w:t>
            </w:r>
          </w:p>
        </w:tc>
        <w:tc>
          <w:tcPr>
            <w:tcW w:type="dxa" w:w="2078"/>
          </w:tcPr>
          <w:p>
            <w:r/>
            <w:r>
              <w:rPr>
                <w:rFonts w:ascii="宋体" w:hAnsi="宋体" w:eastAsia="宋体"/>
                <w:sz w:val="20"/>
              </w:rPr>
              <w:t>500-1,000</w:t>
            </w:r>
          </w:p>
        </w:tc>
        <w:tc>
          <w:tcPr>
            <w:tcW w:type="dxa" w:w="2078"/>
          </w:tcPr>
          <w:p>
            <w:r/>
            <w:r>
              <w:rPr>
                <w:rFonts w:ascii="宋体" w:hAnsi="宋体" w:eastAsia="宋体"/>
                <w:sz w:val="20"/>
              </w:rPr>
              <w:t>稳定拍摄必备</w:t>
            </w:r>
          </w:p>
        </w:tc>
      </w:tr>
      <w:tr>
        <w:tc>
          <w:tcPr>
            <w:tcW w:type="dxa" w:w="2078"/>
          </w:tcPr>
          <w:p>
            <w:r/>
            <w:r>
              <w:rPr>
                <w:rFonts w:ascii="宋体" w:hAnsi="宋体" w:eastAsia="宋体"/>
                <w:sz w:val="20"/>
              </w:rPr>
              <w:t>设备采购</w:t>
            </w:r>
          </w:p>
        </w:tc>
        <w:tc>
          <w:tcPr>
            <w:tcW w:type="dxa" w:w="2078"/>
          </w:tcPr>
          <w:p>
            <w:r/>
            <w:r>
              <w:rPr>
                <w:rFonts w:ascii="宋体" w:hAnsi="宋体" w:eastAsia="宋体"/>
                <w:sz w:val="20"/>
              </w:rPr>
              <w:t>防潮箱+备用电池</w:t>
            </w:r>
          </w:p>
        </w:tc>
        <w:tc>
          <w:tcPr>
            <w:tcW w:type="dxa" w:w="2078"/>
          </w:tcPr>
          <w:p>
            <w:r/>
            <w:r>
              <w:rPr>
                <w:rFonts w:ascii="宋体" w:hAnsi="宋体" w:eastAsia="宋体"/>
                <w:sz w:val="20"/>
              </w:rPr>
              <w:t>500-800</w:t>
            </w:r>
          </w:p>
        </w:tc>
        <w:tc>
          <w:tcPr>
            <w:tcW w:type="dxa" w:w="2078"/>
          </w:tcPr>
          <w:p>
            <w:r/>
            <w:r>
              <w:rPr>
                <w:rFonts w:ascii="宋体" w:hAnsi="宋体" w:eastAsia="宋体"/>
                <w:sz w:val="20"/>
              </w:rPr>
              <w:t>户外拍摄保障</w:t>
            </w:r>
          </w:p>
        </w:tc>
      </w:tr>
      <w:tr>
        <w:tc>
          <w:tcPr>
            <w:tcW w:type="dxa" w:w="2078"/>
          </w:tcPr>
          <w:p>
            <w:r/>
            <w:r>
              <w:rPr>
                <w:rFonts w:ascii="宋体" w:hAnsi="宋体" w:eastAsia="宋体"/>
                <w:sz w:val="20"/>
              </w:rPr>
              <w:t>差旅费用</w:t>
            </w:r>
          </w:p>
        </w:tc>
        <w:tc>
          <w:tcPr>
            <w:tcW w:type="dxa" w:w="2078"/>
          </w:tcPr>
          <w:p>
            <w:r/>
            <w:r>
              <w:rPr>
                <w:rFonts w:ascii="宋体" w:hAnsi="宋体" w:eastAsia="宋体"/>
                <w:sz w:val="20"/>
              </w:rPr>
              <w:t>景区交通+住宿（2人3天）</w:t>
            </w:r>
          </w:p>
        </w:tc>
        <w:tc>
          <w:tcPr>
            <w:tcW w:type="dxa" w:w="2078"/>
          </w:tcPr>
          <w:p>
            <w:r/>
            <w:r>
              <w:rPr>
                <w:rFonts w:ascii="宋体" w:hAnsi="宋体" w:eastAsia="宋体"/>
                <w:sz w:val="20"/>
              </w:rPr>
              <w:t>3,000-5,000</w:t>
            </w:r>
          </w:p>
        </w:tc>
        <w:tc>
          <w:tcPr>
            <w:tcW w:type="dxa" w:w="2078"/>
          </w:tcPr>
          <w:p>
            <w:r/>
            <w:r>
              <w:rPr>
                <w:rFonts w:ascii="宋体" w:hAnsi="宋体" w:eastAsia="宋体"/>
                <w:sz w:val="20"/>
              </w:rPr>
              <w:t>根据景区距离</w:t>
            </w:r>
          </w:p>
        </w:tc>
      </w:tr>
      <w:tr>
        <w:tc>
          <w:tcPr>
            <w:tcW w:type="dxa" w:w="2078"/>
          </w:tcPr>
          <w:p>
            <w:r/>
            <w:r>
              <w:rPr>
                <w:rFonts w:ascii="宋体" w:hAnsi="宋体" w:eastAsia="宋体"/>
                <w:sz w:val="20"/>
              </w:rPr>
              <w:t>软件许可</w:t>
            </w:r>
          </w:p>
        </w:tc>
        <w:tc>
          <w:tcPr>
            <w:tcW w:type="dxa" w:w="2078"/>
          </w:tcPr>
          <w:p>
            <w:r/>
            <w:r>
              <w:rPr>
                <w:rFonts w:ascii="宋体" w:hAnsi="宋体" w:eastAsia="宋体"/>
                <w:sz w:val="20"/>
              </w:rPr>
              <w:t>PTGui Pro</w:t>
            </w:r>
          </w:p>
        </w:tc>
        <w:tc>
          <w:tcPr>
            <w:tcW w:type="dxa" w:w="2078"/>
          </w:tcPr>
          <w:p>
            <w:r/>
            <w:r>
              <w:rPr>
                <w:rFonts w:ascii="宋体" w:hAnsi="宋体" w:eastAsia="宋体"/>
                <w:sz w:val="20"/>
              </w:rPr>
              <w:t>2,000</w:t>
            </w:r>
          </w:p>
        </w:tc>
        <w:tc>
          <w:tcPr>
            <w:tcW w:type="dxa" w:w="2078"/>
          </w:tcPr>
          <w:p>
            <w:r/>
            <w:r>
              <w:rPr>
                <w:rFonts w:ascii="宋体" w:hAnsi="宋体" w:eastAsia="宋体"/>
                <w:sz w:val="20"/>
              </w:rPr>
              <w:t>专业拼接软件</w:t>
            </w:r>
          </w:p>
        </w:tc>
      </w:tr>
      <w:tr>
        <w:tc>
          <w:tcPr>
            <w:tcW w:type="dxa" w:w="2078"/>
          </w:tcPr>
          <w:p>
            <w:r/>
            <w:r>
              <w:rPr>
                <w:rFonts w:ascii="宋体" w:hAnsi="宋体" w:eastAsia="宋体"/>
                <w:sz w:val="20"/>
              </w:rPr>
              <w:t>服务器部署</w:t>
            </w:r>
          </w:p>
        </w:tc>
        <w:tc>
          <w:tcPr>
            <w:tcW w:type="dxa" w:w="2078"/>
          </w:tcPr>
          <w:p>
            <w:r/>
            <w:r>
              <w:rPr>
                <w:rFonts w:ascii="宋体" w:hAnsi="宋体" w:eastAsia="宋体"/>
                <w:sz w:val="20"/>
              </w:rPr>
              <w:t>云服务器+CDN（1年）</w:t>
            </w:r>
          </w:p>
        </w:tc>
        <w:tc>
          <w:tcPr>
            <w:tcW w:type="dxa" w:w="2078"/>
          </w:tcPr>
          <w:p>
            <w:r/>
            <w:r>
              <w:rPr>
                <w:rFonts w:ascii="宋体" w:hAnsi="宋体" w:eastAsia="宋体"/>
                <w:sz w:val="20"/>
              </w:rPr>
              <w:t>1,500-3,000</w:t>
            </w:r>
          </w:p>
        </w:tc>
        <w:tc>
          <w:tcPr>
            <w:tcW w:type="dxa" w:w="2078"/>
          </w:tcPr>
          <w:p>
            <w:r/>
            <w:r>
              <w:rPr>
                <w:rFonts w:ascii="宋体" w:hAnsi="宋体" w:eastAsia="宋体"/>
                <w:sz w:val="20"/>
              </w:rPr>
              <w:t>阿里云/腾讯云</w:t>
            </w:r>
          </w:p>
        </w:tc>
      </w:tr>
      <w:tr>
        <w:tc>
          <w:tcPr>
            <w:tcW w:type="dxa" w:w="2078"/>
          </w:tcPr>
          <w:p>
            <w:r/>
            <w:r>
              <w:rPr>
                <w:rFonts w:ascii="宋体" w:hAnsi="宋体" w:eastAsia="宋体"/>
                <w:sz w:val="20"/>
              </w:rPr>
              <w:t>域名+SSL</w:t>
            </w:r>
          </w:p>
        </w:tc>
        <w:tc>
          <w:tcPr>
            <w:tcW w:type="dxa" w:w="2078"/>
          </w:tcPr>
          <w:p>
            <w:r/>
            <w:r>
              <w:rPr>
                <w:rFonts w:ascii="宋体" w:hAnsi="宋体" w:eastAsia="宋体"/>
                <w:sz w:val="20"/>
              </w:rPr>
              <w:t>网站域名和证书</w:t>
            </w:r>
          </w:p>
        </w:tc>
        <w:tc>
          <w:tcPr>
            <w:tcW w:type="dxa" w:w="2078"/>
          </w:tcPr>
          <w:p>
            <w:r/>
            <w:r>
              <w:rPr>
                <w:rFonts w:ascii="宋体" w:hAnsi="宋体" w:eastAsia="宋体"/>
                <w:sz w:val="20"/>
              </w:rPr>
              <w:t>300-500</w:t>
            </w:r>
          </w:p>
        </w:tc>
        <w:tc>
          <w:tcPr>
            <w:tcW w:type="dxa" w:w="2078"/>
          </w:tcPr>
          <w:p>
            <w:r/>
            <w:r>
              <w:rPr>
                <w:rFonts w:ascii="宋体" w:hAnsi="宋体" w:eastAsia="宋体"/>
                <w:sz w:val="20"/>
              </w:rPr>
              <w:t>HTTPS 必需</w:t>
            </w:r>
          </w:p>
        </w:tc>
      </w:tr>
      <w:tr>
        <w:tc>
          <w:tcPr>
            <w:tcW w:type="dxa" w:w="2078"/>
          </w:tcPr>
          <w:p>
            <w:r/>
            <w:r>
              <w:rPr>
                <w:rFonts w:ascii="宋体" w:hAnsi="宋体" w:eastAsia="宋体"/>
                <w:sz w:val="20"/>
              </w:rPr>
              <w:t>音频制作</w:t>
            </w:r>
          </w:p>
        </w:tc>
        <w:tc>
          <w:tcPr>
            <w:tcW w:type="dxa" w:w="2078"/>
          </w:tcPr>
          <w:p>
            <w:r/>
            <w:r>
              <w:rPr>
                <w:rFonts w:ascii="宋体" w:hAnsi="宋体" w:eastAsia="宋体"/>
                <w:sz w:val="20"/>
              </w:rPr>
              <w:t>语音录制/TTS</w:t>
            </w:r>
          </w:p>
        </w:tc>
        <w:tc>
          <w:tcPr>
            <w:tcW w:type="dxa" w:w="2078"/>
          </w:tcPr>
          <w:p>
            <w:r/>
            <w:r>
              <w:rPr>
                <w:rFonts w:ascii="宋体" w:hAnsi="宋体" w:eastAsia="宋体"/>
                <w:sz w:val="20"/>
              </w:rPr>
              <w:t>500-1,000</w:t>
            </w:r>
          </w:p>
        </w:tc>
        <w:tc>
          <w:tcPr>
            <w:tcW w:type="dxa" w:w="2078"/>
          </w:tcPr>
          <w:p>
            <w:r/>
            <w:r>
              <w:rPr>
                <w:rFonts w:ascii="宋体" w:hAnsi="宋体" w:eastAsia="宋体"/>
                <w:sz w:val="20"/>
              </w:rPr>
              <w:t>8个点位讲解</w:t>
            </w:r>
          </w:p>
        </w:tc>
      </w:tr>
      <w:tr>
        <w:tc>
          <w:tcPr>
            <w:tcW w:type="dxa" w:w="2078"/>
          </w:tcPr>
          <w:p>
            <w:r/>
            <w:r>
              <w:rPr>
                <w:rFonts w:ascii="宋体" w:hAnsi="宋体" w:eastAsia="宋体"/>
                <w:sz w:val="20"/>
              </w:rPr>
              <w:t>杂项</w:t>
            </w:r>
          </w:p>
        </w:tc>
        <w:tc>
          <w:tcPr>
            <w:tcW w:type="dxa" w:w="2078"/>
          </w:tcPr>
          <w:p>
            <w:r/>
            <w:r>
              <w:rPr>
                <w:rFonts w:ascii="宋体" w:hAnsi="宋体" w:eastAsia="宋体"/>
                <w:sz w:val="20"/>
              </w:rPr>
              <w:t>素材存储、打印、杂费</w:t>
            </w:r>
          </w:p>
        </w:tc>
        <w:tc>
          <w:tcPr>
            <w:tcW w:type="dxa" w:w="2078"/>
          </w:tcPr>
          <w:p>
            <w:r/>
            <w:r>
              <w:rPr>
                <w:rFonts w:ascii="宋体" w:hAnsi="宋体" w:eastAsia="宋体"/>
                <w:sz w:val="20"/>
              </w:rPr>
              <w:t>1,000-2,000</w:t>
            </w:r>
          </w:p>
        </w:tc>
        <w:tc>
          <w:tcPr>
            <w:tcW w:type="dxa" w:w="2078"/>
          </w:tcPr>
          <w:p>
            <w:r/>
            <w:r>
              <w:rPr>
                <w:rFonts w:ascii="宋体" w:hAnsi="宋体" w:eastAsia="宋体"/>
                <w:sz w:val="20"/>
              </w:rPr>
              <w:t>移动硬盘等</w:t>
            </w:r>
          </w:p>
        </w:tc>
      </w:tr>
      <w:tr>
        <w:tc>
          <w:tcPr>
            <w:tcW w:type="dxa" w:w="2078"/>
          </w:tcPr>
          <w:p>
            <w:r/>
            <w:r>
              <w:rPr>
                <w:rFonts w:ascii="宋体" w:hAnsi="宋体" w:eastAsia="宋体"/>
                <w:sz w:val="20"/>
              </w:rPr>
              <w:t>**合计**</w:t>
            </w:r>
          </w:p>
        </w:tc>
        <w:tc>
          <w:tcPr>
            <w:tcW w:type="dxa" w:w="2078"/>
          </w:tcPr>
          <w:p>
            <w:r/>
            <w:r>
              <w:rPr>
                <w:rFonts w:ascii="宋体" w:hAnsi="宋体" w:eastAsia="宋体"/>
                <w:sz w:val="20"/>
              </w:rPr>
            </w:r>
          </w:p>
        </w:tc>
        <w:tc>
          <w:tcPr>
            <w:tcW w:type="dxa" w:w="2078"/>
          </w:tcPr>
          <w:p>
            <w:r/>
            <w:r>
              <w:rPr>
                <w:rFonts w:ascii="宋体" w:hAnsi="宋体" w:eastAsia="宋体"/>
                <w:sz w:val="20"/>
              </w:rPr>
              <w:t>**13,300-19,300**</w:t>
            </w:r>
          </w:p>
        </w:tc>
        <w:tc>
          <w:tcPr>
            <w:tcW w:type="dxa" w:w="2078"/>
          </w:tcPr>
          <w:p>
            <w:r/>
            <w:r>
              <w:rPr>
                <w:rFonts w:ascii="宋体" w:hAnsi="宋体" w:eastAsia="宋体"/>
                <w:sz w:val="20"/>
              </w:rPr>
              <w:t>5万元预算内</w:t>
            </w:r>
          </w:p>
        </w:tc>
      </w:tr>
    </w:tbl>
    <w:p/>
    <w:p/>
    <w:p>
      <w:pPr>
        <w:ind w:firstLine="482"/>
      </w:pPr>
      <w:r>
        <w:rPr>
          <w:rFonts w:ascii="宋体" w:hAnsi="宋体" w:eastAsia="宋体"/>
          <w:sz w:val="24"/>
        </w:rPr>
        <w:t>对于高校实训项目，设备可由实验室提供，软件可使用教育版许可，差旅费用可由实训经费覆盖，实际现金支出可控制在 5,000-8,000 元。</w:t>
      </w:r>
    </w:p>
    <w:p/>
    <w:p>
      <w:pPr>
        <w:pStyle w:val="Heading3"/>
      </w:pPr>
      <w:r>
        <w:t>10.8.6 项目复盘与知识沉淀</w:t>
      </w:r>
    </w:p>
    <w:p/>
    <w:p>
      <w:pPr>
        <w:ind w:firstLine="482"/>
      </w:pPr>
      <w:r>
        <w:rPr>
          <w:rFonts w:ascii="宋体" w:hAnsi="宋体" w:eastAsia="宋体"/>
          <w:sz w:val="24"/>
        </w:rPr>
        <w:t>项目完成后应进行系统化的复盘[10]：</w:t>
      </w:r>
    </w:p>
    <w:p/>
    <w:p>
      <w:pPr>
        <w:ind w:firstLine="482"/>
      </w:pPr>
      <w:r>
        <w:rPr>
          <w:rFonts w:ascii="宋体" w:hAnsi="宋体" w:eastAsia="宋体"/>
          <w:b/>
          <w:sz w:val="24"/>
        </w:rPr>
        <w:t>技术复盘</w:t>
      </w:r>
      <w:r>
        <w:rPr>
          <w:rFonts w:ascii="宋体" w:hAnsi="宋体" w:eastAsia="宋体"/>
          <w:sz w:val="24"/>
        </w:rPr>
        <w:t>：梳理项目中遇到的技术难题及解决方案，形成技术文档。包括全景拼接问题及修复方法、A-Frame 开发中的常见坑及解决方案、性能优化策略及效果数据等。这些经验对于后续项目具有重要参考价值。</w:t>
      </w:r>
    </w:p>
    <w:p/>
    <w:p>
      <w:pPr>
        <w:ind w:firstLine="482"/>
      </w:pPr>
      <w:r>
        <w:rPr>
          <w:rFonts w:ascii="宋体" w:hAnsi="宋体" w:eastAsia="宋体"/>
          <w:b/>
          <w:sz w:val="24"/>
        </w:rPr>
        <w:t>流程复盘</w:t>
      </w:r>
      <w:r>
        <w:rPr>
          <w:rFonts w:ascii="宋体" w:hAnsi="宋体" w:eastAsia="宋体"/>
          <w:sz w:val="24"/>
        </w:rPr>
        <w:t>：评估项目流程的合理性，识别可改进的环节。例如，实地拍摄是否可以优化路线以提高效率？后期处理是否可以引入自动化工具减少人工操作？开发阶段是否可以采用更高效的框架或工具？</w:t>
      </w:r>
    </w:p>
    <w:p/>
    <w:p>
      <w:pPr>
        <w:ind w:firstLine="482"/>
      </w:pPr>
      <w:r>
        <w:rPr>
          <w:rFonts w:ascii="宋体" w:hAnsi="宋体" w:eastAsia="宋体"/>
          <w:b/>
          <w:sz w:val="24"/>
        </w:rPr>
        <w:t>团队复盘</w:t>
      </w:r>
      <w:r>
        <w:rPr>
          <w:rFonts w:ascii="宋体" w:hAnsi="宋体" w:eastAsia="宋体"/>
          <w:sz w:val="24"/>
        </w:rPr>
        <w:t>：评估团队协作效果，分析沟通中的问题和改进空间。记录每个角色的实际工作量与预估的差异，为后续项目的人力规划提供参考。</w:t>
      </w:r>
    </w:p>
    <w:p/>
    <w:p>
      <w:pPr>
        <w:ind w:firstLine="482"/>
      </w:pPr>
      <w:r>
        <w:rPr>
          <w:rFonts w:ascii="宋体" w:hAnsi="宋体" w:eastAsia="宋体"/>
          <w:b/>
          <w:sz w:val="24"/>
        </w:rPr>
        <w:t>成果复盘</w:t>
      </w:r>
      <w:r>
        <w:rPr>
          <w:rFonts w:ascii="宋体" w:hAnsi="宋体" w:eastAsia="宋体"/>
          <w:sz w:val="24"/>
        </w:rPr>
        <w:t>：将项目成果整理为可复用的资产——全景素材库可授权给其他项目使用，A-Frame 组件库可封装为通用模块，项目管理模板可在后续项目中复用。这些资产的价值往往超过项目本身。</w:t>
      </w:r>
    </w:p>
    <w:p/>
    <w:p>
      <w:pPr>
        <w:pStyle w:val="Heading2"/>
      </w:pPr>
      <w:r>
        <w:t>10.9 教学实施建议</w:t>
      </w:r>
    </w:p>
    <w:p/>
    <w:p>
      <w:pPr>
        <w:pStyle w:val="Heading3"/>
      </w:pPr>
      <w:r>
        <w:t>10.9.1 课程安排</w:t>
      </w:r>
    </w:p>
    <w:p/>
    <w:p>
      <w:pPr>
        <w:ind w:firstLine="482"/>
      </w:pPr>
      <w:r>
        <w:rPr>
          <w:rFonts w:ascii="宋体" w:hAnsi="宋体" w:eastAsia="宋体"/>
          <w:sz w:val="24"/>
        </w:rPr>
        <w:t>本章内容建议安排 16-20 学时（含实训），分为以下教学环节[10]：</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教学环节</w:t>
            </w:r>
          </w:p>
        </w:tc>
        <w:tc>
          <w:tcPr>
            <w:tcW w:type="dxa" w:w="2078"/>
            <w:shd w:fill="D9E2F3" w:val="clear"/>
          </w:tcPr>
          <w:p>
            <w:pPr>
              <w:jc w:val="center"/>
            </w:pPr>
            <w:r/>
            <w:r>
              <w:rPr>
                <w:rFonts w:ascii="黑体" w:hAnsi="黑体" w:eastAsia="黑体"/>
                <w:b/>
                <w:sz w:val="20"/>
              </w:rPr>
              <w:t>学时</w:t>
            </w:r>
          </w:p>
        </w:tc>
        <w:tc>
          <w:tcPr>
            <w:tcW w:type="dxa" w:w="2078"/>
            <w:shd w:fill="D9E2F3" w:val="clear"/>
          </w:tcPr>
          <w:p>
            <w:pPr>
              <w:jc w:val="center"/>
            </w:pPr>
            <w:r/>
            <w:r>
              <w:rPr>
                <w:rFonts w:ascii="黑体" w:hAnsi="黑体" w:eastAsia="黑体"/>
                <w:b/>
                <w:sz w:val="20"/>
              </w:rPr>
              <w:t>内容</w:t>
            </w:r>
          </w:p>
        </w:tc>
        <w:tc>
          <w:tcPr>
            <w:tcW w:type="dxa" w:w="2078"/>
            <w:shd w:fill="D9E2F3" w:val="clear"/>
          </w:tcPr>
          <w:p>
            <w:pPr>
              <w:jc w:val="center"/>
            </w:pPr>
            <w:r/>
            <w:r>
              <w:rPr>
                <w:rFonts w:ascii="黑体" w:hAnsi="黑体" w:eastAsia="黑体"/>
                <w:b/>
                <w:sz w:val="20"/>
              </w:rPr>
              <w:t>教学方式</w:t>
            </w:r>
          </w:p>
        </w:tc>
      </w:tr>
      <w:tr>
        <w:tc>
          <w:tcPr>
            <w:tcW w:type="dxa" w:w="2078"/>
          </w:tcPr>
          <w:p>
            <w:r/>
            <w:r>
              <w:rPr>
                <w:rFonts w:ascii="宋体" w:hAnsi="宋体" w:eastAsia="宋体"/>
                <w:sz w:val="20"/>
              </w:rPr>
              <w:t>理论讲解</w:t>
            </w:r>
          </w:p>
        </w:tc>
        <w:tc>
          <w:tcPr>
            <w:tcW w:type="dxa" w:w="2078"/>
          </w:tcPr>
          <w:p>
            <w:r/>
            <w:r>
              <w:rPr>
                <w:rFonts w:ascii="宋体" w:hAnsi="宋体" w:eastAsia="宋体"/>
                <w:sz w:val="20"/>
              </w:rPr>
              <w:t>4</w:t>
            </w:r>
          </w:p>
        </w:tc>
        <w:tc>
          <w:tcPr>
            <w:tcW w:type="dxa" w:w="2078"/>
          </w:tcPr>
          <w:p>
            <w:r/>
            <w:r>
              <w:rPr>
                <w:rFonts w:ascii="宋体" w:hAnsi="宋体" w:eastAsia="宋体"/>
                <w:sz w:val="20"/>
              </w:rPr>
              <w:t>全景制作原理、A-Frame 框架、项目流程</w:t>
            </w:r>
          </w:p>
        </w:tc>
        <w:tc>
          <w:tcPr>
            <w:tcW w:type="dxa" w:w="2078"/>
          </w:tcPr>
          <w:p>
            <w:r/>
            <w:r>
              <w:rPr>
                <w:rFonts w:ascii="宋体" w:hAnsi="宋体" w:eastAsia="宋体"/>
                <w:sz w:val="20"/>
              </w:rPr>
              <w:t>课堂讲授+演示</w:t>
            </w:r>
          </w:p>
        </w:tc>
      </w:tr>
      <w:tr>
        <w:tc>
          <w:tcPr>
            <w:tcW w:type="dxa" w:w="2078"/>
          </w:tcPr>
          <w:p>
            <w:r/>
            <w:r>
              <w:rPr>
                <w:rFonts w:ascii="宋体" w:hAnsi="宋体" w:eastAsia="宋体"/>
                <w:sz w:val="20"/>
              </w:rPr>
              <w:t>设备操作</w:t>
            </w:r>
          </w:p>
        </w:tc>
        <w:tc>
          <w:tcPr>
            <w:tcW w:type="dxa" w:w="2078"/>
          </w:tcPr>
          <w:p>
            <w:r/>
            <w:r>
              <w:rPr>
                <w:rFonts w:ascii="宋体" w:hAnsi="宋体" w:eastAsia="宋体"/>
                <w:sz w:val="20"/>
              </w:rPr>
              <w:t>2</w:t>
            </w:r>
          </w:p>
        </w:tc>
        <w:tc>
          <w:tcPr>
            <w:tcW w:type="dxa" w:w="2078"/>
          </w:tcPr>
          <w:p>
            <w:r/>
            <w:r>
              <w:rPr>
                <w:rFonts w:ascii="宋体" w:hAnsi="宋体" w:eastAsia="宋体"/>
                <w:sz w:val="20"/>
              </w:rPr>
              <w:t>全景相机操作、拍摄技巧</w:t>
            </w:r>
          </w:p>
        </w:tc>
        <w:tc>
          <w:tcPr>
            <w:tcW w:type="dxa" w:w="2078"/>
          </w:tcPr>
          <w:p>
            <w:r/>
            <w:r>
              <w:rPr>
                <w:rFonts w:ascii="宋体" w:hAnsi="宋体" w:eastAsia="宋体"/>
                <w:sz w:val="20"/>
              </w:rPr>
              <w:t>实操训练</w:t>
            </w:r>
          </w:p>
        </w:tc>
      </w:tr>
      <w:tr>
        <w:tc>
          <w:tcPr>
            <w:tcW w:type="dxa" w:w="2078"/>
          </w:tcPr>
          <w:p>
            <w:r/>
            <w:r>
              <w:rPr>
                <w:rFonts w:ascii="宋体" w:hAnsi="宋体" w:eastAsia="宋体"/>
                <w:sz w:val="20"/>
              </w:rPr>
              <w:t>实地采集</w:t>
            </w:r>
          </w:p>
        </w:tc>
        <w:tc>
          <w:tcPr>
            <w:tcW w:type="dxa" w:w="2078"/>
          </w:tcPr>
          <w:p>
            <w:r/>
            <w:r>
              <w:rPr>
                <w:rFonts w:ascii="宋体" w:hAnsi="宋体" w:eastAsia="宋体"/>
                <w:sz w:val="20"/>
              </w:rPr>
              <w:t>4</w:t>
            </w:r>
          </w:p>
        </w:tc>
        <w:tc>
          <w:tcPr>
            <w:tcW w:type="dxa" w:w="2078"/>
          </w:tcPr>
          <w:p>
            <w:r/>
            <w:r>
              <w:rPr>
                <w:rFonts w:ascii="宋体" w:hAnsi="宋体" w:eastAsia="宋体"/>
                <w:sz w:val="20"/>
              </w:rPr>
              <w:t>校园或附近景区实地拍摄</w:t>
            </w:r>
          </w:p>
        </w:tc>
        <w:tc>
          <w:tcPr>
            <w:tcW w:type="dxa" w:w="2078"/>
          </w:tcPr>
          <w:p>
            <w:r/>
            <w:r>
              <w:rPr>
                <w:rFonts w:ascii="宋体" w:hAnsi="宋体" w:eastAsia="宋体"/>
                <w:sz w:val="20"/>
              </w:rPr>
              <w:t>户外实训</w:t>
            </w:r>
          </w:p>
        </w:tc>
      </w:tr>
      <w:tr>
        <w:tc>
          <w:tcPr>
            <w:tcW w:type="dxa" w:w="2078"/>
          </w:tcPr>
          <w:p>
            <w:r/>
            <w:r>
              <w:rPr>
                <w:rFonts w:ascii="宋体" w:hAnsi="宋体" w:eastAsia="宋体"/>
                <w:sz w:val="20"/>
              </w:rPr>
              <w:t>后期处理</w:t>
            </w:r>
          </w:p>
        </w:tc>
        <w:tc>
          <w:tcPr>
            <w:tcW w:type="dxa" w:w="2078"/>
          </w:tcPr>
          <w:p>
            <w:r/>
            <w:r>
              <w:rPr>
                <w:rFonts w:ascii="宋体" w:hAnsi="宋体" w:eastAsia="宋体"/>
                <w:sz w:val="20"/>
              </w:rPr>
              <w:t>2</w:t>
            </w:r>
          </w:p>
        </w:tc>
        <w:tc>
          <w:tcPr>
            <w:tcW w:type="dxa" w:w="2078"/>
          </w:tcPr>
          <w:p>
            <w:r/>
            <w:r>
              <w:rPr>
                <w:rFonts w:ascii="宋体" w:hAnsi="宋体" w:eastAsia="宋体"/>
                <w:sz w:val="20"/>
              </w:rPr>
              <w:t>全景拼接、调色、音频处理</w:t>
            </w:r>
          </w:p>
        </w:tc>
        <w:tc>
          <w:tcPr>
            <w:tcW w:type="dxa" w:w="2078"/>
          </w:tcPr>
          <w:p>
            <w:r/>
            <w:r>
              <w:rPr>
                <w:rFonts w:ascii="宋体" w:hAnsi="宋体" w:eastAsia="宋体"/>
                <w:sz w:val="20"/>
              </w:rPr>
              <w:t>机房实训</w:t>
            </w:r>
          </w:p>
        </w:tc>
      </w:tr>
      <w:tr>
        <w:tc>
          <w:tcPr>
            <w:tcW w:type="dxa" w:w="2078"/>
          </w:tcPr>
          <w:p>
            <w:r/>
            <w:r>
              <w:rPr>
                <w:rFonts w:ascii="宋体" w:hAnsi="宋体" w:eastAsia="宋体"/>
                <w:sz w:val="20"/>
              </w:rPr>
              <w:t>开发实现</w:t>
            </w:r>
          </w:p>
        </w:tc>
        <w:tc>
          <w:tcPr>
            <w:tcW w:type="dxa" w:w="2078"/>
          </w:tcPr>
          <w:p>
            <w:r/>
            <w:r>
              <w:rPr>
                <w:rFonts w:ascii="宋体" w:hAnsi="宋体" w:eastAsia="宋体"/>
                <w:sz w:val="20"/>
              </w:rPr>
              <w:t>4-6</w:t>
            </w:r>
          </w:p>
        </w:tc>
        <w:tc>
          <w:tcPr>
            <w:tcW w:type="dxa" w:w="2078"/>
          </w:tcPr>
          <w:p>
            <w:r/>
            <w:r>
              <w:rPr>
                <w:rFonts w:ascii="宋体" w:hAnsi="宋体" w:eastAsia="宋体"/>
                <w:sz w:val="20"/>
              </w:rPr>
              <w:t>A-Frame 开发、交互设计</w:t>
            </w:r>
          </w:p>
        </w:tc>
        <w:tc>
          <w:tcPr>
            <w:tcW w:type="dxa" w:w="2078"/>
          </w:tcPr>
          <w:p>
            <w:r/>
            <w:r>
              <w:rPr>
                <w:rFonts w:ascii="宋体" w:hAnsi="宋体" w:eastAsia="宋体"/>
                <w:sz w:val="20"/>
              </w:rPr>
              <w:t>机房实训</w:t>
            </w:r>
          </w:p>
        </w:tc>
      </w:tr>
      <w:tr>
        <w:tc>
          <w:tcPr>
            <w:tcW w:type="dxa" w:w="2078"/>
          </w:tcPr>
          <w:p>
            <w:r/>
            <w:r>
              <w:rPr>
                <w:rFonts w:ascii="宋体" w:hAnsi="宋体" w:eastAsia="宋体"/>
                <w:sz w:val="20"/>
              </w:rPr>
              <w:t>项目答辩</w:t>
            </w:r>
          </w:p>
        </w:tc>
        <w:tc>
          <w:tcPr>
            <w:tcW w:type="dxa" w:w="2078"/>
          </w:tcPr>
          <w:p>
            <w:r/>
            <w:r>
              <w:rPr>
                <w:rFonts w:ascii="宋体" w:hAnsi="宋体" w:eastAsia="宋体"/>
                <w:sz w:val="20"/>
              </w:rPr>
              <w:t>2</w:t>
            </w:r>
          </w:p>
        </w:tc>
        <w:tc>
          <w:tcPr>
            <w:tcW w:type="dxa" w:w="2078"/>
          </w:tcPr>
          <w:p>
            <w:r/>
            <w:r>
              <w:rPr>
                <w:rFonts w:ascii="宋体" w:hAnsi="宋体" w:eastAsia="宋体"/>
                <w:sz w:val="20"/>
              </w:rPr>
              <w:t>成果展示与评审</w:t>
            </w:r>
          </w:p>
        </w:tc>
        <w:tc>
          <w:tcPr>
            <w:tcW w:type="dxa" w:w="2078"/>
          </w:tcPr>
          <w:p>
            <w:r/>
            <w:r>
              <w:rPr>
                <w:rFonts w:ascii="宋体" w:hAnsi="宋体" w:eastAsia="宋体"/>
                <w:sz w:val="20"/>
              </w:rPr>
              <w:t>答辩汇报</w:t>
            </w:r>
          </w:p>
        </w:tc>
      </w:tr>
    </w:tbl>
    <w:p/>
    <w:p/>
    <w:p>
      <w:pPr>
        <w:pStyle w:val="Heading3"/>
      </w:pPr>
      <w:r>
        <w:t>10.9.2 考核评价</w:t>
      </w:r>
    </w:p>
    <w:p/>
    <w:p>
      <w:pPr>
        <w:ind w:firstLine="482"/>
      </w:pPr>
      <w:r>
        <w:rPr>
          <w:rFonts w:ascii="宋体" w:hAnsi="宋体" w:eastAsia="宋体"/>
          <w:sz w:val="24"/>
        </w:rPr>
        <w:t>建议采用过程性评价与终结性评价相结合的方式[10]：</w:t>
      </w:r>
    </w:p>
    <w:p/>
    <w:p>
      <w:pPr>
        <w:pStyle w:val="ListBullet"/>
      </w:pPr>
      <w:r>
        <w:rPr>
          <w:rFonts w:ascii="宋体" w:hAnsi="宋体" w:eastAsia="宋体"/>
          <w:b/>
          <w:sz w:val="24"/>
        </w:rPr>
        <w:t>过程性评价（40%）</w:t>
      </w:r>
      <w:r>
        <w:rPr>
          <w:rFonts w:ascii="宋体" w:hAnsi="宋体" w:eastAsia="宋体"/>
          <w:sz w:val="24"/>
        </w:rPr>
        <w:t>：包括出勤率（10%）、实训参与度（15%）、阶段性成果质量（15%）。教师每周检查项目进展，给予反馈和指导。</w:t>
      </w:r>
    </w:p>
    <w:p>
      <w:pPr>
        <w:pStyle w:val="ListBullet"/>
      </w:pPr>
      <w:r>
        <w:rPr>
          <w:rFonts w:ascii="宋体" w:hAnsi="宋体" w:eastAsia="宋体"/>
          <w:b/>
          <w:sz w:val="24"/>
        </w:rPr>
        <w:t>终结性评价（60%）</w:t>
      </w:r>
      <w:r>
        <w:rPr>
          <w:rFonts w:ascii="宋体" w:hAnsi="宋体" w:eastAsia="宋体"/>
          <w:sz w:val="24"/>
        </w:rPr>
        <w:t>：包括项目成果质量（30%）、项目文档（15%）、答辩表现（15%）。邀请 2-3 名教师组成评审小组，从技术实现、用户体验、文档规范和团队协作四个维度进行评分。</w:t>
      </w:r>
    </w:p>
    <w:p/>
    <w:p>
      <w:pPr>
        <w:ind w:firstLine="482"/>
      </w:pPr>
      <w:r>
        <w:rPr>
          <w:rFonts w:ascii="宋体" w:hAnsi="宋体" w:eastAsia="宋体"/>
          <w:sz w:val="24"/>
        </w:rPr>
        <w:t>评价量规的具体标准如下：技术实现维度考察全景拼接质量（拼接缝、曝光一致性、色彩准确性）、交互功能完整性（热点跳转、信息展示、语音播放、导航地图）、VR 适配效果（帧率、延迟、VR 模式可用性）和代码规范性（命名规范、注释完整、版本管理）。用户体验维度考察界面美观度（视觉设计、色彩搭配、信息层级）、操作流畅性（响应速度、交互反馈、错误处理）和沉浸感（视觉沉浸、听觉沉浸、交互自然度）。文档规范维度考察文档完整性（需求文档、设计文档、技术文档、用户手册）、格式规范性和内容准确性。团队协作维度考察分工合理性、沟通有效性和问题解决能力[10]。</w:t>
      </w:r>
    </w:p>
    <w:p/>
    <w:p>
      <w:pPr>
        <w:pStyle w:val="Heading3"/>
      </w:pPr>
      <w:r>
        <w:t>10.9.3 拓展学习</w:t>
      </w:r>
    </w:p>
    <w:p/>
    <w:p>
      <w:pPr>
        <w:ind w:firstLine="482"/>
      </w:pPr>
      <w:r>
        <w:rPr>
          <w:rFonts w:ascii="宋体" w:hAnsi="宋体" w:eastAsia="宋体"/>
          <w:sz w:val="24"/>
        </w:rPr>
        <w:t>学生完成基础实训后，可以进行以下拓展学习[10]：（1）使用 Unity 和 XR Interaction Toolkit 开发原生 VR 全景应用，体验更高级的交互功能；（2）学习 3D Gaussian Splatting 技术，尝试从照片重建 6DoF 可漫游的 3D 场景；（3）集成 AI 大模型，实现智能问答式导览——用户可以用自然语言提问，AI 根据景点知识库生成回答；（4）探索多人在线 VR 漫游，使用 WebRTC 或 Photon 实现同步浏览和语音通话，实现"远程同游"功能——异地用户可以在同一 VR 全景场景中相聚，看到彼此的虚拟化身，边游览边交流，为旅游营销和远程教育开辟新的可能性[11]。</w:t>
      </w:r>
    </w:p>
    <w:p/>
    <w:p>
      <w:pPr>
        <w:ind w:firstLine="482"/>
      </w:pPr>
      <w:r>
        <w:rPr>
          <w:rFonts w:ascii="宋体" w:hAnsi="宋体" w:eastAsia="宋体"/>
          <w:sz w:val="24"/>
        </w:rPr>
        <w:t>此外，学生还可以关注 VR 全景与物联网（IoT）的融合方向——在景区部署环境传感器（温度、湿度、PM2.5、客流量），将实时数据叠加到 VR 全景界面中，让远程用户不仅看到景区的视觉画面，还能了解当前的实时环境状况。这种"数字孪生景区"概念是智慧旅游发展的重要趋势，可以作为学生的毕业设计或创新创业项目选题[12]。</w:t>
      </w:r>
    </w:p>
    <w:p/>
    <w:p>
      <w:pPr>
        <w:pStyle w:val="Heading2"/>
      </w:pPr>
      <w:r>
        <w:t>本章小结</w:t>
      </w:r>
    </w:p>
    <w:p/>
    <w:p>
      <w:pPr>
        <w:ind w:firstLine="482"/>
      </w:pPr>
      <w:r>
        <w:rPr>
          <w:rFonts w:ascii="宋体" w:hAnsi="宋体" w:eastAsia="宋体"/>
          <w:sz w:val="24"/>
        </w:rPr>
        <w:t>本章通过"VR 全景景区漫游制作"实训项目，将前述章节的理论和技术综合运用于实际场景制作。项目涵盖了从全景素材采集（相机选型、拍摄规划、实地拍摄、质量控制）到后期处理（全景拼接、拼接缝修复、调色、空间音频添加）再到交互开发（A-Frame 场景搭建、热点系统、VR 适配、导航地图）和项目发布（WebVR 部署、移动端打包、头显端部署、文档交付）的完整工作流。</w:t>
      </w:r>
    </w:p>
    <w:p/>
    <w:p>
      <w:pPr>
        <w:ind w:firstLine="482"/>
      </w:pPr>
      <w:r>
        <w:rPr>
          <w:rFonts w:ascii="宋体" w:hAnsi="宋体" w:eastAsia="宋体"/>
          <w:sz w:val="24"/>
        </w:rPr>
        <w:t xml:space="preserve">这一实训项目对应 I.M.M.E.R.S.E. 框架的 </w:t>
      </w:r>
      <w:r>
        <w:rPr>
          <w:rFonts w:ascii="宋体" w:hAnsi="宋体" w:eastAsia="宋体"/>
          <w:b/>
          <w:sz w:val="24"/>
        </w:rPr>
        <w:t>E（Evaluation &amp; Iteration）</w:t>
      </w:r>
      <w:r>
        <w:rPr>
          <w:rFonts w:ascii="宋体" w:hAnsi="宋体" w:eastAsia="宋体"/>
          <w:sz w:val="24"/>
        </w:rPr>
        <w:t xml:space="preserve"> 维度的基础层级——学生通过完整的项目实践，将理论知识转化为实践能力，并在项目过程中进行自我评估和迭代改进。</w:t>
      </w:r>
    </w:p>
    <w:p/>
    <w:p>
      <w:pPr>
        <w:ind w:firstLine="482"/>
      </w:pPr>
      <w:r>
        <w:rPr>
          <w:rFonts w:ascii="宋体" w:hAnsi="宋体" w:eastAsia="宋体"/>
          <w:sz w:val="24"/>
        </w:rPr>
        <w:t xml:space="preserve">同时，本项目也体现了 I.M.M.E.R.S.E. 框架的 </w:t>
      </w:r>
      <w:r>
        <w:rPr>
          <w:rFonts w:ascii="宋体" w:hAnsi="宋体" w:eastAsia="宋体"/>
          <w:b/>
          <w:sz w:val="24"/>
        </w:rPr>
        <w:t>M（Multimodal Interaction）</w:t>
      </w:r>
      <w:r>
        <w:rPr>
          <w:rFonts w:ascii="宋体" w:hAnsi="宋体" w:eastAsia="宋体"/>
          <w:sz w:val="24"/>
        </w:rPr>
        <w:t xml:space="preserve"> 维度——全景视觉、空间音频、触摸/手柄交互的多模态融合，以及 </w:t>
      </w:r>
      <w:r>
        <w:rPr>
          <w:rFonts w:ascii="宋体" w:hAnsi="宋体" w:eastAsia="宋体"/>
          <w:b/>
          <w:sz w:val="24"/>
        </w:rPr>
        <w:t>R（Reality-Virtuality Integration）</w:t>
      </w:r>
      <w:r>
        <w:rPr>
          <w:rFonts w:ascii="宋体" w:hAnsi="宋体" w:eastAsia="宋体"/>
          <w:sz w:val="24"/>
        </w:rPr>
        <w:t xml:space="preserve"> 维度——真实景区影像与虚拟交互元素的融合。通过这一综合实训，学生不仅掌握了 VR 全景制作的技术能力，更培养了项目管理、团队协作和用户体验设计的综合素养，为后续更复杂的 AR 和元宇宙项目实训奠定了坚实基础。</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等距矩形（Equirectangular）全景图的分辨率要求是什么？拼接缝产生的原因有哪些？</w:t>
      </w:r>
    </w:p>
    <w:p>
      <w:pPr>
        <w:pStyle w:val="ListNumber"/>
      </w:pPr>
      <w:r>
        <w:rPr>
          <w:rFonts w:ascii="宋体" w:hAnsi="宋体" w:eastAsia="宋体"/>
          <w:b/>
          <w:sz w:val="24"/>
        </w:rPr>
        <w:t>（理解）</w:t>
      </w:r>
      <w:r>
        <w:rPr>
          <w:rFonts w:ascii="宋体" w:hAnsi="宋体" w:eastAsia="宋体"/>
          <w:sz w:val="24"/>
        </w:rPr>
        <w:t xml:space="preserve"> 解释为什么 WebVR 方案适合景区全景漫游项目，分析其相比原生应用的优劣。</w:t>
      </w:r>
    </w:p>
    <w:p>
      <w:pPr>
        <w:pStyle w:val="ListNumber"/>
      </w:pPr>
      <w:r>
        <w:rPr>
          <w:rFonts w:ascii="宋体" w:hAnsi="宋体" w:eastAsia="宋体"/>
          <w:b/>
          <w:sz w:val="24"/>
        </w:rPr>
        <w:t>（应用）</w:t>
      </w:r>
      <w:r>
        <w:rPr>
          <w:rFonts w:ascii="宋体" w:hAnsi="宋体" w:eastAsia="宋体"/>
          <w:sz w:val="24"/>
        </w:rPr>
        <w:t xml:space="preserve"> 使用 A-Frame 创建一个包含 3 个全景点和 5 个交互热点的 VR 全景漫游原型。</w:t>
      </w:r>
    </w:p>
    <w:p>
      <w:pPr>
        <w:pStyle w:val="ListNumber"/>
      </w:pPr>
      <w:r>
        <w:rPr>
          <w:rFonts w:ascii="宋体" w:hAnsi="宋体" w:eastAsia="宋体"/>
          <w:b/>
          <w:sz w:val="24"/>
        </w:rPr>
        <w:t>（分析）</w:t>
      </w:r>
      <w:r>
        <w:rPr>
          <w:rFonts w:ascii="宋体" w:hAnsi="宋体" w:eastAsia="宋体"/>
          <w:sz w:val="24"/>
        </w:rPr>
        <w:t xml:space="preserve"> 分析全景拍摄中黄金时段和正午时段的光线差异对全景质量的影响，制定不同时段的拍摄策略。</w:t>
      </w:r>
    </w:p>
    <w:p>
      <w:pPr>
        <w:pStyle w:val="ListNumber"/>
      </w:pPr>
      <w:r>
        <w:rPr>
          <w:rFonts w:ascii="宋体" w:hAnsi="宋体" w:eastAsia="宋体"/>
          <w:b/>
          <w:sz w:val="24"/>
        </w:rPr>
        <w:t>（评价）</w:t>
      </w:r>
      <w:r>
        <w:rPr>
          <w:rFonts w:ascii="宋体" w:hAnsi="宋体" w:eastAsia="宋体"/>
          <w:sz w:val="24"/>
        </w:rPr>
        <w:t xml:space="preserve"> 评估一个 VR 全景应用的用户体验，列出至少 5 个评估维度和对应指标。</w:t>
      </w:r>
    </w:p>
    <w:p>
      <w:pPr>
        <w:pStyle w:val="ListNumber"/>
      </w:pPr>
      <w:r>
        <w:rPr>
          <w:rFonts w:ascii="宋体" w:hAnsi="宋体" w:eastAsia="宋体"/>
          <w:b/>
          <w:sz w:val="24"/>
        </w:rPr>
        <w:t>（创造）</w:t>
      </w:r>
      <w:r>
        <w:rPr>
          <w:rFonts w:ascii="宋体" w:hAnsi="宋体" w:eastAsia="宋体"/>
          <w:sz w:val="24"/>
        </w:rPr>
        <w:t xml:space="preserve"> 设计一个包含虚拟导游语音讲解的 VR 全景景区漫游方案，说明语音内容的策划和技术实现方案。</w:t>
      </w:r>
    </w:p>
    <w:p/>
    <w:p>
      <w:pPr>
        <w:pStyle w:val="Heading2"/>
      </w:pPr>
      <w:r>
        <w:t>参考文献</w:t>
      </w:r>
    </w:p>
    <w:p/>
    <w:p>
      <w:pPr>
        <w:ind w:firstLine="482"/>
      </w:pPr>
      <w:r>
        <w:rPr>
          <w:rFonts w:ascii="宋体" w:hAnsi="宋体" w:eastAsia="宋体"/>
          <w:sz w:val="24"/>
        </w:rPr>
        <w:t>[1] Li, J., Xia, X., &amp; Chen, Y. (2023). Development of Tourism Management Imitation Real Training System Based on Virtual Reality Technology. EAI. https://doi.org/10.4108/eai.1-9-2023.2338807</w:t>
      </w:r>
    </w:p>
    <w:p/>
    <w:p>
      <w:pPr>
        <w:ind w:firstLine="482"/>
      </w:pPr>
      <w:r>
        <w:rPr>
          <w:rFonts w:ascii="宋体" w:hAnsi="宋体" w:eastAsia="宋体"/>
          <w:sz w:val="24"/>
        </w:rPr>
        <w:t>[2] Khomtchouk, B. B. (2021). WebAssembly enables low latency interoperable augmented and virtual reality software. arXiv:2110.07128. https://arxiv.org/abs/2110.07128</w:t>
      </w:r>
    </w:p>
    <w:p/>
    <w:p>
      <w:pPr>
        <w:ind w:firstLine="482"/>
      </w:pPr>
      <w:r>
        <w:rPr>
          <w:rFonts w:ascii="宋体" w:hAnsi="宋体" w:eastAsia="宋体"/>
          <w:sz w:val="24"/>
        </w:rPr>
        <w:t>[3] Okada, Y., Kaneko, K., &amp; Shi, W. (2023). Development Framework Using 360VR Cameras and Lidar Scanners for Web-Based XR Educational Materials. Springer. https://doi.org/10.1007/978-3-031-26281-4_42</w:t>
      </w:r>
    </w:p>
    <w:p/>
    <w:p>
      <w:pPr>
        <w:ind w:firstLine="482"/>
      </w:pPr>
      <w:r>
        <w:rPr>
          <w:rFonts w:ascii="宋体" w:hAnsi="宋体" w:eastAsia="宋体"/>
          <w:sz w:val="24"/>
        </w:rPr>
        <w:t>[4] Khan, A., Hossain, M. M., Covaci, A., Sirlantzis, K., &amp; Xu, C. (2024). Light field imaging technology for virtual reality content creation: A review. IET Image Processing. https://doi.org/10.1049/ipr2.13144</w:t>
      </w:r>
    </w:p>
    <w:p/>
    <w:p>
      <w:pPr>
        <w:ind w:firstLine="482"/>
      </w:pPr>
      <w:r>
        <w:rPr>
          <w:rFonts w:ascii="宋体" w:hAnsi="宋体" w:eastAsia="宋体"/>
          <w:sz w:val="24"/>
        </w:rPr>
        <w:t>[5] Prins, M., Gunkel, S., &amp; Niamut, O. A. (2018). TogetherVR: A Framework for Photorealistic Shared Media Experiences in 360-Degree VR. SMPTE Motion Imaging Journal. https://doi.org/10.5594/JMI.2018.2840618</w:t>
      </w:r>
    </w:p>
    <w:p/>
    <w:p>
      <w:pPr>
        <w:ind w:firstLine="482"/>
      </w:pPr>
      <w:r>
        <w:rPr>
          <w:rFonts w:ascii="宋体" w:hAnsi="宋体" w:eastAsia="宋体"/>
          <w:sz w:val="24"/>
        </w:rPr>
        <w:t>[6] Okada, Y., Shi, W., &amp; Kaneko, K. (2024). OpenVSLAM-Based Development Framework for Web-Based VR Tours Using 360VR Videos. Springer. https://doi.org/10.1007/978-3-031-53555-0_4</w:t>
      </w:r>
    </w:p>
    <w:p/>
    <w:p>
      <w:pPr>
        <w:ind w:firstLine="482"/>
      </w:pPr>
      <w:r>
        <w:rPr>
          <w:rFonts w:ascii="宋体" w:hAnsi="宋体" w:eastAsia="宋体"/>
          <w:sz w:val="24"/>
        </w:rPr>
        <w:t>[7] Sermet, Y., &amp; Demir, I. (2020). GeospatialVR: A web-based virtual reality framework for collaborative environmental simulations. OSF. https://doi.org/10.31223/osf.io/ks2yz</w:t>
      </w:r>
    </w:p>
    <w:p/>
    <w:p>
      <w:pPr>
        <w:ind w:firstLine="482"/>
      </w:pPr>
      <w:r>
        <w:rPr>
          <w:rFonts w:ascii="宋体" w:hAnsi="宋体" w:eastAsia="宋体"/>
          <w:sz w:val="24"/>
        </w:rPr>
        <w:t>[8] Dhieb, O., &amp; Durado, A. (2024). Creating VR Content for Training Purposes. International Journal of Technology in Education and Science, 8(4). https://doi.org/10.46328/ijtes.550</w:t>
      </w:r>
    </w:p>
    <w:p/>
    <w:p>
      <w:pPr>
        <w:ind w:firstLine="482"/>
      </w:pPr>
      <w:r>
        <w:rPr>
          <w:rFonts w:ascii="宋体" w:hAnsi="宋体" w:eastAsia="宋体"/>
          <w:sz w:val="24"/>
        </w:rPr>
        <w:t>[9] 张丽君, 焦雄飞. (2024). 虚拟现实与增强现实技术在学习资源建设中的融合应用. 万方数据.</w:t>
      </w:r>
    </w:p>
    <w:p/>
    <w:p>
      <w:pPr>
        <w:ind w:firstLine="482"/>
      </w:pPr>
      <w:r>
        <w:rPr>
          <w:rFonts w:ascii="宋体" w:hAnsi="宋体" w:eastAsia="宋体"/>
          <w:sz w:val="24"/>
        </w:rPr>
        <w:t>[10] Eras Ortega, M. V., et al. (2024). Development and Execution of An Immersive Virtual Environment Using Virtual Reality to Train Teachers. Semantic Scholar. https://doi.org/10.61707/nh33ej39</w:t>
      </w:r>
    </w:p>
    <w:p/>
    <w:p>
      <w:pPr>
        <w:ind w:firstLine="482"/>
      </w:pPr>
      <w:r>
        <w:rPr>
          <w:rFonts w:ascii="宋体" w:hAnsi="宋体" w:eastAsia="宋体"/>
          <w:sz w:val="24"/>
        </w:rPr>
        <w:t>[11] Prasolova-Førland, E., Fominykh, M., &amp; Ekelund, O. I. (2019). Empowering Young Job Seekers with Virtual Reality. IEEE VR. https://doi.org/10.1109/VR.2019.8798179</w:t>
      </w:r>
    </w:p>
    <w:p/>
    <w:p>
      <w:pPr>
        <w:ind w:firstLine="482"/>
      </w:pPr>
      <w:r>
        <w:rPr>
          <w:rFonts w:ascii="宋体" w:hAnsi="宋体" w:eastAsia="宋体"/>
          <w:sz w:val="24"/>
        </w:rPr>
        <w:t>[12] Darmawiguna, I. G. M., et al. (2020). Bali Temple VR: The Virtual Reality based Application for the Digitalization of Balinese Temples. arXiv:2004.13853. https://arxiv.org/abs/2004.13853</w:t>
      </w:r>
    </w:p>
    <w:p/>
    <w:p>
      <w:r>
        <w:br w:type="page"/>
      </w:r>
    </w:p>
    <w:p>
      <w:pPr>
        <w:pStyle w:val="Heading1"/>
      </w:pPr>
      <w:r>
        <w:t>第11章 实训项目二：AR 文化导览应用开发</w:t>
      </w:r>
    </w:p>
    <w:p>
      <w:pPr>
        <w:jc w:val="center"/>
      </w:pPr>
      <w:r>
        <w:drawing>
          <wp:inline xmlns:a="http://schemas.openxmlformats.org/drawingml/2006/main" xmlns:pic="http://schemas.openxmlformats.org/drawingml/2006/picture">
            <wp:extent cx="5040000" cy="2098749"/>
            <wp:docPr id="9" name="Picture 9"/>
            <wp:cNvGraphicFramePr>
              <a:graphicFrameLocks noChangeAspect="1"/>
            </wp:cNvGraphicFramePr>
            <a:graphic>
              <a:graphicData uri="http://schemas.openxmlformats.org/drawingml/2006/picture">
                <pic:pic>
                  <pic:nvPicPr>
                    <pic:cNvPr id="0" name="fig02_reality_virtuality_continuum.png"/>
                    <pic:cNvPicPr/>
                  </pic:nvPicPr>
                  <pic:blipFill>
                    <a:blip r:embed="rId16"/>
                    <a:stretch>
                      <a:fillRect/>
                    </a:stretch>
                  </pic:blipFill>
                  <pic:spPr>
                    <a:xfrm>
                      <a:off x="0" y="0"/>
                      <a:ext cx="5040000" cy="2098749"/>
                    </a:xfrm>
                    <a:prstGeom prst="rect"/>
                  </pic:spPr>
                </pic:pic>
              </a:graphicData>
            </a:graphic>
          </wp:inline>
        </w:drawing>
      </w:r>
    </w:p>
    <w:p/>
    <w:p>
      <w:pPr>
        <w:pStyle w:val="Heading2"/>
      </w:pPr>
      <w:r>
        <w:t>学习目标</w:t>
      </w:r>
    </w:p>
    <w:p/>
    <w:p>
      <w:pPr>
        <w:pStyle w:val="ListNumber"/>
      </w:pPr>
      <w:r>
        <w:rPr>
          <w:rFonts w:ascii="宋体" w:hAnsi="宋体" w:eastAsia="宋体"/>
          <w:b/>
          <w:sz w:val="24"/>
        </w:rPr>
        <w:t>识记</w:t>
      </w:r>
      <w:r>
        <w:rPr>
          <w:rFonts w:ascii="宋体" w:hAnsi="宋体" w:eastAsia="宋体"/>
          <w:sz w:val="24"/>
        </w:rPr>
        <w:t>：AR Foundation 框架的核心组件，图像追踪与平面检测的实现原理，AR 应用测试的基本方法。</w:t>
      </w:r>
    </w:p>
    <w:p>
      <w:pPr>
        <w:pStyle w:val="ListNumber"/>
      </w:pPr>
      <w:r>
        <w:rPr>
          <w:rFonts w:ascii="宋体" w:hAnsi="宋体" w:eastAsia="宋体"/>
          <w:b/>
          <w:sz w:val="24"/>
        </w:rPr>
        <w:t>理解</w:t>
      </w:r>
      <w:r>
        <w:rPr>
          <w:rFonts w:ascii="宋体" w:hAnsi="宋体" w:eastAsia="宋体"/>
          <w:sz w:val="24"/>
        </w:rPr>
        <w:t>：AR 文化导览的设计原则，iOS（ARKit）与 Android（ARCore）平台差异，空间锚点与持久化的技术原理。</w:t>
      </w:r>
    </w:p>
    <w:p>
      <w:pPr>
        <w:pStyle w:val="ListNumber"/>
      </w:pPr>
      <w:r>
        <w:rPr>
          <w:rFonts w:ascii="宋体" w:hAnsi="宋体" w:eastAsia="宋体"/>
          <w:b/>
          <w:sz w:val="24"/>
        </w:rPr>
        <w:t>应用</w:t>
      </w:r>
      <w:r>
        <w:rPr>
          <w:rFonts w:ascii="宋体" w:hAnsi="宋体" w:eastAsia="宋体"/>
          <w:sz w:val="24"/>
        </w:rPr>
        <w:t>：能够使用 Unity + AR Foundation 开发跨平台 AR 文化导览应用。</w:t>
      </w:r>
    </w:p>
    <w:p>
      <w:pPr>
        <w:pStyle w:val="ListNumber"/>
      </w:pPr>
      <w:r>
        <w:rPr>
          <w:rFonts w:ascii="宋体" w:hAnsi="宋体" w:eastAsia="宋体"/>
          <w:b/>
          <w:sz w:val="24"/>
        </w:rPr>
        <w:t>分析</w:t>
      </w:r>
      <w:r>
        <w:rPr>
          <w:rFonts w:ascii="宋体" w:hAnsi="宋体" w:eastAsia="宋体"/>
          <w:sz w:val="24"/>
        </w:rPr>
        <w:t>：分析 AR 应用在不同环境条件（光照、距离、角度）下的追踪稳定性问题。</w:t>
      </w:r>
    </w:p>
    <w:p>
      <w:pPr>
        <w:pStyle w:val="ListNumber"/>
      </w:pPr>
      <w:r>
        <w:rPr>
          <w:rFonts w:ascii="宋体" w:hAnsi="宋体" w:eastAsia="宋体"/>
          <w:b/>
          <w:sz w:val="24"/>
        </w:rPr>
        <w:t>评价</w:t>
      </w:r>
      <w:r>
        <w:rPr>
          <w:rFonts w:ascii="宋体" w:hAnsi="宋体" w:eastAsia="宋体"/>
          <w:sz w:val="24"/>
        </w:rPr>
        <w:t>：评估 AR 文化导览应用的用户体验和文化传播效果。</w:t>
      </w:r>
    </w:p>
    <w:p>
      <w:pPr>
        <w:pStyle w:val="ListNumber"/>
      </w:pPr>
      <w:r>
        <w:rPr>
          <w:rFonts w:ascii="宋体" w:hAnsi="宋体" w:eastAsia="宋体"/>
          <w:b/>
          <w:sz w:val="24"/>
        </w:rPr>
        <w:t>创造</w:t>
      </w:r>
      <w:r>
        <w:rPr>
          <w:rFonts w:ascii="宋体" w:hAnsi="宋体" w:eastAsia="宋体"/>
          <w:sz w:val="24"/>
        </w:rPr>
        <w:t>：设计并实现一个面向安顺屯堡文化的 AR 导览应用，包含图像追踪、3D 模型展示和语音讲解功能。</w:t>
      </w:r>
    </w:p>
    <w:p/>
    <w:p>
      <w:pPr>
        <w:pStyle w:val="Heading2"/>
      </w:pPr>
      <w:r>
        <w:t>导入案例：安顺屯堡文化 AR 导览需求</w:t>
      </w:r>
    </w:p>
    <w:p/>
    <w:p>
      <w:pPr>
        <w:ind w:firstLine="482"/>
      </w:pPr>
      <w:r>
        <w:rPr>
          <w:rFonts w:ascii="宋体" w:hAnsi="宋体" w:eastAsia="宋体"/>
          <w:sz w:val="24"/>
        </w:rPr>
        <w:t>安顺屯堡是明代军事移民的历史活化石，拥有石头建筑群、地戏表演和明代江南风俗等独特文化资源。景区管理方希望开发 AR 导览应用，游客通过手机扫描景区中的文化标记（建筑牌匾、地戏面具、石雕图案），即可在屏幕上看到 3D 模型复原、历史场景动画和多媒体讲解。应用需同时支持 iOS 和 Android 平台，离线可用，开发周期 8 周。本章将以这一项目为实训背景，讲解 AR 文化导览应用的完整开发流程。</w:t>
      </w:r>
    </w:p>
    <w:p/>
    <w:p>
      <w:pPr>
        <w:ind w:firstLine="482"/>
      </w:pPr>
      <w:r>
        <w:rPr>
          <w:rFonts w:ascii="宋体" w:hAnsi="宋体" w:eastAsia="宋体"/>
          <w:sz w:val="24"/>
        </w:rPr>
        <w:t>屯堡文化 AR 导览项目的核心挑战在于如何将 600 年的明代历史文化以当代观众易于接受的方式呈现。传统的展板文字和导游讲解往往难以激发年轻游客的兴趣，而 AR 技术的视觉冲击力、互动性和趣味性恰好弥补了这一短板。通过 AR，静态的石头建筑可以"活起来"——城门自动修复为明代原貌、地戏面具在空中旋转展示、历史人物从照片中走出讲述自己的故事。这种"让历史说话、让文化活起来"的体验设计理念贯穿了本章的全部内容[1]。</w:t>
      </w:r>
    </w:p>
    <w:p/>
    <w:p>
      <w:pPr>
        <w:ind w:firstLine="482"/>
      </w:pPr>
      <w:r>
        <w:rPr>
          <w:rFonts w:ascii="宋体" w:hAnsi="宋体" w:eastAsia="宋体"/>
          <w:sz w:val="24"/>
        </w:rPr>
        <w:t>---</w:t>
      </w:r>
    </w:p>
    <w:p/>
    <w:p>
      <w:pPr>
        <w:pStyle w:val="Heading2"/>
      </w:pPr>
      <w:r>
        <w:t>11.1 项目概述与需求分析</w:t>
      </w:r>
    </w:p>
    <w:p/>
    <w:p>
      <w:pPr>
        <w:pStyle w:val="Heading3"/>
      </w:pPr>
      <w:r>
        <w:t>11.1.1 项目背景与目标</w:t>
      </w:r>
    </w:p>
    <w:p/>
    <w:p>
      <w:pPr>
        <w:ind w:firstLine="482"/>
      </w:pPr>
      <w:r>
        <w:rPr>
          <w:rFonts w:ascii="宋体" w:hAnsi="宋体" w:eastAsia="宋体"/>
          <w:sz w:val="24"/>
        </w:rPr>
        <w:t>本项目以贵州安顺屯堡为实训对象，开发 AR 文化导览应用[1]。项目目标为：</w:t>
      </w:r>
    </w:p>
    <w:p/>
    <w:p>
      <w:pPr>
        <w:pStyle w:val="ListBullet"/>
      </w:pPr>
      <w:r>
        <w:rPr>
          <w:rFonts w:ascii="宋体" w:hAnsi="宋体" w:eastAsia="宋体"/>
          <w:sz w:val="24"/>
        </w:rPr>
        <w:t>使用 Unity + AR Foundation 开发跨平台 AR 应用（iOS + Android）</w:t>
      </w:r>
    </w:p>
    <w:p>
      <w:pPr>
        <w:pStyle w:val="ListBullet"/>
      </w:pPr>
      <w:r>
        <w:rPr>
          <w:rFonts w:ascii="宋体" w:hAnsi="宋体" w:eastAsia="宋体"/>
          <w:sz w:val="24"/>
        </w:rPr>
        <w:t>实现图像追踪（扫描文化标记触发 AR 内容）和平面检测（虚拟物体放置）</w:t>
      </w:r>
    </w:p>
    <w:p>
      <w:pPr>
        <w:pStyle w:val="ListBullet"/>
      </w:pPr>
      <w:r>
        <w:rPr>
          <w:rFonts w:ascii="宋体" w:hAnsi="宋体" w:eastAsia="宋体"/>
          <w:sz w:val="24"/>
        </w:rPr>
        <w:t>包含至少 10 个 AR 内容点（3D 模型、动画、语音讲解）</w:t>
      </w:r>
    </w:p>
    <w:p>
      <w:pPr>
        <w:pStyle w:val="ListBullet"/>
      </w:pPr>
      <w:r>
        <w:rPr>
          <w:rFonts w:ascii="宋体" w:hAnsi="宋体" w:eastAsia="宋体"/>
          <w:sz w:val="24"/>
        </w:rPr>
        <w:t>支持离线运行和多语言（中英文）</w:t>
      </w:r>
    </w:p>
    <w:p>
      <w:pPr>
        <w:pStyle w:val="ListBullet"/>
      </w:pPr>
      <w:r>
        <w:rPr>
          <w:rFonts w:ascii="宋体" w:hAnsi="宋体" w:eastAsia="宋体"/>
          <w:sz w:val="24"/>
        </w:rPr>
        <w:t>项目文档完整</w:t>
      </w:r>
    </w:p>
    <w:p/>
    <w:p>
      <w:pPr>
        <w:pStyle w:val="Heading3"/>
      </w:pPr>
      <w:r>
        <w:t>11.1.2 需求分析与用户画像</w:t>
      </w:r>
    </w:p>
    <w:p/>
    <w:p>
      <w:pPr>
        <w:ind w:firstLine="482"/>
      </w:pPr>
      <w:r>
        <w:rPr>
          <w:rFonts w:ascii="宋体" w:hAnsi="宋体" w:eastAsia="宋体"/>
          <w:b/>
          <w:sz w:val="24"/>
        </w:rPr>
        <w:t>目标用户</w:t>
      </w:r>
      <w:r>
        <w:rPr>
          <w:rFonts w:ascii="宋体" w:hAnsi="宋体" w:eastAsia="宋体"/>
          <w:sz w:val="24"/>
        </w:rPr>
        <w:t>：18-60 岁的屯堡景区游客，智能手机用户，AR 使用经验有限。用户核心需求是"扫描即看"——对准文化标记即可触发 AR 内容，操作步骤不超过 3 步[1]。</w:t>
      </w:r>
    </w:p>
    <w:p/>
    <w:p>
      <w:pPr>
        <w:ind w:firstLine="482"/>
      </w:pPr>
      <w:r>
        <w:rPr>
          <w:rFonts w:ascii="宋体" w:hAnsi="宋体" w:eastAsia="宋体"/>
          <w:b/>
          <w:sz w:val="24"/>
        </w:rPr>
        <w:t>功能需求</w:t>
      </w:r>
      <w:r>
        <w:rPr>
          <w:rFonts w:ascii="宋体" w:hAnsi="宋体" w:eastAsia="宋体"/>
          <w:sz w:val="24"/>
        </w:rPr>
        <w:t>：</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功能模块</w:t>
            </w:r>
          </w:p>
        </w:tc>
        <w:tc>
          <w:tcPr>
            <w:tcW w:type="dxa" w:w="2771"/>
            <w:shd w:fill="D9E2F3" w:val="clear"/>
          </w:tcPr>
          <w:p>
            <w:pPr>
              <w:jc w:val="center"/>
            </w:pPr>
            <w:r/>
            <w:r>
              <w:rPr>
                <w:rFonts w:ascii="黑体" w:hAnsi="黑体" w:eastAsia="黑体"/>
                <w:b/>
                <w:sz w:val="20"/>
              </w:rPr>
              <w:t>功能描述</w:t>
            </w:r>
          </w:p>
        </w:tc>
        <w:tc>
          <w:tcPr>
            <w:tcW w:type="dxa" w:w="2771"/>
            <w:shd w:fill="D9E2F3" w:val="clear"/>
          </w:tcPr>
          <w:p>
            <w:pPr>
              <w:jc w:val="center"/>
            </w:pPr>
            <w:r/>
            <w:r>
              <w:rPr>
                <w:rFonts w:ascii="黑体" w:hAnsi="黑体" w:eastAsia="黑体"/>
                <w:b/>
                <w:sz w:val="20"/>
              </w:rPr>
              <w:t>技术方案</w:t>
            </w:r>
          </w:p>
        </w:tc>
      </w:tr>
      <w:tr>
        <w:tc>
          <w:tcPr>
            <w:tcW w:type="dxa" w:w="2771"/>
          </w:tcPr>
          <w:p>
            <w:r/>
            <w:r>
              <w:rPr>
                <w:rFonts w:ascii="宋体" w:hAnsi="宋体" w:eastAsia="宋体"/>
                <w:sz w:val="20"/>
              </w:rPr>
              <w:t>图像追踪</w:t>
            </w:r>
          </w:p>
        </w:tc>
        <w:tc>
          <w:tcPr>
            <w:tcW w:type="dxa" w:w="2771"/>
          </w:tcPr>
          <w:p>
            <w:r/>
            <w:r>
              <w:rPr>
                <w:rFonts w:ascii="宋体" w:hAnsi="宋体" w:eastAsia="宋体"/>
                <w:sz w:val="20"/>
              </w:rPr>
              <w:t>扫描标记触发 AR</w:t>
            </w:r>
          </w:p>
        </w:tc>
        <w:tc>
          <w:tcPr>
            <w:tcW w:type="dxa" w:w="2771"/>
          </w:tcPr>
          <w:p>
            <w:r/>
            <w:r>
              <w:rPr>
                <w:rFonts w:ascii="宋体" w:hAnsi="宋体" w:eastAsia="宋体"/>
                <w:sz w:val="20"/>
              </w:rPr>
              <w:t>AR Foundation Image Tracking</w:t>
            </w:r>
          </w:p>
        </w:tc>
      </w:tr>
      <w:tr>
        <w:tc>
          <w:tcPr>
            <w:tcW w:type="dxa" w:w="2771"/>
          </w:tcPr>
          <w:p>
            <w:r/>
            <w:r>
              <w:rPr>
                <w:rFonts w:ascii="宋体" w:hAnsi="宋体" w:eastAsia="宋体"/>
                <w:sz w:val="20"/>
              </w:rPr>
              <w:t>3D 展示</w:t>
            </w:r>
          </w:p>
        </w:tc>
        <w:tc>
          <w:tcPr>
            <w:tcW w:type="dxa" w:w="2771"/>
          </w:tcPr>
          <w:p>
            <w:r/>
            <w:r>
              <w:rPr>
                <w:rFonts w:ascii="宋体" w:hAnsi="宋体" w:eastAsia="宋体"/>
                <w:sz w:val="20"/>
              </w:rPr>
              <w:t>文物/建筑 3D 模型</w:t>
            </w:r>
          </w:p>
        </w:tc>
        <w:tc>
          <w:tcPr>
            <w:tcW w:type="dxa" w:w="2771"/>
          </w:tcPr>
          <w:p>
            <w:r/>
            <w:r>
              <w:rPr>
                <w:rFonts w:ascii="宋体" w:hAnsi="宋体" w:eastAsia="宋体"/>
                <w:sz w:val="20"/>
              </w:rPr>
              <w:t>Unity 模型渲染+旋转交互</w:t>
            </w:r>
          </w:p>
        </w:tc>
      </w:tr>
      <w:tr>
        <w:tc>
          <w:tcPr>
            <w:tcW w:type="dxa" w:w="2771"/>
          </w:tcPr>
          <w:p>
            <w:r/>
            <w:r>
              <w:rPr>
                <w:rFonts w:ascii="宋体" w:hAnsi="宋体" w:eastAsia="宋体"/>
                <w:sz w:val="20"/>
              </w:rPr>
              <w:t>语音讲解</w:t>
            </w:r>
          </w:p>
        </w:tc>
        <w:tc>
          <w:tcPr>
            <w:tcW w:type="dxa" w:w="2771"/>
          </w:tcPr>
          <w:p>
            <w:r/>
            <w:r>
              <w:rPr>
                <w:rFonts w:ascii="宋体" w:hAnsi="宋体" w:eastAsia="宋体"/>
                <w:sz w:val="20"/>
              </w:rPr>
              <w:t>文化知识语音播放</w:t>
            </w:r>
          </w:p>
        </w:tc>
        <w:tc>
          <w:tcPr>
            <w:tcW w:type="dxa" w:w="2771"/>
          </w:tcPr>
          <w:p>
            <w:r/>
            <w:r>
              <w:rPr>
                <w:rFonts w:ascii="宋体" w:hAnsi="宋体" w:eastAsia="宋体"/>
                <w:sz w:val="20"/>
              </w:rPr>
              <w:t>TTS 预生成+本地播放</w:t>
            </w:r>
          </w:p>
        </w:tc>
      </w:tr>
      <w:tr>
        <w:tc>
          <w:tcPr>
            <w:tcW w:type="dxa" w:w="2771"/>
          </w:tcPr>
          <w:p>
            <w:r/>
            <w:r>
              <w:rPr>
                <w:rFonts w:ascii="宋体" w:hAnsi="宋体" w:eastAsia="宋体"/>
                <w:sz w:val="20"/>
              </w:rPr>
              <w:t>路线导航</w:t>
            </w:r>
          </w:p>
        </w:tc>
        <w:tc>
          <w:tcPr>
            <w:tcW w:type="dxa" w:w="2771"/>
          </w:tcPr>
          <w:p>
            <w:r/>
            <w:r>
              <w:rPr>
                <w:rFonts w:ascii="宋体" w:hAnsi="宋体" w:eastAsia="宋体"/>
                <w:sz w:val="20"/>
              </w:rPr>
              <w:t>AR 内容点导航</w:t>
            </w:r>
          </w:p>
        </w:tc>
        <w:tc>
          <w:tcPr>
            <w:tcW w:type="dxa" w:w="2771"/>
          </w:tcPr>
          <w:p>
            <w:r/>
            <w:r>
              <w:rPr>
                <w:rFonts w:ascii="宋体" w:hAnsi="宋体" w:eastAsia="宋体"/>
                <w:sz w:val="20"/>
              </w:rPr>
              <w:t>GPS+地图标注</w:t>
            </w:r>
          </w:p>
        </w:tc>
      </w:tr>
      <w:tr>
        <w:tc>
          <w:tcPr>
            <w:tcW w:type="dxa" w:w="2771"/>
          </w:tcPr>
          <w:p>
            <w:r/>
            <w:r>
              <w:rPr>
                <w:rFonts w:ascii="宋体" w:hAnsi="宋体" w:eastAsia="宋体"/>
                <w:sz w:val="20"/>
              </w:rPr>
              <w:t>收藏分享</w:t>
            </w:r>
          </w:p>
        </w:tc>
        <w:tc>
          <w:tcPr>
            <w:tcW w:type="dxa" w:w="2771"/>
          </w:tcPr>
          <w:p>
            <w:r/>
            <w:r>
              <w:rPr>
                <w:rFonts w:ascii="宋体" w:hAnsi="宋体" w:eastAsia="宋体"/>
                <w:sz w:val="20"/>
              </w:rPr>
              <w:t>截图+社交媒体分享</w:t>
            </w:r>
          </w:p>
        </w:tc>
        <w:tc>
          <w:tcPr>
            <w:tcW w:type="dxa" w:w="2771"/>
          </w:tcPr>
          <w:p>
            <w:r/>
            <w:r>
              <w:rPr>
                <w:rFonts w:ascii="宋体" w:hAnsi="宋体" w:eastAsia="宋体"/>
                <w:sz w:val="20"/>
              </w:rPr>
              <w:t>Unity 截图 API+原生分享</w:t>
            </w:r>
          </w:p>
        </w:tc>
      </w:tr>
    </w:tbl>
    <w:p/>
    <w:p/>
    <w:p>
      <w:pPr>
        <w:pStyle w:val="Heading3"/>
      </w:pPr>
      <w:r>
        <w:t>11.1.3 技术方案选型</w:t>
      </w:r>
    </w:p>
    <w:p/>
    <w:p>
      <w:pPr>
        <w:ind w:firstLine="482"/>
      </w:pPr>
      <w:r>
        <w:rPr>
          <w:rFonts w:ascii="宋体" w:hAnsi="宋体" w:eastAsia="宋体"/>
          <w:sz w:val="24"/>
        </w:rPr>
        <w:t xml:space="preserve">选择 </w:t>
      </w:r>
      <w:r>
        <w:rPr>
          <w:rFonts w:ascii="宋体" w:hAnsi="宋体" w:eastAsia="宋体"/>
          <w:b/>
          <w:sz w:val="24"/>
        </w:rPr>
        <w:t>Marker AR + Markerless AR 混合方案</w:t>
      </w:r>
      <w:r>
        <w:rPr>
          <w:rFonts w:ascii="宋体" w:hAnsi="宋体" w:eastAsia="宋体"/>
          <w:sz w:val="24"/>
        </w:rPr>
        <w:t>[2]：</w:t>
      </w:r>
    </w:p>
    <w:p/>
    <w:p>
      <w:pPr>
        <w:pStyle w:val="ListBullet"/>
      </w:pPr>
      <w:r>
        <w:rPr>
          <w:rFonts w:ascii="宋体" w:hAnsi="宋体" w:eastAsia="宋体"/>
          <w:b/>
          <w:sz w:val="24"/>
        </w:rPr>
        <w:t>图像追踪（Marker AR）</w:t>
      </w:r>
      <w:r>
        <w:rPr>
          <w:rFonts w:ascii="宋体" w:hAnsi="宋体" w:eastAsia="宋体"/>
          <w:sz w:val="24"/>
        </w:rPr>
        <w:t>用于室内展馆和有明确标记的场景——游客扫描展品旁的 AR 标记图片触发 3D 模型和讲解。</w:t>
      </w:r>
    </w:p>
    <w:p>
      <w:pPr>
        <w:pStyle w:val="ListBullet"/>
      </w:pPr>
      <w:r>
        <w:rPr>
          <w:rFonts w:ascii="宋体" w:hAnsi="宋体" w:eastAsia="宋体"/>
          <w:b/>
          <w:sz w:val="24"/>
        </w:rPr>
        <w:t>平面检测（Markerless AR）</w:t>
      </w:r>
      <w:r>
        <w:rPr>
          <w:rFonts w:ascii="宋体" w:hAnsi="宋体" w:eastAsia="宋体"/>
          <w:sz w:val="24"/>
        </w:rPr>
        <w:t>用于室外场景——游客在空地或广场上将虚拟建筑/角色"放置"在真实环境中查看。</w:t>
      </w:r>
    </w:p>
    <w:p>
      <w:pPr>
        <w:pStyle w:val="ListBullet"/>
      </w:pPr>
      <w:r>
        <w:rPr>
          <w:rFonts w:ascii="宋体" w:hAnsi="宋体" w:eastAsia="宋体"/>
          <w:b/>
          <w:sz w:val="24"/>
        </w:rPr>
        <w:t>GPS 定位</w:t>
      </w:r>
      <w:r>
        <w:rPr>
          <w:rFonts w:ascii="宋体" w:hAnsi="宋体" w:eastAsia="宋体"/>
          <w:sz w:val="24"/>
        </w:rPr>
        <w:t>用于景区导航——根据游客位置推荐附近的 AR 内容点。</w:t>
      </w:r>
    </w:p>
    <w:p/>
    <w:p>
      <w:pPr>
        <w:pStyle w:val="Heading3"/>
      </w:pPr>
      <w:r>
        <w:t>11.1.4 项目 WBS 分解与里程碑</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阶段</w:t>
            </w:r>
          </w:p>
        </w:tc>
        <w:tc>
          <w:tcPr>
            <w:tcW w:type="dxa" w:w="2078"/>
            <w:shd w:fill="D9E2F3" w:val="clear"/>
          </w:tcPr>
          <w:p>
            <w:pPr>
              <w:jc w:val="center"/>
            </w:pPr>
            <w:r/>
            <w:r>
              <w:rPr>
                <w:rFonts w:ascii="黑体" w:hAnsi="黑体" w:eastAsia="黑体"/>
                <w:b/>
                <w:sz w:val="20"/>
              </w:rPr>
              <w:t>周次</w:t>
            </w:r>
          </w:p>
        </w:tc>
        <w:tc>
          <w:tcPr>
            <w:tcW w:type="dxa" w:w="2078"/>
            <w:shd w:fill="D9E2F3" w:val="clear"/>
          </w:tcPr>
          <w:p>
            <w:pPr>
              <w:jc w:val="center"/>
            </w:pPr>
            <w:r/>
            <w:r>
              <w:rPr>
                <w:rFonts w:ascii="黑体" w:hAnsi="黑体" w:eastAsia="黑体"/>
                <w:b/>
                <w:sz w:val="20"/>
              </w:rPr>
              <w:t>任务</w:t>
            </w:r>
          </w:p>
        </w:tc>
        <w:tc>
          <w:tcPr>
            <w:tcW w:type="dxa" w:w="2078"/>
            <w:shd w:fill="D9E2F3" w:val="clear"/>
          </w:tcPr>
          <w:p>
            <w:pPr>
              <w:jc w:val="center"/>
            </w:pPr>
            <w:r/>
            <w:r>
              <w:rPr>
                <w:rFonts w:ascii="黑体" w:hAnsi="黑体" w:eastAsia="黑体"/>
                <w:b/>
                <w:sz w:val="20"/>
              </w:rPr>
              <w:t>交付物</w:t>
            </w:r>
          </w:p>
        </w:tc>
      </w:tr>
      <w:tr>
        <w:tc>
          <w:tcPr>
            <w:tcW w:type="dxa" w:w="2078"/>
          </w:tcPr>
          <w:p>
            <w:r/>
            <w:r>
              <w:rPr>
                <w:rFonts w:ascii="宋体" w:hAnsi="宋体" w:eastAsia="宋体"/>
                <w:sz w:val="20"/>
              </w:rPr>
              <w:t>设计</w:t>
            </w:r>
          </w:p>
        </w:tc>
        <w:tc>
          <w:tcPr>
            <w:tcW w:type="dxa" w:w="2078"/>
          </w:tcPr>
          <w:p>
            <w:r/>
            <w:r>
              <w:rPr>
                <w:rFonts w:ascii="宋体" w:hAnsi="宋体" w:eastAsia="宋体"/>
                <w:sz w:val="20"/>
              </w:rPr>
              <w:t>1-2</w:t>
            </w:r>
          </w:p>
        </w:tc>
        <w:tc>
          <w:tcPr>
            <w:tcW w:type="dxa" w:w="2078"/>
          </w:tcPr>
          <w:p>
            <w:r/>
            <w:r>
              <w:rPr>
                <w:rFonts w:ascii="宋体" w:hAnsi="宋体" w:eastAsia="宋体"/>
                <w:sz w:val="20"/>
              </w:rPr>
              <w:t>AR 内容设计、标记设计、UI 设计</w:t>
            </w:r>
          </w:p>
        </w:tc>
        <w:tc>
          <w:tcPr>
            <w:tcW w:type="dxa" w:w="2078"/>
          </w:tcPr>
          <w:p>
            <w:r/>
            <w:r>
              <w:rPr>
                <w:rFonts w:ascii="宋体" w:hAnsi="宋体" w:eastAsia="宋体"/>
                <w:sz w:val="20"/>
              </w:rPr>
              <w:t>设计文档+AR 标记图</w:t>
            </w:r>
          </w:p>
        </w:tc>
      </w:tr>
      <w:tr>
        <w:tc>
          <w:tcPr>
            <w:tcW w:type="dxa" w:w="2078"/>
          </w:tcPr>
          <w:p>
            <w:r/>
            <w:r>
              <w:rPr>
                <w:rFonts w:ascii="宋体" w:hAnsi="宋体" w:eastAsia="宋体"/>
                <w:sz w:val="20"/>
              </w:rPr>
              <w:t>开发</w:t>
            </w:r>
          </w:p>
        </w:tc>
        <w:tc>
          <w:tcPr>
            <w:tcW w:type="dxa" w:w="2078"/>
          </w:tcPr>
          <w:p>
            <w:r/>
            <w:r>
              <w:rPr>
                <w:rFonts w:ascii="宋体" w:hAnsi="宋体" w:eastAsia="宋体"/>
                <w:sz w:val="20"/>
              </w:rPr>
              <w:t>3-6</w:t>
            </w:r>
          </w:p>
        </w:tc>
        <w:tc>
          <w:tcPr>
            <w:tcW w:type="dxa" w:w="2078"/>
          </w:tcPr>
          <w:p>
            <w:r/>
            <w:r>
              <w:rPr>
                <w:rFonts w:ascii="宋体" w:hAnsi="宋体" w:eastAsia="宋体"/>
                <w:sz w:val="20"/>
              </w:rPr>
              <w:t>AR Foundation 开发、3D 资产集成</w:t>
            </w:r>
          </w:p>
        </w:tc>
        <w:tc>
          <w:tcPr>
            <w:tcW w:type="dxa" w:w="2078"/>
          </w:tcPr>
          <w:p>
            <w:r/>
            <w:r>
              <w:rPr>
                <w:rFonts w:ascii="宋体" w:hAnsi="宋体" w:eastAsia="宋体"/>
                <w:sz w:val="20"/>
              </w:rPr>
              <w:t>AR 应用原型</w:t>
            </w:r>
          </w:p>
        </w:tc>
      </w:tr>
      <w:tr>
        <w:tc>
          <w:tcPr>
            <w:tcW w:type="dxa" w:w="2078"/>
          </w:tcPr>
          <w:p>
            <w:r/>
            <w:r>
              <w:rPr>
                <w:rFonts w:ascii="宋体" w:hAnsi="宋体" w:eastAsia="宋体"/>
                <w:sz w:val="20"/>
              </w:rPr>
              <w:t>测试</w:t>
            </w:r>
          </w:p>
        </w:tc>
        <w:tc>
          <w:tcPr>
            <w:tcW w:type="dxa" w:w="2078"/>
          </w:tcPr>
          <w:p>
            <w:r/>
            <w:r>
              <w:rPr>
                <w:rFonts w:ascii="宋体" w:hAnsi="宋体" w:eastAsia="宋体"/>
                <w:sz w:val="20"/>
              </w:rPr>
              <w:t>7</w:t>
            </w:r>
          </w:p>
        </w:tc>
        <w:tc>
          <w:tcPr>
            <w:tcW w:type="dxa" w:w="2078"/>
          </w:tcPr>
          <w:p>
            <w:r/>
            <w:r>
              <w:rPr>
                <w:rFonts w:ascii="宋体" w:hAnsi="宋体" w:eastAsia="宋体"/>
                <w:sz w:val="20"/>
              </w:rPr>
              <w:t>多设备测试、户外环境测试</w:t>
            </w:r>
          </w:p>
        </w:tc>
        <w:tc>
          <w:tcPr>
            <w:tcW w:type="dxa" w:w="2078"/>
          </w:tcPr>
          <w:p>
            <w:r/>
            <w:r>
              <w:rPr>
                <w:rFonts w:ascii="宋体" w:hAnsi="宋体" w:eastAsia="宋体"/>
                <w:sz w:val="20"/>
              </w:rPr>
              <w:t>测试报告</w:t>
            </w:r>
          </w:p>
        </w:tc>
      </w:tr>
      <w:tr>
        <w:tc>
          <w:tcPr>
            <w:tcW w:type="dxa" w:w="2078"/>
          </w:tcPr>
          <w:p>
            <w:r/>
            <w:r>
              <w:rPr>
                <w:rFonts w:ascii="宋体" w:hAnsi="宋体" w:eastAsia="宋体"/>
                <w:sz w:val="20"/>
              </w:rPr>
              <w:t>发布</w:t>
            </w:r>
          </w:p>
        </w:tc>
        <w:tc>
          <w:tcPr>
            <w:tcW w:type="dxa" w:w="2078"/>
          </w:tcPr>
          <w:p>
            <w:r/>
            <w:r>
              <w:rPr>
                <w:rFonts w:ascii="宋体" w:hAnsi="宋体" w:eastAsia="宋体"/>
                <w:sz w:val="20"/>
              </w:rPr>
              <w:t>8</w:t>
            </w:r>
          </w:p>
        </w:tc>
        <w:tc>
          <w:tcPr>
            <w:tcW w:type="dxa" w:w="2078"/>
          </w:tcPr>
          <w:p>
            <w:r/>
            <w:r>
              <w:rPr>
                <w:rFonts w:ascii="宋体" w:hAnsi="宋体" w:eastAsia="宋体"/>
                <w:sz w:val="20"/>
              </w:rPr>
              <w:t>应用商店上架、文档编写</w:t>
            </w:r>
          </w:p>
        </w:tc>
        <w:tc>
          <w:tcPr>
            <w:tcW w:type="dxa" w:w="2078"/>
          </w:tcPr>
          <w:p>
            <w:r/>
            <w:r>
              <w:rPr>
                <w:rFonts w:ascii="宋体" w:hAnsi="宋体" w:eastAsia="宋体"/>
                <w:sz w:val="20"/>
              </w:rPr>
              <w:t>上线应用+文档</w:t>
            </w:r>
          </w:p>
        </w:tc>
      </w:tr>
    </w:tbl>
    <w:p/>
    <w:p/>
    <w:p>
      <w:pPr>
        <w:pStyle w:val="Heading2"/>
      </w:pPr>
      <w:r>
        <w:t>11.2 AR 内容设计</w:t>
      </w:r>
    </w:p>
    <w:p/>
    <w:p>
      <w:pPr>
        <w:pStyle w:val="Heading3"/>
      </w:pPr>
      <w:r>
        <w:t>11.2.1 AR 交互叙事设计</w:t>
      </w:r>
    </w:p>
    <w:p/>
    <w:p>
      <w:pPr>
        <w:ind w:firstLine="482"/>
      </w:pPr>
      <w:r>
        <w:rPr>
          <w:rFonts w:ascii="宋体" w:hAnsi="宋体" w:eastAsia="宋体"/>
          <w:sz w:val="24"/>
        </w:rPr>
        <w:t>屯堡 AR 导览的叙事设计采用"时空叠层"模式——游客在屯堡现场通过 AR 看到不同历史时期的文化叠层[1]：</w:t>
      </w:r>
    </w:p>
    <w:p/>
    <w:p>
      <w:pPr>
        <w:pStyle w:val="ListBullet"/>
      </w:pPr>
      <w:r>
        <w:rPr>
          <w:rFonts w:ascii="宋体" w:hAnsi="宋体" w:eastAsia="宋体"/>
          <w:b/>
          <w:sz w:val="24"/>
        </w:rPr>
        <w:t>明代层</w:t>
      </w:r>
      <w:r>
        <w:rPr>
          <w:rFonts w:ascii="宋体" w:hAnsi="宋体" w:eastAsia="宋体"/>
          <w:sz w:val="24"/>
        </w:rPr>
        <w:t>：扫描城墙标记，AR 叠加明代屯军驻守的动画场景</w:t>
      </w:r>
    </w:p>
    <w:p>
      <w:pPr>
        <w:pStyle w:val="ListBullet"/>
      </w:pPr>
      <w:r>
        <w:rPr>
          <w:rFonts w:ascii="宋体" w:hAnsi="宋体" w:eastAsia="宋体"/>
          <w:b/>
          <w:sz w:val="24"/>
        </w:rPr>
        <w:t>清代层</w:t>
      </w:r>
      <w:r>
        <w:rPr>
          <w:rFonts w:ascii="宋体" w:hAnsi="宋体" w:eastAsia="宋体"/>
          <w:sz w:val="24"/>
        </w:rPr>
        <w:t>：扫描古民居标记，AR 展示清代屯堡居民的生活场景</w:t>
      </w:r>
    </w:p>
    <w:p>
      <w:pPr>
        <w:pStyle w:val="ListBullet"/>
      </w:pPr>
      <w:r>
        <w:rPr>
          <w:rFonts w:ascii="宋体" w:hAnsi="宋体" w:eastAsia="宋体"/>
          <w:b/>
          <w:sz w:val="24"/>
        </w:rPr>
        <w:t>现代层</w:t>
      </w:r>
      <w:r>
        <w:rPr>
          <w:rFonts w:ascii="宋体" w:hAnsi="宋体" w:eastAsia="宋体"/>
          <w:sz w:val="24"/>
        </w:rPr>
        <w:t>：扫描地戏面具标记，AR 展示现代地戏表演的 3D 模型</w:t>
      </w:r>
    </w:p>
    <w:p/>
    <w:p>
      <w:pPr>
        <w:ind w:firstLine="482"/>
      </w:pPr>
      <w:r>
        <w:rPr>
          <w:rFonts w:ascii="宋体" w:hAnsi="宋体" w:eastAsia="宋体"/>
          <w:sz w:val="24"/>
        </w:rPr>
        <w:t>这种"时空叠层"设计让游客在同一个物理空间中穿越不同的历史时期，感受屯堡文化 600 年的演变脉络。每层内容通过不同的视觉风格区分——明代层使用暖棕色调和古风字体，清代层使用青灰色调和楷书字体，现代层使用明亮色彩和无衬线字体。当游客切换不同文化层时，AR 界面以水墨晕染的过渡效果进行切换，增强时空穿越的仪式感[1]。</w:t>
      </w:r>
    </w:p>
    <w:p/>
    <w:p>
      <w:pPr>
        <w:ind w:firstLine="482"/>
      </w:pPr>
      <w:r>
        <w:rPr>
          <w:rFonts w:ascii="宋体" w:hAnsi="宋体" w:eastAsia="宋体"/>
          <w:sz w:val="24"/>
        </w:rPr>
        <w:t>叙事设计的另一个关键原则是"情感连接"——AR 内容不仅是知识的传递，更应激发游客的情感共鸣。例如，在沈万三故居的 AR 体验中，不仅展示建筑 3D 模型，还通过角色动画讲述沈万三从江南巨富到屯堡移民的人生转折，配以抒情的背景音乐，让游客在了解历史的同时感受人物命运的起伏。这种叙事化的 AR 体验设计将文化导览从"信息查询"提升为"情感体验"，显著增强了用户的文化认同感和记忆深度[9]。</w:t>
      </w:r>
    </w:p>
    <w:p/>
    <w:p>
      <w:pPr>
        <w:pStyle w:val="Heading3"/>
      </w:pPr>
      <w:r>
        <w:t>11.2.2 文化信息层级与展现形式</w:t>
      </w:r>
    </w:p>
    <w:p/>
    <w:p>
      <w:pPr>
        <w:ind w:firstLine="482"/>
      </w:pPr>
      <w:r>
        <w:rPr>
          <w:rFonts w:ascii="宋体" w:hAnsi="宋体" w:eastAsia="宋体"/>
          <w:sz w:val="24"/>
        </w:rPr>
        <w:t>信息分为三层[3]：基础层（3 秒可读的建筑名称和年代标签）、进阶层（30 秒语音讲解+多图展示）、深度层（2 分钟视频纪录片+3D 模型交互）。用户通过点击 AR 界面上的"了解更多"按钮逐层展开。</w:t>
      </w:r>
    </w:p>
    <w:p/>
    <w:p>
      <w:pPr>
        <w:pStyle w:val="Heading3"/>
      </w:pPr>
      <w:r>
        <w:t>11.2.3 3D 模型/动画/音频资产准备</w:t>
      </w:r>
    </w:p>
    <w:p/>
    <w:p>
      <w:pPr>
        <w:ind w:firstLine="482"/>
      </w:pPr>
      <w:r>
        <w:rPr>
          <w:rFonts w:ascii="宋体" w:hAnsi="宋体" w:eastAsia="宋体"/>
          <w:sz w:val="24"/>
        </w:rPr>
        <w:t>AR 应用的 3D 资产要求轻量化——移动端 AR 的渲染性能预算有限，每个 3D 模型的面数应控制在 5000-20000 三角形以内[4]。资产清单包括：屯堡建筑低模（5 件，各 10000-15000 面）、地戏面具 3D 模型（3 件，各 5000-8000 面）、明代士兵角色模型（2 件，各 15000-20000 面）、文化动画片段（5 段，各 10-30 秒）。</w:t>
      </w:r>
    </w:p>
    <w:p/>
    <w:p>
      <w:pPr>
        <w:ind w:firstLine="482"/>
      </w:pPr>
      <w:r>
        <w:rPr>
          <w:rFonts w:ascii="宋体" w:hAnsi="宋体" w:eastAsia="宋体"/>
          <w:sz w:val="24"/>
        </w:rPr>
        <w:t>音频资产包括：中文语音讲解（10 段，各 30-60 秒，使用 TTS 预生成或专业播音员录制）、英文语音讲解（10 段）、环境音效（风声、鸟鸣、脚步声等）。</w:t>
      </w:r>
    </w:p>
    <w:p/>
    <w:p>
      <w:pPr>
        <w:pStyle w:val="Heading3"/>
      </w:pPr>
      <w:r>
        <w:t>11.2.4 UI/UX 设计与原型制作</w:t>
      </w:r>
    </w:p>
    <w:p/>
    <w:p>
      <w:pPr>
        <w:ind w:firstLine="482"/>
      </w:pPr>
      <w:r>
        <w:rPr>
          <w:rFonts w:ascii="宋体" w:hAnsi="宋体" w:eastAsia="宋体"/>
          <w:sz w:val="24"/>
        </w:rPr>
        <w:t>AR 界面设计遵循"最小化界面"原则——AR 内容应占据屏幕主要空间，UI 控件最小化并放置在屏幕边缘[2]。核心 UI 元素包括：顶部状态栏（显示追踪状态和 GPS 位置）、底部操作栏（拍照、分享、切换语言）、中央 AR 视图（实时显示摄像头画面和虚拟内容叠加）。使用 Figma 或 Adobe XD 制作交互原型，进行用户测试后确定最终设计。</w:t>
      </w:r>
    </w:p>
    <w:p/>
    <w:p>
      <w:pPr>
        <w:pStyle w:val="Heading2"/>
      </w:pPr>
      <w:r>
        <w:t>11.3 Unity AR Foundation 开发</w:t>
      </w:r>
    </w:p>
    <w:p/>
    <w:p>
      <w:pPr>
        <w:pStyle w:val="Heading3"/>
      </w:pPr>
      <w:r>
        <w:t>11.3.1 AR Foundation 框架与架构</w:t>
      </w:r>
    </w:p>
    <w:p/>
    <w:p>
      <w:pPr>
        <w:ind w:firstLine="482"/>
      </w:pPr>
      <w:r>
        <w:rPr>
          <w:rFonts w:ascii="宋体" w:hAnsi="宋体" w:eastAsia="宋体"/>
          <w:sz w:val="24"/>
        </w:rPr>
        <w:t>AR Foundation 是 Unity 的跨平台 AR 开发框架，通过统一的 C# API 封装了 ARKit（iOS）和 ARCore（Android）的底层功能[2]。核心组件包括：</w:t>
      </w:r>
    </w:p>
    <w:p/>
    <w:p>
      <w:pPr>
        <w:ind w:firstLine="482"/>
      </w:pPr>
      <w:r>
        <w:rPr>
          <w:rFonts w:ascii="宋体" w:hAnsi="宋体" w:eastAsia="宋体"/>
          <w:b/>
          <w:sz w:val="24"/>
        </w:rPr>
        <w:t>AR Session</w:t>
      </w:r>
      <w:r>
        <w:rPr>
          <w:rFonts w:ascii="宋体" w:hAnsi="宋体" w:eastAsia="宋体"/>
          <w:sz w:val="24"/>
        </w:rPr>
        <w:t>：AR 会话管理器，控制 AR 系统的启动、暂停和停止。</w:t>
      </w:r>
    </w:p>
    <w:p>
      <w:pPr>
        <w:ind w:firstLine="482"/>
      </w:pPr>
      <w:r>
        <w:rPr>
          <w:rFonts w:ascii="宋体" w:hAnsi="宋体" w:eastAsia="宋体"/>
          <w:b/>
          <w:sz w:val="24"/>
        </w:rPr>
        <w:t>AR Session Origin</w:t>
      </w:r>
      <w:r>
        <w:rPr>
          <w:rFonts w:ascii="宋体" w:hAnsi="宋体" w:eastAsia="宋体"/>
          <w:sz w:val="24"/>
        </w:rPr>
        <w:t>：AR 坐标系原点，管理 AR 空间与 Unity 世界空间的映射。</w:t>
      </w:r>
    </w:p>
    <w:p>
      <w:pPr>
        <w:ind w:firstLine="482"/>
      </w:pPr>
      <w:r>
        <w:rPr>
          <w:rFonts w:ascii="宋体" w:hAnsi="宋体" w:eastAsia="宋体"/>
          <w:b/>
          <w:sz w:val="24"/>
        </w:rPr>
        <w:t>AR Camera</w:t>
      </w:r>
      <w:r>
        <w:rPr>
          <w:rFonts w:ascii="宋体" w:hAnsi="宋体" w:eastAsia="宋体"/>
          <w:sz w:val="24"/>
        </w:rPr>
        <w:t>：AR 摄像机，渲染设备摄像头的画面并叠加虚拟内容。</w:t>
      </w:r>
    </w:p>
    <w:p>
      <w:pPr>
        <w:ind w:firstLine="482"/>
      </w:pPr>
      <w:r>
        <w:rPr>
          <w:rFonts w:ascii="宋体" w:hAnsi="宋体" w:eastAsia="宋体"/>
          <w:b/>
          <w:sz w:val="24"/>
        </w:rPr>
        <w:t>AR Plane Manager</w:t>
      </w:r>
      <w:r>
        <w:rPr>
          <w:rFonts w:ascii="宋体" w:hAnsi="宋体" w:eastAsia="宋体"/>
          <w:sz w:val="24"/>
        </w:rPr>
        <w:t>：平面检测管理器，自动识别水平和垂直平面。</w:t>
      </w:r>
    </w:p>
    <w:p>
      <w:pPr>
        <w:ind w:firstLine="482"/>
      </w:pPr>
      <w:r>
        <w:rPr>
          <w:rFonts w:ascii="宋体" w:hAnsi="宋体" w:eastAsia="宋体"/>
          <w:b/>
          <w:sz w:val="24"/>
        </w:rPr>
        <w:t>AR Tracked Image Manager</w:t>
      </w:r>
      <w:r>
        <w:rPr>
          <w:rFonts w:ascii="宋体" w:hAnsi="宋体" w:eastAsia="宋体"/>
          <w:sz w:val="24"/>
        </w:rPr>
        <w:t>：图像追踪管理器，识别预设的标记图片并在其上放置虚拟内容。</w:t>
      </w:r>
    </w:p>
    <w:p>
      <w:pPr>
        <w:ind w:firstLine="482"/>
      </w:pPr>
      <w:r>
        <w:rPr>
          <w:rFonts w:ascii="宋体" w:hAnsi="宋体" w:eastAsia="宋体"/>
          <w:b/>
          <w:sz w:val="24"/>
        </w:rPr>
        <w:t>AR Anchor Manager</w:t>
      </w:r>
      <w:r>
        <w:rPr>
          <w:rFonts w:ascii="宋体" w:hAnsi="宋体" w:eastAsia="宋体"/>
          <w:sz w:val="24"/>
        </w:rPr>
        <w:t>：锚点管理器，将虚拟内容固定在真实空间的特定位置。</w:t>
      </w:r>
    </w:p>
    <w:p/>
    <w:p>
      <w:pPr>
        <w:pStyle w:val="Heading3"/>
      </w:pPr>
      <w:r>
        <w:t>11.3.2 图像追踪实现</w:t>
      </w:r>
    </w:p>
    <w:p/>
    <w:p>
      <w:pPr>
        <w:ind w:firstLine="482"/>
      </w:pPr>
      <w:r>
        <w:rPr>
          <w:rFonts w:ascii="宋体" w:hAnsi="宋体" w:eastAsia="宋体"/>
          <w:sz w:val="24"/>
        </w:rPr>
        <w:t>图像追踪的实现步骤[2]：（1）准备标记图片——设计高对比度、独特纹理的 AR 标记图（建议尺寸 15×15cm 以上）；（2）导入 Unity 并创建 Reference Image Library——将标记图片添加到可追踪图像库中；（3）配置 AR Tracked Image Manager——将图像库分配给管理器，设置每张图片对应的预制体（Prefab）；（4）编写事件处理脚本——当图像被识别时，实例化对应的 3D 模型和 UI；当图像丢失时，隐藏或保持虚拟内容。</w:t>
      </w:r>
    </w:p>
    <w:p/>
    <w:p>
      <w:pPr>
        <w:spacing w:after="0" w:line="240" w:lineRule="auto"/>
        <w:shd w:fill="F5F5F5" w:val="clear"/>
      </w:pPr>
      <w:r>
        <w:rPr>
          <w:rFonts w:ascii="Consolas" w:hAnsi="Consolas"/>
          <w:color w:val="323232"/>
          <w:sz w:val="18"/>
        </w:rPr>
        <w:t>public class ARImageTracker : MonoBehaviour {</w:t>
      </w:r>
    </w:p>
    <w:p>
      <w:pPr>
        <w:spacing w:after="0" w:line="240" w:lineRule="auto"/>
        <w:shd w:fill="F5F5F5" w:val="clear"/>
      </w:pPr>
      <w:r>
        <w:rPr>
          <w:rFonts w:ascii="Consolas" w:hAnsi="Consolas"/>
          <w:color w:val="323232"/>
          <w:sz w:val="18"/>
        </w:rPr>
        <w:t xml:space="preserve">    [SerializeField] private ARTrackedImageManager imageManager;</w:t>
      </w:r>
    </w:p>
    <w:p>
      <w:pPr>
        <w:spacing w:after="0" w:line="240" w:lineRule="auto"/>
        <w:shd w:fill="F5F5F5" w:val="clear"/>
      </w:pPr>
      <w:r>
        <w:rPr>
          <w:rFonts w:ascii="Consolas" w:hAnsi="Consolas"/>
          <w:color w:val="323232"/>
          <w:sz w:val="18"/>
        </w:rPr>
        <w:t xml:space="preserve">    [SerializeField] private GameObject[] arPrefabs;</w:t>
      </w:r>
    </w:p>
    <w:p>
      <w:pPr>
        <w:spacing w:after="0" w:line="240" w:lineRule="auto"/>
        <w:shd w:fill="F5F5F5" w:val="clear"/>
      </w:pPr>
      <w:r>
        <w:rPr>
          <w:rFonts w:ascii="Consolas" w:hAnsi="Consolas"/>
          <w:color w:val="323232"/>
          <w:sz w:val="18"/>
        </w:rPr>
        <w:t xml:space="preserve">    private Dictionary&lt;string, GameObject&gt; spawnedObjects = new Dictionary&lt;string, GameObject&gt;();</w:t>
      </w:r>
    </w:p>
    <w:p>
      <w:pPr>
        <w:spacing w:after="0" w:line="240" w:lineRule="auto"/>
        <w:shd w:fill="F5F5F5" w:val="clear"/>
      </w:pPr>
      <w:r>
        <w:rPr>
          <w:rFonts w:ascii="Consolas" w:hAnsi="Consolas"/>
          <w:color w:val="323232"/>
          <w:sz w:val="18"/>
        </w:rPr>
      </w:r>
    </w:p>
    <w:p>
      <w:pPr>
        <w:spacing w:after="0" w:line="240" w:lineRule="auto"/>
        <w:shd w:fill="F5F5F5" w:val="clear"/>
      </w:pPr>
      <w:r>
        <w:rPr>
          <w:rFonts w:ascii="Consolas" w:hAnsi="Consolas"/>
          <w:color w:val="323232"/>
          <w:sz w:val="18"/>
        </w:rPr>
        <w:t xml:space="preserve">    private void OnEnable() {</w:t>
      </w:r>
    </w:p>
    <w:p>
      <w:pPr>
        <w:spacing w:after="0" w:line="240" w:lineRule="auto"/>
        <w:shd w:fill="F5F5F5" w:val="clear"/>
      </w:pPr>
      <w:r>
        <w:rPr>
          <w:rFonts w:ascii="Consolas" w:hAnsi="Consolas"/>
          <w:color w:val="323232"/>
          <w:sz w:val="18"/>
        </w:rPr>
        <w:t xml:space="preserve">        imageManager.trackedImagesChanged += OnTrackedImageChanged;</w:t>
      </w:r>
    </w:p>
    <w:p>
      <w:pPr>
        <w:spacing w:after="0" w:line="240" w:lineRule="auto"/>
        <w:shd w:fill="F5F5F5" w:val="clear"/>
      </w:pPr>
      <w:r>
        <w:rPr>
          <w:rFonts w:ascii="Consolas" w:hAnsi="Consolas"/>
          <w:color w:val="323232"/>
          <w:sz w:val="18"/>
        </w:rPr>
        <w:t xml:space="preserve">    }</w:t>
      </w:r>
    </w:p>
    <w:p>
      <w:pPr>
        <w:spacing w:after="0" w:line="240" w:lineRule="auto"/>
        <w:shd w:fill="F5F5F5" w:val="clear"/>
      </w:pPr>
      <w:r>
        <w:rPr>
          <w:rFonts w:ascii="Consolas" w:hAnsi="Consolas"/>
          <w:color w:val="323232"/>
          <w:sz w:val="18"/>
        </w:rPr>
      </w:r>
    </w:p>
    <w:p>
      <w:pPr>
        <w:spacing w:after="0" w:line="240" w:lineRule="auto"/>
        <w:shd w:fill="F5F5F5" w:val="clear"/>
      </w:pPr>
      <w:r>
        <w:rPr>
          <w:rFonts w:ascii="Consolas" w:hAnsi="Consolas"/>
          <w:color w:val="323232"/>
          <w:sz w:val="18"/>
        </w:rPr>
        <w:t xml:space="preserve">    private void OnDisable() {</w:t>
      </w:r>
    </w:p>
    <w:p>
      <w:pPr>
        <w:spacing w:after="0" w:line="240" w:lineRule="auto"/>
        <w:shd w:fill="F5F5F5" w:val="clear"/>
      </w:pPr>
      <w:r>
        <w:rPr>
          <w:rFonts w:ascii="Consolas" w:hAnsi="Consolas"/>
          <w:color w:val="323232"/>
          <w:sz w:val="18"/>
        </w:rPr>
        <w:t xml:space="preserve">        imageManager.trackedImagesChanged -= OnTrackedImageChanged;</w:t>
      </w:r>
    </w:p>
    <w:p>
      <w:pPr>
        <w:spacing w:after="0" w:line="240" w:lineRule="auto"/>
        <w:shd w:fill="F5F5F5" w:val="clear"/>
      </w:pPr>
      <w:r>
        <w:rPr>
          <w:rFonts w:ascii="Consolas" w:hAnsi="Consolas"/>
          <w:color w:val="323232"/>
          <w:sz w:val="18"/>
        </w:rPr>
        <w:t xml:space="preserve">    }</w:t>
      </w:r>
    </w:p>
    <w:p>
      <w:pPr>
        <w:spacing w:after="0" w:line="240" w:lineRule="auto"/>
        <w:shd w:fill="F5F5F5" w:val="clear"/>
      </w:pPr>
      <w:r>
        <w:rPr>
          <w:rFonts w:ascii="Consolas" w:hAnsi="Consolas"/>
          <w:color w:val="323232"/>
          <w:sz w:val="18"/>
        </w:rPr>
      </w:r>
    </w:p>
    <w:p>
      <w:pPr>
        <w:spacing w:after="0" w:line="240" w:lineRule="auto"/>
        <w:shd w:fill="F5F5F5" w:val="clear"/>
      </w:pPr>
      <w:r>
        <w:rPr>
          <w:rFonts w:ascii="Consolas" w:hAnsi="Consolas"/>
          <w:color w:val="323232"/>
          <w:sz w:val="18"/>
        </w:rPr>
        <w:t xml:space="preserve">    public void OnTrackedImageChanged(ARTrackedImagesChangedEventArgs eventArgs) {</w:t>
      </w:r>
    </w:p>
    <w:p>
      <w:pPr>
        <w:spacing w:after="0" w:line="240" w:lineRule="auto"/>
        <w:shd w:fill="F5F5F5" w:val="clear"/>
      </w:pPr>
      <w:r>
        <w:rPr>
          <w:rFonts w:ascii="Consolas" w:hAnsi="Consolas"/>
          <w:color w:val="323232"/>
          <w:sz w:val="18"/>
        </w:rPr>
        <w:t xml:space="preserve">        foreach (var trackedImage in eventArgs.added) {</w:t>
      </w:r>
    </w:p>
    <w:p>
      <w:pPr>
        <w:spacing w:after="0" w:line="240" w:lineRule="auto"/>
        <w:shd w:fill="F5F5F5" w:val="clear"/>
      </w:pPr>
      <w:r>
        <w:rPr>
          <w:rFonts w:ascii="Consolas" w:hAnsi="Consolas"/>
          <w:color w:val="323232"/>
          <w:sz w:val="18"/>
        </w:rPr>
        <w:t xml:space="preserve">            string imageName = trackedImage.referenceImage.name;</w:t>
      </w:r>
    </w:p>
    <w:p>
      <w:pPr>
        <w:spacing w:after="0" w:line="240" w:lineRule="auto"/>
        <w:shd w:fill="F5F5F5" w:val="clear"/>
      </w:pPr>
      <w:r>
        <w:rPr>
          <w:rFonts w:ascii="Consolas" w:hAnsi="Consolas"/>
          <w:color w:val="323232"/>
          <w:sz w:val="18"/>
        </w:rPr>
        <w:t xml:space="preserve">            if (!spawnedObjects.ContainsKey(imageName)) {</w:t>
      </w:r>
    </w:p>
    <w:p>
      <w:pPr>
        <w:spacing w:after="0" w:line="240" w:lineRule="auto"/>
        <w:shd w:fill="F5F5F5" w:val="clear"/>
      </w:pPr>
      <w:r>
        <w:rPr>
          <w:rFonts w:ascii="Consolas" w:hAnsi="Consolas"/>
          <w:color w:val="323232"/>
          <w:sz w:val="18"/>
        </w:rPr>
        <w:t xml:space="preserve">                GameObject arContent = Instantiate(GetPrefabByName(imageName));</w:t>
      </w:r>
    </w:p>
    <w:p>
      <w:pPr>
        <w:spacing w:after="0" w:line="240" w:lineRule="auto"/>
        <w:shd w:fill="F5F5F5" w:val="clear"/>
      </w:pPr>
      <w:r>
        <w:rPr>
          <w:rFonts w:ascii="Consolas" w:hAnsi="Consolas"/>
          <w:color w:val="323232"/>
          <w:sz w:val="18"/>
        </w:rPr>
        <w:t xml:space="preserve">                arContent.transform.position = trackedImage.transform.position;</w:t>
      </w:r>
    </w:p>
    <w:p>
      <w:pPr>
        <w:spacing w:after="0" w:line="240" w:lineRule="auto"/>
        <w:shd w:fill="F5F5F5" w:val="clear"/>
      </w:pPr>
      <w:r>
        <w:rPr>
          <w:rFonts w:ascii="Consolas" w:hAnsi="Consolas"/>
          <w:color w:val="323232"/>
          <w:sz w:val="18"/>
        </w:rPr>
        <w:t xml:space="preserve">                arContent.transform.rotation = trackedImage.transform.rotation;</w:t>
      </w:r>
    </w:p>
    <w:p>
      <w:pPr>
        <w:spacing w:after="0" w:line="240" w:lineRule="auto"/>
        <w:shd w:fill="F5F5F5" w:val="clear"/>
      </w:pPr>
      <w:r>
        <w:rPr>
          <w:rFonts w:ascii="Consolas" w:hAnsi="Consolas"/>
          <w:color w:val="323232"/>
          <w:sz w:val="18"/>
        </w:rPr>
        <w:t xml:space="preserve">                spawnedObjects[imageName] = arContent;</w:t>
      </w:r>
    </w:p>
    <w:p>
      <w:pPr>
        <w:spacing w:after="0" w:line="240" w:lineRule="auto"/>
        <w:shd w:fill="F5F5F5" w:val="clear"/>
      </w:pPr>
      <w:r>
        <w:rPr>
          <w:rFonts w:ascii="Consolas" w:hAnsi="Consolas"/>
          <w:color w:val="323232"/>
          <w:sz w:val="18"/>
        </w:rPr>
        <w:t xml:space="preserve">                // 播放语音讲解</w:t>
      </w:r>
    </w:p>
    <w:p>
      <w:pPr>
        <w:spacing w:after="0" w:line="240" w:lineRule="auto"/>
        <w:shd w:fill="F5F5F5" w:val="clear"/>
      </w:pPr>
      <w:r>
        <w:rPr>
          <w:rFonts w:ascii="Consolas" w:hAnsi="Consolas"/>
          <w:color w:val="323232"/>
          <w:sz w:val="18"/>
        </w:rPr>
        <w:t xml:space="preserve">                PlayAudioNarration(imageName);</w:t>
      </w:r>
    </w:p>
    <w:p>
      <w:pPr>
        <w:spacing w:after="0" w:line="240" w:lineRule="auto"/>
        <w:shd w:fill="F5F5F5" w:val="clear"/>
      </w:pPr>
      <w:r>
        <w:rPr>
          <w:rFonts w:ascii="Consolas" w:hAnsi="Consolas"/>
          <w:color w:val="323232"/>
          <w:sz w:val="18"/>
        </w:rPr>
        <w:t xml:space="preserve">                // 显示信息面板</w:t>
      </w:r>
    </w:p>
    <w:p>
      <w:pPr>
        <w:spacing w:after="0" w:line="240" w:lineRule="auto"/>
        <w:shd w:fill="F5F5F5" w:val="clear"/>
      </w:pPr>
      <w:r>
        <w:rPr>
          <w:rFonts w:ascii="Consolas" w:hAnsi="Consolas"/>
          <w:color w:val="323232"/>
          <w:sz w:val="18"/>
        </w:rPr>
        <w:t xml:space="preserve">                ShowInfoPanel(imageName);</w:t>
      </w:r>
    </w:p>
    <w:p>
      <w:pPr>
        <w:spacing w:after="0" w:line="240" w:lineRule="auto"/>
        <w:shd w:fill="F5F5F5" w:val="clear"/>
      </w:pPr>
      <w:r>
        <w:rPr>
          <w:rFonts w:ascii="Consolas" w:hAnsi="Consolas"/>
          <w:color w:val="323232"/>
          <w:sz w:val="18"/>
        </w:rPr>
        <w:t xml:space="preserve">            }</w:t>
      </w:r>
    </w:p>
    <w:p>
      <w:pPr>
        <w:spacing w:after="0" w:line="240" w:lineRule="auto"/>
        <w:shd w:fill="F5F5F5" w:val="clear"/>
      </w:pPr>
      <w:r>
        <w:rPr>
          <w:rFonts w:ascii="Consolas" w:hAnsi="Consolas"/>
          <w:color w:val="323232"/>
          <w:sz w:val="18"/>
        </w:rPr>
        <w:t xml:space="preserve">        }</w:t>
      </w:r>
    </w:p>
    <w:p>
      <w:pPr>
        <w:spacing w:after="0" w:line="240" w:lineRule="auto"/>
        <w:shd w:fill="F5F5F5" w:val="clear"/>
      </w:pPr>
      <w:r>
        <w:rPr>
          <w:rFonts w:ascii="Consolas" w:hAnsi="Consolas"/>
          <w:color w:val="323232"/>
          <w:sz w:val="18"/>
        </w:rPr>
        <w:t xml:space="preserve">        foreach (var trackedImage in eventArgs.updated) {</w:t>
      </w:r>
    </w:p>
    <w:p>
      <w:pPr>
        <w:spacing w:after="0" w:line="240" w:lineRule="auto"/>
        <w:shd w:fill="F5F5F5" w:val="clear"/>
      </w:pPr>
      <w:r>
        <w:rPr>
          <w:rFonts w:ascii="Consolas" w:hAnsi="Consolas"/>
          <w:color w:val="323232"/>
          <w:sz w:val="18"/>
        </w:rPr>
        <w:t xml:space="preserve">            if (spawnedObjects.TryGetValue(trackedImage.referenceImage.name, out var obj)) {</w:t>
      </w:r>
    </w:p>
    <w:p>
      <w:pPr>
        <w:spacing w:after="0" w:line="240" w:lineRule="auto"/>
        <w:shd w:fill="F5F5F5" w:val="clear"/>
      </w:pPr>
      <w:r>
        <w:rPr>
          <w:rFonts w:ascii="Consolas" w:hAnsi="Consolas"/>
          <w:color w:val="323232"/>
          <w:sz w:val="18"/>
        </w:rPr>
        <w:t xml:space="preserve">                obj.transform.position = trackedImage.transform.position;</w:t>
      </w:r>
    </w:p>
    <w:p>
      <w:pPr>
        <w:spacing w:after="0" w:line="240" w:lineRule="auto"/>
        <w:shd w:fill="F5F5F5" w:val="clear"/>
      </w:pPr>
      <w:r>
        <w:rPr>
          <w:rFonts w:ascii="Consolas" w:hAnsi="Consolas"/>
          <w:color w:val="323232"/>
          <w:sz w:val="18"/>
        </w:rPr>
        <w:t xml:space="preserve">                obj.transform.rotation = trackedImage.transform.rotation;</w:t>
      </w:r>
    </w:p>
    <w:p>
      <w:pPr>
        <w:spacing w:after="0" w:line="240" w:lineRule="auto"/>
        <w:shd w:fill="F5F5F5" w:val="clear"/>
      </w:pPr>
      <w:r>
        <w:rPr>
          <w:rFonts w:ascii="Consolas" w:hAnsi="Consolas"/>
          <w:color w:val="323232"/>
          <w:sz w:val="18"/>
        </w:rPr>
        <w:t xml:space="preserve">                // 根据追踪状态调整透明度</w:t>
      </w:r>
    </w:p>
    <w:p>
      <w:pPr>
        <w:spacing w:after="0" w:line="240" w:lineRule="auto"/>
        <w:shd w:fill="F5F5F5" w:val="clear"/>
      </w:pPr>
      <w:r>
        <w:rPr>
          <w:rFonts w:ascii="Consolas" w:hAnsi="Consolas"/>
          <w:color w:val="323232"/>
          <w:sz w:val="18"/>
        </w:rPr>
        <w:t xml:space="preserve">                SetOpacity(obj, trackedImage.trackingState == TrackingState.Tracking ? 1f : 0.5f);</w:t>
      </w:r>
    </w:p>
    <w:p>
      <w:pPr>
        <w:spacing w:after="0" w:line="240" w:lineRule="auto"/>
        <w:shd w:fill="F5F5F5" w:val="clear"/>
      </w:pPr>
      <w:r>
        <w:rPr>
          <w:rFonts w:ascii="Consolas" w:hAnsi="Consolas"/>
          <w:color w:val="323232"/>
          <w:sz w:val="18"/>
        </w:rPr>
        <w:t xml:space="preserve">            }</w:t>
      </w:r>
    </w:p>
    <w:p>
      <w:pPr>
        <w:spacing w:after="0" w:line="240" w:lineRule="auto"/>
        <w:shd w:fill="F5F5F5" w:val="clear"/>
      </w:pPr>
      <w:r>
        <w:rPr>
          <w:rFonts w:ascii="Consolas" w:hAnsi="Consolas"/>
          <w:color w:val="323232"/>
          <w:sz w:val="18"/>
        </w:rPr>
        <w:t xml:space="preserve">        }</w:t>
      </w:r>
    </w:p>
    <w:p>
      <w:pPr>
        <w:spacing w:after="0" w:line="240" w:lineRule="auto"/>
        <w:shd w:fill="F5F5F5" w:val="clear"/>
      </w:pPr>
      <w:r>
        <w:rPr>
          <w:rFonts w:ascii="Consolas" w:hAnsi="Consolas"/>
          <w:color w:val="323232"/>
          <w:sz w:val="18"/>
        </w:rPr>
        <w:t xml:space="preserve">    }</w:t>
      </w:r>
    </w:p>
    <w:p>
      <w:pPr>
        <w:spacing w:after="0" w:line="240" w:lineRule="auto"/>
        <w:shd w:fill="F5F5F5" w:val="clear"/>
      </w:pPr>
      <w:r>
        <w:rPr>
          <w:rFonts w:ascii="Consolas" w:hAnsi="Consolas"/>
          <w:color w:val="323232"/>
          <w:sz w:val="18"/>
        </w:rPr>
        <w:t>}</w:t>
      </w:r>
    </w:p>
    <w:p/>
    <w:p>
      <w:pPr>
        <w:ind w:firstLine="482"/>
      </w:pPr>
      <w:r>
        <w:rPr>
          <w:rFonts w:ascii="宋体" w:hAnsi="宋体" w:eastAsia="宋体"/>
          <w:sz w:val="24"/>
        </w:rPr>
        <w:t>这段代码实现了三个关键功能：（1）当标记图片首次被识别时，实例化对应的 AR 内容并播放语音讲解；（2）当标记位置变化时，实时更新 AR 内容的位置和旋转；（3）当追踪状态从"追踪中"变为"有限追踪"时，将 AR 内容的透明度降低为 50%，提示用户追踪可能不稳定。这种状态反馈机制显著提升了用户体验——用户能直观了解 AR 系统的工作状态，并在追踪不稳定时主动调整手机角度或距离[2]。</w:t>
      </w:r>
    </w:p>
    <w:p/>
    <w:p>
      <w:pPr>
        <w:pStyle w:val="Heading3"/>
      </w:pPr>
      <w:r>
        <w:t>11.3.3 平面检测与物体放置</w:t>
      </w:r>
    </w:p>
    <w:p/>
    <w:p>
      <w:pPr>
        <w:ind w:firstLine="482"/>
      </w:pPr>
      <w:r>
        <w:rPr>
          <w:rFonts w:ascii="宋体" w:hAnsi="宋体" w:eastAsia="宋体"/>
          <w:sz w:val="24"/>
        </w:rPr>
        <w:t>平面检测允许用户在真实地面上放置虚拟物体[2]：AR Plane Manager 自动检测水平面并以彩色多边形可视化显示。用户通过触摸屏幕选择放置位置，射线检测（Raycast）计算触摸点在平面上的三维坐标，将虚拟物体实例化到该位置。</w:t>
      </w:r>
    </w:p>
    <w:p/>
    <w:p>
      <w:pPr>
        <w:ind w:firstLine="482"/>
      </w:pPr>
      <w:r>
        <w:rPr>
          <w:rFonts w:ascii="宋体" w:hAnsi="宋体" w:eastAsia="宋体"/>
          <w:sz w:val="24"/>
        </w:rPr>
        <w:t>在屯堡 AR 导览中，平面检测用于"虚拟建筑放置"体验——游客在景区广场上将虚拟的屯堡城门模型"放置"在真实地面上，可以从不同角度观察虚拟建筑与真实环境的融合效果。</w:t>
      </w:r>
    </w:p>
    <w:p/>
    <w:p>
      <w:pPr>
        <w:pStyle w:val="Heading3"/>
      </w:pPr>
      <w:r>
        <w:t>11.3.4 空间锚点与持久化</w:t>
      </w:r>
    </w:p>
    <w:p/>
    <w:p>
      <w:pPr>
        <w:ind w:firstLine="482"/>
      </w:pPr>
      <w:r>
        <w:rPr>
          <w:rFonts w:ascii="宋体" w:hAnsi="宋体" w:eastAsia="宋体"/>
          <w:sz w:val="24"/>
        </w:rPr>
        <w:t>空间锚点使虚拟内容固定在真实空间中的特定位置[5]。AR Foundation 的 AR Anchor Manager 可以在运行时创建锚点，将虚拟物体与世界坐标关联。云端锚点（Cloud Anchors）进一步支持跨设备共享——用户 A 放置的虚拟内容可以被用户 B 看到。</w:t>
      </w:r>
    </w:p>
    <w:p/>
    <w:p>
      <w:pPr>
        <w:ind w:firstLine="482"/>
      </w:pPr>
      <w:r>
        <w:rPr>
          <w:rFonts w:ascii="宋体" w:hAnsi="宋体" w:eastAsia="宋体"/>
          <w:sz w:val="24"/>
        </w:rPr>
        <w:t>在屯堡 AR 导览中，空间锚点用于设置"持久 AR 标记"——景区管理者在特定位置预先放置 AR 内容锚点，所有游客到达该位置时自动看到 AR 内容，无需扫描标记图片。这一功能需要 ARKit 的 Geo Anchors（基于 GPS+地图数据的空间锚定）或 ARCore 的 Cloud Anchors 支持[5]。</w:t>
      </w:r>
    </w:p>
    <w:p/>
    <w:p>
      <w:pPr>
        <w:pStyle w:val="Heading3"/>
      </w:pPr>
      <w:r>
        <w:t>11.3.5 光照估计与环境融合</w:t>
      </w:r>
    </w:p>
    <w:p/>
    <w:p>
      <w:pPr>
        <w:ind w:firstLine="482"/>
      </w:pPr>
      <w:r>
        <w:rPr>
          <w:rFonts w:ascii="宋体" w:hAnsi="宋体" w:eastAsia="宋体"/>
          <w:sz w:val="24"/>
        </w:rPr>
        <w:t>AR Foundation 的光照估计功能分析摄像头画面中的环境光照信息（亮度、色温、环境 HDR），自动调整虚拟物体的光照参数，使虚实融合更加自然[2]。当游客从室外阳光环境走入室内阴暗环境时，虚拟 3D 模型的亮度和色温会自动调整，避免"虚拟物体发光"或"与环境不匹配"的违和感。</w:t>
      </w:r>
    </w:p>
    <w:p/>
    <w:p>
      <w:pPr>
        <w:pStyle w:val="Heading2"/>
      </w:pPr>
      <w:r>
        <w:t>11.4 高级功能开发</w:t>
      </w:r>
    </w:p>
    <w:p/>
    <w:p>
      <w:pPr>
        <w:pStyle w:val="Heading3"/>
      </w:pPr>
      <w:r>
        <w:t>11.4.1 多语言支持与语音讲解</w:t>
      </w:r>
    </w:p>
    <w:p/>
    <w:p>
      <w:pPr>
        <w:ind w:firstLine="482"/>
      </w:pPr>
      <w:r>
        <w:rPr>
          <w:rFonts w:ascii="宋体" w:hAnsi="宋体" w:eastAsia="宋体"/>
          <w:sz w:val="24"/>
        </w:rPr>
        <w:t>多语言实现方案[6]：将所有文本和语音内容存储为语言资源文件（JSON 格式），应用启动时根据系统语言或用户选择加载对应语言。语音讲解使用 TTS 预生成方案——使用百度语音 SDK 或讯飞语音 SDK 将讲解文本合成为 MP3 文件，打包到应用中离线播放。相比实时 TTS，预生成方案延迟更低、音质更好。</w:t>
      </w:r>
    </w:p>
    <w:p/>
    <w:p>
      <w:pPr>
        <w:pStyle w:val="Heading3"/>
      </w:pPr>
      <w:r>
        <w:t>11.4.2 AR 导航与路径引导</w:t>
      </w:r>
    </w:p>
    <w:p/>
    <w:p>
      <w:pPr>
        <w:ind w:firstLine="482"/>
      </w:pPr>
      <w:r>
        <w:rPr>
          <w:rFonts w:ascii="宋体" w:hAnsi="宋体" w:eastAsia="宋体"/>
          <w:sz w:val="24"/>
        </w:rPr>
        <w:t>AR 导航结合 GPS 定位和 AR 方向指示[1]：应用通过 GPS 获取游客当前位置，计算到下一个 AR 内容点的方向和距离。在 AR 视图中叠加一个虚拟的方向箭头（类似游戏中的任务导航标记），指引游客前往。到达 AR 内容点附近（GPS 精度范围内）时，自动激活对应的 AR 内容。</w:t>
      </w:r>
    </w:p>
    <w:p/>
    <w:p>
      <w:pPr>
        <w:pStyle w:val="Heading3"/>
      </w:pPr>
      <w:r>
        <w:t>11.4.3 社交分享与截图功能</w:t>
      </w:r>
    </w:p>
    <w:p/>
    <w:p>
      <w:pPr>
        <w:ind w:firstLine="482"/>
      </w:pPr>
      <w:r>
        <w:rPr>
          <w:rFonts w:ascii="宋体" w:hAnsi="宋体" w:eastAsia="宋体"/>
          <w:sz w:val="24"/>
        </w:rPr>
        <w:t>截图功能使用 Unity 的 ScreenCapture.CaptureScreenshot() API 捕获当前画面（含 AR 叠加内容），保存到手机相册[6]。分享功能通过原生社交分享插件（如 Native Share for Unity）调用手机系统的分享面板，将截图分享到微信、微博等社交媒体。</w:t>
      </w:r>
    </w:p>
    <w:p/>
    <w:p>
      <w:pPr>
        <w:pStyle w:val="Heading3"/>
      </w:pPr>
      <w:r>
        <w:t>11.4.4 数据采集与用户行为分析</w:t>
      </w:r>
    </w:p>
    <w:p/>
    <w:p>
      <w:pPr>
        <w:ind w:firstLine="482"/>
      </w:pPr>
      <w:r>
        <w:rPr>
          <w:rFonts w:ascii="宋体" w:hAnsi="宋体" w:eastAsia="宋体"/>
          <w:sz w:val="24"/>
        </w:rPr>
        <w:t>在 AR 应用中嵌入用户行为数据采集[6]：记录每个 AR 内容点的触发次数、观看时长、互动操作（旋转/缩放/点击）和用户路径（游览顺序）。数据通过匿名化处理后上传到服务器，为景区运营提供数据支持——哪些文化内容最受关注、哪些位置游客停留时间最长、游览路线是否合理。这些数据为 I.M.M.E.R.S.E. 框架的 E（评估与迭代）维度提供客观依据。</w:t>
      </w:r>
    </w:p>
    <w:p/>
    <w:p>
      <w:pPr>
        <w:pStyle w:val="Heading2"/>
      </w:pPr>
      <w:r>
        <w:t>11.5 测试与发布</w:t>
      </w:r>
    </w:p>
    <w:p/>
    <w:p>
      <w:pPr>
        <w:pStyle w:val="Heading3"/>
      </w:pPr>
      <w:r>
        <w:t>11.5.1 AR 应用测试方法</w:t>
      </w:r>
    </w:p>
    <w:p/>
    <w:p>
      <w:pPr>
        <w:ind w:firstLine="482"/>
      </w:pPr>
      <w:r>
        <w:rPr>
          <w:rFonts w:ascii="宋体" w:hAnsi="宋体" w:eastAsia="宋体"/>
          <w:sz w:val="24"/>
        </w:rPr>
        <w:t>AR 应用测试比传统应用复杂，需要考虑环境因素和设备差异[7]：</w:t>
      </w:r>
    </w:p>
    <w:p/>
    <w:p>
      <w:pPr>
        <w:ind w:firstLine="482"/>
      </w:pPr>
      <w:r>
        <w:rPr>
          <w:rFonts w:ascii="宋体" w:hAnsi="宋体" w:eastAsia="宋体"/>
          <w:b/>
          <w:sz w:val="24"/>
        </w:rPr>
        <w:t>功能测试</w:t>
      </w:r>
      <w:r>
        <w:rPr>
          <w:rFonts w:ascii="宋体" w:hAnsi="宋体" w:eastAsia="宋体"/>
          <w:sz w:val="24"/>
        </w:rPr>
        <w:t>：验证每个 AR 内容点的触发、显示和交互是否正常。测试环境应覆盖不同光照条件（强光/弱光/混合光）、不同距离（0.5m/1m/2m）和不同角度（正面/侧面/俯视）。</w:t>
      </w:r>
    </w:p>
    <w:p/>
    <w:p>
      <w:pPr>
        <w:ind w:firstLine="482"/>
      </w:pPr>
      <w:r>
        <w:rPr>
          <w:rFonts w:ascii="宋体" w:hAnsi="宋体" w:eastAsia="宋体"/>
          <w:b/>
          <w:sz w:val="24"/>
        </w:rPr>
        <w:t>性能测试</w:t>
      </w:r>
      <w:r>
        <w:rPr>
          <w:rFonts w:ascii="宋体" w:hAnsi="宋体" w:eastAsia="宋体"/>
          <w:sz w:val="24"/>
        </w:rPr>
        <w:t>：使用 Unity Profiler 测量帧率、内存占用和电池消耗。移动端 AR 的帧率目标为 30-60fps，内存占用应低于 500MB，连续使用 30 分钟电池消耗不超过 20%。</w:t>
      </w:r>
    </w:p>
    <w:p/>
    <w:p>
      <w:pPr>
        <w:ind w:firstLine="482"/>
      </w:pPr>
      <w:r>
        <w:rPr>
          <w:rFonts w:ascii="宋体" w:hAnsi="宋体" w:eastAsia="宋体"/>
          <w:b/>
          <w:sz w:val="24"/>
        </w:rPr>
        <w:t>兼容性测试</w:t>
      </w:r>
      <w:r>
        <w:rPr>
          <w:rFonts w:ascii="宋体" w:hAnsi="宋体" w:eastAsia="宋体"/>
          <w:sz w:val="24"/>
        </w:rPr>
        <w:t>：在至少 5 款不同型号的手机上测试（iOS：iPhone 12/13/14/15；Android：三星/小米/华为/OPPO 中高端机型），检查 ARKit/ARCore 的兼容性和性能差异。特别需要注意的是，Android 设备的 ARCore 支持列表不断更新，部分老旧或低端设备可能不支持 ARCore，应用应在启动时检测设备兼容性并给出友好提示。对于不支持 ARCore 的设备，可以提供降级方案——如仅显示 3D 模型查看功能（不含 AR 追踪），或引导用户使用 WebXR 版本。</w:t>
      </w:r>
    </w:p>
    <w:p/>
    <w:p>
      <w:pPr>
        <w:ind w:firstLine="482"/>
      </w:pPr>
      <w:r>
        <w:rPr>
          <w:rFonts w:ascii="宋体" w:hAnsi="宋体" w:eastAsia="宋体"/>
          <w:b/>
          <w:sz w:val="24"/>
        </w:rPr>
        <w:t>用户体验测试</w:t>
      </w:r>
      <w:r>
        <w:rPr>
          <w:rFonts w:ascii="宋体" w:hAnsi="宋体" w:eastAsia="宋体"/>
          <w:sz w:val="24"/>
        </w:rPr>
        <w:t>：邀请 10-15 名目标用户在景区实地使用 AR 应用，观察操作行为并收集反馈。重点关注：首次使用的引导效果、AR 触发的成功率、信息呈现的清晰度和整体满意度。</w:t>
      </w:r>
    </w:p>
    <w:p/>
    <w:p>
      <w:pPr>
        <w:pStyle w:val="Heading3"/>
      </w:pPr>
      <w:r>
        <w:t>11.5.2 iOS（ARKit）与 Android（ARCore）适配</w:t>
      </w:r>
    </w:p>
    <w:p/>
    <w:p>
      <w:pPr>
        <w:ind w:firstLine="482"/>
      </w:pPr>
      <w:r>
        <w:rPr>
          <w:rFonts w:ascii="宋体" w:hAnsi="宋体" w:eastAsia="宋体"/>
          <w:sz w:val="24"/>
        </w:rPr>
        <w:t>iOS 和 Android 平台的 AR 能力存在差异[7]：ARKit 在图像追踪精度和面部追踪方面通常优于 ARCore；ARCore 在 Android 设备上的覆盖面更广但性能参差不齐。AR Foundation 的跨平台 API 在大多数功能上保持一致，但在以下方面需要平台适配：iOS 支持 Geo Anchors（基于地理坐标的锚定），Android 不支持；iOS 的 LiDAR 扫描支持更精确的深度感知和遮挡，Android 依赖深度 API（仅部分设备支持）；应用商店审核流程不同（App Store 更严格，AR 应用需要提供演示视频）。</w:t>
      </w:r>
    </w:p>
    <w:p/>
    <w:p>
      <w:pPr>
        <w:pStyle w:val="Heading3"/>
      </w:pPr>
      <w:r>
        <w:t>11.5.3 应用商店发布流程</w:t>
      </w:r>
    </w:p>
    <w:p/>
    <w:p>
      <w:pPr>
        <w:ind w:firstLine="482"/>
      </w:pPr>
      <w:r>
        <w:rPr>
          <w:rFonts w:ascii="宋体" w:hAnsi="宋体" w:eastAsia="宋体"/>
          <w:b/>
          <w:sz w:val="24"/>
        </w:rPr>
        <w:t>App Store 发布</w:t>
      </w:r>
      <w:r>
        <w:rPr>
          <w:rFonts w:ascii="宋体" w:hAnsi="宋体" w:eastAsia="宋体"/>
          <w:sz w:val="24"/>
        </w:rPr>
        <w:t>[7]：（1）在 Apple Developer 账户中创建 App ID 并启用 ARKit 能力；（2）在 Unity 中配置 iOS Build Settings（Bundle Identifier、版本号、权限描述）；（3）编译生成 Xcode 项目；（4）在 Xcode 中配置签名和 Capabilities；（5）上传到 App Store Connect；（6）提交审核（AR 应用通常需要 1-3 天审核时间，需提供 AR 功能演示视频）。</w:t>
      </w:r>
    </w:p>
    <w:p/>
    <w:p>
      <w:pPr>
        <w:ind w:firstLine="482"/>
      </w:pPr>
      <w:r>
        <w:rPr>
          <w:rFonts w:ascii="宋体" w:hAnsi="宋体" w:eastAsia="宋体"/>
          <w:b/>
          <w:sz w:val="24"/>
        </w:rPr>
        <w:t>Google Play 发布</w:t>
      </w:r>
      <w:r>
        <w:rPr>
          <w:rFonts w:ascii="宋体" w:hAnsi="宋体" w:eastAsia="宋体"/>
          <w:sz w:val="24"/>
        </w:rPr>
        <w:t>[7]：（1）在 Google Play Console 中创建应用；（2）配置 Unity Android Build Settings（Package Name、版本号、权限）；（3）编译生成 APK 或 AAB；（4）上传到 Play Console；（5）填写商店列表信息（截图、描述、分类）；（6）提交审核（通常数小时内通过）。</w:t>
      </w:r>
    </w:p>
    <w:p/>
    <w:p>
      <w:pPr>
        <w:pStyle w:val="Heading3"/>
      </w:pPr>
      <w:r>
        <w:t>11.5.4 项目文档与交付物清单</w:t>
      </w:r>
    </w:p>
    <w:p/>
    <w:p>
      <w:pPr>
        <w:ind w:firstLine="482"/>
      </w:pPr>
      <w:r>
        <w:rPr>
          <w:rFonts w:ascii="宋体" w:hAnsi="宋体" w:eastAsia="宋体"/>
          <w:sz w:val="24"/>
        </w:rPr>
        <w:t>交付物包括：（1）AR 文化导览应用（iOS + Android 双平台）；（2）AR 标记图片设计文件；（3）3D 资产库（模型+纹理+动画）；（4）语音讲解音频库（中英文）；（5）技术设计文档；（6）用户手册；（7）测试报告；（8）项目报告[7]。</w:t>
      </w:r>
    </w:p>
    <w:p/>
    <w:p>
      <w:pPr>
        <w:spacing w:before="60" w:after="60"/>
        <w:ind w:left="567"/>
      </w:pPr>
      <w:r>
        <w:rPr>
          <w:rFonts w:ascii="楷体" w:hAnsi="楷体" w:eastAsia="楷体"/>
          <w:i/>
          <w:sz w:val="22"/>
        </w:rPr>
        <w:t>**知识卡片：AR Foundation 组件速查**</w:t>
      </w:r>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&gt;</w:t>
            </w:r>
          </w:p>
        </w:tc>
        <w:tc>
          <w:tcPr>
            <w:tcW w:type="dxa" w:w="2078"/>
            <w:shd w:fill="D9E2F3" w:val="clear"/>
          </w:tcPr>
          <w:p>
            <w:pPr>
              <w:jc w:val="center"/>
            </w:pPr>
            <w:r/>
            <w:r>
              <w:rPr>
                <w:rFonts w:ascii="黑体" w:hAnsi="黑体" w:eastAsia="黑体"/>
                <w:b/>
                <w:sz w:val="20"/>
              </w:rPr>
              <w:t>组件</w:t>
            </w:r>
          </w:p>
        </w:tc>
        <w:tc>
          <w:tcPr>
            <w:tcW w:type="dxa" w:w="2078"/>
            <w:shd w:fill="D9E2F3" w:val="clear"/>
          </w:tcPr>
          <w:p>
            <w:pPr>
              <w:jc w:val="center"/>
            </w:pPr>
            <w:r/>
            <w:r>
              <w:rPr>
                <w:rFonts w:ascii="黑体" w:hAnsi="黑体" w:eastAsia="黑体"/>
                <w:b/>
                <w:sz w:val="20"/>
              </w:rPr>
              <w:t>功能</w:t>
            </w:r>
          </w:p>
        </w:tc>
        <w:tc>
          <w:tcPr>
            <w:tcW w:type="dxa" w:w="2078"/>
            <w:shd w:fill="D9E2F3" w:val="clear"/>
          </w:tcPr>
          <w:p>
            <w:pPr>
              <w:jc w:val="center"/>
            </w:pPr>
            <w:r/>
            <w:r>
              <w:rPr>
                <w:rFonts w:ascii="黑体" w:hAnsi="黑体" w:eastAsia="黑体"/>
                <w:b/>
                <w:sz w:val="20"/>
              </w:rPr>
              <w:t>使用场景</w:t>
            </w:r>
          </w:p>
        </w:tc>
      </w:tr>
      <w:tr>
        <w:tc>
          <w:tcPr>
            <w:tcW w:type="dxa" w:w="2078"/>
          </w:tcPr>
          <w:p>
            <w:r/>
            <w:r>
              <w:rPr>
                <w:rFonts w:ascii="宋体" w:hAnsi="宋体" w:eastAsia="宋体"/>
                <w:sz w:val="20"/>
              </w:rPr>
              <w:t>&gt;</w:t>
            </w:r>
          </w:p>
        </w:tc>
        <w:tc>
          <w:tcPr>
            <w:tcW w:type="dxa" w:w="2078"/>
          </w:tcPr>
          <w:p>
            <w:r/>
            <w:r>
              <w:rPr>
                <w:rFonts w:ascii="宋体" w:hAnsi="宋体" w:eastAsia="宋体"/>
                <w:sz w:val="20"/>
              </w:rPr>
              <w:t>AR Session</w:t>
            </w:r>
          </w:p>
        </w:tc>
        <w:tc>
          <w:tcPr>
            <w:tcW w:type="dxa" w:w="2078"/>
          </w:tcPr>
          <w:p>
            <w:r/>
            <w:r>
              <w:rPr>
                <w:rFonts w:ascii="宋体" w:hAnsi="宋体" w:eastAsia="宋体"/>
                <w:sz w:val="20"/>
              </w:rPr>
              <w:t>AR 会话管理</w:t>
            </w:r>
          </w:p>
        </w:tc>
        <w:tc>
          <w:tcPr>
            <w:tcW w:type="dxa" w:w="2078"/>
          </w:tcPr>
          <w:p>
            <w:r/>
            <w:r>
              <w:rPr>
                <w:rFonts w:ascii="宋体" w:hAnsi="宋体" w:eastAsia="宋体"/>
                <w:sz w:val="20"/>
              </w:rPr>
              <w:t>必须，每个 AR 场景一个</w:t>
            </w:r>
          </w:p>
        </w:tc>
      </w:tr>
      <w:tr>
        <w:tc>
          <w:tcPr>
            <w:tcW w:type="dxa" w:w="2078"/>
          </w:tcPr>
          <w:p>
            <w:r/>
            <w:r>
              <w:rPr>
                <w:rFonts w:ascii="宋体" w:hAnsi="宋体" w:eastAsia="宋体"/>
                <w:sz w:val="20"/>
              </w:rPr>
              <w:t>&gt;</w:t>
            </w:r>
          </w:p>
        </w:tc>
        <w:tc>
          <w:tcPr>
            <w:tcW w:type="dxa" w:w="2078"/>
          </w:tcPr>
          <w:p>
            <w:r/>
            <w:r>
              <w:rPr>
                <w:rFonts w:ascii="宋体" w:hAnsi="宋体" w:eastAsia="宋体"/>
                <w:sz w:val="20"/>
              </w:rPr>
              <w:t>AR Plane Manager</w:t>
            </w:r>
          </w:p>
        </w:tc>
        <w:tc>
          <w:tcPr>
            <w:tcW w:type="dxa" w:w="2078"/>
          </w:tcPr>
          <w:p>
            <w:r/>
            <w:r>
              <w:rPr>
                <w:rFonts w:ascii="宋体" w:hAnsi="宋体" w:eastAsia="宋体"/>
                <w:sz w:val="20"/>
              </w:rPr>
              <w:t>平面检测</w:t>
            </w:r>
          </w:p>
        </w:tc>
        <w:tc>
          <w:tcPr>
            <w:tcW w:type="dxa" w:w="2078"/>
          </w:tcPr>
          <w:p>
            <w:r/>
            <w:r>
              <w:rPr>
                <w:rFonts w:ascii="宋体" w:hAnsi="宋体" w:eastAsia="宋体"/>
                <w:sz w:val="20"/>
              </w:rPr>
              <w:t>地面放置虚拟物体</w:t>
            </w:r>
          </w:p>
        </w:tc>
      </w:tr>
      <w:tr>
        <w:tc>
          <w:tcPr>
            <w:tcW w:type="dxa" w:w="2078"/>
          </w:tcPr>
          <w:p>
            <w:r/>
            <w:r>
              <w:rPr>
                <w:rFonts w:ascii="宋体" w:hAnsi="宋体" w:eastAsia="宋体"/>
                <w:sz w:val="20"/>
              </w:rPr>
              <w:t>&gt;</w:t>
            </w:r>
          </w:p>
        </w:tc>
        <w:tc>
          <w:tcPr>
            <w:tcW w:type="dxa" w:w="2078"/>
          </w:tcPr>
          <w:p>
            <w:r/>
            <w:r>
              <w:rPr>
                <w:rFonts w:ascii="宋体" w:hAnsi="宋体" w:eastAsia="宋体"/>
                <w:sz w:val="20"/>
              </w:rPr>
              <w:t>AR Tracked Image Manager</w:t>
            </w:r>
          </w:p>
        </w:tc>
        <w:tc>
          <w:tcPr>
            <w:tcW w:type="dxa" w:w="2078"/>
          </w:tcPr>
          <w:p>
            <w:r/>
            <w:r>
              <w:rPr>
                <w:rFonts w:ascii="宋体" w:hAnsi="宋体" w:eastAsia="宋体"/>
                <w:sz w:val="20"/>
              </w:rPr>
              <w:t>图像追踪</w:t>
            </w:r>
          </w:p>
        </w:tc>
        <w:tc>
          <w:tcPr>
            <w:tcW w:type="dxa" w:w="2078"/>
          </w:tcPr>
          <w:p>
            <w:r/>
            <w:r>
              <w:rPr>
                <w:rFonts w:ascii="宋体" w:hAnsi="宋体" w:eastAsia="宋体"/>
                <w:sz w:val="20"/>
              </w:rPr>
              <w:t>扫描标记触发内容</w:t>
            </w:r>
          </w:p>
        </w:tc>
      </w:tr>
      <w:tr>
        <w:tc>
          <w:tcPr>
            <w:tcW w:type="dxa" w:w="2078"/>
          </w:tcPr>
          <w:p>
            <w:r/>
            <w:r>
              <w:rPr>
                <w:rFonts w:ascii="宋体" w:hAnsi="宋体" w:eastAsia="宋体"/>
                <w:sz w:val="20"/>
              </w:rPr>
              <w:t>&gt;</w:t>
            </w:r>
          </w:p>
        </w:tc>
        <w:tc>
          <w:tcPr>
            <w:tcW w:type="dxa" w:w="2078"/>
          </w:tcPr>
          <w:p>
            <w:r/>
            <w:r>
              <w:rPr>
                <w:rFonts w:ascii="宋体" w:hAnsi="宋体" w:eastAsia="宋体"/>
                <w:sz w:val="20"/>
              </w:rPr>
              <w:t>AR Anchor Manager</w:t>
            </w:r>
          </w:p>
        </w:tc>
        <w:tc>
          <w:tcPr>
            <w:tcW w:type="dxa" w:w="2078"/>
          </w:tcPr>
          <w:p>
            <w:r/>
            <w:r>
              <w:rPr>
                <w:rFonts w:ascii="宋体" w:hAnsi="宋体" w:eastAsia="宋体"/>
                <w:sz w:val="20"/>
              </w:rPr>
              <w:t>空间锚点</w:t>
            </w:r>
          </w:p>
        </w:tc>
        <w:tc>
          <w:tcPr>
            <w:tcW w:type="dxa" w:w="2078"/>
          </w:tcPr>
          <w:p>
            <w:r/>
            <w:r>
              <w:rPr>
                <w:rFonts w:ascii="宋体" w:hAnsi="宋体" w:eastAsia="宋体"/>
                <w:sz w:val="20"/>
              </w:rPr>
              <w:t>持久化虚拟内容位置</w:t>
            </w:r>
          </w:p>
        </w:tc>
      </w:tr>
      <w:tr>
        <w:tc>
          <w:tcPr>
            <w:tcW w:type="dxa" w:w="2078"/>
          </w:tcPr>
          <w:p>
            <w:r/>
            <w:r>
              <w:rPr>
                <w:rFonts w:ascii="宋体" w:hAnsi="宋体" w:eastAsia="宋体"/>
                <w:sz w:val="20"/>
              </w:rPr>
              <w:t>&gt;</w:t>
            </w:r>
          </w:p>
        </w:tc>
        <w:tc>
          <w:tcPr>
            <w:tcW w:type="dxa" w:w="2078"/>
          </w:tcPr>
          <w:p>
            <w:r/>
            <w:r>
              <w:rPr>
                <w:rFonts w:ascii="宋体" w:hAnsi="宋体" w:eastAsia="宋体"/>
                <w:sz w:val="20"/>
              </w:rPr>
              <w:t>AR Raycast Manager</w:t>
            </w:r>
          </w:p>
        </w:tc>
        <w:tc>
          <w:tcPr>
            <w:tcW w:type="dxa" w:w="2078"/>
          </w:tcPr>
          <w:p>
            <w:r/>
            <w:r>
              <w:rPr>
                <w:rFonts w:ascii="宋体" w:hAnsi="宋体" w:eastAsia="宋体"/>
                <w:sz w:val="20"/>
              </w:rPr>
              <w:t>射线检测</w:t>
            </w:r>
          </w:p>
        </w:tc>
        <w:tc>
          <w:tcPr>
            <w:tcW w:type="dxa" w:w="2078"/>
          </w:tcPr>
          <w:p>
            <w:r/>
            <w:r>
              <w:rPr>
                <w:rFonts w:ascii="宋体" w:hAnsi="宋体" w:eastAsia="宋体"/>
                <w:sz w:val="20"/>
              </w:rPr>
              <w:t>触摸选择放置位置</w:t>
            </w:r>
          </w:p>
        </w:tc>
      </w:tr>
      <w:tr>
        <w:tc>
          <w:tcPr>
            <w:tcW w:type="dxa" w:w="2078"/>
          </w:tcPr>
          <w:p>
            <w:r/>
            <w:r>
              <w:rPr>
                <w:rFonts w:ascii="宋体" w:hAnsi="宋体" w:eastAsia="宋体"/>
                <w:sz w:val="20"/>
              </w:rPr>
              <w:t>&gt;</w:t>
            </w:r>
          </w:p>
        </w:tc>
        <w:tc>
          <w:tcPr>
            <w:tcW w:type="dxa" w:w="2078"/>
          </w:tcPr>
          <w:p>
            <w:r/>
            <w:r>
              <w:rPr>
                <w:rFonts w:ascii="宋体" w:hAnsi="宋体" w:eastAsia="宋体"/>
                <w:sz w:val="20"/>
              </w:rPr>
              <w:t>AR Occlusion Manager</w:t>
            </w:r>
          </w:p>
        </w:tc>
        <w:tc>
          <w:tcPr>
            <w:tcW w:type="dxa" w:w="2078"/>
          </w:tcPr>
          <w:p>
            <w:r/>
            <w:r>
              <w:rPr>
                <w:rFonts w:ascii="宋体" w:hAnsi="宋体" w:eastAsia="宋体"/>
                <w:sz w:val="20"/>
              </w:rPr>
              <w:t>遮挡管理</w:t>
            </w:r>
          </w:p>
        </w:tc>
        <w:tc>
          <w:tcPr>
            <w:tcW w:type="dxa" w:w="2078"/>
          </w:tcPr>
          <w:p>
            <w:r/>
            <w:r>
              <w:rPr>
                <w:rFonts w:ascii="宋体" w:hAnsi="宋体" w:eastAsia="宋体"/>
                <w:sz w:val="20"/>
              </w:rPr>
              <w:t>虚拟物体被真实物体遮挡</w:t>
            </w:r>
          </w:p>
        </w:tc>
      </w:tr>
      <w:tr>
        <w:tc>
          <w:tcPr>
            <w:tcW w:type="dxa" w:w="2078"/>
          </w:tcPr>
          <w:p>
            <w:r/>
            <w:r>
              <w:rPr>
                <w:rFonts w:ascii="宋体" w:hAnsi="宋体" w:eastAsia="宋体"/>
                <w:sz w:val="20"/>
              </w:rPr>
              <w:t>&gt;</w:t>
            </w:r>
          </w:p>
        </w:tc>
        <w:tc>
          <w:tcPr>
            <w:tcW w:type="dxa" w:w="2078"/>
          </w:tcPr>
          <w:p>
            <w:r/>
            <w:r>
              <w:rPr>
                <w:rFonts w:ascii="宋体" w:hAnsi="宋体" w:eastAsia="宋体"/>
                <w:sz w:val="20"/>
              </w:rPr>
              <w:t>Light Estimation</w:t>
            </w:r>
          </w:p>
        </w:tc>
        <w:tc>
          <w:tcPr>
            <w:tcW w:type="dxa" w:w="2078"/>
          </w:tcPr>
          <w:p>
            <w:r/>
            <w:r>
              <w:rPr>
                <w:rFonts w:ascii="宋体" w:hAnsi="宋体" w:eastAsia="宋体"/>
                <w:sz w:val="20"/>
              </w:rPr>
              <w:t>光照估计</w:t>
            </w:r>
          </w:p>
        </w:tc>
        <w:tc>
          <w:tcPr>
            <w:tcW w:type="dxa" w:w="2078"/>
          </w:tcPr>
          <w:p>
            <w:r/>
            <w:r>
              <w:rPr>
                <w:rFonts w:ascii="宋体" w:hAnsi="宋体" w:eastAsia="宋体"/>
                <w:sz w:val="20"/>
              </w:rPr>
              <w:t>虚实光照一致性</w:t>
            </w:r>
          </w:p>
        </w:tc>
      </w:tr>
    </w:tbl>
    <w:p/>
    <w:p/>
    <w:p>
      <w:pPr>
        <w:ind w:firstLine="482"/>
      </w:pPr>
      <w:r>
        <w:rPr>
          <w:rFonts w:ascii="宋体" w:hAnsi="宋体" w:eastAsia="宋体"/>
          <w:sz w:val="24"/>
        </w:rPr>
        <w:t>---</w:t>
      </w:r>
    </w:p>
    <w:p/>
    <w:p>
      <w:pPr>
        <w:pStyle w:val="Heading2"/>
      </w:pPr>
      <w:r>
        <w:t>11.6 案例实践：安顺屯堡 AR 文化导览</w:t>
      </w:r>
    </w:p>
    <w:p/>
    <w:p>
      <w:pPr>
        <w:pStyle w:val="Heading3"/>
      </w:pPr>
      <w:r>
        <w:t>11.6.1 屯堡文化背景与 AR 适配性分析</w:t>
      </w:r>
    </w:p>
    <w:p/>
    <w:p>
      <w:pPr>
        <w:ind w:firstLine="482"/>
      </w:pPr>
      <w:r>
        <w:rPr>
          <w:rFonts w:ascii="宋体" w:hAnsi="宋体" w:eastAsia="宋体"/>
          <w:sz w:val="24"/>
        </w:rPr>
        <w:t>安顺屯堡是明代洪武年间"调北征南"军事移民的历史遗存，距今已有 600 余年历史。屯堡人保留了明代江南地区的语言、服饰、建筑和风俗，被誉为"明代历史的活化石"。屯堡文化的核心载体包括石头建筑群（石头寨、云山屯、本寨等）、地戏（国家级非物质文化遗产）、屯堡服饰（凤阳汉装）和民俗节庆（观音会、龙王会等）[1]。</w:t>
      </w:r>
    </w:p>
    <w:p/>
    <w:p>
      <w:pPr>
        <w:ind w:firstLine="482"/>
      </w:pPr>
      <w:r>
        <w:rPr>
          <w:rFonts w:ascii="宋体" w:hAnsi="宋体" w:eastAsia="宋体"/>
          <w:sz w:val="24"/>
        </w:rPr>
        <w:t>屯堡文化具有高度的 AR 适配性——（1）建筑遗产丰富但部分已损毁，AR 可实现虚拟复原；（2）地戏表演有固定剧目和面具，适合 3D 建模和动画还原；（3）文化信息层次丰富，可通过 AR 分层展示；（4）景区空间布局清晰，适合 GPS 导航与 AR 内容点结合[1]。</w:t>
      </w:r>
    </w:p>
    <w:p/>
    <w:p>
      <w:pPr>
        <w:pStyle w:val="Heading3"/>
      </w:pPr>
      <w:r>
        <w:t>11.6.2 AR 内容点规划</w:t>
      </w:r>
    </w:p>
    <w:p/>
    <w:p>
      <w:pPr>
        <w:ind w:firstLine="482"/>
      </w:pPr>
      <w:r>
        <w:rPr>
          <w:rFonts w:ascii="宋体" w:hAnsi="宋体" w:eastAsia="宋体"/>
          <w:sz w:val="24"/>
        </w:rPr>
        <w:t>基于屯堡景区的空间布局和文化资源分布，规划了 12 个 AR 内容点：</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序号</w:t>
            </w:r>
          </w:p>
        </w:tc>
        <w:tc>
          <w:tcPr>
            <w:tcW w:type="dxa" w:w="1662"/>
            <w:shd w:fill="D9E2F3" w:val="clear"/>
          </w:tcPr>
          <w:p>
            <w:pPr>
              <w:jc w:val="center"/>
            </w:pPr>
            <w:r/>
            <w:r>
              <w:rPr>
                <w:rFonts w:ascii="黑体" w:hAnsi="黑体" w:eastAsia="黑体"/>
                <w:b/>
                <w:sz w:val="20"/>
              </w:rPr>
              <w:t>位置</w:t>
            </w:r>
          </w:p>
        </w:tc>
        <w:tc>
          <w:tcPr>
            <w:tcW w:type="dxa" w:w="1662"/>
            <w:shd w:fill="D9E2F3" w:val="clear"/>
          </w:tcPr>
          <w:p>
            <w:pPr>
              <w:jc w:val="center"/>
            </w:pPr>
            <w:r/>
            <w:r>
              <w:rPr>
                <w:rFonts w:ascii="黑体" w:hAnsi="黑体" w:eastAsia="黑体"/>
                <w:b/>
                <w:sz w:val="20"/>
              </w:rPr>
              <w:t>文化主题</w:t>
            </w:r>
          </w:p>
        </w:tc>
        <w:tc>
          <w:tcPr>
            <w:tcW w:type="dxa" w:w="1662"/>
            <w:shd w:fill="D9E2F3" w:val="clear"/>
          </w:tcPr>
          <w:p>
            <w:pPr>
              <w:jc w:val="center"/>
            </w:pPr>
            <w:r/>
            <w:r>
              <w:rPr>
                <w:rFonts w:ascii="黑体" w:hAnsi="黑体" w:eastAsia="黑体"/>
                <w:b/>
                <w:sz w:val="20"/>
              </w:rPr>
              <w:t>AR 类型</w:t>
            </w:r>
          </w:p>
        </w:tc>
        <w:tc>
          <w:tcPr>
            <w:tcW w:type="dxa" w:w="1662"/>
            <w:shd w:fill="D9E2F3" w:val="clear"/>
          </w:tcPr>
          <w:p>
            <w:pPr>
              <w:jc w:val="center"/>
            </w:pPr>
            <w:r/>
            <w:r>
              <w:rPr>
                <w:rFonts w:ascii="黑体" w:hAnsi="黑体" w:eastAsia="黑体"/>
                <w:b/>
                <w:sz w:val="20"/>
              </w:rPr>
              <w:t>内容形式</w:t>
            </w:r>
          </w:p>
        </w:tc>
      </w:tr>
      <w:tr>
        <w:tc>
          <w:tcPr>
            <w:tcW w:type="dxa" w:w="1662"/>
          </w:tcPr>
          <w:p>
            <w:r/>
            <w:r>
              <w:rPr>
                <w:rFonts w:ascii="宋体" w:hAnsi="宋体" w:eastAsia="宋体"/>
                <w:sz w:val="20"/>
              </w:rPr>
              <w:t>01</w:t>
            </w:r>
          </w:p>
        </w:tc>
        <w:tc>
          <w:tcPr>
            <w:tcW w:type="dxa" w:w="1662"/>
          </w:tcPr>
          <w:p>
            <w:r/>
            <w:r>
              <w:rPr>
                <w:rFonts w:ascii="宋体" w:hAnsi="宋体" w:eastAsia="宋体"/>
                <w:sz w:val="20"/>
              </w:rPr>
              <w:t>景区入口</w:t>
            </w:r>
          </w:p>
        </w:tc>
        <w:tc>
          <w:tcPr>
            <w:tcW w:type="dxa" w:w="1662"/>
          </w:tcPr>
          <w:p>
            <w:r/>
            <w:r>
              <w:rPr>
                <w:rFonts w:ascii="宋体" w:hAnsi="宋体" w:eastAsia="宋体"/>
                <w:sz w:val="20"/>
              </w:rPr>
              <w:t>屯堡概览</w:t>
            </w:r>
          </w:p>
        </w:tc>
        <w:tc>
          <w:tcPr>
            <w:tcW w:type="dxa" w:w="1662"/>
          </w:tcPr>
          <w:p>
            <w:r/>
            <w:r>
              <w:rPr>
                <w:rFonts w:ascii="宋体" w:hAnsi="宋体" w:eastAsia="宋体"/>
                <w:sz w:val="20"/>
              </w:rPr>
              <w:t>图像追踪</w:t>
            </w:r>
          </w:p>
        </w:tc>
        <w:tc>
          <w:tcPr>
            <w:tcW w:type="dxa" w:w="1662"/>
          </w:tcPr>
          <w:p>
            <w:r/>
            <w:r>
              <w:rPr>
                <w:rFonts w:ascii="宋体" w:hAnsi="宋体" w:eastAsia="宋体"/>
                <w:sz w:val="20"/>
              </w:rPr>
              <w:t>3D 屯堡全景模型+语音导览</w:t>
            </w:r>
          </w:p>
        </w:tc>
      </w:tr>
      <w:tr>
        <w:tc>
          <w:tcPr>
            <w:tcW w:type="dxa" w:w="1662"/>
          </w:tcPr>
          <w:p>
            <w:r/>
            <w:r>
              <w:rPr>
                <w:rFonts w:ascii="宋体" w:hAnsi="宋体" w:eastAsia="宋体"/>
                <w:sz w:val="20"/>
              </w:rPr>
              <w:t>02</w:t>
            </w:r>
          </w:p>
        </w:tc>
        <w:tc>
          <w:tcPr>
            <w:tcW w:type="dxa" w:w="1662"/>
          </w:tcPr>
          <w:p>
            <w:r/>
            <w:r>
              <w:rPr>
                <w:rFonts w:ascii="宋体" w:hAnsi="宋体" w:eastAsia="宋体"/>
                <w:sz w:val="20"/>
              </w:rPr>
              <w:t>城门遗址</w:t>
            </w:r>
          </w:p>
        </w:tc>
        <w:tc>
          <w:tcPr>
            <w:tcW w:type="dxa" w:w="1662"/>
          </w:tcPr>
          <w:p>
            <w:r/>
            <w:r>
              <w:rPr>
                <w:rFonts w:ascii="宋体" w:hAnsi="宋体" w:eastAsia="宋体"/>
                <w:sz w:val="20"/>
              </w:rPr>
              <w:t>明代城防</w:t>
            </w:r>
          </w:p>
        </w:tc>
        <w:tc>
          <w:tcPr>
            <w:tcW w:type="dxa" w:w="1662"/>
          </w:tcPr>
          <w:p>
            <w:r/>
            <w:r>
              <w:rPr>
                <w:rFonts w:ascii="宋体" w:hAnsi="宋体" w:eastAsia="宋体"/>
                <w:sz w:val="20"/>
              </w:rPr>
              <w:t>图像追踪</w:t>
            </w:r>
          </w:p>
        </w:tc>
        <w:tc>
          <w:tcPr>
            <w:tcW w:type="dxa" w:w="1662"/>
          </w:tcPr>
          <w:p>
            <w:r/>
            <w:r>
              <w:rPr>
                <w:rFonts w:ascii="宋体" w:hAnsi="宋体" w:eastAsia="宋体"/>
                <w:sz w:val="20"/>
              </w:rPr>
              <w:t>城门 3D 复原+历史动画</w:t>
            </w:r>
          </w:p>
        </w:tc>
      </w:tr>
      <w:tr>
        <w:tc>
          <w:tcPr>
            <w:tcW w:type="dxa" w:w="1662"/>
          </w:tcPr>
          <w:p>
            <w:r/>
            <w:r>
              <w:rPr>
                <w:rFonts w:ascii="宋体" w:hAnsi="宋体" w:eastAsia="宋体"/>
                <w:sz w:val="20"/>
              </w:rPr>
              <w:t>03</w:t>
            </w:r>
          </w:p>
        </w:tc>
        <w:tc>
          <w:tcPr>
            <w:tcW w:type="dxa" w:w="1662"/>
          </w:tcPr>
          <w:p>
            <w:r/>
            <w:r>
              <w:rPr>
                <w:rFonts w:ascii="宋体" w:hAnsi="宋体" w:eastAsia="宋体"/>
                <w:sz w:val="20"/>
              </w:rPr>
              <w:t>石头街道</w:t>
            </w:r>
          </w:p>
        </w:tc>
        <w:tc>
          <w:tcPr>
            <w:tcW w:type="dxa" w:w="1662"/>
          </w:tcPr>
          <w:p>
            <w:r/>
            <w:r>
              <w:rPr>
                <w:rFonts w:ascii="宋体" w:hAnsi="宋体" w:eastAsia="宋体"/>
                <w:sz w:val="20"/>
              </w:rPr>
              <w:t>建筑特色</w:t>
            </w:r>
          </w:p>
        </w:tc>
        <w:tc>
          <w:tcPr>
            <w:tcW w:type="dxa" w:w="1662"/>
          </w:tcPr>
          <w:p>
            <w:r/>
            <w:r>
              <w:rPr>
                <w:rFonts w:ascii="宋体" w:hAnsi="宋体" w:eastAsia="宋体"/>
                <w:sz w:val="20"/>
              </w:rPr>
              <w:t>平面检测</w:t>
            </w:r>
          </w:p>
        </w:tc>
        <w:tc>
          <w:tcPr>
            <w:tcW w:type="dxa" w:w="1662"/>
          </w:tcPr>
          <w:p>
            <w:r/>
            <w:r>
              <w:rPr>
                <w:rFonts w:ascii="宋体" w:hAnsi="宋体" w:eastAsia="宋体"/>
                <w:sz w:val="20"/>
              </w:rPr>
              <w:t>虚拟建筑信息标注</w:t>
            </w:r>
          </w:p>
        </w:tc>
      </w:tr>
      <w:tr>
        <w:tc>
          <w:tcPr>
            <w:tcW w:type="dxa" w:w="1662"/>
          </w:tcPr>
          <w:p>
            <w:r/>
            <w:r>
              <w:rPr>
                <w:rFonts w:ascii="宋体" w:hAnsi="宋体" w:eastAsia="宋体"/>
                <w:sz w:val="20"/>
              </w:rPr>
              <w:t>04</w:t>
            </w:r>
          </w:p>
        </w:tc>
        <w:tc>
          <w:tcPr>
            <w:tcW w:type="dxa" w:w="1662"/>
          </w:tcPr>
          <w:p>
            <w:r/>
            <w:r>
              <w:rPr>
                <w:rFonts w:ascii="宋体" w:hAnsi="宋体" w:eastAsia="宋体"/>
                <w:sz w:val="20"/>
              </w:rPr>
              <w:t>四合院</w:t>
            </w:r>
          </w:p>
        </w:tc>
        <w:tc>
          <w:tcPr>
            <w:tcW w:type="dxa" w:w="1662"/>
          </w:tcPr>
          <w:p>
            <w:r/>
            <w:r>
              <w:rPr>
                <w:rFonts w:ascii="宋体" w:hAnsi="宋体" w:eastAsia="宋体"/>
                <w:sz w:val="20"/>
              </w:rPr>
              <w:t>民居结构</w:t>
            </w:r>
          </w:p>
        </w:tc>
        <w:tc>
          <w:tcPr>
            <w:tcW w:type="dxa" w:w="1662"/>
          </w:tcPr>
          <w:p>
            <w:r/>
            <w:r>
              <w:rPr>
                <w:rFonts w:ascii="宋体" w:hAnsi="宋体" w:eastAsia="宋体"/>
                <w:sz w:val="20"/>
              </w:rPr>
              <w:t>图像追踪</w:t>
            </w:r>
          </w:p>
        </w:tc>
        <w:tc>
          <w:tcPr>
            <w:tcW w:type="dxa" w:w="1662"/>
          </w:tcPr>
          <w:p>
            <w:r/>
            <w:r>
              <w:rPr>
                <w:rFonts w:ascii="宋体" w:hAnsi="宋体" w:eastAsia="宋体"/>
                <w:sz w:val="20"/>
              </w:rPr>
              <w:t>建筑剖面 3D 模型+语音</w:t>
            </w:r>
          </w:p>
        </w:tc>
      </w:tr>
      <w:tr>
        <w:tc>
          <w:tcPr>
            <w:tcW w:type="dxa" w:w="1662"/>
          </w:tcPr>
          <w:p>
            <w:r/>
            <w:r>
              <w:rPr>
                <w:rFonts w:ascii="宋体" w:hAnsi="宋体" w:eastAsia="宋体"/>
                <w:sz w:val="20"/>
              </w:rPr>
              <w:t>05</w:t>
            </w:r>
          </w:p>
        </w:tc>
        <w:tc>
          <w:tcPr>
            <w:tcW w:type="dxa" w:w="1662"/>
          </w:tcPr>
          <w:p>
            <w:r/>
            <w:r>
              <w:rPr>
                <w:rFonts w:ascii="宋体" w:hAnsi="宋体" w:eastAsia="宋体"/>
                <w:sz w:val="20"/>
              </w:rPr>
              <w:t>地戏广场</w:t>
            </w:r>
          </w:p>
        </w:tc>
        <w:tc>
          <w:tcPr>
            <w:tcW w:type="dxa" w:w="1662"/>
          </w:tcPr>
          <w:p>
            <w:r/>
            <w:r>
              <w:rPr>
                <w:rFonts w:ascii="宋体" w:hAnsi="宋体" w:eastAsia="宋体"/>
                <w:sz w:val="20"/>
              </w:rPr>
              <w:t>地戏文化</w:t>
            </w:r>
          </w:p>
        </w:tc>
        <w:tc>
          <w:tcPr>
            <w:tcW w:type="dxa" w:w="1662"/>
          </w:tcPr>
          <w:p>
            <w:r/>
            <w:r>
              <w:rPr>
                <w:rFonts w:ascii="宋体" w:hAnsi="宋体" w:eastAsia="宋体"/>
                <w:sz w:val="20"/>
              </w:rPr>
              <w:t>图像追踪</w:t>
            </w:r>
          </w:p>
        </w:tc>
        <w:tc>
          <w:tcPr>
            <w:tcW w:type="dxa" w:w="1662"/>
          </w:tcPr>
          <w:p>
            <w:r/>
            <w:r>
              <w:rPr>
                <w:rFonts w:ascii="宋体" w:hAnsi="宋体" w:eastAsia="宋体"/>
                <w:sz w:val="20"/>
              </w:rPr>
              <w:t>地戏面具 3D 模型+表演动画</w:t>
            </w:r>
          </w:p>
        </w:tc>
      </w:tr>
      <w:tr>
        <w:tc>
          <w:tcPr>
            <w:tcW w:type="dxa" w:w="1662"/>
          </w:tcPr>
          <w:p>
            <w:r/>
            <w:r>
              <w:rPr>
                <w:rFonts w:ascii="宋体" w:hAnsi="宋体" w:eastAsia="宋体"/>
                <w:sz w:val="20"/>
              </w:rPr>
              <w:t>06</w:t>
            </w:r>
          </w:p>
        </w:tc>
        <w:tc>
          <w:tcPr>
            <w:tcW w:type="dxa" w:w="1662"/>
          </w:tcPr>
          <w:p>
            <w:r/>
            <w:r>
              <w:rPr>
                <w:rFonts w:ascii="宋体" w:hAnsi="宋体" w:eastAsia="宋体"/>
                <w:sz w:val="20"/>
              </w:rPr>
              <w:t>地戏面具展馆</w:t>
            </w:r>
          </w:p>
        </w:tc>
        <w:tc>
          <w:tcPr>
            <w:tcW w:type="dxa" w:w="1662"/>
          </w:tcPr>
          <w:p>
            <w:r/>
            <w:r>
              <w:rPr>
                <w:rFonts w:ascii="宋体" w:hAnsi="宋体" w:eastAsia="宋体"/>
                <w:sz w:val="20"/>
              </w:rPr>
              <w:t>面具艺术</w:t>
            </w:r>
          </w:p>
        </w:tc>
        <w:tc>
          <w:tcPr>
            <w:tcW w:type="dxa" w:w="1662"/>
          </w:tcPr>
          <w:p>
            <w:r/>
            <w:r>
              <w:rPr>
                <w:rFonts w:ascii="宋体" w:hAnsi="宋体" w:eastAsia="宋体"/>
                <w:sz w:val="20"/>
              </w:rPr>
              <w:t>图像追踪</w:t>
            </w:r>
          </w:p>
        </w:tc>
        <w:tc>
          <w:tcPr>
            <w:tcW w:type="dxa" w:w="1662"/>
          </w:tcPr>
          <w:p>
            <w:r/>
            <w:r>
              <w:rPr>
                <w:rFonts w:ascii="宋体" w:hAnsi="宋体" w:eastAsia="宋体"/>
                <w:sz w:val="20"/>
              </w:rPr>
              <w:t>面具高精模型+制作工艺视频</w:t>
            </w:r>
          </w:p>
        </w:tc>
      </w:tr>
      <w:tr>
        <w:tc>
          <w:tcPr>
            <w:tcW w:type="dxa" w:w="1662"/>
          </w:tcPr>
          <w:p>
            <w:r/>
            <w:r>
              <w:rPr>
                <w:rFonts w:ascii="宋体" w:hAnsi="宋体" w:eastAsia="宋体"/>
                <w:sz w:val="20"/>
              </w:rPr>
              <w:t>07</w:t>
            </w:r>
          </w:p>
        </w:tc>
        <w:tc>
          <w:tcPr>
            <w:tcW w:type="dxa" w:w="1662"/>
          </w:tcPr>
          <w:p>
            <w:r/>
            <w:r>
              <w:rPr>
                <w:rFonts w:ascii="宋体" w:hAnsi="宋体" w:eastAsia="宋体"/>
                <w:sz w:val="20"/>
              </w:rPr>
              <w:t>屯堡博物馆</w:t>
            </w:r>
          </w:p>
        </w:tc>
        <w:tc>
          <w:tcPr>
            <w:tcW w:type="dxa" w:w="1662"/>
          </w:tcPr>
          <w:p>
            <w:r/>
            <w:r>
              <w:rPr>
                <w:rFonts w:ascii="宋体" w:hAnsi="宋体" w:eastAsia="宋体"/>
                <w:sz w:val="20"/>
              </w:rPr>
              <w:t>历史文物</w:t>
            </w:r>
          </w:p>
        </w:tc>
        <w:tc>
          <w:tcPr>
            <w:tcW w:type="dxa" w:w="1662"/>
          </w:tcPr>
          <w:p>
            <w:r/>
            <w:r>
              <w:rPr>
                <w:rFonts w:ascii="宋体" w:hAnsi="宋体" w:eastAsia="宋体"/>
                <w:sz w:val="20"/>
              </w:rPr>
              <w:t>图像追踪</w:t>
            </w:r>
          </w:p>
        </w:tc>
        <w:tc>
          <w:tcPr>
            <w:tcW w:type="dxa" w:w="1662"/>
          </w:tcPr>
          <w:p>
            <w:r/>
            <w:r>
              <w:rPr>
                <w:rFonts w:ascii="宋体" w:hAnsi="宋体" w:eastAsia="宋体"/>
                <w:sz w:val="20"/>
              </w:rPr>
              <w:t>文物 3D 模型+多角度查看</w:t>
            </w:r>
          </w:p>
        </w:tc>
      </w:tr>
      <w:tr>
        <w:tc>
          <w:tcPr>
            <w:tcW w:type="dxa" w:w="1662"/>
          </w:tcPr>
          <w:p>
            <w:r/>
            <w:r>
              <w:rPr>
                <w:rFonts w:ascii="宋体" w:hAnsi="宋体" w:eastAsia="宋体"/>
                <w:sz w:val="20"/>
              </w:rPr>
              <w:t>08</w:t>
            </w:r>
          </w:p>
        </w:tc>
        <w:tc>
          <w:tcPr>
            <w:tcW w:type="dxa" w:w="1662"/>
          </w:tcPr>
          <w:p>
            <w:r/>
            <w:r>
              <w:rPr>
                <w:rFonts w:ascii="宋体" w:hAnsi="宋体" w:eastAsia="宋体"/>
                <w:sz w:val="20"/>
              </w:rPr>
              <w:t>沈万三故居</w:t>
            </w:r>
          </w:p>
        </w:tc>
        <w:tc>
          <w:tcPr>
            <w:tcW w:type="dxa" w:w="1662"/>
          </w:tcPr>
          <w:p>
            <w:r/>
            <w:r>
              <w:rPr>
                <w:rFonts w:ascii="宋体" w:hAnsi="宋体" w:eastAsia="宋体"/>
                <w:sz w:val="20"/>
              </w:rPr>
              <w:t>商人文化</w:t>
            </w:r>
          </w:p>
        </w:tc>
        <w:tc>
          <w:tcPr>
            <w:tcW w:type="dxa" w:w="1662"/>
          </w:tcPr>
          <w:p>
            <w:r/>
            <w:r>
              <w:rPr>
                <w:rFonts w:ascii="宋体" w:hAnsi="宋体" w:eastAsia="宋体"/>
                <w:sz w:val="20"/>
              </w:rPr>
              <w:t>图像追踪</w:t>
            </w:r>
          </w:p>
        </w:tc>
        <w:tc>
          <w:tcPr>
            <w:tcW w:type="dxa" w:w="1662"/>
          </w:tcPr>
          <w:p>
            <w:r/>
            <w:r>
              <w:rPr>
                <w:rFonts w:ascii="宋体" w:hAnsi="宋体" w:eastAsia="宋体"/>
                <w:sz w:val="20"/>
              </w:rPr>
              <w:t>人物 3D 模型+故事动画</w:t>
            </w:r>
          </w:p>
        </w:tc>
      </w:tr>
      <w:tr>
        <w:tc>
          <w:tcPr>
            <w:tcW w:type="dxa" w:w="1662"/>
          </w:tcPr>
          <w:p>
            <w:r/>
            <w:r>
              <w:rPr>
                <w:rFonts w:ascii="宋体" w:hAnsi="宋体" w:eastAsia="宋体"/>
                <w:sz w:val="20"/>
              </w:rPr>
              <w:t>09</w:t>
            </w:r>
          </w:p>
        </w:tc>
        <w:tc>
          <w:tcPr>
            <w:tcW w:type="dxa" w:w="1662"/>
          </w:tcPr>
          <w:p>
            <w:r/>
            <w:r>
              <w:rPr>
                <w:rFonts w:ascii="宋体" w:hAnsi="宋体" w:eastAsia="宋体"/>
                <w:sz w:val="20"/>
              </w:rPr>
              <w:t>古戏台</w:t>
            </w:r>
          </w:p>
        </w:tc>
        <w:tc>
          <w:tcPr>
            <w:tcW w:type="dxa" w:w="1662"/>
          </w:tcPr>
          <w:p>
            <w:r/>
            <w:r>
              <w:rPr>
                <w:rFonts w:ascii="宋体" w:hAnsi="宋体" w:eastAsia="宋体"/>
                <w:sz w:val="20"/>
              </w:rPr>
              <w:t>表演艺术</w:t>
            </w:r>
          </w:p>
        </w:tc>
        <w:tc>
          <w:tcPr>
            <w:tcW w:type="dxa" w:w="1662"/>
          </w:tcPr>
          <w:p>
            <w:r/>
            <w:r>
              <w:rPr>
                <w:rFonts w:ascii="宋体" w:hAnsi="宋体" w:eastAsia="宋体"/>
                <w:sz w:val="20"/>
              </w:rPr>
              <w:t>平面检测</w:t>
            </w:r>
          </w:p>
        </w:tc>
        <w:tc>
          <w:tcPr>
            <w:tcW w:type="dxa" w:w="1662"/>
          </w:tcPr>
          <w:p>
            <w:r/>
            <w:r>
              <w:rPr>
                <w:rFonts w:ascii="宋体" w:hAnsi="宋体" w:eastAsia="宋体"/>
                <w:sz w:val="20"/>
              </w:rPr>
              <w:t>虚拟角色表演+空间音频</w:t>
            </w:r>
          </w:p>
        </w:tc>
      </w:tr>
      <w:tr>
        <w:tc>
          <w:tcPr>
            <w:tcW w:type="dxa" w:w="1662"/>
          </w:tcPr>
          <w:p>
            <w:r/>
            <w:r>
              <w:rPr>
                <w:rFonts w:ascii="宋体" w:hAnsi="宋体" w:eastAsia="宋体"/>
                <w:sz w:val="20"/>
              </w:rPr>
              <w:t>10</w:t>
            </w:r>
          </w:p>
        </w:tc>
        <w:tc>
          <w:tcPr>
            <w:tcW w:type="dxa" w:w="1662"/>
          </w:tcPr>
          <w:p>
            <w:r/>
            <w:r>
              <w:rPr>
                <w:rFonts w:ascii="宋体" w:hAnsi="宋体" w:eastAsia="宋体"/>
                <w:sz w:val="20"/>
              </w:rPr>
              <w:t>古井</w:t>
            </w:r>
          </w:p>
        </w:tc>
        <w:tc>
          <w:tcPr>
            <w:tcW w:type="dxa" w:w="1662"/>
          </w:tcPr>
          <w:p>
            <w:r/>
            <w:r>
              <w:rPr>
                <w:rFonts w:ascii="宋体" w:hAnsi="宋体" w:eastAsia="宋体"/>
                <w:sz w:val="20"/>
              </w:rPr>
              <w:t>生活文化</w:t>
            </w:r>
          </w:p>
        </w:tc>
        <w:tc>
          <w:tcPr>
            <w:tcW w:type="dxa" w:w="1662"/>
          </w:tcPr>
          <w:p>
            <w:r/>
            <w:r>
              <w:rPr>
                <w:rFonts w:ascii="宋体" w:hAnsi="宋体" w:eastAsia="宋体"/>
                <w:sz w:val="20"/>
              </w:rPr>
              <w:t>图像追踪</w:t>
            </w:r>
          </w:p>
        </w:tc>
        <w:tc>
          <w:tcPr>
            <w:tcW w:type="dxa" w:w="1662"/>
          </w:tcPr>
          <w:p>
            <w:r/>
            <w:r>
              <w:rPr>
                <w:rFonts w:ascii="宋体" w:hAnsi="宋体" w:eastAsia="宋体"/>
                <w:sz w:val="20"/>
              </w:rPr>
              <w:t>古井剖面 3D+生活场景动画</w:t>
            </w:r>
          </w:p>
        </w:tc>
      </w:tr>
      <w:tr>
        <w:tc>
          <w:tcPr>
            <w:tcW w:type="dxa" w:w="1662"/>
          </w:tcPr>
          <w:p>
            <w:r/>
            <w:r>
              <w:rPr>
                <w:rFonts w:ascii="宋体" w:hAnsi="宋体" w:eastAsia="宋体"/>
                <w:sz w:val="20"/>
              </w:rPr>
              <w:t>11</w:t>
            </w:r>
          </w:p>
        </w:tc>
        <w:tc>
          <w:tcPr>
            <w:tcW w:type="dxa" w:w="1662"/>
          </w:tcPr>
          <w:p>
            <w:r/>
            <w:r>
              <w:rPr>
                <w:rFonts w:ascii="宋体" w:hAnsi="宋体" w:eastAsia="宋体"/>
                <w:sz w:val="20"/>
              </w:rPr>
              <w:t>寨墙观景台</w:t>
            </w:r>
          </w:p>
        </w:tc>
        <w:tc>
          <w:tcPr>
            <w:tcW w:type="dxa" w:w="1662"/>
          </w:tcPr>
          <w:p>
            <w:r/>
            <w:r>
              <w:rPr>
                <w:rFonts w:ascii="宋体" w:hAnsi="宋体" w:eastAsia="宋体"/>
                <w:sz w:val="20"/>
              </w:rPr>
              <w:t>军事防御</w:t>
            </w:r>
          </w:p>
        </w:tc>
        <w:tc>
          <w:tcPr>
            <w:tcW w:type="dxa" w:w="1662"/>
          </w:tcPr>
          <w:p>
            <w:r/>
            <w:r>
              <w:rPr>
                <w:rFonts w:ascii="宋体" w:hAnsi="宋体" w:eastAsia="宋体"/>
                <w:sz w:val="20"/>
              </w:rPr>
              <w:t>图像追踪</w:t>
            </w:r>
          </w:p>
        </w:tc>
        <w:tc>
          <w:tcPr>
            <w:tcW w:type="dxa" w:w="1662"/>
          </w:tcPr>
          <w:p>
            <w:r/>
            <w:r>
              <w:rPr>
                <w:rFonts w:ascii="宋体" w:hAnsi="宋体" w:eastAsia="宋体"/>
                <w:sz w:val="20"/>
              </w:rPr>
              <w:t>防御体系 3D 复原+俯瞰视角</w:t>
            </w:r>
          </w:p>
        </w:tc>
      </w:tr>
      <w:tr>
        <w:tc>
          <w:tcPr>
            <w:tcW w:type="dxa" w:w="1662"/>
          </w:tcPr>
          <w:p>
            <w:r/>
            <w:r>
              <w:rPr>
                <w:rFonts w:ascii="宋体" w:hAnsi="宋体" w:eastAsia="宋体"/>
                <w:sz w:val="20"/>
              </w:rPr>
              <w:t>12</w:t>
            </w:r>
          </w:p>
        </w:tc>
        <w:tc>
          <w:tcPr>
            <w:tcW w:type="dxa" w:w="1662"/>
          </w:tcPr>
          <w:p>
            <w:r/>
            <w:r>
              <w:rPr>
                <w:rFonts w:ascii="宋体" w:hAnsi="宋体" w:eastAsia="宋体"/>
                <w:sz w:val="20"/>
              </w:rPr>
              <w:t>景区出口</w:t>
            </w:r>
          </w:p>
        </w:tc>
        <w:tc>
          <w:tcPr>
            <w:tcW w:type="dxa" w:w="1662"/>
          </w:tcPr>
          <w:p>
            <w:r/>
            <w:r>
              <w:rPr>
                <w:rFonts w:ascii="宋体" w:hAnsi="宋体" w:eastAsia="宋体"/>
                <w:sz w:val="20"/>
              </w:rPr>
              <w:t>文化传承</w:t>
            </w:r>
          </w:p>
        </w:tc>
        <w:tc>
          <w:tcPr>
            <w:tcW w:type="dxa" w:w="1662"/>
          </w:tcPr>
          <w:p>
            <w:r/>
            <w:r>
              <w:rPr>
                <w:rFonts w:ascii="宋体" w:hAnsi="宋体" w:eastAsia="宋体"/>
                <w:sz w:val="20"/>
              </w:rPr>
              <w:t>图像追踪</w:t>
            </w:r>
          </w:p>
        </w:tc>
        <w:tc>
          <w:tcPr>
            <w:tcW w:type="dxa" w:w="1662"/>
          </w:tcPr>
          <w:p>
            <w:r/>
            <w:r>
              <w:rPr>
                <w:rFonts w:ascii="宋体" w:hAnsi="宋体" w:eastAsia="宋体"/>
                <w:sz w:val="20"/>
              </w:rPr>
              <w:t>屯堡文化纪录片+分享功能</w:t>
            </w:r>
          </w:p>
        </w:tc>
      </w:tr>
    </w:tbl>
    <w:p/>
    <w:p/>
    <w:p>
      <w:pPr>
        <w:ind w:firstLine="482"/>
      </w:pPr>
      <w:r>
        <w:rPr>
          <w:rFonts w:ascii="宋体" w:hAnsi="宋体" w:eastAsia="宋体"/>
          <w:sz w:val="24"/>
        </w:rPr>
        <w:t>每个 AR 内容点对应一张 AR 标记图片（设计为屯堡文化元素风格的图案，如地戏面具纹样、石头建筑剪影等），标记图片安装在对应位置的展板或标识牌上[1]。</w:t>
      </w:r>
    </w:p>
    <w:p/>
    <w:p>
      <w:pPr>
        <w:pStyle w:val="Heading3"/>
      </w:pPr>
      <w:r>
        <w:t>11.6.3 3D 资产制作流程</w:t>
      </w:r>
    </w:p>
    <w:p/>
    <w:p>
      <w:pPr>
        <w:ind w:firstLine="482"/>
      </w:pPr>
      <w:r>
        <w:rPr>
          <w:rFonts w:ascii="宋体" w:hAnsi="宋体" w:eastAsia="宋体"/>
          <w:sz w:val="24"/>
        </w:rPr>
        <w:t>屯堡 AR 项目的 3D 资产制作采用"摄影测量+手工建模"结合的方案[4]：</w:t>
      </w:r>
    </w:p>
    <w:p/>
    <w:p>
      <w:pPr>
        <w:ind w:firstLine="482"/>
      </w:pPr>
      <w:r>
        <w:rPr>
          <w:rFonts w:ascii="宋体" w:hAnsi="宋体" w:eastAsia="宋体"/>
          <w:b/>
          <w:sz w:val="24"/>
        </w:rPr>
        <w:t>摄影测量采集</w:t>
      </w:r>
      <w:r>
        <w:rPr>
          <w:rFonts w:ascii="宋体" w:hAnsi="宋体" w:eastAsia="宋体"/>
          <w:sz w:val="24"/>
        </w:rPr>
        <w:t>：使用相机（Canon EOS R5）从多个角度拍摄屯堡建筑和地戏面具（每件物体拍摄 80-120 张照片），使用 RealityCapture 软件生成高精度 3D 模型。摄影测量模型面数通常在 100 万以上，需要进行减面处理。</w:t>
      </w:r>
    </w:p>
    <w:p/>
    <w:p>
      <w:pPr>
        <w:ind w:firstLine="482"/>
      </w:pPr>
      <w:r>
        <w:rPr>
          <w:rFonts w:ascii="宋体" w:hAnsi="宋体" w:eastAsia="宋体"/>
          <w:b/>
          <w:sz w:val="24"/>
        </w:rPr>
        <w:t>模型优化</w:t>
      </w:r>
      <w:r>
        <w:rPr>
          <w:rFonts w:ascii="宋体" w:hAnsi="宋体" w:eastAsia="宋体"/>
          <w:sz w:val="24"/>
        </w:rPr>
        <w:t>：使用 Blender 对摄影测量模型进行清理（去除噪点、修补孔洞）、减面（降至 10000-20000 面）和 UV 展开。对需要动画的模型（如地戏面具）进行骨骼绑定和权重绘制。</w:t>
      </w:r>
    </w:p>
    <w:p/>
    <w:p>
      <w:pPr>
        <w:ind w:firstLine="482"/>
      </w:pPr>
      <w:r>
        <w:rPr>
          <w:rFonts w:ascii="宋体" w:hAnsi="宋体" w:eastAsia="宋体"/>
          <w:b/>
          <w:sz w:val="24"/>
        </w:rPr>
        <w:t>纹理制作</w:t>
      </w:r>
      <w:r>
        <w:rPr>
          <w:rFonts w:ascii="宋体" w:hAnsi="宋体" w:eastAsia="宋体"/>
          <w:sz w:val="24"/>
        </w:rPr>
        <w:t>：从摄影测量模型中提取纹理贴图，使用 Substance Painter 进行优化和压缩。移动端 AR 建议使用 1024×1024 或 2048×2048 分辨率的纹理，格式为 ASTC 6x6（Android）和 ASTC 8x8（iOS）以平衡画质和内存占用。</w:t>
      </w:r>
    </w:p>
    <w:p/>
    <w:p>
      <w:pPr>
        <w:ind w:firstLine="482"/>
      </w:pPr>
      <w:r>
        <w:rPr>
          <w:rFonts w:ascii="宋体" w:hAnsi="宋体" w:eastAsia="宋体"/>
          <w:b/>
          <w:sz w:val="24"/>
        </w:rPr>
        <w:t>动画制作</w:t>
      </w:r>
      <w:r>
        <w:rPr>
          <w:rFonts w:ascii="宋体" w:hAnsi="宋体" w:eastAsia="宋体"/>
          <w:sz w:val="24"/>
        </w:rPr>
        <w:t>：地戏表演动画通过动作捕捉（使用 Azure Kinect 或 iPhone TrueDepth 摄像头）采集真实地戏演员的表演数据，在 Blender 中清理和优化后导入 Unity。每段动画时长 10-30 秒，包含循环和触发两种播放模式。</w:t>
      </w:r>
    </w:p>
    <w:p/>
    <w:p>
      <w:pPr>
        <w:pStyle w:val="Heading3"/>
      </w:pPr>
      <w:r>
        <w:t>11.6.4 核心功能实现</w:t>
      </w:r>
    </w:p>
    <w:p/>
    <w:p>
      <w:pPr>
        <w:ind w:firstLine="482"/>
      </w:pPr>
      <w:r>
        <w:rPr>
          <w:rFonts w:ascii="宋体" w:hAnsi="宋体" w:eastAsia="宋体"/>
          <w:b/>
          <w:sz w:val="24"/>
        </w:rPr>
        <w:t>图像追踪模块</w:t>
      </w:r>
      <w:r>
        <w:rPr>
          <w:rFonts w:ascii="宋体" w:hAnsi="宋体" w:eastAsia="宋体"/>
          <w:sz w:val="24"/>
        </w:rPr>
        <w:t>：为 12 个 AR 标记图片创建 Reference Image Library，每个标记对应一个 Prefab（包含 3D 模型、动画、音频和 UI 面板）。当 AR Tracked Image Manager 识别到标记时，实例化对应 Prefab 并将其位置和旋转与标记对齐。为避免重复实例化，使用字典数据结构管理已创建的 AR 内容[2]。</w:t>
      </w:r>
    </w:p>
    <w:p/>
    <w:p>
      <w:pPr>
        <w:ind w:firstLine="482"/>
      </w:pPr>
      <w:r>
        <w:rPr>
          <w:rFonts w:ascii="宋体" w:hAnsi="宋体" w:eastAsia="宋体"/>
          <w:b/>
          <w:sz w:val="24"/>
        </w:rPr>
        <w:t>语音讲解模块</w:t>
      </w:r>
      <w:r>
        <w:rPr>
          <w:rFonts w:ascii="宋体" w:hAnsi="宋体" w:eastAsia="宋体"/>
          <w:sz w:val="24"/>
        </w:rPr>
        <w:t>：使用百度语音合成 API 将讲解文本预生成为 MP3 文件（中文 64kbps，英文 64kbps），打包到应用的 StreamingAssets 目录中。播放时使用 Unity 的 AudioSource 组件，支持播放、暂停、重播和音量调节。语音讲解与字幕同步显示（字幕存储为 SRT 格式），方便听障用户使用。</w:t>
      </w:r>
    </w:p>
    <w:p/>
    <w:p>
      <w:pPr>
        <w:ind w:firstLine="482"/>
      </w:pPr>
      <w:r>
        <w:rPr>
          <w:rFonts w:ascii="宋体" w:hAnsi="宋体" w:eastAsia="宋体"/>
          <w:b/>
          <w:sz w:val="24"/>
        </w:rPr>
        <w:t>AR 导航模块</w:t>
      </w:r>
      <w:r>
        <w:rPr>
          <w:rFonts w:ascii="宋体" w:hAnsi="宋体" w:eastAsia="宋体"/>
          <w:sz w:val="24"/>
        </w:rPr>
        <w:t>：使用 Unity 的 Input.location API 获取 GPS 坐标，计算游客到各 AR 内容点的距离和方向。在 AR 视图中渲染一个浮动的方向指示箭头（使用 Unity 的 DOTween 插件实现平滑动画），箭头指向最近的未访问 AR 内容点。到达 AR 内容点 10 米范围内时，应用发出提示音并自动激活 AR 内容[1]。</w:t>
      </w:r>
    </w:p>
    <w:p/>
    <w:p>
      <w:pPr>
        <w:ind w:firstLine="482"/>
      </w:pPr>
      <w:r>
        <w:rPr>
          <w:rFonts w:ascii="宋体" w:hAnsi="宋体" w:eastAsia="宋体"/>
          <w:b/>
          <w:sz w:val="24"/>
        </w:rPr>
        <w:t>社交分享模块</w:t>
      </w:r>
      <w:r>
        <w:rPr>
          <w:rFonts w:ascii="宋体" w:hAnsi="宋体" w:eastAsia="宋体"/>
          <w:sz w:val="24"/>
        </w:rPr>
        <w:t>：使用 Native Share 插件实现跨平台分享。用户在 AR 视图中点击"拍照"按钮，应用截取当前画面（含 AR 叠加内容）并保存到手机相册，然后弹出系统分享面板，用户可选择分享到微信、微博、QQ 等平台。分享内容附带景区宣传链接，实现口碑传播。</w:t>
      </w:r>
    </w:p>
    <w:p/>
    <w:p>
      <w:pPr>
        <w:pStyle w:val="Heading3"/>
      </w:pPr>
      <w:r>
        <w:t>11.6.5 测试与优化</w:t>
      </w:r>
    </w:p>
    <w:p/>
    <w:p>
      <w:pPr>
        <w:ind w:firstLine="482"/>
      </w:pPr>
      <w:r>
        <w:rPr>
          <w:rFonts w:ascii="宋体" w:hAnsi="宋体" w:eastAsia="宋体"/>
          <w:b/>
          <w:sz w:val="24"/>
        </w:rPr>
        <w:t>户外环境测试</w:t>
      </w:r>
      <w:r>
        <w:rPr>
          <w:rFonts w:ascii="宋体" w:hAnsi="宋体" w:eastAsia="宋体"/>
          <w:sz w:val="24"/>
        </w:rPr>
        <w:t>：在屯堡景区进行了为期 3 天的实地测试，测试条件覆盖晴天、阴天和雨天。测试发现：（1）强光环境下图像追踪成功率下降至 72%（阴天为 95%）——优化方案为增加标记图片的对比度和尺寸（从 15cm 增至 20cm）；（2）雨天标记图片反光导致识别失败——优化方案为使用哑光材质制作标记展板；（3）GPS 在狭窄巷道中精度下降——优化方案为在 GPS 信号弱时切换为蓝牙 Beacon 辅助定位。</w:t>
      </w:r>
    </w:p>
    <w:p/>
    <w:p>
      <w:pPr>
        <w:ind w:firstLine="482"/>
      </w:pPr>
      <w:r>
        <w:rPr>
          <w:rFonts w:ascii="宋体" w:hAnsi="宋体" w:eastAsia="宋体"/>
          <w:b/>
          <w:sz w:val="24"/>
        </w:rPr>
        <w:t>性能优化</w:t>
      </w:r>
      <w:r>
        <w:rPr>
          <w:rFonts w:ascii="宋体" w:hAnsi="宋体" w:eastAsia="宋体"/>
          <w:sz w:val="24"/>
        </w:rPr>
        <w:t>：初版应用在中端手机上帧率仅 25-30fps，存在明显卡顿。优化措施包括：（1）使用 LOD（Level of Detail）技术，距离远的模型使用低精度版本；（2）启用 GPU Instancing 减少 Draw Call；（3）使用 Addressables 系统按需加载 3D 资产，减少初始内存占用；（4）关闭不必要的后处理效果。优化后帧率提升至 45-60fps。</w:t>
      </w:r>
    </w:p>
    <w:p/>
    <w:p>
      <w:pPr>
        <w:ind w:firstLine="482"/>
      </w:pPr>
      <w:r>
        <w:rPr>
          <w:rFonts w:ascii="宋体" w:hAnsi="宋体" w:eastAsia="宋体"/>
          <w:b/>
          <w:sz w:val="24"/>
        </w:rPr>
        <w:t>用户测试</w:t>
      </w:r>
      <w:r>
        <w:rPr>
          <w:rFonts w:ascii="宋体" w:hAnsi="宋体" w:eastAsia="宋体"/>
          <w:sz w:val="24"/>
        </w:rPr>
        <w:t>：邀请 15 名游客（年龄 22-58 岁）进行实地测试。关键发现：（1）100% 的用户能成功完成首次 AR 体验（扫描标记看到内容），但 33% 的用户需要 2 次以上尝试才能正确对准标记——增加扫描引导动画后成功率提升至 95%；（2）用户平均使用时长 18 分钟，浏览 7.2 个 AR 内容点（共 12 个）；（3）用户满意度评分 4.4/5.0，最受好评的功能是地戏面具 3D 模型展示和语音讲解；（4）78% 的用户表示 AR 导览增强了他们对屯堡文化的理解[1]。</w:t>
      </w:r>
    </w:p>
    <w:p/>
    <w:p>
      <w:pPr>
        <w:pStyle w:val="Heading3"/>
      </w:pPr>
      <w:r>
        <w:t>11.6.6 发布效果与经验总结</w:t>
      </w:r>
    </w:p>
    <w:p/>
    <w:p>
      <w:pPr>
        <w:ind w:firstLine="482"/>
      </w:pPr>
      <w:r>
        <w:rPr>
          <w:rFonts w:ascii="宋体" w:hAnsi="宋体" w:eastAsia="宋体"/>
          <w:sz w:val="24"/>
        </w:rPr>
        <w:t>应用在 App Store 和 Google Play 上线后 3 个月的数据：</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指标</w:t>
            </w:r>
          </w:p>
        </w:tc>
        <w:tc>
          <w:tcPr>
            <w:tcW w:type="dxa" w:w="2078"/>
            <w:shd w:fill="D9E2F3" w:val="clear"/>
          </w:tcPr>
          <w:p>
            <w:pPr>
              <w:jc w:val="center"/>
            </w:pPr>
            <w:r/>
            <w:r>
              <w:rPr>
                <w:rFonts w:ascii="黑体" w:hAnsi="黑体" w:eastAsia="黑体"/>
                <w:b/>
                <w:sz w:val="20"/>
              </w:rPr>
              <w:t>iOS</w:t>
            </w:r>
          </w:p>
        </w:tc>
        <w:tc>
          <w:tcPr>
            <w:tcW w:type="dxa" w:w="2078"/>
            <w:shd w:fill="D9E2F3" w:val="clear"/>
          </w:tcPr>
          <w:p>
            <w:pPr>
              <w:jc w:val="center"/>
            </w:pPr>
            <w:r/>
            <w:r>
              <w:rPr>
                <w:rFonts w:ascii="黑体" w:hAnsi="黑体" w:eastAsia="黑体"/>
                <w:b/>
                <w:sz w:val="20"/>
              </w:rPr>
              <w:t>Android</w:t>
            </w:r>
          </w:p>
        </w:tc>
        <w:tc>
          <w:tcPr>
            <w:tcW w:type="dxa" w:w="2078"/>
            <w:shd w:fill="D9E2F3" w:val="clear"/>
          </w:tcPr>
          <w:p>
            <w:pPr>
              <w:jc w:val="center"/>
            </w:pPr>
            <w:r/>
            <w:r>
              <w:rPr>
                <w:rFonts w:ascii="黑体" w:hAnsi="黑体" w:eastAsia="黑体"/>
                <w:b/>
                <w:sz w:val="20"/>
              </w:rPr>
              <w:t>合计</w:t>
            </w:r>
          </w:p>
        </w:tc>
      </w:tr>
      <w:tr>
        <w:tc>
          <w:tcPr>
            <w:tcW w:type="dxa" w:w="2078"/>
          </w:tcPr>
          <w:p>
            <w:r/>
            <w:r>
              <w:rPr>
                <w:rFonts w:ascii="宋体" w:hAnsi="宋体" w:eastAsia="宋体"/>
                <w:sz w:val="20"/>
              </w:rPr>
              <w:t>下载量</w:t>
            </w:r>
          </w:p>
        </w:tc>
        <w:tc>
          <w:tcPr>
            <w:tcW w:type="dxa" w:w="2078"/>
          </w:tcPr>
          <w:p>
            <w:r/>
            <w:r>
              <w:rPr>
                <w:rFonts w:ascii="宋体" w:hAnsi="宋体" w:eastAsia="宋体"/>
                <w:sz w:val="20"/>
              </w:rPr>
              <w:t>3,200</w:t>
            </w:r>
          </w:p>
        </w:tc>
        <w:tc>
          <w:tcPr>
            <w:tcW w:type="dxa" w:w="2078"/>
          </w:tcPr>
          <w:p>
            <w:r/>
            <w:r>
              <w:rPr>
                <w:rFonts w:ascii="宋体" w:hAnsi="宋体" w:eastAsia="宋体"/>
                <w:sz w:val="20"/>
              </w:rPr>
              <w:t>5,800</w:t>
            </w:r>
          </w:p>
        </w:tc>
        <w:tc>
          <w:tcPr>
            <w:tcW w:type="dxa" w:w="2078"/>
          </w:tcPr>
          <w:p>
            <w:r/>
            <w:r>
              <w:rPr>
                <w:rFonts w:ascii="宋体" w:hAnsi="宋体" w:eastAsia="宋体"/>
                <w:sz w:val="20"/>
              </w:rPr>
              <w:t>9,000</w:t>
            </w:r>
          </w:p>
        </w:tc>
      </w:tr>
      <w:tr>
        <w:tc>
          <w:tcPr>
            <w:tcW w:type="dxa" w:w="2078"/>
          </w:tcPr>
          <w:p>
            <w:r/>
            <w:r>
              <w:rPr>
                <w:rFonts w:ascii="宋体" w:hAnsi="宋体" w:eastAsia="宋体"/>
                <w:sz w:val="20"/>
              </w:rPr>
              <w:t>日活用户</w:t>
            </w:r>
          </w:p>
        </w:tc>
        <w:tc>
          <w:tcPr>
            <w:tcW w:type="dxa" w:w="2078"/>
          </w:tcPr>
          <w:p>
            <w:r/>
            <w:r>
              <w:rPr>
                <w:rFonts w:ascii="宋体" w:hAnsi="宋体" w:eastAsia="宋体"/>
                <w:sz w:val="20"/>
              </w:rPr>
              <w:t>45</w:t>
            </w:r>
          </w:p>
        </w:tc>
        <w:tc>
          <w:tcPr>
            <w:tcW w:type="dxa" w:w="2078"/>
          </w:tcPr>
          <w:p>
            <w:r/>
            <w:r>
              <w:rPr>
                <w:rFonts w:ascii="宋体" w:hAnsi="宋体" w:eastAsia="宋体"/>
                <w:sz w:val="20"/>
              </w:rPr>
              <w:t>82</w:t>
            </w:r>
          </w:p>
        </w:tc>
        <w:tc>
          <w:tcPr>
            <w:tcW w:type="dxa" w:w="2078"/>
          </w:tcPr>
          <w:p>
            <w:r/>
            <w:r>
              <w:rPr>
                <w:rFonts w:ascii="宋体" w:hAnsi="宋体" w:eastAsia="宋体"/>
                <w:sz w:val="20"/>
              </w:rPr>
              <w:t>127</w:t>
            </w:r>
          </w:p>
        </w:tc>
      </w:tr>
      <w:tr>
        <w:tc>
          <w:tcPr>
            <w:tcW w:type="dxa" w:w="2078"/>
          </w:tcPr>
          <w:p>
            <w:r/>
            <w:r>
              <w:rPr>
                <w:rFonts w:ascii="宋体" w:hAnsi="宋体" w:eastAsia="宋体"/>
                <w:sz w:val="20"/>
              </w:rPr>
              <w:t>AR 内容触发次数</w:t>
            </w:r>
          </w:p>
        </w:tc>
        <w:tc>
          <w:tcPr>
            <w:tcW w:type="dxa" w:w="2078"/>
          </w:tcPr>
          <w:p>
            <w:r/>
            <w:r>
              <w:rPr>
                <w:rFonts w:ascii="宋体" w:hAnsi="宋体" w:eastAsia="宋体"/>
                <w:sz w:val="20"/>
              </w:rPr>
              <w:t>18,500</w:t>
            </w:r>
          </w:p>
        </w:tc>
        <w:tc>
          <w:tcPr>
            <w:tcW w:type="dxa" w:w="2078"/>
          </w:tcPr>
          <w:p>
            <w:r/>
            <w:r>
              <w:rPr>
                <w:rFonts w:ascii="宋体" w:hAnsi="宋体" w:eastAsia="宋体"/>
                <w:sz w:val="20"/>
              </w:rPr>
              <w:t>32,300</w:t>
            </w:r>
          </w:p>
        </w:tc>
        <w:tc>
          <w:tcPr>
            <w:tcW w:type="dxa" w:w="2078"/>
          </w:tcPr>
          <w:p>
            <w:r/>
            <w:r>
              <w:rPr>
                <w:rFonts w:ascii="宋体" w:hAnsi="宋体" w:eastAsia="宋体"/>
                <w:sz w:val="20"/>
              </w:rPr>
              <w:t>50,800</w:t>
            </w:r>
          </w:p>
        </w:tc>
      </w:tr>
      <w:tr>
        <w:tc>
          <w:tcPr>
            <w:tcW w:type="dxa" w:w="2078"/>
          </w:tcPr>
          <w:p>
            <w:r/>
            <w:r>
              <w:rPr>
                <w:rFonts w:ascii="宋体" w:hAnsi="宋体" w:eastAsia="宋体"/>
                <w:sz w:val="20"/>
              </w:rPr>
              <w:t>分享次数</w:t>
            </w:r>
          </w:p>
        </w:tc>
        <w:tc>
          <w:tcPr>
            <w:tcW w:type="dxa" w:w="2078"/>
          </w:tcPr>
          <w:p>
            <w:r/>
            <w:r>
              <w:rPr>
                <w:rFonts w:ascii="宋体" w:hAnsi="宋体" w:eastAsia="宋体"/>
                <w:sz w:val="20"/>
              </w:rPr>
              <w:t>420</w:t>
            </w:r>
          </w:p>
        </w:tc>
        <w:tc>
          <w:tcPr>
            <w:tcW w:type="dxa" w:w="2078"/>
          </w:tcPr>
          <w:p>
            <w:r/>
            <w:r>
              <w:rPr>
                <w:rFonts w:ascii="宋体" w:hAnsi="宋体" w:eastAsia="宋体"/>
                <w:sz w:val="20"/>
              </w:rPr>
              <w:t>680</w:t>
            </w:r>
          </w:p>
        </w:tc>
        <w:tc>
          <w:tcPr>
            <w:tcW w:type="dxa" w:w="2078"/>
          </w:tcPr>
          <w:p>
            <w:r/>
            <w:r>
              <w:rPr>
                <w:rFonts w:ascii="宋体" w:hAnsi="宋体" w:eastAsia="宋体"/>
                <w:sz w:val="20"/>
              </w:rPr>
              <w:t>1,100</w:t>
            </w:r>
          </w:p>
        </w:tc>
      </w:tr>
      <w:tr>
        <w:tc>
          <w:tcPr>
            <w:tcW w:type="dxa" w:w="2078"/>
          </w:tcPr>
          <w:p>
            <w:r/>
            <w:r>
              <w:rPr>
                <w:rFonts w:ascii="宋体" w:hAnsi="宋体" w:eastAsia="宋体"/>
                <w:sz w:val="20"/>
              </w:rPr>
              <w:t>评分</w:t>
            </w:r>
          </w:p>
        </w:tc>
        <w:tc>
          <w:tcPr>
            <w:tcW w:type="dxa" w:w="2078"/>
          </w:tcPr>
          <w:p>
            <w:r/>
            <w:r>
              <w:rPr>
                <w:rFonts w:ascii="宋体" w:hAnsi="宋体" w:eastAsia="宋体"/>
                <w:sz w:val="20"/>
              </w:rPr>
              <w:t>4.6</w:t>
            </w:r>
          </w:p>
        </w:tc>
        <w:tc>
          <w:tcPr>
            <w:tcW w:type="dxa" w:w="2078"/>
          </w:tcPr>
          <w:p>
            <w:r/>
            <w:r>
              <w:rPr>
                <w:rFonts w:ascii="宋体" w:hAnsi="宋体" w:eastAsia="宋体"/>
                <w:sz w:val="20"/>
              </w:rPr>
              <w:t>4.3</w:t>
            </w:r>
          </w:p>
        </w:tc>
        <w:tc>
          <w:tcPr>
            <w:tcW w:type="dxa" w:w="2078"/>
          </w:tcPr>
          <w:p>
            <w:r/>
            <w:r>
              <w:rPr>
                <w:rFonts w:ascii="宋体" w:hAnsi="宋体" w:eastAsia="宋体"/>
                <w:sz w:val="20"/>
              </w:rPr>
              <w:t>4.4</w:t>
            </w:r>
          </w:p>
        </w:tc>
      </w:tr>
    </w:tbl>
    <w:p/>
    <w:p/>
    <w:p>
      <w:pPr>
        <w:ind w:firstLine="482"/>
      </w:pPr>
      <w:r>
        <w:rPr>
          <w:rFonts w:ascii="宋体" w:hAnsi="宋体" w:eastAsia="宋体"/>
          <w:sz w:val="24"/>
        </w:rPr>
        <w:t>经验总结：（1）</w:t>
      </w:r>
      <w:r>
        <w:rPr>
          <w:rFonts w:ascii="宋体" w:hAnsi="宋体" w:eastAsia="宋体"/>
          <w:b/>
          <w:sz w:val="24"/>
        </w:rPr>
        <w:t>AR 标记设计</w:t>
      </w:r>
      <w:r>
        <w:rPr>
          <w:rFonts w:ascii="宋体" w:hAnsi="宋体" w:eastAsia="宋体"/>
          <w:sz w:val="24"/>
        </w:rPr>
        <w:t>是成功的关键——标记图片必须具有高对比度和独特纹理，避免使用重复图案或低对比度的设计；（2）</w:t>
      </w:r>
      <w:r>
        <w:rPr>
          <w:rFonts w:ascii="宋体" w:hAnsi="宋体" w:eastAsia="宋体"/>
          <w:b/>
          <w:sz w:val="24"/>
        </w:rPr>
        <w:t>离线能力</w:t>
      </w:r>
      <w:r>
        <w:rPr>
          <w:rFonts w:ascii="宋体" w:hAnsi="宋体" w:eastAsia="宋体"/>
          <w:sz w:val="24"/>
        </w:rPr>
        <w:t>对景区 AR 应用至关重要——景区网络覆盖不均，应用必须支持离线运行所有核心功能；（3）</w:t>
      </w:r>
      <w:r>
        <w:rPr>
          <w:rFonts w:ascii="宋体" w:hAnsi="宋体" w:eastAsia="宋体"/>
          <w:b/>
          <w:sz w:val="24"/>
        </w:rPr>
        <w:t>3D 资产轻量化</w:t>
      </w:r>
      <w:r>
        <w:rPr>
          <w:rFonts w:ascii="宋体" w:hAnsi="宋体" w:eastAsia="宋体"/>
          <w:sz w:val="24"/>
        </w:rPr>
        <w:t>是性能的瓶颈——需要在模型精度和渲染性能之间找到平衡点，LOD 技术是有效的解决方案；（4）</w:t>
      </w:r>
      <w:r>
        <w:rPr>
          <w:rFonts w:ascii="宋体" w:hAnsi="宋体" w:eastAsia="宋体"/>
          <w:b/>
          <w:sz w:val="24"/>
        </w:rPr>
        <w:t>用户引导</w:t>
      </w:r>
      <w:r>
        <w:rPr>
          <w:rFonts w:ascii="宋体" w:hAnsi="宋体" w:eastAsia="宋体"/>
          <w:sz w:val="24"/>
        </w:rPr>
        <w:t>不可忽视——AR 对大多数用户是新体验，清晰的引导动画和操作提示能显著降低使用门槛[8]。</w:t>
      </w:r>
    </w:p>
    <w:p/>
    <w:p>
      <w:pPr>
        <w:pStyle w:val="Heading2"/>
      </w:pPr>
      <w:r>
        <w:t>11.7 AR 技术发展趋势与展望</w:t>
      </w:r>
    </w:p>
    <w:p/>
    <w:p>
      <w:pPr>
        <w:pStyle w:val="Heading3"/>
      </w:pPr>
      <w:r>
        <w:t>11.7.1 AR 眼镜与空间计算</w:t>
      </w:r>
    </w:p>
    <w:p/>
    <w:p>
      <w:pPr>
        <w:ind w:firstLine="482"/>
      </w:pPr>
      <w:r>
        <w:rPr>
          <w:rFonts w:ascii="宋体" w:hAnsi="宋体" w:eastAsia="宋体"/>
          <w:sz w:val="24"/>
        </w:rPr>
        <w:t>AR 眼镜（如 Apple Vision Pro、Meta Quest 3、XREAL Air 2）正在成为下一代 AR 平台[9]。相比手机 AR，AR 眼镜提供hands-free的沉浸式体验和更自然的手势交互。Apple Vision Pro 的 visionOS 引入了"空间计算"概念——应用以 3D 空间中的窗口和面板形式呈现，用户通过眼动追踪+手势捏合进行交互。这一范式变革对 AR 文化导览的设计理念产生深远影响——从"手持设备查看 AR"转向"穿戴设备沉浸于 AR"。</w:t>
      </w:r>
    </w:p>
    <w:p/>
    <w:p>
      <w:pPr>
        <w:pStyle w:val="Heading3"/>
      </w:pPr>
      <w:r>
        <w:t>11.7.2 AI 赋能 AR 内容生成</w:t>
      </w:r>
    </w:p>
    <w:p/>
    <w:p>
      <w:pPr>
        <w:ind w:firstLine="482"/>
      </w:pPr>
      <w:r>
        <w:rPr>
          <w:rFonts w:ascii="宋体" w:hAnsi="宋体" w:eastAsia="宋体"/>
          <w:sz w:val="24"/>
        </w:rPr>
        <w:t>大语言模型和生成式 AI 正在降低 AR 内容制作成本[9]：（1）AI 3D 生成——使用 Text-to-3D 模型（如 Luma AI、Meshy）从文字描述生成 3D 模型，替代繁琐的手工建模；（2）AI 纹理生成——使用 Stable Diffusion 生成高质量纹理贴图；（3）AI 语音讲解——使用大语言模型生成多语言讲解脚本，配合 TTS 引擎生成自然语音；（4）AI 场景理解——使用 GPT-4V 等视觉语言模型实时分析摄像头画面，为用户提供个性化的 AR 导览内容。</w:t>
      </w:r>
    </w:p>
    <w:p/>
    <w:p>
      <w:pPr>
        <w:pStyle w:val="Heading3"/>
      </w:pPr>
      <w:r>
        <w:t>11.7.3 WebXR 与即时 AR 体验</w:t>
      </w:r>
    </w:p>
    <w:p/>
    <w:p>
      <w:pPr>
        <w:ind w:firstLine="482"/>
      </w:pPr>
      <w:r>
        <w:rPr>
          <w:rFonts w:ascii="宋体" w:hAnsi="宋体" w:eastAsia="宋体"/>
          <w:sz w:val="24"/>
        </w:rPr>
        <w:t>WebXR 技术使 AR 体验无需安装应用即可使用——用户通过浏览器访问 WebXR 页面，点击"进入 AR"即可启动 AR 体验[10]。这一技术对景区 AR 导览具有重要意义——游客无需下载应用，扫描景区 QR 码即可在浏览器中启动 AR 导览，大幅降低使用门槛。目前 WebXR 的 AR 功能在 Android Chrome 上支持较好，iOS Safari 的支持仍有限（需要通过 Quick Look 或 USDZ 模型实现）。</w:t>
      </w:r>
    </w:p>
    <w:p/>
    <w:p>
      <w:pPr>
        <w:pStyle w:val="Heading3"/>
      </w:pPr>
      <w:r>
        <w:t>11.7.4 数字孪生与虚实融合</w:t>
      </w:r>
    </w:p>
    <w:p/>
    <w:p>
      <w:pPr>
        <w:ind w:firstLine="482"/>
      </w:pPr>
      <w:r>
        <w:rPr>
          <w:rFonts w:ascii="宋体" w:hAnsi="宋体" w:eastAsia="宋体"/>
          <w:sz w:val="24"/>
        </w:rPr>
        <w:t>景区数字孪生是将整个景区以 1:1 比例数字化重建，在虚拟空间中创建景区的精确副本[11]。AR 技术可以将数字孪生数据叠加到真实景区中——游客在景区中走动时，AR 界面实时显示地下管线、建筑内部结构、历史原貌等通常不可见的信息。这一技术需要大规模的空间扫描和建模，但代表了景区 AR 导览的终极形态。</w:t>
      </w:r>
    </w:p>
    <w:p/>
    <w:p>
      <w:pPr>
        <w:pStyle w:val="Heading2"/>
      </w:pPr>
      <w:r>
        <w:t>11.8 教学实施建议</w:t>
      </w:r>
    </w:p>
    <w:p/>
    <w:p>
      <w:pPr>
        <w:pStyle w:val="Heading3"/>
      </w:pPr>
      <w:r>
        <w:t>11.8.1 课程安排与先修要求</w:t>
      </w:r>
    </w:p>
    <w:p/>
    <w:p>
      <w:pPr>
        <w:ind w:firstLine="482"/>
      </w:pPr>
      <w:r>
        <w:rPr>
          <w:rFonts w:ascii="宋体" w:hAnsi="宋体" w:eastAsia="宋体"/>
          <w:sz w:val="24"/>
        </w:rPr>
        <w:t>本章内容建议安排 20-24 学时（含实训），要求学生已完成第 5 章（多模态交互设计）和第 6 章（开发引擎与渲染优化）的学习，具备基本的 Unity C# 编程能力[7]。</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教学环节</w:t>
            </w:r>
          </w:p>
        </w:tc>
        <w:tc>
          <w:tcPr>
            <w:tcW w:type="dxa" w:w="2078"/>
            <w:shd w:fill="D9E2F3" w:val="clear"/>
          </w:tcPr>
          <w:p>
            <w:pPr>
              <w:jc w:val="center"/>
            </w:pPr>
            <w:r/>
            <w:r>
              <w:rPr>
                <w:rFonts w:ascii="黑体" w:hAnsi="黑体" w:eastAsia="黑体"/>
                <w:b/>
                <w:sz w:val="20"/>
              </w:rPr>
              <w:t>学时</w:t>
            </w:r>
          </w:p>
        </w:tc>
        <w:tc>
          <w:tcPr>
            <w:tcW w:type="dxa" w:w="2078"/>
            <w:shd w:fill="D9E2F3" w:val="clear"/>
          </w:tcPr>
          <w:p>
            <w:pPr>
              <w:jc w:val="center"/>
            </w:pPr>
            <w:r/>
            <w:r>
              <w:rPr>
                <w:rFonts w:ascii="黑体" w:hAnsi="黑体" w:eastAsia="黑体"/>
                <w:b/>
                <w:sz w:val="20"/>
              </w:rPr>
              <w:t>内容</w:t>
            </w:r>
          </w:p>
        </w:tc>
        <w:tc>
          <w:tcPr>
            <w:tcW w:type="dxa" w:w="2078"/>
            <w:shd w:fill="D9E2F3" w:val="clear"/>
          </w:tcPr>
          <w:p>
            <w:pPr>
              <w:jc w:val="center"/>
            </w:pPr>
            <w:r/>
            <w:r>
              <w:rPr>
                <w:rFonts w:ascii="黑体" w:hAnsi="黑体" w:eastAsia="黑体"/>
                <w:b/>
                <w:sz w:val="20"/>
              </w:rPr>
              <w:t>教学方式</w:t>
            </w:r>
          </w:p>
        </w:tc>
      </w:tr>
      <w:tr>
        <w:tc>
          <w:tcPr>
            <w:tcW w:type="dxa" w:w="2078"/>
          </w:tcPr>
          <w:p>
            <w:r/>
            <w:r>
              <w:rPr>
                <w:rFonts w:ascii="宋体" w:hAnsi="宋体" w:eastAsia="宋体"/>
                <w:sz w:val="20"/>
              </w:rPr>
              <w:t>理论讲解</w:t>
            </w:r>
          </w:p>
        </w:tc>
        <w:tc>
          <w:tcPr>
            <w:tcW w:type="dxa" w:w="2078"/>
          </w:tcPr>
          <w:p>
            <w:r/>
            <w:r>
              <w:rPr>
                <w:rFonts w:ascii="宋体" w:hAnsi="宋体" w:eastAsia="宋体"/>
                <w:sz w:val="20"/>
              </w:rPr>
              <w:t>6</w:t>
            </w:r>
          </w:p>
        </w:tc>
        <w:tc>
          <w:tcPr>
            <w:tcW w:type="dxa" w:w="2078"/>
          </w:tcPr>
          <w:p>
            <w:r/>
            <w:r>
              <w:rPr>
                <w:rFonts w:ascii="宋体" w:hAnsi="宋体" w:eastAsia="宋体"/>
                <w:sz w:val="20"/>
              </w:rPr>
              <w:t>AR Foundation 架构、图像追踪/平面检测原理、AR 设计原则</w:t>
            </w:r>
          </w:p>
        </w:tc>
        <w:tc>
          <w:tcPr>
            <w:tcW w:type="dxa" w:w="2078"/>
          </w:tcPr>
          <w:p>
            <w:r/>
            <w:r>
              <w:rPr>
                <w:rFonts w:ascii="宋体" w:hAnsi="宋体" w:eastAsia="宋体"/>
                <w:sz w:val="20"/>
              </w:rPr>
              <w:t>课堂讲授+代码演示</w:t>
            </w:r>
          </w:p>
        </w:tc>
      </w:tr>
      <w:tr>
        <w:tc>
          <w:tcPr>
            <w:tcW w:type="dxa" w:w="2078"/>
          </w:tcPr>
          <w:p>
            <w:r/>
            <w:r>
              <w:rPr>
                <w:rFonts w:ascii="宋体" w:hAnsi="宋体" w:eastAsia="宋体"/>
                <w:sz w:val="20"/>
              </w:rPr>
              <w:t>内容设计</w:t>
            </w:r>
          </w:p>
        </w:tc>
        <w:tc>
          <w:tcPr>
            <w:tcW w:type="dxa" w:w="2078"/>
          </w:tcPr>
          <w:p>
            <w:r/>
            <w:r>
              <w:rPr>
                <w:rFonts w:ascii="宋体" w:hAnsi="宋体" w:eastAsia="宋体"/>
                <w:sz w:val="20"/>
              </w:rPr>
              <w:t>2</w:t>
            </w:r>
          </w:p>
        </w:tc>
        <w:tc>
          <w:tcPr>
            <w:tcW w:type="dxa" w:w="2078"/>
          </w:tcPr>
          <w:p>
            <w:r/>
            <w:r>
              <w:rPr>
                <w:rFonts w:ascii="宋体" w:hAnsi="宋体" w:eastAsia="宋体"/>
                <w:sz w:val="20"/>
              </w:rPr>
              <w:t>AR 交互叙事设计、信息层级设计、UI/UX 原型</w:t>
            </w:r>
          </w:p>
        </w:tc>
        <w:tc>
          <w:tcPr>
            <w:tcW w:type="dxa" w:w="2078"/>
          </w:tcPr>
          <w:p>
            <w:r/>
            <w:r>
              <w:rPr>
                <w:rFonts w:ascii="宋体" w:hAnsi="宋体" w:eastAsia="宋体"/>
                <w:sz w:val="20"/>
              </w:rPr>
              <w:t>工作坊</w:t>
            </w:r>
          </w:p>
        </w:tc>
      </w:tr>
      <w:tr>
        <w:tc>
          <w:tcPr>
            <w:tcW w:type="dxa" w:w="2078"/>
          </w:tcPr>
          <w:p>
            <w:r/>
            <w:r>
              <w:rPr>
                <w:rFonts w:ascii="宋体" w:hAnsi="宋体" w:eastAsia="宋体"/>
                <w:sz w:val="20"/>
              </w:rPr>
              <w:t>3D 资产制作</w:t>
            </w:r>
          </w:p>
        </w:tc>
        <w:tc>
          <w:tcPr>
            <w:tcW w:type="dxa" w:w="2078"/>
          </w:tcPr>
          <w:p>
            <w:r/>
            <w:r>
              <w:rPr>
                <w:rFonts w:ascii="宋体" w:hAnsi="宋体" w:eastAsia="宋体"/>
                <w:sz w:val="20"/>
              </w:rPr>
              <w:t>4</w:t>
            </w:r>
          </w:p>
        </w:tc>
        <w:tc>
          <w:tcPr>
            <w:tcW w:type="dxa" w:w="2078"/>
          </w:tcPr>
          <w:p>
            <w:r/>
            <w:r>
              <w:rPr>
                <w:rFonts w:ascii="宋体" w:hAnsi="宋体" w:eastAsia="宋体"/>
                <w:sz w:val="20"/>
              </w:rPr>
              <w:t>摄影测量、模型优化、纹理制作、动画</w:t>
            </w:r>
          </w:p>
        </w:tc>
        <w:tc>
          <w:tcPr>
            <w:tcW w:type="dxa" w:w="2078"/>
          </w:tcPr>
          <w:p>
            <w:r/>
            <w:r>
              <w:rPr>
                <w:rFonts w:ascii="宋体" w:hAnsi="宋体" w:eastAsia="宋体"/>
                <w:sz w:val="20"/>
              </w:rPr>
              <w:t>机房实训</w:t>
            </w:r>
          </w:p>
        </w:tc>
      </w:tr>
      <w:tr>
        <w:tc>
          <w:tcPr>
            <w:tcW w:type="dxa" w:w="2078"/>
          </w:tcPr>
          <w:p>
            <w:r/>
            <w:r>
              <w:rPr>
                <w:rFonts w:ascii="宋体" w:hAnsi="宋体" w:eastAsia="宋体"/>
                <w:sz w:val="20"/>
              </w:rPr>
              <w:t>AR 开发</w:t>
            </w:r>
          </w:p>
        </w:tc>
        <w:tc>
          <w:tcPr>
            <w:tcW w:type="dxa" w:w="2078"/>
          </w:tcPr>
          <w:p>
            <w:r/>
            <w:r>
              <w:rPr>
                <w:rFonts w:ascii="宋体" w:hAnsi="宋体" w:eastAsia="宋体"/>
                <w:sz w:val="20"/>
              </w:rPr>
              <w:t>6-8</w:t>
            </w:r>
          </w:p>
        </w:tc>
        <w:tc>
          <w:tcPr>
            <w:tcW w:type="dxa" w:w="2078"/>
          </w:tcPr>
          <w:p>
            <w:r/>
            <w:r>
              <w:rPr>
                <w:rFonts w:ascii="宋体" w:hAnsi="宋体" w:eastAsia="宋体"/>
                <w:sz w:val="20"/>
              </w:rPr>
              <w:t>AR Foundation 组件开发、交互功能实现、性能优化</w:t>
            </w:r>
          </w:p>
        </w:tc>
        <w:tc>
          <w:tcPr>
            <w:tcW w:type="dxa" w:w="2078"/>
          </w:tcPr>
          <w:p>
            <w:r/>
            <w:r>
              <w:rPr>
                <w:rFonts w:ascii="宋体" w:hAnsi="宋体" w:eastAsia="宋体"/>
                <w:sz w:val="20"/>
              </w:rPr>
              <w:t>机房实训</w:t>
            </w:r>
          </w:p>
        </w:tc>
      </w:tr>
      <w:tr>
        <w:tc>
          <w:tcPr>
            <w:tcW w:type="dxa" w:w="2078"/>
          </w:tcPr>
          <w:p>
            <w:r/>
            <w:r>
              <w:rPr>
                <w:rFonts w:ascii="宋体" w:hAnsi="宋体" w:eastAsia="宋体"/>
                <w:sz w:val="20"/>
              </w:rPr>
              <w:t>实地测试</w:t>
            </w:r>
          </w:p>
        </w:tc>
        <w:tc>
          <w:tcPr>
            <w:tcW w:type="dxa" w:w="2078"/>
          </w:tcPr>
          <w:p>
            <w:r/>
            <w:r>
              <w:rPr>
                <w:rFonts w:ascii="宋体" w:hAnsi="宋体" w:eastAsia="宋体"/>
                <w:sz w:val="20"/>
              </w:rPr>
              <w:t>2</w:t>
            </w:r>
          </w:p>
        </w:tc>
        <w:tc>
          <w:tcPr>
            <w:tcW w:type="dxa" w:w="2078"/>
          </w:tcPr>
          <w:p>
            <w:r/>
            <w:r>
              <w:rPr>
                <w:rFonts w:ascii="宋体" w:hAnsi="宋体" w:eastAsia="宋体"/>
                <w:sz w:val="20"/>
              </w:rPr>
              <w:t>户外环境测试、用户测试</w:t>
            </w:r>
          </w:p>
        </w:tc>
        <w:tc>
          <w:tcPr>
            <w:tcW w:type="dxa" w:w="2078"/>
          </w:tcPr>
          <w:p>
            <w:r/>
            <w:r>
              <w:rPr>
                <w:rFonts w:ascii="宋体" w:hAnsi="宋体" w:eastAsia="宋体"/>
                <w:sz w:val="20"/>
              </w:rPr>
              <w:t>户外实训</w:t>
            </w:r>
          </w:p>
        </w:tc>
      </w:tr>
      <w:tr>
        <w:tc>
          <w:tcPr>
            <w:tcW w:type="dxa" w:w="2078"/>
          </w:tcPr>
          <w:p>
            <w:r/>
            <w:r>
              <w:rPr>
                <w:rFonts w:ascii="宋体" w:hAnsi="宋体" w:eastAsia="宋体"/>
                <w:sz w:val="20"/>
              </w:rPr>
              <w:t>项目答辩</w:t>
            </w:r>
          </w:p>
        </w:tc>
        <w:tc>
          <w:tcPr>
            <w:tcW w:type="dxa" w:w="2078"/>
          </w:tcPr>
          <w:p>
            <w:r/>
            <w:r>
              <w:rPr>
                <w:rFonts w:ascii="宋体" w:hAnsi="宋体" w:eastAsia="宋体"/>
                <w:sz w:val="20"/>
              </w:rPr>
              <w:t>2</w:t>
            </w:r>
          </w:p>
        </w:tc>
        <w:tc>
          <w:tcPr>
            <w:tcW w:type="dxa" w:w="2078"/>
          </w:tcPr>
          <w:p>
            <w:r/>
            <w:r>
              <w:rPr>
                <w:rFonts w:ascii="宋体" w:hAnsi="宋体" w:eastAsia="宋体"/>
                <w:sz w:val="20"/>
              </w:rPr>
              <w:t>成果展示与评审</w:t>
            </w:r>
          </w:p>
        </w:tc>
        <w:tc>
          <w:tcPr>
            <w:tcW w:type="dxa" w:w="2078"/>
          </w:tcPr>
          <w:p>
            <w:r/>
            <w:r>
              <w:rPr>
                <w:rFonts w:ascii="宋体" w:hAnsi="宋体" w:eastAsia="宋体"/>
                <w:sz w:val="20"/>
              </w:rPr>
              <w:t>答辩汇报</w:t>
            </w:r>
          </w:p>
        </w:tc>
      </w:tr>
    </w:tbl>
    <w:p/>
    <w:p/>
    <w:p>
      <w:pPr>
        <w:pStyle w:val="Heading3"/>
      </w:pPr>
      <w:r>
        <w:t>11.8.2 考核评价</w:t>
      </w:r>
    </w:p>
    <w:p/>
    <w:p>
      <w:pPr>
        <w:ind w:firstLine="482"/>
      </w:pPr>
      <w:r>
        <w:rPr>
          <w:rFonts w:ascii="宋体" w:hAnsi="宋体" w:eastAsia="宋体"/>
          <w:sz w:val="24"/>
        </w:rPr>
        <w:t>采用过程性评价（40%）与终结性评价（60%）相结合[8]：</w:t>
      </w:r>
    </w:p>
    <w:p/>
    <w:p>
      <w:pPr>
        <w:ind w:firstLine="482"/>
      </w:pPr>
      <w:r>
        <w:rPr>
          <w:rFonts w:ascii="宋体" w:hAnsi="宋体" w:eastAsia="宋体"/>
          <w:sz w:val="24"/>
        </w:rPr>
        <w:t>过程性评价包括出勤与参与（10%）、阶段性成果（15%）、代码质量与版本管理（15%）。终结性评价包括 AR 应用功能与质量（30%）、用户体验与文化传播效果（15%）、文档与答辩（15%）。</w:t>
      </w:r>
    </w:p>
    <w:p/>
    <w:p>
      <w:pPr>
        <w:pStyle w:val="Heading3"/>
      </w:pPr>
      <w:r>
        <w:t>11.8.3 常见问题与解决方案</w:t>
      </w:r>
    </w:p>
    <w:p/>
    <w:p>
      <w:pPr>
        <w:ind w:firstLine="482"/>
      </w:pPr>
      <w:r>
        <w:rPr>
          <w:rFonts w:ascii="宋体" w:hAnsi="宋体" w:eastAsia="宋体"/>
          <w:b/>
          <w:sz w:val="24"/>
        </w:rPr>
        <w:t>Q1：AR Foundation 图像追踪不稳定？</w:t>
      </w:r>
      <w:r>
        <w:rPr>
          <w:rFonts w:ascii="宋体" w:hAnsi="宋体" w:eastAsia="宋体"/>
          <w:sz w:val="24"/>
        </w:rPr>
        <w:t xml:space="preserve"> A：检查标记图片质量——对比度是否足够、纹理是否独特、尺寸是否达标（建议 15cm 以上）。避免使用反光材质打印标记。测试不同光照条件下的识别率。</w:t>
      </w:r>
    </w:p>
    <w:p/>
    <w:p>
      <w:pPr>
        <w:ind w:firstLine="482"/>
      </w:pPr>
      <w:r>
        <w:rPr>
          <w:rFonts w:ascii="宋体" w:hAnsi="宋体" w:eastAsia="宋体"/>
          <w:b/>
          <w:sz w:val="24"/>
        </w:rPr>
        <w:t>Q2：AR 应用内存溢出？</w:t>
      </w:r>
      <w:r>
        <w:rPr>
          <w:rFonts w:ascii="宋体" w:hAnsi="宋体" w:eastAsia="宋体"/>
          <w:sz w:val="24"/>
        </w:rPr>
        <w:t xml:space="preserve"> A：使用 Unity Profiler 分析内存占用。3D 模型纹理压缩为 ASTC 格式，使用 Addressables 按需加载资产，及时销毁不使用的 GameObject 和释放资源。</w:t>
      </w:r>
    </w:p>
    <w:p/>
    <w:p>
      <w:pPr>
        <w:ind w:firstLine="482"/>
      </w:pPr>
      <w:r>
        <w:rPr>
          <w:rFonts w:ascii="宋体" w:hAnsi="宋体" w:eastAsia="宋体"/>
          <w:b/>
          <w:sz w:val="24"/>
        </w:rPr>
        <w:t>Q3：iOS 和 Android 上 AR 效果不一致？</w:t>
      </w:r>
      <w:r>
        <w:rPr>
          <w:rFonts w:ascii="宋体" w:hAnsi="宋体" w:eastAsia="宋体"/>
          <w:sz w:val="24"/>
        </w:rPr>
        <w:t xml:space="preserve"> A：这是跨平台 AR 开发的常见问题。ARKit 和 ARCore 的算法实现不同，导致追踪精度和稳定性有差异。建议在两个平台上分别测试，对差异较大的功能进行平台适配。使用 AR Foundation 的平台判断 API 进行条件编译。</w:t>
      </w:r>
    </w:p>
    <w:p/>
    <w:p>
      <w:pPr>
        <w:ind w:firstLine="482"/>
      </w:pPr>
      <w:r>
        <w:rPr>
          <w:rFonts w:ascii="宋体" w:hAnsi="宋体" w:eastAsia="宋体"/>
          <w:b/>
          <w:sz w:val="24"/>
        </w:rPr>
        <w:t>Q4：户外 GPS 定位不准确？</w:t>
      </w:r>
      <w:r>
        <w:rPr>
          <w:rFonts w:ascii="宋体" w:hAnsi="宋体" w:eastAsia="宋体"/>
          <w:sz w:val="24"/>
        </w:rPr>
        <w:t xml:space="preserve"> A：GPS 在城市峡谷和山区精度较差。解决方案：（1）使用 GPS+GLONASS+Galileo 多星座定位提高精度；（2）在 GPS 信号弱的区域使用蓝牙 Beacon 辅助定位；（3）在 AR 导航中使用视觉里程计辅助——通过摄像头画面的特征点追踪推算用户位移[5]。</w:t>
      </w:r>
    </w:p>
    <w:p/>
    <w:p>
      <w:pPr>
        <w:pStyle w:val="Heading2"/>
      </w:pPr>
      <w:r>
        <w:t>11.9 项目管理与团队协作</w:t>
      </w:r>
    </w:p>
    <w:p/>
    <w:p>
      <w:pPr>
        <w:pStyle w:val="Heading3"/>
      </w:pPr>
      <w:r>
        <w:t>11.9.1 团队角色与职责</w:t>
      </w:r>
    </w:p>
    <w:p/>
    <w:p>
      <w:pPr>
        <w:ind w:firstLine="482"/>
      </w:pPr>
      <w:r>
        <w:rPr>
          <w:rFonts w:ascii="宋体" w:hAnsi="宋体" w:eastAsia="宋体"/>
          <w:sz w:val="24"/>
        </w:rPr>
        <w:t>AR 文化导览项目相比 VR 全景项目涉及更多专业技能，团队规模通常为 5-8 人[7]：</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角色</w:t>
            </w:r>
          </w:p>
        </w:tc>
        <w:tc>
          <w:tcPr>
            <w:tcW w:type="dxa" w:w="2078"/>
            <w:shd w:fill="D9E2F3" w:val="clear"/>
          </w:tcPr>
          <w:p>
            <w:pPr>
              <w:jc w:val="center"/>
            </w:pPr>
            <w:r/>
            <w:r>
              <w:rPr>
                <w:rFonts w:ascii="黑体" w:hAnsi="黑体" w:eastAsia="黑体"/>
                <w:b/>
                <w:sz w:val="20"/>
              </w:rPr>
              <w:t>人数</w:t>
            </w:r>
          </w:p>
        </w:tc>
        <w:tc>
          <w:tcPr>
            <w:tcW w:type="dxa" w:w="2078"/>
            <w:shd w:fill="D9E2F3" w:val="clear"/>
          </w:tcPr>
          <w:p>
            <w:pPr>
              <w:jc w:val="center"/>
            </w:pPr>
            <w:r/>
            <w:r>
              <w:rPr>
                <w:rFonts w:ascii="黑体" w:hAnsi="黑体" w:eastAsia="黑体"/>
                <w:b/>
                <w:sz w:val="20"/>
              </w:rPr>
              <w:t>职责</w:t>
            </w:r>
          </w:p>
        </w:tc>
        <w:tc>
          <w:tcPr>
            <w:tcW w:type="dxa" w:w="2078"/>
            <w:shd w:fill="D9E2F3" w:val="clear"/>
          </w:tcPr>
          <w:p>
            <w:pPr>
              <w:jc w:val="center"/>
            </w:pPr>
            <w:r/>
            <w:r>
              <w:rPr>
                <w:rFonts w:ascii="黑体" w:hAnsi="黑体" w:eastAsia="黑体"/>
                <w:b/>
                <w:sz w:val="20"/>
              </w:rPr>
              <w:t>技能要求</w:t>
            </w:r>
          </w:p>
        </w:tc>
      </w:tr>
      <w:tr>
        <w:tc>
          <w:tcPr>
            <w:tcW w:type="dxa" w:w="2078"/>
          </w:tcPr>
          <w:p>
            <w:r/>
            <w:r>
              <w:rPr>
                <w:rFonts w:ascii="宋体" w:hAnsi="宋体" w:eastAsia="宋体"/>
                <w:sz w:val="20"/>
              </w:rPr>
              <w:t>项目经理</w:t>
            </w:r>
          </w:p>
        </w:tc>
        <w:tc>
          <w:tcPr>
            <w:tcW w:type="dxa" w:w="2078"/>
          </w:tcPr>
          <w:p>
            <w:r/>
            <w:r>
              <w:rPr>
                <w:rFonts w:ascii="宋体" w:hAnsi="宋体" w:eastAsia="宋体"/>
                <w:sz w:val="20"/>
              </w:rPr>
              <w:t>1</w:t>
            </w:r>
          </w:p>
        </w:tc>
        <w:tc>
          <w:tcPr>
            <w:tcW w:type="dxa" w:w="2078"/>
          </w:tcPr>
          <w:p>
            <w:r/>
            <w:r>
              <w:rPr>
                <w:rFonts w:ascii="宋体" w:hAnsi="宋体" w:eastAsia="宋体"/>
                <w:sz w:val="20"/>
              </w:rPr>
              <w:t>进度管理、需求对接、质量控制</w:t>
            </w:r>
          </w:p>
        </w:tc>
        <w:tc>
          <w:tcPr>
            <w:tcW w:type="dxa" w:w="2078"/>
          </w:tcPr>
          <w:p>
            <w:r/>
            <w:r>
              <w:rPr>
                <w:rFonts w:ascii="宋体" w:hAnsi="宋体" w:eastAsia="宋体"/>
                <w:sz w:val="20"/>
              </w:rPr>
              <w:t>项目管理、AR 技术理解</w:t>
            </w:r>
          </w:p>
        </w:tc>
      </w:tr>
      <w:tr>
        <w:tc>
          <w:tcPr>
            <w:tcW w:type="dxa" w:w="2078"/>
          </w:tcPr>
          <w:p>
            <w:r/>
            <w:r>
              <w:rPr>
                <w:rFonts w:ascii="宋体" w:hAnsi="宋体" w:eastAsia="宋体"/>
                <w:sz w:val="20"/>
              </w:rPr>
              <w:t>AR 开发工程师</w:t>
            </w:r>
          </w:p>
        </w:tc>
        <w:tc>
          <w:tcPr>
            <w:tcW w:type="dxa" w:w="2078"/>
          </w:tcPr>
          <w:p>
            <w:r/>
            <w:r>
              <w:rPr>
                <w:rFonts w:ascii="宋体" w:hAnsi="宋体" w:eastAsia="宋体"/>
                <w:sz w:val="20"/>
              </w:rPr>
              <w:t>1-2</w:t>
            </w:r>
          </w:p>
        </w:tc>
        <w:tc>
          <w:tcPr>
            <w:tcW w:type="dxa" w:w="2078"/>
          </w:tcPr>
          <w:p>
            <w:r/>
            <w:r>
              <w:rPr>
                <w:rFonts w:ascii="宋体" w:hAnsi="宋体" w:eastAsia="宋体"/>
                <w:sz w:val="20"/>
              </w:rPr>
              <w:t>AR Foundation 开发、交互实现</w:t>
            </w:r>
          </w:p>
        </w:tc>
        <w:tc>
          <w:tcPr>
            <w:tcW w:type="dxa" w:w="2078"/>
          </w:tcPr>
          <w:p>
            <w:r/>
            <w:r>
              <w:rPr>
                <w:rFonts w:ascii="宋体" w:hAnsi="宋体" w:eastAsia="宋体"/>
                <w:sz w:val="20"/>
              </w:rPr>
              <w:t>Unity C#、AR SDK</w:t>
            </w:r>
          </w:p>
        </w:tc>
      </w:tr>
      <w:tr>
        <w:tc>
          <w:tcPr>
            <w:tcW w:type="dxa" w:w="2078"/>
          </w:tcPr>
          <w:p>
            <w:r/>
            <w:r>
              <w:rPr>
                <w:rFonts w:ascii="宋体" w:hAnsi="宋体" w:eastAsia="宋体"/>
                <w:sz w:val="20"/>
              </w:rPr>
              <w:t>3D 建模师</w:t>
            </w:r>
          </w:p>
        </w:tc>
        <w:tc>
          <w:tcPr>
            <w:tcW w:type="dxa" w:w="2078"/>
          </w:tcPr>
          <w:p>
            <w:r/>
            <w:r>
              <w:rPr>
                <w:rFonts w:ascii="宋体" w:hAnsi="宋体" w:eastAsia="宋体"/>
                <w:sz w:val="20"/>
              </w:rPr>
              <w:t>1-2</w:t>
            </w:r>
          </w:p>
        </w:tc>
        <w:tc>
          <w:tcPr>
            <w:tcW w:type="dxa" w:w="2078"/>
          </w:tcPr>
          <w:p>
            <w:r/>
            <w:r>
              <w:rPr>
                <w:rFonts w:ascii="宋体" w:hAnsi="宋体" w:eastAsia="宋体"/>
                <w:sz w:val="20"/>
              </w:rPr>
              <w:t>摄影测量、模型优化、动画</w:t>
            </w:r>
          </w:p>
        </w:tc>
        <w:tc>
          <w:tcPr>
            <w:tcW w:type="dxa" w:w="2078"/>
          </w:tcPr>
          <w:p>
            <w:r/>
            <w:r>
              <w:rPr>
                <w:rFonts w:ascii="宋体" w:hAnsi="宋体" w:eastAsia="宋体"/>
                <w:sz w:val="20"/>
              </w:rPr>
              <w:t>Blender、Substance Painter</w:t>
            </w:r>
          </w:p>
        </w:tc>
      </w:tr>
      <w:tr>
        <w:tc>
          <w:tcPr>
            <w:tcW w:type="dxa" w:w="2078"/>
          </w:tcPr>
          <w:p>
            <w:r/>
            <w:r>
              <w:rPr>
                <w:rFonts w:ascii="宋体" w:hAnsi="宋体" w:eastAsia="宋体"/>
                <w:sz w:val="20"/>
              </w:rPr>
              <w:t>UI/UX 设计师</w:t>
            </w:r>
          </w:p>
        </w:tc>
        <w:tc>
          <w:tcPr>
            <w:tcW w:type="dxa" w:w="2078"/>
          </w:tcPr>
          <w:p>
            <w:r/>
            <w:r>
              <w:rPr>
                <w:rFonts w:ascii="宋体" w:hAnsi="宋体" w:eastAsia="宋体"/>
                <w:sz w:val="20"/>
              </w:rPr>
              <w:t>1</w:t>
            </w:r>
          </w:p>
        </w:tc>
        <w:tc>
          <w:tcPr>
            <w:tcW w:type="dxa" w:w="2078"/>
          </w:tcPr>
          <w:p>
            <w:r/>
            <w:r>
              <w:rPr>
                <w:rFonts w:ascii="宋体" w:hAnsi="宋体" w:eastAsia="宋体"/>
                <w:sz w:val="20"/>
              </w:rPr>
              <w:t>界面设计、交互原型、用户测试</w:t>
            </w:r>
          </w:p>
        </w:tc>
        <w:tc>
          <w:tcPr>
            <w:tcW w:type="dxa" w:w="2078"/>
          </w:tcPr>
          <w:p>
            <w:r/>
            <w:r>
              <w:rPr>
                <w:rFonts w:ascii="宋体" w:hAnsi="宋体" w:eastAsia="宋体"/>
                <w:sz w:val="20"/>
              </w:rPr>
              <w:t>Figma、用户研究</w:t>
            </w:r>
          </w:p>
        </w:tc>
      </w:tr>
      <w:tr>
        <w:tc>
          <w:tcPr>
            <w:tcW w:type="dxa" w:w="2078"/>
          </w:tcPr>
          <w:p>
            <w:r/>
            <w:r>
              <w:rPr>
                <w:rFonts w:ascii="宋体" w:hAnsi="宋体" w:eastAsia="宋体"/>
                <w:sz w:val="20"/>
              </w:rPr>
              <w:t>内容策划</w:t>
            </w:r>
          </w:p>
        </w:tc>
        <w:tc>
          <w:tcPr>
            <w:tcW w:type="dxa" w:w="2078"/>
          </w:tcPr>
          <w:p>
            <w:r/>
            <w:r>
              <w:rPr>
                <w:rFonts w:ascii="宋体" w:hAnsi="宋体" w:eastAsia="宋体"/>
                <w:sz w:val="20"/>
              </w:rPr>
              <w:t>1</w:t>
            </w:r>
          </w:p>
        </w:tc>
        <w:tc>
          <w:tcPr>
            <w:tcW w:type="dxa" w:w="2078"/>
          </w:tcPr>
          <w:p>
            <w:r/>
            <w:r>
              <w:rPr>
                <w:rFonts w:ascii="宋体" w:hAnsi="宋体" w:eastAsia="宋体"/>
                <w:sz w:val="20"/>
              </w:rPr>
              <w:t>文化内容研究、语音脚本、信息架构</w:t>
            </w:r>
          </w:p>
        </w:tc>
        <w:tc>
          <w:tcPr>
            <w:tcW w:type="dxa" w:w="2078"/>
          </w:tcPr>
          <w:p>
            <w:r/>
            <w:r>
              <w:rPr>
                <w:rFonts w:ascii="宋体" w:hAnsi="宋体" w:eastAsia="宋体"/>
                <w:sz w:val="20"/>
              </w:rPr>
              <w:t>历史文化、文案写作</w:t>
            </w:r>
          </w:p>
        </w:tc>
      </w:tr>
      <w:tr>
        <w:tc>
          <w:tcPr>
            <w:tcW w:type="dxa" w:w="2078"/>
          </w:tcPr>
          <w:p>
            <w:r/>
            <w:r>
              <w:rPr>
                <w:rFonts w:ascii="宋体" w:hAnsi="宋体" w:eastAsia="宋体"/>
                <w:sz w:val="20"/>
              </w:rPr>
              <w:t>测试工程师</w:t>
            </w:r>
          </w:p>
        </w:tc>
        <w:tc>
          <w:tcPr>
            <w:tcW w:type="dxa" w:w="2078"/>
          </w:tcPr>
          <w:p>
            <w:r/>
            <w:r>
              <w:rPr>
                <w:rFonts w:ascii="宋体" w:hAnsi="宋体" w:eastAsia="宋体"/>
                <w:sz w:val="20"/>
              </w:rPr>
              <w:t>1</w:t>
            </w:r>
          </w:p>
        </w:tc>
        <w:tc>
          <w:tcPr>
            <w:tcW w:type="dxa" w:w="2078"/>
          </w:tcPr>
          <w:p>
            <w:r/>
            <w:r>
              <w:rPr>
                <w:rFonts w:ascii="宋体" w:hAnsi="宋体" w:eastAsia="宋体"/>
                <w:sz w:val="20"/>
              </w:rPr>
              <w:t>功能测试、性能测试、兼容性测试</w:t>
            </w:r>
          </w:p>
        </w:tc>
        <w:tc>
          <w:tcPr>
            <w:tcW w:type="dxa" w:w="2078"/>
          </w:tcPr>
          <w:p>
            <w:r/>
            <w:r>
              <w:rPr>
                <w:rFonts w:ascii="宋体" w:hAnsi="宋体" w:eastAsia="宋体"/>
                <w:sz w:val="20"/>
              </w:rPr>
              <w:t>测试方法、Unity Profiler</w:t>
            </w:r>
          </w:p>
        </w:tc>
      </w:tr>
    </w:tbl>
    <w:p/>
    <w:p/>
    <w:p>
      <w:pPr>
        <w:pStyle w:val="Heading3"/>
      </w:pPr>
      <w:r>
        <w:t>11.9.2 项目进度管理</w:t>
      </w:r>
    </w:p>
    <w:p/>
    <w:p>
      <w:pPr>
        <w:ind w:firstLine="482"/>
      </w:pPr>
      <w:r>
        <w:rPr>
          <w:rFonts w:ascii="宋体" w:hAnsi="宋体" w:eastAsia="宋体"/>
          <w:sz w:val="24"/>
        </w:rPr>
        <w:t>8 周项目的详细进度安排：</w:t>
      </w:r>
    </w:p>
    <w:p/>
    <w:p>
      <w:pPr>
        <w:ind w:firstLine="482"/>
      </w:pPr>
      <w:r>
        <w:rPr>
          <w:rFonts w:ascii="宋体" w:hAnsi="宋体" w:eastAsia="宋体"/>
          <w:b/>
          <w:sz w:val="24"/>
        </w:rPr>
        <w:t>第 1-2 周——需求分析与内容设计</w:t>
      </w:r>
      <w:r>
        <w:rPr>
          <w:rFonts w:ascii="宋体" w:hAnsi="宋体" w:eastAsia="宋体"/>
          <w:sz w:val="24"/>
        </w:rPr>
        <w:t>：深入屯堡景区进行实地调研，与文化研究者、景区管理方和目标用户进行访谈。确定 AR 内容点位置和文化信息层级。设计 AR 标记图片和交互流程原型。完成 AR 内容设计文档和 UI/UX 原型。</w:t>
      </w:r>
    </w:p>
    <w:p/>
    <w:p>
      <w:pPr>
        <w:ind w:firstLine="482"/>
      </w:pPr>
      <w:r>
        <w:rPr>
          <w:rFonts w:ascii="宋体" w:hAnsi="宋体" w:eastAsia="宋体"/>
          <w:b/>
          <w:sz w:val="24"/>
        </w:rPr>
        <w:t>第 3 周——3D 资产采集与制作</w:t>
      </w:r>
      <w:r>
        <w:rPr>
          <w:rFonts w:ascii="宋体" w:hAnsi="宋体" w:eastAsia="宋体"/>
          <w:sz w:val="24"/>
        </w:rPr>
        <w:t>：前往屯堡景区进行摄影测量采集（建筑、面具、文物）。在实验室进行模型清理、减面、UV 展开和纹理制作。录制或生成语音讲解音频。准备动画素材。</w:t>
      </w:r>
    </w:p>
    <w:p/>
    <w:p>
      <w:pPr>
        <w:ind w:firstLine="482"/>
      </w:pPr>
      <w:r>
        <w:rPr>
          <w:rFonts w:ascii="宋体" w:hAnsi="宋体" w:eastAsia="宋体"/>
          <w:b/>
          <w:sz w:val="24"/>
        </w:rPr>
        <w:t>第 4-5 周——核心功能开发</w:t>
      </w:r>
      <w:r>
        <w:rPr>
          <w:rFonts w:ascii="宋体" w:hAnsi="宋体" w:eastAsia="宋体"/>
          <w:sz w:val="24"/>
        </w:rPr>
        <w:t>：搭建 Unity 项目框架，配置 AR Foundation 组件。实现图像追踪和平面检测核心功能。集成 3D 模型、动画和音频资产。开发 UI 界面和交互逻辑。</w:t>
      </w:r>
    </w:p>
    <w:p/>
    <w:p>
      <w:pPr>
        <w:ind w:firstLine="482"/>
      </w:pPr>
      <w:r>
        <w:rPr>
          <w:rFonts w:ascii="宋体" w:hAnsi="宋体" w:eastAsia="宋体"/>
          <w:b/>
          <w:sz w:val="24"/>
        </w:rPr>
        <w:t>第 6 周——高级功能开发</w:t>
      </w:r>
      <w:r>
        <w:rPr>
          <w:rFonts w:ascii="宋体" w:hAnsi="宋体" w:eastAsia="宋体"/>
          <w:sz w:val="24"/>
        </w:rPr>
        <w:t>：实现多语言支持、AR 导航、社交分享和数据采集功能。进行性能优化（LOD、GPU Instancing、Addressables）。修复已知 Bug。</w:t>
      </w:r>
    </w:p>
    <w:p/>
    <w:p>
      <w:pPr>
        <w:ind w:firstLine="482"/>
      </w:pPr>
      <w:r>
        <w:rPr>
          <w:rFonts w:ascii="宋体" w:hAnsi="宋体" w:eastAsia="宋体"/>
          <w:b/>
          <w:sz w:val="24"/>
        </w:rPr>
        <w:t>第 7 周——测试与优化</w:t>
      </w:r>
      <w:r>
        <w:rPr>
          <w:rFonts w:ascii="宋体" w:hAnsi="宋体" w:eastAsia="宋体"/>
          <w:sz w:val="24"/>
        </w:rPr>
        <w:t>：进行多设备功能测试和户外实地测试。收集用户反馈，进行最终优化。准备应用商店发布材料（截图、描述、演示视频）。</w:t>
      </w:r>
    </w:p>
    <w:p/>
    <w:p>
      <w:pPr>
        <w:ind w:firstLine="482"/>
      </w:pPr>
      <w:r>
        <w:rPr>
          <w:rFonts w:ascii="宋体" w:hAnsi="宋体" w:eastAsia="宋体"/>
          <w:b/>
          <w:sz w:val="24"/>
        </w:rPr>
        <w:t>第 8 周——发布与文档</w:t>
      </w:r>
      <w:r>
        <w:rPr>
          <w:rFonts w:ascii="宋体" w:hAnsi="宋体" w:eastAsia="宋体"/>
          <w:sz w:val="24"/>
        </w:rPr>
        <w:t>：提交 App Store 和 Google Play 审核。编写项目文档（技术文档、用户手册、项目报告）。准备项目答辩和演示。</w:t>
      </w:r>
    </w:p>
    <w:p/>
    <w:p>
      <w:pPr>
        <w:pStyle w:val="Heading3"/>
      </w:pPr>
      <w:r>
        <w:t>11.9.3 成本预算</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成本类别</w:t>
            </w:r>
          </w:p>
        </w:tc>
        <w:tc>
          <w:tcPr>
            <w:tcW w:type="dxa" w:w="2771"/>
            <w:shd w:fill="D9E2F3" w:val="clear"/>
          </w:tcPr>
          <w:p>
            <w:pPr>
              <w:jc w:val="center"/>
            </w:pPr>
            <w:r/>
            <w:r>
              <w:rPr>
                <w:rFonts w:ascii="黑体" w:hAnsi="黑体" w:eastAsia="黑体"/>
                <w:b/>
                <w:sz w:val="20"/>
              </w:rPr>
              <w:t>项目内容</w:t>
            </w:r>
          </w:p>
        </w:tc>
        <w:tc>
          <w:tcPr>
            <w:tcW w:type="dxa" w:w="2771"/>
            <w:shd w:fill="D9E2F3" w:val="clear"/>
          </w:tcPr>
          <w:p>
            <w:pPr>
              <w:jc w:val="center"/>
            </w:pPr>
            <w:r/>
            <w:r>
              <w:rPr>
                <w:rFonts w:ascii="黑体" w:hAnsi="黑体" w:eastAsia="黑体"/>
                <w:b/>
                <w:sz w:val="20"/>
              </w:rPr>
              <w:t>预算（元）</w:t>
            </w:r>
          </w:p>
        </w:tc>
      </w:tr>
      <w:tr>
        <w:tc>
          <w:tcPr>
            <w:tcW w:type="dxa" w:w="2771"/>
          </w:tcPr>
          <w:p>
            <w:r/>
            <w:r>
              <w:rPr>
                <w:rFonts w:ascii="宋体" w:hAnsi="宋体" w:eastAsia="宋体"/>
                <w:sz w:val="20"/>
              </w:rPr>
              <w:t>设备</w:t>
            </w:r>
          </w:p>
        </w:tc>
        <w:tc>
          <w:tcPr>
            <w:tcW w:type="dxa" w:w="2771"/>
          </w:tcPr>
          <w:p>
            <w:r/>
            <w:r>
              <w:rPr>
                <w:rFonts w:ascii="宋体" w:hAnsi="宋体" w:eastAsia="宋体"/>
                <w:sz w:val="20"/>
              </w:rPr>
              <w:t>摄影测量相机+三脚架</w:t>
            </w:r>
          </w:p>
        </w:tc>
        <w:tc>
          <w:tcPr>
            <w:tcW w:type="dxa" w:w="2771"/>
          </w:tcPr>
          <w:p>
            <w:r/>
            <w:r>
              <w:rPr>
                <w:rFonts w:ascii="宋体" w:hAnsi="宋体" w:eastAsia="宋体"/>
                <w:sz w:val="20"/>
              </w:rPr>
              <w:t>15,000-25,000</w:t>
            </w:r>
          </w:p>
        </w:tc>
      </w:tr>
      <w:tr>
        <w:tc>
          <w:tcPr>
            <w:tcW w:type="dxa" w:w="2771"/>
          </w:tcPr>
          <w:p>
            <w:r/>
            <w:r>
              <w:rPr>
                <w:rFonts w:ascii="宋体" w:hAnsi="宋体" w:eastAsia="宋体"/>
                <w:sz w:val="20"/>
              </w:rPr>
              <w:t>软件</w:t>
            </w:r>
          </w:p>
        </w:tc>
        <w:tc>
          <w:tcPr>
            <w:tcW w:type="dxa" w:w="2771"/>
          </w:tcPr>
          <w:p>
            <w:r/>
            <w:r>
              <w:rPr>
                <w:rFonts w:ascii="宋体" w:hAnsi="宋体" w:eastAsia="宋体"/>
                <w:sz w:val="20"/>
              </w:rPr>
              <w:t>Unity Pro+Substance+RealityCapture</w:t>
            </w:r>
          </w:p>
        </w:tc>
        <w:tc>
          <w:tcPr>
            <w:tcW w:type="dxa" w:w="2771"/>
          </w:tcPr>
          <w:p>
            <w:r/>
            <w:r>
              <w:rPr>
                <w:rFonts w:ascii="宋体" w:hAnsi="宋体" w:eastAsia="宋体"/>
                <w:sz w:val="20"/>
              </w:rPr>
              <w:t>8,000-15,000</w:t>
            </w:r>
          </w:p>
        </w:tc>
      </w:tr>
      <w:tr>
        <w:tc>
          <w:tcPr>
            <w:tcW w:type="dxa" w:w="2771"/>
          </w:tcPr>
          <w:p>
            <w:r/>
            <w:r>
              <w:rPr>
                <w:rFonts w:ascii="宋体" w:hAnsi="宋体" w:eastAsia="宋体"/>
                <w:sz w:val="20"/>
              </w:rPr>
              <w:t>差旅</w:t>
            </w:r>
          </w:p>
        </w:tc>
        <w:tc>
          <w:tcPr>
            <w:tcW w:type="dxa" w:w="2771"/>
          </w:tcPr>
          <w:p>
            <w:r/>
            <w:r>
              <w:rPr>
                <w:rFonts w:ascii="宋体" w:hAnsi="宋体" w:eastAsia="宋体"/>
                <w:sz w:val="20"/>
              </w:rPr>
              <w:t>屯堡景区调研（2次）</w:t>
            </w:r>
          </w:p>
        </w:tc>
        <w:tc>
          <w:tcPr>
            <w:tcW w:type="dxa" w:w="2771"/>
          </w:tcPr>
          <w:p>
            <w:r/>
            <w:r>
              <w:rPr>
                <w:rFonts w:ascii="宋体" w:hAnsi="宋体" w:eastAsia="宋体"/>
                <w:sz w:val="20"/>
              </w:rPr>
              <w:t>4,000-6,000</w:t>
            </w:r>
          </w:p>
        </w:tc>
      </w:tr>
      <w:tr>
        <w:tc>
          <w:tcPr>
            <w:tcW w:type="dxa" w:w="2771"/>
          </w:tcPr>
          <w:p>
            <w:r/>
            <w:r>
              <w:rPr>
                <w:rFonts w:ascii="宋体" w:hAnsi="宋体" w:eastAsia="宋体"/>
                <w:sz w:val="20"/>
              </w:rPr>
              <w:t>3D 资产外包</w:t>
            </w:r>
          </w:p>
        </w:tc>
        <w:tc>
          <w:tcPr>
            <w:tcW w:type="dxa" w:w="2771"/>
          </w:tcPr>
          <w:p>
            <w:r/>
            <w:r>
              <w:rPr>
                <w:rFonts w:ascii="宋体" w:hAnsi="宋体" w:eastAsia="宋体"/>
                <w:sz w:val="20"/>
              </w:rPr>
              <w:t>部分模型/动画外包</w:t>
            </w:r>
          </w:p>
        </w:tc>
        <w:tc>
          <w:tcPr>
            <w:tcW w:type="dxa" w:w="2771"/>
          </w:tcPr>
          <w:p>
            <w:r/>
            <w:r>
              <w:rPr>
                <w:rFonts w:ascii="宋体" w:hAnsi="宋体" w:eastAsia="宋体"/>
                <w:sz w:val="20"/>
              </w:rPr>
              <w:t>5,000-15,000</w:t>
            </w:r>
          </w:p>
        </w:tc>
      </w:tr>
      <w:tr>
        <w:tc>
          <w:tcPr>
            <w:tcW w:type="dxa" w:w="2771"/>
          </w:tcPr>
          <w:p>
            <w:r/>
            <w:r>
              <w:rPr>
                <w:rFonts w:ascii="宋体" w:hAnsi="宋体" w:eastAsia="宋体"/>
                <w:sz w:val="20"/>
              </w:rPr>
              <w:t>音频制作</w:t>
            </w:r>
          </w:p>
        </w:tc>
        <w:tc>
          <w:tcPr>
            <w:tcW w:type="dxa" w:w="2771"/>
          </w:tcPr>
          <w:p>
            <w:r/>
            <w:r>
              <w:rPr>
                <w:rFonts w:ascii="宋体" w:hAnsi="宋体" w:eastAsia="宋体"/>
                <w:sz w:val="20"/>
              </w:rPr>
              <w:t>语音录制/TTS</w:t>
            </w:r>
          </w:p>
        </w:tc>
        <w:tc>
          <w:tcPr>
            <w:tcW w:type="dxa" w:w="2771"/>
          </w:tcPr>
          <w:p>
            <w:r/>
            <w:r>
              <w:rPr>
                <w:rFonts w:ascii="宋体" w:hAnsi="宋体" w:eastAsia="宋体"/>
                <w:sz w:val="20"/>
              </w:rPr>
              <w:t>2,000-5,000</w:t>
            </w:r>
          </w:p>
        </w:tc>
      </w:tr>
      <w:tr>
        <w:tc>
          <w:tcPr>
            <w:tcW w:type="dxa" w:w="2771"/>
          </w:tcPr>
          <w:p>
            <w:r/>
            <w:r>
              <w:rPr>
                <w:rFonts w:ascii="宋体" w:hAnsi="宋体" w:eastAsia="宋体"/>
                <w:sz w:val="20"/>
              </w:rPr>
              <w:t>发布费用</w:t>
            </w:r>
          </w:p>
        </w:tc>
        <w:tc>
          <w:tcPr>
            <w:tcW w:type="dxa" w:w="2771"/>
          </w:tcPr>
          <w:p>
            <w:r/>
            <w:r>
              <w:rPr>
                <w:rFonts w:ascii="宋体" w:hAnsi="宋体" w:eastAsia="宋体"/>
                <w:sz w:val="20"/>
              </w:rPr>
              <w:t>Apple Developer+Google Play</w:t>
            </w:r>
          </w:p>
        </w:tc>
        <w:tc>
          <w:tcPr>
            <w:tcW w:type="dxa" w:w="2771"/>
          </w:tcPr>
          <w:p>
            <w:r/>
            <w:r>
              <w:rPr>
                <w:rFonts w:ascii="宋体" w:hAnsi="宋体" w:eastAsia="宋体"/>
                <w:sz w:val="20"/>
              </w:rPr>
              <w:t>688+0</w:t>
            </w:r>
          </w:p>
        </w:tc>
      </w:tr>
      <w:tr>
        <w:tc>
          <w:tcPr>
            <w:tcW w:type="dxa" w:w="2771"/>
          </w:tcPr>
          <w:p>
            <w:r/>
            <w:r>
              <w:rPr>
                <w:rFonts w:ascii="宋体" w:hAnsi="宋体" w:eastAsia="宋体"/>
                <w:sz w:val="20"/>
              </w:rPr>
              <w:t>服务器</w:t>
            </w:r>
          </w:p>
        </w:tc>
        <w:tc>
          <w:tcPr>
            <w:tcW w:type="dxa" w:w="2771"/>
          </w:tcPr>
          <w:p>
            <w:r/>
            <w:r>
              <w:rPr>
                <w:rFonts w:ascii="宋体" w:hAnsi="宋体" w:eastAsia="宋体"/>
                <w:sz w:val="20"/>
              </w:rPr>
              <w:t>后端数据服务（1年）</w:t>
            </w:r>
          </w:p>
        </w:tc>
        <w:tc>
          <w:tcPr>
            <w:tcW w:type="dxa" w:w="2771"/>
          </w:tcPr>
          <w:p>
            <w:r/>
            <w:r>
              <w:rPr>
                <w:rFonts w:ascii="宋体" w:hAnsi="宋体" w:eastAsia="宋体"/>
                <w:sz w:val="20"/>
              </w:rPr>
              <w:t>2,000-4,000</w:t>
            </w:r>
          </w:p>
        </w:tc>
      </w:tr>
      <w:tr>
        <w:tc>
          <w:tcPr>
            <w:tcW w:type="dxa" w:w="2771"/>
          </w:tcPr>
          <w:p>
            <w:r/>
            <w:r>
              <w:rPr>
                <w:rFonts w:ascii="宋体" w:hAnsi="宋体" w:eastAsia="宋体"/>
                <w:sz w:val="20"/>
              </w:rPr>
              <w:t>**合计**</w:t>
            </w:r>
          </w:p>
        </w:tc>
        <w:tc>
          <w:tcPr>
            <w:tcW w:type="dxa" w:w="2771"/>
          </w:tcPr>
          <w:p>
            <w:r/>
            <w:r>
              <w:rPr>
                <w:rFonts w:ascii="宋体" w:hAnsi="宋体" w:eastAsia="宋体"/>
                <w:sz w:val="20"/>
              </w:rPr>
            </w:r>
          </w:p>
        </w:tc>
        <w:tc>
          <w:tcPr>
            <w:tcW w:type="dxa" w:w="2771"/>
          </w:tcPr>
          <w:p>
            <w:r/>
            <w:r>
              <w:rPr>
                <w:rFonts w:ascii="宋体" w:hAnsi="宋体" w:eastAsia="宋体"/>
                <w:sz w:val="20"/>
              </w:rPr>
              <w:t>**37,688-70,688**</w:t>
            </w:r>
          </w:p>
        </w:tc>
      </w:tr>
    </w:tbl>
    <w:p/>
    <w:p/>
    <w:p>
      <w:pPr>
        <w:ind w:firstLine="482"/>
      </w:pPr>
      <w:r>
        <w:rPr>
          <w:rFonts w:ascii="宋体" w:hAnsi="宋体" w:eastAsia="宋体"/>
          <w:sz w:val="24"/>
        </w:rPr>
        <w:t>对于高校实训项目，设备和软件可由实验室提供，实际现金支出可控制在 10,000-20,000 元。</w:t>
      </w:r>
    </w:p>
    <w:p/>
    <w:p>
      <w:pPr>
        <w:pStyle w:val="Heading3"/>
      </w:pPr>
      <w:r>
        <w:t>11.9.4 风险管理</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风险类型</w:t>
            </w:r>
          </w:p>
        </w:tc>
        <w:tc>
          <w:tcPr>
            <w:tcW w:type="dxa" w:w="2771"/>
            <w:shd w:fill="D9E2F3" w:val="clear"/>
          </w:tcPr>
          <w:p>
            <w:pPr>
              <w:jc w:val="center"/>
            </w:pPr>
            <w:r/>
            <w:r>
              <w:rPr>
                <w:rFonts w:ascii="黑体" w:hAnsi="黑体" w:eastAsia="黑体"/>
                <w:b/>
                <w:sz w:val="20"/>
              </w:rPr>
              <w:t>风险描述</w:t>
            </w:r>
          </w:p>
        </w:tc>
        <w:tc>
          <w:tcPr>
            <w:tcW w:type="dxa" w:w="2771"/>
            <w:shd w:fill="D9E2F3" w:val="clear"/>
          </w:tcPr>
          <w:p>
            <w:pPr>
              <w:jc w:val="center"/>
            </w:pPr>
            <w:r/>
            <w:r>
              <w:rPr>
                <w:rFonts w:ascii="黑体" w:hAnsi="黑体" w:eastAsia="黑体"/>
                <w:b/>
                <w:sz w:val="20"/>
              </w:rPr>
              <w:t>应对措施</w:t>
            </w:r>
          </w:p>
        </w:tc>
      </w:tr>
      <w:tr>
        <w:tc>
          <w:tcPr>
            <w:tcW w:type="dxa" w:w="2771"/>
          </w:tcPr>
          <w:p>
            <w:r/>
            <w:r>
              <w:rPr>
                <w:rFonts w:ascii="宋体" w:hAnsi="宋体" w:eastAsia="宋体"/>
                <w:sz w:val="20"/>
              </w:rPr>
              <w:t>技术风险</w:t>
            </w:r>
          </w:p>
        </w:tc>
        <w:tc>
          <w:tcPr>
            <w:tcW w:type="dxa" w:w="2771"/>
          </w:tcPr>
          <w:p>
            <w:r/>
            <w:r>
              <w:rPr>
                <w:rFonts w:ascii="宋体" w:hAnsi="宋体" w:eastAsia="宋体"/>
                <w:sz w:val="20"/>
              </w:rPr>
              <w:t>AR 追踪不稳定</w:t>
            </w:r>
          </w:p>
        </w:tc>
        <w:tc>
          <w:tcPr>
            <w:tcW w:type="dxa" w:w="2771"/>
          </w:tcPr>
          <w:p>
            <w:r/>
            <w:r>
              <w:rPr>
                <w:rFonts w:ascii="宋体" w:hAnsi="宋体" w:eastAsia="宋体"/>
                <w:sz w:val="20"/>
              </w:rPr>
              <w:t>多方案备选（图像追踪+平面检测+GPS）</w:t>
            </w:r>
          </w:p>
        </w:tc>
      </w:tr>
      <w:tr>
        <w:tc>
          <w:tcPr>
            <w:tcW w:type="dxa" w:w="2771"/>
          </w:tcPr>
          <w:p>
            <w:r/>
            <w:r>
              <w:rPr>
                <w:rFonts w:ascii="宋体" w:hAnsi="宋体" w:eastAsia="宋体"/>
                <w:sz w:val="20"/>
              </w:rPr>
              <w:t>内容风险</w:t>
            </w:r>
          </w:p>
        </w:tc>
        <w:tc>
          <w:tcPr>
            <w:tcW w:type="dxa" w:w="2771"/>
          </w:tcPr>
          <w:p>
            <w:r/>
            <w:r>
              <w:rPr>
                <w:rFonts w:ascii="宋体" w:hAnsi="宋体" w:eastAsia="宋体"/>
                <w:sz w:val="20"/>
              </w:rPr>
              <w:t>文化信息不准确</w:t>
            </w:r>
          </w:p>
        </w:tc>
        <w:tc>
          <w:tcPr>
            <w:tcW w:type="dxa" w:w="2771"/>
          </w:tcPr>
          <w:p>
            <w:r/>
            <w:r>
              <w:rPr>
                <w:rFonts w:ascii="宋体" w:hAnsi="宋体" w:eastAsia="宋体"/>
                <w:sz w:val="20"/>
              </w:rPr>
              <w:t>邀请屯堡文化专家审核</w:t>
            </w:r>
          </w:p>
        </w:tc>
      </w:tr>
      <w:tr>
        <w:tc>
          <w:tcPr>
            <w:tcW w:type="dxa" w:w="2771"/>
          </w:tcPr>
          <w:p>
            <w:r/>
            <w:r>
              <w:rPr>
                <w:rFonts w:ascii="宋体" w:hAnsi="宋体" w:eastAsia="宋体"/>
                <w:sz w:val="20"/>
              </w:rPr>
              <w:t>性能风险</w:t>
            </w:r>
          </w:p>
        </w:tc>
        <w:tc>
          <w:tcPr>
            <w:tcW w:type="dxa" w:w="2771"/>
          </w:tcPr>
          <w:p>
            <w:r/>
            <w:r>
              <w:rPr>
                <w:rFonts w:ascii="宋体" w:hAnsi="宋体" w:eastAsia="宋体"/>
                <w:sz w:val="20"/>
              </w:rPr>
              <w:t>中低端手机卡顿</w:t>
            </w:r>
          </w:p>
        </w:tc>
        <w:tc>
          <w:tcPr>
            <w:tcW w:type="dxa" w:w="2771"/>
          </w:tcPr>
          <w:p>
            <w:r/>
            <w:r>
              <w:rPr>
                <w:rFonts w:ascii="宋体" w:hAnsi="宋体" w:eastAsia="宋体"/>
                <w:sz w:val="20"/>
              </w:rPr>
              <w:t>LOD+资产压缩+按需加载</w:t>
            </w:r>
          </w:p>
        </w:tc>
      </w:tr>
      <w:tr>
        <w:tc>
          <w:tcPr>
            <w:tcW w:type="dxa" w:w="2771"/>
          </w:tcPr>
          <w:p>
            <w:r/>
            <w:r>
              <w:rPr>
                <w:rFonts w:ascii="宋体" w:hAnsi="宋体" w:eastAsia="宋体"/>
                <w:sz w:val="20"/>
              </w:rPr>
              <w:t>审核风险</w:t>
            </w:r>
          </w:p>
        </w:tc>
        <w:tc>
          <w:tcPr>
            <w:tcW w:type="dxa" w:w="2771"/>
          </w:tcPr>
          <w:p>
            <w:r/>
            <w:r>
              <w:rPr>
                <w:rFonts w:ascii="宋体" w:hAnsi="宋体" w:eastAsia="宋体"/>
                <w:sz w:val="20"/>
              </w:rPr>
              <w:t>App Store 审核被拒</w:t>
            </w:r>
          </w:p>
        </w:tc>
        <w:tc>
          <w:tcPr>
            <w:tcW w:type="dxa" w:w="2771"/>
          </w:tcPr>
          <w:p>
            <w:r/>
            <w:r>
              <w:rPr>
                <w:rFonts w:ascii="宋体" w:hAnsi="宋体" w:eastAsia="宋体"/>
                <w:sz w:val="20"/>
              </w:rPr>
              <w:t>提前了解审核规则，准备演示视频</w:t>
            </w:r>
          </w:p>
        </w:tc>
      </w:tr>
      <w:tr>
        <w:tc>
          <w:tcPr>
            <w:tcW w:type="dxa" w:w="2771"/>
          </w:tcPr>
          <w:p>
            <w:r/>
            <w:r>
              <w:rPr>
                <w:rFonts w:ascii="宋体" w:hAnsi="宋体" w:eastAsia="宋体"/>
                <w:sz w:val="20"/>
              </w:rPr>
              <w:t>进度风险</w:t>
            </w:r>
          </w:p>
        </w:tc>
        <w:tc>
          <w:tcPr>
            <w:tcW w:type="dxa" w:w="2771"/>
          </w:tcPr>
          <w:p>
            <w:r/>
            <w:r>
              <w:rPr>
                <w:rFonts w:ascii="宋体" w:hAnsi="宋体" w:eastAsia="宋体"/>
                <w:sz w:val="20"/>
              </w:rPr>
              <w:t>3D 资产制作超期</w:t>
            </w:r>
          </w:p>
        </w:tc>
        <w:tc>
          <w:tcPr>
            <w:tcW w:type="dxa" w:w="2771"/>
          </w:tcPr>
          <w:p>
            <w:r/>
            <w:r>
              <w:rPr>
                <w:rFonts w:ascii="宋体" w:hAnsi="宋体" w:eastAsia="宋体"/>
                <w:sz w:val="20"/>
              </w:rPr>
              <w:t>优先制作核心内容点，非核心内容使用简化模型</w:t>
            </w:r>
          </w:p>
        </w:tc>
      </w:tr>
    </w:tbl>
    <w:p/>
    <w:p/>
    <w:p>
      <w:pPr>
        <w:pStyle w:val="Heading2"/>
      </w:pPr>
      <w:r>
        <w:t>11.10 文化传播效果与社会价值</w:t>
      </w:r>
    </w:p>
    <w:p/>
    <w:p>
      <w:pPr>
        <w:pStyle w:val="Heading3"/>
      </w:pPr>
      <w:r>
        <w:t>11.10.1 AR 对文化传播的赋能</w:t>
      </w:r>
    </w:p>
    <w:p/>
    <w:p>
      <w:pPr>
        <w:ind w:firstLine="482"/>
      </w:pPr>
      <w:r>
        <w:rPr>
          <w:rFonts w:ascii="宋体" w:hAnsi="宋体" w:eastAsia="宋体"/>
          <w:sz w:val="24"/>
        </w:rPr>
        <w:t>AR 技术为屯堡文化的传播提供了全新的媒介形式[11]。传统文字展板和语音导览器只能传递线性信息，而 AR 导览可以呈现立体的、可交互的、多感官的文化内容——游客不仅能"看到"地戏面具，还能旋转观察背面细节、放大查看雕刻纹样、点击了解每个角色的故事。这种沉浸式的文化体验显著提升了游客的文化认知和情感连接。</w:t>
      </w:r>
    </w:p>
    <w:p/>
    <w:p>
      <w:pPr>
        <w:ind w:firstLine="482"/>
      </w:pPr>
      <w:r>
        <w:rPr>
          <w:rFonts w:ascii="宋体" w:hAnsi="宋体" w:eastAsia="宋体"/>
          <w:sz w:val="24"/>
        </w:rPr>
        <w:t>研究表明，AR 增强文化导览相比传统导览方式，游客的文化知识获取量提升 35%，停留时间延长 40%，推荐意愿提升 50%[11]。对于屯堡这类相对小众的文化遗产，AR 技术的"注意力增强"效应尤为重要——通过视觉冲击力和互动趣味性吸引年轻游客关注传统文化。</w:t>
      </w:r>
    </w:p>
    <w:p/>
    <w:p>
      <w:pPr>
        <w:pStyle w:val="Heading3"/>
      </w:pPr>
      <w:r>
        <w:t>11.10.2 教育价值与社会影响</w:t>
      </w:r>
    </w:p>
    <w:p/>
    <w:p>
      <w:pPr>
        <w:ind w:firstLine="482"/>
      </w:pPr>
      <w:r>
        <w:rPr>
          <w:rFonts w:ascii="宋体" w:hAnsi="宋体" w:eastAsia="宋体"/>
          <w:sz w:val="24"/>
        </w:rPr>
        <w:t>AR 文化导览应用不仅服务于景区游客，还具有广泛的教育价值[12]：应用可以部署在学校、博物馆和文化中心，让学生和公众通过 AR 体验屯堡文化，突破地理限制实现远程文化教育。应用中的 3D 模型和动画可以作为历史、地理、艺术等课程的数字化教学资源，支持教师的课堂讲授和学生的自主学习。</w:t>
      </w:r>
    </w:p>
    <w:p/>
    <w:p>
      <w:pPr>
        <w:ind w:firstLine="482"/>
      </w:pPr>
      <w:r>
        <w:rPr>
          <w:rFonts w:ascii="宋体" w:hAnsi="宋体" w:eastAsia="宋体"/>
          <w:sz w:val="24"/>
        </w:rPr>
        <w:t>从社会影响角度看，AR 文化导览应用促进了文化保护与技术创新的融合——数字化记录和展示使濒危文化元素得以永久保存和广泛传播；技术应用为传统文化注入新的活力，吸引年轻一代参与文化传承；文旅融合为屯堡社区带来经济效益，形成文化保护与经济发展的良性循环[12]。同时，AR 应用积累的用户行为数据为景区管理方提供了宝贵的游客洞察——游览热力图、停留时间分布、内容偏好排名等数据指导景区优化游览路线、调整内容布局和制定营销策略，实现数据驱动的智慧景区管理。</w:t>
      </w:r>
    </w:p>
    <w:p/>
    <w:p>
      <w:pPr>
        <w:pStyle w:val="Heading2"/>
      </w:pPr>
      <w:r>
        <w:t>本章小结</w:t>
      </w:r>
    </w:p>
    <w:p/>
    <w:p>
      <w:pPr>
        <w:ind w:firstLine="482"/>
      </w:pPr>
      <w:r>
        <w:rPr>
          <w:rFonts w:ascii="宋体" w:hAnsi="宋体" w:eastAsia="宋体"/>
          <w:sz w:val="24"/>
        </w:rPr>
        <w:t>本章通过"AR 文化导览应用开发"实训项目，讲解了从 AR 内容设计到跨平台开发、测试和发布的完整流程。项目以安顺屯堡文化为实训背景，使用 Unity + AR Foundation 开发了包含图像追踪、平面检测、空间锚定、光照估计、多语言支持、AR 导航、社交分享和数据分析等功能的完整 AR 文化导览应用。</w:t>
      </w:r>
    </w:p>
    <w:p/>
    <w:p>
      <w:pPr>
        <w:ind w:firstLine="482"/>
      </w:pPr>
      <w:r>
        <w:rPr>
          <w:rFonts w:ascii="宋体" w:hAnsi="宋体" w:eastAsia="宋体"/>
          <w:sz w:val="24"/>
        </w:rPr>
        <w:t>相比第10章的 VR 全景项目，本章的 AR 项目在技术复杂度上进了一级——涉及 AR 空间理解、虚实融合、跨平台适配等更深层的技术挑战。学生通过这一实训项目，将第5章的多模态交互设计、第6章的 Unity 引擎开发和第7-8章的文旅/文化遗产应用方法论综合运用于实际产品开发。</w:t>
      </w:r>
    </w:p>
    <w:p/>
    <w:p>
      <w:pPr>
        <w:ind w:firstLine="482"/>
      </w:pPr>
      <w:r>
        <w:rPr>
          <w:rFonts w:ascii="宋体" w:hAnsi="宋体" w:eastAsia="宋体"/>
          <w:sz w:val="24"/>
        </w:rPr>
        <w:t>本章的实训项目对应 I.M.M.E.R.S.E. 框架的多个维度：</w:t>
      </w:r>
      <w:r>
        <w:rPr>
          <w:rFonts w:ascii="宋体" w:hAnsi="宋体" w:eastAsia="宋体"/>
          <w:b/>
          <w:sz w:val="24"/>
        </w:rPr>
        <w:t>I（Immersive Experience）</w:t>
      </w:r>
      <w:r>
        <w:rPr>
          <w:rFonts w:ascii="宋体" w:hAnsi="宋体" w:eastAsia="宋体"/>
          <w:sz w:val="24"/>
        </w:rPr>
        <w:t>——AR 将虚拟内容叠加到真实环境中，创造了虚实融合的沉浸体验；</w:t>
      </w:r>
      <w:r>
        <w:rPr>
          <w:rFonts w:ascii="宋体" w:hAnsi="宋体" w:eastAsia="宋体"/>
          <w:b/>
          <w:sz w:val="24"/>
        </w:rPr>
        <w:t>M（Multimodal Interaction）</w:t>
      </w:r>
      <w:r>
        <w:rPr>
          <w:rFonts w:ascii="宋体" w:hAnsi="宋体" w:eastAsia="宋体"/>
          <w:sz w:val="24"/>
        </w:rPr>
        <w:t>——视觉（3D 模型）、听觉（语音讲解）、触觉（触摸交互）的多模态协同；</w:t>
      </w:r>
      <w:r>
        <w:rPr>
          <w:rFonts w:ascii="宋体" w:hAnsi="宋体" w:eastAsia="宋体"/>
          <w:b/>
          <w:sz w:val="24"/>
        </w:rPr>
        <w:t>R（Reality-Virtuality Integration）</w:t>
      </w:r>
      <w:r>
        <w:rPr>
          <w:rFonts w:ascii="宋体" w:hAnsi="宋体" w:eastAsia="宋体"/>
          <w:sz w:val="24"/>
        </w:rPr>
        <w:t>——真实屯堡建筑与虚拟历史场景的叠层融合是本章的核心特色；</w:t>
      </w:r>
      <w:r>
        <w:rPr>
          <w:rFonts w:ascii="宋体" w:hAnsi="宋体" w:eastAsia="宋体"/>
          <w:b/>
          <w:sz w:val="24"/>
        </w:rPr>
        <w:t>E（Evaluation &amp; Iteration）</w:t>
      </w:r>
      <w:r>
        <w:rPr>
          <w:rFonts w:ascii="宋体" w:hAnsi="宋体" w:eastAsia="宋体"/>
          <w:sz w:val="24"/>
        </w:rPr>
        <w:t>——用户测试和数据分析驱动的持续优化流程。通过这一综合实训，学生不仅掌握了 AR 应用开发的技术能力，更深入理解了技术如何赋能文化传承与传播，培养了技术人文融合的综合素养[11][12]。</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AR Foundation 的核心组件有哪些？图像追踪和平面检测各自适用于什么场景？</w:t>
      </w:r>
    </w:p>
    <w:p>
      <w:pPr>
        <w:pStyle w:val="ListNumber"/>
      </w:pPr>
      <w:r>
        <w:rPr>
          <w:rFonts w:ascii="宋体" w:hAnsi="宋体" w:eastAsia="宋体"/>
          <w:b/>
          <w:sz w:val="24"/>
        </w:rPr>
        <w:t>（理解）</w:t>
      </w:r>
      <w:r>
        <w:rPr>
          <w:rFonts w:ascii="宋体" w:hAnsi="宋体" w:eastAsia="宋体"/>
          <w:sz w:val="24"/>
        </w:rPr>
        <w:t xml:space="preserve"> 解释空间锚点技术如何实现 AR 内容的持久化和跨设备共享。</w:t>
      </w:r>
    </w:p>
    <w:p>
      <w:pPr>
        <w:pStyle w:val="ListNumber"/>
      </w:pPr>
      <w:r>
        <w:rPr>
          <w:rFonts w:ascii="宋体" w:hAnsi="宋体" w:eastAsia="宋体"/>
          <w:b/>
          <w:sz w:val="24"/>
        </w:rPr>
        <w:t>（应用）</w:t>
      </w:r>
      <w:r>
        <w:rPr>
          <w:rFonts w:ascii="宋体" w:hAnsi="宋体" w:eastAsia="宋体"/>
          <w:sz w:val="24"/>
        </w:rPr>
        <w:t xml:space="preserve"> 在 Unity 中使用 AR Foundation 实现一个图像追踪 AR 应用：扫描一张图片后在图片上方显示 3D 模型。</w:t>
      </w:r>
    </w:p>
    <w:p>
      <w:pPr>
        <w:pStyle w:val="ListNumber"/>
      </w:pPr>
      <w:r>
        <w:rPr>
          <w:rFonts w:ascii="宋体" w:hAnsi="宋体" w:eastAsia="宋体"/>
          <w:b/>
          <w:sz w:val="24"/>
        </w:rPr>
        <w:t>（分析）</w:t>
      </w:r>
      <w:r>
        <w:rPr>
          <w:rFonts w:ascii="宋体" w:hAnsi="宋体" w:eastAsia="宋体"/>
          <w:sz w:val="24"/>
        </w:rPr>
        <w:t xml:space="preserve"> 分析 AR 应用在户外强光环境下追踪不稳定的原因，制定应对策略。</w:t>
      </w:r>
    </w:p>
    <w:p>
      <w:pPr>
        <w:pStyle w:val="ListNumber"/>
      </w:pPr>
      <w:r>
        <w:rPr>
          <w:rFonts w:ascii="宋体" w:hAnsi="宋体" w:eastAsia="宋体"/>
          <w:b/>
          <w:sz w:val="24"/>
        </w:rPr>
        <w:t>（评价）</w:t>
      </w:r>
      <w:r>
        <w:rPr>
          <w:rFonts w:ascii="宋体" w:hAnsi="宋体" w:eastAsia="宋体"/>
          <w:sz w:val="24"/>
        </w:rPr>
        <w:t xml:space="preserve"> 设计一个 AR 文化导览应用的用户体验评估方案，包含实地测试方法和评估指标。</w:t>
      </w:r>
    </w:p>
    <w:p>
      <w:pPr>
        <w:pStyle w:val="ListNumber"/>
      </w:pPr>
      <w:r>
        <w:rPr>
          <w:rFonts w:ascii="宋体" w:hAnsi="宋体" w:eastAsia="宋体"/>
          <w:b/>
          <w:sz w:val="24"/>
        </w:rPr>
        <w:t>（创造）</w:t>
      </w:r>
      <w:r>
        <w:rPr>
          <w:rFonts w:ascii="宋体" w:hAnsi="宋体" w:eastAsia="宋体"/>
          <w:sz w:val="24"/>
        </w:rPr>
        <w:t xml:space="preserve"> 设计一个面向贵州苗寨的 AR 导览应用方案，包含图像追踪（扫描苗族服饰图案触发文化讲解）和空间锚点（在寨中设置持久 AR 标记）两种模式的协同设计。</w:t>
      </w:r>
    </w:p>
    <w:p/>
    <w:p>
      <w:pPr>
        <w:pStyle w:val="Heading2"/>
      </w:pPr>
      <w:r>
        <w:t>参考文献</w:t>
      </w:r>
    </w:p>
    <w:p/>
    <w:p>
      <w:pPr>
        <w:ind w:firstLine="482"/>
      </w:pPr>
      <w:r>
        <w:rPr>
          <w:rFonts w:ascii="宋体" w:hAnsi="宋体" w:eastAsia="宋体"/>
          <w:sz w:val="24"/>
        </w:rPr>
        <w:t>[1] 佚名. (2025). 基于AR技术的历史文化古镇沉浸式文旅体验设计策略研究——以景德镇瑶里古镇为例. 万方数据.</w:t>
      </w:r>
    </w:p>
    <w:p/>
    <w:p>
      <w:pPr>
        <w:ind w:firstLine="482"/>
      </w:pPr>
      <w:r>
        <w:rPr>
          <w:rFonts w:ascii="宋体" w:hAnsi="宋体" w:eastAsia="宋体"/>
          <w:sz w:val="24"/>
        </w:rPr>
        <w:t>[2] Fleck, P., Schmalstieg, D., &amp; Arth, C. (2020). Creating IoT-ready XR-WebApps with Unity3D. ACM. https://doi.org/10.1145/3424616.3424691</w:t>
      </w:r>
    </w:p>
    <w:p/>
    <w:p>
      <w:pPr>
        <w:ind w:firstLine="482"/>
      </w:pPr>
      <w:r>
        <w:rPr>
          <w:rFonts w:ascii="宋体" w:hAnsi="宋体" w:eastAsia="宋体"/>
          <w:sz w:val="24"/>
        </w:rPr>
        <w:t>[3] 张涛. (2024). 基于EasyAR在AR眼镜上呈现虚拟立方体的方法. 万方数据.</w:t>
      </w:r>
    </w:p>
    <w:p/>
    <w:p>
      <w:pPr>
        <w:ind w:firstLine="482"/>
      </w:pPr>
      <w:r>
        <w:rPr>
          <w:rFonts w:ascii="宋体" w:hAnsi="宋体" w:eastAsia="宋体"/>
          <w:sz w:val="24"/>
        </w:rPr>
        <w:t>[4] Ciekanowska, A., Kiszczak Gliński, A., &amp; Dziedzic, K. (2021). Comparative analysis of Unity and Unreal Engine efficiency in creating virtual exhibitions of 3D scanned models. J. Computer Sciences Institute, 21, 294-299. https://doi.org/10.35784/jcsi.2698</w:t>
      </w:r>
    </w:p>
    <w:p/>
    <w:p>
      <w:pPr>
        <w:ind w:firstLine="482"/>
      </w:pPr>
      <w:r>
        <w:rPr>
          <w:rFonts w:ascii="宋体" w:hAnsi="宋体" w:eastAsia="宋体"/>
          <w:sz w:val="24"/>
        </w:rPr>
        <w:t>[5] Sermet, Y., &amp; Demir, I. (2020). GeospatialVR: A web-based virtual reality framework for collaborative environmental simulations. OSF. https://doi.org/10.31223/osf.io/ks2yz</w:t>
      </w:r>
    </w:p>
    <w:p/>
    <w:p>
      <w:pPr>
        <w:ind w:firstLine="482"/>
      </w:pPr>
      <w:r>
        <w:rPr>
          <w:rFonts w:ascii="宋体" w:hAnsi="宋体" w:eastAsia="宋体"/>
          <w:sz w:val="24"/>
        </w:rPr>
        <w:t>[6] Gunkel, S., et al. (2021). VRComm: an end-to-end web system for real-time photorealistic social VR communication. ACM. https://doi.org/10.1145/3458305.3459595</w:t>
      </w:r>
    </w:p>
    <w:p/>
    <w:p>
      <w:pPr>
        <w:ind w:firstLine="482"/>
      </w:pPr>
      <w:r>
        <w:rPr>
          <w:rFonts w:ascii="宋体" w:hAnsi="宋体" w:eastAsia="宋体"/>
          <w:sz w:val="24"/>
        </w:rPr>
        <w:t>[7] Ritter, K. A., Borst, C., &amp; Chambers, T. (2015). Overview and Assessment of Unity Toolkits for Rapid Development of an Educational VR Application. Semantic Scholar.</w:t>
      </w:r>
    </w:p>
    <w:p/>
    <w:p>
      <w:pPr>
        <w:ind w:firstLine="482"/>
      </w:pPr>
      <w:r>
        <w:rPr>
          <w:rFonts w:ascii="宋体" w:hAnsi="宋体" w:eastAsia="宋体"/>
          <w:sz w:val="24"/>
        </w:rPr>
        <w:t>[8] Al-Obaidi, A., &amp; Prince, M. (2022). Usability Principles for Augmented Reality Applications in Education. Semantic Scholar.</w:t>
      </w:r>
    </w:p>
    <w:p/>
    <w:p>
      <w:pPr>
        <w:ind w:firstLine="482"/>
      </w:pPr>
      <w:r>
        <w:rPr>
          <w:rFonts w:ascii="宋体" w:hAnsi="宋体" w:eastAsia="宋体"/>
          <w:sz w:val="24"/>
        </w:rPr>
        <w:t>[9] 佚名. (2025). 数字媒体交互设计赋能乡土建筑非遗展示与体验. 维普.</w:t>
      </w:r>
    </w:p>
    <w:p/>
    <w:p>
      <w:pPr>
        <w:ind w:firstLine="482"/>
      </w:pPr>
      <w:r>
        <w:rPr>
          <w:rFonts w:ascii="宋体" w:hAnsi="宋体" w:eastAsia="宋体"/>
          <w:sz w:val="24"/>
        </w:rPr>
        <w:t>[10] Jung, K., Nguyen, V. T., Piscarac, D., &amp; Yoo, S.-C. (2020). Meet the Virtual Jeju Dol Harubang. ISPRS Int. J. Geo-Inf., 9(6), 367. https://doi.org/10.3390/ijgi9060367</w:t>
      </w:r>
    </w:p>
    <w:p/>
    <w:p>
      <w:pPr>
        <w:ind w:firstLine="482"/>
      </w:pPr>
      <w:r>
        <w:rPr>
          <w:rFonts w:ascii="宋体" w:hAnsi="宋体" w:eastAsia="宋体"/>
          <w:sz w:val="24"/>
        </w:rPr>
        <w:t>[11] Barrado-Timón, D. A., &amp; Hidalgo-Giralt, C. (2019). The Historic City, Its Transmission and Perception via AR and VR. Sustainability, 11(10), 2835. https://doi.org/10.3390/SU11102835</w:t>
      </w:r>
    </w:p>
    <w:p/>
    <w:p>
      <w:pPr>
        <w:ind w:firstLine="482"/>
      </w:pPr>
      <w:r>
        <w:rPr>
          <w:rFonts w:ascii="宋体" w:hAnsi="宋体" w:eastAsia="宋体"/>
          <w:sz w:val="24"/>
        </w:rPr>
        <w:t>[12] Siddiqui, M. S., et al. (2022). Virtual Tourism and Digital Heritage: An Analysis of VR/AR Technologies and Applications. IJACSA, 13(7). https://doi.org/10.14569/ijacsa.2022.0130739</w:t>
      </w:r>
    </w:p>
    <w:p/>
    <w:p>
      <w:r>
        <w:br w:type="page"/>
      </w:r>
    </w:p>
    <w:p>
      <w:pPr>
        <w:pStyle w:val="Heading1"/>
      </w:pPr>
      <w:r>
        <w:t>第12章 实训项目三：沉浸式文旅元宇宙场景制作</w:t>
      </w:r>
    </w:p>
    <w:p/>
    <w:p>
      <w:pPr>
        <w:pStyle w:val="Heading2"/>
      </w:pPr>
      <w:r>
        <w:t>学习目标</w:t>
      </w:r>
    </w:p>
    <w:p/>
    <w:p>
      <w:pPr>
        <w:pStyle w:val="ListNumber"/>
      </w:pPr>
      <w:r>
        <w:rPr>
          <w:rFonts w:ascii="宋体" w:hAnsi="宋体" w:eastAsia="宋体"/>
          <w:b/>
          <w:sz w:val="24"/>
        </w:rPr>
        <w:t>识记</w:t>
      </w:r>
      <w:r>
        <w:rPr>
          <w:rFonts w:ascii="宋体" w:hAnsi="宋体" w:eastAsia="宋体"/>
          <w:sz w:val="24"/>
        </w:rPr>
        <w:t>：多人 VR 网络架构的分类，AI NPC 对话系统的技术组成，I.M.M.E.R.S.E. 评估模型的设计。</w:t>
      </w:r>
    </w:p>
    <w:p>
      <w:pPr>
        <w:pStyle w:val="ListNumber"/>
      </w:pPr>
      <w:r>
        <w:rPr>
          <w:rFonts w:ascii="宋体" w:hAnsi="宋体" w:eastAsia="宋体"/>
          <w:b/>
          <w:sz w:val="24"/>
        </w:rPr>
        <w:t>理解</w:t>
      </w:r>
      <w:r>
        <w:rPr>
          <w:rFonts w:ascii="宋体" w:hAnsi="宋体" w:eastAsia="宋体"/>
          <w:sz w:val="24"/>
        </w:rPr>
        <w:t>：分支叙事系统的设计原理，生成式 AI 在场景制作中的应用方式，用户体验评估的数据采集方案。</w:t>
      </w:r>
    </w:p>
    <w:p>
      <w:pPr>
        <w:pStyle w:val="ListNumber"/>
      </w:pPr>
      <w:r>
        <w:rPr>
          <w:rFonts w:ascii="宋体" w:hAnsi="宋体" w:eastAsia="宋体"/>
          <w:b/>
          <w:sz w:val="24"/>
        </w:rPr>
        <w:t>应用</w:t>
      </w:r>
      <w:r>
        <w:rPr>
          <w:rFonts w:ascii="宋体" w:hAnsi="宋体" w:eastAsia="宋体"/>
          <w:sz w:val="24"/>
        </w:rPr>
        <w:t>：能够使用 Unity + Photon/Netcode 开发多人协同 VR 场景，集成 AI NPC 对话系统。</w:t>
      </w:r>
    </w:p>
    <w:p>
      <w:pPr>
        <w:pStyle w:val="ListNumber"/>
      </w:pPr>
      <w:r>
        <w:rPr>
          <w:rFonts w:ascii="宋体" w:hAnsi="宋体" w:eastAsia="宋体"/>
          <w:b/>
          <w:sz w:val="24"/>
        </w:rPr>
        <w:t>分析</w:t>
      </w:r>
      <w:r>
        <w:rPr>
          <w:rFonts w:ascii="宋体" w:hAnsi="宋体" w:eastAsia="宋体"/>
          <w:sz w:val="24"/>
        </w:rPr>
        <w:t>：分析多人 VR 场景中的网络同步、状态管理和冲突解决问题。</w:t>
      </w:r>
    </w:p>
    <w:p>
      <w:pPr>
        <w:pStyle w:val="ListNumber"/>
      </w:pPr>
      <w:r>
        <w:rPr>
          <w:rFonts w:ascii="宋体" w:hAnsi="宋体" w:eastAsia="宋体"/>
          <w:b/>
          <w:sz w:val="24"/>
        </w:rPr>
        <w:t>评价</w:t>
      </w:r>
      <w:r>
        <w:rPr>
          <w:rFonts w:ascii="宋体" w:hAnsi="宋体" w:eastAsia="宋体"/>
          <w:sz w:val="24"/>
        </w:rPr>
        <w:t>：使用 I.M.M.E.R.S.E. 评估模型对沉浸式场景进行全面评估，制定迭代优化方案。</w:t>
      </w:r>
    </w:p>
    <w:p>
      <w:pPr>
        <w:pStyle w:val="ListNumber"/>
      </w:pPr>
      <w:r>
        <w:rPr>
          <w:rFonts w:ascii="宋体" w:hAnsi="宋体" w:eastAsia="宋体"/>
          <w:b/>
          <w:sz w:val="24"/>
        </w:rPr>
        <w:t>创造</w:t>
      </w:r>
      <w:r>
        <w:rPr>
          <w:rFonts w:ascii="宋体" w:hAnsi="宋体" w:eastAsia="宋体"/>
          <w:sz w:val="24"/>
        </w:rPr>
        <w:t>：设计并实现一个综合性的沉浸式文旅元宇宙场景，整合 VR/AR/MR、AI、多人协同和评估系统。</w:t>
      </w:r>
    </w:p>
    <w:p/>
    <w:p>
      <w:pPr>
        <w:pStyle w:val="Heading2"/>
      </w:pPr>
      <w:r>
        <w:t>导入案例：贵州文旅元宇宙体验空间项目</w:t>
      </w:r>
    </w:p>
    <w:p/>
    <w:p>
      <w:pPr>
        <w:ind w:firstLine="482"/>
      </w:pPr>
      <w:r>
        <w:rPr>
          <w:rFonts w:ascii="宋体" w:hAnsi="宋体" w:eastAsia="宋体"/>
          <w:sz w:val="24"/>
        </w:rPr>
        <w:t>贵州某文旅集团计划建设"数字贵州·元宇宙体验空间"，将贵州最具代表性的自然和文化资源整合到一个沉浸式元宇宙平台中。用户通过 VR 头显进入虚拟空间后，可以：在虚拟黄果树瀑布前感受水雾扑面（触觉反馈），乘坐虚拟热气球俯瞰万峰林（航拍全景+VR），走进虚拟西江苗寨与 AI 驱动的虚拟苗族绣娘对话学习苗绣技艺，与远程朋友一起参加虚拟苗年节庆祝活动。这一项目代表了 VR/AR 沉浸式场景制作的最高复杂度——融合了 VR/AR/MR 多模态技术、AI 交互、多人协同和数据分析，是 I.M.M.E.R.S.E. 框架七维度的全面综合运用。</w:t>
      </w:r>
    </w:p>
    <w:p/>
    <w:p>
      <w:pPr>
        <w:ind w:firstLine="482"/>
      </w:pPr>
      <w:r>
        <w:rPr>
          <w:rFonts w:ascii="宋体" w:hAnsi="宋体" w:eastAsia="宋体"/>
          <w:sz w:val="24"/>
        </w:rPr>
        <w:t>---</w:t>
      </w:r>
    </w:p>
    <w:p/>
    <w:p>
      <w:pPr>
        <w:pStyle w:val="Heading2"/>
      </w:pPr>
      <w:r>
        <w:t>12.1 项目概述与需求分析</w:t>
      </w:r>
    </w:p>
    <w:p/>
    <w:p>
      <w:pPr>
        <w:pStyle w:val="Heading3"/>
      </w:pPr>
      <w:r>
        <w:t>12.1.1 项目背景与场景定义</w:t>
      </w:r>
    </w:p>
    <w:p/>
    <w:p>
      <w:pPr>
        <w:ind w:firstLine="482"/>
      </w:pPr>
      <w:r>
        <w:rPr>
          <w:rFonts w:ascii="宋体" w:hAnsi="宋体" w:eastAsia="宋体"/>
          <w:sz w:val="24"/>
        </w:rPr>
        <w:t>本项目作为全书最高难度的综合实训，要求学生整合前 11 章的全部理论和技术，设计并实现一个沉浸式文旅元宇宙场景原型[1]。项目场景设定为"贵州文旅元宇宙体验空间"，包含至少 3 个虚拟场景区域（自然景观区、民族文化区、历史遗址区）、支持 4-6 人同时在线、集成 AI NPC 对话和分支叙事。</w:t>
      </w:r>
    </w:p>
    <w:p/>
    <w:p>
      <w:pPr>
        <w:pStyle w:val="Heading3"/>
      </w:pPr>
      <w:r>
        <w:t>12.1.2 需求分析与场景定义</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功能模块</w:t>
            </w:r>
          </w:p>
        </w:tc>
        <w:tc>
          <w:tcPr>
            <w:tcW w:type="dxa" w:w="2771"/>
            <w:shd w:fill="D9E2F3" w:val="clear"/>
          </w:tcPr>
          <w:p>
            <w:pPr>
              <w:jc w:val="center"/>
            </w:pPr>
            <w:r/>
            <w:r>
              <w:rPr>
                <w:rFonts w:ascii="黑体" w:hAnsi="黑体" w:eastAsia="黑体"/>
                <w:b/>
                <w:sz w:val="20"/>
              </w:rPr>
              <w:t>功能描述</w:t>
            </w:r>
          </w:p>
        </w:tc>
        <w:tc>
          <w:tcPr>
            <w:tcW w:type="dxa" w:w="2771"/>
            <w:shd w:fill="D9E2F3" w:val="clear"/>
          </w:tcPr>
          <w:p>
            <w:pPr>
              <w:jc w:val="center"/>
            </w:pPr>
            <w:r/>
            <w:r>
              <w:rPr>
                <w:rFonts w:ascii="黑体" w:hAnsi="黑体" w:eastAsia="黑体"/>
                <w:b/>
                <w:sz w:val="20"/>
              </w:rPr>
              <w:t>技术方案</w:t>
            </w:r>
          </w:p>
        </w:tc>
      </w:tr>
      <w:tr>
        <w:tc>
          <w:tcPr>
            <w:tcW w:type="dxa" w:w="2771"/>
          </w:tcPr>
          <w:p>
            <w:r/>
            <w:r>
              <w:rPr>
                <w:rFonts w:ascii="宋体" w:hAnsi="宋体" w:eastAsia="宋体"/>
                <w:sz w:val="20"/>
              </w:rPr>
              <w:t>虚拟场景</w:t>
            </w:r>
          </w:p>
        </w:tc>
        <w:tc>
          <w:tcPr>
            <w:tcW w:type="dxa" w:w="2771"/>
          </w:tcPr>
          <w:p>
            <w:r/>
            <w:r>
              <w:rPr>
                <w:rFonts w:ascii="宋体" w:hAnsi="宋体" w:eastAsia="宋体"/>
                <w:sz w:val="20"/>
              </w:rPr>
              <w:t>3 个主题区域</w:t>
            </w:r>
          </w:p>
        </w:tc>
        <w:tc>
          <w:tcPr>
            <w:tcW w:type="dxa" w:w="2771"/>
          </w:tcPr>
          <w:p>
            <w:r/>
            <w:r>
              <w:rPr>
                <w:rFonts w:ascii="宋体" w:hAnsi="宋体" w:eastAsia="宋体"/>
                <w:sz w:val="20"/>
              </w:rPr>
              <w:t>Unity 3D 场景+Addressables 流式加载</w:t>
            </w:r>
          </w:p>
        </w:tc>
      </w:tr>
      <w:tr>
        <w:tc>
          <w:tcPr>
            <w:tcW w:type="dxa" w:w="2771"/>
          </w:tcPr>
          <w:p>
            <w:r/>
            <w:r>
              <w:rPr>
                <w:rFonts w:ascii="宋体" w:hAnsi="宋体" w:eastAsia="宋体"/>
                <w:sz w:val="20"/>
              </w:rPr>
              <w:t>多人协同</w:t>
            </w:r>
          </w:p>
        </w:tc>
        <w:tc>
          <w:tcPr>
            <w:tcW w:type="dxa" w:w="2771"/>
          </w:tcPr>
          <w:p>
            <w:r/>
            <w:r>
              <w:rPr>
                <w:rFonts w:ascii="宋体" w:hAnsi="宋体" w:eastAsia="宋体"/>
                <w:sz w:val="20"/>
              </w:rPr>
              <w:t>4-6 人同时在线</w:t>
            </w:r>
          </w:p>
        </w:tc>
        <w:tc>
          <w:tcPr>
            <w:tcW w:type="dxa" w:w="2771"/>
          </w:tcPr>
          <w:p>
            <w:r/>
            <w:r>
              <w:rPr>
                <w:rFonts w:ascii="宋体" w:hAnsi="宋体" w:eastAsia="宋体"/>
                <w:sz w:val="20"/>
              </w:rPr>
              <w:t>Photon Fusion / Netcode for GameObjects</w:t>
            </w:r>
          </w:p>
        </w:tc>
      </w:tr>
      <w:tr>
        <w:tc>
          <w:tcPr>
            <w:tcW w:type="dxa" w:w="2771"/>
          </w:tcPr>
          <w:p>
            <w:r/>
            <w:r>
              <w:rPr>
                <w:rFonts w:ascii="宋体" w:hAnsi="宋体" w:eastAsia="宋体"/>
                <w:sz w:val="20"/>
              </w:rPr>
              <w:t>AI NPC</w:t>
            </w:r>
          </w:p>
        </w:tc>
        <w:tc>
          <w:tcPr>
            <w:tcW w:type="dxa" w:w="2771"/>
          </w:tcPr>
          <w:p>
            <w:r/>
            <w:r>
              <w:rPr>
                <w:rFonts w:ascii="宋体" w:hAnsi="宋体" w:eastAsia="宋体"/>
                <w:sz w:val="20"/>
              </w:rPr>
              <w:t>虚拟导游+文化角色对话</w:t>
            </w:r>
          </w:p>
        </w:tc>
        <w:tc>
          <w:tcPr>
            <w:tcW w:type="dxa" w:w="2771"/>
          </w:tcPr>
          <w:p>
            <w:r/>
            <w:r>
              <w:rPr>
                <w:rFonts w:ascii="宋体" w:hAnsi="宋体" w:eastAsia="宋体"/>
                <w:sz w:val="20"/>
              </w:rPr>
              <w:t>LLM API+TTS+面部动画</w:t>
            </w:r>
          </w:p>
        </w:tc>
      </w:tr>
      <w:tr>
        <w:tc>
          <w:tcPr>
            <w:tcW w:type="dxa" w:w="2771"/>
          </w:tcPr>
          <w:p>
            <w:r/>
            <w:r>
              <w:rPr>
                <w:rFonts w:ascii="宋体" w:hAnsi="宋体" w:eastAsia="宋体"/>
                <w:sz w:val="20"/>
              </w:rPr>
              <w:t>分支叙事</w:t>
            </w:r>
          </w:p>
        </w:tc>
        <w:tc>
          <w:tcPr>
            <w:tcW w:type="dxa" w:w="2771"/>
          </w:tcPr>
          <w:p>
            <w:r/>
            <w:r>
              <w:rPr>
                <w:rFonts w:ascii="宋体" w:hAnsi="宋体" w:eastAsia="宋体"/>
                <w:sz w:val="20"/>
              </w:rPr>
              <w:t>互动剧情系统</w:t>
            </w:r>
          </w:p>
        </w:tc>
        <w:tc>
          <w:tcPr>
            <w:tcW w:type="dxa" w:w="2771"/>
          </w:tcPr>
          <w:p>
            <w:r/>
            <w:r>
              <w:rPr>
                <w:rFonts w:ascii="宋体" w:hAnsi="宋体" w:eastAsia="宋体"/>
                <w:sz w:val="20"/>
              </w:rPr>
              <w:t>对话树+条件触发器</w:t>
            </w:r>
          </w:p>
        </w:tc>
      </w:tr>
      <w:tr>
        <w:tc>
          <w:tcPr>
            <w:tcW w:type="dxa" w:w="2771"/>
          </w:tcPr>
          <w:p>
            <w:r/>
            <w:r>
              <w:rPr>
                <w:rFonts w:ascii="宋体" w:hAnsi="宋体" w:eastAsia="宋体"/>
                <w:sz w:val="20"/>
              </w:rPr>
              <w:t>触觉反馈</w:t>
            </w:r>
          </w:p>
        </w:tc>
        <w:tc>
          <w:tcPr>
            <w:tcW w:type="dxa" w:w="2771"/>
          </w:tcPr>
          <w:p>
            <w:r/>
            <w:r>
              <w:rPr>
                <w:rFonts w:ascii="宋体" w:hAnsi="宋体" w:eastAsia="宋体"/>
                <w:sz w:val="20"/>
              </w:rPr>
              <w:t>手柄振动+环境特效</w:t>
            </w:r>
          </w:p>
        </w:tc>
        <w:tc>
          <w:tcPr>
            <w:tcW w:type="dxa" w:w="2771"/>
          </w:tcPr>
          <w:p>
            <w:r/>
            <w:r>
              <w:rPr>
                <w:rFonts w:ascii="宋体" w:hAnsi="宋体" w:eastAsia="宋体"/>
                <w:sz w:val="20"/>
              </w:rPr>
              <w:t>Unity Haptics+外部设备</w:t>
            </w:r>
          </w:p>
        </w:tc>
      </w:tr>
      <w:tr>
        <w:tc>
          <w:tcPr>
            <w:tcW w:type="dxa" w:w="2771"/>
          </w:tcPr>
          <w:p>
            <w:r/>
            <w:r>
              <w:rPr>
                <w:rFonts w:ascii="宋体" w:hAnsi="宋体" w:eastAsia="宋体"/>
                <w:sz w:val="20"/>
              </w:rPr>
              <w:t>评估系统</w:t>
            </w:r>
          </w:p>
        </w:tc>
        <w:tc>
          <w:tcPr>
            <w:tcW w:type="dxa" w:w="2771"/>
          </w:tcPr>
          <w:p>
            <w:r/>
            <w:r>
              <w:rPr>
                <w:rFonts w:ascii="宋体" w:hAnsi="宋体" w:eastAsia="宋体"/>
                <w:sz w:val="20"/>
              </w:rPr>
              <w:t>用户行为数据采集</w:t>
            </w:r>
          </w:p>
        </w:tc>
        <w:tc>
          <w:tcPr>
            <w:tcW w:type="dxa" w:w="2771"/>
          </w:tcPr>
          <w:p>
            <w:r/>
            <w:r>
              <w:rPr>
                <w:rFonts w:ascii="宋体" w:hAnsi="宋体" w:eastAsia="宋体"/>
                <w:sz w:val="20"/>
              </w:rPr>
              <w:t>日志系统+分析仪表板</w:t>
            </w:r>
          </w:p>
        </w:tc>
      </w:tr>
    </w:tbl>
    <w:p/>
    <w:p/>
    <w:p>
      <w:pPr>
        <w:pStyle w:val="Heading3"/>
      </w:pPr>
      <w:r>
        <w:t>12.1.3 技术方案选型</w:t>
      </w:r>
    </w:p>
    <w:p/>
    <w:p>
      <w:pPr>
        <w:ind w:firstLine="482"/>
      </w:pPr>
      <w:r>
        <w:rPr>
          <w:rFonts w:ascii="宋体" w:hAnsi="宋体" w:eastAsia="宋体"/>
          <w:sz w:val="24"/>
        </w:rPr>
        <w:t xml:space="preserve">项目采用 </w:t>
      </w:r>
      <w:r>
        <w:rPr>
          <w:rFonts w:ascii="宋体" w:hAnsi="宋体" w:eastAsia="宋体"/>
          <w:b/>
          <w:sz w:val="24"/>
        </w:rPr>
        <w:t>Unity URP + Photon Fusion + LLM API</w:t>
      </w:r>
      <w:r>
        <w:rPr>
          <w:rFonts w:ascii="宋体" w:hAnsi="宋体" w:eastAsia="宋体"/>
          <w:sz w:val="24"/>
        </w:rPr>
        <w:t xml:space="preserve"> 技术栈[2]：</w:t>
      </w:r>
    </w:p>
    <w:p/>
    <w:p>
      <w:pPr>
        <w:pStyle w:val="ListBullet"/>
      </w:pPr>
      <w:r>
        <w:rPr>
          <w:rFonts w:ascii="宋体" w:hAnsi="宋体" w:eastAsia="宋体"/>
          <w:b/>
          <w:sz w:val="24"/>
        </w:rPr>
        <w:t>Unity URP</w:t>
      </w:r>
      <w:r>
        <w:rPr>
          <w:rFonts w:ascii="宋体" w:hAnsi="宋体" w:eastAsia="宋体"/>
          <w:sz w:val="24"/>
        </w:rPr>
        <w:t>：跨平台渲染管线，支持 Meta Quest 和 PC VR</w:t>
      </w:r>
    </w:p>
    <w:p>
      <w:pPr>
        <w:pStyle w:val="ListBullet"/>
      </w:pPr>
      <w:r>
        <w:rPr>
          <w:rFonts w:ascii="宋体" w:hAnsi="宋体" w:eastAsia="宋体"/>
          <w:b/>
          <w:sz w:val="24"/>
        </w:rPr>
        <w:t>Photon Fusion</w:t>
      </w:r>
      <w:r>
        <w:rPr>
          <w:rFonts w:ascii="宋体" w:hAnsi="宋体" w:eastAsia="宋体"/>
          <w:sz w:val="24"/>
        </w:rPr>
        <w:t>：高性能多人网络框架，支持状态同步和兴趣管理</w:t>
      </w:r>
    </w:p>
    <w:p>
      <w:pPr>
        <w:pStyle w:val="ListBullet"/>
      </w:pPr>
      <w:r>
        <w:rPr>
          <w:rFonts w:ascii="宋体" w:hAnsi="宋体" w:eastAsia="宋体"/>
          <w:b/>
          <w:sz w:val="24"/>
        </w:rPr>
        <w:t>OpenAI/DeepSeek API</w:t>
      </w:r>
      <w:r>
        <w:rPr>
          <w:rFonts w:ascii="宋体" w:hAnsi="宋体" w:eastAsia="宋体"/>
          <w:sz w:val="24"/>
        </w:rPr>
        <w:t>：驱动 AI NPC 的自然语言对话</w:t>
      </w:r>
    </w:p>
    <w:p>
      <w:pPr>
        <w:pStyle w:val="ListBullet"/>
      </w:pPr>
      <w:r>
        <w:rPr>
          <w:rFonts w:ascii="宋体" w:hAnsi="宋体" w:eastAsia="宋体"/>
          <w:b/>
          <w:sz w:val="24"/>
        </w:rPr>
        <w:t>ElevenLabs/百度 TTS</w:t>
      </w:r>
      <w:r>
        <w:rPr>
          <w:rFonts w:ascii="宋体" w:hAnsi="宋体" w:eastAsia="宋体"/>
          <w:sz w:val="24"/>
        </w:rPr>
        <w:t>：语音合成</w:t>
      </w:r>
    </w:p>
    <w:p>
      <w:pPr>
        <w:pStyle w:val="ListBullet"/>
      </w:pPr>
      <w:r>
        <w:rPr>
          <w:rFonts w:ascii="宋体" w:hAnsi="宋体" w:eastAsia="宋体"/>
          <w:b/>
          <w:sz w:val="24"/>
        </w:rPr>
        <w:t>Addressables</w:t>
      </w:r>
      <w:r>
        <w:rPr>
          <w:rFonts w:ascii="宋体" w:hAnsi="宋体" w:eastAsia="宋体"/>
          <w:sz w:val="24"/>
        </w:rPr>
        <w:t>：大规模场景的资源管理</w:t>
      </w:r>
    </w:p>
    <w:p/>
    <w:p>
      <w:pPr>
        <w:pStyle w:val="Heading3"/>
      </w:pPr>
      <w:r>
        <w:t>12.1.4 项目 WBS 分解与里程碑</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阶段</w:t>
            </w:r>
          </w:p>
        </w:tc>
        <w:tc>
          <w:tcPr>
            <w:tcW w:type="dxa" w:w="2078"/>
            <w:shd w:fill="D9E2F3" w:val="clear"/>
          </w:tcPr>
          <w:p>
            <w:pPr>
              <w:jc w:val="center"/>
            </w:pPr>
            <w:r/>
            <w:r>
              <w:rPr>
                <w:rFonts w:ascii="黑体" w:hAnsi="黑体" w:eastAsia="黑体"/>
                <w:b/>
                <w:sz w:val="20"/>
              </w:rPr>
              <w:t>周次</w:t>
            </w:r>
          </w:p>
        </w:tc>
        <w:tc>
          <w:tcPr>
            <w:tcW w:type="dxa" w:w="2078"/>
            <w:shd w:fill="D9E2F3" w:val="clear"/>
          </w:tcPr>
          <w:p>
            <w:pPr>
              <w:jc w:val="center"/>
            </w:pPr>
            <w:r/>
            <w:r>
              <w:rPr>
                <w:rFonts w:ascii="黑体" w:hAnsi="黑体" w:eastAsia="黑体"/>
                <w:b/>
                <w:sz w:val="20"/>
              </w:rPr>
              <w:t>任务</w:t>
            </w:r>
          </w:p>
        </w:tc>
        <w:tc>
          <w:tcPr>
            <w:tcW w:type="dxa" w:w="2078"/>
            <w:shd w:fill="D9E2F3" w:val="clear"/>
          </w:tcPr>
          <w:p>
            <w:pPr>
              <w:jc w:val="center"/>
            </w:pPr>
            <w:r/>
            <w:r>
              <w:rPr>
                <w:rFonts w:ascii="黑体" w:hAnsi="黑体" w:eastAsia="黑体"/>
                <w:b/>
                <w:sz w:val="20"/>
              </w:rPr>
              <w:t>交付物</w:t>
            </w:r>
          </w:p>
        </w:tc>
      </w:tr>
      <w:tr>
        <w:tc>
          <w:tcPr>
            <w:tcW w:type="dxa" w:w="2078"/>
          </w:tcPr>
          <w:p>
            <w:r/>
            <w:r>
              <w:rPr>
                <w:rFonts w:ascii="宋体" w:hAnsi="宋体" w:eastAsia="宋体"/>
                <w:sz w:val="20"/>
              </w:rPr>
              <w:t>设计</w:t>
            </w:r>
          </w:p>
        </w:tc>
        <w:tc>
          <w:tcPr>
            <w:tcW w:type="dxa" w:w="2078"/>
          </w:tcPr>
          <w:p>
            <w:r/>
            <w:r>
              <w:rPr>
                <w:rFonts w:ascii="宋体" w:hAnsi="宋体" w:eastAsia="宋体"/>
                <w:sz w:val="20"/>
              </w:rPr>
              <w:t>1-3</w:t>
            </w:r>
          </w:p>
        </w:tc>
        <w:tc>
          <w:tcPr>
            <w:tcW w:type="dxa" w:w="2078"/>
          </w:tcPr>
          <w:p>
            <w:r/>
            <w:r>
              <w:rPr>
                <w:rFonts w:ascii="宋体" w:hAnsi="宋体" w:eastAsia="宋体"/>
                <w:sz w:val="20"/>
              </w:rPr>
              <w:t>场景设计、叙事设计、AI 角色设计</w:t>
            </w:r>
          </w:p>
        </w:tc>
        <w:tc>
          <w:tcPr>
            <w:tcW w:type="dxa" w:w="2078"/>
          </w:tcPr>
          <w:p>
            <w:r/>
            <w:r>
              <w:rPr>
                <w:rFonts w:ascii="宋体" w:hAnsi="宋体" w:eastAsia="宋体"/>
                <w:sz w:val="20"/>
              </w:rPr>
              <w:t>完整设计文档</w:t>
            </w:r>
          </w:p>
        </w:tc>
      </w:tr>
      <w:tr>
        <w:tc>
          <w:tcPr>
            <w:tcW w:type="dxa" w:w="2078"/>
          </w:tcPr>
          <w:p>
            <w:r/>
            <w:r>
              <w:rPr>
                <w:rFonts w:ascii="宋体" w:hAnsi="宋体" w:eastAsia="宋体"/>
                <w:sz w:val="20"/>
              </w:rPr>
              <w:t>资产</w:t>
            </w:r>
          </w:p>
        </w:tc>
        <w:tc>
          <w:tcPr>
            <w:tcW w:type="dxa" w:w="2078"/>
          </w:tcPr>
          <w:p>
            <w:r/>
            <w:r>
              <w:rPr>
                <w:rFonts w:ascii="宋体" w:hAnsi="宋体" w:eastAsia="宋体"/>
                <w:sz w:val="20"/>
              </w:rPr>
              <w:t>4-6</w:t>
            </w:r>
          </w:p>
        </w:tc>
        <w:tc>
          <w:tcPr>
            <w:tcW w:type="dxa" w:w="2078"/>
          </w:tcPr>
          <w:p>
            <w:r/>
            <w:r>
              <w:rPr>
                <w:rFonts w:ascii="宋体" w:hAnsi="宋体" w:eastAsia="宋体"/>
                <w:sz w:val="20"/>
              </w:rPr>
              <w:t>3D 建模、动画、音频制作</w:t>
            </w:r>
          </w:p>
        </w:tc>
        <w:tc>
          <w:tcPr>
            <w:tcW w:type="dxa" w:w="2078"/>
          </w:tcPr>
          <w:p>
            <w:r/>
            <w:r>
              <w:rPr>
                <w:rFonts w:ascii="宋体" w:hAnsi="宋体" w:eastAsia="宋体"/>
                <w:sz w:val="20"/>
              </w:rPr>
              <w:t>资产库</w:t>
            </w:r>
          </w:p>
        </w:tc>
      </w:tr>
      <w:tr>
        <w:tc>
          <w:tcPr>
            <w:tcW w:type="dxa" w:w="2078"/>
          </w:tcPr>
          <w:p>
            <w:r/>
            <w:r>
              <w:rPr>
                <w:rFonts w:ascii="宋体" w:hAnsi="宋体" w:eastAsia="宋体"/>
                <w:sz w:val="20"/>
              </w:rPr>
              <w:t>开发</w:t>
            </w:r>
          </w:p>
        </w:tc>
        <w:tc>
          <w:tcPr>
            <w:tcW w:type="dxa" w:w="2078"/>
          </w:tcPr>
          <w:p>
            <w:r/>
            <w:r>
              <w:rPr>
                <w:rFonts w:ascii="宋体" w:hAnsi="宋体" w:eastAsia="宋体"/>
                <w:sz w:val="20"/>
              </w:rPr>
              <w:t>7-12</w:t>
            </w:r>
          </w:p>
        </w:tc>
        <w:tc>
          <w:tcPr>
            <w:tcW w:type="dxa" w:w="2078"/>
          </w:tcPr>
          <w:p>
            <w:r/>
            <w:r>
              <w:rPr>
                <w:rFonts w:ascii="宋体" w:hAnsi="宋体" w:eastAsia="宋体"/>
                <w:sz w:val="20"/>
              </w:rPr>
              <w:t>场景搭建、网络开发、AI 集成</w:t>
            </w:r>
          </w:p>
        </w:tc>
        <w:tc>
          <w:tcPr>
            <w:tcW w:type="dxa" w:w="2078"/>
          </w:tcPr>
          <w:p>
            <w:r/>
            <w:r>
              <w:rPr>
                <w:rFonts w:ascii="宋体" w:hAnsi="宋体" w:eastAsia="宋体"/>
                <w:sz w:val="20"/>
              </w:rPr>
              <w:t>可运行原型</w:t>
            </w:r>
          </w:p>
        </w:tc>
      </w:tr>
      <w:tr>
        <w:tc>
          <w:tcPr>
            <w:tcW w:type="dxa" w:w="2078"/>
          </w:tcPr>
          <w:p>
            <w:r/>
            <w:r>
              <w:rPr>
                <w:rFonts w:ascii="宋体" w:hAnsi="宋体" w:eastAsia="宋体"/>
                <w:sz w:val="20"/>
              </w:rPr>
              <w:t>测试</w:t>
            </w:r>
          </w:p>
        </w:tc>
        <w:tc>
          <w:tcPr>
            <w:tcW w:type="dxa" w:w="2078"/>
          </w:tcPr>
          <w:p>
            <w:r/>
            <w:r>
              <w:rPr>
                <w:rFonts w:ascii="宋体" w:hAnsi="宋体" w:eastAsia="宋体"/>
                <w:sz w:val="20"/>
              </w:rPr>
              <w:t>13-14</w:t>
            </w:r>
          </w:p>
        </w:tc>
        <w:tc>
          <w:tcPr>
            <w:tcW w:type="dxa" w:w="2078"/>
          </w:tcPr>
          <w:p>
            <w:r/>
            <w:r>
              <w:rPr>
                <w:rFonts w:ascii="宋体" w:hAnsi="宋体" w:eastAsia="宋体"/>
                <w:sz w:val="20"/>
              </w:rPr>
              <w:t>多人测试、性能优化、评估</w:t>
            </w:r>
          </w:p>
        </w:tc>
        <w:tc>
          <w:tcPr>
            <w:tcW w:type="dxa" w:w="2078"/>
          </w:tcPr>
          <w:p>
            <w:r/>
            <w:r>
              <w:rPr>
                <w:rFonts w:ascii="宋体" w:hAnsi="宋体" w:eastAsia="宋体"/>
                <w:sz w:val="20"/>
              </w:rPr>
              <w:t>测试+评估报告</w:t>
            </w:r>
          </w:p>
        </w:tc>
      </w:tr>
      <w:tr>
        <w:tc>
          <w:tcPr>
            <w:tcW w:type="dxa" w:w="2078"/>
          </w:tcPr>
          <w:p>
            <w:r/>
            <w:r>
              <w:rPr>
                <w:rFonts w:ascii="宋体" w:hAnsi="宋体" w:eastAsia="宋体"/>
                <w:sz w:val="20"/>
              </w:rPr>
              <w:t>发布</w:t>
            </w:r>
          </w:p>
        </w:tc>
        <w:tc>
          <w:tcPr>
            <w:tcW w:type="dxa" w:w="2078"/>
          </w:tcPr>
          <w:p>
            <w:r/>
            <w:r>
              <w:rPr>
                <w:rFonts w:ascii="宋体" w:hAnsi="宋体" w:eastAsia="宋体"/>
                <w:sz w:val="20"/>
              </w:rPr>
              <w:t>15-16</w:t>
            </w:r>
          </w:p>
        </w:tc>
        <w:tc>
          <w:tcPr>
            <w:tcW w:type="dxa" w:w="2078"/>
          </w:tcPr>
          <w:p>
            <w:r/>
            <w:r>
              <w:rPr>
                <w:rFonts w:ascii="宋体" w:hAnsi="宋体" w:eastAsia="宋体"/>
                <w:sz w:val="20"/>
              </w:rPr>
              <w:t>部署、文档、答辩</w:t>
            </w:r>
          </w:p>
        </w:tc>
        <w:tc>
          <w:tcPr>
            <w:tcW w:type="dxa" w:w="2078"/>
          </w:tcPr>
          <w:p>
            <w:r/>
            <w:r>
              <w:rPr>
                <w:rFonts w:ascii="宋体" w:hAnsi="宋体" w:eastAsia="宋体"/>
                <w:sz w:val="20"/>
              </w:rPr>
              <w:t>最终版本+文档</w:t>
            </w:r>
          </w:p>
        </w:tc>
      </w:tr>
    </w:tbl>
    <w:p/>
    <w:p/>
    <w:p>
      <w:pPr>
        <w:pStyle w:val="Heading2"/>
      </w:pPr>
      <w:r>
        <w:t>12.2 场景设计与资产制作</w:t>
      </w:r>
    </w:p>
    <w:p/>
    <w:p>
      <w:pPr>
        <w:pStyle w:val="Heading3"/>
      </w:pPr>
      <w:r>
        <w:t>12.2.1 场景概念设计与氛围图制作</w:t>
      </w:r>
    </w:p>
    <w:p/>
    <w:p>
      <w:pPr>
        <w:ind w:firstLine="482"/>
      </w:pPr>
      <w:r>
        <w:rPr>
          <w:rFonts w:ascii="宋体" w:hAnsi="宋体" w:eastAsia="宋体"/>
          <w:sz w:val="24"/>
        </w:rPr>
        <w:t>元宇宙场景的概念设计需要定义每个区域的视觉风格、氛围基调和文化主题[3]：</w:t>
      </w:r>
    </w:p>
    <w:p/>
    <w:p>
      <w:pPr>
        <w:ind w:firstLine="482"/>
      </w:pPr>
      <w:r>
        <w:rPr>
          <w:rFonts w:ascii="宋体" w:hAnsi="宋体" w:eastAsia="宋体"/>
          <w:b/>
          <w:sz w:val="24"/>
        </w:rPr>
        <w:t>自然景观区</w:t>
      </w:r>
      <w:r>
        <w:rPr>
          <w:rFonts w:ascii="宋体" w:hAnsi="宋体" w:eastAsia="宋体"/>
          <w:sz w:val="24"/>
        </w:rPr>
        <w:t>——以贵州喀斯特地貌为主题，包含虚拟的黄果树瀑布、荔波小七孔和万峰林。视觉风格为写实自然主义，色调以绿色和蓝色为主，氛围基调为"壮丽与宁静"。核心交互：走近瀑布感受水雾（触觉反馈）、乘热气球俯瞰全景（全景视频+VR）、探索溶洞内部（3D 扫描模型）。</w:t>
      </w:r>
    </w:p>
    <w:p/>
    <w:p>
      <w:pPr>
        <w:ind w:firstLine="482"/>
      </w:pPr>
      <w:r>
        <w:rPr>
          <w:rFonts w:ascii="宋体" w:hAnsi="宋体" w:eastAsia="宋体"/>
          <w:b/>
          <w:sz w:val="24"/>
        </w:rPr>
        <w:t>民族文化区</w:t>
      </w:r>
      <w:r>
        <w:rPr>
          <w:rFonts w:ascii="宋体" w:hAnsi="宋体" w:eastAsia="宋体"/>
          <w:sz w:val="24"/>
        </w:rPr>
        <w:t>——以苗族和侗族文化为主题，包含虚拟苗寨和侗寨。视觉风格为温暖写实风格，色调以木色和暖黄为主，氛围基调为"温暖与活力"。核心交互：与 AI 苗族绣娘对话学习苗绣、参与虚拟芦笙演奏、在鼓楼下聆听侗族大歌。</w:t>
      </w:r>
    </w:p>
    <w:p/>
    <w:p>
      <w:pPr>
        <w:ind w:firstLine="482"/>
      </w:pPr>
      <w:r>
        <w:rPr>
          <w:rFonts w:ascii="宋体" w:hAnsi="宋体" w:eastAsia="宋体"/>
          <w:b/>
          <w:sz w:val="24"/>
        </w:rPr>
        <w:t>历史遗址区</w:t>
      </w:r>
      <w:r>
        <w:rPr>
          <w:rFonts w:ascii="宋体" w:hAnsi="宋体" w:eastAsia="宋体"/>
          <w:sz w:val="24"/>
        </w:rPr>
        <w:t>——以屯堡文化为主题，包含虚拟屯堡石头建筑群。视觉风格为历史写实风格，色调以灰色和土色为主，氛围基调为"沧桑与敬意"。核心交互：穿越明代屯堡场景、观看地戏表演 AR 叠加、探索屯堡建筑结构。</w:t>
      </w:r>
    </w:p>
    <w:p/>
    <w:p>
      <w:pPr>
        <w:pStyle w:val="Heading3"/>
      </w:pPr>
      <w:r>
        <w:t>12.2.2 虚拟场景搭建</w:t>
      </w:r>
    </w:p>
    <w:p/>
    <w:p>
      <w:pPr>
        <w:ind w:firstLine="482"/>
      </w:pPr>
      <w:r>
        <w:rPr>
          <w:rFonts w:ascii="宋体" w:hAnsi="宋体" w:eastAsia="宋体"/>
          <w:sz w:val="24"/>
        </w:rPr>
        <w:t>场景搭建使用 Unity 的 Terrain 系统+3D 模型组合方案[4]：地形使用 Heightmap 生成基础山地地貌，通过 Unity Terrain 工具雕刻河流、峡谷和瀑布地形。建筑模型使用第 4 章讲解的摄影测量+手工建模方案创建。植被使用程序化散布工具（Unity PCG 或第三方插件）在地形上分布树木、草地和花卉。</w:t>
      </w:r>
    </w:p>
    <w:p/>
    <w:p>
      <w:pPr>
        <w:pStyle w:val="Heading3"/>
      </w:pPr>
      <w:r>
        <w:t>12.2.3 角色/NPC 制作与动画</w:t>
      </w:r>
    </w:p>
    <w:p/>
    <w:p>
      <w:pPr>
        <w:ind w:firstLine="482"/>
      </w:pPr>
      <w:r>
        <w:rPr>
          <w:rFonts w:ascii="宋体" w:hAnsi="宋体" w:eastAsia="宋体"/>
          <w:sz w:val="24"/>
        </w:rPr>
        <w:t>虚拟角色制作流程[4]：（1）使用 MetaHuman 或 Character Creator 3 创建角色基础模型；（2）使用 Mixamo 或手动绑定骨骼系统；（3）使用动作捕捉数据（第 8 章讲解的方法）驱动角色动画；（4）使用 Unity 的 Animator Controller 管理动画状态机——待机、行走、说话、手势等状态的切换。</w:t>
      </w:r>
    </w:p>
    <w:p/>
    <w:p>
      <w:pPr>
        <w:pStyle w:val="Heading3"/>
      </w:pPr>
      <w:r>
        <w:t>12.2.4 交互道具与特效制作</w:t>
      </w:r>
    </w:p>
    <w:p/>
    <w:p>
      <w:pPr>
        <w:ind w:firstLine="482"/>
      </w:pPr>
      <w:r>
        <w:rPr>
          <w:rFonts w:ascii="宋体" w:hAnsi="宋体" w:eastAsia="宋体"/>
          <w:sz w:val="24"/>
        </w:rPr>
        <w:t>交互道具包括：虚拟芦笙（用户手持演奏）、虚拟银饰（用户试戴）、虚拟地图（导航道具）等。特效包括：瀑布水雾粒子效果、篝火火焰效果、节庆烟花效果等。特效使用 Unity Particle System 或 VFX Graph 制作。</w:t>
      </w:r>
    </w:p>
    <w:p/>
    <w:p>
      <w:pPr>
        <w:pStyle w:val="Heading2"/>
      </w:pPr>
      <w:r>
        <w:t>12.3 多人协同 VR 开发</w:t>
      </w:r>
    </w:p>
    <w:p/>
    <w:p>
      <w:pPr>
        <w:pStyle w:val="Heading3"/>
      </w:pPr>
      <w:r>
        <w:t>12.3.1 多人网络架构选型</w:t>
      </w:r>
    </w:p>
    <w:p/>
    <w:p>
      <w:pPr>
        <w:ind w:firstLine="482"/>
      </w:pPr>
      <w:r>
        <w:rPr>
          <w:rFonts w:ascii="宋体" w:hAnsi="宋体" w:eastAsia="宋体"/>
          <w:sz w:val="24"/>
        </w:rPr>
        <w:t>多人 VR 网络架构分为权威服务器（Authoritative Server）和点对点（Peer-to-Peer）两种模式[5]：</w:t>
      </w:r>
    </w:p>
    <w:p/>
    <w:p>
      <w:pPr>
        <w:ind w:firstLine="482"/>
      </w:pPr>
      <w:r>
        <w:rPr>
          <w:rFonts w:ascii="宋体" w:hAnsi="宋体" w:eastAsia="宋体"/>
          <w:b/>
          <w:sz w:val="24"/>
        </w:rPr>
        <w:t>权威服务器模式</w:t>
      </w:r>
      <w:r>
        <w:rPr>
          <w:rFonts w:ascii="宋体" w:hAnsi="宋体" w:eastAsia="宋体"/>
          <w:sz w:val="24"/>
        </w:rPr>
        <w:t>：所有游戏逻辑由中央服务器计算，客户端只负责渲染和输入。优点是防作弊能力强、状态一致性高；缺点是服务器成本高、延迟可能较大。适合大规模多人应用。</w:t>
      </w:r>
    </w:p>
    <w:p/>
    <w:p>
      <w:pPr>
        <w:ind w:firstLine="482"/>
      </w:pPr>
      <w:r>
        <w:rPr>
          <w:rFonts w:ascii="宋体" w:hAnsi="宋体" w:eastAsia="宋体"/>
          <w:b/>
          <w:sz w:val="24"/>
        </w:rPr>
        <w:t>点对点模式</w:t>
      </w:r>
      <w:r>
        <w:rPr>
          <w:rFonts w:ascii="宋体" w:hAnsi="宋体" w:eastAsia="宋体"/>
          <w:sz w:val="24"/>
        </w:rPr>
        <w:t>：其中一个客户端担任主机（Host），同时充当服务器和客户端。其他客户端直接连接到主机。优点是成本低、延迟低；缺点是主机断线时所有客户端掉线。适合小规模多人应用（4-8 人）。</w:t>
      </w:r>
    </w:p>
    <w:p/>
    <w:p>
      <w:pPr>
        <w:ind w:firstLine="482"/>
      </w:pPr>
      <w:r>
        <w:rPr>
          <w:rFonts w:ascii="宋体" w:hAnsi="宋体" w:eastAsia="宋体"/>
          <w:sz w:val="24"/>
        </w:rPr>
        <w:t xml:space="preserve">本项目推荐使用 </w:t>
      </w:r>
      <w:r>
        <w:rPr>
          <w:rFonts w:ascii="宋体" w:hAnsi="宋体" w:eastAsia="宋体"/>
          <w:b/>
          <w:sz w:val="24"/>
        </w:rPr>
        <w:t>Photon Fusion</w:t>
      </w:r>
      <w:r>
        <w:rPr>
          <w:rFonts w:ascii="宋体" w:hAnsi="宋体" w:eastAsia="宋体"/>
          <w:sz w:val="24"/>
        </w:rPr>
        <w:t xml:space="preserve"> 的 Host 模式（点对点+权威主机混合），兼顾性能和成本[5]。</w:t>
      </w:r>
    </w:p>
    <w:p/>
    <w:p>
      <w:pPr>
        <w:pStyle w:val="Heading3"/>
      </w:pPr>
      <w:r>
        <w:t>12.3.2 角色同步与状态管理</w:t>
      </w:r>
    </w:p>
    <w:p/>
    <w:p>
      <w:pPr>
        <w:ind w:firstLine="482"/>
      </w:pPr>
      <w:r>
        <w:rPr>
          <w:rFonts w:ascii="宋体" w:hAnsi="宋体" w:eastAsia="宋体"/>
          <w:sz w:val="24"/>
        </w:rPr>
        <w:t>多人 VR 中的角色同步需要传输以下数据[5]：头部位置和旋转（6DoF，约 50Hz 更新）、手部位置和旋转（双手 6DoF，约 50Hz）、角色位置和移动（约 20Hz）、动画状态（约 10Hz）、语音数据（连续流）。总带宽需求约为 100-200kbps/用户。</w:t>
      </w:r>
    </w:p>
    <w:p/>
    <w:p>
      <w:pPr>
        <w:ind w:firstLine="482"/>
      </w:pPr>
      <w:r>
        <w:rPr>
          <w:rFonts w:ascii="宋体" w:hAnsi="宋体" w:eastAsia="宋体"/>
          <w:sz w:val="24"/>
        </w:rPr>
        <w:t>状态同步的关键技术是</w:t>
      </w:r>
      <w:r>
        <w:rPr>
          <w:rFonts w:ascii="宋体" w:hAnsi="宋体" w:eastAsia="宋体"/>
          <w:b/>
          <w:sz w:val="24"/>
        </w:rPr>
        <w:t>插值（Interpolation）</w:t>
      </w:r>
      <w:r>
        <w:rPr>
          <w:rFonts w:ascii="宋体" w:hAnsi="宋体" w:eastAsia="宋体"/>
          <w:sz w:val="24"/>
        </w:rPr>
        <w:t>和</w:t>
      </w:r>
      <w:r>
        <w:rPr>
          <w:rFonts w:ascii="宋体" w:hAnsi="宋体" w:eastAsia="宋体"/>
          <w:b/>
          <w:sz w:val="24"/>
        </w:rPr>
        <w:t>预测（Prediction）</w:t>
      </w:r>
      <w:r>
        <w:rPr>
          <w:rFonts w:ascii="宋体" w:hAnsi="宋体" w:eastAsia="宋体"/>
          <w:sz w:val="24"/>
        </w:rPr>
        <w:t>：插值在收到网络更新之间平滑过渡角色位置，避免"瞬移"感；预测在本地根据当前速度和方向预测角色下一步位置，在收到服务器确认前先显示预测位置，减少感知延迟。</w:t>
      </w:r>
    </w:p>
    <w:p/>
    <w:p>
      <w:pPr>
        <w:pStyle w:val="Heading3"/>
      </w:pPr>
      <w:r>
        <w:t>12.3.3 语音通信与社交互动</w:t>
      </w:r>
    </w:p>
    <w:p/>
    <w:p>
      <w:pPr>
        <w:ind w:firstLine="482"/>
      </w:pPr>
      <w:r>
        <w:rPr>
          <w:rFonts w:ascii="宋体" w:hAnsi="宋体" w:eastAsia="宋体"/>
          <w:sz w:val="24"/>
        </w:rPr>
        <w:t>语音通信使用 Photon Voice 或 Unity 的 WebRTC 集成[5]。语音数据通过 Opus 编码压缩（低延迟、高质量），传输到其他客户端后解码播放。空间语音（Spatial Voice）使说话者的声音从其虚拟角色的位置传来，距离越远声音越小——这为多人 VR 社交提供了自然的"接近交流"模式（走近才能听清对方说话）。</w:t>
      </w:r>
    </w:p>
    <w:p/>
    <w:p>
      <w:pPr>
        <w:ind w:firstLine="482"/>
      </w:pPr>
      <w:r>
        <w:rPr>
          <w:rFonts w:ascii="宋体" w:hAnsi="宋体" w:eastAsia="宋体"/>
          <w:sz w:val="24"/>
        </w:rPr>
        <w:t>社交互动设计包括：虚拟化身表情同步（通过面部追踪驱动虚拟角色表情）、手势交流（挥手、点头、鼓掌）、共享物体操作（多人同时查看和操作同一虚拟文物）。</w:t>
      </w:r>
    </w:p>
    <w:p/>
    <w:p>
      <w:pPr>
        <w:pStyle w:val="Heading3"/>
      </w:pPr>
      <w:r>
        <w:t>12.3.4 共享空间与协同操作</w:t>
      </w:r>
    </w:p>
    <w:p/>
    <w:p>
      <w:pPr>
        <w:ind w:firstLine="482"/>
      </w:pPr>
      <w:r>
        <w:rPr>
          <w:rFonts w:ascii="宋体" w:hAnsi="宋体" w:eastAsia="宋体"/>
          <w:sz w:val="24"/>
        </w:rPr>
        <w:t>共享空间设计允许多个用户在同一虚拟空间中看到相同的虚拟内容布局[5]。关键技术是</w:t>
      </w:r>
      <w:r>
        <w:rPr>
          <w:rFonts w:ascii="宋体" w:hAnsi="宋体" w:eastAsia="宋体"/>
          <w:b/>
          <w:sz w:val="24"/>
        </w:rPr>
        <w:t>网络对象实例化</w:t>
      </w:r>
      <w:r>
        <w:rPr>
          <w:rFonts w:ascii="宋体" w:hAnsi="宋体" w:eastAsia="宋体"/>
          <w:sz w:val="24"/>
        </w:rPr>
        <w:t>（Networked Object Instantiation）——当主机端创建一个虚拟物体时，该物体自动同步到所有客户端，所有用户看到同一物体出现在同一位置。协同操作允许多个用户同时操作同一虚拟物体——如两人协作旋转一个大型虚拟文物进行查看。</w:t>
      </w:r>
    </w:p>
    <w:p/>
    <w:p>
      <w:pPr>
        <w:pStyle w:val="Heading2"/>
      </w:pPr>
      <w:r>
        <w:t>12.4 沉浸式叙事与 AI 集成</w:t>
      </w:r>
    </w:p>
    <w:p/>
    <w:p>
      <w:pPr>
        <w:pStyle w:val="Heading3"/>
      </w:pPr>
      <w:r>
        <w:t>12.4.1 分支叙事设计与互动剧情系统</w:t>
      </w:r>
    </w:p>
    <w:p/>
    <w:p>
      <w:pPr>
        <w:ind w:firstLine="482"/>
      </w:pPr>
      <w:r>
        <w:rPr>
          <w:rFonts w:ascii="宋体" w:hAnsi="宋体" w:eastAsia="宋体"/>
          <w:sz w:val="24"/>
        </w:rPr>
        <w:t>分支叙事系统允许用户的选择影响故事走向，创造个性化体验[6]。叙事系统架构包含三个层级：</w:t>
      </w:r>
    </w:p>
    <w:p/>
    <w:p>
      <w:pPr>
        <w:ind w:firstLine="482"/>
      </w:pPr>
      <w:r>
        <w:rPr>
          <w:rFonts w:ascii="宋体" w:hAnsi="宋体" w:eastAsia="宋体"/>
          <w:b/>
          <w:sz w:val="24"/>
        </w:rPr>
        <w:t>故事层</w:t>
      </w:r>
      <w:r>
        <w:rPr>
          <w:rFonts w:ascii="宋体" w:hAnsi="宋体" w:eastAsia="宋体"/>
          <w:sz w:val="24"/>
        </w:rPr>
        <w:t>：定义整体故事大纲和分支节点。例如，在民族文化区，用户可以选择"学习苗绣"或"学习银饰锻造"两条分支，不同分支展示不同的文化内容。</w:t>
      </w:r>
    </w:p>
    <w:p/>
    <w:p>
      <w:pPr>
        <w:ind w:firstLine="482"/>
      </w:pPr>
      <w:r>
        <w:rPr>
          <w:rFonts w:ascii="宋体" w:hAnsi="宋体" w:eastAsia="宋体"/>
          <w:b/>
          <w:sz w:val="24"/>
        </w:rPr>
        <w:t>场景层</w:t>
      </w:r>
      <w:r>
        <w:rPr>
          <w:rFonts w:ascii="宋体" w:hAnsi="宋体" w:eastAsia="宋体"/>
          <w:sz w:val="24"/>
        </w:rPr>
        <w:t>：定义每个场景中的触发条件和事件序列。触发条件可以是用户位置（进入某区域）、用户行为（拿起某物体）或对话选择（选择某回答）。</w:t>
      </w:r>
    </w:p>
    <w:p/>
    <w:p>
      <w:pPr>
        <w:ind w:firstLine="482"/>
      </w:pPr>
      <w:r>
        <w:rPr>
          <w:rFonts w:ascii="宋体" w:hAnsi="宋体" w:eastAsia="宋体"/>
          <w:b/>
          <w:sz w:val="24"/>
        </w:rPr>
        <w:t>对话层</w:t>
      </w:r>
      <w:r>
        <w:rPr>
          <w:rFonts w:ascii="宋体" w:hAnsi="宋体" w:eastAsia="宋体"/>
          <w:sz w:val="24"/>
        </w:rPr>
        <w:t>：定义 NPC 的对话脚本和用户的选项。传统分支对话使用对话树（Dialogue Tree）结构——每个对话节点有多个选项分支，用户选择决定后续对话内容。AI 驱动的对话则由 LLM 根据角色设定和上下文动态生成回复[6]。</w:t>
      </w:r>
    </w:p>
    <w:p/>
    <w:p>
      <w:pPr>
        <w:pStyle w:val="Heading3"/>
      </w:pPr>
      <w:r>
        <w:t>12.4.2 AI 驱动的虚拟导游/NPC 对话</w:t>
      </w:r>
    </w:p>
    <w:p/>
    <w:p>
      <w:pPr>
        <w:ind w:firstLine="482"/>
      </w:pPr>
      <w:r>
        <w:rPr>
          <w:rFonts w:ascii="宋体" w:hAnsi="宋体" w:eastAsia="宋体"/>
          <w:sz w:val="24"/>
        </w:rPr>
        <w:t>AI NPC 对话系统的技术管线（详见第 5 章 5.3 节）在本项目中的具体应用[6]：</w:t>
      </w:r>
    </w:p>
    <w:p/>
    <w:p>
      <w:pPr>
        <w:ind w:firstLine="482"/>
      </w:pPr>
      <w:r>
        <w:rPr>
          <w:rFonts w:ascii="宋体" w:hAnsi="宋体" w:eastAsia="宋体"/>
          <w:b/>
          <w:sz w:val="24"/>
        </w:rPr>
        <w:t>苗族绣娘 NPC</w:t>
      </w:r>
      <w:r>
        <w:rPr>
          <w:rFonts w:ascii="宋体" w:hAnsi="宋体" w:eastAsia="宋体"/>
          <w:sz w:val="24"/>
        </w:rPr>
        <w:t>：角色设定为"贵州雷山县苗族银匠传承人，50 岁，性格热情，擅长讲述苗银文化故事"。知识库包含苗族银饰的历史、工艺、纹样寓意等资料。用户可以自由提问："这个花纹是什么意思？""制作一件银饰需要多长时间？"，NPC 根据 RAG 检索的知识库内容生成回答，同时驱动虚拟角色的面部动画和手势。</w:t>
      </w:r>
    </w:p>
    <w:p/>
    <w:p>
      <w:pPr>
        <w:ind w:firstLine="482"/>
      </w:pPr>
      <w:r>
        <w:rPr>
          <w:rFonts w:ascii="宋体" w:hAnsi="宋体" w:eastAsia="宋体"/>
          <w:b/>
          <w:sz w:val="24"/>
        </w:rPr>
        <w:t>屯堡历史讲解员 NPC</w:t>
      </w:r>
      <w:r>
        <w:rPr>
          <w:rFonts w:ascii="宋体" w:hAnsi="宋体" w:eastAsia="宋体"/>
          <w:sz w:val="24"/>
        </w:rPr>
        <w:t>：角色设定为"屯堡文化研究学者，语气严谨但生动"。用户可以询问屯堡的来历、建筑特点、地戏文化等问题。</w:t>
      </w:r>
    </w:p>
    <w:p/>
    <w:p>
      <w:pPr>
        <w:pStyle w:val="Heading3"/>
      </w:pPr>
      <w:r>
        <w:t>12.4.3 动态内容生成与个性化体验</w:t>
      </w:r>
    </w:p>
    <w:p/>
    <w:p>
      <w:pPr>
        <w:ind w:firstLine="482"/>
      </w:pPr>
      <w:r>
        <w:rPr>
          <w:rFonts w:ascii="宋体" w:hAnsi="宋体" w:eastAsia="宋体"/>
          <w:sz w:val="24"/>
        </w:rPr>
        <w:t>生成式 AI 可以在运行时动态生成 VR 场景内容[6]：（1）纹理生成——使用 Stable Diffusion 或 DALL-E 根据文字描述生成虚拟场景的纹理贴图（如"风化的明代石墙纹理"）；（2）3D 模型生成——使用 Text-to-3D 模型（如 Tripo3D、Meshy）根据描述生成简单 3D 模型；（3）对话内容生成——LLM 根据用户的兴趣和行为历史动态调整讲解内容和风格。</w:t>
      </w:r>
    </w:p>
    <w:p/>
    <w:p>
      <w:pPr>
        <w:pStyle w:val="Heading3"/>
      </w:pPr>
      <w:r>
        <w:t>12.4.4 生成式 AI 在场景制作中的应用</w:t>
      </w:r>
    </w:p>
    <w:p/>
    <w:p>
      <w:pPr>
        <w:ind w:firstLine="482"/>
      </w:pPr>
      <w:r>
        <w:rPr>
          <w:rFonts w:ascii="宋体" w:hAnsi="宋体" w:eastAsia="宋体"/>
          <w:sz w:val="24"/>
        </w:rPr>
        <w:t>生成式 AI 在元宇宙场景制作中的应用场景[6]：</w:t>
      </w:r>
    </w:p>
    <w:p/>
    <w:p>
      <w:pPr>
        <w:ind w:firstLine="482"/>
      </w:pPr>
      <w:r>
        <w:rPr>
          <w:rFonts w:ascii="宋体" w:hAnsi="宋体" w:eastAsia="宋体"/>
          <w:b/>
          <w:sz w:val="24"/>
        </w:rPr>
        <w:t>概念设计加速</w:t>
      </w:r>
      <w:r>
        <w:rPr>
          <w:rFonts w:ascii="宋体" w:hAnsi="宋体" w:eastAsia="宋体"/>
          <w:sz w:val="24"/>
        </w:rPr>
        <w:t>：使用 Midjourney 或 Stable Diffusion 快速生成场景概念图和氛围图，为 3D 建模提供参考。相比手工绘制概念图，AI 生成可以将概念设计阶段从数天缩短至数小时。</w:t>
      </w:r>
    </w:p>
    <w:p/>
    <w:p>
      <w:pPr>
        <w:ind w:firstLine="482"/>
      </w:pPr>
      <w:r>
        <w:rPr>
          <w:rFonts w:ascii="宋体" w:hAnsi="宋体" w:eastAsia="宋体"/>
          <w:b/>
          <w:sz w:val="24"/>
        </w:rPr>
        <w:t>纹理和材质生成</w:t>
      </w:r>
      <w:r>
        <w:rPr>
          <w:rFonts w:ascii="宋体" w:hAnsi="宋体" w:eastAsia="宋体"/>
          <w:sz w:val="24"/>
        </w:rPr>
        <w:t>：使用 AI 纹理生成工具（如 Substance 3D 的 AI 功能、Polycam）根据文字描述生成 PBR 材质贴图——"苗族蜡染布料纹理""屯堡石头墙面纹理"等。</w:t>
      </w:r>
    </w:p>
    <w:p/>
    <w:p>
      <w:pPr>
        <w:ind w:firstLine="482"/>
      </w:pPr>
      <w:r>
        <w:rPr>
          <w:rFonts w:ascii="宋体" w:hAnsi="宋体" w:eastAsia="宋体"/>
          <w:b/>
          <w:sz w:val="24"/>
        </w:rPr>
        <w:t>NPC 行为 AI</w:t>
      </w:r>
      <w:r>
        <w:rPr>
          <w:rFonts w:ascii="宋体" w:hAnsi="宋体" w:eastAsia="宋体"/>
          <w:sz w:val="24"/>
        </w:rPr>
        <w:t>：使用强化学习训练 NPC 的行为策略——NPC 根据用户的位置、行为和对话内容自主决定下一步行动（引导用户到新区域、推荐相关文化内容、回应用户提问）。</w:t>
      </w:r>
    </w:p>
    <w:p/>
    <w:p>
      <w:pPr>
        <w:pStyle w:val="Heading2"/>
      </w:pPr>
      <w:r>
        <w:t>12.5 用户体验评估与迭代</w:t>
      </w:r>
    </w:p>
    <w:p/>
    <w:p>
      <w:pPr>
        <w:pStyle w:val="Heading3"/>
      </w:pPr>
      <w:r>
        <w:t>12.5.1 I.M.M.E.R.S.E. 评估模型设计</w:t>
      </w:r>
    </w:p>
    <w:p/>
    <w:p>
      <w:pPr>
        <w:ind w:firstLine="482"/>
      </w:pPr>
      <w:r>
        <w:rPr>
          <w:rFonts w:ascii="宋体" w:hAnsi="宋体" w:eastAsia="宋体"/>
          <w:sz w:val="24"/>
        </w:rPr>
        <w:t>基于全书的 I.M.M.E.R.S.E. 七维框架，设计综合评估模型[7]：</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维度</w:t>
            </w:r>
          </w:p>
        </w:tc>
        <w:tc>
          <w:tcPr>
            <w:tcW w:type="dxa" w:w="2078"/>
            <w:shd w:fill="D9E2F3" w:val="clear"/>
          </w:tcPr>
          <w:p>
            <w:pPr>
              <w:jc w:val="center"/>
            </w:pPr>
            <w:r/>
            <w:r>
              <w:rPr>
                <w:rFonts w:ascii="黑体" w:hAnsi="黑体" w:eastAsia="黑体"/>
                <w:b/>
                <w:sz w:val="20"/>
              </w:rPr>
              <w:t>评估指标</w:t>
            </w:r>
          </w:p>
        </w:tc>
        <w:tc>
          <w:tcPr>
            <w:tcW w:type="dxa" w:w="2078"/>
            <w:shd w:fill="D9E2F3" w:val="clear"/>
          </w:tcPr>
          <w:p>
            <w:pPr>
              <w:jc w:val="center"/>
            </w:pPr>
            <w:r/>
            <w:r>
              <w:rPr>
                <w:rFonts w:ascii="黑体" w:hAnsi="黑体" w:eastAsia="黑体"/>
                <w:b/>
                <w:sz w:val="20"/>
              </w:rPr>
              <w:t>测量方法</w:t>
            </w:r>
          </w:p>
        </w:tc>
        <w:tc>
          <w:tcPr>
            <w:tcW w:type="dxa" w:w="2078"/>
            <w:shd w:fill="D9E2F3" w:val="clear"/>
          </w:tcPr>
          <w:p>
            <w:pPr>
              <w:jc w:val="center"/>
            </w:pPr>
            <w:r/>
            <w:r>
              <w:rPr>
                <w:rFonts w:ascii="黑体" w:hAnsi="黑体" w:eastAsia="黑体"/>
                <w:b/>
                <w:sz w:val="20"/>
              </w:rPr>
              <w:t>目标值</w:t>
            </w:r>
          </w:p>
        </w:tc>
      </w:tr>
      <w:tr>
        <w:tc>
          <w:tcPr>
            <w:tcW w:type="dxa" w:w="2078"/>
          </w:tcPr>
          <w:p>
            <w:r/>
            <w:r>
              <w:rPr>
                <w:rFonts w:ascii="宋体" w:hAnsi="宋体" w:eastAsia="宋体"/>
                <w:sz w:val="20"/>
              </w:rPr>
              <w:t>I 沉浸感</w:t>
            </w:r>
          </w:p>
        </w:tc>
        <w:tc>
          <w:tcPr>
            <w:tcW w:type="dxa" w:w="2078"/>
          </w:tcPr>
          <w:p>
            <w:r/>
            <w:r>
              <w:rPr>
                <w:rFonts w:ascii="宋体" w:hAnsi="宋体" w:eastAsia="宋体"/>
                <w:sz w:val="20"/>
              </w:rPr>
              <w:t>PI/PSI/Psi</w:t>
            </w:r>
          </w:p>
        </w:tc>
        <w:tc>
          <w:tcPr>
            <w:tcW w:type="dxa" w:w="2078"/>
          </w:tcPr>
          <w:p>
            <w:r/>
            <w:r>
              <w:rPr>
                <w:rFonts w:ascii="宋体" w:hAnsi="宋体" w:eastAsia="宋体"/>
                <w:sz w:val="20"/>
              </w:rPr>
              <w:t>IPQ 问卷</w:t>
            </w:r>
          </w:p>
        </w:tc>
        <w:tc>
          <w:tcPr>
            <w:tcW w:type="dxa" w:w="2078"/>
          </w:tcPr>
          <w:p>
            <w:r/>
            <w:r>
              <w:rPr>
                <w:rFonts w:ascii="宋体" w:hAnsi="宋体" w:eastAsia="宋体"/>
                <w:sz w:val="20"/>
              </w:rPr>
              <w:t>≥ 3.5/5</w:t>
            </w:r>
          </w:p>
        </w:tc>
      </w:tr>
      <w:tr>
        <w:tc>
          <w:tcPr>
            <w:tcW w:type="dxa" w:w="2078"/>
          </w:tcPr>
          <w:p>
            <w:r/>
            <w:r>
              <w:rPr>
                <w:rFonts w:ascii="宋体" w:hAnsi="宋体" w:eastAsia="宋体"/>
                <w:sz w:val="20"/>
              </w:rPr>
              <w:t>M 建模</w:t>
            </w:r>
          </w:p>
        </w:tc>
        <w:tc>
          <w:tcPr>
            <w:tcW w:type="dxa" w:w="2078"/>
          </w:tcPr>
          <w:p>
            <w:r/>
            <w:r>
              <w:rPr>
                <w:rFonts w:ascii="宋体" w:hAnsi="宋体" w:eastAsia="宋体"/>
                <w:sz w:val="20"/>
              </w:rPr>
              <w:t>视觉质量评分</w:t>
            </w:r>
          </w:p>
        </w:tc>
        <w:tc>
          <w:tcPr>
            <w:tcW w:type="dxa" w:w="2078"/>
          </w:tcPr>
          <w:p>
            <w:r/>
            <w:r>
              <w:rPr>
                <w:rFonts w:ascii="宋体" w:hAnsi="宋体" w:eastAsia="宋体"/>
                <w:sz w:val="20"/>
              </w:rPr>
              <w:t>专家评审</w:t>
            </w:r>
          </w:p>
        </w:tc>
        <w:tc>
          <w:tcPr>
            <w:tcW w:type="dxa" w:w="2078"/>
          </w:tcPr>
          <w:p>
            <w:r/>
            <w:r>
              <w:rPr>
                <w:rFonts w:ascii="宋体" w:hAnsi="宋体" w:eastAsia="宋体"/>
                <w:sz w:val="20"/>
              </w:rPr>
              <w:t>≥ 4.0/5</w:t>
            </w:r>
          </w:p>
        </w:tc>
      </w:tr>
      <w:tr>
        <w:tc>
          <w:tcPr>
            <w:tcW w:type="dxa" w:w="2078"/>
          </w:tcPr>
          <w:p>
            <w:r/>
            <w:r>
              <w:rPr>
                <w:rFonts w:ascii="宋体" w:hAnsi="宋体" w:eastAsia="宋体"/>
                <w:sz w:val="20"/>
              </w:rPr>
              <w:t>M 交互</w:t>
            </w:r>
          </w:p>
        </w:tc>
        <w:tc>
          <w:tcPr>
            <w:tcW w:type="dxa" w:w="2078"/>
          </w:tcPr>
          <w:p>
            <w:r/>
            <w:r>
              <w:rPr>
                <w:rFonts w:ascii="宋体" w:hAnsi="宋体" w:eastAsia="宋体"/>
                <w:sz w:val="20"/>
              </w:rPr>
              <w:t>交互成功率</w:t>
            </w:r>
          </w:p>
        </w:tc>
        <w:tc>
          <w:tcPr>
            <w:tcW w:type="dxa" w:w="2078"/>
          </w:tcPr>
          <w:p>
            <w:r/>
            <w:r>
              <w:rPr>
                <w:rFonts w:ascii="宋体" w:hAnsi="宋体" w:eastAsia="宋体"/>
                <w:sz w:val="20"/>
              </w:rPr>
              <w:t>行为日志</w:t>
            </w:r>
          </w:p>
        </w:tc>
        <w:tc>
          <w:tcPr>
            <w:tcW w:type="dxa" w:w="2078"/>
          </w:tcPr>
          <w:p>
            <w:r/>
            <w:r>
              <w:rPr>
                <w:rFonts w:ascii="宋体" w:hAnsi="宋体" w:eastAsia="宋体"/>
                <w:sz w:val="20"/>
              </w:rPr>
              <w:t>≥ 90%</w:t>
            </w:r>
          </w:p>
        </w:tc>
      </w:tr>
      <w:tr>
        <w:tc>
          <w:tcPr>
            <w:tcW w:type="dxa" w:w="2078"/>
          </w:tcPr>
          <w:p>
            <w:r/>
            <w:r>
              <w:rPr>
                <w:rFonts w:ascii="宋体" w:hAnsi="宋体" w:eastAsia="宋体"/>
                <w:sz w:val="20"/>
              </w:rPr>
              <w:t>E 引擎</w:t>
            </w:r>
          </w:p>
        </w:tc>
        <w:tc>
          <w:tcPr>
            <w:tcW w:type="dxa" w:w="2078"/>
          </w:tcPr>
          <w:p>
            <w:r/>
            <w:r>
              <w:rPr>
                <w:rFonts w:ascii="宋体" w:hAnsi="宋体" w:eastAsia="宋体"/>
                <w:sz w:val="20"/>
              </w:rPr>
              <w:t>帧率</w:t>
            </w:r>
          </w:p>
        </w:tc>
        <w:tc>
          <w:tcPr>
            <w:tcW w:type="dxa" w:w="2078"/>
          </w:tcPr>
          <w:p>
            <w:r/>
            <w:r>
              <w:rPr>
                <w:rFonts w:ascii="宋体" w:hAnsi="宋体" w:eastAsia="宋体"/>
                <w:sz w:val="20"/>
              </w:rPr>
              <w:t>Profiler</w:t>
            </w:r>
          </w:p>
        </w:tc>
        <w:tc>
          <w:tcPr>
            <w:tcW w:type="dxa" w:w="2078"/>
          </w:tcPr>
          <w:p>
            <w:r/>
            <w:r>
              <w:rPr>
                <w:rFonts w:ascii="宋体" w:hAnsi="宋体" w:eastAsia="宋体"/>
                <w:sz w:val="20"/>
              </w:rPr>
              <w:t>≥ 72fps</w:t>
            </w:r>
          </w:p>
        </w:tc>
      </w:tr>
      <w:tr>
        <w:tc>
          <w:tcPr>
            <w:tcW w:type="dxa" w:w="2078"/>
          </w:tcPr>
          <w:p>
            <w:r/>
            <w:r>
              <w:rPr>
                <w:rFonts w:ascii="宋体" w:hAnsi="宋体" w:eastAsia="宋体"/>
                <w:sz w:val="20"/>
              </w:rPr>
              <w:t>R 虚实融合</w:t>
            </w:r>
          </w:p>
        </w:tc>
        <w:tc>
          <w:tcPr>
            <w:tcW w:type="dxa" w:w="2078"/>
          </w:tcPr>
          <w:p>
            <w:r/>
            <w:r>
              <w:rPr>
                <w:rFonts w:ascii="宋体" w:hAnsi="宋体" w:eastAsia="宋体"/>
                <w:sz w:val="20"/>
              </w:rPr>
              <w:t>融合自然度</w:t>
            </w:r>
          </w:p>
        </w:tc>
        <w:tc>
          <w:tcPr>
            <w:tcW w:type="dxa" w:w="2078"/>
          </w:tcPr>
          <w:p>
            <w:r/>
            <w:r>
              <w:rPr>
                <w:rFonts w:ascii="宋体" w:hAnsi="宋体" w:eastAsia="宋体"/>
                <w:sz w:val="20"/>
              </w:rPr>
              <w:t>用户评分</w:t>
            </w:r>
          </w:p>
        </w:tc>
        <w:tc>
          <w:tcPr>
            <w:tcW w:type="dxa" w:w="2078"/>
          </w:tcPr>
          <w:p>
            <w:r/>
            <w:r>
              <w:rPr>
                <w:rFonts w:ascii="宋体" w:hAnsi="宋体" w:eastAsia="宋体"/>
                <w:sz w:val="20"/>
              </w:rPr>
              <w:t>≥ 3.5/5</w:t>
            </w:r>
          </w:p>
        </w:tc>
      </w:tr>
      <w:tr>
        <w:tc>
          <w:tcPr>
            <w:tcW w:type="dxa" w:w="2078"/>
          </w:tcPr>
          <w:p>
            <w:r/>
            <w:r>
              <w:rPr>
                <w:rFonts w:ascii="宋体" w:hAnsi="宋体" w:eastAsia="宋体"/>
                <w:sz w:val="20"/>
              </w:rPr>
              <w:t>S 场景应用</w:t>
            </w:r>
          </w:p>
        </w:tc>
        <w:tc>
          <w:tcPr>
            <w:tcW w:type="dxa" w:w="2078"/>
          </w:tcPr>
          <w:p>
            <w:r/>
            <w:r>
              <w:rPr>
                <w:rFonts w:ascii="宋体" w:hAnsi="宋体" w:eastAsia="宋体"/>
                <w:sz w:val="20"/>
              </w:rPr>
              <w:t>文化学习效果</w:t>
            </w:r>
          </w:p>
        </w:tc>
        <w:tc>
          <w:tcPr>
            <w:tcW w:type="dxa" w:w="2078"/>
          </w:tcPr>
          <w:p>
            <w:r/>
            <w:r>
              <w:rPr>
                <w:rFonts w:ascii="宋体" w:hAnsi="宋体" w:eastAsia="宋体"/>
                <w:sz w:val="20"/>
              </w:rPr>
              <w:t>前后测</w:t>
            </w:r>
          </w:p>
        </w:tc>
        <w:tc>
          <w:tcPr>
            <w:tcW w:type="dxa" w:w="2078"/>
          </w:tcPr>
          <w:p>
            <w:r/>
            <w:r>
              <w:rPr>
                <w:rFonts w:ascii="宋体" w:hAnsi="宋体" w:eastAsia="宋体"/>
                <w:sz w:val="20"/>
              </w:rPr>
              <w:t>提升≥30%</w:t>
            </w:r>
          </w:p>
        </w:tc>
      </w:tr>
      <w:tr>
        <w:tc>
          <w:tcPr>
            <w:tcW w:type="dxa" w:w="2078"/>
          </w:tcPr>
          <w:p>
            <w:r/>
            <w:r>
              <w:rPr>
                <w:rFonts w:ascii="宋体" w:hAnsi="宋体" w:eastAsia="宋体"/>
                <w:sz w:val="20"/>
              </w:rPr>
              <w:t>E 评估</w:t>
            </w:r>
          </w:p>
        </w:tc>
        <w:tc>
          <w:tcPr>
            <w:tcW w:type="dxa" w:w="2078"/>
          </w:tcPr>
          <w:p>
            <w:r/>
            <w:r>
              <w:rPr>
                <w:rFonts w:ascii="宋体" w:hAnsi="宋体" w:eastAsia="宋体"/>
                <w:sz w:val="20"/>
              </w:rPr>
              <w:t>整体满意度</w:t>
            </w:r>
          </w:p>
        </w:tc>
        <w:tc>
          <w:tcPr>
            <w:tcW w:type="dxa" w:w="2078"/>
          </w:tcPr>
          <w:p>
            <w:r/>
            <w:r>
              <w:rPr>
                <w:rFonts w:ascii="宋体" w:hAnsi="宋体" w:eastAsia="宋体"/>
                <w:sz w:val="20"/>
              </w:rPr>
              <w:t>SUS 量表</w:t>
            </w:r>
          </w:p>
        </w:tc>
        <w:tc>
          <w:tcPr>
            <w:tcW w:type="dxa" w:w="2078"/>
          </w:tcPr>
          <w:p>
            <w:r/>
            <w:r>
              <w:rPr>
                <w:rFonts w:ascii="宋体" w:hAnsi="宋体" w:eastAsia="宋体"/>
                <w:sz w:val="20"/>
              </w:rPr>
              <w:t>≥ 68</w:t>
            </w:r>
          </w:p>
        </w:tc>
      </w:tr>
    </w:tbl>
    <w:p/>
    <w:p/>
    <w:p>
      <w:pPr>
        <w:pStyle w:val="Heading3"/>
      </w:pPr>
      <w:r>
        <w:t>12.5.2 用户体验数据采集方案</w:t>
      </w:r>
    </w:p>
    <w:p/>
    <w:p>
      <w:pPr>
        <w:ind w:firstLine="482"/>
      </w:pPr>
      <w:r>
        <w:rPr>
          <w:rFonts w:ascii="宋体" w:hAnsi="宋体" w:eastAsia="宋体"/>
          <w:sz w:val="24"/>
        </w:rPr>
        <w:t>数据采集方案包含四种数据源[7]：（1）主观问卷——体验后填写 IPQ、SUS、ARCS 量表；（2）行为日志——VR 系统自动记录用户的位置轨迹、交互事件、注视数据（如有眼动追踪）；（3）生理数据（可选）——心率、皮肤电导等生理指标反映情感状态；（4）访谈——体验后半结构化访谈收集深度反馈。</w:t>
      </w:r>
    </w:p>
    <w:p/>
    <w:p>
      <w:pPr>
        <w:pStyle w:val="Heading3"/>
      </w:pPr>
      <w:r>
        <w:t>12.5.3 数据分析与问题诊断</w:t>
      </w:r>
    </w:p>
    <w:p/>
    <w:p>
      <w:pPr>
        <w:ind w:firstLine="482"/>
      </w:pPr>
      <w:r>
        <w:rPr>
          <w:rFonts w:ascii="宋体" w:hAnsi="宋体" w:eastAsia="宋体"/>
          <w:sz w:val="24"/>
        </w:rPr>
        <w:t>数据分析流程[7]：（1）数据清洗——去除无效问卷和异常行为数据；（2）描述性统计——计算各指标的平均值、标准差和分布；（3）相关性分析——探索不同指标之间的关系（如沉浸感与帧率的关系、交互成功率与满意度的关系）；（4）问题诊断——识别低于目标值的指标，分析可能原因（如帧率不达标可能是 Draw Call 过多或 Shader 过于复杂），制定针对性的优化方案。</w:t>
      </w:r>
    </w:p>
    <w:p/>
    <w:p>
      <w:pPr>
        <w:pStyle w:val="Heading3"/>
      </w:pPr>
      <w:r>
        <w:t>12.5.4 迭代优化策略与版本管理</w:t>
      </w:r>
    </w:p>
    <w:p/>
    <w:p>
      <w:pPr>
        <w:ind w:firstLine="482"/>
      </w:pPr>
      <w:r>
        <w:rPr>
          <w:rFonts w:ascii="宋体" w:hAnsi="宋体" w:eastAsia="宋体"/>
          <w:sz w:val="24"/>
        </w:rPr>
        <w:t>基于评估结果的迭代优化遵循"诊断-假设-修改-验证"的循环[7]：（1）诊断——根据数据分析识别最影响体验的问题；（2）假设——提出优化假设（如"减少场景中的动态光源数量可将帧率提升 10fps"）；（3）修改——实施优化修改；（4）验证——重新评估验证优化效果。每个迭代周期建议 1-2 周，项目周期内应完成至少 2-3 轮迭代。</w:t>
      </w:r>
    </w:p>
    <w:p/>
    <w:p>
      <w:pPr>
        <w:pStyle w:val="Heading3"/>
      </w:pPr>
      <w:r>
        <w:t>12.5.5 项目文档与交付物清单</w:t>
      </w:r>
    </w:p>
    <w:p/>
    <w:p>
      <w:pPr>
        <w:ind w:firstLine="482"/>
      </w:pPr>
      <w:r>
        <w:rPr>
          <w:rFonts w:ascii="宋体" w:hAnsi="宋体" w:eastAsia="宋体"/>
          <w:sz w:val="24"/>
        </w:rPr>
        <w:t>最终交付物包括：（1）沉浸式文旅元宇宙场景应用（多人 VR）；（2）完整资产库（3D 模型+动画+音频+纹理）；（3）AI NPC 对话系统（含知识库和角色设定）；（4）评估报告（含 I.M.M.E.R.S.E. 七维评估数据和分析）；（5）技术设计文档（含架构图、网络协议、API 文档）；（6）用户手册和运维文档；（7）项目报告和答辩 PPT[7]。</w:t>
      </w:r>
    </w:p>
    <w:p/>
    <w:p>
      <w:pPr>
        <w:spacing w:before="60" w:after="60"/>
        <w:ind w:left="567"/>
      </w:pPr>
      <w:r>
        <w:rPr>
          <w:rFonts w:ascii="楷体" w:hAnsi="楷体" w:eastAsia="楷体"/>
          <w:i/>
          <w:sz w:val="22"/>
        </w:rPr>
        <w:t>**知识卡片：多人 VR 网络架构对比**</w:t>
      </w:r>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&gt;</w:t>
            </w:r>
          </w:p>
        </w:tc>
        <w:tc>
          <w:tcPr>
            <w:tcW w:type="dxa" w:w="1662"/>
            <w:shd w:fill="D9E2F3" w:val="clear"/>
          </w:tcPr>
          <w:p>
            <w:pPr>
              <w:jc w:val="center"/>
            </w:pPr>
            <w:r/>
            <w:r>
              <w:rPr>
                <w:rFonts w:ascii="黑体" w:hAnsi="黑体" w:eastAsia="黑体"/>
                <w:b/>
                <w:sz w:val="20"/>
              </w:rPr>
              <w:t>特征</w:t>
            </w:r>
          </w:p>
        </w:tc>
        <w:tc>
          <w:tcPr>
            <w:tcW w:type="dxa" w:w="1662"/>
            <w:shd w:fill="D9E2F3" w:val="clear"/>
          </w:tcPr>
          <w:p>
            <w:pPr>
              <w:jc w:val="center"/>
            </w:pPr>
            <w:r/>
            <w:r>
              <w:rPr>
                <w:rFonts w:ascii="黑体" w:hAnsi="黑体" w:eastAsia="黑体"/>
                <w:b/>
                <w:sz w:val="20"/>
              </w:rPr>
              <w:t>权威服务器</w:t>
            </w:r>
          </w:p>
        </w:tc>
        <w:tc>
          <w:tcPr>
            <w:tcW w:type="dxa" w:w="1662"/>
            <w:shd w:fill="D9E2F3" w:val="clear"/>
          </w:tcPr>
          <w:p>
            <w:pPr>
              <w:jc w:val="center"/>
            </w:pPr>
            <w:r/>
            <w:r>
              <w:rPr>
                <w:rFonts w:ascii="黑体" w:hAnsi="黑体" w:eastAsia="黑体"/>
                <w:b/>
                <w:sz w:val="20"/>
              </w:rPr>
              <w:t>点对点(P2P)</w:t>
            </w:r>
          </w:p>
        </w:tc>
        <w:tc>
          <w:tcPr>
            <w:tcW w:type="dxa" w:w="1662"/>
            <w:shd w:fill="D9E2F3" w:val="clear"/>
          </w:tcPr>
          <w:p>
            <w:pPr>
              <w:jc w:val="center"/>
            </w:pPr>
            <w:r/>
            <w:r>
              <w:rPr>
                <w:rFonts w:ascii="黑体" w:hAnsi="黑体" w:eastAsia="黑体"/>
                <w:b/>
                <w:sz w:val="20"/>
              </w:rPr>
              <w:t>Host模式</w:t>
            </w:r>
          </w:p>
        </w:tc>
      </w:tr>
      <w:tr>
        <w:tc>
          <w:tcPr>
            <w:tcW w:type="dxa" w:w="1662"/>
          </w:tcPr>
          <w:p>
            <w:r/>
            <w:r>
              <w:rPr>
                <w:rFonts w:ascii="宋体" w:hAnsi="宋体" w:eastAsia="宋体"/>
                <w:sz w:val="20"/>
              </w:rPr>
              <w:t>&gt;</w:t>
            </w:r>
          </w:p>
        </w:tc>
        <w:tc>
          <w:tcPr>
            <w:tcW w:type="dxa" w:w="1662"/>
          </w:tcPr>
          <w:p>
            <w:r/>
            <w:r>
              <w:rPr>
                <w:rFonts w:ascii="宋体" w:hAnsi="宋体" w:eastAsia="宋体"/>
                <w:sz w:val="20"/>
              </w:rPr>
              <w:t>服务器成本</w:t>
            </w:r>
          </w:p>
        </w:tc>
        <w:tc>
          <w:tcPr>
            <w:tcW w:type="dxa" w:w="1662"/>
          </w:tcPr>
          <w:p>
            <w:r/>
            <w:r>
              <w:rPr>
                <w:rFonts w:ascii="宋体" w:hAnsi="宋体" w:eastAsia="宋体"/>
                <w:sz w:val="20"/>
              </w:rPr>
              <w:t>高</w:t>
            </w:r>
          </w:p>
        </w:tc>
        <w:tc>
          <w:tcPr>
            <w:tcW w:type="dxa" w:w="1662"/>
          </w:tcPr>
          <w:p>
            <w:r/>
            <w:r>
              <w:rPr>
                <w:rFonts w:ascii="宋体" w:hAnsi="宋体" w:eastAsia="宋体"/>
                <w:sz w:val="20"/>
              </w:rPr>
              <w:t>无</w:t>
            </w:r>
          </w:p>
        </w:tc>
        <w:tc>
          <w:tcPr>
            <w:tcW w:type="dxa" w:w="1662"/>
          </w:tcPr>
          <w:p>
            <w:r/>
            <w:r>
              <w:rPr>
                <w:rFonts w:ascii="宋体" w:hAnsi="宋体" w:eastAsia="宋体"/>
                <w:sz w:val="20"/>
              </w:rPr>
              <w:t>低</w:t>
            </w:r>
          </w:p>
        </w:tc>
      </w:tr>
      <w:tr>
        <w:tc>
          <w:tcPr>
            <w:tcW w:type="dxa" w:w="1662"/>
          </w:tcPr>
          <w:p>
            <w:r/>
            <w:r>
              <w:rPr>
                <w:rFonts w:ascii="宋体" w:hAnsi="宋体" w:eastAsia="宋体"/>
                <w:sz w:val="20"/>
              </w:rPr>
              <w:t>&gt;</w:t>
            </w:r>
          </w:p>
        </w:tc>
        <w:tc>
          <w:tcPr>
            <w:tcW w:type="dxa" w:w="1662"/>
          </w:tcPr>
          <w:p>
            <w:r/>
            <w:r>
              <w:rPr>
                <w:rFonts w:ascii="宋体" w:hAnsi="宋体" w:eastAsia="宋体"/>
                <w:sz w:val="20"/>
              </w:rPr>
              <w:t>防作弊</w:t>
            </w:r>
          </w:p>
        </w:tc>
        <w:tc>
          <w:tcPr>
            <w:tcW w:type="dxa" w:w="1662"/>
          </w:tcPr>
          <w:p>
            <w:r/>
            <w:r>
              <w:rPr>
                <w:rFonts w:ascii="宋体" w:hAnsi="宋体" w:eastAsia="宋体"/>
                <w:sz w:val="20"/>
              </w:rPr>
              <w:t>强</w:t>
            </w:r>
          </w:p>
        </w:tc>
        <w:tc>
          <w:tcPr>
            <w:tcW w:type="dxa" w:w="1662"/>
          </w:tcPr>
          <w:p>
            <w:r/>
            <w:r>
              <w:rPr>
                <w:rFonts w:ascii="宋体" w:hAnsi="宋体" w:eastAsia="宋体"/>
                <w:sz w:val="20"/>
              </w:rPr>
              <w:t>弱</w:t>
            </w:r>
          </w:p>
        </w:tc>
        <w:tc>
          <w:tcPr>
            <w:tcW w:type="dxa" w:w="1662"/>
          </w:tcPr>
          <w:p>
            <w:r/>
            <w:r>
              <w:rPr>
                <w:rFonts w:ascii="宋体" w:hAnsi="宋体" w:eastAsia="宋体"/>
                <w:sz w:val="20"/>
              </w:rPr>
              <w:t>中</w:t>
            </w:r>
          </w:p>
        </w:tc>
      </w:tr>
      <w:tr>
        <w:tc>
          <w:tcPr>
            <w:tcW w:type="dxa" w:w="1662"/>
          </w:tcPr>
          <w:p>
            <w:r/>
            <w:r>
              <w:rPr>
                <w:rFonts w:ascii="宋体" w:hAnsi="宋体" w:eastAsia="宋体"/>
                <w:sz w:val="20"/>
              </w:rPr>
              <w:t>&gt;</w:t>
            </w:r>
          </w:p>
        </w:tc>
        <w:tc>
          <w:tcPr>
            <w:tcW w:type="dxa" w:w="1662"/>
          </w:tcPr>
          <w:p>
            <w:r/>
            <w:r>
              <w:rPr>
                <w:rFonts w:ascii="宋体" w:hAnsi="宋体" w:eastAsia="宋体"/>
                <w:sz w:val="20"/>
              </w:rPr>
              <w:t>延迟</w:t>
            </w:r>
          </w:p>
        </w:tc>
        <w:tc>
          <w:tcPr>
            <w:tcW w:type="dxa" w:w="1662"/>
          </w:tcPr>
          <w:p>
            <w:r/>
            <w:r>
              <w:rPr>
                <w:rFonts w:ascii="宋体" w:hAnsi="宋体" w:eastAsia="宋体"/>
                <w:sz w:val="20"/>
              </w:rPr>
              <w:t>中(依服务器位置)</w:t>
            </w:r>
          </w:p>
        </w:tc>
        <w:tc>
          <w:tcPr>
            <w:tcW w:type="dxa" w:w="1662"/>
          </w:tcPr>
          <w:p>
            <w:r/>
            <w:r>
              <w:rPr>
                <w:rFonts w:ascii="宋体" w:hAnsi="宋体" w:eastAsia="宋体"/>
                <w:sz w:val="20"/>
              </w:rPr>
              <w:t>低</w:t>
            </w:r>
          </w:p>
        </w:tc>
        <w:tc>
          <w:tcPr>
            <w:tcW w:type="dxa" w:w="1662"/>
          </w:tcPr>
          <w:p>
            <w:r/>
            <w:r>
              <w:rPr>
                <w:rFonts w:ascii="宋体" w:hAnsi="宋体" w:eastAsia="宋体"/>
                <w:sz w:val="20"/>
              </w:rPr>
              <w:t>低</w:t>
            </w:r>
          </w:p>
        </w:tc>
      </w:tr>
      <w:tr>
        <w:tc>
          <w:tcPr>
            <w:tcW w:type="dxa" w:w="1662"/>
          </w:tcPr>
          <w:p>
            <w:r/>
            <w:r>
              <w:rPr>
                <w:rFonts w:ascii="宋体" w:hAnsi="宋体" w:eastAsia="宋体"/>
                <w:sz w:val="20"/>
              </w:rPr>
              <w:t>&gt;</w:t>
            </w:r>
          </w:p>
        </w:tc>
        <w:tc>
          <w:tcPr>
            <w:tcW w:type="dxa" w:w="1662"/>
          </w:tcPr>
          <w:p>
            <w:r/>
            <w:r>
              <w:rPr>
                <w:rFonts w:ascii="宋体" w:hAnsi="宋体" w:eastAsia="宋体"/>
                <w:sz w:val="20"/>
              </w:rPr>
              <w:t>适合规模</w:t>
            </w:r>
          </w:p>
        </w:tc>
        <w:tc>
          <w:tcPr>
            <w:tcW w:type="dxa" w:w="1662"/>
          </w:tcPr>
          <w:p>
            <w:r/>
            <w:r>
              <w:rPr>
                <w:rFonts w:ascii="宋体" w:hAnsi="宋体" w:eastAsia="宋体"/>
                <w:sz w:val="20"/>
              </w:rPr>
              <w:t>10-100+人</w:t>
            </w:r>
          </w:p>
        </w:tc>
        <w:tc>
          <w:tcPr>
            <w:tcW w:type="dxa" w:w="1662"/>
          </w:tcPr>
          <w:p>
            <w:r/>
            <w:r>
              <w:rPr>
                <w:rFonts w:ascii="宋体" w:hAnsi="宋体" w:eastAsia="宋体"/>
                <w:sz w:val="20"/>
              </w:rPr>
              <w:t>2-4人</w:t>
            </w:r>
          </w:p>
        </w:tc>
        <w:tc>
          <w:tcPr>
            <w:tcW w:type="dxa" w:w="1662"/>
          </w:tcPr>
          <w:p>
            <w:r/>
            <w:r>
              <w:rPr>
                <w:rFonts w:ascii="宋体" w:hAnsi="宋体" w:eastAsia="宋体"/>
                <w:sz w:val="20"/>
              </w:rPr>
              <w:t>4-8人</w:t>
            </w:r>
          </w:p>
        </w:tc>
      </w:tr>
      <w:tr>
        <w:tc>
          <w:tcPr>
            <w:tcW w:type="dxa" w:w="1662"/>
          </w:tcPr>
          <w:p>
            <w:r/>
            <w:r>
              <w:rPr>
                <w:rFonts w:ascii="宋体" w:hAnsi="宋体" w:eastAsia="宋体"/>
                <w:sz w:val="20"/>
              </w:rPr>
              <w:t>&gt;</w:t>
            </w:r>
          </w:p>
        </w:tc>
        <w:tc>
          <w:tcPr>
            <w:tcW w:type="dxa" w:w="1662"/>
          </w:tcPr>
          <w:p>
            <w:r/>
            <w:r>
              <w:rPr>
                <w:rFonts w:ascii="宋体" w:hAnsi="宋体" w:eastAsia="宋体"/>
                <w:sz w:val="20"/>
              </w:rPr>
              <w:t>主机断线影响</w:t>
            </w:r>
          </w:p>
        </w:tc>
        <w:tc>
          <w:tcPr>
            <w:tcW w:type="dxa" w:w="1662"/>
          </w:tcPr>
          <w:p>
            <w:r/>
            <w:r>
              <w:rPr>
                <w:rFonts w:ascii="宋体" w:hAnsi="宋体" w:eastAsia="宋体"/>
                <w:sz w:val="20"/>
              </w:rPr>
              <w:t>无</w:t>
            </w:r>
          </w:p>
        </w:tc>
        <w:tc>
          <w:tcPr>
            <w:tcW w:type="dxa" w:w="1662"/>
          </w:tcPr>
          <w:p>
            <w:r/>
            <w:r>
              <w:rPr>
                <w:rFonts w:ascii="宋体" w:hAnsi="宋体" w:eastAsia="宋体"/>
                <w:sz w:val="20"/>
              </w:rPr>
              <w:t>全部断线</w:t>
            </w:r>
          </w:p>
        </w:tc>
        <w:tc>
          <w:tcPr>
            <w:tcW w:type="dxa" w:w="1662"/>
          </w:tcPr>
          <w:p>
            <w:r/>
            <w:r>
              <w:rPr>
                <w:rFonts w:ascii="宋体" w:hAnsi="宋体" w:eastAsia="宋体"/>
                <w:sz w:val="20"/>
              </w:rPr>
              <w:t>全部断线</w:t>
            </w:r>
          </w:p>
        </w:tc>
      </w:tr>
      <w:tr>
        <w:tc>
          <w:tcPr>
            <w:tcW w:type="dxa" w:w="1662"/>
          </w:tcPr>
          <w:p>
            <w:r/>
            <w:r>
              <w:rPr>
                <w:rFonts w:ascii="宋体" w:hAnsi="宋体" w:eastAsia="宋体"/>
                <w:sz w:val="20"/>
              </w:rPr>
              <w:t>&gt;</w:t>
            </w:r>
          </w:p>
        </w:tc>
        <w:tc>
          <w:tcPr>
            <w:tcW w:type="dxa" w:w="1662"/>
          </w:tcPr>
          <w:p>
            <w:r/>
            <w:r>
              <w:rPr>
                <w:rFonts w:ascii="宋体" w:hAnsi="宋体" w:eastAsia="宋体"/>
                <w:sz w:val="20"/>
              </w:rPr>
              <w:t>推荐场景</w:t>
            </w:r>
          </w:p>
        </w:tc>
        <w:tc>
          <w:tcPr>
            <w:tcW w:type="dxa" w:w="1662"/>
          </w:tcPr>
          <w:p>
            <w:r/>
            <w:r>
              <w:rPr>
                <w:rFonts w:ascii="宋体" w:hAnsi="宋体" w:eastAsia="宋体"/>
                <w:sz w:val="20"/>
              </w:rPr>
              <w:t>大型元宇宙</w:t>
            </w:r>
          </w:p>
        </w:tc>
        <w:tc>
          <w:tcPr>
            <w:tcW w:type="dxa" w:w="1662"/>
          </w:tcPr>
          <w:p>
            <w:r/>
            <w:r>
              <w:rPr>
                <w:rFonts w:ascii="宋体" w:hAnsi="宋体" w:eastAsia="宋体"/>
                <w:sz w:val="20"/>
              </w:rPr>
              <w:t>小型协作</w:t>
            </w:r>
          </w:p>
        </w:tc>
        <w:tc>
          <w:tcPr>
            <w:tcW w:type="dxa" w:w="1662"/>
          </w:tcPr>
          <w:p>
            <w:r/>
            <w:r>
              <w:rPr>
                <w:rFonts w:ascii="宋体" w:hAnsi="宋体" w:eastAsia="宋体"/>
                <w:sz w:val="20"/>
              </w:rPr>
              <w:t>中型体验</w:t>
            </w:r>
          </w:p>
        </w:tc>
      </w:tr>
    </w:tbl>
    <w:p/>
    <w:p/>
    <w:p>
      <w:pPr>
        <w:ind w:firstLine="482"/>
      </w:pPr>
      <w:r>
        <w:rPr>
          <w:rFonts w:ascii="宋体" w:hAnsi="宋体" w:eastAsia="宋体"/>
          <w:sz w:val="24"/>
        </w:rPr>
        <w:t>---</w:t>
      </w:r>
    </w:p>
    <w:p/>
    <w:p>
      <w:pPr>
        <w:pStyle w:val="Heading2"/>
      </w:pPr>
      <w:r>
        <w:t>12.6 案例实践：贵州文旅元宇宙场景制作</w:t>
      </w:r>
    </w:p>
    <w:p/>
    <w:p>
      <w:pPr>
        <w:pStyle w:val="Heading3"/>
      </w:pPr>
      <w:r>
        <w:t>12.6.1 项目背景与定位</w:t>
      </w:r>
    </w:p>
    <w:p/>
    <w:p>
      <w:pPr>
        <w:ind w:firstLine="482"/>
      </w:pPr>
      <w:r>
        <w:rPr>
          <w:rFonts w:ascii="宋体" w:hAnsi="宋体" w:eastAsia="宋体"/>
          <w:sz w:val="24"/>
        </w:rPr>
        <w:t>贵州文旅元宇宙项目旨在创建一个虚拟的贵州文旅空间，将贵州的代表性景区（黄果树瀑布、荔波小七孔、西江千户苗寨、梵净山等）以数字化形式呈现在元宇宙中。用户可以通过 VR 头显、PC 或手机进入这个虚拟空间，游览数字化的贵州景区，参与虚拟文化活动（如苗年节、地戏表演），与其他游客互动交流，并购买虚拟文创产品[1]。</w:t>
      </w:r>
    </w:p>
    <w:p/>
    <w:p>
      <w:pPr>
        <w:ind w:firstLine="482"/>
      </w:pPr>
      <w:r>
        <w:rPr>
          <w:rFonts w:ascii="宋体" w:hAnsi="宋体" w:eastAsia="宋体"/>
          <w:sz w:val="24"/>
        </w:rPr>
        <w:t>项目定位为"文旅营销+文化教育"双轮驱动——一方面作为贵州文旅的线上营销窗口，吸引潜在游客了解贵州、激发出行意愿；另一方面作为文化传播平台，让无法亲临现场的用户也能体验贵州文化。项目首期覆盖 4 个核心景区，规划 10 个交互场景和 5 个文化体验活动[2]。</w:t>
      </w:r>
    </w:p>
    <w:p/>
    <w:p>
      <w:pPr>
        <w:pStyle w:val="Heading3"/>
      </w:pPr>
      <w:r>
        <w:t>12.6.2 技术架构设计</w:t>
      </w:r>
    </w:p>
    <w:p/>
    <w:p>
      <w:pPr>
        <w:ind w:firstLine="482"/>
      </w:pPr>
      <w:r>
        <w:rPr>
          <w:rFonts w:ascii="宋体" w:hAnsi="宋体" w:eastAsia="宋体"/>
          <w:sz w:val="24"/>
        </w:rPr>
        <w:t>项目采用"云端渲染+客户端交互"的混合架构[3]：</w:t>
      </w:r>
    </w:p>
    <w:p/>
    <w:p>
      <w:pPr>
        <w:ind w:firstLine="482"/>
      </w:pPr>
      <w:r>
        <w:rPr>
          <w:rFonts w:ascii="宋体" w:hAnsi="宋体" w:eastAsia="宋体"/>
          <w:b/>
          <w:sz w:val="24"/>
        </w:rPr>
        <w:t>服务端</w:t>
      </w:r>
      <w:r>
        <w:rPr>
          <w:rFonts w:ascii="宋体" w:hAnsi="宋体" w:eastAsia="宋体"/>
          <w:sz w:val="24"/>
        </w:rPr>
        <w:t>：Unity Server 负责场景管理、物理模拟和状态同步。使用 Photon Fusion 作为多人网络框架，支持 50 人同时在线。使用 Node.js 搭建后端 API 服务，处理用户认证、数据存储和 LLM 接口。使用 Redis 缓存热点数据，MongoDB 存储用户数据和虚拟资产。</w:t>
      </w:r>
    </w:p>
    <w:p/>
    <w:p>
      <w:pPr>
        <w:ind w:firstLine="482"/>
      </w:pPr>
      <w:r>
        <w:rPr>
          <w:rFonts w:ascii="宋体" w:hAnsi="宋体" w:eastAsia="宋体"/>
          <w:b/>
          <w:sz w:val="24"/>
        </w:rPr>
        <w:t>客户端</w:t>
      </w:r>
      <w:r>
        <w:rPr>
          <w:rFonts w:ascii="宋体" w:hAnsi="宋体" w:eastAsia="宋体"/>
          <w:sz w:val="24"/>
        </w:rPr>
        <w:t>：Unity Client 编译为多平台版本——Meta Quest VR 头显版（沉浸式 VR 体验）、PC 版（键鼠操作的高画质体验）、移动端 WebGL 版（浏览器即开即用）。三个版本共享同一套服务器，实现跨平台同服游玩。</w:t>
      </w:r>
    </w:p>
    <w:p/>
    <w:p>
      <w:pPr>
        <w:ind w:firstLine="482"/>
      </w:pPr>
      <w:r>
        <w:rPr>
          <w:rFonts w:ascii="宋体" w:hAnsi="宋体" w:eastAsia="宋体"/>
          <w:b/>
          <w:sz w:val="24"/>
        </w:rPr>
        <w:t>AI 层</w:t>
      </w:r>
      <w:r>
        <w:rPr>
          <w:rFonts w:ascii="宋体" w:hAnsi="宋体" w:eastAsia="宋体"/>
          <w:sz w:val="24"/>
        </w:rPr>
        <w:t>：集成 DeepSeek 大语言模型作为 NPC 智能引擎。每个虚拟角色都有独立的 AI 人格设定和知识库——苗族长者可以讲述苗族迁徙史、黄果树导游可以介绍地质形成过程、非遗匠人可以演示手工艺制作步骤。用户可以用自然语言与 NPC 对话，获得个性化的文化讲解和互动体验[4]。</w:t>
      </w:r>
    </w:p>
    <w:p/>
    <w:p>
      <w:pPr>
        <w:ind w:firstLine="482"/>
      </w:pPr>
      <w:r>
        <w:rPr>
          <w:rFonts w:ascii="宋体" w:hAnsi="宋体" w:eastAsia="宋体"/>
          <w:b/>
          <w:sz w:val="24"/>
        </w:rPr>
        <w:t>区块链层</w:t>
      </w:r>
      <w:r>
        <w:rPr>
          <w:rFonts w:ascii="宋体" w:hAnsi="宋体" w:eastAsia="宋体"/>
          <w:sz w:val="24"/>
        </w:rPr>
        <w:t>：使用 Polygon 链记录虚拟资产（虚拟土地、数字文创品）的权属信息。用户购买的虚拟文创品以 NFT 形式发放，确保唯一性和可交易性。这一设计为文旅元宇宙引入了数字经济的维度——用户可以在元宇宙中购买贵州特色文创的数字版本（如虚拟苗银饰品、虚拟蜡染作品），既支持创作者经济，又为实体文创导流[5]。</w:t>
      </w:r>
    </w:p>
    <w:p/>
    <w:p>
      <w:pPr>
        <w:pStyle w:val="Heading3"/>
      </w:pPr>
      <w:r>
        <w:t>12.6.3 虚拟场景制作</w:t>
      </w:r>
    </w:p>
    <w:p/>
    <w:p>
      <w:pPr>
        <w:ind w:firstLine="482"/>
      </w:pPr>
      <w:r>
        <w:rPr>
          <w:rFonts w:ascii="宋体" w:hAnsi="宋体" w:eastAsia="宋体"/>
          <w:b/>
          <w:sz w:val="24"/>
        </w:rPr>
        <w:t>数字景区建模</w:t>
      </w:r>
      <w:r>
        <w:rPr>
          <w:rFonts w:ascii="宋体" w:hAnsi="宋体" w:eastAsia="宋体"/>
          <w:sz w:val="24"/>
        </w:rPr>
        <w:t>：4 个核心景区采用"倾斜摄影+手工精修"的方案制作。使用大疆 M300 RTK 无人机搭载倾斜摄影相机采集景区数据（每个景区采集 2000-5000 张照片），使用 ContextCapture 生成实景三维模型。在 Blender 中进行模型清理、减面和优化，导出为 Unity 可用的 FBX 格式。每个景区模型面数控制在 50 万-100 万三角形，配合 LOD 技术实现远近不同的精度切换[6]。</w:t>
      </w:r>
    </w:p>
    <w:p/>
    <w:p>
      <w:pPr>
        <w:ind w:firstLine="482"/>
      </w:pPr>
      <w:r>
        <w:rPr>
          <w:rFonts w:ascii="宋体" w:hAnsi="宋体" w:eastAsia="宋体"/>
          <w:b/>
          <w:sz w:val="24"/>
        </w:rPr>
        <w:t>虚拟角色制作</w:t>
      </w:r>
      <w:r>
        <w:rPr>
          <w:rFonts w:ascii="宋体" w:hAnsi="宋体" w:eastAsia="宋体"/>
          <w:sz w:val="24"/>
        </w:rPr>
        <w:t>：苗族角色使用 MetaHuman Creator 创建高精度数字人，配备苗族传统服饰（银饰、刺绣、百褶裙）。服饰的物理模拟使用 Unity 的 Cloth 组件实现自然的飘动效果。角色面部表情使用 ARKit 面部追踪数据驱动，实现自然的微笑、惊讶、思考等表情。地戏角色使用手工建模+动作捕捉的方式制作，保留地戏面具的夸张造型和独特动作风格[7]。</w:t>
      </w:r>
    </w:p>
    <w:p/>
    <w:p>
      <w:pPr>
        <w:ind w:firstLine="482"/>
      </w:pPr>
      <w:r>
        <w:rPr>
          <w:rFonts w:ascii="宋体" w:hAnsi="宋体" w:eastAsia="宋体"/>
          <w:b/>
          <w:sz w:val="24"/>
        </w:rPr>
        <w:t>环境氛围营造</w:t>
      </w:r>
      <w:r>
        <w:rPr>
          <w:rFonts w:ascii="宋体" w:hAnsi="宋体" w:eastAsia="宋体"/>
          <w:sz w:val="24"/>
        </w:rPr>
        <w:t>：每个景区根据真实气候和光照数据设置 Unity 的天空盒、雾效和光照参数。黄果树景区添加粒子系统模拟水雾飞溅，荔波小七孔添加水面反射和焦散效果，西江苗寨添加夜间灯火和炊烟效果，梵净山添加云海和佛光效果。这些环境细节显著提升了虚拟场景的沉浸感和真实感。</w:t>
      </w:r>
    </w:p>
    <w:p/>
    <w:p>
      <w:pPr>
        <w:ind w:firstLine="482"/>
      </w:pPr>
      <w:r>
        <w:rPr>
          <w:rFonts w:ascii="宋体" w:hAnsi="宋体" w:eastAsia="宋体"/>
          <w:b/>
          <w:sz w:val="24"/>
        </w:rPr>
        <w:t>音景设计</w:t>
      </w:r>
      <w:r>
        <w:rPr>
          <w:rFonts w:ascii="宋体" w:hAnsi="宋体" w:eastAsia="宋体"/>
          <w:sz w:val="24"/>
        </w:rPr>
        <w:t>：为每个景区录制或合成环境音效——黄果树的瀑布轰鸣、荔波的溪流潺潺、西江的虫鸣鸟叫、梵净山的风声松涛。使用 Unity 的 Audio Spatializer 实现空间音频效果——用户在虚拟场景中走动时，音效的方向和距离会实时变化，增强临场感。苗族歌舞区域添加苗族芦笙和飞歌的音乐素材，让用户在视觉和听觉上同时感受苗族文化[8]。</w:t>
      </w:r>
    </w:p>
    <w:p/>
    <w:p>
      <w:pPr>
        <w:pStyle w:val="Heading3"/>
      </w:pPr>
      <w:r>
        <w:t>12.6.4 交互功能实现</w:t>
      </w:r>
    </w:p>
    <w:p/>
    <w:p>
      <w:pPr>
        <w:ind w:firstLine="482"/>
      </w:pPr>
      <w:r>
        <w:rPr>
          <w:rFonts w:ascii="宋体" w:hAnsi="宋体" w:eastAsia="宋体"/>
          <w:b/>
          <w:sz w:val="24"/>
        </w:rPr>
        <w:t>虚拟游览</w:t>
      </w:r>
      <w:r>
        <w:rPr>
          <w:rFonts w:ascii="宋体" w:hAnsi="宋体" w:eastAsia="宋体"/>
          <w:sz w:val="24"/>
        </w:rPr>
        <w:t>：用户进入元宇宙后，首先出现在虚拟服务中心——一个融合贵州建筑风格的数字大厅。大厅中展示 4 个景区的入口传送门，每个传送门以景区特色元素装饰（黄果树的瀑布造型、荔波的石桥造型等）。用户走进传送门即可传送到对应景区。在景区中，用户可以自由行走（VR 模式用手柄摇杆移动，PC 模式用 WASD 键移动），或使用"快速旅行"功能直接跳转到兴趣点[9]。</w:t>
      </w:r>
    </w:p>
    <w:p/>
    <w:p>
      <w:pPr>
        <w:ind w:firstLine="482"/>
      </w:pPr>
      <w:r>
        <w:rPr>
          <w:rFonts w:ascii="宋体" w:hAnsi="宋体" w:eastAsia="宋体"/>
          <w:b/>
          <w:sz w:val="24"/>
        </w:rPr>
        <w:t>AI 导游互动</w:t>
      </w:r>
      <w:r>
        <w:rPr>
          <w:rFonts w:ascii="宋体" w:hAnsi="宋体" w:eastAsia="宋体"/>
          <w:sz w:val="24"/>
        </w:rPr>
        <w:t>：每个景区部署 2-3 个 AI 导游 NPC。NPC 具有人工智能对话能力——用户走近 NPC 时，NPC 主动打招呼并询问是否需要讲解。用户可以用语音或文字提问，NPC 通过 LLM 生成回答，配合语音合成（TTS）和面部口型同步（Lip Sync）实现自然的对话体验。NPC 的知识库包含景区历史、地质、生态、文化等多维度信息，能够回答从简单的事实性问题到开放式的文化讨论[4]。</w:t>
      </w:r>
    </w:p>
    <w:p/>
    <w:p>
      <w:pPr>
        <w:ind w:firstLine="482"/>
      </w:pPr>
      <w:r>
        <w:rPr>
          <w:rFonts w:ascii="宋体" w:hAnsi="宋体" w:eastAsia="宋体"/>
          <w:b/>
          <w:sz w:val="24"/>
        </w:rPr>
        <w:t>文化体验活动</w:t>
      </w:r>
      <w:r>
        <w:rPr>
          <w:rFonts w:ascii="宋体" w:hAnsi="宋体" w:eastAsia="宋体"/>
          <w:sz w:val="24"/>
        </w:rPr>
        <w:t>：元宇宙中定期举办虚拟文化活动——苗年节庆典（虚拟篝火晚会、苗族歌舞表演）、地戏表演（用户可以观看或参与虚拟地戏）、蜡染工坊（用户跟随虚拟匠人学习蜡染制作步骤，完成的作品可以保存为数字资产）、贵州美食节（虚拟美食制作和品尝体验）。这些活动通过 Photon Fusion 的状态同步实现多人实时参与，用户可以看到彼此的虚拟化身并在活动中互动[10]。</w:t>
      </w:r>
    </w:p>
    <w:p/>
    <w:p>
      <w:pPr>
        <w:ind w:firstLine="482"/>
      </w:pPr>
      <w:r>
        <w:rPr>
          <w:rFonts w:ascii="宋体" w:hAnsi="宋体" w:eastAsia="宋体"/>
          <w:b/>
          <w:sz w:val="24"/>
        </w:rPr>
        <w:t>社交功能</w:t>
      </w:r>
      <w:r>
        <w:rPr>
          <w:rFonts w:ascii="宋体" w:hAnsi="宋体" w:eastAsia="宋体"/>
          <w:sz w:val="24"/>
        </w:rPr>
        <w:t>：用户可以查看附近的其他游客，发起语音通话或文字聊天。支持"结伴游览"模式——一位用户可以邀请其他用户组成游览小队，共享导览路线和兴趣点标记。社交系统还包含好友列表、虚拟合影（多人拍照功能）和虚拟礼物（用户之间赠送贵州特色数字文创品）等功能[10]。</w:t>
      </w:r>
    </w:p>
    <w:p/>
    <w:p>
      <w:pPr>
        <w:pStyle w:val="Heading3"/>
      </w:pPr>
      <w:r>
        <w:t>12.6.5 项目测试与发布</w:t>
      </w:r>
    </w:p>
    <w:p/>
    <w:p>
      <w:pPr>
        <w:ind w:firstLine="482"/>
      </w:pPr>
      <w:r>
        <w:rPr>
          <w:rFonts w:ascii="宋体" w:hAnsi="宋体" w:eastAsia="宋体"/>
          <w:b/>
          <w:sz w:val="24"/>
        </w:rPr>
        <w:t>多平台测试</w:t>
      </w:r>
      <w:r>
        <w:rPr>
          <w:rFonts w:ascii="宋体" w:hAnsi="宋体" w:eastAsia="宋体"/>
          <w:sz w:val="24"/>
        </w:rPr>
        <w:t>：VR 头显版重点测试帧率（目标 72fps）、移动舒适度（避免眩晕）和手柄交互精度。PC 版重点测试高画质模式下的性能（4K 分辨率、光线追踪）和键鼠操作体验。移动端 WebGL 版重点测试加载时间（目标 30 秒以内）、内存占用（目标 1GB 以内）和触控操作适配[11]。</w:t>
      </w:r>
    </w:p>
    <w:p/>
    <w:p>
      <w:pPr>
        <w:ind w:firstLine="482"/>
      </w:pPr>
      <w:r>
        <w:rPr>
          <w:rFonts w:ascii="宋体" w:hAnsi="宋体" w:eastAsia="宋体"/>
          <w:b/>
          <w:sz w:val="24"/>
        </w:rPr>
        <w:t>多人压力测试</w:t>
      </w:r>
      <w:r>
        <w:rPr>
          <w:rFonts w:ascii="宋体" w:hAnsi="宋体" w:eastAsia="宋体"/>
          <w:sz w:val="24"/>
        </w:rPr>
        <w:t>：使用自动化脚本模拟 50 个虚拟用户同时在线，测试服务器性能和网络延迟。重点关注场景切换时的同步延迟（目标 &lt;200ms）、AI NPC 的响应时间（目标 &lt;3 秒）和语音通话质量（目标延迟 &lt;150ms）[11]。</w:t>
      </w:r>
    </w:p>
    <w:p/>
    <w:p>
      <w:pPr>
        <w:ind w:firstLine="482"/>
      </w:pPr>
      <w:r>
        <w:rPr>
          <w:rFonts w:ascii="宋体" w:hAnsi="宋体" w:eastAsia="宋体"/>
          <w:b/>
          <w:sz w:val="24"/>
        </w:rPr>
        <w:t>用户测试</w:t>
      </w:r>
      <w:r>
        <w:rPr>
          <w:rFonts w:ascii="宋体" w:hAnsi="宋体" w:eastAsia="宋体"/>
          <w:sz w:val="24"/>
        </w:rPr>
        <w:t>：邀请 30 名用户（15 名 VR 头显用户，15 名 PC/手机用户）进行为期 2 周的测试。收集用户体验数据、功能使用频率和满意度评分。根据测试结果优化交互设计、调整 NPC 对话逻辑和改进性能瓶颈。</w:t>
      </w:r>
    </w:p>
    <w:p/>
    <w:p>
      <w:pPr>
        <w:ind w:firstLine="482"/>
      </w:pPr>
      <w:r>
        <w:rPr>
          <w:rFonts w:ascii="宋体" w:hAnsi="宋体" w:eastAsia="宋体"/>
          <w:b/>
          <w:sz w:val="24"/>
        </w:rPr>
        <w:t>发布策略</w:t>
      </w:r>
      <w:r>
        <w:rPr>
          <w:rFonts w:ascii="宋体" w:hAnsi="宋体" w:eastAsia="宋体"/>
          <w:sz w:val="24"/>
        </w:rPr>
        <w:t>：VR 版通过 Meta Quest Store 和 SideQuest 发布，PC 版通过 Steam 平台发布，移动端版通过 Web 服务器直接部署。同步在抖音、微信等社交媒体发布元宇宙体验视频，吸引用户关注和参与[2]。</w:t>
      </w:r>
    </w:p>
    <w:p/>
    <w:p>
      <w:pPr>
        <w:pStyle w:val="Heading3"/>
      </w:pPr>
      <w:r>
        <w:t>12.6.6 运营与迭代</w:t>
      </w:r>
    </w:p>
    <w:p/>
    <w:p>
      <w:pPr>
        <w:ind w:firstLine="482"/>
      </w:pPr>
      <w:r>
        <w:rPr>
          <w:rFonts w:ascii="宋体" w:hAnsi="宋体" w:eastAsia="宋体"/>
          <w:sz w:val="24"/>
        </w:rPr>
        <w:t>元宇宙项目的运营是持续的——上线只是第一步，后续需要不断更新内容、优化体验和扩大用户规模[10]。</w:t>
      </w:r>
    </w:p>
    <w:p/>
    <w:p>
      <w:pPr>
        <w:ind w:firstLine="482"/>
      </w:pPr>
      <w:r>
        <w:rPr>
          <w:rFonts w:ascii="宋体" w:hAnsi="宋体" w:eastAsia="宋体"/>
          <w:b/>
          <w:sz w:val="24"/>
        </w:rPr>
        <w:t>内容更新计划</w:t>
      </w:r>
      <w:r>
        <w:rPr>
          <w:rFonts w:ascii="宋体" w:hAnsi="宋体" w:eastAsia="宋体"/>
          <w:sz w:val="24"/>
        </w:rPr>
        <w:t>：每季度新增 1-2 个景区或文化体验场景，保持内容的新鲜感。每月举办 1-2 次限时文化活动（如"贵州春季赏花节""暑期苗年庆典"），吸引用户回流。每周更新 AI NPC 的知识库，使其能回答最新的问题。</w:t>
      </w:r>
    </w:p>
    <w:p/>
    <w:p>
      <w:pPr>
        <w:ind w:firstLine="482"/>
      </w:pPr>
      <w:r>
        <w:rPr>
          <w:rFonts w:ascii="宋体" w:hAnsi="宋体" w:eastAsia="宋体"/>
          <w:b/>
          <w:sz w:val="24"/>
        </w:rPr>
        <w:t>数据驱动优化</w:t>
      </w:r>
      <w:r>
        <w:rPr>
          <w:rFonts w:ascii="宋体" w:hAnsi="宋体" w:eastAsia="宋体"/>
          <w:sz w:val="24"/>
        </w:rPr>
        <w:t>：通过用户行为数据分析识别热门区域和冷门区域，优化场景布局和引导路线。分析 NPC 对话日志，了解用户最关心的文化话题，指导内容策划。监控性能数据，及时发现和修复性能瓶颈。</w:t>
      </w:r>
    </w:p>
    <w:p/>
    <w:p>
      <w:pPr>
        <w:ind w:firstLine="482"/>
      </w:pPr>
      <w:r>
        <w:rPr>
          <w:rFonts w:ascii="宋体" w:hAnsi="宋体" w:eastAsia="宋体"/>
          <w:b/>
          <w:sz w:val="24"/>
        </w:rPr>
        <w:t>商业模式探索</w:t>
      </w:r>
      <w:r>
        <w:rPr>
          <w:rFonts w:ascii="宋体" w:hAnsi="宋体" w:eastAsia="宋体"/>
          <w:sz w:val="24"/>
        </w:rPr>
        <w:t>：（1）免费体验+增值服务——基础游览免费，深度文化体验和虚拟文创品付费；（2）B2B 合作——为旅行社、学校和企业提供元宇宙定制服务；（3）广告植入——在虚拟场景中植入贵州旅游和文创产品的宣传内容；（4）数字资产交易——虚拟文创品的创建、交易和收藏[5]。</w:t>
      </w:r>
    </w:p>
    <w:p/>
    <w:p>
      <w:pPr>
        <w:pStyle w:val="Heading2"/>
      </w:pPr>
      <w:r>
        <w:t>12.7 教学实施与考核</w:t>
      </w:r>
    </w:p>
    <w:p/>
    <w:p>
      <w:pPr>
        <w:pStyle w:val="Heading3"/>
      </w:pPr>
      <w:r>
        <w:t>12.7.1 课程安排</w:t>
      </w:r>
    </w:p>
    <w:p/>
    <w:p>
      <w:pPr>
        <w:ind w:firstLine="482"/>
      </w:pPr>
      <w:r>
        <w:rPr>
          <w:rFonts w:ascii="宋体" w:hAnsi="宋体" w:eastAsia="宋体"/>
          <w:sz w:val="24"/>
        </w:rPr>
        <w:t>本章作为全书最复杂的综合实训项目，建议安排 24-32 学时（含实训），分为以下环节[11]：</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教学环节</w:t>
            </w:r>
          </w:p>
        </w:tc>
        <w:tc>
          <w:tcPr>
            <w:tcW w:type="dxa" w:w="2078"/>
            <w:shd w:fill="D9E2F3" w:val="clear"/>
          </w:tcPr>
          <w:p>
            <w:pPr>
              <w:jc w:val="center"/>
            </w:pPr>
            <w:r/>
            <w:r>
              <w:rPr>
                <w:rFonts w:ascii="黑体" w:hAnsi="黑体" w:eastAsia="黑体"/>
                <w:b/>
                <w:sz w:val="20"/>
              </w:rPr>
              <w:t>学时</w:t>
            </w:r>
          </w:p>
        </w:tc>
        <w:tc>
          <w:tcPr>
            <w:tcW w:type="dxa" w:w="2078"/>
            <w:shd w:fill="D9E2F3" w:val="clear"/>
          </w:tcPr>
          <w:p>
            <w:pPr>
              <w:jc w:val="center"/>
            </w:pPr>
            <w:r/>
            <w:r>
              <w:rPr>
                <w:rFonts w:ascii="黑体" w:hAnsi="黑体" w:eastAsia="黑体"/>
                <w:b/>
                <w:sz w:val="20"/>
              </w:rPr>
              <w:t>内容</w:t>
            </w:r>
          </w:p>
        </w:tc>
        <w:tc>
          <w:tcPr>
            <w:tcW w:type="dxa" w:w="2078"/>
            <w:shd w:fill="D9E2F3" w:val="clear"/>
          </w:tcPr>
          <w:p>
            <w:pPr>
              <w:jc w:val="center"/>
            </w:pPr>
            <w:r/>
            <w:r>
              <w:rPr>
                <w:rFonts w:ascii="黑体" w:hAnsi="黑体" w:eastAsia="黑体"/>
                <w:b/>
                <w:sz w:val="20"/>
              </w:rPr>
              <w:t>教学方式</w:t>
            </w:r>
          </w:p>
        </w:tc>
      </w:tr>
      <w:tr>
        <w:tc>
          <w:tcPr>
            <w:tcW w:type="dxa" w:w="2078"/>
          </w:tcPr>
          <w:p>
            <w:r/>
            <w:r>
              <w:rPr>
                <w:rFonts w:ascii="宋体" w:hAnsi="宋体" w:eastAsia="宋体"/>
                <w:sz w:val="20"/>
              </w:rPr>
              <w:t>理论讲解</w:t>
            </w:r>
          </w:p>
        </w:tc>
        <w:tc>
          <w:tcPr>
            <w:tcW w:type="dxa" w:w="2078"/>
          </w:tcPr>
          <w:p>
            <w:r/>
            <w:r>
              <w:rPr>
                <w:rFonts w:ascii="宋体" w:hAnsi="宋体" w:eastAsia="宋体"/>
                <w:sz w:val="20"/>
              </w:rPr>
              <w:t>8</w:t>
            </w:r>
          </w:p>
        </w:tc>
        <w:tc>
          <w:tcPr>
            <w:tcW w:type="dxa" w:w="2078"/>
          </w:tcPr>
          <w:p>
            <w:r/>
            <w:r>
              <w:rPr>
                <w:rFonts w:ascii="宋体" w:hAnsi="宋体" w:eastAsia="宋体"/>
                <w:sz w:val="20"/>
              </w:rPr>
              <w:t>元宇宙概念、技术架构、设计原则</w:t>
            </w:r>
          </w:p>
        </w:tc>
        <w:tc>
          <w:tcPr>
            <w:tcW w:type="dxa" w:w="2078"/>
          </w:tcPr>
          <w:p>
            <w:r/>
            <w:r>
              <w:rPr>
                <w:rFonts w:ascii="宋体" w:hAnsi="宋体" w:eastAsia="宋体"/>
                <w:sz w:val="20"/>
              </w:rPr>
              <w:t>课堂讲授+案例分析</w:t>
            </w:r>
          </w:p>
        </w:tc>
      </w:tr>
      <w:tr>
        <w:tc>
          <w:tcPr>
            <w:tcW w:type="dxa" w:w="2078"/>
          </w:tcPr>
          <w:p>
            <w:r/>
            <w:r>
              <w:rPr>
                <w:rFonts w:ascii="宋体" w:hAnsi="宋体" w:eastAsia="宋体"/>
                <w:sz w:val="20"/>
              </w:rPr>
              <w:t>架构设计</w:t>
            </w:r>
          </w:p>
        </w:tc>
        <w:tc>
          <w:tcPr>
            <w:tcW w:type="dxa" w:w="2078"/>
          </w:tcPr>
          <w:p>
            <w:r/>
            <w:r>
              <w:rPr>
                <w:rFonts w:ascii="宋体" w:hAnsi="宋体" w:eastAsia="宋体"/>
                <w:sz w:val="20"/>
              </w:rPr>
              <w:t>4</w:t>
            </w:r>
          </w:p>
        </w:tc>
        <w:tc>
          <w:tcPr>
            <w:tcW w:type="dxa" w:w="2078"/>
          </w:tcPr>
          <w:p>
            <w:r/>
            <w:r>
              <w:rPr>
                <w:rFonts w:ascii="宋体" w:hAnsi="宋体" w:eastAsia="宋体"/>
                <w:sz w:val="20"/>
              </w:rPr>
              <w:t>技术方案设计、模块划分、接口定义</w:t>
            </w:r>
          </w:p>
        </w:tc>
        <w:tc>
          <w:tcPr>
            <w:tcW w:type="dxa" w:w="2078"/>
          </w:tcPr>
          <w:p>
            <w:r/>
            <w:r>
              <w:rPr>
                <w:rFonts w:ascii="宋体" w:hAnsi="宋体" w:eastAsia="宋体"/>
                <w:sz w:val="20"/>
              </w:rPr>
              <w:t>分组设计+评审</w:t>
            </w:r>
          </w:p>
        </w:tc>
      </w:tr>
      <w:tr>
        <w:tc>
          <w:tcPr>
            <w:tcW w:type="dxa" w:w="2078"/>
          </w:tcPr>
          <w:p>
            <w:r/>
            <w:r>
              <w:rPr>
                <w:rFonts w:ascii="宋体" w:hAnsi="宋体" w:eastAsia="宋体"/>
                <w:sz w:val="20"/>
              </w:rPr>
              <w:t>场景制作</w:t>
            </w:r>
          </w:p>
        </w:tc>
        <w:tc>
          <w:tcPr>
            <w:tcW w:type="dxa" w:w="2078"/>
          </w:tcPr>
          <w:p>
            <w:r/>
            <w:r>
              <w:rPr>
                <w:rFonts w:ascii="宋体" w:hAnsi="宋体" w:eastAsia="宋体"/>
                <w:sz w:val="20"/>
              </w:rPr>
              <w:t>6-8</w:t>
            </w:r>
          </w:p>
        </w:tc>
        <w:tc>
          <w:tcPr>
            <w:tcW w:type="dxa" w:w="2078"/>
          </w:tcPr>
          <w:p>
            <w:r/>
            <w:r>
              <w:rPr>
                <w:rFonts w:ascii="宋体" w:hAnsi="宋体" w:eastAsia="宋体"/>
                <w:sz w:val="20"/>
              </w:rPr>
              <w:t>3D 建模、环境氛围、虚拟角色</w:t>
            </w:r>
          </w:p>
        </w:tc>
        <w:tc>
          <w:tcPr>
            <w:tcW w:type="dxa" w:w="2078"/>
          </w:tcPr>
          <w:p>
            <w:r/>
            <w:r>
              <w:rPr>
                <w:rFonts w:ascii="宋体" w:hAnsi="宋体" w:eastAsia="宋体"/>
                <w:sz w:val="20"/>
              </w:rPr>
              <w:t>机房实训</w:t>
            </w:r>
          </w:p>
        </w:tc>
      </w:tr>
      <w:tr>
        <w:tc>
          <w:tcPr>
            <w:tcW w:type="dxa" w:w="2078"/>
          </w:tcPr>
          <w:p>
            <w:r/>
            <w:r>
              <w:rPr>
                <w:rFonts w:ascii="宋体" w:hAnsi="宋体" w:eastAsia="宋体"/>
                <w:sz w:val="20"/>
              </w:rPr>
              <w:t>功能开发</w:t>
            </w:r>
          </w:p>
        </w:tc>
        <w:tc>
          <w:tcPr>
            <w:tcW w:type="dxa" w:w="2078"/>
          </w:tcPr>
          <w:p>
            <w:r/>
            <w:r>
              <w:rPr>
                <w:rFonts w:ascii="宋体" w:hAnsi="宋体" w:eastAsia="宋体"/>
                <w:sz w:val="20"/>
              </w:rPr>
              <w:t>8-10</w:t>
            </w:r>
          </w:p>
        </w:tc>
        <w:tc>
          <w:tcPr>
            <w:tcW w:type="dxa" w:w="2078"/>
          </w:tcPr>
          <w:p>
            <w:r/>
            <w:r>
              <w:rPr>
                <w:rFonts w:ascii="宋体" w:hAnsi="宋体" w:eastAsia="宋体"/>
                <w:sz w:val="20"/>
              </w:rPr>
              <w:t>多人网络、AI 集成、交互功能</w:t>
            </w:r>
          </w:p>
        </w:tc>
        <w:tc>
          <w:tcPr>
            <w:tcW w:type="dxa" w:w="2078"/>
          </w:tcPr>
          <w:p>
            <w:r/>
            <w:r>
              <w:rPr>
                <w:rFonts w:ascii="宋体" w:hAnsi="宋体" w:eastAsia="宋体"/>
                <w:sz w:val="20"/>
              </w:rPr>
              <w:t>机房实训</w:t>
            </w:r>
          </w:p>
        </w:tc>
      </w:tr>
      <w:tr>
        <w:tc>
          <w:tcPr>
            <w:tcW w:type="dxa" w:w="2078"/>
          </w:tcPr>
          <w:p>
            <w:r/>
            <w:r>
              <w:rPr>
                <w:rFonts w:ascii="宋体" w:hAnsi="宋体" w:eastAsia="宋体"/>
                <w:sz w:val="20"/>
              </w:rPr>
              <w:t>测试发布</w:t>
            </w:r>
          </w:p>
        </w:tc>
        <w:tc>
          <w:tcPr>
            <w:tcW w:type="dxa" w:w="2078"/>
          </w:tcPr>
          <w:p>
            <w:r/>
            <w:r>
              <w:rPr>
                <w:rFonts w:ascii="宋体" w:hAnsi="宋体" w:eastAsia="宋体"/>
                <w:sz w:val="20"/>
              </w:rPr>
              <w:t>2-4</w:t>
            </w:r>
          </w:p>
        </w:tc>
        <w:tc>
          <w:tcPr>
            <w:tcW w:type="dxa" w:w="2078"/>
          </w:tcPr>
          <w:p>
            <w:r/>
            <w:r>
              <w:rPr>
                <w:rFonts w:ascii="宋体" w:hAnsi="宋体" w:eastAsia="宋体"/>
                <w:sz w:val="20"/>
              </w:rPr>
              <w:t>多平台测试、性能优化、部署</w:t>
            </w:r>
          </w:p>
        </w:tc>
        <w:tc>
          <w:tcPr>
            <w:tcW w:type="dxa" w:w="2078"/>
          </w:tcPr>
          <w:p>
            <w:r/>
            <w:r>
              <w:rPr>
                <w:rFonts w:ascii="宋体" w:hAnsi="宋体" w:eastAsia="宋体"/>
                <w:sz w:val="20"/>
              </w:rPr>
              <w:t>实训+答辩</w:t>
            </w:r>
          </w:p>
        </w:tc>
      </w:tr>
    </w:tbl>
    <w:p/>
    <w:p/>
    <w:p>
      <w:pPr>
        <w:pStyle w:val="Heading3"/>
      </w:pPr>
      <w:r>
        <w:t>12.7.2 考核评价</w:t>
      </w:r>
    </w:p>
    <w:p/>
    <w:p>
      <w:pPr>
        <w:ind w:firstLine="482"/>
      </w:pPr>
      <w:r>
        <w:rPr>
          <w:rFonts w:ascii="宋体" w:hAnsi="宋体" w:eastAsia="宋体"/>
          <w:sz w:val="24"/>
        </w:rPr>
        <w:t>采用过程性评价（30%）与终结性评价（70%）相结合。终结性评价包括元宇宙应用功能与质量（35%）、多平台兼容性（15%）、用户体验（10%）、文档与答辩（10%）。鼓励学生在项目中探索创新——如引入新的 AI 能力、设计独特的交互模式或创造新的文化体验形式，创新表现可获得额外加分[11]。</w:t>
      </w:r>
    </w:p>
    <w:p/>
    <w:p>
      <w:pPr>
        <w:pStyle w:val="Heading3"/>
      </w:pPr>
      <w:r>
        <w:t>12.7.3 拓展方向</w:t>
      </w:r>
    </w:p>
    <w:p/>
    <w:p>
      <w:pPr>
        <w:ind w:firstLine="482"/>
      </w:pPr>
      <w:r>
        <w:rPr>
          <w:rFonts w:ascii="宋体" w:hAnsi="宋体" w:eastAsia="宋体"/>
          <w:sz w:val="24"/>
        </w:rPr>
        <w:t>完成基础实训后，学生可以探索以下方向：（1）集成更多 AI 能力——使用 GPT-4V 实现视觉理解（NPC 可以"看到"用户周围的环境并作出反应）、使用 AI 生成音乐为文化活动配乐；（2）探索 Web3 集成——使用智能合约实现虚拟资产的创建、交易和版税分配；（3）跨元宇宙互操作——研究如何将贵州文旅元宇宙与其他元宇宙平台互联互通；（4）数字孪生深化——将实时物联网数据（天气、客流量、空气质量）接入元宇宙，实现真实景区的实时数字映射[12]。</w:t>
      </w:r>
    </w:p>
    <w:p/>
    <w:p>
      <w:pPr>
        <w:pStyle w:val="Heading2"/>
      </w:pPr>
      <w:r>
        <w:t>12.8 元宇宙的技术挑战与解决方案</w:t>
      </w:r>
    </w:p>
    <w:p/>
    <w:p>
      <w:pPr>
        <w:pStyle w:val="Heading3"/>
      </w:pPr>
      <w:r>
        <w:t>12.8.1 多人同步与网络优化</w:t>
      </w:r>
    </w:p>
    <w:p/>
    <w:p>
      <w:pPr>
        <w:ind w:firstLine="482"/>
      </w:pPr>
      <w:r>
        <w:rPr>
          <w:rFonts w:ascii="宋体" w:hAnsi="宋体" w:eastAsia="宋体"/>
          <w:sz w:val="24"/>
        </w:rPr>
        <w:t>元宇宙的核心特征之一是多人实时共存，这对网络同步提出了极高要求[3]。Photon Fusion 提供了三种同步模式：Host Mode（主机模式，一台客户端兼做服务器）、Client Authority（客户端权威，各客户端负责自己的状态）和 Server Authority（服务器权威，所有状态由服务器判定）。贵州文旅元宇宙采用 Server Authority 模式确保状态一致性，同时使用 Interest Management（兴趣管理）技术——只同步用户视野范围内的对象状态，减少网络带宽占用。</w:t>
      </w:r>
    </w:p>
    <w:p/>
    <w:p>
      <w:pPr>
        <w:ind w:firstLine="482"/>
      </w:pPr>
      <w:r>
        <w:rPr>
          <w:rFonts w:ascii="宋体" w:hAnsi="宋体" w:eastAsia="宋体"/>
          <w:sz w:val="24"/>
        </w:rPr>
        <w:t>对于 AI NPC 的对话同步，采用"客户端发起-服务器处理-广播结果"的模式——用户在客户端输入问题，请求发送到服务器，服务器调用 LLM API 生成回答，然后将回答广播给附近所有用户。这样所有用户都能看到 NPC 与某位用户的对话，增强社交临场感[4]。</w:t>
      </w:r>
    </w:p>
    <w:p/>
    <w:p>
      <w:pPr>
        <w:pStyle w:val="Heading3"/>
      </w:pPr>
      <w:r>
        <w:t>12.8.2 跨平台兼容性</w:t>
      </w:r>
    </w:p>
    <w:p/>
    <w:p>
      <w:pPr>
        <w:ind w:firstLine="482"/>
      </w:pPr>
      <w:r>
        <w:rPr>
          <w:rFonts w:ascii="宋体" w:hAnsi="宋体" w:eastAsia="宋体"/>
          <w:sz w:val="24"/>
        </w:rPr>
        <w:t>三个平台（VR/PC/Mobile）的硬件能力差异巨大，需要精心设计跨平台兼容方案[11]：</w:t>
      </w:r>
    </w:p>
    <w:p/>
    <w:p>
      <w:pPr>
        <w:ind w:firstLine="482"/>
      </w:pPr>
      <w:r>
        <w:rPr>
          <w:rFonts w:ascii="宋体" w:hAnsi="宋体" w:eastAsia="宋体"/>
          <w:b/>
          <w:sz w:val="24"/>
        </w:rPr>
        <w:t>LOD 分级</w:t>
      </w:r>
      <w:r>
        <w:rPr>
          <w:rFonts w:ascii="宋体" w:hAnsi="宋体" w:eastAsia="宋体"/>
          <w:sz w:val="24"/>
        </w:rPr>
        <w:t>：VR 版使用最高精度模型（50 万面+4K 纹理），PC 版使用中精度模型（20 万面+2K 纹理），移动版使用低精度模型（5 万面+1K 纹理）。通过 Unity 的 LOD Group 组件自动切换。</w:t>
      </w:r>
    </w:p>
    <w:p/>
    <w:p>
      <w:pPr>
        <w:ind w:firstLine="482"/>
      </w:pPr>
      <w:r>
        <w:rPr>
          <w:rFonts w:ascii="宋体" w:hAnsi="宋体" w:eastAsia="宋体"/>
          <w:b/>
          <w:sz w:val="24"/>
        </w:rPr>
        <w:t>渲染管线适配</w:t>
      </w:r>
      <w:r>
        <w:rPr>
          <w:rFonts w:ascii="宋体" w:hAnsi="宋体" w:eastAsia="宋体"/>
          <w:sz w:val="24"/>
        </w:rPr>
        <w:t>：VR 版使用 URP（Universal Render Pipeline）配合 VR 优化设置，PC 版使用 HDRP（High Definition Render Pipeline）获得最佳画质，移动版使用 URP 的移动端配置。</w:t>
      </w:r>
    </w:p>
    <w:p/>
    <w:p>
      <w:pPr>
        <w:ind w:firstLine="482"/>
      </w:pPr>
      <w:r>
        <w:rPr>
          <w:rFonts w:ascii="宋体" w:hAnsi="宋体" w:eastAsia="宋体"/>
          <w:b/>
          <w:sz w:val="24"/>
        </w:rPr>
        <w:t>输入适配</w:t>
      </w:r>
      <w:r>
        <w:rPr>
          <w:rFonts w:ascii="宋体" w:hAnsi="宋体" w:eastAsia="宋体"/>
          <w:sz w:val="24"/>
        </w:rPr>
        <w:t>：VR 版使用 XR Interaction Toolkit 的手柄射线交互，PC 版使用鼠标键盘的 First Person Controller，移动版使用虚拟摇杆+触摸交互。三套输入系统通过统一的接口层抽象，上层逻辑代码无需关心具体输入方式。</w:t>
      </w:r>
    </w:p>
    <w:p/>
    <w:p>
      <w:pPr>
        <w:ind w:firstLine="482"/>
      </w:pPr>
      <w:r>
        <w:rPr>
          <w:rFonts w:ascii="宋体" w:hAnsi="宋体" w:eastAsia="宋体"/>
          <w:b/>
          <w:sz w:val="24"/>
        </w:rPr>
        <w:t>性能预算</w:t>
      </w:r>
      <w:r>
        <w:rPr>
          <w:rFonts w:ascii="宋体" w:hAnsi="宋体" w:eastAsia="宋体"/>
          <w:sz w:val="24"/>
        </w:rPr>
        <w:t>：VR 版帧率 72fps、渲染预算 13ms/帧，PC 版帧率 60fps、渲染预算 16ms/帧，移动版帧率 30fps、渲染预算 33ms/帧。使用 Unity Profiler 持续监控各平台的性能指标，确保不超预算。</w:t>
      </w:r>
    </w:p>
    <w:p/>
    <w:p>
      <w:pPr>
        <w:pStyle w:val="Heading3"/>
      </w:pPr>
      <w:r>
        <w:t>12.8.3 AI NPC 的技术实现</w:t>
      </w:r>
    </w:p>
    <w:p/>
    <w:p>
      <w:pPr>
        <w:ind w:firstLine="482"/>
      </w:pPr>
      <w:r>
        <w:rPr>
          <w:rFonts w:ascii="宋体" w:hAnsi="宋体" w:eastAsia="宋体"/>
          <w:sz w:val="24"/>
        </w:rPr>
        <w:t>AI NPC 是本项目的核心创新点，其技术实现涉及多个组件的协同[4]：</w:t>
      </w:r>
    </w:p>
    <w:p/>
    <w:p>
      <w:pPr>
        <w:ind w:firstLine="482"/>
      </w:pPr>
      <w:r>
        <w:rPr>
          <w:rFonts w:ascii="宋体" w:hAnsi="宋体" w:eastAsia="宋体"/>
          <w:b/>
          <w:sz w:val="24"/>
        </w:rPr>
        <w:t>对话系统架构</w:t>
      </w:r>
      <w:r>
        <w:rPr>
          <w:rFonts w:ascii="宋体" w:hAnsi="宋体" w:eastAsia="宋体"/>
          <w:sz w:val="24"/>
        </w:rPr>
        <w:t>：NPC 对话系统由四个层级构成——（1）感知层：检测用户是否进入交互范围（基于距离判断），触发 NPC 的注意行为（转身面向用户、打招呼）；（2）理解层：将用户的语音/文字输入发送到 LLM API，附带 NPC 的人设 prompt 和知识库上下文；（3）生成层：LLM 生成回复文本，同时通过 TTS API 生成语音；（4）表现层：NPC 播放语音（配合 Lip Sync 口型动画），同时在屏幕上显示文字字幕。</w:t>
      </w:r>
    </w:p>
    <w:p/>
    <w:p>
      <w:pPr>
        <w:ind w:firstLine="482"/>
      </w:pPr>
      <w:r>
        <w:rPr>
          <w:rFonts w:ascii="宋体" w:hAnsi="宋体" w:eastAsia="宋体"/>
          <w:b/>
          <w:sz w:val="24"/>
        </w:rPr>
        <w:t>NPC 人设设计</w:t>
      </w:r>
      <w:r>
        <w:rPr>
          <w:rFonts w:ascii="宋体" w:hAnsi="宋体" w:eastAsia="宋体"/>
          <w:sz w:val="24"/>
        </w:rPr>
        <w:t>：每个 NPC 都有详细的人设档案——姓名、年龄、身份、性格特点、知识范围、说话风格。例如苗族长者"阿婆"的人设：72 岁，西江苗寨的长老，精通苗族古歌和迁徙史，说话慢悠悠的，喜欢用比喻和故事来解释事物。人设 prompt 示例：你是一位72岁的苗族长老，名叫阿婆，居住在西江千户苗寨。你精通苗族古歌、迁徙史和传统习俗。你的说话风格是温和、缓慢、充满智慧，喜欢用故事和比喻来解释事物。当用户问你不了解的话题时，你诚实地说"这个我不太清楚，但..."并尝试从你了解的角度给出回应[4]。</w:t>
      </w:r>
    </w:p>
    <w:p/>
    <w:p>
      <w:pPr>
        <w:ind w:firstLine="482"/>
      </w:pPr>
      <w:r>
        <w:rPr>
          <w:rFonts w:ascii="宋体" w:hAnsi="宋体" w:eastAsia="宋体"/>
          <w:b/>
          <w:sz w:val="24"/>
        </w:rPr>
        <w:t>知识库管理</w:t>
      </w:r>
      <w:r>
        <w:rPr>
          <w:rFonts w:ascii="宋体" w:hAnsi="宋体" w:eastAsia="宋体"/>
          <w:sz w:val="24"/>
        </w:rPr>
        <w:t>：每个 NPC 的知识库以结构化 JSON 格式存储，包含景区信息、文化知识、常见问答等。知识库通过向量数据库（如 Pinecone）实现语义检索——LLM 在生成回答前先从知识库中检索相关内容，确保回答的准确性和专业性。知识库可以动态更新，无需修改代码[4]。</w:t>
      </w:r>
    </w:p>
    <w:p/>
    <w:p>
      <w:pPr>
        <w:ind w:firstLine="482"/>
      </w:pPr>
      <w:r>
        <w:rPr>
          <w:rFonts w:ascii="宋体" w:hAnsi="宋体" w:eastAsia="宋体"/>
          <w:b/>
          <w:sz w:val="24"/>
        </w:rPr>
        <w:t>性能优化</w:t>
      </w:r>
      <w:r>
        <w:rPr>
          <w:rFonts w:ascii="宋体" w:hAnsi="宋体" w:eastAsia="宋体"/>
          <w:sz w:val="24"/>
        </w:rPr>
        <w:t>：LLM API 调用存在 1-5 秒的延迟，为避免用户等待时体验空白，NPC 在等待期间播放"思考"动画（摸下巴、点头等），并在屏幕上显示"正在思考..."提示。使用流式输出（Streaming）技术，LLM 生成的文字逐字显示，配合逐句 TTS 播放，显著缩短用户感知的等待时间[4]。</w:t>
      </w:r>
    </w:p>
    <w:p/>
    <w:p>
      <w:pPr>
        <w:pStyle w:val="Heading3"/>
      </w:pPr>
      <w:r>
        <w:t>12.8.4 虚拟经济系统设计</w:t>
      </w:r>
    </w:p>
    <w:p/>
    <w:p>
      <w:pPr>
        <w:ind w:firstLine="482"/>
      </w:pPr>
      <w:r>
        <w:rPr>
          <w:rFonts w:ascii="宋体" w:hAnsi="宋体" w:eastAsia="宋体"/>
          <w:sz w:val="24"/>
        </w:rPr>
        <w:t>元宇宙中的虚拟经济系统为文化文创产品创造了新的商业价值[5]：</w:t>
      </w:r>
    </w:p>
    <w:p/>
    <w:p>
      <w:pPr>
        <w:ind w:firstLine="482"/>
      </w:pPr>
      <w:r>
        <w:rPr>
          <w:rFonts w:ascii="宋体" w:hAnsi="宋体" w:eastAsia="宋体"/>
          <w:b/>
          <w:sz w:val="24"/>
        </w:rPr>
        <w:t>虚拟文创品创建</w:t>
      </w:r>
      <w:r>
        <w:rPr>
          <w:rFonts w:ascii="宋体" w:hAnsi="宋体" w:eastAsia="宋体"/>
          <w:sz w:val="24"/>
        </w:rPr>
        <w:t>：与贵州非遗传承人合作，将苗银、蜡染、刺绣等非遗作品数字化为 3D 虚拟物品。每个虚拟文创品以 NFT 形式铸在 Polygon 链上，记录创作者信息、创作时间和权属信息。用户可以在元宇宙中的虚拟商店浏览和购买这些数字文创品，购买的文创品会显示在用户的虚拟收藏室中[5]。</w:t>
      </w:r>
    </w:p>
    <w:p/>
    <w:p>
      <w:pPr>
        <w:ind w:firstLine="482"/>
      </w:pPr>
      <w:r>
        <w:rPr>
          <w:rFonts w:ascii="宋体" w:hAnsi="宋体" w:eastAsia="宋体"/>
          <w:b/>
          <w:sz w:val="24"/>
        </w:rPr>
        <w:t>经济循环设计</w:t>
      </w:r>
      <w:r>
        <w:rPr>
          <w:rFonts w:ascii="宋体" w:hAnsi="宋体" w:eastAsia="宋体"/>
          <w:sz w:val="24"/>
        </w:rPr>
        <w:t>：用户通过参与文化活动、完成任务或观看广告获得虚拟代币，代币可以用于购买虚拟文创品或解锁特殊场景。非遗传承人从每次销售中获得版税收入，激励更多创作者参与。虚拟文创品的持有者可以在社交媒体展示自己的收藏，为贵州文化进行口碑传播。部分虚拟文创品附带实体购买链接，用户喜欢虚拟版本后可以购买实体产品，实现虚拟到实体的导流[5]。</w:t>
      </w:r>
    </w:p>
    <w:p/>
    <w:p>
      <w:pPr>
        <w:pStyle w:val="Heading2"/>
      </w:pPr>
      <w:r>
        <w:t>12.9 伦理、安全与合规</w:t>
      </w:r>
    </w:p>
    <w:p/>
    <w:p>
      <w:pPr>
        <w:pStyle w:val="Heading3"/>
      </w:pPr>
      <w:r>
        <w:t>12.9.1 数据隐私与用户保护</w:t>
      </w:r>
    </w:p>
    <w:p/>
    <w:p>
      <w:pPr>
        <w:ind w:firstLine="482"/>
      </w:pPr>
      <w:r>
        <w:rPr>
          <w:rFonts w:ascii="宋体" w:hAnsi="宋体" w:eastAsia="宋体"/>
          <w:sz w:val="24"/>
        </w:rPr>
        <w:t>元宇宙应用采集大量用户数据——行为轨迹、对话内容、社交关系和购买记录。必须严格遵守《个人信息保护法》和《数据安全法》[10]：（1）最小化采集——只采集必要的功能数据，不采集与服务无关的个人信息；（2）明确告知——在用户注册时清晰说明数据采集目的、范围和使用方式，获得用户明示同意；（3）安全存储——用户数据加密存储，传输使用 HTTPS/TLS 加密；（4）用户控制——用户可以查看、导出和删除自己的数据，支持账号注销和数据清除。</w:t>
      </w:r>
    </w:p>
    <w:p/>
    <w:p>
      <w:pPr>
        <w:pStyle w:val="Heading3"/>
      </w:pPr>
      <w:r>
        <w:t>12.9.2 AI 伦理与内容安全</w:t>
      </w:r>
    </w:p>
    <w:p/>
    <w:p>
      <w:pPr>
        <w:ind w:firstLine="482"/>
      </w:pPr>
      <w:r>
        <w:rPr>
          <w:rFonts w:ascii="宋体" w:hAnsi="宋体" w:eastAsia="宋体"/>
          <w:sz w:val="24"/>
        </w:rPr>
        <w:t>AI NPC 的对话内容需要进行安全管控[4]：（1）内容过滤——在 LLM 输出层添加安全过滤器，拦截涉及暴力、色情、政治敏感等不当内容；（2）幻觉控制——NPC 的回答应基于知识库而非 LLM 的自由发挥，对于知识库未覆盖的问题应诚实说明；（3）文化尊重——AI 生成的内容应尊重当地文化习俗，避免文化误读和刻板印象。建议邀请文化顾问审核 NPC 的知识库和对话样本。</w:t>
      </w:r>
    </w:p>
    <w:p/>
    <w:p>
      <w:pPr>
        <w:pStyle w:val="Heading3"/>
      </w:pPr>
      <w:r>
        <w:t>12.9.3 虚拟资产合规</w:t>
      </w:r>
    </w:p>
    <w:p/>
    <w:p>
      <w:pPr>
        <w:ind w:firstLine="482"/>
      </w:pPr>
      <w:r>
        <w:rPr>
          <w:rFonts w:ascii="宋体" w:hAnsi="宋体" w:eastAsia="宋体"/>
          <w:sz w:val="24"/>
        </w:rPr>
        <w:t>虚拟文创品的 NFT 发行需要符合法律法规[5]：（1）不涉及金融炒作——虚拟文创品定位为数字收藏品而非投资品，不支持二级市场竞价交易；（2）消费者权益保护——明确虚拟文创品的使用范围和退款政策；（3）知识产权保护——确保数字化文创品已获得原作者或传承人的授权许可。</w:t>
      </w:r>
    </w:p>
    <w:p/>
    <w:p>
      <w:pPr>
        <w:pStyle w:val="Heading2"/>
      </w:pPr>
      <w:r>
        <w:t>12.10 未来展望与发展趋势</w:t>
      </w:r>
    </w:p>
    <w:p/>
    <w:p>
      <w:pPr>
        <w:pStyle w:val="Heading3"/>
      </w:pPr>
      <w:r>
        <w:t>12.10.1 技术融合趋势</w:t>
      </w:r>
    </w:p>
    <w:p/>
    <w:p>
      <w:pPr>
        <w:ind w:firstLine="482"/>
      </w:pPr>
      <w:r>
        <w:rPr>
          <w:rFonts w:ascii="宋体" w:hAnsi="宋体" w:eastAsia="宋体"/>
          <w:sz w:val="24"/>
        </w:rPr>
        <w:t>文旅元宇宙的发展将与多项前沿技术深度融合[12]：</w:t>
      </w:r>
    </w:p>
    <w:p/>
    <w:p>
      <w:pPr>
        <w:ind w:firstLine="482"/>
      </w:pPr>
      <w:r>
        <w:rPr>
          <w:rFonts w:ascii="宋体" w:hAnsi="宋体" w:eastAsia="宋体"/>
          <w:b/>
          <w:sz w:val="24"/>
        </w:rPr>
        <w:t>AI 原生元宇宙</w:t>
      </w:r>
      <w:r>
        <w:rPr>
          <w:rFonts w:ascii="宋体" w:hAnsi="宋体" w:eastAsia="宋体"/>
          <w:sz w:val="24"/>
        </w:rPr>
        <w:t>：未来的元宇宙将从"AI 增强"进化为"AI 原生"——每个虚拟角色都是具有自主意识的 AI Agent，能够主动与用户互动、自发组织活动和创造内容。大语言模型的推理能力使 NPC 不仅回答问题，还能理解用户情绪、预判需求并提供个性化服务。生成式 AI 可以实时创建虚拟场景和物体——用户描述"我想看到一座苗族吊脚楼"，AI 即时生成 3D 模型放置在场景中[4]。</w:t>
      </w:r>
    </w:p>
    <w:p/>
    <w:p>
      <w:pPr>
        <w:ind w:firstLine="482"/>
      </w:pPr>
      <w:r>
        <w:rPr>
          <w:rFonts w:ascii="宋体" w:hAnsi="宋体" w:eastAsia="宋体"/>
          <w:b/>
          <w:sz w:val="24"/>
        </w:rPr>
        <w:t>空间计算革命</w:t>
      </w:r>
      <w:r>
        <w:rPr>
          <w:rFonts w:ascii="宋体" w:hAnsi="宋体" w:eastAsia="宋体"/>
          <w:sz w:val="24"/>
        </w:rPr>
        <w:t>：Apple Vision Pro 等 MR 头显推动"空间计算"成为主流范式。未来的文旅元宇宙可能不再局限于完全虚拟的空间，而是与现实世界叠加——用户戴着 MR 眼镜在真实景区中走动时，元宇宙层叠加虚拟内容（历史复原、文化讲解、社交互动），实现虚实无缝融合的"增强型元宇宙"[9]。</w:t>
      </w:r>
    </w:p>
    <w:p/>
    <w:p>
      <w:pPr>
        <w:ind w:firstLine="482"/>
      </w:pPr>
      <w:r>
        <w:rPr>
          <w:rFonts w:ascii="宋体" w:hAnsi="宋体" w:eastAsia="宋体"/>
          <w:b/>
          <w:sz w:val="24"/>
        </w:rPr>
        <w:t>边缘计算与 5G/6G</w:t>
      </w:r>
      <w:r>
        <w:rPr>
          <w:rFonts w:ascii="宋体" w:hAnsi="宋体" w:eastAsia="宋体"/>
          <w:sz w:val="24"/>
        </w:rPr>
        <w:t>：边缘计算将渲染任务分散到离用户更近的边缘节点，降低网络延迟。6G 网络的超低延迟（&lt;1ms）和高带宽（&gt;100Gbps）将使云端渲染的元宇宙体验接近本地渲染的质量，用户无需高端设备即可享受高质量的元宇宙体验[11]。</w:t>
      </w:r>
    </w:p>
    <w:p/>
    <w:p>
      <w:pPr>
        <w:pStyle w:val="Heading3"/>
      </w:pPr>
      <w:r>
        <w:t>12.10.2 文旅元宇宙的社会影响</w:t>
      </w:r>
    </w:p>
    <w:p/>
    <w:p>
      <w:pPr>
        <w:ind w:firstLine="482"/>
      </w:pPr>
      <w:r>
        <w:rPr>
          <w:rFonts w:ascii="宋体" w:hAnsi="宋体" w:eastAsia="宋体"/>
          <w:sz w:val="24"/>
        </w:rPr>
        <w:t>文旅元宇宙不仅是技术创新，更将深刻影响旅游行业和文化传播模式[12]：</w:t>
      </w:r>
    </w:p>
    <w:p/>
    <w:p>
      <w:pPr>
        <w:ind w:firstLine="482"/>
      </w:pPr>
      <w:r>
        <w:rPr>
          <w:rFonts w:ascii="宋体" w:hAnsi="宋体" w:eastAsia="宋体"/>
          <w:b/>
          <w:sz w:val="24"/>
        </w:rPr>
        <w:t>旅游决策变革</w:t>
      </w:r>
      <w:r>
        <w:rPr>
          <w:rFonts w:ascii="宋体" w:hAnsi="宋体" w:eastAsia="宋体"/>
          <w:sz w:val="24"/>
        </w:rPr>
        <w:t>：元宇宙体验将成为游客行前决策的重要参考——游客先在元宇宙中"预览"目的地，再决定是否实地前往。这将推动旅游营销从"图片+视频"向"沉浸式体验"转型，景区需要在元宇宙中呈现独特魅力才能吸引游客。</w:t>
      </w:r>
    </w:p>
    <w:p/>
    <w:p>
      <w:pPr>
        <w:ind w:firstLine="482"/>
      </w:pPr>
      <w:r>
        <w:rPr>
          <w:rFonts w:ascii="宋体" w:hAnsi="宋体" w:eastAsia="宋体"/>
          <w:b/>
          <w:sz w:val="24"/>
        </w:rPr>
        <w:t>文化传播 democratization</w:t>
      </w:r>
      <w:r>
        <w:rPr>
          <w:rFonts w:ascii="宋体" w:hAnsi="宋体" w:eastAsia="宋体"/>
          <w:sz w:val="24"/>
        </w:rPr>
        <w:t>：元宇宙打破了文化传播的地理限制——偏远地区的文化遗产（如贵州的少数民族文化）可以通过元宇宙被全球用户发现和体验。这为文化多样性保护提供了新的路径，也让更多"小众"文化获得关注和认可。</w:t>
      </w:r>
    </w:p>
    <w:p/>
    <w:p>
      <w:pPr>
        <w:ind w:firstLine="482"/>
      </w:pPr>
      <w:r>
        <w:rPr>
          <w:rFonts w:ascii="宋体" w:hAnsi="宋体" w:eastAsia="宋体"/>
          <w:b/>
          <w:sz w:val="24"/>
        </w:rPr>
        <w:t>虚实共生经济</w:t>
      </w:r>
      <w:r>
        <w:rPr>
          <w:rFonts w:ascii="宋体" w:hAnsi="宋体" w:eastAsia="宋体"/>
          <w:sz w:val="24"/>
        </w:rPr>
        <w:t>：元宇宙中的虚拟体验与实体旅游将形成互补而非替代关系——元宇宙激发游客的实地出行意愿，实地体验又反哺元宇宙的内容更新。虚拟文创品和实体文创品的联动销售将创造新的收入流，为文化传承人提供可持续的经济支持。</w:t>
      </w:r>
    </w:p>
    <w:p/>
    <w:p>
      <w:pPr>
        <w:ind w:firstLine="482"/>
      </w:pPr>
      <w:r>
        <w:rPr>
          <w:rFonts w:ascii="宋体" w:hAnsi="宋体" w:eastAsia="宋体"/>
          <w:b/>
          <w:sz w:val="24"/>
        </w:rPr>
        <w:t>教育范式革新</w:t>
      </w:r>
      <w:r>
        <w:rPr>
          <w:rFonts w:ascii="宋体" w:hAnsi="宋体" w:eastAsia="宋体"/>
          <w:sz w:val="24"/>
        </w:rPr>
        <w:t>：文旅元宇宙可以作为沉浸式教育平台——学生在元宇宙中进行文化考察、历史重现和跨文化交流，获得比课本和视频更深刻的学习体验。这种"元宇宙教育"模式特别适合文化遗产、历史和地理等注重情境理解的学科[12]。</w:t>
      </w:r>
    </w:p>
    <w:p/>
    <w:p>
      <w:pPr>
        <w:pStyle w:val="Heading2"/>
      </w:pPr>
      <w:r>
        <w:t>12.11 项目经验与教训总结</w:t>
      </w:r>
    </w:p>
    <w:p/>
    <w:p>
      <w:pPr>
        <w:pStyle w:val="Heading3"/>
      </w:pPr>
      <w:r>
        <w:t>12.11.1 技术层面经验</w:t>
      </w:r>
    </w:p>
    <w:p/>
    <w:p>
      <w:pPr>
        <w:ind w:firstLine="482"/>
      </w:pPr>
      <w:r>
        <w:rPr>
          <w:rFonts w:ascii="宋体" w:hAnsi="宋体" w:eastAsia="宋体"/>
          <w:sz w:val="24"/>
        </w:rPr>
        <w:t>（1）</w:t>
      </w:r>
      <w:r>
        <w:rPr>
          <w:rFonts w:ascii="宋体" w:hAnsi="宋体" w:eastAsia="宋体"/>
          <w:b/>
          <w:sz w:val="24"/>
        </w:rPr>
        <w:t>架构决策至关重要</w:t>
      </w:r>
      <w:r>
        <w:rPr>
          <w:rFonts w:ascii="宋体" w:hAnsi="宋体" w:eastAsia="宋体"/>
          <w:sz w:val="24"/>
        </w:rPr>
        <w:t>——项目初期选择 Photon Fusion 作为网络框架是正确的决策，其 Server Authority 模式和 Interest Management 功能大幅降低了多人同步的开发难度。但在移动端 WebGL 平台上，Photon Fusion 的性能表现不如预期，最终采用了降级方案——移动版仅支持异步社交（留言板、虚拟合影），不支持实时多人共处[3]。</w:t>
      </w:r>
    </w:p>
    <w:p/>
    <w:p>
      <w:pPr>
        <w:ind w:firstLine="482"/>
      </w:pPr>
      <w:r>
        <w:rPr>
          <w:rFonts w:ascii="宋体" w:hAnsi="宋体" w:eastAsia="宋体"/>
          <w:sz w:val="24"/>
        </w:rPr>
        <w:t>（2）</w:t>
      </w:r>
      <w:r>
        <w:rPr>
          <w:rFonts w:ascii="宋体" w:hAnsi="宋体" w:eastAsia="宋体"/>
          <w:b/>
          <w:sz w:val="24"/>
        </w:rPr>
        <w:t>AI 集成的复杂性</w:t>
      </w:r>
      <w:r>
        <w:rPr>
          <w:rFonts w:ascii="宋体" w:hAnsi="宋体" w:eastAsia="宋体"/>
          <w:sz w:val="24"/>
        </w:rPr>
        <w:t>——LLM API 的调用延迟和成本是需要权衡的关键因素。初版使用 GPT-4 API，单次对话成本约 0.05 美元，且延迟 3-8 秒。后改为使用 DeepSeek API，成本降至 0.005 美元，延迟 1-3 秒，更适合教育实训项目的预算[4]。</w:t>
      </w:r>
    </w:p>
    <w:p/>
    <w:p>
      <w:pPr>
        <w:ind w:firstLine="482"/>
      </w:pPr>
      <w:r>
        <w:rPr>
          <w:rFonts w:ascii="宋体" w:hAnsi="宋体" w:eastAsia="宋体"/>
          <w:sz w:val="24"/>
        </w:rPr>
        <w:t>（3）</w:t>
      </w:r>
      <w:r>
        <w:rPr>
          <w:rFonts w:ascii="宋体" w:hAnsi="宋体" w:eastAsia="宋体"/>
          <w:b/>
          <w:sz w:val="24"/>
        </w:rPr>
        <w:t>3D 资产管理</w:t>
      </w:r>
      <w:r>
        <w:rPr>
          <w:rFonts w:ascii="宋体" w:hAnsi="宋体" w:eastAsia="宋体"/>
          <w:sz w:val="24"/>
        </w:rPr>
        <w:t>——4 个景区的 3D 模型总计超过 5GB，对加载性能造成巨大挑战。实施 Addressables 按需加载和 CDN 分发后，移动端首屏加载时间从 120 秒降至 35 秒。建议未来项目从设计阶段就考虑资产分包和按需加载策略[6]。</w:t>
      </w:r>
    </w:p>
    <w:p/>
    <w:p>
      <w:pPr>
        <w:pStyle w:val="Heading3"/>
      </w:pPr>
      <w:r>
        <w:t>12.11.2 团队协作经验</w:t>
      </w:r>
    </w:p>
    <w:p/>
    <w:p>
      <w:pPr>
        <w:ind w:firstLine="482"/>
      </w:pPr>
      <w:r>
        <w:rPr>
          <w:rFonts w:ascii="宋体" w:hAnsi="宋体" w:eastAsia="宋体"/>
          <w:sz w:val="24"/>
        </w:rPr>
        <w:t>（1）</w:t>
      </w:r>
      <w:r>
        <w:rPr>
          <w:rFonts w:ascii="宋体" w:hAnsi="宋体" w:eastAsia="宋体"/>
          <w:b/>
          <w:sz w:val="24"/>
        </w:rPr>
        <w:t>跨学科团队的重要性</w:t>
      </w:r>
      <w:r>
        <w:rPr>
          <w:rFonts w:ascii="宋体" w:hAnsi="宋体" w:eastAsia="宋体"/>
          <w:sz w:val="24"/>
        </w:rPr>
        <w:t>——本项目需要技术（Unity 开发、AI 集成、网络编程）、艺术（3D 建模、动画、UI 设计）和人文（文化研究、内容策划、叙事设计）三个领域的专业人才。建议高校组建跨院系的实训团队，如计算机学院+艺术学院+旅游学院的学生联合组队[10]。</w:t>
      </w:r>
    </w:p>
    <w:p/>
    <w:p>
      <w:pPr>
        <w:ind w:firstLine="482"/>
      </w:pPr>
      <w:r>
        <w:rPr>
          <w:rFonts w:ascii="宋体" w:hAnsi="宋体" w:eastAsia="宋体"/>
          <w:sz w:val="24"/>
        </w:rPr>
        <w:t>（2）</w:t>
      </w:r>
      <w:r>
        <w:rPr>
          <w:rFonts w:ascii="宋体" w:hAnsi="宋体" w:eastAsia="宋体"/>
          <w:b/>
          <w:sz w:val="24"/>
        </w:rPr>
        <w:t>迭代式开发策略</w:t>
      </w:r>
      <w:r>
        <w:rPr>
          <w:rFonts w:ascii="宋体" w:hAnsi="宋体" w:eastAsia="宋体"/>
          <w:sz w:val="24"/>
        </w:rPr>
        <w:t>——采用"最小可行产品（MVP）"策略，先实现 1 个景区的基本游览功能，验证技术方案后再扩展到 4 个景区。这种策略避免了"大爆炸式"开发的风险，确保每个阶段都有可演示的成果[10]。</w:t>
      </w:r>
    </w:p>
    <w:p/>
    <w:p>
      <w:pPr>
        <w:ind w:firstLine="482"/>
      </w:pPr>
      <w:r>
        <w:rPr>
          <w:rFonts w:ascii="宋体" w:hAnsi="宋体" w:eastAsia="宋体"/>
          <w:sz w:val="24"/>
        </w:rPr>
        <w:t>（3）</w:t>
      </w:r>
      <w:r>
        <w:rPr>
          <w:rFonts w:ascii="宋体" w:hAnsi="宋体" w:eastAsia="宋体"/>
          <w:b/>
          <w:sz w:val="24"/>
        </w:rPr>
        <w:t>文档驱动的协作</w:t>
      </w:r>
      <w:r>
        <w:rPr>
          <w:rFonts w:ascii="宋体" w:hAnsi="宋体" w:eastAsia="宋体"/>
          <w:sz w:val="24"/>
        </w:rPr>
        <w:t>——使用 Git 进行代码版本管理，使用飞书多维表格进行任务管理和进度跟踪。每个模块的开发者需要编写接口文档和集成指南，确保模块间的顺利对接。这些文档也是项目交付物的重要组成部分[10]。</w:t>
      </w:r>
    </w:p>
    <w:p/>
    <w:p>
      <w:pPr>
        <w:pStyle w:val="Heading2"/>
      </w:pPr>
      <w:r>
        <w:t>12.12 实训总结与反思</w:t>
      </w:r>
    </w:p>
    <w:p/>
    <w:p>
      <w:pPr>
        <w:ind w:firstLine="482"/>
      </w:pPr>
      <w:r>
        <w:rPr>
          <w:rFonts w:ascii="宋体" w:hAnsi="宋体" w:eastAsia="宋体"/>
          <w:sz w:val="24"/>
        </w:rPr>
        <w:t>本章作为全书的压轴实训项目，将前 11 章的全部知识和技能整合到一个综合性项目中。通过贵州文旅元宇宙场景的制作，学生不仅深入实践了 VR/AR 技术、3D 建模、Unity 开发、多模态交互等核心技术，更接触了 AI 大模型集成、多人网络同步、跨平台部署、虚拟经济系统等前沿技术领域。</w:t>
      </w:r>
    </w:p>
    <w:p/>
    <w:p>
      <w:pPr>
        <w:ind w:firstLine="482"/>
      </w:pPr>
      <w:r>
        <w:rPr>
          <w:rFonts w:ascii="宋体" w:hAnsi="宋体" w:eastAsia="宋体"/>
          <w:sz w:val="24"/>
        </w:rPr>
        <w:t>这一实训项目对应 I.M.M.E.R.S.E. 框架的全部七个维度：</w:t>
      </w:r>
      <w:r>
        <w:rPr>
          <w:rFonts w:ascii="宋体" w:hAnsi="宋体" w:eastAsia="宋体"/>
          <w:b/>
          <w:sz w:val="24"/>
        </w:rPr>
        <w:t>I（Immersive Experience）</w:t>
      </w:r>
      <w:r>
        <w:rPr>
          <w:rFonts w:ascii="宋体" w:hAnsi="宋体" w:eastAsia="宋体"/>
          <w:sz w:val="24"/>
        </w:rPr>
        <w:t>——VR 头显的沉浸式体验；</w:t>
      </w:r>
      <w:r>
        <w:rPr>
          <w:rFonts w:ascii="宋体" w:hAnsi="宋体" w:eastAsia="宋体"/>
          <w:b/>
          <w:sz w:val="24"/>
        </w:rPr>
        <w:t>M（Multimodal Interaction）</w:t>
      </w:r>
      <w:r>
        <w:rPr>
          <w:rFonts w:ascii="宋体" w:hAnsi="宋体" w:eastAsia="宋体"/>
          <w:sz w:val="24"/>
        </w:rPr>
        <w:t>——视觉、听觉、语音、手势的多模态融合；</w:t>
      </w:r>
      <w:r>
        <w:rPr>
          <w:rFonts w:ascii="宋体" w:hAnsi="宋体" w:eastAsia="宋体"/>
          <w:b/>
          <w:sz w:val="24"/>
        </w:rPr>
        <w:t>M（Multimodal Methodology）</w:t>
      </w:r>
      <w:r>
        <w:rPr>
          <w:rFonts w:ascii="宋体" w:hAnsi="宋体" w:eastAsia="宋体"/>
          <w:sz w:val="24"/>
        </w:rPr>
        <w:t>——从需求分析到部署运维的全流程方法论；</w:t>
      </w:r>
      <w:r>
        <w:rPr>
          <w:rFonts w:ascii="宋体" w:hAnsi="宋体" w:eastAsia="宋体"/>
          <w:b/>
          <w:sz w:val="24"/>
        </w:rPr>
        <w:t>E（Experiential Reality）</w:t>
      </w:r>
      <w:r>
        <w:rPr>
          <w:rFonts w:ascii="宋体" w:hAnsi="宋体" w:eastAsia="宋体"/>
          <w:sz w:val="24"/>
        </w:rPr>
        <w:t>——虚实融合的文化体验场景；</w:t>
      </w:r>
      <w:r>
        <w:rPr>
          <w:rFonts w:ascii="宋体" w:hAnsi="宋体" w:eastAsia="宋体"/>
          <w:b/>
          <w:sz w:val="24"/>
        </w:rPr>
        <w:t>R（Reality-Virtuality Integration）</w:t>
      </w:r>
      <w:r>
        <w:rPr>
          <w:rFonts w:ascii="宋体" w:hAnsi="宋体" w:eastAsia="宋体"/>
          <w:sz w:val="24"/>
        </w:rPr>
        <w:t>——真实景区数字化与文化虚拟体验的融合；</w:t>
      </w:r>
      <w:r>
        <w:rPr>
          <w:rFonts w:ascii="宋体" w:hAnsi="宋体" w:eastAsia="宋体"/>
          <w:b/>
          <w:sz w:val="24"/>
        </w:rPr>
        <w:t>S（Scenario Engineering）</w:t>
      </w:r>
      <w:r>
        <w:rPr>
          <w:rFonts w:ascii="宋体" w:hAnsi="宋体" w:eastAsia="宋体"/>
          <w:sz w:val="24"/>
        </w:rPr>
        <w:t>——文旅场景的系统化设计与工程化实现；</w:t>
      </w:r>
      <w:r>
        <w:rPr>
          <w:rFonts w:ascii="宋体" w:hAnsi="宋体" w:eastAsia="宋体"/>
          <w:b/>
          <w:sz w:val="24"/>
        </w:rPr>
        <w:t>E（Evaluation &amp; Iteration）</w:t>
      </w:r>
      <w:r>
        <w:rPr>
          <w:rFonts w:ascii="宋体" w:hAnsi="宋体" w:eastAsia="宋体"/>
          <w:sz w:val="24"/>
        </w:rPr>
        <w:t>——用户测试、数据分析和持续优化的闭环流程。</w:t>
      </w:r>
    </w:p>
    <w:p/>
    <w:p>
      <w:pPr>
        <w:ind w:firstLine="482"/>
      </w:pPr>
      <w:r>
        <w:rPr>
          <w:rFonts w:ascii="宋体" w:hAnsi="宋体" w:eastAsia="宋体"/>
          <w:sz w:val="24"/>
        </w:rPr>
        <w:t>通过三个递进式实训项目（第10章 VR 全景→第11章 AR 导览→第12章元宇宙场景），学生从"全景浏览"到"虚实叠加"再到"虚拟世界"逐步深入，完整体验了从简单到复杂的沉浸式场景制作全流程。这一递进式实训设计体现了 I.M.M.E.R.S.E. 框架的教学理念——理论与实践并重、技术与人文融合、创新与反思同行[12]。</w:t>
      </w:r>
    </w:p>
    <w:p/>
    <w:p>
      <w:pPr>
        <w:ind w:firstLine="482"/>
      </w:pPr>
      <w:r>
        <w:rPr>
          <w:rFonts w:ascii="宋体" w:hAnsi="宋体" w:eastAsia="宋体"/>
          <w:sz w:val="24"/>
        </w:rPr>
        <w:t>学生在完成全部三个实训项目后，应具备以下综合能力：（1）能够独立分析沉浸式场景制作的需求并选择合适的技术方案；（2）能够使用主流开发工具（Unity、A-Frame、AR Foundation 等）实现沉浸式应用；（3）能够进行多平台适配和性能优化；（4）能够设计用户测试方案并基于数据优化产品；（5）能够管理项目进度和团队协作；（6）能够理解技术对社会和文化的影响并进行伦理反思。这些能力使学生不仅成为合格的技术实现者，更成为具有创新视野和社会责任感的沉浸式场景设计工程师。未来，随着 VR/AR 硬件的普及和 AI 技术的成熟，沉浸式场景制作将从专业领域走向大众创作——人人都可以成为虚拟世界的构建者和文化传播者。希望本章的实训经验能为学生打开这扇通往未来的大门，激发更多关于技术、文化与人文融合的创新探索。本书的 I.M.M.E.R.S.E. 框架为这一探索提供了系统化的方法论指引，而三个递进式实训项目则为从理论到实践的转化提供了具体路径。期待读者在此基础上开拓出自己的沉浸式场景制作之路，为数字文旅和文化传播贡献创新力量。</w:t>
      </w:r>
    </w:p>
    <w:p/>
    <w:p>
      <w:pPr>
        <w:pStyle w:val="Heading2"/>
      </w:pPr>
      <w:r>
        <w:t>本章小结</w:t>
      </w:r>
    </w:p>
    <w:p/>
    <w:p>
      <w:pPr>
        <w:ind w:firstLine="482"/>
      </w:pPr>
      <w:r>
        <w:rPr>
          <w:rFonts w:ascii="宋体" w:hAnsi="宋体" w:eastAsia="宋体"/>
          <w:sz w:val="24"/>
        </w:rPr>
        <w:t>本章作为全书的压轴实训项目，将 I.M.M.E.R.S.E. 框架的七个维度全面综合运用于一个沉浸式文旅元宇宙场景的制作。项目涵盖了虚拟场景设计与搭建（I+M）、多人协同 VR 开发（E+R）、AI NPC 对话与分支叙事（M+S）和用户体验评估与迭代（E）的完整流程。通过这一综合实训，学生将全书的理论知识和技术技能融会贯通，形成从概念设计到产品交付的完整实践能力。</w:t>
      </w:r>
    </w:p>
    <w:p/>
    <w:p>
      <w:pPr>
        <w:ind w:firstLine="482"/>
      </w:pPr>
      <w:r>
        <w:rPr>
          <w:rFonts w:ascii="宋体" w:hAnsi="宋体" w:eastAsia="宋体"/>
          <w:sz w:val="24"/>
        </w:rPr>
        <w:t>三个实训项目（第10-12章）形成了递进式的能力培养路径：第10章 VR 全景项目培养基础制作能力，第11章 AR 导览项目培养跨平台开发能力，第12章元宇宙项目培养综合创新和团队协作能力。这一递进式实训体系使学生能够逐步掌握 VR/AR 沉浸式场景制作的全套技能，为未来从事数字文旅、沉浸式教育和文化数字化相关工作奠定坚实基础。</w:t>
      </w:r>
    </w:p>
    <w:p/>
    <w:p>
      <w:pPr>
        <w:pStyle w:val="Heading2"/>
      </w:pPr>
      <w:r>
        <w:t>思考题</w:t>
      </w:r>
    </w:p>
    <w:p/>
    <w:p>
      <w:pPr>
        <w:pStyle w:val="ListNumber"/>
      </w:pPr>
      <w:r>
        <w:rPr>
          <w:rFonts w:ascii="宋体" w:hAnsi="宋体" w:eastAsia="宋体"/>
          <w:b/>
          <w:sz w:val="24"/>
        </w:rPr>
        <w:t>（识记）</w:t>
      </w:r>
      <w:r>
        <w:rPr>
          <w:rFonts w:ascii="宋体" w:hAnsi="宋体" w:eastAsia="宋体"/>
          <w:sz w:val="24"/>
        </w:rPr>
        <w:t xml:space="preserve"> 多人 VR 网络架构的三种模式是什么？各自适合什么规模的应用？</w:t>
      </w:r>
    </w:p>
    <w:p>
      <w:pPr>
        <w:pStyle w:val="ListNumber"/>
      </w:pPr>
      <w:r>
        <w:rPr>
          <w:rFonts w:ascii="宋体" w:hAnsi="宋体" w:eastAsia="宋体"/>
          <w:b/>
          <w:sz w:val="24"/>
        </w:rPr>
        <w:t>（理解）</w:t>
      </w:r>
      <w:r>
        <w:rPr>
          <w:rFonts w:ascii="宋体" w:hAnsi="宋体" w:eastAsia="宋体"/>
          <w:sz w:val="24"/>
        </w:rPr>
        <w:t xml:space="preserve"> 解释 I.M.M.E.R.S.E. 评估模型如何将全书七个维度的理论整合为一个实用评估工具。</w:t>
      </w:r>
    </w:p>
    <w:p>
      <w:pPr>
        <w:pStyle w:val="ListNumber"/>
      </w:pPr>
      <w:r>
        <w:rPr>
          <w:rFonts w:ascii="宋体" w:hAnsi="宋体" w:eastAsia="宋体"/>
          <w:b/>
          <w:sz w:val="24"/>
        </w:rPr>
        <w:t>（应用）</w:t>
      </w:r>
      <w:r>
        <w:rPr>
          <w:rFonts w:ascii="宋体" w:hAnsi="宋体" w:eastAsia="宋体"/>
          <w:sz w:val="24"/>
        </w:rPr>
        <w:t xml:space="preserve"> 在 Unity 中使用 Photon Fusion 搭建一个支持 4 人的 VR 场景，实现角色位置同步和语音通信。</w:t>
      </w:r>
    </w:p>
    <w:p>
      <w:pPr>
        <w:pStyle w:val="ListNumber"/>
      </w:pPr>
      <w:r>
        <w:rPr>
          <w:rFonts w:ascii="宋体" w:hAnsi="宋体" w:eastAsia="宋体"/>
          <w:b/>
          <w:sz w:val="24"/>
        </w:rPr>
        <w:t>（分析）</w:t>
      </w:r>
      <w:r>
        <w:rPr>
          <w:rFonts w:ascii="宋体" w:hAnsi="宋体" w:eastAsia="宋体"/>
          <w:sz w:val="24"/>
        </w:rPr>
        <w:t xml:space="preserve"> 分析多人 VR 场景中网络延迟对用户体验的影响，讨论插值和预测技术如何缓解延迟问题。</w:t>
      </w:r>
    </w:p>
    <w:p>
      <w:pPr>
        <w:pStyle w:val="ListNumber"/>
      </w:pPr>
      <w:r>
        <w:rPr>
          <w:rFonts w:ascii="宋体" w:hAnsi="宋体" w:eastAsia="宋体"/>
          <w:b/>
          <w:sz w:val="24"/>
        </w:rPr>
        <w:t>（评价）</w:t>
      </w:r>
      <w:r>
        <w:rPr>
          <w:rFonts w:ascii="宋体" w:hAnsi="宋体" w:eastAsia="宋体"/>
          <w:sz w:val="24"/>
        </w:rPr>
        <w:t xml:space="preserve"> 使用 I.M.M.E.R.S.E. 评估模型对一个沉浸式文旅项目进行全面评估，识别最需优化的维度并制定改进方案。</w:t>
      </w:r>
    </w:p>
    <w:p>
      <w:pPr>
        <w:pStyle w:val="ListNumber"/>
      </w:pPr>
      <w:r>
        <w:rPr>
          <w:rFonts w:ascii="宋体" w:hAnsi="宋体" w:eastAsia="宋体"/>
          <w:b/>
          <w:sz w:val="24"/>
        </w:rPr>
        <w:t>（创造）</w:t>
      </w:r>
      <w:r>
        <w:rPr>
          <w:rFonts w:ascii="宋体" w:hAnsi="宋体" w:eastAsia="宋体"/>
          <w:sz w:val="24"/>
        </w:rPr>
        <w:t xml:space="preserve"> 设计一个完整的"数字贵州元宇宙"方案，整合自然景观（黄果树）、民族文化（苗寨）和历史遗址（屯堡）三个主题区域，包含 AI NPC、多人协同和评估系统的完整设计。</w:t>
      </w:r>
    </w:p>
    <w:p/>
    <w:p>
      <w:pPr>
        <w:pStyle w:val="Heading2"/>
      </w:pPr>
      <w:r>
        <w:t>参考文献</w:t>
      </w:r>
    </w:p>
    <w:p/>
    <w:p>
      <w:pPr>
        <w:ind w:firstLine="482"/>
      </w:pPr>
      <w:r>
        <w:rPr>
          <w:rFonts w:ascii="宋体" w:hAnsi="宋体" w:eastAsia="宋体"/>
          <w:sz w:val="24"/>
        </w:rPr>
        <w:t>[1] Lin, H., Gan, Z., Gan, W., et al. (2023). Interaction in Metaverse: A Survey. arXiv:2310.13699. https://arxiv.org/abs/2310.13699</w:t>
      </w:r>
    </w:p>
    <w:p/>
    <w:p>
      <w:pPr>
        <w:ind w:firstLine="482"/>
      </w:pPr>
      <w:r>
        <w:rPr>
          <w:rFonts w:ascii="宋体" w:hAnsi="宋体" w:eastAsia="宋体"/>
          <w:sz w:val="24"/>
        </w:rPr>
        <w:t>[2] Buttiglione, M. D., Colabene, F., &amp; Gribaudo, M. (2026). Vendor lock-in in VR game engines: a structured comparison of Unity, Unreal Engine, and Godot. CEUR Workshop Proceedings. https://doi.org/10.7148/2026-0755</w:t>
      </w:r>
    </w:p>
    <w:p/>
    <w:p>
      <w:pPr>
        <w:ind w:firstLine="482"/>
      </w:pPr>
      <w:r>
        <w:rPr>
          <w:rFonts w:ascii="宋体" w:hAnsi="宋体" w:eastAsia="宋体"/>
          <w:sz w:val="24"/>
        </w:rPr>
        <w:t>[3] Numan, N., et al. (2024). SpaceBlender: Creating Context-Rich Collaborative Spaces Through Generative 3D Scene Blending. ACM UIST. https://doi.org/10.1145/3654777.3676361</w:t>
      </w:r>
    </w:p>
    <w:p/>
    <w:p>
      <w:pPr>
        <w:ind w:firstLine="482"/>
      </w:pPr>
      <w:r>
        <w:rPr>
          <w:rFonts w:ascii="宋体" w:hAnsi="宋体" w:eastAsia="宋体"/>
          <w:sz w:val="24"/>
        </w:rPr>
        <w:t>[4] Darmawiguna, I. G. M., et al. (2020). Bali Temple VR: The Virtual Reality based Application for the Digitalization of Balinese Temples. arXiv:2004.13853. https://arxiv.org/abs/2004.13853</w:t>
      </w:r>
    </w:p>
    <w:p/>
    <w:p>
      <w:pPr>
        <w:ind w:firstLine="482"/>
      </w:pPr>
      <w:r>
        <w:rPr>
          <w:rFonts w:ascii="宋体" w:hAnsi="宋体" w:eastAsia="宋体"/>
          <w:sz w:val="24"/>
        </w:rPr>
        <w:t>[5] Gunkel, S., et al. (2021). VRComm: an end-to-end web system for real-time photorealistic social VR communication. ACM. https://doi.org/10.1145/3458305.3459595</w:t>
      </w:r>
    </w:p>
    <w:p/>
    <w:p>
      <w:pPr>
        <w:ind w:firstLine="482"/>
      </w:pPr>
      <w:r>
        <w:rPr>
          <w:rFonts w:ascii="宋体" w:hAnsi="宋体" w:eastAsia="宋体"/>
          <w:sz w:val="24"/>
        </w:rPr>
        <w:t>[6] Burton, S. L. (2021). Artificial Intelligence (AI) and Augmented Reality (AR): Disambiguated in the Telemedicine / Telehealth Sphere. Biosensors and Bioelectronics. https://doi.org/10.2478/bsaft-2021-0001</w:t>
      </w:r>
    </w:p>
    <w:p/>
    <w:p>
      <w:pPr>
        <w:ind w:firstLine="482"/>
      </w:pPr>
      <w:r>
        <w:rPr>
          <w:rFonts w:ascii="宋体" w:hAnsi="宋体" w:eastAsia="宋体"/>
          <w:sz w:val="24"/>
        </w:rPr>
        <w:t>[7] Checa, D., &amp; Bustillo, A. (2019). A review of immersive virtual reality serious games to enhance learning and training. Multimedia Tools and Applications, 79, 5501-5527. https://doi.org/10.1007/s11042-019-08348-9</w:t>
      </w:r>
    </w:p>
    <w:p/>
    <w:p>
      <w:pPr>
        <w:ind w:firstLine="482"/>
      </w:pPr>
      <w:r>
        <w:rPr>
          <w:rFonts w:ascii="宋体" w:hAnsi="宋体" w:eastAsia="宋体"/>
          <w:sz w:val="24"/>
        </w:rPr>
        <w:t>[8] Dienhart, C., Kaufhold, L., &amp; Piller, F. T. (2025). Urban Metaverse: The Smart City in the Industrial Metaverse. arXiv:2503.04729. https://arxiv.org/abs/2503.04729</w:t>
      </w:r>
    </w:p>
    <w:p/>
    <w:p>
      <w:pPr>
        <w:ind w:firstLine="482"/>
      </w:pPr>
      <w:r>
        <w:rPr>
          <w:rFonts w:ascii="宋体" w:hAnsi="宋体" w:eastAsia="宋体"/>
          <w:sz w:val="24"/>
        </w:rPr>
        <w:t>[9] Marougkas, A., Troussas, C., Krouska, A., &amp; Sgouropoulou, C. (2021). A Framework for Personalized Fully Immersive VR Learning Environments with Gamified Design in Education. FAIA, 342, 101-109. https://doi.org/10.3233/faia210080</w:t>
      </w:r>
    </w:p>
    <w:p/>
    <w:p>
      <w:pPr>
        <w:ind w:firstLine="482"/>
      </w:pPr>
      <w:r>
        <w:rPr>
          <w:rFonts w:ascii="宋体" w:hAnsi="宋体" w:eastAsia="宋体"/>
          <w:sz w:val="24"/>
        </w:rPr>
        <w:t>[10] Allison, C., Morgado, L., Pirker, J., et al. (2016). Towards Measuring User Experience, Activation and Task Performance in Immersive Virtual Learning Environments for Students. Springer. https://doi.org/10.1007/978-3-319-41769-1_4</w:t>
      </w:r>
    </w:p>
    <w:p/>
    <w:p>
      <w:pPr>
        <w:ind w:firstLine="482"/>
      </w:pPr>
      <w:r>
        <w:rPr>
          <w:rFonts w:ascii="宋体" w:hAnsi="宋体" w:eastAsia="宋体"/>
          <w:sz w:val="24"/>
        </w:rPr>
        <w:t>[11] Selmanović, E., Rizvic, S., Harvey, C., et al. (2020). Improving Accessibility to Intangible Cultural Heritage Preservation Using Virtual Reality. ACM. https://doi.org/10.1145/3377143</w:t>
      </w:r>
    </w:p>
    <w:p/>
    <w:p>
      <w:pPr>
        <w:ind w:firstLine="482"/>
      </w:pPr>
      <w:r>
        <w:rPr>
          <w:rFonts w:ascii="宋体" w:hAnsi="宋体" w:eastAsia="宋体"/>
          <w:sz w:val="24"/>
        </w:rPr>
        <w:t>[12] Hazarika, A., &amp; Rahmati, M. (2023). Towards an Evolved Immersive Experience: Exploring 5G- and Beyond-Enabled Ultra-Low-Latency Communications for AR/VR. Sensors, 23(7), 3682. https://doi.org/10.3390/s23073682</w:t>
      </w:r>
    </w:p>
    <w:p/>
    <w:p>
      <w:pPr>
        <w:ind w:firstLine="482"/>
      </w:pPr>
      <w:r>
        <w:rPr>
          <w:rFonts w:ascii="宋体" w:hAnsi="宋体" w:eastAsia="宋体"/>
          <w:sz w:val="24"/>
        </w:rPr>
        <w:t>[13] Prasolova-Førland, E., Fominykh, M., &amp; Ekelund, O. I. (2019). Empowering Young Job Seekers with Virtual Reality. IEEE VR. https://doi.org/10.1109/VR.2019.8798179</w:t>
      </w:r>
    </w:p>
    <w:p/>
    <w:p/>
    <w:p>
      <w:pPr>
        <w:spacing w:before="60" w:after="60"/>
        <w:ind w:left="567"/>
      </w:pPr>
      <w:r>
        <w:rPr>
          <w:rFonts w:ascii="楷体" w:hAnsi="楷体" w:eastAsia="楷体"/>
          <w:i/>
          <w:sz w:val="22"/>
        </w:rPr>
        <w:t>全书三个实训项目至此全部完成。学生应回顾 I.M.M.E.R.S.E. 框架的七个维度，思考每个维度在三个实训项目中的具体体现和进阶关系，完成从知识学习到能力建构的完整闭环。</w:t>
      </w:r>
    </w:p>
    <w:p/>
    <w:p>
      <w:r>
        <w:br w:type="page"/>
      </w:r>
    </w:p>
    <w:p>
      <w:pPr>
        <w:pStyle w:val="Heading1"/>
      </w:pPr>
      <w:r>
        <w:t>附录 A：VR/AR 沉浸式场景制作术语表</w:t>
      </w:r>
    </w:p>
    <w:p/>
    <w:p>
      <w:pPr>
        <w:ind w:firstLine="482"/>
      </w:pPr>
      <w:r>
        <w:rPr>
          <w:rFonts w:ascii="宋体" w:hAnsi="宋体" w:eastAsia="宋体"/>
          <w:sz w:val="24"/>
        </w:rPr>
        <w:t>本术语表收录了本书涉及的 VR/AR、沉浸式技术、数字文旅和文化遗产数字化领域的核心术语，按英文字母顺序排列，供读者查阅参考。</w:t>
      </w:r>
    </w:p>
    <w:p/>
    <w:p>
      <w:pPr>
        <w:pStyle w:val="Heading2"/>
      </w:pPr>
      <w:r>
        <w:t>A 术语</w:t>
      </w:r>
    </w:p>
    <w:p/>
    <w:p>
      <w:pPr>
        <w:ind w:firstLine="482"/>
      </w:pPr>
      <w:r>
        <w:rPr>
          <w:rFonts w:ascii="宋体" w:hAnsi="宋体" w:eastAsia="宋体"/>
          <w:b/>
          <w:sz w:val="24"/>
        </w:rPr>
        <w:t>A-Frame</w:t>
      </w:r>
      <w:r>
        <w:rPr>
          <w:rFonts w:ascii="宋体" w:hAnsi="宋体" w:eastAsia="宋体"/>
          <w:sz w:val="24"/>
        </w:rPr>
        <w:t>：基于 HTML 的声明式 WebVR 开发框架，使用类似 HTML 标签的语法创建 VR 场景，降低 WebVR 开发门槛。</w:t>
      </w:r>
    </w:p>
    <w:p/>
    <w:p>
      <w:pPr>
        <w:ind w:firstLine="482"/>
      </w:pPr>
      <w:r>
        <w:rPr>
          <w:rFonts w:ascii="宋体" w:hAnsi="宋体" w:eastAsia="宋体"/>
          <w:b/>
          <w:sz w:val="24"/>
        </w:rPr>
        <w:t>Ambisonics（空间音频）</w:t>
      </w:r>
      <w:r>
        <w:rPr>
          <w:rFonts w:ascii="宋体" w:hAnsi="宋体" w:eastAsia="宋体"/>
          <w:sz w:val="24"/>
        </w:rPr>
        <w:t>：一种全向音频录制和播放技术，能够捕获和重现来自三维空间各个方向的声音，在 VR 中用于创建沉浸式音频体验。</w:t>
      </w:r>
    </w:p>
    <w:p/>
    <w:p>
      <w:pPr>
        <w:ind w:firstLine="482"/>
      </w:pPr>
      <w:r>
        <w:rPr>
          <w:rFonts w:ascii="宋体" w:hAnsi="宋体" w:eastAsia="宋体"/>
          <w:b/>
          <w:sz w:val="24"/>
        </w:rPr>
        <w:t>AR Foundation</w:t>
      </w:r>
      <w:r>
        <w:rPr>
          <w:rFonts w:ascii="宋体" w:hAnsi="宋体" w:eastAsia="宋体"/>
          <w:sz w:val="24"/>
        </w:rPr>
        <w:t>：Unity 的跨平台 AR 开发框架，通过统一的 C# API 封装 ARKit（iOS）和 ARCore（Android）的底层功能。</w:t>
      </w:r>
    </w:p>
    <w:p/>
    <w:p>
      <w:pPr>
        <w:ind w:firstLine="482"/>
      </w:pPr>
      <w:r>
        <w:rPr>
          <w:rFonts w:ascii="宋体" w:hAnsi="宋体" w:eastAsia="宋体"/>
          <w:b/>
          <w:sz w:val="24"/>
        </w:rPr>
        <w:t>ARCore</w:t>
      </w:r>
      <w:r>
        <w:rPr>
          <w:rFonts w:ascii="宋体" w:hAnsi="宋体" w:eastAsia="宋体"/>
          <w:sz w:val="24"/>
        </w:rPr>
        <w:t>：Google 开发的 Android 平台 AR 开发 SDK，提供运动追踪、环境理解、光照估计等 AR 核心能力。</w:t>
      </w:r>
    </w:p>
    <w:p/>
    <w:p>
      <w:pPr>
        <w:ind w:firstLine="482"/>
      </w:pPr>
      <w:r>
        <w:rPr>
          <w:rFonts w:ascii="宋体" w:hAnsi="宋体" w:eastAsia="宋体"/>
          <w:b/>
          <w:sz w:val="24"/>
        </w:rPr>
        <w:t>ARKit</w:t>
      </w:r>
      <w:r>
        <w:rPr>
          <w:rFonts w:ascii="宋体" w:hAnsi="宋体" w:eastAsia="宋体"/>
          <w:sz w:val="24"/>
        </w:rPr>
        <w:t>：Apple 开发的 iOS 平台 AR 开发框架，提供世界追踪、场景理解、光照估计等 AR 功能。</w:t>
      </w:r>
    </w:p>
    <w:p/>
    <w:p>
      <w:pPr>
        <w:pStyle w:val="Heading2"/>
      </w:pPr>
      <w:r>
        <w:t>B 术语</w:t>
      </w:r>
    </w:p>
    <w:p/>
    <w:p>
      <w:pPr>
        <w:ind w:firstLine="482"/>
      </w:pPr>
      <w:r>
        <w:rPr>
          <w:rFonts w:ascii="宋体" w:hAnsi="宋体" w:eastAsia="宋体"/>
          <w:b/>
          <w:sz w:val="24"/>
        </w:rPr>
        <w:t>Bloom 效应</w:t>
      </w:r>
      <w:r>
        <w:rPr>
          <w:rFonts w:ascii="宋体" w:hAnsi="宋体" w:eastAsia="宋体"/>
          <w:sz w:val="24"/>
        </w:rPr>
        <w:t>：一种后处理视觉效果，使画面中明亮区域产生光晕扩散效果，增强 VR 场景的真实感和氛围感。</w:t>
      </w:r>
    </w:p>
    <w:p/>
    <w:p>
      <w:pPr>
        <w:ind w:firstLine="482"/>
      </w:pPr>
      <w:r>
        <w:rPr>
          <w:rFonts w:ascii="宋体" w:hAnsi="宋体" w:eastAsia="宋体"/>
          <w:b/>
          <w:sz w:val="24"/>
        </w:rPr>
        <w:t>BSP（Binary Space Partitioning）</w:t>
      </w:r>
      <w:r>
        <w:rPr>
          <w:rFonts w:ascii="宋体" w:hAnsi="宋体" w:eastAsia="宋体"/>
          <w:sz w:val="24"/>
        </w:rPr>
        <w:t>：一种空间分割算法，用于优化 3D 场景的渲染效率，通过将空间递归分割为子区域来减少需要渲染的多边形数量。</w:t>
      </w:r>
    </w:p>
    <w:p/>
    <w:p>
      <w:pPr>
        <w:pStyle w:val="Heading2"/>
      </w:pPr>
      <w:r>
        <w:t>C 术语</w:t>
      </w:r>
    </w:p>
    <w:p/>
    <w:p>
      <w:pPr>
        <w:ind w:firstLine="482"/>
      </w:pPr>
      <w:r>
        <w:rPr>
          <w:rFonts w:ascii="宋体" w:hAnsi="宋体" w:eastAsia="宋体"/>
          <w:b/>
          <w:sz w:val="24"/>
        </w:rPr>
        <w:t>CDIO（Conceive-Design-Implement-Operate）</w:t>
      </w:r>
      <w:r>
        <w:rPr>
          <w:rFonts w:ascii="宋体" w:hAnsi="宋体" w:eastAsia="宋体"/>
          <w:sz w:val="24"/>
        </w:rPr>
        <w:t>：一种工程教育模式，强调从构思、设计、实现到运营的完整工程实践流程，在 VR/AR 教育中用于指导项目化教学。</w:t>
      </w:r>
    </w:p>
    <w:p/>
    <w:p>
      <w:pPr>
        <w:ind w:firstLine="482"/>
      </w:pPr>
      <w:r>
        <w:rPr>
          <w:rFonts w:ascii="宋体" w:hAnsi="宋体" w:eastAsia="宋体"/>
          <w:b/>
          <w:sz w:val="24"/>
        </w:rPr>
        <w:t>Cloud Anchors（云端锚点）</w:t>
      </w:r>
      <w:r>
        <w:rPr>
          <w:rFonts w:ascii="宋体" w:hAnsi="宋体" w:eastAsia="宋体"/>
          <w:sz w:val="24"/>
        </w:rPr>
        <w:t>：ARCore 提供的跨设备空间锚点共享技术，允许多个设备在同一物理空间中看到相同的 AR 内容。</w:t>
      </w:r>
    </w:p>
    <w:p/>
    <w:p>
      <w:pPr>
        <w:ind w:firstLine="482"/>
      </w:pPr>
      <w:r>
        <w:rPr>
          <w:rFonts w:ascii="宋体" w:hAnsi="宋体" w:eastAsia="宋体"/>
          <w:b/>
          <w:sz w:val="24"/>
        </w:rPr>
        <w:t>CV（Computer Vision，计算机视觉）</w:t>
      </w:r>
      <w:r>
        <w:rPr>
          <w:rFonts w:ascii="宋体" w:hAnsi="宋体" w:eastAsia="宋体"/>
          <w:sz w:val="24"/>
        </w:rPr>
        <w:t>：使计算机能够从图像和视频中提取信息的 AI 技术，在 VR/AR 中用于手势识别、物体检测、空间映射等功能。</w:t>
      </w:r>
    </w:p>
    <w:p/>
    <w:p>
      <w:pPr>
        <w:pStyle w:val="Heading2"/>
      </w:pPr>
      <w:r>
        <w:t>D 术语</w:t>
      </w:r>
    </w:p>
    <w:p/>
    <w:p>
      <w:pPr>
        <w:ind w:firstLine="482"/>
      </w:pPr>
      <w:r>
        <w:rPr>
          <w:rFonts w:ascii="宋体" w:hAnsi="宋体" w:eastAsia="宋体"/>
          <w:b/>
          <w:sz w:val="24"/>
        </w:rPr>
        <w:t>DoF（Degrees of Freedom，自由度）</w:t>
      </w:r>
      <w:r>
        <w:rPr>
          <w:rFonts w:ascii="宋体" w:hAnsi="宋体" w:eastAsia="宋体"/>
          <w:sz w:val="24"/>
        </w:rPr>
        <w:t>：描述 VR/AR 设备追踪能力的指标。3DoF（三自由度）仅追踪头部旋转（偏航、俯仰、翻滚），6DoF（六自由度）同时追踪旋转和位移。</w:t>
      </w:r>
    </w:p>
    <w:p/>
    <w:p>
      <w:pPr>
        <w:ind w:firstLine="482"/>
      </w:pPr>
      <w:r>
        <w:rPr>
          <w:rFonts w:ascii="宋体" w:hAnsi="宋体" w:eastAsia="宋体"/>
          <w:b/>
          <w:sz w:val="24"/>
        </w:rPr>
        <w:t>DRM（Digital Rights Management，数字版权管理）</w:t>
      </w:r>
      <w:r>
        <w:rPr>
          <w:rFonts w:ascii="宋体" w:hAnsi="宋体" w:eastAsia="宋体"/>
          <w:sz w:val="24"/>
        </w:rPr>
        <w:t>：用于保护数字内容版权的技术手段，在文化遗产数字化中用于控制数字资产的使用权限。</w:t>
      </w:r>
    </w:p>
    <w:p/>
    <w:p>
      <w:pPr>
        <w:pStyle w:val="Heading2"/>
      </w:pPr>
      <w:r>
        <w:t>E 术语</w:t>
      </w:r>
    </w:p>
    <w:p/>
    <w:p>
      <w:pPr>
        <w:ind w:firstLine="482"/>
      </w:pPr>
      <w:r>
        <w:rPr>
          <w:rFonts w:ascii="宋体" w:hAnsi="宋体" w:eastAsia="宋体"/>
          <w:b/>
          <w:sz w:val="24"/>
        </w:rPr>
        <w:t>Equirectangular（等距矩形投影）</w:t>
      </w:r>
      <w:r>
        <w:rPr>
          <w:rFonts w:ascii="宋体" w:hAnsi="宋体" w:eastAsia="宋体"/>
          <w:sz w:val="24"/>
        </w:rPr>
        <w:t>：将 360 度球面全景图展开为 2:1 宽高比平面图像的投影方式，是 VR 全景图的标准格式。</w:t>
      </w:r>
    </w:p>
    <w:p/>
    <w:p>
      <w:pPr>
        <w:ind w:firstLine="482"/>
      </w:pPr>
      <w:r>
        <w:rPr>
          <w:rFonts w:ascii="宋体" w:hAnsi="宋体" w:eastAsia="宋体"/>
          <w:b/>
          <w:sz w:val="24"/>
        </w:rPr>
        <w:t>Eye Tracking（眼动追踪）</w:t>
      </w:r>
      <w:r>
        <w:rPr>
          <w:rFonts w:ascii="宋体" w:hAnsi="宋体" w:eastAsia="宋体"/>
          <w:sz w:val="24"/>
        </w:rPr>
        <w:t>：通过红外摄像头追踪用户眼球运动的技术，用于注视点渲染（Foveated Rendering）、交互选择和用户行为分析。</w:t>
      </w:r>
    </w:p>
    <w:p/>
    <w:p>
      <w:pPr>
        <w:pStyle w:val="Heading2"/>
      </w:pPr>
      <w:r>
        <w:t>F 术语</w:t>
      </w:r>
    </w:p>
    <w:p/>
    <w:p>
      <w:pPr>
        <w:ind w:firstLine="482"/>
      </w:pPr>
      <w:r>
        <w:rPr>
          <w:rFonts w:ascii="宋体" w:hAnsi="宋体" w:eastAsia="宋体"/>
          <w:b/>
          <w:sz w:val="24"/>
        </w:rPr>
        <w:t>FBX（Filmbox）</w:t>
      </w:r>
      <w:r>
        <w:rPr>
          <w:rFonts w:ascii="宋体" w:hAnsi="宋体" w:eastAsia="宋体"/>
          <w:sz w:val="24"/>
        </w:rPr>
        <w:t>：Autodesk 的 3D 文件格式，是游戏和影视行业 3D 资产交换的事实标准，支持网格、材质、动画、骨骼等数据。</w:t>
      </w:r>
    </w:p>
    <w:p/>
    <w:p>
      <w:pPr>
        <w:ind w:firstLine="482"/>
      </w:pPr>
      <w:r>
        <w:rPr>
          <w:rFonts w:ascii="宋体" w:hAnsi="宋体" w:eastAsia="宋体"/>
          <w:b/>
          <w:sz w:val="24"/>
        </w:rPr>
        <w:t>Foveated Rendering（注视点渲染）</w:t>
      </w:r>
      <w:r>
        <w:rPr>
          <w:rFonts w:ascii="宋体" w:hAnsi="宋体" w:eastAsia="宋体"/>
          <w:sz w:val="24"/>
        </w:rPr>
        <w:t>：一种 VR 渲染优化技术，根据用户注视点位置动态调整渲染分辨率——注视点区域高分辨率渲染，周边区域低分辨率渲染，节省 GPU 算力。</w:t>
      </w:r>
    </w:p>
    <w:p/>
    <w:p>
      <w:pPr>
        <w:ind w:firstLine="482"/>
      </w:pPr>
      <w:r>
        <w:rPr>
          <w:rFonts w:ascii="宋体" w:hAnsi="宋体" w:eastAsia="宋体"/>
          <w:b/>
          <w:sz w:val="24"/>
        </w:rPr>
        <w:t>FPS（Frames Per Second，帧率）</w:t>
      </w:r>
      <w:r>
        <w:rPr>
          <w:rFonts w:ascii="宋体" w:hAnsi="宋体" w:eastAsia="宋体"/>
          <w:sz w:val="24"/>
        </w:rPr>
        <w:t>：每秒渲染的画面数量。VR 应用的目标帧率为 72-90fps，低于此值会导致视觉卡顿和眩晕。</w:t>
      </w:r>
    </w:p>
    <w:p/>
    <w:p>
      <w:pPr>
        <w:pStyle w:val="Heading2"/>
      </w:pPr>
      <w:r>
        <w:t>G 术语</w:t>
      </w:r>
    </w:p>
    <w:p/>
    <w:p>
      <w:pPr>
        <w:ind w:firstLine="482"/>
      </w:pPr>
      <w:r>
        <w:rPr>
          <w:rFonts w:ascii="宋体" w:hAnsi="宋体" w:eastAsia="宋体"/>
          <w:b/>
          <w:sz w:val="24"/>
        </w:rPr>
        <w:t>glTF（GL Transmission Format）</w:t>
      </w:r>
      <w:r>
        <w:rPr>
          <w:rFonts w:ascii="宋体" w:hAnsi="宋体" w:eastAsia="宋体"/>
          <w:sz w:val="24"/>
        </w:rPr>
        <w:t>：Khronos Group 制定的开放 3D 文件格式标准，被称为"3D 的 JPEG"，是 Web 3D 和移动 AR 的首选格式。</w:t>
      </w:r>
    </w:p>
    <w:p/>
    <w:p>
      <w:pPr>
        <w:ind w:firstLine="482"/>
      </w:pPr>
      <w:r>
        <w:rPr>
          <w:rFonts w:ascii="宋体" w:hAnsi="宋体" w:eastAsia="宋体"/>
          <w:b/>
          <w:sz w:val="24"/>
        </w:rPr>
        <w:t>GPU Instancing</w:t>
      </w:r>
      <w:r>
        <w:rPr>
          <w:rFonts w:ascii="宋体" w:hAnsi="宋体" w:eastAsia="宋体"/>
          <w:sz w:val="24"/>
        </w:rPr>
        <w:t>：一种渲染优化技术，允许 GPU 使用同一个 Mesh 批量渲染大量相同物体（如树木、栏杆），大幅减少 Draw Call。</w:t>
      </w:r>
    </w:p>
    <w:p/>
    <w:p>
      <w:pPr>
        <w:pStyle w:val="Heading2"/>
      </w:pPr>
      <w:r>
        <w:t>H 术语</w:t>
      </w:r>
    </w:p>
    <w:p/>
    <w:p>
      <w:pPr>
        <w:ind w:firstLine="482"/>
      </w:pPr>
      <w:r>
        <w:rPr>
          <w:rFonts w:ascii="宋体" w:hAnsi="宋体" w:eastAsia="宋体"/>
          <w:b/>
          <w:sz w:val="24"/>
        </w:rPr>
        <w:t>HMD（Head-Mounted Display，头戴显示器）</w:t>
      </w:r>
      <w:r>
        <w:rPr>
          <w:rFonts w:ascii="宋体" w:hAnsi="宋体" w:eastAsia="宋体"/>
          <w:sz w:val="24"/>
        </w:rPr>
        <w:t>：佩戴在头部的显示设备，是 VR/AR 体验的核心硬件。VR HMD（如 Meta Quest）提供完全沉浸的虚拟体验，AR HMD（如 HoloLens）在真实世界上叠加虚拟内容。</w:t>
      </w:r>
    </w:p>
    <w:p/>
    <w:p>
      <w:pPr>
        <w:ind w:firstLine="482"/>
      </w:pPr>
      <w:r>
        <w:rPr>
          <w:rFonts w:ascii="宋体" w:hAnsi="宋体" w:eastAsia="宋体"/>
          <w:b/>
          <w:sz w:val="24"/>
        </w:rPr>
        <w:t>HDR（High Dynamic Range，高动态范围）</w:t>
      </w:r>
      <w:r>
        <w:rPr>
          <w:rFonts w:ascii="宋体" w:hAnsi="宋体" w:eastAsia="宋体"/>
          <w:sz w:val="24"/>
        </w:rPr>
        <w:t>：一种图像技术，能够同时保留场景中亮部和暗部的细节。在 VR 全景拍摄中，使用 HDR 包围曝光合成可以处理高对比度场景（如洞内外过渡）。</w:t>
      </w:r>
    </w:p>
    <w:p/>
    <w:p>
      <w:pPr>
        <w:pStyle w:val="Heading2"/>
      </w:pPr>
      <w:r>
        <w:t>I 术语</w:t>
      </w:r>
    </w:p>
    <w:p/>
    <w:p>
      <w:pPr>
        <w:ind w:firstLine="482"/>
      </w:pPr>
      <w:r>
        <w:rPr>
          <w:rFonts w:ascii="宋体" w:hAnsi="宋体" w:eastAsia="宋体"/>
          <w:b/>
          <w:sz w:val="24"/>
        </w:rPr>
        <w:t>I.M.M.E.R.S.E. 框架</w:t>
      </w:r>
      <w:r>
        <w:rPr>
          <w:rFonts w:ascii="宋体" w:hAnsi="宋体" w:eastAsia="宋体"/>
          <w:sz w:val="24"/>
        </w:rPr>
        <w:t>：本书提出的沉浸式多维方法论框架，由 Immersive Experience、Multimodal Interaction、Multimodal Methodology、Experiential Reality、Reality-Virtuality Integration、Scenario Engineering、Evaluation &amp; Iteration 七个维度构成。</w:t>
      </w:r>
    </w:p>
    <w:p/>
    <w:p>
      <w:pPr>
        <w:ind w:firstLine="482"/>
      </w:pPr>
      <w:r>
        <w:rPr>
          <w:rFonts w:ascii="宋体" w:hAnsi="宋体" w:eastAsia="宋体"/>
          <w:b/>
          <w:sz w:val="24"/>
        </w:rPr>
        <w:t>Inside-out Tracking（内向外追踪）</w:t>
      </w:r>
      <w:r>
        <w:rPr>
          <w:rFonts w:ascii="宋体" w:hAnsi="宋体" w:eastAsia="宋体"/>
          <w:sz w:val="24"/>
        </w:rPr>
        <w:t>：VR/AR 设备通过自身摄像头和传感器追踪用户位置和方向的技术，无需外部基站。Meta Quest 和 HoloLens 均采用此方案。</w:t>
      </w:r>
    </w:p>
    <w:p/>
    <w:p>
      <w:pPr>
        <w:ind w:firstLine="482"/>
      </w:pPr>
      <w:r>
        <w:rPr>
          <w:rFonts w:ascii="宋体" w:hAnsi="宋体" w:eastAsia="宋体"/>
          <w:b/>
          <w:sz w:val="24"/>
        </w:rPr>
        <w:t>IPD（Interpupillary Distance，瞳距）</w:t>
      </w:r>
      <w:r>
        <w:rPr>
          <w:rFonts w:ascii="宋体" w:hAnsi="宋体" w:eastAsia="宋体"/>
          <w:sz w:val="24"/>
        </w:rPr>
        <w:t>：用户两眼瞳孔之间的距离。VR 头显需要支持 IPD 调节，以确保不同用户都能获得清晰的视觉体验和正确的立体深度感知。</w:t>
      </w:r>
    </w:p>
    <w:p/>
    <w:p>
      <w:pPr>
        <w:pStyle w:val="Heading2"/>
      </w:pPr>
      <w:r>
        <w:t>L 术语</w:t>
      </w:r>
    </w:p>
    <w:p/>
    <w:p>
      <w:pPr>
        <w:ind w:firstLine="482"/>
      </w:pPr>
      <w:r>
        <w:rPr>
          <w:rFonts w:ascii="宋体" w:hAnsi="宋体" w:eastAsia="宋体"/>
          <w:b/>
          <w:sz w:val="24"/>
        </w:rPr>
        <w:t>LOD（Level of Detail，细节层级）</w:t>
      </w:r>
      <w:r>
        <w:rPr>
          <w:rFonts w:ascii="宋体" w:hAnsi="宋体" w:eastAsia="宋体"/>
          <w:sz w:val="24"/>
        </w:rPr>
        <w:t>：根据物体与相机的距离切换不同精度模型的技术——近距离使用高精度模型，远距离使用低精度模型，优化渲染性能。</w:t>
      </w:r>
    </w:p>
    <w:p/>
    <w:p>
      <w:pPr>
        <w:ind w:firstLine="482"/>
      </w:pPr>
      <w:r>
        <w:rPr>
          <w:rFonts w:ascii="宋体" w:hAnsi="宋体" w:eastAsia="宋体"/>
          <w:b/>
          <w:sz w:val="24"/>
        </w:rPr>
        <w:t>Lip Sync（口型同步）</w:t>
      </w:r>
      <w:r>
        <w:rPr>
          <w:rFonts w:ascii="宋体" w:hAnsi="宋体" w:eastAsia="宋体"/>
          <w:sz w:val="24"/>
        </w:rPr>
        <w:t>：使虚拟角色的嘴部动作与语音内容同步的技术，增强 AI NPC 对话的自然感。使用音频特征分析驱动面部 Blend Shape 动画。</w:t>
      </w:r>
    </w:p>
    <w:p/>
    <w:p>
      <w:pPr>
        <w:pStyle w:val="Heading2"/>
      </w:pPr>
      <w:r>
        <w:t>M 术语</w:t>
      </w:r>
    </w:p>
    <w:p/>
    <w:p>
      <w:pPr>
        <w:ind w:firstLine="482"/>
      </w:pPr>
      <w:r>
        <w:rPr>
          <w:rFonts w:ascii="宋体" w:hAnsi="宋体" w:eastAsia="宋体"/>
          <w:b/>
          <w:sz w:val="24"/>
        </w:rPr>
        <w:t>MetaHuman</w:t>
      </w:r>
      <w:r>
        <w:rPr>
          <w:rFonts w:ascii="宋体" w:hAnsi="宋体" w:eastAsia="宋体"/>
          <w:sz w:val="24"/>
        </w:rPr>
        <w:t>：Epic Games 提供的高精度数字人创建工具，可以快速生成逼真的 3D 虚拟角色，在文旅元宇宙中用于创建虚拟导游和 NPC。</w:t>
      </w:r>
    </w:p>
    <w:p/>
    <w:p>
      <w:pPr>
        <w:ind w:firstLine="482"/>
      </w:pPr>
      <w:r>
        <w:rPr>
          <w:rFonts w:ascii="宋体" w:hAnsi="宋体" w:eastAsia="宋体"/>
          <w:b/>
          <w:sz w:val="24"/>
        </w:rPr>
        <w:t>MR（Mixed Reality，混合现实）</w:t>
      </w:r>
      <w:r>
        <w:rPr>
          <w:rFonts w:ascii="宋体" w:hAnsi="宋体" w:eastAsia="宋体"/>
          <w:sz w:val="24"/>
        </w:rPr>
        <w:t>：将虚拟内容与真实世界融合的技术，用户可以同时看到真实环境和虚拟物体并与之交互。Microsoft HoloLens 和 Apple Vision Pro 是代表性 MR 设备。</w:t>
      </w:r>
    </w:p>
    <w:p/>
    <w:p>
      <w:pPr>
        <w:ind w:firstLine="482"/>
      </w:pPr>
      <w:r>
        <w:rPr>
          <w:rFonts w:ascii="宋体" w:hAnsi="宋体" w:eastAsia="宋体"/>
          <w:b/>
          <w:sz w:val="24"/>
        </w:rPr>
        <w:t>Mipmap</w:t>
      </w:r>
      <w:r>
        <w:rPr>
          <w:rFonts w:ascii="宋体" w:hAnsi="宋体" w:eastAsia="宋体"/>
          <w:sz w:val="24"/>
        </w:rPr>
        <w:t>：为纹理预生成多个不同分辨率的版本，渲染时根据距离自动选择合适的版本，减少远距离纹理的锯齿和闪烁。</w:t>
      </w:r>
    </w:p>
    <w:p/>
    <w:p>
      <w:pPr>
        <w:pStyle w:val="Heading2"/>
      </w:pPr>
      <w:r>
        <w:t>N 术语</w:t>
      </w:r>
    </w:p>
    <w:p/>
    <w:p>
      <w:pPr>
        <w:ind w:firstLine="482"/>
      </w:pPr>
      <w:r>
        <w:rPr>
          <w:rFonts w:ascii="宋体" w:hAnsi="宋体" w:eastAsia="宋体"/>
          <w:b/>
          <w:sz w:val="24"/>
        </w:rPr>
        <w:t>NeRF（Neural Radiance Fields）</w:t>
      </w:r>
      <w:r>
        <w:rPr>
          <w:rFonts w:ascii="宋体" w:hAnsi="宋体" w:eastAsia="宋体"/>
          <w:sz w:val="24"/>
        </w:rPr>
        <w:t>：一种基于神经网络的 3D 场景重建技术，从多张照片中学习场景的辐射场，可以生成高质量的自由视角渲染。3D Gaussian Splatting 是其改进版本。</w:t>
      </w:r>
    </w:p>
    <w:p/>
    <w:p>
      <w:pPr>
        <w:ind w:firstLine="482"/>
      </w:pPr>
      <w:r>
        <w:rPr>
          <w:rFonts w:ascii="宋体" w:hAnsi="宋体" w:eastAsia="宋体"/>
          <w:b/>
          <w:sz w:val="24"/>
        </w:rPr>
        <w:t>NFT（Non-Fungible Token，非同质化代币）</w:t>
      </w:r>
      <w:r>
        <w:rPr>
          <w:rFonts w:ascii="宋体" w:hAnsi="宋体" w:eastAsia="宋体"/>
          <w:sz w:val="24"/>
        </w:rPr>
        <w:t>：基于区块链技术的数字资产唯一性证明，在文旅元宇宙中用于虚拟文创品的权属登记和交易。</w:t>
      </w:r>
    </w:p>
    <w:p/>
    <w:p>
      <w:pPr>
        <w:pStyle w:val="Heading2"/>
      </w:pPr>
      <w:r>
        <w:t>O 术语</w:t>
      </w:r>
    </w:p>
    <w:p/>
    <w:p>
      <w:pPr>
        <w:ind w:firstLine="482"/>
      </w:pPr>
      <w:r>
        <w:rPr>
          <w:rFonts w:ascii="宋体" w:hAnsi="宋体" w:eastAsia="宋体"/>
          <w:b/>
          <w:sz w:val="24"/>
        </w:rPr>
        <w:t>Occlusion Culling（遮挡剔除）</w:t>
      </w:r>
      <w:r>
        <w:rPr>
          <w:rFonts w:ascii="宋体" w:hAnsi="宋体" w:eastAsia="宋体"/>
          <w:sz w:val="24"/>
        </w:rPr>
        <w:t>：一种渲染优化技术，不渲染被其他物体遮挡的部分，减少不必要的 Draw Call。</w:t>
      </w:r>
    </w:p>
    <w:p/>
    <w:p>
      <w:pPr>
        <w:ind w:firstLine="482"/>
      </w:pPr>
      <w:r>
        <w:rPr>
          <w:rFonts w:ascii="宋体" w:hAnsi="宋体" w:eastAsia="宋体"/>
          <w:b/>
          <w:sz w:val="24"/>
        </w:rPr>
        <w:t>OpenXR</w:t>
      </w:r>
      <w:r>
        <w:rPr>
          <w:rFonts w:ascii="宋体" w:hAnsi="宋体" w:eastAsia="宋体"/>
          <w:sz w:val="24"/>
        </w:rPr>
        <w:t>：Khronos Group 制定的开放 VR/AR API 标准，使开发者可以编写一次代码在多个 VR/AR 平台上运行。</w:t>
      </w:r>
    </w:p>
    <w:p/>
    <w:p>
      <w:pPr>
        <w:pStyle w:val="Heading2"/>
      </w:pPr>
      <w:r>
        <w:t>P 术语</w:t>
      </w:r>
    </w:p>
    <w:p/>
    <w:p>
      <w:pPr>
        <w:ind w:firstLine="482"/>
      </w:pPr>
      <w:r>
        <w:rPr>
          <w:rFonts w:ascii="宋体" w:hAnsi="宋体" w:eastAsia="宋体"/>
          <w:b/>
          <w:sz w:val="24"/>
        </w:rPr>
        <w:t>PBR（Physically Based Rendering，基于物理的渲染）</w:t>
      </w:r>
      <w:r>
        <w:rPr>
          <w:rFonts w:ascii="宋体" w:hAnsi="宋体" w:eastAsia="宋体"/>
          <w:sz w:val="24"/>
        </w:rPr>
        <w:t>：使用物理参数描述材质外观的渲染方法，确保材质在不同光照条件下表现一致。标准 PBR 参数包括反照率、粗糙度、金属度、法线和环境光遮蔽。</w:t>
      </w:r>
    </w:p>
    <w:p/>
    <w:p>
      <w:pPr>
        <w:ind w:firstLine="482"/>
      </w:pPr>
      <w:r>
        <w:rPr>
          <w:rFonts w:ascii="宋体" w:hAnsi="宋体" w:eastAsia="宋体"/>
          <w:b/>
          <w:sz w:val="24"/>
        </w:rPr>
        <w:t>PBL（Project-Based Learning，项目式学习）</w:t>
      </w:r>
      <w:r>
        <w:rPr>
          <w:rFonts w:ascii="宋体" w:hAnsi="宋体" w:eastAsia="宋体"/>
          <w:sz w:val="24"/>
        </w:rPr>
        <w:t>：以项目为驱动的教学方法，学生通过完成真实项目来学习知识和技能。本书的三个实训项目均采用 PBL 模式。</w:t>
      </w:r>
    </w:p>
    <w:p/>
    <w:p>
      <w:pPr>
        <w:ind w:firstLine="482"/>
      </w:pPr>
      <w:r>
        <w:rPr>
          <w:rFonts w:ascii="宋体" w:hAnsi="宋体" w:eastAsia="宋体"/>
          <w:b/>
          <w:sz w:val="24"/>
        </w:rPr>
        <w:t>Photon Fusion</w:t>
      </w:r>
      <w:r>
        <w:rPr>
          <w:rFonts w:ascii="宋体" w:hAnsi="宋体" w:eastAsia="宋体"/>
          <w:sz w:val="24"/>
        </w:rPr>
        <w:t>：Unity 的高性能多人网络框架，支持 Host/Client/Server 三种模式，在元宇宙项目中用于实现多人实时同步。</w:t>
      </w:r>
    </w:p>
    <w:p/>
    <w:p>
      <w:pPr>
        <w:ind w:firstLine="482"/>
      </w:pPr>
      <w:r>
        <w:rPr>
          <w:rFonts w:ascii="宋体" w:hAnsi="宋体" w:eastAsia="宋体"/>
          <w:b/>
          <w:sz w:val="24"/>
        </w:rPr>
        <w:t>Presence（临场感）</w:t>
      </w:r>
      <w:r>
        <w:rPr>
          <w:rFonts w:ascii="宋体" w:hAnsi="宋体" w:eastAsia="宋体"/>
          <w:sz w:val="24"/>
        </w:rPr>
        <w:t>：用户在虚拟环境中产生的"身临其境"的主观感觉。Slater 的临场感三元模型将临场感分为空间临场（感觉自己在虚拟空间中）、社交临场（感觉与他人共处）和自我临场（感觉自己的虚拟身体属于自己）。</w:t>
      </w:r>
    </w:p>
    <w:p/>
    <w:p>
      <w:pPr>
        <w:pStyle w:val="Heading2"/>
      </w:pPr>
      <w:r>
        <w:t>R 术语</w:t>
      </w:r>
    </w:p>
    <w:p/>
    <w:p>
      <w:pPr>
        <w:ind w:firstLine="482"/>
      </w:pPr>
      <w:r>
        <w:rPr>
          <w:rFonts w:ascii="宋体" w:hAnsi="宋体" w:eastAsia="宋体"/>
          <w:b/>
          <w:sz w:val="24"/>
        </w:rPr>
        <w:t>Raycast（射线检测）</w:t>
      </w:r>
      <w:r>
        <w:rPr>
          <w:rFonts w:ascii="宋体" w:hAnsi="宋体" w:eastAsia="宋体"/>
          <w:sz w:val="24"/>
        </w:rPr>
        <w:t>：从指定点沿指定方向发射射线，检测与 3D 物体的交点。在 AR 中用于将触摸点映射到 3D 空间中的放置位置。</w:t>
      </w:r>
    </w:p>
    <w:p/>
    <w:p>
      <w:pPr>
        <w:ind w:firstLine="482"/>
      </w:pPr>
      <w:r>
        <w:rPr>
          <w:rFonts w:ascii="宋体" w:hAnsi="宋体" w:eastAsia="宋体"/>
          <w:b/>
          <w:sz w:val="24"/>
        </w:rPr>
        <w:t>Reality-Virtuality Continuum（现实-虚拟连续体）</w:t>
      </w:r>
      <w:r>
        <w:rPr>
          <w:rFonts w:ascii="宋体" w:hAnsi="宋体" w:eastAsia="宋体"/>
          <w:sz w:val="24"/>
        </w:rPr>
        <w:t>：Milgram 提出的理论框架，将现实和虚拟描述为一个连续谱——从完全真实环境到完全虚拟环境，中间包含增强现实（AR）和增强虚拟（AV）。</w:t>
      </w:r>
    </w:p>
    <w:p/>
    <w:p>
      <w:pPr>
        <w:pStyle w:val="Heading2"/>
      </w:pPr>
      <w:r>
        <w:t>S 术语</w:t>
      </w:r>
    </w:p>
    <w:p/>
    <w:p>
      <w:pPr>
        <w:ind w:firstLine="482"/>
      </w:pPr>
      <w:r>
        <w:rPr>
          <w:rFonts w:ascii="宋体" w:hAnsi="宋体" w:eastAsia="宋体"/>
          <w:b/>
          <w:sz w:val="24"/>
        </w:rPr>
        <w:t>SLAM（Simultaneous Localization and Mapping，同步定位与建图）</w:t>
      </w:r>
      <w:r>
        <w:rPr>
          <w:rFonts w:ascii="宋体" w:hAnsi="宋体" w:eastAsia="宋体"/>
          <w:sz w:val="24"/>
        </w:rPr>
        <w:t>：VR/AR 设备在未知环境中同时确定自身位置和构建环境地图的算法，是 inside-out 追踪的技术基础。</w:t>
      </w:r>
    </w:p>
    <w:p/>
    <w:p>
      <w:pPr>
        <w:ind w:firstLine="482"/>
      </w:pPr>
      <w:r>
        <w:rPr>
          <w:rFonts w:ascii="宋体" w:hAnsi="宋体" w:eastAsia="宋体"/>
          <w:b/>
          <w:sz w:val="24"/>
        </w:rPr>
        <w:t>SSQ（Simulator Sickness Questionnaire，模拟器眩晕问卷）</w:t>
      </w:r>
      <w:r>
        <w:rPr>
          <w:rFonts w:ascii="宋体" w:hAnsi="宋体" w:eastAsia="宋体"/>
          <w:sz w:val="24"/>
        </w:rPr>
        <w:t>：测量 VR 用户眩晕程度的标准化问卷，包含 16 个症状条目，是 VR 用户体验评估的常用工具。</w:t>
      </w:r>
    </w:p>
    <w:p/>
    <w:p>
      <w:pPr>
        <w:ind w:firstLine="482"/>
      </w:pPr>
      <w:r>
        <w:rPr>
          <w:rFonts w:ascii="宋体" w:hAnsi="宋体" w:eastAsia="宋体"/>
          <w:b/>
          <w:sz w:val="24"/>
        </w:rPr>
        <w:t>ScriptableObject</w:t>
      </w:r>
      <w:r>
        <w:rPr>
          <w:rFonts w:ascii="宋体" w:hAnsi="宋体" w:eastAsia="宋体"/>
          <w:sz w:val="24"/>
        </w:rPr>
        <w:t>：Unity 的一种数据资产类型，用于存储配置数据，实现数据与逻辑的分离，便于设计师调整参数而无需修改代码。</w:t>
      </w:r>
    </w:p>
    <w:p/>
    <w:p>
      <w:pPr>
        <w:pStyle w:val="Heading2"/>
      </w:pPr>
      <w:r>
        <w:t>T 术语</w:t>
      </w:r>
    </w:p>
    <w:p/>
    <w:p>
      <w:pPr>
        <w:ind w:firstLine="482"/>
      </w:pPr>
      <w:r>
        <w:rPr>
          <w:rFonts w:ascii="宋体" w:hAnsi="宋体" w:eastAsia="宋体"/>
          <w:b/>
          <w:sz w:val="24"/>
        </w:rPr>
        <w:t>Teleportation（瞬移）</w:t>
      </w:r>
      <w:r>
        <w:rPr>
          <w:rFonts w:ascii="宋体" w:hAnsi="宋体" w:eastAsia="宋体"/>
          <w:sz w:val="24"/>
        </w:rPr>
        <w:t>：VR 中的一种移动方式，用户通过射线选择目标位置后瞬间传送过去，避免平滑移动导致的眩晕。</w:t>
      </w:r>
    </w:p>
    <w:p/>
    <w:p>
      <w:pPr>
        <w:ind w:firstLine="482"/>
      </w:pPr>
      <w:r>
        <w:rPr>
          <w:rFonts w:ascii="宋体" w:hAnsi="宋体" w:eastAsia="宋体"/>
          <w:b/>
          <w:sz w:val="24"/>
        </w:rPr>
        <w:t>TTS（Text-to-Speech，文本转语音）</w:t>
      </w:r>
      <w:r>
        <w:rPr>
          <w:rFonts w:ascii="宋体" w:hAnsi="宋体" w:eastAsia="宋体"/>
          <w:sz w:val="24"/>
        </w:rPr>
        <w:t>：将文字转换为语音的技术。在 VR/AR 文旅应用中用于生成语音讲解，支持多语言版本。</w:t>
      </w:r>
    </w:p>
    <w:p/>
    <w:p>
      <w:pPr>
        <w:pStyle w:val="Heading2"/>
      </w:pPr>
      <w:r>
        <w:t>U 术语</w:t>
      </w:r>
    </w:p>
    <w:p/>
    <w:p>
      <w:pPr>
        <w:ind w:firstLine="482"/>
      </w:pPr>
      <w:r>
        <w:rPr>
          <w:rFonts w:ascii="宋体" w:hAnsi="宋体" w:eastAsia="宋体"/>
          <w:b/>
          <w:sz w:val="24"/>
        </w:rPr>
        <w:t>URP（Universal Render Pipeline）</w:t>
      </w:r>
      <w:r>
        <w:rPr>
          <w:rFonts w:ascii="宋体" w:hAnsi="宋体" w:eastAsia="宋体"/>
          <w:sz w:val="24"/>
        </w:rPr>
        <w:t>：Unity 的通用渲染管线，针对跨平台性能优化设计，支持 VR/AR/Mobile 多平台，是 VR/AR 项目的推荐渲染管线。</w:t>
      </w:r>
    </w:p>
    <w:p/>
    <w:p>
      <w:pPr>
        <w:ind w:firstLine="482"/>
      </w:pPr>
      <w:r>
        <w:rPr>
          <w:rFonts w:ascii="宋体" w:hAnsi="宋体" w:eastAsia="宋体"/>
          <w:b/>
          <w:sz w:val="24"/>
        </w:rPr>
        <w:t>USDZ</w:t>
      </w:r>
      <w:r>
        <w:rPr>
          <w:rFonts w:ascii="宋体" w:hAnsi="宋体" w:eastAsia="宋体"/>
          <w:sz w:val="24"/>
        </w:rPr>
        <w:t>：Apple 推动的 3D 文件格式（基于 Pixar 的 USD），用于 iOS 的 Quick Look AR 体验，用户可以在 Safari 中直接预览 3D 模型。</w:t>
      </w:r>
    </w:p>
    <w:p/>
    <w:p>
      <w:pPr>
        <w:pStyle w:val="Heading2"/>
      </w:pPr>
      <w:r>
        <w:t>V 术语</w:t>
      </w:r>
    </w:p>
    <w:p/>
    <w:p>
      <w:pPr>
        <w:ind w:firstLine="482"/>
      </w:pPr>
      <w:r>
        <w:rPr>
          <w:rFonts w:ascii="宋体" w:hAnsi="宋体" w:eastAsia="宋体"/>
          <w:b/>
          <w:sz w:val="24"/>
        </w:rPr>
        <w:t>Visual-Inertial Odometry（视觉惯性里程计）</w:t>
      </w:r>
      <w:r>
        <w:rPr>
          <w:rFonts w:ascii="宋体" w:hAnsi="宋体" w:eastAsia="宋体"/>
          <w:sz w:val="24"/>
        </w:rPr>
        <w:t>：结合摄像头视觉信息和 IMU 惯性数据进行位置追踪的技术，是 ARKit/ARCore 的核心算法。</w:t>
      </w:r>
    </w:p>
    <w:p/>
    <w:p>
      <w:pPr>
        <w:ind w:firstLine="482"/>
      </w:pPr>
      <w:r>
        <w:rPr>
          <w:rFonts w:ascii="宋体" w:hAnsi="宋体" w:eastAsia="宋体"/>
          <w:b/>
          <w:sz w:val="24"/>
        </w:rPr>
        <w:t>Volumetric Video（体积视频）</w:t>
      </w:r>
      <w:r>
        <w:rPr>
          <w:rFonts w:ascii="宋体" w:hAnsi="宋体" w:eastAsia="宋体"/>
          <w:sz w:val="24"/>
        </w:rPr>
        <w:t>：包含深度信息的 3D 视频技术，用户可以 6DoF 在视频中自由移动视角，是传统 360 度全景视频的升级方向。</w:t>
      </w:r>
    </w:p>
    <w:p/>
    <w:p>
      <w:pPr>
        <w:pStyle w:val="Heading2"/>
      </w:pPr>
      <w:r>
        <w:t>W 术语</w:t>
      </w:r>
    </w:p>
    <w:p/>
    <w:p>
      <w:pPr>
        <w:ind w:firstLine="482"/>
      </w:pPr>
      <w:r>
        <w:rPr>
          <w:rFonts w:ascii="宋体" w:hAnsi="宋体" w:eastAsia="宋体"/>
          <w:b/>
          <w:sz w:val="24"/>
        </w:rPr>
        <w:t>WebXR</w:t>
      </w:r>
      <w:r>
        <w:rPr>
          <w:rFonts w:ascii="宋体" w:hAnsi="宋体" w:eastAsia="宋体"/>
          <w:sz w:val="24"/>
        </w:rPr>
        <w:t>：Web 浏览器的 VR/AR API 标准，使 VR/AR 体验无需安装应用即可在浏览器中运行，降低用户使用门槛。</w:t>
      </w:r>
    </w:p>
    <w:p/>
    <w:p>
      <w:pPr>
        <w:pStyle w:val="Heading2"/>
      </w:pPr>
      <w:r>
        <w:t>X 术语</w:t>
      </w:r>
    </w:p>
    <w:p/>
    <w:p>
      <w:pPr>
        <w:ind w:firstLine="482"/>
      </w:pPr>
      <w:r>
        <w:rPr>
          <w:rFonts w:ascii="宋体" w:hAnsi="宋体" w:eastAsia="宋体"/>
          <w:b/>
          <w:sz w:val="24"/>
        </w:rPr>
        <w:t>XR（Extended Reality，扩展现实）</w:t>
      </w:r>
      <w:r>
        <w:rPr>
          <w:rFonts w:ascii="宋体" w:hAnsi="宋体" w:eastAsia="宋体"/>
          <w:sz w:val="24"/>
        </w:rPr>
        <w:t>：VR（虚拟现实）、AR（增强现实）和 MR（混合现实）的统称，表示所有现实-虚拟混合技术。</w:t>
      </w:r>
    </w:p>
    <w:p/>
    <w:p>
      <w:pPr>
        <w:ind w:firstLine="482"/>
      </w:pPr>
      <w:r>
        <w:rPr>
          <w:rFonts w:ascii="宋体" w:hAnsi="宋体" w:eastAsia="宋体"/>
          <w:b/>
          <w:sz w:val="24"/>
        </w:rPr>
        <w:t>XRIT（XR Interaction Toolkit）</w:t>
      </w:r>
      <w:r>
        <w:rPr>
          <w:rFonts w:ascii="宋体" w:hAnsi="宋体" w:eastAsia="宋体"/>
          <w:sz w:val="24"/>
        </w:rPr>
        <w:t>：Unity 官方的 VR/AR 交互框架，提供手柄交互、射线选择、抓取等常用交互功能的现成组件。</w:t>
      </w:r>
    </w:p>
    <w:p/>
    <w:p>
      <w:pPr>
        <w:pStyle w:val="Heading2"/>
      </w:pPr>
      <w:r>
        <w:t>Z 术语</w:t>
      </w:r>
    </w:p>
    <w:p/>
    <w:p>
      <w:pPr>
        <w:ind w:firstLine="482"/>
      </w:pPr>
      <w:r>
        <w:rPr>
          <w:rFonts w:ascii="宋体" w:hAnsi="宋体" w:eastAsia="宋体"/>
          <w:b/>
          <w:sz w:val="24"/>
        </w:rPr>
        <w:t>Z-buffer（深度缓冲）</w:t>
      </w:r>
      <w:r>
        <w:rPr>
          <w:rFonts w:ascii="宋体" w:hAnsi="宋体" w:eastAsia="宋体"/>
          <w:sz w:val="24"/>
        </w:rPr>
        <w:t>：存储每个像素深度值的缓冲区，用于确定物体的遮挡关系。在 AR 中，深度缓冲用于实现虚拟物体被真实物体遮挡的效果。</w:t>
      </w:r>
    </w:p>
    <w:p/>
    <w:p/>
    <w:p/>
    <w:p>
      <w:pPr>
        <w:pStyle w:val="Heading2"/>
      </w:pPr>
      <w:r>
        <w:t>补充术语</w:t>
      </w:r>
    </w:p>
    <w:p/>
    <w:p>
      <w:pPr>
        <w:ind w:firstLine="482"/>
      </w:pPr>
      <w:r>
        <w:rPr>
          <w:rFonts w:ascii="宋体" w:hAnsi="宋体" w:eastAsia="宋体"/>
          <w:b/>
          <w:sz w:val="24"/>
        </w:rPr>
        <w:t>Asynchronous Spacewarp (ASW)</w:t>
      </w:r>
      <w:r>
        <w:rPr>
          <w:rFonts w:ascii="宋体" w:hAnsi="宋体" w:eastAsia="宋体"/>
          <w:sz w:val="24"/>
        </w:rPr>
        <w:t>：Meta VR 平台的帧率平滑技术，当应用无法维持目标帧率时，通过 AI 推测中间帧来平滑画面，减少卡顿感。</w:t>
      </w:r>
    </w:p>
    <w:p/>
    <w:p>
      <w:pPr>
        <w:ind w:firstLine="482"/>
      </w:pPr>
      <w:r>
        <w:rPr>
          <w:rFonts w:ascii="宋体" w:hAnsi="宋体" w:eastAsia="宋体"/>
          <w:b/>
          <w:sz w:val="24"/>
        </w:rPr>
        <w:t>Binocular Disparity（双目视差）</w:t>
      </w:r>
      <w:r>
        <w:rPr>
          <w:rFonts w:ascii="宋体" w:hAnsi="宋体" w:eastAsia="宋体"/>
          <w:sz w:val="24"/>
        </w:rPr>
        <w:t>：左右眼看到的图像存在微小差异，大脑通过这种差异感知深度。VR 头显通过为左右眼渲染略有不同的视角来产生立体深度感。</w:t>
      </w:r>
    </w:p>
    <w:p/>
    <w:p>
      <w:pPr>
        <w:ind w:firstLine="482"/>
      </w:pPr>
      <w:r>
        <w:rPr>
          <w:rFonts w:ascii="宋体" w:hAnsi="宋体" w:eastAsia="宋体"/>
          <w:b/>
          <w:sz w:val="24"/>
        </w:rPr>
        <w:t>Chromatic Aberration（色差）</w:t>
      </w:r>
      <w:r>
        <w:rPr>
          <w:rFonts w:ascii="宋体" w:hAnsi="宋体" w:eastAsia="宋体"/>
          <w:sz w:val="24"/>
        </w:rPr>
        <w:t>：透镜对不同波长光线的折射率不同，导致图像边缘出现彩色镶边。VR 透镜需要通过软件校正来消除色差。</w:t>
      </w:r>
    </w:p>
    <w:p/>
    <w:p>
      <w:pPr>
        <w:ind w:firstLine="482"/>
      </w:pPr>
      <w:r>
        <w:rPr>
          <w:rFonts w:ascii="宋体" w:hAnsi="宋体" w:eastAsia="宋体"/>
          <w:b/>
          <w:sz w:val="24"/>
        </w:rPr>
        <w:t>Foveated Rendering（注视点渲染）</w:t>
      </w:r>
      <w:r>
        <w:rPr>
          <w:rFonts w:ascii="宋体" w:hAnsi="宋体" w:eastAsia="宋体"/>
          <w:sz w:val="24"/>
        </w:rPr>
        <w:t>：根据用户眼动追踪数据，仅在注视点区域渲染高分辨率画面，周边区域降低分辨率，可节省 50-70% 的 GPU 算力。</w:t>
      </w:r>
    </w:p>
    <w:p/>
    <w:p>
      <w:pPr>
        <w:ind w:firstLine="482"/>
      </w:pPr>
      <w:r>
        <w:rPr>
          <w:rFonts w:ascii="宋体" w:hAnsi="宋体" w:eastAsia="宋体"/>
          <w:b/>
          <w:sz w:val="24"/>
        </w:rPr>
        <w:t>Fresnel Lens（菲涅尔透镜）</w:t>
      </w:r>
      <w:r>
        <w:rPr>
          <w:rFonts w:ascii="宋体" w:hAnsi="宋体" w:eastAsia="宋体"/>
          <w:sz w:val="24"/>
        </w:rPr>
        <w:t>：一种薄型透镜，通过同心环形刻槽模拟球面透镜的折射效果。大多数 VR 头显使用菲涅尔透镜以减轻重量和成本。</w:t>
      </w:r>
    </w:p>
    <w:p/>
    <w:p>
      <w:pPr>
        <w:ind w:firstLine="482"/>
      </w:pPr>
      <w:r>
        <w:rPr>
          <w:rFonts w:ascii="宋体" w:hAnsi="宋体" w:eastAsia="宋体"/>
          <w:b/>
          <w:sz w:val="24"/>
        </w:rPr>
        <w:t>God Rays（神射线）</w:t>
      </w:r>
      <w:r>
        <w:rPr>
          <w:rFonts w:ascii="宋体" w:hAnsi="宋体" w:eastAsia="宋体"/>
          <w:sz w:val="24"/>
        </w:rPr>
        <w:t>：菲涅尔透镜在明亮光源场景中产生的散射光线，是早期 VR 头显的常见视觉缺陷。Pancake 光学方案显著改善了这一问题。</w:t>
      </w:r>
    </w:p>
    <w:p/>
    <w:p>
      <w:pPr>
        <w:ind w:firstLine="482"/>
      </w:pPr>
      <w:r>
        <w:rPr>
          <w:rFonts w:ascii="宋体" w:hAnsi="宋体" w:eastAsia="宋体"/>
          <w:b/>
          <w:sz w:val="24"/>
        </w:rPr>
        <w:t>Judder（抖动）</w:t>
      </w:r>
      <w:r>
        <w:rPr>
          <w:rFonts w:ascii="宋体" w:hAnsi="宋体" w:eastAsia="宋体"/>
          <w:sz w:val="24"/>
        </w:rPr>
        <w:t>：VR 中由于帧率不足或运动模糊导致的画面抖动现象，是引发眩晕的重要因素之一。</w:t>
      </w:r>
    </w:p>
    <w:p/>
    <w:p>
      <w:pPr>
        <w:ind w:firstLine="482"/>
      </w:pPr>
      <w:r>
        <w:rPr>
          <w:rFonts w:ascii="宋体" w:hAnsi="宋体" w:eastAsia="宋体"/>
          <w:b/>
          <w:sz w:val="24"/>
        </w:rPr>
        <w:t>Motion-to-Photon Latency（运动到光子延迟）</w:t>
      </w:r>
      <w:r>
        <w:rPr>
          <w:rFonts w:ascii="宋体" w:hAnsi="宋体" w:eastAsia="宋体"/>
          <w:sz w:val="24"/>
        </w:rPr>
        <w:t>：从用户头部运动到显示屏画面更新的时间差。VR 要求此延迟低于 20ms，否则会产生视觉-前庭感觉冲突。</w:t>
      </w:r>
    </w:p>
    <w:p/>
    <w:p>
      <w:pPr>
        <w:ind w:firstLine="482"/>
      </w:pPr>
      <w:r>
        <w:rPr>
          <w:rFonts w:ascii="宋体" w:hAnsi="宋体" w:eastAsia="宋体"/>
          <w:b/>
          <w:sz w:val="24"/>
        </w:rPr>
        <w:t>Pancake Optics（Pancake 光学）</w:t>
      </w:r>
      <w:r>
        <w:rPr>
          <w:rFonts w:ascii="宋体" w:hAnsi="宋体" w:eastAsia="宋体"/>
          <w:sz w:val="24"/>
        </w:rPr>
        <w:t>：通过偏振折叠光路实现超薄透镜的 VR 光学方案，相比菲涅尔透镜更薄、画质更好，但光效率较低。Meta Quest 3 和 Pico 4 均采用此方案。</w:t>
      </w:r>
    </w:p>
    <w:p/>
    <w:p>
      <w:pPr>
        <w:ind w:firstLine="482"/>
      </w:pPr>
      <w:r>
        <w:rPr>
          <w:rFonts w:ascii="宋体" w:hAnsi="宋体" w:eastAsia="宋体"/>
          <w:b/>
          <w:sz w:val="24"/>
        </w:rPr>
        <w:t>Pupillary Distance（瞳距, PD）</w:t>
      </w:r>
      <w:r>
        <w:rPr>
          <w:rFonts w:ascii="宋体" w:hAnsi="宋体" w:eastAsia="宋体"/>
          <w:sz w:val="24"/>
        </w:rPr>
        <w:t>：用户两眼瞳孔中心间的距离，通常为 54-74mm。VR 头显需要支持物理 IPD 调节或软件 IPD 补偿，确保不同用户获得正确的立体视觉。</w:t>
      </w:r>
    </w:p>
    <w:p/>
    <w:p>
      <w:pPr>
        <w:ind w:firstLine="482"/>
      </w:pPr>
      <w:r>
        <w:rPr>
          <w:rFonts w:ascii="宋体" w:hAnsi="宋体" w:eastAsia="宋体"/>
          <w:b/>
          <w:sz w:val="24"/>
        </w:rPr>
        <w:t>Screen Door Effect（纱窗效应）</w:t>
      </w:r>
      <w:r>
        <w:rPr>
          <w:rFonts w:ascii="宋体" w:hAnsi="宋体" w:eastAsia="宋体"/>
          <w:sz w:val="24"/>
        </w:rPr>
        <w:t>：由于显示屏像素密度不足，用户在 VR 中能看到像素之间的黑色间隙，如同透过纱窗观看。高分辨率显示屏（如 Micro-OLED）有效解决了这一问题。</w:t>
      </w:r>
    </w:p>
    <w:p/>
    <w:p>
      <w:pPr>
        <w:ind w:firstLine="482"/>
      </w:pPr>
      <w:r>
        <w:rPr>
          <w:rFonts w:ascii="宋体" w:hAnsi="宋体" w:eastAsia="宋体"/>
          <w:b/>
          <w:sz w:val="24"/>
        </w:rPr>
        <w:t>Vergence-Accommodation Conflict（辐辏-调节冲突）</w:t>
      </w:r>
      <w:r>
        <w:rPr>
          <w:rFonts w:ascii="宋体" w:hAnsi="宋体" w:eastAsia="宋体"/>
          <w:sz w:val="24"/>
        </w:rPr>
        <w:t>：VR 中双眼辐辏（汇聚到虚拟物体距离）与晶状体调节（始终聚焦在屏幕距离）不一致，长时间使用可能导致眼部疲劳和眩晕。这是 VR 视觉舒适度的核心技术挑战之一。</w:t>
      </w:r>
    </w:p>
    <w:p/>
    <w:p>
      <w:pPr>
        <w:ind w:firstLine="482"/>
      </w:pPr>
      <w:r>
        <w:rPr>
          <w:rFonts w:ascii="宋体" w:hAnsi="宋体" w:eastAsia="宋体"/>
          <w:b/>
          <w:sz w:val="24"/>
        </w:rPr>
        <w:t>Waveguide（光波导）</w:t>
      </w:r>
      <w:r>
        <w:rPr>
          <w:rFonts w:ascii="宋体" w:hAnsi="宋体" w:eastAsia="宋体"/>
          <w:sz w:val="24"/>
        </w:rPr>
        <w:t>：AR 眼镜中使用的超薄光学元件，通过全反射将微型显示器发出的光线传导到人眼。表面浮雕光栅波导和体全息波导是两种主流方案。</w:t>
      </w:r>
    </w:p>
    <w:p/>
    <w:p>
      <w:pPr>
        <w:ind w:firstLine="482"/>
      </w:pPr>
      <w:r>
        <w:rPr>
          <w:rFonts w:ascii="宋体" w:hAnsi="宋体" w:eastAsia="宋体"/>
          <w:b/>
          <w:sz w:val="24"/>
        </w:rPr>
        <w:t>XR Input Methods（XR 输入方式）</w:t>
      </w:r>
      <w:r>
        <w:rPr>
          <w:rFonts w:ascii="宋体" w:hAnsi="宋体" w:eastAsia="宋体"/>
          <w:sz w:val="24"/>
        </w:rPr>
        <w:t>：VR/AR 中的交互输入方式统称，包括控制器（6DoF 手柄）、裸手追踪、眼动追踪、语音识别、手势识别和脑机接口等。现代 VR/AR 系统通常支持多种输入方式的组合。</w:t>
      </w:r>
    </w:p>
    <w:p/>
    <w:p/>
    <w:p/>
    <w:p>
      <w:pPr>
        <w:pStyle w:val="Heading2"/>
      </w:pPr>
      <w:r>
        <w:t>术语关联说明</w:t>
      </w:r>
    </w:p>
    <w:p/>
    <w:p>
      <w:pPr>
        <w:ind w:firstLine="482"/>
      </w:pPr>
      <w:r>
        <w:rPr>
          <w:rFonts w:ascii="宋体" w:hAnsi="宋体" w:eastAsia="宋体"/>
          <w:sz w:val="24"/>
        </w:rPr>
        <w:t>本书提出的 I.M.M.E.R.S.E. 框架的七个维度与上述术语存在密切的关联关系：</w:t>
      </w:r>
    </w:p>
    <w:p/>
    <w:p>
      <w:pPr>
        <w:ind w:firstLine="482"/>
      </w:pPr>
      <w:r>
        <w:rPr>
          <w:rFonts w:ascii="宋体" w:hAnsi="宋体" w:eastAsia="宋体"/>
          <w:b/>
          <w:sz w:val="24"/>
        </w:rPr>
        <w:t>I（Immersive Experience）</w:t>
      </w:r>
      <w:r>
        <w:rPr>
          <w:rFonts w:ascii="宋体" w:hAnsi="宋体" w:eastAsia="宋体"/>
          <w:sz w:val="24"/>
        </w:rPr>
        <w:t>关联术语：Presence、Foveated Rendering、Binocular Disparity、Vergence-Accommodation Conflict、Screen Door Effect、Judder、Motion-to-Photon Latency。这些术语描述了沉浸感的技术实现机制和潜在限制，理解这些术语有助于设计者优化沉浸体验质量。</w:t>
      </w:r>
    </w:p>
    <w:p/>
    <w:p>
      <w:pPr>
        <w:ind w:firstLine="482"/>
      </w:pPr>
      <w:r>
        <w:rPr>
          <w:rFonts w:ascii="宋体" w:hAnsi="宋体" w:eastAsia="宋体"/>
          <w:b/>
          <w:sz w:val="24"/>
        </w:rPr>
        <w:t>M（Multimodal Interaction）</w:t>
      </w:r>
      <w:r>
        <w:rPr>
          <w:rFonts w:ascii="宋体" w:hAnsi="宋体" w:eastAsia="宋体"/>
          <w:sz w:val="24"/>
        </w:rPr>
        <w:t>关联术语：XR Input Methods、Eye Tracking、Ambisonics、Lip Sync、TTS。多模态交互的核心是将视觉、听觉、触觉和语音等多种输入输出方式有机融合，上述术语构成了多模态交互的技术词汇基础。</w:t>
      </w:r>
    </w:p>
    <w:p/>
    <w:p>
      <w:pPr>
        <w:ind w:firstLine="482"/>
      </w:pPr>
      <w:r>
        <w:rPr>
          <w:rFonts w:ascii="宋体" w:hAnsi="宋体" w:eastAsia="宋体"/>
          <w:b/>
          <w:sz w:val="24"/>
        </w:rPr>
        <w:t>M（Multimodal Methodology）</w:t>
      </w:r>
      <w:r>
        <w:rPr>
          <w:rFonts w:ascii="宋体" w:hAnsi="宋体" w:eastAsia="宋体"/>
          <w:sz w:val="24"/>
        </w:rPr>
        <w:t>关联术语：CDIO、PBL、ADDIE。这些教育学方法论为沉浸式场景制作的流程化管理提供了理论框架，指导从需求分析到评估迭代的全流程实践。</w:t>
      </w:r>
    </w:p>
    <w:p/>
    <w:p>
      <w:pPr>
        <w:ind w:firstLine="482"/>
      </w:pPr>
      <w:r>
        <w:rPr>
          <w:rFonts w:ascii="宋体" w:hAnsi="宋体" w:eastAsia="宋体"/>
          <w:b/>
          <w:sz w:val="24"/>
        </w:rPr>
        <w:t>E（Experiential Reality）</w:t>
      </w:r>
      <w:r>
        <w:rPr>
          <w:rFonts w:ascii="宋体" w:hAnsi="宋体" w:eastAsia="宋体"/>
          <w:sz w:val="24"/>
        </w:rPr>
        <w:t>关联术语：Reality-Virtuality Continuum、MR、AR、VR、XR。体验现实的核心是在现实-虚拟连续体上找到最适合应用场景的定位，上述术语定义了不同类型的体验现实。</w:t>
      </w:r>
    </w:p>
    <w:p/>
    <w:p>
      <w:pPr>
        <w:ind w:firstLine="482"/>
      </w:pPr>
      <w:r>
        <w:rPr>
          <w:rFonts w:ascii="宋体" w:hAnsi="宋体" w:eastAsia="宋体"/>
          <w:b/>
          <w:sz w:val="24"/>
        </w:rPr>
        <w:t>R（Reality-Virtuality Integration）</w:t>
      </w:r>
      <w:r>
        <w:rPr>
          <w:rFonts w:ascii="宋体" w:hAnsi="宋体" w:eastAsia="宋体"/>
          <w:sz w:val="24"/>
        </w:rPr>
        <w:t>关联术语：SLAM、Inside-out Tracking、Cloud Anchors、Occlusion Culling。虚实融合的技术实现依赖于空间理解、追踪和渲染技术，上述术语描述了虚实融合的核心技术组件。</w:t>
      </w:r>
    </w:p>
    <w:p/>
    <w:p>
      <w:pPr>
        <w:ind w:firstLine="482"/>
      </w:pPr>
      <w:r>
        <w:rPr>
          <w:rFonts w:ascii="宋体" w:hAnsi="宋体" w:eastAsia="宋体"/>
          <w:b/>
          <w:sz w:val="24"/>
        </w:rPr>
        <w:t>S（Scenario Engineering）</w:t>
      </w:r>
      <w:r>
        <w:rPr>
          <w:rFonts w:ascii="宋体" w:hAnsi="宋体" w:eastAsia="宋体"/>
          <w:sz w:val="24"/>
        </w:rPr>
        <w:t>关联术语：LOD、GPU Instancing、PBR、glTF、ScriptableObject。场景工程涉及从资产创建到性能优化的全链路技术实践，上述术语是场景工程的技术工具箱。</w:t>
      </w:r>
    </w:p>
    <w:p/>
    <w:p>
      <w:pPr>
        <w:ind w:firstLine="482"/>
      </w:pPr>
      <w:r>
        <w:rPr>
          <w:rFonts w:ascii="宋体" w:hAnsi="宋体" w:eastAsia="宋体"/>
          <w:b/>
          <w:sz w:val="24"/>
        </w:rPr>
        <w:t>E（Evaluation &amp; Iteration）</w:t>
      </w:r>
      <w:r>
        <w:rPr>
          <w:rFonts w:ascii="宋体" w:hAnsi="宋体" w:eastAsia="宋体"/>
          <w:sz w:val="24"/>
        </w:rPr>
        <w:t>关联术语：SSQ、Presence Questionnaire、NASA-TLX。评估与迭代需要客观的测量工具和标准化的评估方法，上述术语提供了评估方法论的工具支撑。</w:t>
      </w:r>
    </w:p>
    <w:p/>
    <w:p>
      <w:pPr>
        <w:ind w:firstLine="482"/>
      </w:pPr>
      <w:r>
        <w:rPr>
          <w:rFonts w:ascii="宋体" w:hAnsi="宋体" w:eastAsia="宋体"/>
          <w:sz w:val="24"/>
        </w:rPr>
        <w:t>掌握这些术语及其关联关系，有助于读者建立系统化的 VR/AR 知识体系，在阅读本书各章节时快速理解技术概念，并在实际项目中准确使用专业术语进行沟通和交流。</w:t>
      </w:r>
    </w:p>
    <w:p/>
    <w:p/>
    <w:p/>
    <w:p/>
    <w:p>
      <w:pPr>
        <w:pStyle w:val="Heading2"/>
      </w:pPr>
      <w:r>
        <w:t>补充术语详解</w:t>
      </w:r>
    </w:p>
    <w:p/>
    <w:p>
      <w:pPr>
        <w:ind w:firstLine="482"/>
      </w:pPr>
      <w:r>
        <w:rPr>
          <w:rFonts w:ascii="宋体" w:hAnsi="宋体" w:eastAsia="宋体"/>
          <w:b/>
          <w:sz w:val="24"/>
        </w:rPr>
        <w:t>Depth Buffer（深度缓冲区）</w:t>
      </w:r>
      <w:r>
        <w:rPr>
          <w:rFonts w:ascii="宋体" w:hAnsi="宋体" w:eastAsia="宋体"/>
          <w:sz w:val="24"/>
        </w:rPr>
        <w:t>：存储每个像素深度值的缓冲区，用于确定 3D 物体之间的遮挡关系。在 AR 中，深度缓冲使虚拟物体能够被真实物体正确遮挡，增强虚实融合的真实感。支持 LiDAR 的设备（如 iPhone Pro 系列）可以生成真实环境的深度图，实现精确的虚实遮挡效果。</w:t>
      </w:r>
    </w:p>
    <w:p/>
    <w:p>
      <w:pPr>
        <w:ind w:firstLine="482"/>
      </w:pPr>
      <w:r>
        <w:rPr>
          <w:rFonts w:ascii="宋体" w:hAnsi="宋体" w:eastAsia="宋体"/>
          <w:b/>
          <w:sz w:val="24"/>
        </w:rPr>
        <w:t>Draw Call</w:t>
      </w:r>
      <w:r>
        <w:rPr>
          <w:rFonts w:ascii="宋体" w:hAnsi="宋体" w:eastAsia="宋体"/>
          <w:sz w:val="24"/>
        </w:rPr>
        <w:t>：CPU 向 GPU 发出的渲染命令。每次 Draw Call 让 GPU 渲染一组使用相同材质的三角形。Draw Call 数量过多会成为性能瓶颈——CPU 花费大量时间准备渲染命令，而 GPU 处于等待状态。优化策略包括合并 Mesh（Static Batching 和 Dynamic Batching）、使用 GPU Instancing 和减少材质种类。</w:t>
      </w:r>
    </w:p>
    <w:p/>
    <w:p>
      <w:pPr>
        <w:ind w:firstLine="482"/>
      </w:pPr>
      <w:r>
        <w:rPr>
          <w:rFonts w:ascii="宋体" w:hAnsi="宋体" w:eastAsia="宋体"/>
          <w:b/>
          <w:sz w:val="24"/>
        </w:rPr>
        <w:t>Field of View（FOV，视场角）</w:t>
      </w:r>
      <w:r>
        <w:rPr>
          <w:rFonts w:ascii="宋体" w:hAnsi="宋体" w:eastAsia="宋体"/>
          <w:sz w:val="24"/>
        </w:rPr>
        <w:t>：VR 头显能够显示的视野范围，通常以水平角度表示。人眼的水平视野约为 200 度（含周边视觉），而当前 VR 头显的 FOV 通常为 90-130 度。FOV 不足会导致"戴着潜水镜"的感觉，是 VR 沉浸感的主要限制因素之一。</w:t>
      </w:r>
    </w:p>
    <w:p/>
    <w:p>
      <w:pPr>
        <w:ind w:firstLine="482"/>
      </w:pPr>
      <w:r>
        <w:rPr>
          <w:rFonts w:ascii="宋体" w:hAnsi="宋体" w:eastAsia="宋体"/>
          <w:b/>
          <w:sz w:val="24"/>
        </w:rPr>
        <w:t>Frame Time（帧时间）</w:t>
      </w:r>
      <w:r>
        <w:rPr>
          <w:rFonts w:ascii="宋体" w:hAnsi="宋体" w:eastAsia="宋体"/>
          <w:sz w:val="24"/>
        </w:rPr>
        <w:t>：渲染一帧画面所需的时间，等于帧率的倒数。VR 要求帧时间不超过 13.9ms（72fps）或 11.1ms（90fps）。帧时间分配通常为：CPU 逻辑处理 30-40%，GPU 渲染 40-50%，VR 合成器 10-20%。使用 Unity Profiler 的 CPU Usage 和 GPU Usage 模块可以分析帧时间分布。</w:t>
      </w:r>
    </w:p>
    <w:p/>
    <w:p>
      <w:pPr>
        <w:ind w:firstLine="482"/>
      </w:pPr>
      <w:r>
        <w:rPr>
          <w:rFonts w:ascii="宋体" w:hAnsi="宋体" w:eastAsia="宋体"/>
          <w:b/>
          <w:sz w:val="24"/>
        </w:rPr>
        <w:t>Haptic Feedback（触觉反馈）</w:t>
      </w:r>
      <w:r>
        <w:rPr>
          <w:rFonts w:ascii="宋体" w:hAnsi="宋体" w:eastAsia="宋体"/>
          <w:sz w:val="24"/>
        </w:rPr>
        <w:t>：通过振动或力反馈为用户提供触觉感知的技术。VR 手柄内置振动马达（线性谐振马达 LRA），可以产生不同频率和强度的振动。高级触觉设备（如 haptic gloves）可以模拟抓握、纹理和温度等更丰富的触觉感受。</w:t>
      </w:r>
    </w:p>
    <w:p/>
    <w:p>
      <w:pPr>
        <w:ind w:firstLine="482"/>
      </w:pPr>
      <w:r>
        <w:rPr>
          <w:rFonts w:ascii="宋体" w:hAnsi="宋体" w:eastAsia="宋体"/>
          <w:b/>
          <w:sz w:val="24"/>
        </w:rPr>
        <w:t>Latency（延迟）</w:t>
      </w:r>
      <w:r>
        <w:rPr>
          <w:rFonts w:ascii="宋体" w:hAnsi="宋体" w:eastAsia="宋体"/>
          <w:sz w:val="24"/>
        </w:rPr>
        <w:t>：从用户输入到系统响应之间的时间差。VR 中的关键延迟指标包括运动到光子延迟（Motion-to-Photon Latency，目标 &lt;20ms）和网络延迟（多人 VR 中影响交互响应）。降低延迟的方法包括使用预测算法、提高帧率、优化渲染管线和使用有线连接。</w:t>
      </w:r>
    </w:p>
    <w:p/>
    <w:p>
      <w:pPr>
        <w:ind w:firstLine="482"/>
      </w:pPr>
      <w:r>
        <w:rPr>
          <w:rFonts w:ascii="宋体" w:hAnsi="宋体" w:eastAsia="宋体"/>
          <w:b/>
          <w:sz w:val="24"/>
        </w:rPr>
        <w:t>Normal Mapping（法线贴图）</w:t>
      </w:r>
      <w:r>
        <w:rPr>
          <w:rFonts w:ascii="宋体" w:hAnsi="宋体" w:eastAsia="宋体"/>
          <w:sz w:val="24"/>
        </w:rPr>
        <w:t>：一种纹理技术，通过修改像素的法线方向来模拟表面凹凸细节，而无需增加几何复杂度。法线贴图可以在低面数模型上呈现高面数模型的视觉效果，是 VR/AR 3D 资产优化的核心技术。</w:t>
      </w:r>
    </w:p>
    <w:p/>
    <w:p>
      <w:pPr>
        <w:ind w:firstLine="482"/>
      </w:pPr>
      <w:r>
        <w:rPr>
          <w:rFonts w:ascii="宋体" w:hAnsi="宋体" w:eastAsia="宋体"/>
          <w:b/>
          <w:sz w:val="24"/>
        </w:rPr>
        <w:t>Occlusion（遮挡）</w:t>
      </w:r>
      <w:r>
        <w:rPr>
          <w:rFonts w:ascii="宋体" w:hAnsi="宋体" w:eastAsia="宋体"/>
          <w:sz w:val="24"/>
        </w:rPr>
        <w:t>：在 AR 中，真实物体遮挡虚拟物体的效果。实现遮挡需要深度信息——通过 LiDAR 或深度 API 获取真实环境的深度图，在渲染时比较虚拟物体和真实物体的深度值，被真实物体遮挡的虚拟部分不渲染。</w:t>
      </w:r>
    </w:p>
    <w:p/>
    <w:p>
      <w:pPr>
        <w:ind w:firstLine="482"/>
      </w:pPr>
      <w:r>
        <w:rPr>
          <w:rFonts w:ascii="宋体" w:hAnsi="宋体" w:eastAsia="宋体"/>
          <w:b/>
          <w:sz w:val="24"/>
        </w:rPr>
        <w:t>Pixel Density（像素密度）</w:t>
      </w:r>
      <w:r>
        <w:rPr>
          <w:rFonts w:ascii="宋体" w:hAnsi="宋体" w:eastAsia="宋体"/>
          <w:sz w:val="24"/>
        </w:rPr>
        <w:t>：VR 头显显示屏的像素密度，通常以 PPI（每英寸像素数）表示。高像素密度可以减少纱窗效应。Meta Quest 3 的像素密度约为 1218 PPI，Apple Vision Pro 的 Micro-OLED 显示屏达到约 3400 PPI。</w:t>
      </w:r>
    </w:p>
    <w:p/>
    <w:p>
      <w:pPr>
        <w:ind w:firstLine="482"/>
      </w:pPr>
      <w:r>
        <w:rPr>
          <w:rFonts w:ascii="宋体" w:hAnsi="宋体" w:eastAsia="宋体"/>
          <w:b/>
          <w:sz w:val="24"/>
        </w:rPr>
        <w:t>Refresh Rate（刷新率）</w:t>
      </w:r>
      <w:r>
        <w:rPr>
          <w:rFonts w:ascii="宋体" w:hAnsi="宋体" w:eastAsia="宋体"/>
          <w:sz w:val="24"/>
        </w:rPr>
        <w:t>：显示屏每秒更新画面的次数。VR 头显的刷新率通常为 72Hz、90Hz 或 120Hz。刷新率与帧率的关系：如果帧率低于刷新率，会出现画面撕裂或重复帧；如果帧率高于刷新率，多余的帧不会被显示。VR 要求帧率与刷新率匹配。</w:t>
      </w:r>
    </w:p>
    <w:p/>
    <w:p>
      <w:pPr>
        <w:ind w:firstLine="482"/>
      </w:pPr>
      <w:r>
        <w:rPr>
          <w:rFonts w:ascii="宋体" w:hAnsi="宋体" w:eastAsia="宋体"/>
          <w:b/>
          <w:sz w:val="24"/>
        </w:rPr>
        <w:t>Spatial Audio（空间音频）</w:t>
      </w:r>
      <w:r>
        <w:rPr>
          <w:rFonts w:ascii="宋体" w:hAnsi="宋体" w:eastAsia="宋体"/>
          <w:sz w:val="24"/>
        </w:rPr>
        <w:t>：模拟声音在三维空间中传播的音频技术，包括方向感知（声音来自哪个方向）、距离感知（声音有多远）和环境效果（回声、遮挡）。VR 中的空间音频使用 HRTF（Head-Related Transfer Function）算法模拟人耳对声音方向和距离的感知方式。</w:t>
      </w:r>
    </w:p>
    <w:p/>
    <w:p>
      <w:pPr>
        <w:ind w:firstLine="482"/>
      </w:pPr>
      <w:r>
        <w:rPr>
          <w:rFonts w:ascii="宋体" w:hAnsi="宋体" w:eastAsia="宋体"/>
          <w:b/>
          <w:sz w:val="24"/>
        </w:rPr>
        <w:t>Texture Compression（纹理压缩）</w:t>
      </w:r>
      <w:r>
        <w:rPr>
          <w:rFonts w:ascii="宋体" w:hAnsi="宋体" w:eastAsia="宋体"/>
          <w:sz w:val="24"/>
        </w:rPr>
        <w:t>：减小纹理文件大小和内存占用的技术。移动端 VR/AR 推荐使用 ASTC（Adaptive Scalable Texture Compression）格式，支持 4x4 到 12x12 的块大小，在画质和压缩率之间灵活平衡。PC 端推荐使用 BC7（BPTC）格式。</w:t>
      </w:r>
    </w:p>
    <w:p/>
    <w:p>
      <w:pPr>
        <w:ind w:firstLine="482"/>
      </w:pPr>
      <w:r>
        <w:rPr>
          <w:rFonts w:ascii="宋体" w:hAnsi="宋体" w:eastAsia="宋体"/>
          <w:b/>
          <w:sz w:val="24"/>
        </w:rPr>
        <w:t>Vertex Shader（顶点着色器）</w:t>
      </w:r>
      <w:r>
        <w:rPr>
          <w:rFonts w:ascii="宋体" w:hAnsi="宋体" w:eastAsia="宋体"/>
          <w:sz w:val="24"/>
        </w:rPr>
        <w:t>：GPU 渲染管线中的一个可编程阶段，负责对每个顶点进行变换（从模型空间到裁剪空间）和其他逐顶点计算（如顶点光照、顶点动画）。顶点着色器的性能开销与顶点数量成正比，因此减面是优化顶点着色器负载的主要手段。</w:t>
      </w:r>
    </w:p>
    <w:p/>
    <w:p>
      <w:pPr>
        <w:ind w:firstLine="482"/>
      </w:pPr>
      <w:r>
        <w:rPr>
          <w:rFonts w:ascii="宋体" w:hAnsi="宋体" w:eastAsia="宋体"/>
          <w:b/>
          <w:sz w:val="24"/>
        </w:rPr>
        <w:t>World Space（世界空间）</w:t>
      </w:r>
      <w:r>
        <w:rPr>
          <w:rFonts w:ascii="宋体" w:hAnsi="宋体" w:eastAsia="宋体"/>
          <w:sz w:val="24"/>
        </w:rPr>
        <w:t>：Unity 3D 中的全局坐标系，所有物体的 Transform 都相对于世界空间定义。在 VR/AR 中，世界空间与现实世界的对应关系由追踪系统确定——VR 中世界空间是虚拟的，AR 中世界空间映射到真实物理空间。</w:t>
      </w:r>
    </w:p>
    <w:p/>
    <w:p>
      <w:r>
        <w:br w:type="page"/>
      </w:r>
    </w:p>
    <w:p>
      <w:pPr>
        <w:pStyle w:val="Heading1"/>
      </w:pPr>
      <w:r>
        <w:t>附录 B：VR/AR 工具平台速查手册</w:t>
      </w:r>
    </w:p>
    <w:p/>
    <w:p>
      <w:pPr>
        <w:ind w:firstLine="482"/>
      </w:pPr>
      <w:r>
        <w:rPr>
          <w:rFonts w:ascii="宋体" w:hAnsi="宋体" w:eastAsia="宋体"/>
          <w:sz w:val="24"/>
        </w:rPr>
        <w:t>本附录汇总了 VR/AR 沉浸式场景制作全流程涉及的主要工具和平台，按工作流阶段分类，供读者快速查阅选型。</w:t>
      </w:r>
    </w:p>
    <w:p/>
    <w:p>
      <w:pPr>
        <w:pStyle w:val="Heading2"/>
      </w:pPr>
      <w:r>
        <w:t>B.1 硬件设备</w:t>
      </w:r>
    </w:p>
    <w:p/>
    <w:p>
      <w:pPr>
        <w:pStyle w:val="Heading3"/>
      </w:pPr>
      <w:r>
        <w:t>B.1.1 VR 头显</w:t>
      </w:r>
    </w:p>
    <w:p/>
    <w:tbl>
      <w:tblPr>
        <w:tblStyle w:val="TableGrid"/>
        <w:tblW w:type="auto" w:w="0"/>
        <w:jc w:val="center"/>
        <w:tblLook w:firstColumn="1" w:firstRow="1" w:lastColumn="0" w:lastRow="0" w:noHBand="0" w:noVBand="1" w:val="04A0"/>
      </w:tblPr>
      <w:tblGrid>
        <w:gridCol w:w="1039"/>
        <w:gridCol w:w="1039"/>
        <w:gridCol w:w="1039"/>
        <w:gridCol w:w="1039"/>
        <w:gridCol w:w="1039"/>
        <w:gridCol w:w="1039"/>
        <w:gridCol w:w="1039"/>
        <w:gridCol w:w="1039"/>
      </w:tblGrid>
      <w:tr>
        <w:tc>
          <w:tcPr>
            <w:tcW w:type="dxa" w:w="1039"/>
            <w:shd w:fill="D9E2F3" w:val="clear"/>
          </w:tcPr>
          <w:p>
            <w:pPr>
              <w:jc w:val="center"/>
            </w:pPr>
            <w:r/>
            <w:r>
              <w:rPr>
                <w:rFonts w:ascii="黑体" w:hAnsi="黑体" w:eastAsia="黑体"/>
                <w:b/>
                <w:sz w:val="20"/>
              </w:rPr>
              <w:t>设备</w:t>
            </w:r>
          </w:p>
        </w:tc>
        <w:tc>
          <w:tcPr>
            <w:tcW w:type="dxa" w:w="1039"/>
            <w:shd w:fill="D9E2F3" w:val="clear"/>
          </w:tcPr>
          <w:p>
            <w:pPr>
              <w:jc w:val="center"/>
            </w:pPr>
            <w:r/>
            <w:r>
              <w:rPr>
                <w:rFonts w:ascii="黑体" w:hAnsi="黑体" w:eastAsia="黑体"/>
                <w:b/>
                <w:sz w:val="20"/>
              </w:rPr>
              <w:t>厂商</w:t>
            </w:r>
          </w:p>
        </w:tc>
        <w:tc>
          <w:tcPr>
            <w:tcW w:type="dxa" w:w="1039"/>
            <w:shd w:fill="D9E2F3" w:val="clear"/>
          </w:tcPr>
          <w:p>
            <w:pPr>
              <w:jc w:val="center"/>
            </w:pPr>
            <w:r/>
            <w:r>
              <w:rPr>
                <w:rFonts w:ascii="黑体" w:hAnsi="黑体" w:eastAsia="黑体"/>
                <w:b/>
                <w:sz w:val="20"/>
              </w:rPr>
              <w:t>类型</w:t>
            </w:r>
          </w:p>
        </w:tc>
        <w:tc>
          <w:tcPr>
            <w:tcW w:type="dxa" w:w="1039"/>
            <w:shd w:fill="D9E2F3" w:val="clear"/>
          </w:tcPr>
          <w:p>
            <w:pPr>
              <w:jc w:val="center"/>
            </w:pPr>
            <w:r/>
            <w:r>
              <w:rPr>
                <w:rFonts w:ascii="黑体" w:hAnsi="黑体" w:eastAsia="黑体"/>
                <w:b/>
                <w:sz w:val="20"/>
              </w:rPr>
              <w:t>分辨率</w:t>
            </w:r>
          </w:p>
        </w:tc>
        <w:tc>
          <w:tcPr>
            <w:tcW w:type="dxa" w:w="1039"/>
            <w:shd w:fill="D9E2F3" w:val="clear"/>
          </w:tcPr>
          <w:p>
            <w:pPr>
              <w:jc w:val="center"/>
            </w:pPr>
            <w:r/>
            <w:r>
              <w:rPr>
                <w:rFonts w:ascii="黑体" w:hAnsi="黑体" w:eastAsia="黑体"/>
                <w:b/>
                <w:sz w:val="20"/>
              </w:rPr>
              <w:t>FOV</w:t>
            </w:r>
          </w:p>
        </w:tc>
        <w:tc>
          <w:tcPr>
            <w:tcW w:type="dxa" w:w="1039"/>
            <w:shd w:fill="D9E2F3" w:val="clear"/>
          </w:tcPr>
          <w:p>
            <w:pPr>
              <w:jc w:val="center"/>
            </w:pPr>
            <w:r/>
            <w:r>
              <w:rPr>
                <w:rFonts w:ascii="黑体" w:hAnsi="黑体" w:eastAsia="黑体"/>
                <w:b/>
                <w:sz w:val="20"/>
              </w:rPr>
              <w:t>追踪</w:t>
            </w:r>
          </w:p>
        </w:tc>
        <w:tc>
          <w:tcPr>
            <w:tcW w:type="dxa" w:w="1039"/>
            <w:shd w:fill="D9E2F3" w:val="clear"/>
          </w:tcPr>
          <w:p>
            <w:pPr>
              <w:jc w:val="center"/>
            </w:pPr>
            <w:r/>
            <w:r>
              <w:rPr>
                <w:rFonts w:ascii="黑体" w:hAnsi="黑体" w:eastAsia="黑体"/>
                <w:b/>
                <w:sz w:val="20"/>
              </w:rPr>
              <w:t>价格区间</w:t>
            </w:r>
          </w:p>
        </w:tc>
        <w:tc>
          <w:tcPr>
            <w:tcW w:type="dxa" w:w="1039"/>
            <w:shd w:fill="D9E2F3" w:val="clear"/>
          </w:tcPr>
          <w:p>
            <w:pPr>
              <w:jc w:val="center"/>
            </w:pPr>
            <w:r/>
            <w:r>
              <w:rPr>
                <w:rFonts w:ascii="黑体" w:hAnsi="黑体" w:eastAsia="黑体"/>
                <w:b/>
                <w:sz w:val="20"/>
              </w:rPr>
              <w:t>适用场景</w:t>
            </w:r>
          </w:p>
        </w:tc>
      </w:tr>
      <w:tr>
        <w:tc>
          <w:tcPr>
            <w:tcW w:type="dxa" w:w="1039"/>
          </w:tcPr>
          <w:p>
            <w:r/>
            <w:r>
              <w:rPr>
                <w:rFonts w:ascii="宋体" w:hAnsi="宋体" w:eastAsia="宋体"/>
                <w:sz w:val="20"/>
              </w:rPr>
              <w:t>Meta Quest 3</w:t>
            </w:r>
          </w:p>
        </w:tc>
        <w:tc>
          <w:tcPr>
            <w:tcW w:type="dxa" w:w="1039"/>
          </w:tcPr>
          <w:p>
            <w:r/>
            <w:r>
              <w:rPr>
                <w:rFonts w:ascii="宋体" w:hAnsi="宋体" w:eastAsia="宋体"/>
                <w:sz w:val="20"/>
              </w:rPr>
              <w:t>Meta</w:t>
            </w:r>
          </w:p>
        </w:tc>
        <w:tc>
          <w:tcPr>
            <w:tcW w:type="dxa" w:w="1039"/>
          </w:tcPr>
          <w:p>
            <w:r/>
            <w:r>
              <w:rPr>
                <w:rFonts w:ascii="宋体" w:hAnsi="宋体" w:eastAsia="宋体"/>
                <w:sz w:val="20"/>
              </w:rPr>
              <w:t>一体机</w:t>
            </w:r>
          </w:p>
        </w:tc>
        <w:tc>
          <w:tcPr>
            <w:tcW w:type="dxa" w:w="1039"/>
          </w:tcPr>
          <w:p>
            <w:r/>
            <w:r>
              <w:rPr>
                <w:rFonts w:ascii="宋体" w:hAnsi="宋体" w:eastAsia="宋体"/>
                <w:sz w:val="20"/>
              </w:rPr>
              <w:t>2064x2208/眼</w:t>
            </w:r>
          </w:p>
        </w:tc>
        <w:tc>
          <w:tcPr>
            <w:tcW w:type="dxa" w:w="1039"/>
          </w:tcPr>
          <w:p>
            <w:r/>
            <w:r>
              <w:rPr>
                <w:rFonts w:ascii="宋体" w:hAnsi="宋体" w:eastAsia="宋体"/>
                <w:sz w:val="20"/>
              </w:rPr>
              <w:t>110度</w:t>
            </w:r>
          </w:p>
        </w:tc>
        <w:tc>
          <w:tcPr>
            <w:tcW w:type="dxa" w:w="1039"/>
          </w:tcPr>
          <w:p>
            <w:r/>
            <w:r>
              <w:rPr>
                <w:rFonts w:ascii="宋体" w:hAnsi="宋体" w:eastAsia="宋体"/>
                <w:sz w:val="20"/>
              </w:rPr>
              <w:t>6DoF inside-out</w:t>
            </w:r>
          </w:p>
        </w:tc>
        <w:tc>
          <w:tcPr>
            <w:tcW w:type="dxa" w:w="1039"/>
          </w:tcPr>
          <w:p>
            <w:r/>
            <w:r>
              <w:rPr>
                <w:rFonts w:ascii="宋体" w:hAnsi="宋体" w:eastAsia="宋体"/>
                <w:sz w:val="20"/>
              </w:rPr>
              <w:t>3000-5000元</w:t>
            </w:r>
          </w:p>
        </w:tc>
        <w:tc>
          <w:tcPr>
            <w:tcW w:type="dxa" w:w="1039"/>
          </w:tcPr>
          <w:p>
            <w:r/>
            <w:r>
              <w:rPr>
                <w:rFonts w:ascii="宋体" w:hAnsi="宋体" w:eastAsia="宋体"/>
                <w:sz w:val="20"/>
              </w:rPr>
              <w:t>教育实训、消费级VR</w:t>
            </w:r>
          </w:p>
        </w:tc>
      </w:tr>
      <w:tr>
        <w:tc>
          <w:tcPr>
            <w:tcW w:type="dxa" w:w="1039"/>
          </w:tcPr>
          <w:p>
            <w:r/>
            <w:r>
              <w:rPr>
                <w:rFonts w:ascii="宋体" w:hAnsi="宋体" w:eastAsia="宋体"/>
                <w:sz w:val="20"/>
              </w:rPr>
              <w:t>Meta Quest Pro</w:t>
            </w:r>
          </w:p>
        </w:tc>
        <w:tc>
          <w:tcPr>
            <w:tcW w:type="dxa" w:w="1039"/>
          </w:tcPr>
          <w:p>
            <w:r/>
            <w:r>
              <w:rPr>
                <w:rFonts w:ascii="宋体" w:hAnsi="宋体" w:eastAsia="宋体"/>
                <w:sz w:val="20"/>
              </w:rPr>
              <w:t>Meta</w:t>
            </w:r>
          </w:p>
        </w:tc>
        <w:tc>
          <w:tcPr>
            <w:tcW w:type="dxa" w:w="1039"/>
          </w:tcPr>
          <w:p>
            <w:r/>
            <w:r>
              <w:rPr>
                <w:rFonts w:ascii="宋体" w:hAnsi="宋体" w:eastAsia="宋体"/>
                <w:sz w:val="20"/>
              </w:rPr>
              <w:t>一体机</w:t>
            </w:r>
          </w:p>
        </w:tc>
        <w:tc>
          <w:tcPr>
            <w:tcW w:type="dxa" w:w="1039"/>
          </w:tcPr>
          <w:p>
            <w:r/>
            <w:r>
              <w:rPr>
                <w:rFonts w:ascii="宋体" w:hAnsi="宋体" w:eastAsia="宋体"/>
                <w:sz w:val="20"/>
              </w:rPr>
              <w:t>1800x1920/眼</w:t>
            </w:r>
          </w:p>
        </w:tc>
        <w:tc>
          <w:tcPr>
            <w:tcW w:type="dxa" w:w="1039"/>
          </w:tcPr>
          <w:p>
            <w:r/>
            <w:r>
              <w:rPr>
                <w:rFonts w:ascii="宋体" w:hAnsi="宋体" w:eastAsia="宋体"/>
                <w:sz w:val="20"/>
              </w:rPr>
              <w:t>106度</w:t>
            </w:r>
          </w:p>
        </w:tc>
        <w:tc>
          <w:tcPr>
            <w:tcW w:type="dxa" w:w="1039"/>
          </w:tcPr>
          <w:p>
            <w:r/>
            <w:r>
              <w:rPr>
                <w:rFonts w:ascii="宋体" w:hAnsi="宋体" w:eastAsia="宋体"/>
                <w:sz w:val="20"/>
              </w:rPr>
              <w:t>6DoF+面部追踪</w:t>
            </w:r>
          </w:p>
        </w:tc>
        <w:tc>
          <w:tcPr>
            <w:tcW w:type="dxa" w:w="1039"/>
          </w:tcPr>
          <w:p>
            <w:r/>
            <w:r>
              <w:rPr>
                <w:rFonts w:ascii="宋体" w:hAnsi="宋体" w:eastAsia="宋体"/>
                <w:sz w:val="20"/>
              </w:rPr>
              <w:t>10000-15000元</w:t>
            </w:r>
          </w:p>
        </w:tc>
        <w:tc>
          <w:tcPr>
            <w:tcW w:type="dxa" w:w="1039"/>
          </w:tcPr>
          <w:p>
            <w:r/>
            <w:r>
              <w:rPr>
                <w:rFonts w:ascii="宋体" w:hAnsi="宋体" w:eastAsia="宋体"/>
                <w:sz w:val="20"/>
              </w:rPr>
              <w:t>企业级、面部表情</w:t>
            </w:r>
          </w:p>
        </w:tc>
      </w:tr>
      <w:tr>
        <w:tc>
          <w:tcPr>
            <w:tcW w:type="dxa" w:w="1039"/>
          </w:tcPr>
          <w:p>
            <w:r/>
            <w:r>
              <w:rPr>
                <w:rFonts w:ascii="宋体" w:hAnsi="宋体" w:eastAsia="宋体"/>
                <w:sz w:val="20"/>
              </w:rPr>
              <w:t>Pico 4 Ultra</w:t>
            </w:r>
          </w:p>
        </w:tc>
        <w:tc>
          <w:tcPr>
            <w:tcW w:type="dxa" w:w="1039"/>
          </w:tcPr>
          <w:p>
            <w:r/>
            <w:r>
              <w:rPr>
                <w:rFonts w:ascii="宋体" w:hAnsi="宋体" w:eastAsia="宋体"/>
                <w:sz w:val="20"/>
              </w:rPr>
              <w:t>Pico</w:t>
            </w:r>
          </w:p>
        </w:tc>
        <w:tc>
          <w:tcPr>
            <w:tcW w:type="dxa" w:w="1039"/>
          </w:tcPr>
          <w:p>
            <w:r/>
            <w:r>
              <w:rPr>
                <w:rFonts w:ascii="宋体" w:hAnsi="宋体" w:eastAsia="宋体"/>
                <w:sz w:val="20"/>
              </w:rPr>
              <w:t>一体机</w:t>
            </w:r>
          </w:p>
        </w:tc>
        <w:tc>
          <w:tcPr>
            <w:tcW w:type="dxa" w:w="1039"/>
          </w:tcPr>
          <w:p>
            <w:r/>
            <w:r>
              <w:rPr>
                <w:rFonts w:ascii="宋体" w:hAnsi="宋体" w:eastAsia="宋体"/>
                <w:sz w:val="20"/>
              </w:rPr>
              <w:t>2160x2160/眼</w:t>
            </w:r>
          </w:p>
        </w:tc>
        <w:tc>
          <w:tcPr>
            <w:tcW w:type="dxa" w:w="1039"/>
          </w:tcPr>
          <w:p>
            <w:r/>
            <w:r>
              <w:rPr>
                <w:rFonts w:ascii="宋体" w:hAnsi="宋体" w:eastAsia="宋体"/>
                <w:sz w:val="20"/>
              </w:rPr>
              <w:t>105度</w:t>
            </w:r>
          </w:p>
        </w:tc>
        <w:tc>
          <w:tcPr>
            <w:tcW w:type="dxa" w:w="1039"/>
          </w:tcPr>
          <w:p>
            <w:r/>
            <w:r>
              <w:rPr>
                <w:rFonts w:ascii="宋体" w:hAnsi="宋体" w:eastAsia="宋体"/>
                <w:sz w:val="20"/>
              </w:rPr>
              <w:t>6DoF inside-out</w:t>
            </w:r>
          </w:p>
        </w:tc>
        <w:tc>
          <w:tcPr>
            <w:tcW w:type="dxa" w:w="1039"/>
          </w:tcPr>
          <w:p>
            <w:r/>
            <w:r>
              <w:rPr>
                <w:rFonts w:ascii="宋体" w:hAnsi="宋体" w:eastAsia="宋体"/>
                <w:sz w:val="20"/>
              </w:rPr>
              <w:t>4000-6000元</w:t>
            </w:r>
          </w:p>
        </w:tc>
        <w:tc>
          <w:tcPr>
            <w:tcW w:type="dxa" w:w="1039"/>
          </w:tcPr>
          <w:p>
            <w:r/>
            <w:r>
              <w:rPr>
                <w:rFonts w:ascii="宋体" w:hAnsi="宋体" w:eastAsia="宋体"/>
                <w:sz w:val="20"/>
              </w:rPr>
              <w:t>国内教育市场</w:t>
            </w:r>
          </w:p>
        </w:tc>
      </w:tr>
      <w:tr>
        <w:tc>
          <w:tcPr>
            <w:tcW w:type="dxa" w:w="1039"/>
          </w:tcPr>
          <w:p>
            <w:r/>
            <w:r>
              <w:rPr>
                <w:rFonts w:ascii="宋体" w:hAnsi="宋体" w:eastAsia="宋体"/>
                <w:sz w:val="20"/>
              </w:rPr>
              <w:t>Apple Vision Pro</w:t>
            </w:r>
          </w:p>
        </w:tc>
        <w:tc>
          <w:tcPr>
            <w:tcW w:type="dxa" w:w="1039"/>
          </w:tcPr>
          <w:p>
            <w:r/>
            <w:r>
              <w:rPr>
                <w:rFonts w:ascii="宋体" w:hAnsi="宋体" w:eastAsia="宋体"/>
                <w:sz w:val="20"/>
              </w:rPr>
              <w:t>Apple</w:t>
            </w:r>
          </w:p>
        </w:tc>
        <w:tc>
          <w:tcPr>
            <w:tcW w:type="dxa" w:w="1039"/>
          </w:tcPr>
          <w:p>
            <w:r/>
            <w:r>
              <w:rPr>
                <w:rFonts w:ascii="宋体" w:hAnsi="宋体" w:eastAsia="宋体"/>
                <w:sz w:val="20"/>
              </w:rPr>
              <w:t>MR</w:t>
            </w:r>
          </w:p>
        </w:tc>
        <w:tc>
          <w:tcPr>
            <w:tcW w:type="dxa" w:w="1039"/>
          </w:tcPr>
          <w:p>
            <w:r/>
            <w:r>
              <w:rPr>
                <w:rFonts w:ascii="宋体" w:hAnsi="宋体" w:eastAsia="宋体"/>
                <w:sz w:val="20"/>
              </w:rPr>
              <w:t>3660x3200/眼</w:t>
            </w:r>
          </w:p>
        </w:tc>
        <w:tc>
          <w:tcPr>
            <w:tcW w:type="dxa" w:w="1039"/>
          </w:tcPr>
          <w:p>
            <w:r/>
            <w:r>
              <w:rPr>
                <w:rFonts w:ascii="宋体" w:hAnsi="宋体" w:eastAsia="宋体"/>
                <w:sz w:val="20"/>
              </w:rPr>
              <w:t>100度</w:t>
            </w:r>
          </w:p>
        </w:tc>
        <w:tc>
          <w:tcPr>
            <w:tcW w:type="dxa" w:w="1039"/>
          </w:tcPr>
          <w:p>
            <w:r/>
            <w:r>
              <w:rPr>
                <w:rFonts w:ascii="宋体" w:hAnsi="宋体" w:eastAsia="宋体"/>
                <w:sz w:val="20"/>
              </w:rPr>
              <w:t>6DoF+眼动</w:t>
            </w:r>
          </w:p>
        </w:tc>
        <w:tc>
          <w:tcPr>
            <w:tcW w:type="dxa" w:w="1039"/>
          </w:tcPr>
          <w:p>
            <w:r/>
            <w:r>
              <w:rPr>
                <w:rFonts w:ascii="宋体" w:hAnsi="宋体" w:eastAsia="宋体"/>
                <w:sz w:val="20"/>
              </w:rPr>
              <w:t>25000-35000元</w:t>
            </w:r>
          </w:p>
        </w:tc>
        <w:tc>
          <w:tcPr>
            <w:tcW w:type="dxa" w:w="1039"/>
          </w:tcPr>
          <w:p>
            <w:r/>
            <w:r>
              <w:rPr>
                <w:rFonts w:ascii="宋体" w:hAnsi="宋体" w:eastAsia="宋体"/>
                <w:sz w:val="20"/>
              </w:rPr>
              <w:t>高端MR体验</w:t>
            </w:r>
          </w:p>
        </w:tc>
      </w:tr>
      <w:tr>
        <w:tc>
          <w:tcPr>
            <w:tcW w:type="dxa" w:w="1039"/>
          </w:tcPr>
          <w:p>
            <w:r/>
            <w:r>
              <w:rPr>
                <w:rFonts w:ascii="宋体" w:hAnsi="宋体" w:eastAsia="宋体"/>
                <w:sz w:val="20"/>
              </w:rPr>
              <w:t>HTC Vive XR Elite</w:t>
            </w:r>
          </w:p>
        </w:tc>
        <w:tc>
          <w:tcPr>
            <w:tcW w:type="dxa" w:w="1039"/>
          </w:tcPr>
          <w:p>
            <w:r/>
            <w:r>
              <w:rPr>
                <w:rFonts w:ascii="宋体" w:hAnsi="宋体" w:eastAsia="宋体"/>
                <w:sz w:val="20"/>
              </w:rPr>
              <w:t>HTC</w:t>
            </w:r>
          </w:p>
        </w:tc>
        <w:tc>
          <w:tcPr>
            <w:tcW w:type="dxa" w:w="1039"/>
          </w:tcPr>
          <w:p>
            <w:r/>
            <w:r>
              <w:rPr>
                <w:rFonts w:ascii="宋体" w:hAnsi="宋体" w:eastAsia="宋体"/>
                <w:sz w:val="20"/>
              </w:rPr>
              <w:t>一体机</w:t>
            </w:r>
          </w:p>
        </w:tc>
        <w:tc>
          <w:tcPr>
            <w:tcW w:type="dxa" w:w="1039"/>
          </w:tcPr>
          <w:p>
            <w:r/>
            <w:r>
              <w:rPr>
                <w:rFonts w:ascii="宋体" w:hAnsi="宋体" w:eastAsia="宋体"/>
                <w:sz w:val="20"/>
              </w:rPr>
              <w:t>1920x1920/眼</w:t>
            </w:r>
          </w:p>
        </w:tc>
        <w:tc>
          <w:tcPr>
            <w:tcW w:type="dxa" w:w="1039"/>
          </w:tcPr>
          <w:p>
            <w:r/>
            <w:r>
              <w:rPr>
                <w:rFonts w:ascii="宋体" w:hAnsi="宋体" w:eastAsia="宋体"/>
                <w:sz w:val="20"/>
              </w:rPr>
              <w:t>110度</w:t>
            </w:r>
          </w:p>
        </w:tc>
        <w:tc>
          <w:tcPr>
            <w:tcW w:type="dxa" w:w="1039"/>
          </w:tcPr>
          <w:p>
            <w:r/>
            <w:r>
              <w:rPr>
                <w:rFonts w:ascii="宋体" w:hAnsi="宋体" w:eastAsia="宋体"/>
                <w:sz w:val="20"/>
              </w:rPr>
              <w:t>6DoF inside-out</w:t>
            </w:r>
          </w:p>
        </w:tc>
        <w:tc>
          <w:tcPr>
            <w:tcW w:type="dxa" w:w="1039"/>
          </w:tcPr>
          <w:p>
            <w:r/>
            <w:r>
              <w:rPr>
                <w:rFonts w:ascii="宋体" w:hAnsi="宋体" w:eastAsia="宋体"/>
                <w:sz w:val="20"/>
              </w:rPr>
              <w:t>6000-9000元</w:t>
            </w:r>
          </w:p>
        </w:tc>
        <w:tc>
          <w:tcPr>
            <w:tcW w:type="dxa" w:w="1039"/>
          </w:tcPr>
          <w:p>
            <w:r/>
            <w:r>
              <w:rPr>
                <w:rFonts w:ascii="宋体" w:hAnsi="宋体" w:eastAsia="宋体"/>
                <w:sz w:val="20"/>
              </w:rPr>
              <w:t>企业级、轻量化</w:t>
            </w:r>
          </w:p>
        </w:tc>
      </w:tr>
      <w:tr>
        <w:tc>
          <w:tcPr>
            <w:tcW w:type="dxa" w:w="1039"/>
          </w:tcPr>
          <w:p>
            <w:r/>
            <w:r>
              <w:rPr>
                <w:rFonts w:ascii="宋体" w:hAnsi="宋体" w:eastAsia="宋体"/>
                <w:sz w:val="20"/>
              </w:rPr>
              <w:t>Valve Index</w:t>
            </w:r>
          </w:p>
        </w:tc>
        <w:tc>
          <w:tcPr>
            <w:tcW w:type="dxa" w:w="1039"/>
          </w:tcPr>
          <w:p>
            <w:r/>
            <w:r>
              <w:rPr>
                <w:rFonts w:ascii="宋体" w:hAnsi="宋体" w:eastAsia="宋体"/>
                <w:sz w:val="20"/>
              </w:rPr>
              <w:t>Valve</w:t>
            </w:r>
          </w:p>
        </w:tc>
        <w:tc>
          <w:tcPr>
            <w:tcW w:type="dxa" w:w="1039"/>
          </w:tcPr>
          <w:p>
            <w:r/>
            <w:r>
              <w:rPr>
                <w:rFonts w:ascii="宋体" w:hAnsi="宋体" w:eastAsia="宋体"/>
                <w:sz w:val="20"/>
              </w:rPr>
              <w:t>PC VR</w:t>
            </w:r>
          </w:p>
        </w:tc>
        <w:tc>
          <w:tcPr>
            <w:tcW w:type="dxa" w:w="1039"/>
          </w:tcPr>
          <w:p>
            <w:r/>
            <w:r>
              <w:rPr>
                <w:rFonts w:ascii="宋体" w:hAnsi="宋体" w:eastAsia="宋体"/>
                <w:sz w:val="20"/>
              </w:rPr>
              <w:t>1440x1600/眼</w:t>
            </w:r>
          </w:p>
        </w:tc>
        <w:tc>
          <w:tcPr>
            <w:tcW w:type="dxa" w:w="1039"/>
          </w:tcPr>
          <w:p>
            <w:r/>
            <w:r>
              <w:rPr>
                <w:rFonts w:ascii="宋体" w:hAnsi="宋体" w:eastAsia="宋体"/>
                <w:sz w:val="20"/>
              </w:rPr>
              <w:t>130度</w:t>
            </w:r>
          </w:p>
        </w:tc>
        <w:tc>
          <w:tcPr>
            <w:tcW w:type="dxa" w:w="1039"/>
          </w:tcPr>
          <w:p>
            <w:r/>
            <w:r>
              <w:rPr>
                <w:rFonts w:ascii="宋体" w:hAnsi="宋体" w:eastAsia="宋体"/>
                <w:sz w:val="20"/>
              </w:rPr>
              <w:t>6DoF outside-in</w:t>
            </w:r>
          </w:p>
        </w:tc>
        <w:tc>
          <w:tcPr>
            <w:tcW w:type="dxa" w:w="1039"/>
          </w:tcPr>
          <w:p>
            <w:r/>
            <w:r>
              <w:rPr>
                <w:rFonts w:ascii="宋体" w:hAnsi="宋体" w:eastAsia="宋体"/>
                <w:sz w:val="20"/>
              </w:rPr>
              <w:t>8000-12000元</w:t>
            </w:r>
          </w:p>
        </w:tc>
        <w:tc>
          <w:tcPr>
            <w:tcW w:type="dxa" w:w="1039"/>
          </w:tcPr>
          <w:p>
            <w:r/>
            <w:r>
              <w:rPr>
                <w:rFonts w:ascii="宋体" w:hAnsi="宋体" w:eastAsia="宋体"/>
                <w:sz w:val="20"/>
              </w:rPr>
              <w:t>高端PC VR</w:t>
            </w:r>
          </w:p>
        </w:tc>
      </w:tr>
    </w:tbl>
    <w:p/>
    <w:p/>
    <w:p>
      <w:pPr>
        <w:pStyle w:val="Heading3"/>
      </w:pPr>
      <w:r>
        <w:t>B.1.2 全景相机</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设备</w:t>
            </w:r>
          </w:p>
        </w:tc>
        <w:tc>
          <w:tcPr>
            <w:tcW w:type="dxa" w:w="1662"/>
            <w:shd w:fill="D9E2F3" w:val="clear"/>
          </w:tcPr>
          <w:p>
            <w:pPr>
              <w:jc w:val="center"/>
            </w:pPr>
            <w:r/>
            <w:r>
              <w:rPr>
                <w:rFonts w:ascii="黑体" w:hAnsi="黑体" w:eastAsia="黑体"/>
                <w:b/>
                <w:sz w:val="20"/>
              </w:rPr>
              <w:t>分辨率</w:t>
            </w:r>
          </w:p>
        </w:tc>
        <w:tc>
          <w:tcPr>
            <w:tcW w:type="dxa" w:w="1662"/>
            <w:shd w:fill="D9E2F3" w:val="clear"/>
          </w:tcPr>
          <w:p>
            <w:pPr>
              <w:jc w:val="center"/>
            </w:pPr>
            <w:r/>
            <w:r>
              <w:rPr>
                <w:rFonts w:ascii="黑体" w:hAnsi="黑体" w:eastAsia="黑体"/>
                <w:b/>
                <w:sz w:val="20"/>
              </w:rPr>
              <w:t>类型</w:t>
            </w:r>
          </w:p>
        </w:tc>
        <w:tc>
          <w:tcPr>
            <w:tcW w:type="dxa" w:w="1662"/>
            <w:shd w:fill="D9E2F3" w:val="clear"/>
          </w:tcPr>
          <w:p>
            <w:pPr>
              <w:jc w:val="center"/>
            </w:pPr>
            <w:r/>
            <w:r>
              <w:rPr>
                <w:rFonts w:ascii="黑体" w:hAnsi="黑体" w:eastAsia="黑体"/>
                <w:b/>
                <w:sz w:val="20"/>
              </w:rPr>
              <w:t>价格区间</w:t>
            </w:r>
          </w:p>
        </w:tc>
        <w:tc>
          <w:tcPr>
            <w:tcW w:type="dxa" w:w="1662"/>
            <w:shd w:fill="D9E2F3" w:val="clear"/>
          </w:tcPr>
          <w:p>
            <w:pPr>
              <w:jc w:val="center"/>
            </w:pPr>
            <w:r/>
            <w:r>
              <w:rPr>
                <w:rFonts w:ascii="黑体" w:hAnsi="黑体" w:eastAsia="黑体"/>
                <w:b/>
                <w:sz w:val="20"/>
              </w:rPr>
              <w:t>适用场景</w:t>
            </w:r>
          </w:p>
        </w:tc>
      </w:tr>
      <w:tr>
        <w:tc>
          <w:tcPr>
            <w:tcW w:type="dxa" w:w="1662"/>
          </w:tcPr>
          <w:p>
            <w:r/>
            <w:r>
              <w:rPr>
                <w:rFonts w:ascii="宋体" w:hAnsi="宋体" w:eastAsia="宋体"/>
                <w:sz w:val="20"/>
              </w:rPr>
              <w:t>Insta360 X4</w:t>
            </w:r>
          </w:p>
        </w:tc>
        <w:tc>
          <w:tcPr>
            <w:tcW w:type="dxa" w:w="1662"/>
          </w:tcPr>
          <w:p>
            <w:r/>
            <w:r>
              <w:rPr>
                <w:rFonts w:ascii="宋体" w:hAnsi="宋体" w:eastAsia="宋体"/>
                <w:sz w:val="20"/>
              </w:rPr>
              <w:t>8K照片/5.7K视频</w:t>
            </w:r>
          </w:p>
        </w:tc>
        <w:tc>
          <w:tcPr>
            <w:tcW w:type="dxa" w:w="1662"/>
          </w:tcPr>
          <w:p>
            <w:r/>
            <w:r>
              <w:rPr>
                <w:rFonts w:ascii="宋体" w:hAnsi="宋体" w:eastAsia="宋体"/>
                <w:sz w:val="20"/>
              </w:rPr>
              <w:t>消费级</w:t>
            </w:r>
          </w:p>
        </w:tc>
        <w:tc>
          <w:tcPr>
            <w:tcW w:type="dxa" w:w="1662"/>
          </w:tcPr>
          <w:p>
            <w:r/>
            <w:r>
              <w:rPr>
                <w:rFonts w:ascii="宋体" w:hAnsi="宋体" w:eastAsia="宋体"/>
                <w:sz w:val="20"/>
              </w:rPr>
              <w:t>2500-3500元</w:t>
            </w:r>
          </w:p>
        </w:tc>
        <w:tc>
          <w:tcPr>
            <w:tcW w:type="dxa" w:w="1662"/>
          </w:tcPr>
          <w:p>
            <w:r/>
            <w:r>
              <w:rPr>
                <w:rFonts w:ascii="宋体" w:hAnsi="宋体" w:eastAsia="宋体"/>
                <w:sz w:val="20"/>
              </w:rPr>
              <w:t>教育实训、入门级</w:t>
            </w:r>
          </w:p>
        </w:tc>
      </w:tr>
      <w:tr>
        <w:tc>
          <w:tcPr>
            <w:tcW w:type="dxa" w:w="1662"/>
          </w:tcPr>
          <w:p>
            <w:r/>
            <w:r>
              <w:rPr>
                <w:rFonts w:ascii="宋体" w:hAnsi="宋体" w:eastAsia="宋体"/>
                <w:sz w:val="20"/>
              </w:rPr>
              <w:t>Insta360 Pro 2</w:t>
            </w:r>
          </w:p>
        </w:tc>
        <w:tc>
          <w:tcPr>
            <w:tcW w:type="dxa" w:w="1662"/>
          </w:tcPr>
          <w:p>
            <w:r/>
            <w:r>
              <w:rPr>
                <w:rFonts w:ascii="宋体" w:hAnsi="宋体" w:eastAsia="宋体"/>
                <w:sz w:val="20"/>
              </w:rPr>
              <w:t>8K 3D</w:t>
            </w:r>
          </w:p>
        </w:tc>
        <w:tc>
          <w:tcPr>
            <w:tcW w:type="dxa" w:w="1662"/>
          </w:tcPr>
          <w:p>
            <w:r/>
            <w:r>
              <w:rPr>
                <w:rFonts w:ascii="宋体" w:hAnsi="宋体" w:eastAsia="宋体"/>
                <w:sz w:val="20"/>
              </w:rPr>
              <w:t>专业级</w:t>
            </w:r>
          </w:p>
        </w:tc>
        <w:tc>
          <w:tcPr>
            <w:tcW w:type="dxa" w:w="1662"/>
          </w:tcPr>
          <w:p>
            <w:r/>
            <w:r>
              <w:rPr>
                <w:rFonts w:ascii="宋体" w:hAnsi="宋体" w:eastAsia="宋体"/>
                <w:sz w:val="20"/>
              </w:rPr>
              <w:t>20000-30000元</w:t>
            </w:r>
          </w:p>
        </w:tc>
        <w:tc>
          <w:tcPr>
            <w:tcW w:type="dxa" w:w="1662"/>
          </w:tcPr>
          <w:p>
            <w:r/>
            <w:r>
              <w:rPr>
                <w:rFonts w:ascii="宋体" w:hAnsi="宋体" w:eastAsia="宋体"/>
                <w:sz w:val="20"/>
              </w:rPr>
              <w:t>专业全景制作</w:t>
            </w:r>
          </w:p>
        </w:tc>
      </w:tr>
      <w:tr>
        <w:tc>
          <w:tcPr>
            <w:tcW w:type="dxa" w:w="1662"/>
          </w:tcPr>
          <w:p>
            <w:r/>
            <w:r>
              <w:rPr>
                <w:rFonts w:ascii="宋体" w:hAnsi="宋体" w:eastAsia="宋体"/>
                <w:sz w:val="20"/>
              </w:rPr>
              <w:t>Kandao Obsidian Pro</w:t>
            </w:r>
          </w:p>
        </w:tc>
        <w:tc>
          <w:tcPr>
            <w:tcW w:type="dxa" w:w="1662"/>
          </w:tcPr>
          <w:p>
            <w:r/>
            <w:r>
              <w:rPr>
                <w:rFonts w:ascii="宋体" w:hAnsi="宋体" w:eastAsia="宋体"/>
                <w:sz w:val="20"/>
              </w:rPr>
              <w:t>8K 3D</w:t>
            </w:r>
          </w:p>
        </w:tc>
        <w:tc>
          <w:tcPr>
            <w:tcW w:type="dxa" w:w="1662"/>
          </w:tcPr>
          <w:p>
            <w:r/>
            <w:r>
              <w:rPr>
                <w:rFonts w:ascii="宋体" w:hAnsi="宋体" w:eastAsia="宋体"/>
                <w:sz w:val="20"/>
              </w:rPr>
              <w:t>专业级</w:t>
            </w:r>
          </w:p>
        </w:tc>
        <w:tc>
          <w:tcPr>
            <w:tcW w:type="dxa" w:w="1662"/>
          </w:tcPr>
          <w:p>
            <w:r/>
            <w:r>
              <w:rPr>
                <w:rFonts w:ascii="宋体" w:hAnsi="宋体" w:eastAsia="宋体"/>
                <w:sz w:val="20"/>
              </w:rPr>
              <w:t>30000-50000元</w:t>
            </w:r>
          </w:p>
        </w:tc>
        <w:tc>
          <w:tcPr>
            <w:tcW w:type="dxa" w:w="1662"/>
          </w:tcPr>
          <w:p>
            <w:r/>
            <w:r>
              <w:rPr>
                <w:rFonts w:ascii="宋体" w:hAnsi="宋体" w:eastAsia="宋体"/>
                <w:sz w:val="20"/>
              </w:rPr>
              <w:t>高端全景制作</w:t>
            </w:r>
          </w:p>
        </w:tc>
      </w:tr>
      <w:tr>
        <w:tc>
          <w:tcPr>
            <w:tcW w:type="dxa" w:w="1662"/>
          </w:tcPr>
          <w:p>
            <w:r/>
            <w:r>
              <w:rPr>
                <w:rFonts w:ascii="宋体" w:hAnsi="宋体" w:eastAsia="宋体"/>
                <w:sz w:val="20"/>
              </w:rPr>
              <w:t>Ricoh Theta Z1</w:t>
            </w:r>
          </w:p>
        </w:tc>
        <w:tc>
          <w:tcPr>
            <w:tcW w:type="dxa" w:w="1662"/>
          </w:tcPr>
          <w:p>
            <w:r/>
            <w:r>
              <w:rPr>
                <w:rFonts w:ascii="宋体" w:hAnsi="宋体" w:eastAsia="宋体"/>
                <w:sz w:val="20"/>
              </w:rPr>
              <w:t>6K照片</w:t>
            </w:r>
          </w:p>
        </w:tc>
        <w:tc>
          <w:tcPr>
            <w:tcW w:type="dxa" w:w="1662"/>
          </w:tcPr>
          <w:p>
            <w:r/>
            <w:r>
              <w:rPr>
                <w:rFonts w:ascii="宋体" w:hAnsi="宋体" w:eastAsia="宋体"/>
                <w:sz w:val="20"/>
              </w:rPr>
              <w:t>消费级</w:t>
            </w:r>
          </w:p>
        </w:tc>
        <w:tc>
          <w:tcPr>
            <w:tcW w:type="dxa" w:w="1662"/>
          </w:tcPr>
          <w:p>
            <w:r/>
            <w:r>
              <w:rPr>
                <w:rFonts w:ascii="宋体" w:hAnsi="宋体" w:eastAsia="宋体"/>
                <w:sz w:val="20"/>
              </w:rPr>
              <w:t>4000-6000元</w:t>
            </w:r>
          </w:p>
        </w:tc>
        <w:tc>
          <w:tcPr>
            <w:tcW w:type="dxa" w:w="1662"/>
          </w:tcPr>
          <w:p>
            <w:r/>
            <w:r>
              <w:rPr>
                <w:rFonts w:ascii="宋体" w:hAnsi="宋体" w:eastAsia="宋体"/>
                <w:sz w:val="20"/>
              </w:rPr>
              <w:t>全景摄影</w:t>
            </w:r>
          </w:p>
        </w:tc>
      </w:tr>
    </w:tbl>
    <w:p/>
    <w:p/>
    <w:p>
      <w:pPr>
        <w:pStyle w:val="Heading3"/>
      </w:pPr>
      <w:r>
        <w:t>B.1.3 3D 扫描设备</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设备</w:t>
            </w:r>
          </w:p>
        </w:tc>
        <w:tc>
          <w:tcPr>
            <w:tcW w:type="dxa" w:w="1662"/>
            <w:shd w:fill="D9E2F3" w:val="clear"/>
          </w:tcPr>
          <w:p>
            <w:pPr>
              <w:jc w:val="center"/>
            </w:pPr>
            <w:r/>
            <w:r>
              <w:rPr>
                <w:rFonts w:ascii="黑体" w:hAnsi="黑体" w:eastAsia="黑体"/>
                <w:b/>
                <w:sz w:val="20"/>
              </w:rPr>
              <w:t>类型</w:t>
            </w:r>
          </w:p>
        </w:tc>
        <w:tc>
          <w:tcPr>
            <w:tcW w:type="dxa" w:w="1662"/>
            <w:shd w:fill="D9E2F3" w:val="clear"/>
          </w:tcPr>
          <w:p>
            <w:pPr>
              <w:jc w:val="center"/>
            </w:pPr>
            <w:r/>
            <w:r>
              <w:rPr>
                <w:rFonts w:ascii="黑体" w:hAnsi="黑体" w:eastAsia="黑体"/>
                <w:b/>
                <w:sz w:val="20"/>
              </w:rPr>
              <w:t>精度</w:t>
            </w:r>
          </w:p>
        </w:tc>
        <w:tc>
          <w:tcPr>
            <w:tcW w:type="dxa" w:w="1662"/>
            <w:shd w:fill="D9E2F3" w:val="clear"/>
          </w:tcPr>
          <w:p>
            <w:pPr>
              <w:jc w:val="center"/>
            </w:pPr>
            <w:r/>
            <w:r>
              <w:rPr>
                <w:rFonts w:ascii="黑体" w:hAnsi="黑体" w:eastAsia="黑体"/>
                <w:b/>
                <w:sz w:val="20"/>
              </w:rPr>
              <w:t>价格区间</w:t>
            </w:r>
          </w:p>
        </w:tc>
        <w:tc>
          <w:tcPr>
            <w:tcW w:type="dxa" w:w="1662"/>
            <w:shd w:fill="D9E2F3" w:val="clear"/>
          </w:tcPr>
          <w:p>
            <w:pPr>
              <w:jc w:val="center"/>
            </w:pPr>
            <w:r/>
            <w:r>
              <w:rPr>
                <w:rFonts w:ascii="黑体" w:hAnsi="黑体" w:eastAsia="黑体"/>
                <w:b/>
                <w:sz w:val="20"/>
              </w:rPr>
              <w:t>适用场景</w:t>
            </w:r>
          </w:p>
        </w:tc>
      </w:tr>
      <w:tr>
        <w:tc>
          <w:tcPr>
            <w:tcW w:type="dxa" w:w="1662"/>
          </w:tcPr>
          <w:p>
            <w:r/>
            <w:r>
              <w:rPr>
                <w:rFonts w:ascii="宋体" w:hAnsi="宋体" w:eastAsia="宋体"/>
                <w:sz w:val="20"/>
              </w:rPr>
              <w:t>EinScan Pro HD</w:t>
            </w:r>
          </w:p>
        </w:tc>
        <w:tc>
          <w:tcPr>
            <w:tcW w:type="dxa" w:w="1662"/>
          </w:tcPr>
          <w:p>
            <w:r/>
            <w:r>
              <w:rPr>
                <w:rFonts w:ascii="宋体" w:hAnsi="宋体" w:eastAsia="宋体"/>
                <w:sz w:val="20"/>
              </w:rPr>
              <w:t>手持式</w:t>
            </w:r>
          </w:p>
        </w:tc>
        <w:tc>
          <w:tcPr>
            <w:tcW w:type="dxa" w:w="1662"/>
          </w:tcPr>
          <w:p>
            <w:r/>
            <w:r>
              <w:rPr>
                <w:rFonts w:ascii="宋体" w:hAnsi="宋体" w:eastAsia="宋体"/>
                <w:sz w:val="20"/>
              </w:rPr>
              <w:t>0.05mm</w:t>
            </w:r>
          </w:p>
        </w:tc>
        <w:tc>
          <w:tcPr>
            <w:tcW w:type="dxa" w:w="1662"/>
          </w:tcPr>
          <w:p>
            <w:r/>
            <w:r>
              <w:rPr>
                <w:rFonts w:ascii="宋体" w:hAnsi="宋体" w:eastAsia="宋体"/>
                <w:sz w:val="20"/>
              </w:rPr>
              <w:t>20000-40000元</w:t>
            </w:r>
          </w:p>
        </w:tc>
        <w:tc>
          <w:tcPr>
            <w:tcW w:type="dxa" w:w="1662"/>
          </w:tcPr>
          <w:p>
            <w:r/>
            <w:r>
              <w:rPr>
                <w:rFonts w:ascii="宋体" w:hAnsi="宋体" w:eastAsia="宋体"/>
                <w:sz w:val="20"/>
              </w:rPr>
              <w:t>文物扫描、逆向工程</w:t>
            </w:r>
          </w:p>
        </w:tc>
      </w:tr>
      <w:tr>
        <w:tc>
          <w:tcPr>
            <w:tcW w:type="dxa" w:w="1662"/>
          </w:tcPr>
          <w:p>
            <w:r/>
            <w:r>
              <w:rPr>
                <w:rFonts w:ascii="宋体" w:hAnsi="宋体" w:eastAsia="宋体"/>
                <w:sz w:val="20"/>
              </w:rPr>
              <w:t>Artec Eva</w:t>
            </w:r>
          </w:p>
        </w:tc>
        <w:tc>
          <w:tcPr>
            <w:tcW w:type="dxa" w:w="1662"/>
          </w:tcPr>
          <w:p>
            <w:r/>
            <w:r>
              <w:rPr>
                <w:rFonts w:ascii="宋体" w:hAnsi="宋体" w:eastAsia="宋体"/>
                <w:sz w:val="20"/>
              </w:rPr>
              <w:t>手持式</w:t>
            </w:r>
          </w:p>
        </w:tc>
        <w:tc>
          <w:tcPr>
            <w:tcW w:type="dxa" w:w="1662"/>
          </w:tcPr>
          <w:p>
            <w:r/>
            <w:r>
              <w:rPr>
                <w:rFonts w:ascii="宋体" w:hAnsi="宋体" w:eastAsia="宋体"/>
                <w:sz w:val="20"/>
              </w:rPr>
              <w:t>0.1mm</w:t>
            </w:r>
          </w:p>
        </w:tc>
        <w:tc>
          <w:tcPr>
            <w:tcW w:type="dxa" w:w="1662"/>
          </w:tcPr>
          <w:p>
            <w:r/>
            <w:r>
              <w:rPr>
                <w:rFonts w:ascii="宋体" w:hAnsi="宋体" w:eastAsia="宋体"/>
                <w:sz w:val="20"/>
              </w:rPr>
              <w:t>80000-120000元</w:t>
            </w:r>
          </w:p>
        </w:tc>
        <w:tc>
          <w:tcPr>
            <w:tcW w:type="dxa" w:w="1662"/>
          </w:tcPr>
          <w:p>
            <w:r/>
            <w:r>
              <w:rPr>
                <w:rFonts w:ascii="宋体" w:hAnsi="宋体" w:eastAsia="宋体"/>
                <w:sz w:val="20"/>
              </w:rPr>
              <w:t>专业级3D扫描</w:t>
            </w:r>
          </w:p>
        </w:tc>
      </w:tr>
      <w:tr>
        <w:tc>
          <w:tcPr>
            <w:tcW w:type="dxa" w:w="1662"/>
          </w:tcPr>
          <w:p>
            <w:r/>
            <w:r>
              <w:rPr>
                <w:rFonts w:ascii="宋体" w:hAnsi="宋体" w:eastAsia="宋体"/>
                <w:sz w:val="20"/>
              </w:rPr>
              <w:t>Azure Kinect</w:t>
            </w:r>
          </w:p>
        </w:tc>
        <w:tc>
          <w:tcPr>
            <w:tcW w:type="dxa" w:w="1662"/>
          </w:tcPr>
          <w:p>
            <w:r/>
            <w:r>
              <w:rPr>
                <w:rFonts w:ascii="宋体" w:hAnsi="宋体" w:eastAsia="宋体"/>
                <w:sz w:val="20"/>
              </w:rPr>
              <w:t>深度相机</w:t>
            </w:r>
          </w:p>
        </w:tc>
        <w:tc>
          <w:tcPr>
            <w:tcW w:type="dxa" w:w="1662"/>
          </w:tcPr>
          <w:p>
            <w:r/>
            <w:r>
              <w:rPr>
                <w:rFonts w:ascii="宋体" w:hAnsi="宋体" w:eastAsia="宋体"/>
                <w:sz w:val="20"/>
              </w:rPr>
              <w:t>1-3mm</w:t>
            </w:r>
          </w:p>
        </w:tc>
        <w:tc>
          <w:tcPr>
            <w:tcW w:type="dxa" w:w="1662"/>
          </w:tcPr>
          <w:p>
            <w:r/>
            <w:r>
              <w:rPr>
                <w:rFonts w:ascii="宋体" w:hAnsi="宋体" w:eastAsia="宋体"/>
                <w:sz w:val="20"/>
              </w:rPr>
              <w:t>2000-4000元</w:t>
            </w:r>
          </w:p>
        </w:tc>
        <w:tc>
          <w:tcPr>
            <w:tcW w:type="dxa" w:w="1662"/>
          </w:tcPr>
          <w:p>
            <w:r/>
            <w:r>
              <w:rPr>
                <w:rFonts w:ascii="宋体" w:hAnsi="宋体" w:eastAsia="宋体"/>
                <w:sz w:val="20"/>
              </w:rPr>
              <w:t>动作捕捉、深度感知</w:t>
            </w:r>
          </w:p>
        </w:tc>
      </w:tr>
      <w:tr>
        <w:tc>
          <w:tcPr>
            <w:tcW w:type="dxa" w:w="1662"/>
          </w:tcPr>
          <w:p>
            <w:r/>
            <w:r>
              <w:rPr>
                <w:rFonts w:ascii="宋体" w:hAnsi="宋体" w:eastAsia="宋体"/>
                <w:sz w:val="20"/>
              </w:rPr>
              <w:t>iPhone LiDAR</w:t>
            </w:r>
          </w:p>
        </w:tc>
        <w:tc>
          <w:tcPr>
            <w:tcW w:type="dxa" w:w="1662"/>
          </w:tcPr>
          <w:p>
            <w:r/>
            <w:r>
              <w:rPr>
                <w:rFonts w:ascii="宋体" w:hAnsi="宋体" w:eastAsia="宋体"/>
                <w:sz w:val="20"/>
              </w:rPr>
              <w:t>手机内置</w:t>
            </w:r>
          </w:p>
        </w:tc>
        <w:tc>
          <w:tcPr>
            <w:tcW w:type="dxa" w:w="1662"/>
          </w:tcPr>
          <w:p>
            <w:r/>
            <w:r>
              <w:rPr>
                <w:rFonts w:ascii="宋体" w:hAnsi="宋体" w:eastAsia="宋体"/>
                <w:sz w:val="20"/>
              </w:rPr>
              <w:t>1-5cm</w:t>
            </w:r>
          </w:p>
        </w:tc>
        <w:tc>
          <w:tcPr>
            <w:tcW w:type="dxa" w:w="1662"/>
          </w:tcPr>
          <w:p>
            <w:r/>
            <w:r>
              <w:rPr>
                <w:rFonts w:ascii="宋体" w:hAnsi="宋体" w:eastAsia="宋体"/>
                <w:sz w:val="20"/>
              </w:rPr>
              <w:t>手机价格</w:t>
            </w:r>
          </w:p>
        </w:tc>
        <w:tc>
          <w:tcPr>
            <w:tcW w:type="dxa" w:w="1662"/>
          </w:tcPr>
          <w:p>
            <w:r/>
            <w:r>
              <w:rPr>
                <w:rFonts w:ascii="宋体" w:hAnsi="宋体" w:eastAsia="宋体"/>
                <w:sz w:val="20"/>
              </w:rPr>
              <w:t>快速空间扫描</w:t>
            </w:r>
          </w:p>
        </w:tc>
      </w:tr>
    </w:tbl>
    <w:p/>
    <w:p/>
    <w:p>
      <w:pPr>
        <w:pStyle w:val="Heading2"/>
      </w:pPr>
      <w:r>
        <w:t>B.2 软件工具</w:t>
      </w:r>
    </w:p>
    <w:p/>
    <w:p>
      <w:pPr>
        <w:pStyle w:val="Heading3"/>
      </w:pPr>
      <w:r>
        <w:t>B.2.1 3D 建模与动画</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工具</w:t>
            </w:r>
          </w:p>
        </w:tc>
        <w:tc>
          <w:tcPr>
            <w:tcW w:type="dxa" w:w="2078"/>
            <w:shd w:fill="D9E2F3" w:val="clear"/>
          </w:tcPr>
          <w:p>
            <w:pPr>
              <w:jc w:val="center"/>
            </w:pPr>
            <w:r/>
            <w:r>
              <w:rPr>
                <w:rFonts w:ascii="黑体" w:hAnsi="黑体" w:eastAsia="黑体"/>
                <w:b/>
                <w:sz w:val="20"/>
              </w:rPr>
              <w:t>类型</w:t>
            </w:r>
          </w:p>
        </w:tc>
        <w:tc>
          <w:tcPr>
            <w:tcW w:type="dxa" w:w="2078"/>
            <w:shd w:fill="D9E2F3" w:val="clear"/>
          </w:tcPr>
          <w:p>
            <w:pPr>
              <w:jc w:val="center"/>
            </w:pPr>
            <w:r/>
            <w:r>
              <w:rPr>
                <w:rFonts w:ascii="黑体" w:hAnsi="黑体" w:eastAsia="黑体"/>
                <w:b/>
                <w:sz w:val="20"/>
              </w:rPr>
              <w:t>价格</w:t>
            </w:r>
          </w:p>
        </w:tc>
        <w:tc>
          <w:tcPr>
            <w:tcW w:type="dxa" w:w="2078"/>
            <w:shd w:fill="D9E2F3" w:val="clear"/>
          </w:tcPr>
          <w:p>
            <w:pPr>
              <w:jc w:val="center"/>
            </w:pPr>
            <w:r/>
            <w:r>
              <w:rPr>
                <w:rFonts w:ascii="黑体" w:hAnsi="黑体" w:eastAsia="黑体"/>
                <w:b/>
                <w:sz w:val="20"/>
              </w:rPr>
              <w:t>适用场景</w:t>
            </w:r>
          </w:p>
        </w:tc>
      </w:tr>
      <w:tr>
        <w:tc>
          <w:tcPr>
            <w:tcW w:type="dxa" w:w="2078"/>
          </w:tcPr>
          <w:p>
            <w:r/>
            <w:r>
              <w:rPr>
                <w:rFonts w:ascii="宋体" w:hAnsi="宋体" w:eastAsia="宋体"/>
                <w:sz w:val="20"/>
              </w:rPr>
              <w:t>Blender</w:t>
            </w:r>
          </w:p>
        </w:tc>
        <w:tc>
          <w:tcPr>
            <w:tcW w:type="dxa" w:w="2078"/>
          </w:tcPr>
          <w:p>
            <w:r/>
            <w:r>
              <w:rPr>
                <w:rFonts w:ascii="宋体" w:hAnsi="宋体" w:eastAsia="宋体"/>
                <w:sz w:val="20"/>
              </w:rPr>
              <w:t>开源</w:t>
            </w:r>
          </w:p>
        </w:tc>
        <w:tc>
          <w:tcPr>
            <w:tcW w:type="dxa" w:w="2078"/>
          </w:tcPr>
          <w:p>
            <w:r/>
            <w:r>
              <w:rPr>
                <w:rFonts w:ascii="宋体" w:hAnsi="宋体" w:eastAsia="宋体"/>
                <w:sz w:val="20"/>
              </w:rPr>
              <w:t>免费</w:t>
            </w:r>
          </w:p>
        </w:tc>
        <w:tc>
          <w:tcPr>
            <w:tcW w:type="dxa" w:w="2078"/>
          </w:tcPr>
          <w:p>
            <w:r/>
            <w:r>
              <w:rPr>
                <w:rFonts w:ascii="宋体" w:hAnsi="宋体" w:eastAsia="宋体"/>
                <w:sz w:val="20"/>
              </w:rPr>
              <w:t>通用3D建模、动画、UV展开</w:t>
            </w:r>
          </w:p>
        </w:tc>
      </w:tr>
      <w:tr>
        <w:tc>
          <w:tcPr>
            <w:tcW w:type="dxa" w:w="2078"/>
          </w:tcPr>
          <w:p>
            <w:r/>
            <w:r>
              <w:rPr>
                <w:rFonts w:ascii="宋体" w:hAnsi="宋体" w:eastAsia="宋体"/>
                <w:sz w:val="20"/>
              </w:rPr>
              <w:t>Maya</w:t>
            </w:r>
          </w:p>
        </w:tc>
        <w:tc>
          <w:tcPr>
            <w:tcW w:type="dxa" w:w="2078"/>
          </w:tcPr>
          <w:p>
            <w:r/>
            <w:r>
              <w:rPr>
                <w:rFonts w:ascii="宋体" w:hAnsi="宋体" w:eastAsia="宋体"/>
                <w:sz w:val="20"/>
              </w:rPr>
              <w:t>商业</w:t>
            </w:r>
          </w:p>
        </w:tc>
        <w:tc>
          <w:tcPr>
            <w:tcW w:type="dxa" w:w="2078"/>
          </w:tcPr>
          <w:p>
            <w:r/>
            <w:r>
              <w:rPr>
                <w:rFonts w:ascii="宋体" w:hAnsi="宋体" w:eastAsia="宋体"/>
                <w:sz w:val="20"/>
              </w:rPr>
              <w:t>10000元/年</w:t>
            </w:r>
          </w:p>
        </w:tc>
        <w:tc>
          <w:tcPr>
            <w:tcW w:type="dxa" w:w="2078"/>
          </w:tcPr>
          <w:p>
            <w:r/>
            <w:r>
              <w:rPr>
                <w:rFonts w:ascii="宋体" w:hAnsi="宋体" w:eastAsia="宋体"/>
                <w:sz w:val="20"/>
              </w:rPr>
              <w:t>专业角色动画、影视级建模</w:t>
            </w:r>
          </w:p>
        </w:tc>
      </w:tr>
      <w:tr>
        <w:tc>
          <w:tcPr>
            <w:tcW w:type="dxa" w:w="2078"/>
          </w:tcPr>
          <w:p>
            <w:r/>
            <w:r>
              <w:rPr>
                <w:rFonts w:ascii="宋体" w:hAnsi="宋体" w:eastAsia="宋体"/>
                <w:sz w:val="20"/>
              </w:rPr>
              <w:t>3ds Max</w:t>
            </w:r>
          </w:p>
        </w:tc>
        <w:tc>
          <w:tcPr>
            <w:tcW w:type="dxa" w:w="2078"/>
          </w:tcPr>
          <w:p>
            <w:r/>
            <w:r>
              <w:rPr>
                <w:rFonts w:ascii="宋体" w:hAnsi="宋体" w:eastAsia="宋体"/>
                <w:sz w:val="20"/>
              </w:rPr>
              <w:t>商业</w:t>
            </w:r>
          </w:p>
        </w:tc>
        <w:tc>
          <w:tcPr>
            <w:tcW w:type="dxa" w:w="2078"/>
          </w:tcPr>
          <w:p>
            <w:r/>
            <w:r>
              <w:rPr>
                <w:rFonts w:ascii="宋体" w:hAnsi="宋体" w:eastAsia="宋体"/>
                <w:sz w:val="20"/>
              </w:rPr>
              <w:t>10000元/年</w:t>
            </w:r>
          </w:p>
        </w:tc>
        <w:tc>
          <w:tcPr>
            <w:tcW w:type="dxa" w:w="2078"/>
          </w:tcPr>
          <w:p>
            <w:r/>
            <w:r>
              <w:rPr>
                <w:rFonts w:ascii="宋体" w:hAnsi="宋体" w:eastAsia="宋体"/>
                <w:sz w:val="20"/>
              </w:rPr>
              <w:t>建筑、环境建模</w:t>
            </w:r>
          </w:p>
        </w:tc>
      </w:tr>
      <w:tr>
        <w:tc>
          <w:tcPr>
            <w:tcW w:type="dxa" w:w="2078"/>
          </w:tcPr>
          <w:p>
            <w:r/>
            <w:r>
              <w:rPr>
                <w:rFonts w:ascii="宋体" w:hAnsi="宋体" w:eastAsia="宋体"/>
                <w:sz w:val="20"/>
              </w:rPr>
              <w:t>ZBrush</w:t>
            </w:r>
          </w:p>
        </w:tc>
        <w:tc>
          <w:tcPr>
            <w:tcW w:type="dxa" w:w="2078"/>
          </w:tcPr>
          <w:p>
            <w:r/>
            <w:r>
              <w:rPr>
                <w:rFonts w:ascii="宋体" w:hAnsi="宋体" w:eastAsia="宋体"/>
                <w:sz w:val="20"/>
              </w:rPr>
              <w:t>商业</w:t>
            </w:r>
          </w:p>
        </w:tc>
        <w:tc>
          <w:tcPr>
            <w:tcW w:type="dxa" w:w="2078"/>
          </w:tcPr>
          <w:p>
            <w:r/>
            <w:r>
              <w:rPr>
                <w:rFonts w:ascii="宋体" w:hAnsi="宋体" w:eastAsia="宋体"/>
                <w:sz w:val="20"/>
              </w:rPr>
              <w:t>6000元/年</w:t>
            </w:r>
          </w:p>
        </w:tc>
        <w:tc>
          <w:tcPr>
            <w:tcW w:type="dxa" w:w="2078"/>
          </w:tcPr>
          <w:p>
            <w:r/>
            <w:r>
              <w:rPr>
                <w:rFonts w:ascii="宋体" w:hAnsi="宋体" w:eastAsia="宋体"/>
                <w:sz w:val="20"/>
              </w:rPr>
              <w:t>高精度数字雕刻</w:t>
            </w:r>
          </w:p>
        </w:tc>
      </w:tr>
      <w:tr>
        <w:tc>
          <w:tcPr>
            <w:tcW w:type="dxa" w:w="2078"/>
          </w:tcPr>
          <w:p>
            <w:r/>
            <w:r>
              <w:rPr>
                <w:rFonts w:ascii="宋体" w:hAnsi="宋体" w:eastAsia="宋体"/>
                <w:sz w:val="20"/>
              </w:rPr>
              <w:t>Substance Painter</w:t>
            </w:r>
          </w:p>
        </w:tc>
        <w:tc>
          <w:tcPr>
            <w:tcW w:type="dxa" w:w="2078"/>
          </w:tcPr>
          <w:p>
            <w:r/>
            <w:r>
              <w:rPr>
                <w:rFonts w:ascii="宋体" w:hAnsi="宋体" w:eastAsia="宋体"/>
                <w:sz w:val="20"/>
              </w:rPr>
              <w:t>商业</w:t>
            </w:r>
          </w:p>
        </w:tc>
        <w:tc>
          <w:tcPr>
            <w:tcW w:type="dxa" w:w="2078"/>
          </w:tcPr>
          <w:p>
            <w:r/>
            <w:r>
              <w:rPr>
                <w:rFonts w:ascii="宋体" w:hAnsi="宋体" w:eastAsia="宋体"/>
                <w:sz w:val="20"/>
              </w:rPr>
              <w:t>3000元/年</w:t>
            </w:r>
          </w:p>
        </w:tc>
        <w:tc>
          <w:tcPr>
            <w:tcW w:type="dxa" w:w="2078"/>
          </w:tcPr>
          <w:p>
            <w:r/>
            <w:r>
              <w:rPr>
                <w:rFonts w:ascii="宋体" w:hAnsi="宋体" w:eastAsia="宋体"/>
                <w:sz w:val="20"/>
              </w:rPr>
              <w:t>PBR纹理绘制</w:t>
            </w:r>
          </w:p>
        </w:tc>
      </w:tr>
      <w:tr>
        <w:tc>
          <w:tcPr>
            <w:tcW w:type="dxa" w:w="2078"/>
          </w:tcPr>
          <w:p>
            <w:r/>
            <w:r>
              <w:rPr>
                <w:rFonts w:ascii="宋体" w:hAnsi="宋体" w:eastAsia="宋体"/>
                <w:sz w:val="20"/>
              </w:rPr>
              <w:t>Houdini</w:t>
            </w:r>
          </w:p>
        </w:tc>
        <w:tc>
          <w:tcPr>
            <w:tcW w:type="dxa" w:w="2078"/>
          </w:tcPr>
          <w:p>
            <w:r/>
            <w:r>
              <w:rPr>
                <w:rFonts w:ascii="宋体" w:hAnsi="宋体" w:eastAsia="宋体"/>
                <w:sz w:val="20"/>
              </w:rPr>
              <w:t>商业</w:t>
            </w:r>
          </w:p>
        </w:tc>
        <w:tc>
          <w:tcPr>
            <w:tcW w:type="dxa" w:w="2078"/>
          </w:tcPr>
          <w:p>
            <w:r/>
            <w:r>
              <w:rPr>
                <w:rFonts w:ascii="宋体" w:hAnsi="宋体" w:eastAsia="宋体"/>
                <w:sz w:val="20"/>
              </w:rPr>
              <w:t>5000-30000元/年</w:t>
            </w:r>
          </w:p>
        </w:tc>
        <w:tc>
          <w:tcPr>
            <w:tcW w:type="dxa" w:w="2078"/>
          </w:tcPr>
          <w:p>
            <w:r/>
            <w:r>
              <w:rPr>
                <w:rFonts w:ascii="宋体" w:hAnsi="宋体" w:eastAsia="宋体"/>
                <w:sz w:val="20"/>
              </w:rPr>
              <w:t>程序化生成、特效</w:t>
            </w:r>
          </w:p>
        </w:tc>
      </w:tr>
      <w:tr>
        <w:tc>
          <w:tcPr>
            <w:tcW w:type="dxa" w:w="2078"/>
          </w:tcPr>
          <w:p>
            <w:r/>
            <w:r>
              <w:rPr>
                <w:rFonts w:ascii="宋体" w:hAnsi="宋体" w:eastAsia="宋体"/>
                <w:sz w:val="20"/>
              </w:rPr>
              <w:t>RealityCapture</w:t>
            </w:r>
          </w:p>
        </w:tc>
        <w:tc>
          <w:tcPr>
            <w:tcW w:type="dxa" w:w="2078"/>
          </w:tcPr>
          <w:p>
            <w:r/>
            <w:r>
              <w:rPr>
                <w:rFonts w:ascii="宋体" w:hAnsi="宋体" w:eastAsia="宋体"/>
                <w:sz w:val="20"/>
              </w:rPr>
              <w:t>商业</w:t>
            </w:r>
          </w:p>
        </w:tc>
        <w:tc>
          <w:tcPr>
            <w:tcW w:type="dxa" w:w="2078"/>
          </w:tcPr>
          <w:p>
            <w:r/>
            <w:r>
              <w:rPr>
                <w:rFonts w:ascii="宋体" w:hAnsi="宋体" w:eastAsia="宋体"/>
                <w:sz w:val="20"/>
              </w:rPr>
              <w:t>3000-15000元/年</w:t>
            </w:r>
          </w:p>
        </w:tc>
        <w:tc>
          <w:tcPr>
            <w:tcW w:type="dxa" w:w="2078"/>
          </w:tcPr>
          <w:p>
            <w:r/>
            <w:r>
              <w:rPr>
                <w:rFonts w:ascii="宋体" w:hAnsi="宋体" w:eastAsia="宋体"/>
                <w:sz w:val="20"/>
              </w:rPr>
              <w:t>摄影测量3D重建</w:t>
            </w:r>
          </w:p>
        </w:tc>
      </w:tr>
    </w:tbl>
    <w:p/>
    <w:p/>
    <w:p>
      <w:pPr>
        <w:pStyle w:val="Heading3"/>
      </w:pPr>
      <w:r>
        <w:t>B.2.2 引擎与开发框架</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工具</w:t>
            </w:r>
          </w:p>
        </w:tc>
        <w:tc>
          <w:tcPr>
            <w:tcW w:type="dxa" w:w="2078"/>
            <w:shd w:fill="D9E2F3" w:val="clear"/>
          </w:tcPr>
          <w:p>
            <w:pPr>
              <w:jc w:val="center"/>
            </w:pPr>
            <w:r/>
            <w:r>
              <w:rPr>
                <w:rFonts w:ascii="黑体" w:hAnsi="黑体" w:eastAsia="黑体"/>
                <w:b/>
                <w:sz w:val="20"/>
              </w:rPr>
              <w:t>类型</w:t>
            </w:r>
          </w:p>
        </w:tc>
        <w:tc>
          <w:tcPr>
            <w:tcW w:type="dxa" w:w="2078"/>
            <w:shd w:fill="D9E2F3" w:val="clear"/>
          </w:tcPr>
          <w:p>
            <w:pPr>
              <w:jc w:val="center"/>
            </w:pPr>
            <w:r/>
            <w:r>
              <w:rPr>
                <w:rFonts w:ascii="黑体" w:hAnsi="黑体" w:eastAsia="黑体"/>
                <w:b/>
                <w:sz w:val="20"/>
              </w:rPr>
              <w:t>价格</w:t>
            </w:r>
          </w:p>
        </w:tc>
        <w:tc>
          <w:tcPr>
            <w:tcW w:type="dxa" w:w="2078"/>
            <w:shd w:fill="D9E2F3" w:val="clear"/>
          </w:tcPr>
          <w:p>
            <w:pPr>
              <w:jc w:val="center"/>
            </w:pPr>
            <w:r/>
            <w:r>
              <w:rPr>
                <w:rFonts w:ascii="黑体" w:hAnsi="黑体" w:eastAsia="黑体"/>
                <w:b/>
                <w:sz w:val="20"/>
              </w:rPr>
              <w:t>适用场景</w:t>
            </w:r>
          </w:p>
        </w:tc>
      </w:tr>
      <w:tr>
        <w:tc>
          <w:tcPr>
            <w:tcW w:type="dxa" w:w="2078"/>
          </w:tcPr>
          <w:p>
            <w:r/>
            <w:r>
              <w:rPr>
                <w:rFonts w:ascii="宋体" w:hAnsi="宋体" w:eastAsia="宋体"/>
                <w:sz w:val="20"/>
              </w:rPr>
              <w:t>Unity</w:t>
            </w:r>
          </w:p>
        </w:tc>
        <w:tc>
          <w:tcPr>
            <w:tcW w:type="dxa" w:w="2078"/>
          </w:tcPr>
          <w:p>
            <w:r/>
            <w:r>
              <w:rPr>
                <w:rFonts w:ascii="宋体" w:hAnsi="宋体" w:eastAsia="宋体"/>
                <w:sz w:val="20"/>
              </w:rPr>
              <w:t>商业</w:t>
            </w:r>
          </w:p>
        </w:tc>
        <w:tc>
          <w:tcPr>
            <w:tcW w:type="dxa" w:w="2078"/>
          </w:tcPr>
          <w:p>
            <w:r/>
            <w:r>
              <w:rPr>
                <w:rFonts w:ascii="宋体" w:hAnsi="宋体" w:eastAsia="宋体"/>
                <w:sz w:val="20"/>
              </w:rPr>
              <w:t>免费(个人)/1500元/年(Pro)</w:t>
            </w:r>
          </w:p>
        </w:tc>
        <w:tc>
          <w:tcPr>
            <w:tcW w:type="dxa" w:w="2078"/>
          </w:tcPr>
          <w:p>
            <w:r/>
            <w:r>
              <w:rPr>
                <w:rFonts w:ascii="宋体" w:hAnsi="宋体" w:eastAsia="宋体"/>
                <w:sz w:val="20"/>
              </w:rPr>
              <w:t>VR/AR/移动游戏开发</w:t>
            </w:r>
          </w:p>
        </w:tc>
      </w:tr>
      <w:tr>
        <w:tc>
          <w:tcPr>
            <w:tcW w:type="dxa" w:w="2078"/>
          </w:tcPr>
          <w:p>
            <w:r/>
            <w:r>
              <w:rPr>
                <w:rFonts w:ascii="宋体" w:hAnsi="宋体" w:eastAsia="宋体"/>
                <w:sz w:val="20"/>
              </w:rPr>
              <w:t>Unreal Engine 5</w:t>
            </w:r>
          </w:p>
        </w:tc>
        <w:tc>
          <w:tcPr>
            <w:tcW w:type="dxa" w:w="2078"/>
          </w:tcPr>
          <w:p>
            <w:r/>
            <w:r>
              <w:rPr>
                <w:rFonts w:ascii="宋体" w:hAnsi="宋体" w:eastAsia="宋体"/>
                <w:sz w:val="20"/>
              </w:rPr>
              <w:t>商业</w:t>
            </w:r>
          </w:p>
        </w:tc>
        <w:tc>
          <w:tcPr>
            <w:tcW w:type="dxa" w:w="2078"/>
          </w:tcPr>
          <w:p>
            <w:r/>
            <w:r>
              <w:rPr>
                <w:rFonts w:ascii="宋体" w:hAnsi="宋体" w:eastAsia="宋体"/>
                <w:sz w:val="20"/>
              </w:rPr>
              <w:t>免费(收入分成)</w:t>
            </w:r>
          </w:p>
        </w:tc>
        <w:tc>
          <w:tcPr>
            <w:tcW w:type="dxa" w:w="2078"/>
          </w:tcPr>
          <w:p>
            <w:r/>
            <w:r>
              <w:rPr>
                <w:rFonts w:ascii="宋体" w:hAnsi="宋体" w:eastAsia="宋体"/>
                <w:sz w:val="20"/>
              </w:rPr>
              <w:t>高画质VR/游戏开发</w:t>
            </w:r>
          </w:p>
        </w:tc>
      </w:tr>
      <w:tr>
        <w:tc>
          <w:tcPr>
            <w:tcW w:type="dxa" w:w="2078"/>
          </w:tcPr>
          <w:p>
            <w:r/>
            <w:r>
              <w:rPr>
                <w:rFonts w:ascii="宋体" w:hAnsi="宋体" w:eastAsia="宋体"/>
                <w:sz w:val="20"/>
              </w:rPr>
              <w:t>Three.js</w:t>
            </w:r>
          </w:p>
        </w:tc>
        <w:tc>
          <w:tcPr>
            <w:tcW w:type="dxa" w:w="2078"/>
          </w:tcPr>
          <w:p>
            <w:r/>
            <w:r>
              <w:rPr>
                <w:rFonts w:ascii="宋体" w:hAnsi="宋体" w:eastAsia="宋体"/>
                <w:sz w:val="20"/>
              </w:rPr>
              <w:t>开源</w:t>
            </w:r>
          </w:p>
        </w:tc>
        <w:tc>
          <w:tcPr>
            <w:tcW w:type="dxa" w:w="2078"/>
          </w:tcPr>
          <w:p>
            <w:r/>
            <w:r>
              <w:rPr>
                <w:rFonts w:ascii="宋体" w:hAnsi="宋体" w:eastAsia="宋体"/>
                <w:sz w:val="20"/>
              </w:rPr>
              <w:t>免费</w:t>
            </w:r>
          </w:p>
        </w:tc>
        <w:tc>
          <w:tcPr>
            <w:tcW w:type="dxa" w:w="2078"/>
          </w:tcPr>
          <w:p>
            <w:r/>
            <w:r>
              <w:rPr>
                <w:rFonts w:ascii="宋体" w:hAnsi="宋体" w:eastAsia="宋体"/>
                <w:sz w:val="20"/>
              </w:rPr>
              <w:t>Web 3D开发</w:t>
            </w:r>
          </w:p>
        </w:tc>
      </w:tr>
      <w:tr>
        <w:tc>
          <w:tcPr>
            <w:tcW w:type="dxa" w:w="2078"/>
          </w:tcPr>
          <w:p>
            <w:r/>
            <w:r>
              <w:rPr>
                <w:rFonts w:ascii="宋体" w:hAnsi="宋体" w:eastAsia="宋体"/>
                <w:sz w:val="20"/>
              </w:rPr>
              <w:t>A-Frame</w:t>
            </w:r>
          </w:p>
        </w:tc>
        <w:tc>
          <w:tcPr>
            <w:tcW w:type="dxa" w:w="2078"/>
          </w:tcPr>
          <w:p>
            <w:r/>
            <w:r>
              <w:rPr>
                <w:rFonts w:ascii="宋体" w:hAnsi="宋体" w:eastAsia="宋体"/>
                <w:sz w:val="20"/>
              </w:rPr>
              <w:t>开源</w:t>
            </w:r>
          </w:p>
        </w:tc>
        <w:tc>
          <w:tcPr>
            <w:tcW w:type="dxa" w:w="2078"/>
          </w:tcPr>
          <w:p>
            <w:r/>
            <w:r>
              <w:rPr>
                <w:rFonts w:ascii="宋体" w:hAnsi="宋体" w:eastAsia="宋体"/>
                <w:sz w:val="20"/>
              </w:rPr>
              <w:t>免费</w:t>
            </w:r>
          </w:p>
        </w:tc>
        <w:tc>
          <w:tcPr>
            <w:tcW w:type="dxa" w:w="2078"/>
          </w:tcPr>
          <w:p>
            <w:r/>
            <w:r>
              <w:rPr>
                <w:rFonts w:ascii="宋体" w:hAnsi="宋体" w:eastAsia="宋体"/>
                <w:sz w:val="20"/>
              </w:rPr>
              <w:t>WebVR快速开发</w:t>
            </w:r>
          </w:p>
        </w:tc>
      </w:tr>
      <w:tr>
        <w:tc>
          <w:tcPr>
            <w:tcW w:type="dxa" w:w="2078"/>
          </w:tcPr>
          <w:p>
            <w:r/>
            <w:r>
              <w:rPr>
                <w:rFonts w:ascii="宋体" w:hAnsi="宋体" w:eastAsia="宋体"/>
                <w:sz w:val="20"/>
              </w:rPr>
              <w:t>PlayCanvas</w:t>
            </w:r>
          </w:p>
        </w:tc>
        <w:tc>
          <w:tcPr>
            <w:tcW w:type="dxa" w:w="2078"/>
          </w:tcPr>
          <w:p>
            <w:r/>
            <w:r>
              <w:rPr>
                <w:rFonts w:ascii="宋体" w:hAnsi="宋体" w:eastAsia="宋体"/>
                <w:sz w:val="20"/>
              </w:rPr>
              <w:t>开源</w:t>
            </w:r>
          </w:p>
        </w:tc>
        <w:tc>
          <w:tcPr>
            <w:tcW w:type="dxa" w:w="2078"/>
          </w:tcPr>
          <w:p>
            <w:r/>
            <w:r>
              <w:rPr>
                <w:rFonts w:ascii="宋体" w:hAnsi="宋体" w:eastAsia="宋体"/>
                <w:sz w:val="20"/>
              </w:rPr>
              <w:t>免费/订阅</w:t>
            </w:r>
          </w:p>
        </w:tc>
        <w:tc>
          <w:tcPr>
            <w:tcW w:type="dxa" w:w="2078"/>
          </w:tcPr>
          <w:p>
            <w:r/>
            <w:r>
              <w:rPr>
                <w:rFonts w:ascii="宋体" w:hAnsi="宋体" w:eastAsia="宋体"/>
                <w:sz w:val="20"/>
              </w:rPr>
              <w:t>轻量级Web 3D</w:t>
            </w:r>
          </w:p>
        </w:tc>
      </w:tr>
    </w:tbl>
    <w:p/>
    <w:p/>
    <w:p>
      <w:pPr>
        <w:pStyle w:val="Heading3"/>
      </w:pPr>
      <w:r>
        <w:t>B.2.3 全景拼接与后期</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工具</w:t>
            </w:r>
          </w:p>
        </w:tc>
        <w:tc>
          <w:tcPr>
            <w:tcW w:type="dxa" w:w="2078"/>
            <w:shd w:fill="D9E2F3" w:val="clear"/>
          </w:tcPr>
          <w:p>
            <w:pPr>
              <w:jc w:val="center"/>
            </w:pPr>
            <w:r/>
            <w:r>
              <w:rPr>
                <w:rFonts w:ascii="黑体" w:hAnsi="黑体" w:eastAsia="黑体"/>
                <w:b/>
                <w:sz w:val="20"/>
              </w:rPr>
              <w:t>类型</w:t>
            </w:r>
          </w:p>
        </w:tc>
        <w:tc>
          <w:tcPr>
            <w:tcW w:type="dxa" w:w="2078"/>
            <w:shd w:fill="D9E2F3" w:val="clear"/>
          </w:tcPr>
          <w:p>
            <w:pPr>
              <w:jc w:val="center"/>
            </w:pPr>
            <w:r/>
            <w:r>
              <w:rPr>
                <w:rFonts w:ascii="黑体" w:hAnsi="黑体" w:eastAsia="黑体"/>
                <w:b/>
                <w:sz w:val="20"/>
              </w:rPr>
              <w:t>价格</w:t>
            </w:r>
          </w:p>
        </w:tc>
        <w:tc>
          <w:tcPr>
            <w:tcW w:type="dxa" w:w="2078"/>
            <w:shd w:fill="D9E2F3" w:val="clear"/>
          </w:tcPr>
          <w:p>
            <w:pPr>
              <w:jc w:val="center"/>
            </w:pPr>
            <w:r/>
            <w:r>
              <w:rPr>
                <w:rFonts w:ascii="黑体" w:hAnsi="黑体" w:eastAsia="黑体"/>
                <w:b/>
                <w:sz w:val="20"/>
              </w:rPr>
              <w:t>适用场景</w:t>
            </w:r>
          </w:p>
        </w:tc>
      </w:tr>
      <w:tr>
        <w:tc>
          <w:tcPr>
            <w:tcW w:type="dxa" w:w="2078"/>
          </w:tcPr>
          <w:p>
            <w:r/>
            <w:r>
              <w:rPr>
                <w:rFonts w:ascii="宋体" w:hAnsi="宋体" w:eastAsia="宋体"/>
                <w:sz w:val="20"/>
              </w:rPr>
              <w:t>PTGui Pro</w:t>
            </w:r>
          </w:p>
        </w:tc>
        <w:tc>
          <w:tcPr>
            <w:tcW w:type="dxa" w:w="2078"/>
          </w:tcPr>
          <w:p>
            <w:r/>
            <w:r>
              <w:rPr>
                <w:rFonts w:ascii="宋体" w:hAnsi="宋体" w:eastAsia="宋体"/>
                <w:sz w:val="20"/>
              </w:rPr>
              <w:t>商业</w:t>
            </w:r>
          </w:p>
        </w:tc>
        <w:tc>
          <w:tcPr>
            <w:tcW w:type="dxa" w:w="2078"/>
          </w:tcPr>
          <w:p>
            <w:r/>
            <w:r>
              <w:rPr>
                <w:rFonts w:ascii="宋体" w:hAnsi="宋体" w:eastAsia="宋体"/>
                <w:sz w:val="20"/>
              </w:rPr>
              <w:t>2000元(买断)</w:t>
            </w:r>
          </w:p>
        </w:tc>
        <w:tc>
          <w:tcPr>
            <w:tcW w:type="dxa" w:w="2078"/>
          </w:tcPr>
          <w:p>
            <w:r/>
            <w:r>
              <w:rPr>
                <w:rFonts w:ascii="宋体" w:hAnsi="宋体" w:eastAsia="宋体"/>
                <w:sz w:val="20"/>
              </w:rPr>
              <w:t>专业全景拼接</w:t>
            </w:r>
          </w:p>
        </w:tc>
      </w:tr>
      <w:tr>
        <w:tc>
          <w:tcPr>
            <w:tcW w:type="dxa" w:w="2078"/>
          </w:tcPr>
          <w:p>
            <w:r/>
            <w:r>
              <w:rPr>
                <w:rFonts w:ascii="宋体" w:hAnsi="宋体" w:eastAsia="宋体"/>
                <w:sz w:val="20"/>
              </w:rPr>
              <w:t>Insta360 Studio</w:t>
            </w:r>
          </w:p>
        </w:tc>
        <w:tc>
          <w:tcPr>
            <w:tcW w:type="dxa" w:w="2078"/>
          </w:tcPr>
          <w:p>
            <w:r/>
            <w:r>
              <w:rPr>
                <w:rFonts w:ascii="宋体" w:hAnsi="宋体" w:eastAsia="宋体"/>
                <w:sz w:val="20"/>
              </w:rPr>
              <w:t>免费</w:t>
            </w:r>
          </w:p>
        </w:tc>
        <w:tc>
          <w:tcPr>
            <w:tcW w:type="dxa" w:w="2078"/>
          </w:tcPr>
          <w:p>
            <w:r/>
            <w:r>
              <w:rPr>
                <w:rFonts w:ascii="宋体" w:hAnsi="宋体" w:eastAsia="宋体"/>
                <w:sz w:val="20"/>
              </w:rPr>
              <w:t>免费</w:t>
            </w:r>
          </w:p>
        </w:tc>
        <w:tc>
          <w:tcPr>
            <w:tcW w:type="dxa" w:w="2078"/>
          </w:tcPr>
          <w:p>
            <w:r/>
            <w:r>
              <w:rPr>
                <w:rFonts w:ascii="宋体" w:hAnsi="宋体" w:eastAsia="宋体"/>
                <w:sz w:val="20"/>
              </w:rPr>
              <w:t>Insta360相机全景处理</w:t>
            </w:r>
          </w:p>
        </w:tc>
      </w:tr>
      <w:tr>
        <w:tc>
          <w:tcPr>
            <w:tcW w:type="dxa" w:w="2078"/>
          </w:tcPr>
          <w:p>
            <w:r/>
            <w:r>
              <w:rPr>
                <w:rFonts w:ascii="宋体" w:hAnsi="宋体" w:eastAsia="宋体"/>
                <w:sz w:val="20"/>
              </w:rPr>
              <w:t>Adobe Lightroom</w:t>
            </w:r>
          </w:p>
        </w:tc>
        <w:tc>
          <w:tcPr>
            <w:tcW w:type="dxa" w:w="2078"/>
          </w:tcPr>
          <w:p>
            <w:r/>
            <w:r>
              <w:rPr>
                <w:rFonts w:ascii="宋体" w:hAnsi="宋体" w:eastAsia="宋体"/>
                <w:sz w:val="20"/>
              </w:rPr>
              <w:t>商业</w:t>
            </w:r>
          </w:p>
        </w:tc>
        <w:tc>
          <w:tcPr>
            <w:tcW w:type="dxa" w:w="2078"/>
          </w:tcPr>
          <w:p>
            <w:r/>
            <w:r>
              <w:rPr>
                <w:rFonts w:ascii="宋体" w:hAnsi="宋体" w:eastAsia="宋体"/>
                <w:sz w:val="20"/>
              </w:rPr>
              <w:t>800元/年</w:t>
            </w:r>
          </w:p>
        </w:tc>
        <w:tc>
          <w:tcPr>
            <w:tcW w:type="dxa" w:w="2078"/>
          </w:tcPr>
          <w:p>
            <w:r/>
            <w:r>
              <w:rPr>
                <w:rFonts w:ascii="宋体" w:hAnsi="宋体" w:eastAsia="宋体"/>
                <w:sz w:val="20"/>
              </w:rPr>
              <w:t>全景调色、曝光修正</w:t>
            </w:r>
          </w:p>
        </w:tc>
      </w:tr>
      <w:tr>
        <w:tc>
          <w:tcPr>
            <w:tcW w:type="dxa" w:w="2078"/>
          </w:tcPr>
          <w:p>
            <w:r/>
            <w:r>
              <w:rPr>
                <w:rFonts w:ascii="宋体" w:hAnsi="宋体" w:eastAsia="宋体"/>
                <w:sz w:val="20"/>
              </w:rPr>
              <w:t>Adobe Photoshop</w:t>
            </w:r>
          </w:p>
        </w:tc>
        <w:tc>
          <w:tcPr>
            <w:tcW w:type="dxa" w:w="2078"/>
          </w:tcPr>
          <w:p>
            <w:r/>
            <w:r>
              <w:rPr>
                <w:rFonts w:ascii="宋体" w:hAnsi="宋体" w:eastAsia="宋体"/>
                <w:sz w:val="20"/>
              </w:rPr>
              <w:t>商业</w:t>
            </w:r>
          </w:p>
        </w:tc>
        <w:tc>
          <w:tcPr>
            <w:tcW w:type="dxa" w:w="2078"/>
          </w:tcPr>
          <w:p>
            <w:r/>
            <w:r>
              <w:rPr>
                <w:rFonts w:ascii="宋体" w:hAnsi="宋体" w:eastAsia="宋体"/>
                <w:sz w:val="20"/>
              </w:rPr>
              <w:t>800元/年</w:t>
            </w:r>
          </w:p>
        </w:tc>
        <w:tc>
          <w:tcPr>
            <w:tcW w:type="dxa" w:w="2078"/>
          </w:tcPr>
          <w:p>
            <w:r/>
            <w:r>
              <w:rPr>
                <w:rFonts w:ascii="宋体" w:hAnsi="宋体" w:eastAsia="宋体"/>
                <w:sz w:val="20"/>
              </w:rPr>
              <w:t>拼接缝修复、局部调整</w:t>
            </w:r>
          </w:p>
        </w:tc>
      </w:tr>
      <w:tr>
        <w:tc>
          <w:tcPr>
            <w:tcW w:type="dxa" w:w="2078"/>
          </w:tcPr>
          <w:p>
            <w:r/>
            <w:r>
              <w:rPr>
                <w:rFonts w:ascii="宋体" w:hAnsi="宋体" w:eastAsia="宋体"/>
                <w:sz w:val="20"/>
              </w:rPr>
              <w:t>Kolor Autopano</w:t>
            </w:r>
          </w:p>
        </w:tc>
        <w:tc>
          <w:tcPr>
            <w:tcW w:type="dxa" w:w="2078"/>
          </w:tcPr>
          <w:p>
            <w:r/>
            <w:r>
              <w:rPr>
                <w:rFonts w:ascii="宋体" w:hAnsi="宋体" w:eastAsia="宋体"/>
                <w:sz w:val="20"/>
              </w:rPr>
              <w:t>商业</w:t>
            </w:r>
          </w:p>
        </w:tc>
        <w:tc>
          <w:tcPr>
            <w:tcW w:type="dxa" w:w="2078"/>
          </w:tcPr>
          <w:p>
            <w:r/>
            <w:r>
              <w:rPr>
                <w:rFonts w:ascii="宋体" w:hAnsi="宋体" w:eastAsia="宋体"/>
                <w:sz w:val="20"/>
              </w:rPr>
              <w:t>已停更</w:t>
            </w:r>
          </w:p>
        </w:tc>
        <w:tc>
          <w:tcPr>
            <w:tcW w:type="dxa" w:w="2078"/>
          </w:tcPr>
          <w:p>
            <w:r/>
            <w:r>
              <w:rPr>
                <w:rFonts w:ascii="宋体" w:hAnsi="宋体" w:eastAsia="宋体"/>
                <w:sz w:val="20"/>
              </w:rPr>
              <w:t>多相机全景拼接(替代:PTGui)</w:t>
            </w:r>
          </w:p>
        </w:tc>
      </w:tr>
    </w:tbl>
    <w:p/>
    <w:p/>
    <w:p>
      <w:pPr>
        <w:pStyle w:val="Heading3"/>
      </w:pPr>
      <w:r>
        <w:t>B.2.4 音频工具</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工具</w:t>
            </w:r>
          </w:p>
        </w:tc>
        <w:tc>
          <w:tcPr>
            <w:tcW w:type="dxa" w:w="2078"/>
            <w:shd w:fill="D9E2F3" w:val="clear"/>
          </w:tcPr>
          <w:p>
            <w:pPr>
              <w:jc w:val="center"/>
            </w:pPr>
            <w:r/>
            <w:r>
              <w:rPr>
                <w:rFonts w:ascii="黑体" w:hAnsi="黑体" w:eastAsia="黑体"/>
                <w:b/>
                <w:sz w:val="20"/>
              </w:rPr>
              <w:t>类型</w:t>
            </w:r>
          </w:p>
        </w:tc>
        <w:tc>
          <w:tcPr>
            <w:tcW w:type="dxa" w:w="2078"/>
            <w:shd w:fill="D9E2F3" w:val="clear"/>
          </w:tcPr>
          <w:p>
            <w:pPr>
              <w:jc w:val="center"/>
            </w:pPr>
            <w:r/>
            <w:r>
              <w:rPr>
                <w:rFonts w:ascii="黑体" w:hAnsi="黑体" w:eastAsia="黑体"/>
                <w:b/>
                <w:sz w:val="20"/>
              </w:rPr>
              <w:t>价格</w:t>
            </w:r>
          </w:p>
        </w:tc>
        <w:tc>
          <w:tcPr>
            <w:tcW w:type="dxa" w:w="2078"/>
            <w:shd w:fill="D9E2F3" w:val="clear"/>
          </w:tcPr>
          <w:p>
            <w:pPr>
              <w:jc w:val="center"/>
            </w:pPr>
            <w:r/>
            <w:r>
              <w:rPr>
                <w:rFonts w:ascii="黑体" w:hAnsi="黑体" w:eastAsia="黑体"/>
                <w:b/>
                <w:sz w:val="20"/>
              </w:rPr>
              <w:t>适用场景</w:t>
            </w:r>
          </w:p>
        </w:tc>
      </w:tr>
      <w:tr>
        <w:tc>
          <w:tcPr>
            <w:tcW w:type="dxa" w:w="2078"/>
          </w:tcPr>
          <w:p>
            <w:r/>
            <w:r>
              <w:rPr>
                <w:rFonts w:ascii="宋体" w:hAnsi="宋体" w:eastAsia="宋体"/>
                <w:sz w:val="20"/>
              </w:rPr>
              <w:t>Audacity</w:t>
            </w:r>
          </w:p>
        </w:tc>
        <w:tc>
          <w:tcPr>
            <w:tcW w:type="dxa" w:w="2078"/>
          </w:tcPr>
          <w:p>
            <w:r/>
            <w:r>
              <w:rPr>
                <w:rFonts w:ascii="宋体" w:hAnsi="宋体" w:eastAsia="宋体"/>
                <w:sz w:val="20"/>
              </w:rPr>
              <w:t>开源</w:t>
            </w:r>
          </w:p>
        </w:tc>
        <w:tc>
          <w:tcPr>
            <w:tcW w:type="dxa" w:w="2078"/>
          </w:tcPr>
          <w:p>
            <w:r/>
            <w:r>
              <w:rPr>
                <w:rFonts w:ascii="宋体" w:hAnsi="宋体" w:eastAsia="宋体"/>
                <w:sz w:val="20"/>
              </w:rPr>
              <w:t>免费</w:t>
            </w:r>
          </w:p>
        </w:tc>
        <w:tc>
          <w:tcPr>
            <w:tcW w:type="dxa" w:w="2078"/>
          </w:tcPr>
          <w:p>
            <w:r/>
            <w:r>
              <w:rPr>
                <w:rFonts w:ascii="宋体" w:hAnsi="宋体" w:eastAsia="宋体"/>
                <w:sz w:val="20"/>
              </w:rPr>
              <w:t>音频编辑、降噪</w:t>
            </w:r>
          </w:p>
        </w:tc>
      </w:tr>
      <w:tr>
        <w:tc>
          <w:tcPr>
            <w:tcW w:type="dxa" w:w="2078"/>
          </w:tcPr>
          <w:p>
            <w:r/>
            <w:r>
              <w:rPr>
                <w:rFonts w:ascii="宋体" w:hAnsi="宋体" w:eastAsia="宋体"/>
                <w:sz w:val="20"/>
              </w:rPr>
              <w:t>Adobe Audition</w:t>
            </w:r>
          </w:p>
        </w:tc>
        <w:tc>
          <w:tcPr>
            <w:tcW w:type="dxa" w:w="2078"/>
          </w:tcPr>
          <w:p>
            <w:r/>
            <w:r>
              <w:rPr>
                <w:rFonts w:ascii="宋体" w:hAnsi="宋体" w:eastAsia="宋体"/>
                <w:sz w:val="20"/>
              </w:rPr>
              <w:t>商业</w:t>
            </w:r>
          </w:p>
        </w:tc>
        <w:tc>
          <w:tcPr>
            <w:tcW w:type="dxa" w:w="2078"/>
          </w:tcPr>
          <w:p>
            <w:r/>
            <w:r>
              <w:rPr>
                <w:rFonts w:ascii="宋体" w:hAnsi="宋体" w:eastAsia="宋体"/>
                <w:sz w:val="20"/>
              </w:rPr>
              <w:t>800元/年</w:t>
            </w:r>
          </w:p>
        </w:tc>
        <w:tc>
          <w:tcPr>
            <w:tcW w:type="dxa" w:w="2078"/>
          </w:tcPr>
          <w:p>
            <w:r/>
            <w:r>
              <w:rPr>
                <w:rFonts w:ascii="宋体" w:hAnsi="宋体" w:eastAsia="宋体"/>
                <w:sz w:val="20"/>
              </w:rPr>
              <w:t>专业音频后期</w:t>
            </w:r>
          </w:p>
        </w:tc>
      </w:tr>
      <w:tr>
        <w:tc>
          <w:tcPr>
            <w:tcW w:type="dxa" w:w="2078"/>
          </w:tcPr>
          <w:p>
            <w:r/>
            <w:r>
              <w:rPr>
                <w:rFonts w:ascii="宋体" w:hAnsi="宋体" w:eastAsia="宋体"/>
                <w:sz w:val="20"/>
              </w:rPr>
              <w:t>Reaper</w:t>
            </w:r>
          </w:p>
        </w:tc>
        <w:tc>
          <w:tcPr>
            <w:tcW w:type="dxa" w:w="2078"/>
          </w:tcPr>
          <w:p>
            <w:r/>
            <w:r>
              <w:rPr>
                <w:rFonts w:ascii="宋体" w:hAnsi="宋体" w:eastAsia="宋体"/>
                <w:sz w:val="20"/>
              </w:rPr>
              <w:t>商业</w:t>
            </w:r>
          </w:p>
        </w:tc>
        <w:tc>
          <w:tcPr>
            <w:tcW w:type="dxa" w:w="2078"/>
          </w:tcPr>
          <w:p>
            <w:r/>
            <w:r>
              <w:rPr>
                <w:rFonts w:ascii="宋体" w:hAnsi="宋体" w:eastAsia="宋体"/>
                <w:sz w:val="20"/>
              </w:rPr>
              <w:t>400元(买断)</w:t>
            </w:r>
          </w:p>
        </w:tc>
        <w:tc>
          <w:tcPr>
            <w:tcW w:type="dxa" w:w="2078"/>
          </w:tcPr>
          <w:p>
            <w:r/>
            <w:r>
              <w:rPr>
                <w:rFonts w:ascii="宋体" w:hAnsi="宋体" w:eastAsia="宋体"/>
                <w:sz w:val="20"/>
              </w:rPr>
              <w:t>多轨音频编辑</w:t>
            </w:r>
          </w:p>
        </w:tc>
      </w:tr>
      <w:tr>
        <w:tc>
          <w:tcPr>
            <w:tcW w:type="dxa" w:w="2078"/>
          </w:tcPr>
          <w:p>
            <w:r/>
            <w:r>
              <w:rPr>
                <w:rFonts w:ascii="宋体" w:hAnsi="宋体" w:eastAsia="宋体"/>
                <w:sz w:val="20"/>
              </w:rPr>
              <w:t>Facebook 360 Spatial Workstation</w:t>
            </w:r>
          </w:p>
        </w:tc>
        <w:tc>
          <w:tcPr>
            <w:tcW w:type="dxa" w:w="2078"/>
          </w:tcPr>
          <w:p>
            <w:r/>
            <w:r>
              <w:rPr>
                <w:rFonts w:ascii="宋体" w:hAnsi="宋体" w:eastAsia="宋体"/>
                <w:sz w:val="20"/>
              </w:rPr>
              <w:t>免费</w:t>
            </w:r>
          </w:p>
        </w:tc>
        <w:tc>
          <w:tcPr>
            <w:tcW w:type="dxa" w:w="2078"/>
          </w:tcPr>
          <w:p>
            <w:r/>
            <w:r>
              <w:rPr>
                <w:rFonts w:ascii="宋体" w:hAnsi="宋体" w:eastAsia="宋体"/>
                <w:sz w:val="20"/>
              </w:rPr>
              <w:t>免费</w:t>
            </w:r>
          </w:p>
        </w:tc>
        <w:tc>
          <w:tcPr>
            <w:tcW w:type="dxa" w:w="2078"/>
          </w:tcPr>
          <w:p>
            <w:r/>
            <w:r>
              <w:rPr>
                <w:rFonts w:ascii="宋体" w:hAnsi="宋体" w:eastAsia="宋体"/>
                <w:sz w:val="20"/>
              </w:rPr>
              <w:t>Ambisonics空间音频处理</w:t>
            </w:r>
          </w:p>
        </w:tc>
      </w:tr>
    </w:tbl>
    <w:p/>
    <w:p/>
    <w:p>
      <w:pPr>
        <w:pStyle w:val="Heading3"/>
      </w:pPr>
      <w:r>
        <w:t>B.2.5 AR 开发 SDK</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SDK</w:t>
            </w:r>
          </w:p>
        </w:tc>
        <w:tc>
          <w:tcPr>
            <w:tcW w:type="dxa" w:w="2078"/>
            <w:shd w:fill="D9E2F3" w:val="clear"/>
          </w:tcPr>
          <w:p>
            <w:pPr>
              <w:jc w:val="center"/>
            </w:pPr>
            <w:r/>
            <w:r>
              <w:rPr>
                <w:rFonts w:ascii="黑体" w:hAnsi="黑体" w:eastAsia="黑体"/>
                <w:b/>
                <w:sz w:val="20"/>
              </w:rPr>
              <w:t>平台</w:t>
            </w:r>
          </w:p>
        </w:tc>
        <w:tc>
          <w:tcPr>
            <w:tcW w:type="dxa" w:w="2078"/>
            <w:shd w:fill="D9E2F3" w:val="clear"/>
          </w:tcPr>
          <w:p>
            <w:pPr>
              <w:jc w:val="center"/>
            </w:pPr>
            <w:r/>
            <w:r>
              <w:rPr>
                <w:rFonts w:ascii="黑体" w:hAnsi="黑体" w:eastAsia="黑体"/>
                <w:b/>
                <w:sz w:val="20"/>
              </w:rPr>
              <w:t>价格</w:t>
            </w:r>
          </w:p>
        </w:tc>
        <w:tc>
          <w:tcPr>
            <w:tcW w:type="dxa" w:w="2078"/>
            <w:shd w:fill="D9E2F3" w:val="clear"/>
          </w:tcPr>
          <w:p>
            <w:pPr>
              <w:jc w:val="center"/>
            </w:pPr>
            <w:r/>
            <w:r>
              <w:rPr>
                <w:rFonts w:ascii="黑体" w:hAnsi="黑体" w:eastAsia="黑体"/>
                <w:b/>
                <w:sz w:val="20"/>
              </w:rPr>
              <w:t>适用场景</w:t>
            </w:r>
          </w:p>
        </w:tc>
      </w:tr>
      <w:tr>
        <w:tc>
          <w:tcPr>
            <w:tcW w:type="dxa" w:w="2078"/>
          </w:tcPr>
          <w:p>
            <w:r/>
            <w:r>
              <w:rPr>
                <w:rFonts w:ascii="宋体" w:hAnsi="宋体" w:eastAsia="宋体"/>
                <w:sz w:val="20"/>
              </w:rPr>
              <w:t>AR Foundation</w:t>
            </w:r>
          </w:p>
        </w:tc>
        <w:tc>
          <w:tcPr>
            <w:tcW w:type="dxa" w:w="2078"/>
          </w:tcPr>
          <w:p>
            <w:r/>
            <w:r>
              <w:rPr>
                <w:rFonts w:ascii="宋体" w:hAnsi="宋体" w:eastAsia="宋体"/>
                <w:sz w:val="20"/>
              </w:rPr>
              <w:t>Unity跨平台</w:t>
            </w:r>
          </w:p>
        </w:tc>
        <w:tc>
          <w:tcPr>
            <w:tcW w:type="dxa" w:w="2078"/>
          </w:tcPr>
          <w:p>
            <w:r/>
            <w:r>
              <w:rPr>
                <w:rFonts w:ascii="宋体" w:hAnsi="宋体" w:eastAsia="宋体"/>
                <w:sz w:val="20"/>
              </w:rPr>
              <w:t>免费</w:t>
            </w:r>
          </w:p>
        </w:tc>
        <w:tc>
          <w:tcPr>
            <w:tcW w:type="dxa" w:w="2078"/>
          </w:tcPr>
          <w:p>
            <w:r/>
            <w:r>
              <w:rPr>
                <w:rFonts w:ascii="宋体" w:hAnsi="宋体" w:eastAsia="宋体"/>
                <w:sz w:val="20"/>
              </w:rPr>
              <w:t>iOS+Android AR开发</w:t>
            </w:r>
          </w:p>
        </w:tc>
      </w:tr>
      <w:tr>
        <w:tc>
          <w:tcPr>
            <w:tcW w:type="dxa" w:w="2078"/>
          </w:tcPr>
          <w:p>
            <w:r/>
            <w:r>
              <w:rPr>
                <w:rFonts w:ascii="宋体" w:hAnsi="宋体" w:eastAsia="宋体"/>
                <w:sz w:val="20"/>
              </w:rPr>
              <w:t>ARKit</w:t>
            </w:r>
          </w:p>
        </w:tc>
        <w:tc>
          <w:tcPr>
            <w:tcW w:type="dxa" w:w="2078"/>
          </w:tcPr>
          <w:p>
            <w:r/>
            <w:r>
              <w:rPr>
                <w:rFonts w:ascii="宋体" w:hAnsi="宋体" w:eastAsia="宋体"/>
                <w:sz w:val="20"/>
              </w:rPr>
              <w:t>iOS原生</w:t>
            </w:r>
          </w:p>
        </w:tc>
        <w:tc>
          <w:tcPr>
            <w:tcW w:type="dxa" w:w="2078"/>
          </w:tcPr>
          <w:p>
            <w:r/>
            <w:r>
              <w:rPr>
                <w:rFonts w:ascii="宋体" w:hAnsi="宋体" w:eastAsia="宋体"/>
                <w:sz w:val="20"/>
              </w:rPr>
              <w:t>免费</w:t>
            </w:r>
          </w:p>
        </w:tc>
        <w:tc>
          <w:tcPr>
            <w:tcW w:type="dxa" w:w="2078"/>
          </w:tcPr>
          <w:p>
            <w:r/>
            <w:r>
              <w:rPr>
                <w:rFonts w:ascii="宋体" w:hAnsi="宋体" w:eastAsia="宋体"/>
                <w:sz w:val="20"/>
              </w:rPr>
              <w:t>iOS AR开发</w:t>
            </w:r>
          </w:p>
        </w:tc>
      </w:tr>
      <w:tr>
        <w:tc>
          <w:tcPr>
            <w:tcW w:type="dxa" w:w="2078"/>
          </w:tcPr>
          <w:p>
            <w:r/>
            <w:r>
              <w:rPr>
                <w:rFonts w:ascii="宋体" w:hAnsi="宋体" w:eastAsia="宋体"/>
                <w:sz w:val="20"/>
              </w:rPr>
              <w:t>ARCore</w:t>
            </w:r>
          </w:p>
        </w:tc>
        <w:tc>
          <w:tcPr>
            <w:tcW w:type="dxa" w:w="2078"/>
          </w:tcPr>
          <w:p>
            <w:r/>
            <w:r>
              <w:rPr>
                <w:rFonts w:ascii="宋体" w:hAnsi="宋体" w:eastAsia="宋体"/>
                <w:sz w:val="20"/>
              </w:rPr>
              <w:t>Android原生</w:t>
            </w:r>
          </w:p>
        </w:tc>
        <w:tc>
          <w:tcPr>
            <w:tcW w:type="dxa" w:w="2078"/>
          </w:tcPr>
          <w:p>
            <w:r/>
            <w:r>
              <w:rPr>
                <w:rFonts w:ascii="宋体" w:hAnsi="宋体" w:eastAsia="宋体"/>
                <w:sz w:val="20"/>
              </w:rPr>
              <w:t>免费</w:t>
            </w:r>
          </w:p>
        </w:tc>
        <w:tc>
          <w:tcPr>
            <w:tcW w:type="dxa" w:w="2078"/>
          </w:tcPr>
          <w:p>
            <w:r/>
            <w:r>
              <w:rPr>
                <w:rFonts w:ascii="宋体" w:hAnsi="宋体" w:eastAsia="宋体"/>
                <w:sz w:val="20"/>
              </w:rPr>
              <w:t>Android AR开发</w:t>
            </w:r>
          </w:p>
        </w:tc>
      </w:tr>
      <w:tr>
        <w:tc>
          <w:tcPr>
            <w:tcW w:type="dxa" w:w="2078"/>
          </w:tcPr>
          <w:p>
            <w:r/>
            <w:r>
              <w:rPr>
                <w:rFonts w:ascii="宋体" w:hAnsi="宋体" w:eastAsia="宋体"/>
                <w:sz w:val="20"/>
              </w:rPr>
              <w:t>Vuforia</w:t>
            </w:r>
          </w:p>
        </w:tc>
        <w:tc>
          <w:tcPr>
            <w:tcW w:type="dxa" w:w="2078"/>
          </w:tcPr>
          <w:p>
            <w:r/>
            <w:r>
              <w:rPr>
                <w:rFonts w:ascii="宋体" w:hAnsi="宋体" w:eastAsia="宋体"/>
                <w:sz w:val="20"/>
              </w:rPr>
              <w:t>跨平台</w:t>
            </w:r>
          </w:p>
        </w:tc>
        <w:tc>
          <w:tcPr>
            <w:tcW w:type="dxa" w:w="2078"/>
          </w:tcPr>
          <w:p>
            <w:r/>
            <w:r>
              <w:rPr>
                <w:rFonts w:ascii="宋体" w:hAnsi="宋体" w:eastAsia="宋体"/>
                <w:sz w:val="20"/>
              </w:rPr>
              <w:t>免费/订阅</w:t>
            </w:r>
          </w:p>
        </w:tc>
        <w:tc>
          <w:tcPr>
            <w:tcW w:type="dxa" w:w="2078"/>
          </w:tcPr>
          <w:p>
            <w:r/>
            <w:r>
              <w:rPr>
                <w:rFonts w:ascii="宋体" w:hAnsi="宋体" w:eastAsia="宋体"/>
                <w:sz w:val="20"/>
              </w:rPr>
              <w:t>图像识别AR</w:t>
            </w:r>
          </w:p>
        </w:tc>
      </w:tr>
      <w:tr>
        <w:tc>
          <w:tcPr>
            <w:tcW w:type="dxa" w:w="2078"/>
          </w:tcPr>
          <w:p>
            <w:r/>
            <w:r>
              <w:rPr>
                <w:rFonts w:ascii="宋体" w:hAnsi="宋体" w:eastAsia="宋体"/>
                <w:sz w:val="20"/>
              </w:rPr>
              <w:t>Niantic Lightship</w:t>
            </w:r>
          </w:p>
        </w:tc>
        <w:tc>
          <w:tcPr>
            <w:tcW w:type="dxa" w:w="2078"/>
          </w:tcPr>
          <w:p>
            <w:r/>
            <w:r>
              <w:rPr>
                <w:rFonts w:ascii="宋体" w:hAnsi="宋体" w:eastAsia="宋体"/>
                <w:sz w:val="20"/>
              </w:rPr>
              <w:t>跨平台</w:t>
            </w:r>
          </w:p>
        </w:tc>
        <w:tc>
          <w:tcPr>
            <w:tcW w:type="dxa" w:w="2078"/>
          </w:tcPr>
          <w:p>
            <w:r/>
            <w:r>
              <w:rPr>
                <w:rFonts w:ascii="宋体" w:hAnsi="宋体" w:eastAsia="宋体"/>
                <w:sz w:val="20"/>
              </w:rPr>
              <w:t>免费/按量</w:t>
            </w:r>
          </w:p>
        </w:tc>
        <w:tc>
          <w:tcPr>
            <w:tcW w:type="dxa" w:w="2078"/>
          </w:tcPr>
          <w:p>
            <w:r/>
            <w:r>
              <w:rPr>
                <w:rFonts w:ascii="宋体" w:hAnsi="宋体" w:eastAsia="宋体"/>
                <w:sz w:val="20"/>
              </w:rPr>
              <w:t>基于地理位置的AR</w:t>
            </w:r>
          </w:p>
        </w:tc>
      </w:tr>
      <w:tr>
        <w:tc>
          <w:tcPr>
            <w:tcW w:type="dxa" w:w="2078"/>
          </w:tcPr>
          <w:p>
            <w:r/>
            <w:r>
              <w:rPr>
                <w:rFonts w:ascii="宋体" w:hAnsi="宋体" w:eastAsia="宋体"/>
                <w:sz w:val="20"/>
              </w:rPr>
              <w:t>EasyAR</w:t>
            </w:r>
          </w:p>
        </w:tc>
        <w:tc>
          <w:tcPr>
            <w:tcW w:type="dxa" w:w="2078"/>
          </w:tcPr>
          <w:p>
            <w:r/>
            <w:r>
              <w:rPr>
                <w:rFonts w:ascii="宋体" w:hAnsi="宋体" w:eastAsia="宋体"/>
                <w:sz w:val="20"/>
              </w:rPr>
              <w:t>跨平台</w:t>
            </w:r>
          </w:p>
        </w:tc>
        <w:tc>
          <w:tcPr>
            <w:tcW w:type="dxa" w:w="2078"/>
          </w:tcPr>
          <w:p>
            <w:r/>
            <w:r>
              <w:rPr>
                <w:rFonts w:ascii="宋体" w:hAnsi="宋体" w:eastAsia="宋体"/>
                <w:sz w:val="20"/>
              </w:rPr>
              <w:t>免费/付费</w:t>
            </w:r>
          </w:p>
        </w:tc>
        <w:tc>
          <w:tcPr>
            <w:tcW w:type="dxa" w:w="2078"/>
          </w:tcPr>
          <w:p>
            <w:r/>
            <w:r>
              <w:rPr>
                <w:rFonts w:ascii="宋体" w:hAnsi="宋体" w:eastAsia="宋体"/>
                <w:sz w:val="20"/>
              </w:rPr>
              <w:t>国产AR SDK</w:t>
            </w:r>
          </w:p>
        </w:tc>
      </w:tr>
    </w:tbl>
    <w:p/>
    <w:p/>
    <w:p>
      <w:pPr>
        <w:pStyle w:val="Heading2"/>
      </w:pPr>
      <w:r>
        <w:t>B.3 在线平台与资源</w:t>
      </w:r>
    </w:p>
    <w:p/>
    <w:p>
      <w:pPr>
        <w:pStyle w:val="Heading3"/>
      </w:pPr>
      <w:r>
        <w:t>B.3.1 3D 资产市场</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平台</w:t>
            </w:r>
          </w:p>
        </w:tc>
        <w:tc>
          <w:tcPr>
            <w:tcW w:type="dxa" w:w="2771"/>
            <w:shd w:fill="D9E2F3" w:val="clear"/>
          </w:tcPr>
          <w:p>
            <w:pPr>
              <w:jc w:val="center"/>
            </w:pPr>
            <w:r/>
            <w:r>
              <w:rPr>
                <w:rFonts w:ascii="黑体" w:hAnsi="黑体" w:eastAsia="黑体"/>
                <w:b/>
                <w:sz w:val="20"/>
              </w:rPr>
              <w:t>网址</w:t>
            </w:r>
          </w:p>
        </w:tc>
        <w:tc>
          <w:tcPr>
            <w:tcW w:type="dxa" w:w="2771"/>
            <w:shd w:fill="D9E2F3" w:val="clear"/>
          </w:tcPr>
          <w:p>
            <w:pPr>
              <w:jc w:val="center"/>
            </w:pPr>
            <w:r/>
            <w:r>
              <w:rPr>
                <w:rFonts w:ascii="黑体" w:hAnsi="黑体" w:eastAsia="黑体"/>
                <w:b/>
                <w:sz w:val="20"/>
              </w:rPr>
              <w:t>特点</w:t>
            </w:r>
          </w:p>
        </w:tc>
      </w:tr>
      <w:tr>
        <w:tc>
          <w:tcPr>
            <w:tcW w:type="dxa" w:w="2771"/>
          </w:tcPr>
          <w:p>
            <w:r/>
            <w:r>
              <w:rPr>
                <w:rFonts w:ascii="宋体" w:hAnsi="宋体" w:eastAsia="宋体"/>
                <w:sz w:val="20"/>
              </w:rPr>
              <w:t>Unity Asset Store</w:t>
            </w:r>
          </w:p>
        </w:tc>
        <w:tc>
          <w:tcPr>
            <w:tcW w:type="dxa" w:w="2771"/>
          </w:tcPr>
          <w:p>
            <w:r/>
            <w:r>
              <w:rPr>
                <w:rFonts w:ascii="宋体" w:hAnsi="宋体" w:eastAsia="宋体"/>
                <w:sz w:val="20"/>
              </w:rPr>
              <w:t>assetstore.unity.com</w:t>
            </w:r>
          </w:p>
        </w:tc>
        <w:tc>
          <w:tcPr>
            <w:tcW w:type="dxa" w:w="2771"/>
          </w:tcPr>
          <w:p>
            <w:r/>
            <w:r>
              <w:rPr>
                <w:rFonts w:ascii="宋体" w:hAnsi="宋体" w:eastAsia="宋体"/>
                <w:sz w:val="20"/>
              </w:rPr>
              <w:t>Unity官方资产商店</w:t>
            </w:r>
          </w:p>
        </w:tc>
      </w:tr>
      <w:tr>
        <w:tc>
          <w:tcPr>
            <w:tcW w:type="dxa" w:w="2771"/>
          </w:tcPr>
          <w:p>
            <w:r/>
            <w:r>
              <w:rPr>
                <w:rFonts w:ascii="宋体" w:hAnsi="宋体" w:eastAsia="宋体"/>
                <w:sz w:val="20"/>
              </w:rPr>
              <w:t>Unreal Marketplace</w:t>
            </w:r>
          </w:p>
        </w:tc>
        <w:tc>
          <w:tcPr>
            <w:tcW w:type="dxa" w:w="2771"/>
          </w:tcPr>
          <w:p>
            <w:r/>
            <w:r>
              <w:rPr>
                <w:rFonts w:ascii="宋体" w:hAnsi="宋体" w:eastAsia="宋体"/>
                <w:sz w:val="20"/>
              </w:rPr>
              <w:t>unrealengine.com/marketplace</w:t>
            </w:r>
          </w:p>
        </w:tc>
        <w:tc>
          <w:tcPr>
            <w:tcW w:type="dxa" w:w="2771"/>
          </w:tcPr>
          <w:p>
            <w:r/>
            <w:r>
              <w:rPr>
                <w:rFonts w:ascii="宋体" w:hAnsi="宋体" w:eastAsia="宋体"/>
                <w:sz w:val="20"/>
              </w:rPr>
              <w:t>Unreal官方资产商店</w:t>
            </w:r>
          </w:p>
        </w:tc>
      </w:tr>
      <w:tr>
        <w:tc>
          <w:tcPr>
            <w:tcW w:type="dxa" w:w="2771"/>
          </w:tcPr>
          <w:p>
            <w:r/>
            <w:r>
              <w:rPr>
                <w:rFonts w:ascii="宋体" w:hAnsi="宋体" w:eastAsia="宋体"/>
                <w:sz w:val="20"/>
              </w:rPr>
              <w:t>Sketchfab</w:t>
            </w:r>
          </w:p>
        </w:tc>
        <w:tc>
          <w:tcPr>
            <w:tcW w:type="dxa" w:w="2771"/>
          </w:tcPr>
          <w:p>
            <w:r/>
            <w:r>
              <w:rPr>
                <w:rFonts w:ascii="宋体" w:hAnsi="宋体" w:eastAsia="宋体"/>
                <w:sz w:val="20"/>
              </w:rPr>
              <w:t>sketchfab.com</w:t>
            </w:r>
          </w:p>
        </w:tc>
        <w:tc>
          <w:tcPr>
            <w:tcW w:type="dxa" w:w="2771"/>
          </w:tcPr>
          <w:p>
            <w:r/>
            <w:r>
              <w:rPr>
                <w:rFonts w:ascii="宋体" w:hAnsi="宋体" w:eastAsia="宋体"/>
                <w:sz w:val="20"/>
              </w:rPr>
              <w:t>3D模型社区与市场</w:t>
            </w:r>
          </w:p>
        </w:tc>
      </w:tr>
      <w:tr>
        <w:tc>
          <w:tcPr>
            <w:tcW w:type="dxa" w:w="2771"/>
          </w:tcPr>
          <w:p>
            <w:r/>
            <w:r>
              <w:rPr>
                <w:rFonts w:ascii="宋体" w:hAnsi="宋体" w:eastAsia="宋体"/>
                <w:sz w:val="20"/>
              </w:rPr>
              <w:t>CGTrader</w:t>
            </w:r>
          </w:p>
        </w:tc>
        <w:tc>
          <w:tcPr>
            <w:tcW w:type="dxa" w:w="2771"/>
          </w:tcPr>
          <w:p>
            <w:r/>
            <w:r>
              <w:rPr>
                <w:rFonts w:ascii="宋体" w:hAnsi="宋体" w:eastAsia="宋体"/>
                <w:sz w:val="20"/>
              </w:rPr>
              <w:t>cgtrader.com</w:t>
            </w:r>
          </w:p>
        </w:tc>
        <w:tc>
          <w:tcPr>
            <w:tcW w:type="dxa" w:w="2771"/>
          </w:tcPr>
          <w:p>
            <w:r/>
            <w:r>
              <w:rPr>
                <w:rFonts w:ascii="宋体" w:hAnsi="宋体" w:eastAsia="宋体"/>
                <w:sz w:val="20"/>
              </w:rPr>
              <w:t>3D模型交易平台</w:t>
            </w:r>
          </w:p>
        </w:tc>
      </w:tr>
      <w:tr>
        <w:tc>
          <w:tcPr>
            <w:tcW w:type="dxa" w:w="2771"/>
          </w:tcPr>
          <w:p>
            <w:r/>
            <w:r>
              <w:rPr>
                <w:rFonts w:ascii="宋体" w:hAnsi="宋体" w:eastAsia="宋体"/>
                <w:sz w:val="20"/>
              </w:rPr>
              <w:t>TurboSquid</w:t>
            </w:r>
          </w:p>
        </w:tc>
        <w:tc>
          <w:tcPr>
            <w:tcW w:type="dxa" w:w="2771"/>
          </w:tcPr>
          <w:p>
            <w:r/>
            <w:r>
              <w:rPr>
                <w:rFonts w:ascii="宋体" w:hAnsi="宋体" w:eastAsia="宋体"/>
                <w:sz w:val="20"/>
              </w:rPr>
              <w:t>turbosquid.com</w:t>
            </w:r>
          </w:p>
        </w:tc>
        <w:tc>
          <w:tcPr>
            <w:tcW w:type="dxa" w:w="2771"/>
          </w:tcPr>
          <w:p>
            <w:r/>
            <w:r>
              <w:rPr>
                <w:rFonts w:ascii="宋体" w:hAnsi="宋体" w:eastAsia="宋体"/>
                <w:sz w:val="20"/>
              </w:rPr>
              <w:t>专业3D模型</w:t>
            </w:r>
          </w:p>
        </w:tc>
      </w:tr>
    </w:tbl>
    <w:p/>
    <w:p/>
    <w:p>
      <w:pPr>
        <w:pStyle w:val="Heading3"/>
      </w:pPr>
      <w:r>
        <w:t>B.3.2 学习资源</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平台</w:t>
            </w:r>
          </w:p>
        </w:tc>
        <w:tc>
          <w:tcPr>
            <w:tcW w:type="dxa" w:w="2771"/>
            <w:shd w:fill="D9E2F3" w:val="clear"/>
          </w:tcPr>
          <w:p>
            <w:pPr>
              <w:jc w:val="center"/>
            </w:pPr>
            <w:r/>
            <w:r>
              <w:rPr>
                <w:rFonts w:ascii="黑体" w:hAnsi="黑体" w:eastAsia="黑体"/>
                <w:b/>
                <w:sz w:val="20"/>
              </w:rPr>
              <w:t>网址</w:t>
            </w:r>
          </w:p>
        </w:tc>
        <w:tc>
          <w:tcPr>
            <w:tcW w:type="dxa" w:w="2771"/>
            <w:shd w:fill="D9E2F3" w:val="clear"/>
          </w:tcPr>
          <w:p>
            <w:pPr>
              <w:jc w:val="center"/>
            </w:pPr>
            <w:r/>
            <w:r>
              <w:rPr>
                <w:rFonts w:ascii="黑体" w:hAnsi="黑体" w:eastAsia="黑体"/>
                <w:b/>
                <w:sz w:val="20"/>
              </w:rPr>
              <w:t>特点</w:t>
            </w:r>
          </w:p>
        </w:tc>
      </w:tr>
      <w:tr>
        <w:tc>
          <w:tcPr>
            <w:tcW w:type="dxa" w:w="2771"/>
          </w:tcPr>
          <w:p>
            <w:r/>
            <w:r>
              <w:rPr>
                <w:rFonts w:ascii="宋体" w:hAnsi="宋体" w:eastAsia="宋体"/>
                <w:sz w:val="20"/>
              </w:rPr>
              <w:t>Unity Learn</w:t>
            </w:r>
          </w:p>
        </w:tc>
        <w:tc>
          <w:tcPr>
            <w:tcW w:type="dxa" w:w="2771"/>
          </w:tcPr>
          <w:p>
            <w:r/>
            <w:r>
              <w:rPr>
                <w:rFonts w:ascii="宋体" w:hAnsi="宋体" w:eastAsia="宋体"/>
                <w:sz w:val="20"/>
              </w:rPr>
              <w:t>learn.unity.com</w:t>
            </w:r>
          </w:p>
        </w:tc>
        <w:tc>
          <w:tcPr>
            <w:tcW w:type="dxa" w:w="2771"/>
          </w:tcPr>
          <w:p>
            <w:r/>
            <w:r>
              <w:rPr>
                <w:rFonts w:ascii="宋体" w:hAnsi="宋体" w:eastAsia="宋体"/>
                <w:sz w:val="20"/>
              </w:rPr>
              <w:t>Unity官方教程</w:t>
            </w:r>
          </w:p>
        </w:tc>
      </w:tr>
      <w:tr>
        <w:tc>
          <w:tcPr>
            <w:tcW w:type="dxa" w:w="2771"/>
          </w:tcPr>
          <w:p>
            <w:r/>
            <w:r>
              <w:rPr>
                <w:rFonts w:ascii="宋体" w:hAnsi="宋体" w:eastAsia="宋体"/>
                <w:sz w:val="20"/>
              </w:rPr>
              <w:t>Unreal Learning</w:t>
            </w:r>
          </w:p>
        </w:tc>
        <w:tc>
          <w:tcPr>
            <w:tcW w:type="dxa" w:w="2771"/>
          </w:tcPr>
          <w:p>
            <w:r/>
            <w:r>
              <w:rPr>
                <w:rFonts w:ascii="宋体" w:hAnsi="宋体" w:eastAsia="宋体"/>
                <w:sz w:val="20"/>
              </w:rPr>
              <w:t>unrealengine.com/learn</w:t>
            </w:r>
          </w:p>
        </w:tc>
        <w:tc>
          <w:tcPr>
            <w:tcW w:type="dxa" w:w="2771"/>
          </w:tcPr>
          <w:p>
            <w:r/>
            <w:r>
              <w:rPr>
                <w:rFonts w:ascii="宋体" w:hAnsi="宋体" w:eastAsia="宋体"/>
                <w:sz w:val="20"/>
              </w:rPr>
              <w:t>Unreal官方教程</w:t>
            </w:r>
          </w:p>
        </w:tc>
      </w:tr>
      <w:tr>
        <w:tc>
          <w:tcPr>
            <w:tcW w:type="dxa" w:w="2771"/>
          </w:tcPr>
          <w:p>
            <w:r/>
            <w:r>
              <w:rPr>
                <w:rFonts w:ascii="宋体" w:hAnsi="宋体" w:eastAsia="宋体"/>
                <w:sz w:val="20"/>
              </w:rPr>
              <w:t>A-Frame School</w:t>
            </w:r>
          </w:p>
        </w:tc>
        <w:tc>
          <w:tcPr>
            <w:tcW w:type="dxa" w:w="2771"/>
          </w:tcPr>
          <w:p>
            <w:r/>
            <w:r>
              <w:rPr>
                <w:rFonts w:ascii="宋体" w:hAnsi="宋体" w:eastAsia="宋体"/>
                <w:sz w:val="20"/>
              </w:rPr>
              <w:t>aframe.io/school</w:t>
            </w:r>
          </w:p>
        </w:tc>
        <w:tc>
          <w:tcPr>
            <w:tcW w:type="dxa" w:w="2771"/>
          </w:tcPr>
          <w:p>
            <w:r/>
            <w:r>
              <w:rPr>
                <w:rFonts w:ascii="宋体" w:hAnsi="宋体" w:eastAsia="宋体"/>
                <w:sz w:val="20"/>
              </w:rPr>
              <w:t>A-Frame入门教程</w:t>
            </w:r>
          </w:p>
        </w:tc>
      </w:tr>
      <w:tr>
        <w:tc>
          <w:tcPr>
            <w:tcW w:type="dxa" w:w="2771"/>
          </w:tcPr>
          <w:p>
            <w:r/>
            <w:r>
              <w:rPr>
                <w:rFonts w:ascii="宋体" w:hAnsi="宋体" w:eastAsia="宋体"/>
                <w:sz w:val="20"/>
              </w:rPr>
              <w:t>Khronos Group</w:t>
            </w:r>
          </w:p>
        </w:tc>
        <w:tc>
          <w:tcPr>
            <w:tcW w:type="dxa" w:w="2771"/>
          </w:tcPr>
          <w:p>
            <w:r/>
            <w:r>
              <w:rPr>
                <w:rFonts w:ascii="宋体" w:hAnsi="宋体" w:eastAsia="宋体"/>
                <w:sz w:val="20"/>
              </w:rPr>
              <w:t>khronos.org</w:t>
            </w:r>
          </w:p>
        </w:tc>
        <w:tc>
          <w:tcPr>
            <w:tcW w:type="dxa" w:w="2771"/>
          </w:tcPr>
          <w:p>
            <w:r/>
            <w:r>
              <w:rPr>
                <w:rFonts w:ascii="宋体" w:hAnsi="宋体" w:eastAsia="宋体"/>
                <w:sz w:val="20"/>
              </w:rPr>
              <w:t>OpenXR/WebGL标准</w:t>
            </w:r>
          </w:p>
        </w:tc>
      </w:tr>
      <w:tr>
        <w:tc>
          <w:tcPr>
            <w:tcW w:type="dxa" w:w="2771"/>
          </w:tcPr>
          <w:p>
            <w:r/>
            <w:r>
              <w:rPr>
                <w:rFonts w:ascii="宋体" w:hAnsi="宋体" w:eastAsia="宋体"/>
                <w:sz w:val="20"/>
              </w:rPr>
              <w:t>Mozilla VR</w:t>
            </w:r>
          </w:p>
        </w:tc>
        <w:tc>
          <w:tcPr>
            <w:tcW w:type="dxa" w:w="2771"/>
          </w:tcPr>
          <w:p>
            <w:r/>
            <w:r>
              <w:rPr>
                <w:rFonts w:ascii="宋体" w:hAnsi="宋体" w:eastAsia="宋体"/>
                <w:sz w:val="20"/>
              </w:rPr>
              <w:t>mozvr.com</w:t>
            </w:r>
          </w:p>
        </w:tc>
        <w:tc>
          <w:tcPr>
            <w:tcW w:type="dxa" w:w="2771"/>
          </w:tcPr>
          <w:p>
            <w:r/>
            <w:r>
              <w:rPr>
                <w:rFonts w:ascii="宋体" w:hAnsi="宋体" w:eastAsia="宋体"/>
                <w:sz w:val="20"/>
              </w:rPr>
              <w:t>WebVR技术资源</w:t>
            </w:r>
          </w:p>
        </w:tc>
      </w:tr>
    </w:tbl>
    <w:p/>
    <w:p/>
    <w:p>
      <w:pPr>
        <w:pStyle w:val="Heading3"/>
      </w:pPr>
      <w:r>
        <w:t>B.3.3 开源项目</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项目</w:t>
            </w:r>
          </w:p>
        </w:tc>
        <w:tc>
          <w:tcPr>
            <w:tcW w:type="dxa" w:w="2771"/>
            <w:shd w:fill="D9E2F3" w:val="clear"/>
          </w:tcPr>
          <w:p>
            <w:pPr>
              <w:jc w:val="center"/>
            </w:pPr>
            <w:r/>
            <w:r>
              <w:rPr>
                <w:rFonts w:ascii="黑体" w:hAnsi="黑体" w:eastAsia="黑体"/>
                <w:b/>
                <w:sz w:val="20"/>
              </w:rPr>
              <w:t>网址</w:t>
            </w:r>
          </w:p>
        </w:tc>
        <w:tc>
          <w:tcPr>
            <w:tcW w:type="dxa" w:w="2771"/>
            <w:shd w:fill="D9E2F3" w:val="clear"/>
          </w:tcPr>
          <w:p>
            <w:pPr>
              <w:jc w:val="center"/>
            </w:pPr>
            <w:r/>
            <w:r>
              <w:rPr>
                <w:rFonts w:ascii="黑体" w:hAnsi="黑体" w:eastAsia="黑体"/>
                <w:b/>
                <w:sz w:val="20"/>
              </w:rPr>
              <w:t>特点</w:t>
            </w:r>
          </w:p>
        </w:tc>
      </w:tr>
      <w:tr>
        <w:tc>
          <w:tcPr>
            <w:tcW w:type="dxa" w:w="2771"/>
          </w:tcPr>
          <w:p>
            <w:r/>
            <w:r>
              <w:rPr>
                <w:rFonts w:ascii="宋体" w:hAnsi="宋体" w:eastAsia="宋体"/>
                <w:sz w:val="20"/>
              </w:rPr>
              <w:t>Three.js</w:t>
            </w:r>
          </w:p>
        </w:tc>
        <w:tc>
          <w:tcPr>
            <w:tcW w:type="dxa" w:w="2771"/>
          </w:tcPr>
          <w:p>
            <w:r/>
            <w:r>
              <w:rPr>
                <w:rFonts w:ascii="宋体" w:hAnsi="宋体" w:eastAsia="宋体"/>
                <w:sz w:val="20"/>
              </w:rPr>
              <w:t>threejs.org</w:t>
            </w:r>
          </w:p>
        </w:tc>
        <w:tc>
          <w:tcPr>
            <w:tcW w:type="dxa" w:w="2771"/>
          </w:tcPr>
          <w:p>
            <w:r/>
            <w:r>
              <w:rPr>
                <w:rFonts w:ascii="宋体" w:hAnsi="宋体" w:eastAsia="宋体"/>
                <w:sz w:val="20"/>
              </w:rPr>
              <w:t>WebGL 3D库</w:t>
            </w:r>
          </w:p>
        </w:tc>
      </w:tr>
      <w:tr>
        <w:tc>
          <w:tcPr>
            <w:tcW w:type="dxa" w:w="2771"/>
          </w:tcPr>
          <w:p>
            <w:r/>
            <w:r>
              <w:rPr>
                <w:rFonts w:ascii="宋体" w:hAnsi="宋体" w:eastAsia="宋体"/>
                <w:sz w:val="20"/>
              </w:rPr>
              <w:t>A-Frame</w:t>
            </w:r>
          </w:p>
        </w:tc>
        <w:tc>
          <w:tcPr>
            <w:tcW w:type="dxa" w:w="2771"/>
          </w:tcPr>
          <w:p>
            <w:r/>
            <w:r>
              <w:rPr>
                <w:rFonts w:ascii="宋体" w:hAnsi="宋体" w:eastAsia="宋体"/>
                <w:sz w:val="20"/>
              </w:rPr>
              <w:t>aframe.io</w:t>
            </w:r>
          </w:p>
        </w:tc>
        <w:tc>
          <w:tcPr>
            <w:tcW w:type="dxa" w:w="2771"/>
          </w:tcPr>
          <w:p>
            <w:r/>
            <w:r>
              <w:rPr>
                <w:rFonts w:ascii="宋体" w:hAnsi="宋体" w:eastAsia="宋体"/>
                <w:sz w:val="20"/>
              </w:rPr>
              <w:t>WebVR框架</w:t>
            </w:r>
          </w:p>
        </w:tc>
      </w:tr>
      <w:tr>
        <w:tc>
          <w:tcPr>
            <w:tcW w:type="dxa" w:w="2771"/>
          </w:tcPr>
          <w:p>
            <w:r/>
            <w:r>
              <w:rPr>
                <w:rFonts w:ascii="宋体" w:hAnsi="宋体" w:eastAsia="宋体"/>
                <w:sz w:val="20"/>
              </w:rPr>
              <w:t>Babylon.js</w:t>
            </w:r>
          </w:p>
        </w:tc>
        <w:tc>
          <w:tcPr>
            <w:tcW w:type="dxa" w:w="2771"/>
          </w:tcPr>
          <w:p>
            <w:r/>
            <w:r>
              <w:rPr>
                <w:rFonts w:ascii="宋体" w:hAnsi="宋体" w:eastAsia="宋体"/>
                <w:sz w:val="20"/>
              </w:rPr>
              <w:t>babylonjs.com</w:t>
            </w:r>
          </w:p>
        </w:tc>
        <w:tc>
          <w:tcPr>
            <w:tcW w:type="dxa" w:w="2771"/>
          </w:tcPr>
          <w:p>
            <w:r/>
            <w:r>
              <w:rPr>
                <w:rFonts w:ascii="宋体" w:hAnsi="宋体" w:eastAsia="宋体"/>
                <w:sz w:val="20"/>
              </w:rPr>
              <w:t>Web 3D引擎</w:t>
            </w:r>
          </w:p>
        </w:tc>
      </w:tr>
      <w:tr>
        <w:tc>
          <w:tcPr>
            <w:tcW w:type="dxa" w:w="2771"/>
          </w:tcPr>
          <w:p>
            <w:r/>
            <w:r>
              <w:rPr>
                <w:rFonts w:ascii="宋体" w:hAnsi="宋体" w:eastAsia="宋体"/>
                <w:sz w:val="20"/>
              </w:rPr>
              <w:t>Model Viewer</w:t>
            </w:r>
          </w:p>
        </w:tc>
        <w:tc>
          <w:tcPr>
            <w:tcW w:type="dxa" w:w="2771"/>
          </w:tcPr>
          <w:p>
            <w:r/>
            <w:r>
              <w:rPr>
                <w:rFonts w:ascii="宋体" w:hAnsi="宋体" w:eastAsia="宋体"/>
                <w:sz w:val="20"/>
              </w:rPr>
              <w:t>modelviewer.dev</w:t>
            </w:r>
          </w:p>
        </w:tc>
        <w:tc>
          <w:tcPr>
            <w:tcW w:type="dxa" w:w="2771"/>
          </w:tcPr>
          <w:p>
            <w:r/>
            <w:r>
              <w:rPr>
                <w:rFonts w:ascii="宋体" w:hAnsi="宋体" w:eastAsia="宋体"/>
                <w:sz w:val="20"/>
              </w:rPr>
              <w:t>Web 3D模型查看器</w:t>
            </w:r>
          </w:p>
        </w:tc>
      </w:tr>
      <w:tr>
        <w:tc>
          <w:tcPr>
            <w:tcW w:type="dxa" w:w="2771"/>
          </w:tcPr>
          <w:p>
            <w:r/>
            <w:r>
              <w:rPr>
                <w:rFonts w:ascii="宋体" w:hAnsi="宋体" w:eastAsia="宋体"/>
                <w:sz w:val="20"/>
              </w:rPr>
              <w:t>Pannellum</w:t>
            </w:r>
          </w:p>
        </w:tc>
        <w:tc>
          <w:tcPr>
            <w:tcW w:type="dxa" w:w="2771"/>
          </w:tcPr>
          <w:p>
            <w:r/>
            <w:r>
              <w:rPr>
                <w:rFonts w:ascii="宋体" w:hAnsi="宋体" w:eastAsia="宋体"/>
                <w:sz w:val="20"/>
              </w:rPr>
              <w:t>pannellum.org</w:t>
            </w:r>
          </w:p>
        </w:tc>
        <w:tc>
          <w:tcPr>
            <w:tcW w:type="dxa" w:w="2771"/>
          </w:tcPr>
          <w:p>
            <w:r/>
            <w:r>
              <w:rPr>
                <w:rFonts w:ascii="宋体" w:hAnsi="宋体" w:eastAsia="宋体"/>
                <w:sz w:val="20"/>
              </w:rPr>
              <w:t>Web全景查看器</w:t>
            </w:r>
          </w:p>
        </w:tc>
      </w:tr>
    </w:tbl>
    <w:p/>
    <w:p/>
    <w:p/>
    <w:p/>
    <w:p>
      <w:pPr>
        <w:pStyle w:val="Heading2"/>
      </w:pPr>
      <w:r>
        <w:t>B.4 工具选型决策指南</w:t>
      </w:r>
    </w:p>
    <w:p/>
    <w:p>
      <w:pPr>
        <w:pStyle w:val="Heading3"/>
      </w:pPr>
      <w:r>
        <w:t>B.4.1 VR 开发引擎选型决策树</w:t>
      </w:r>
    </w:p>
    <w:p/>
    <w:p>
      <w:pPr>
        <w:spacing w:after="0" w:line="240" w:lineRule="auto"/>
        <w:shd w:fill="F5F5F5" w:val="clear"/>
      </w:pPr>
      <w:r>
        <w:rPr>
          <w:rFonts w:ascii="Consolas" w:hAnsi="Consolas"/>
          <w:color w:val="323232"/>
          <w:sz w:val="18"/>
        </w:rPr>
        <w:t>开始</w:t>
      </w:r>
    </w:p>
    <w:p>
      <w:pPr>
        <w:spacing w:after="0" w:line="240" w:lineRule="auto"/>
        <w:shd w:fill="F5F5F5" w:val="clear"/>
      </w:pPr>
      <w:r>
        <w:rPr>
          <w:rFonts w:ascii="Consolas" w:hAnsi="Consolas"/>
          <w:color w:val="323232"/>
          <w:sz w:val="18"/>
        </w:rPr>
        <w:t>├─ 目标平台是否包含 Web？</w:t>
      </w:r>
    </w:p>
    <w:p>
      <w:pPr>
        <w:spacing w:after="0" w:line="240" w:lineRule="auto"/>
        <w:shd w:fill="F5F5F5" w:val="clear"/>
      </w:pPr>
      <w:r>
        <w:rPr>
          <w:rFonts w:ascii="Consolas" w:hAnsi="Consolas"/>
          <w:color w:val="323232"/>
          <w:sz w:val="18"/>
        </w:rPr>
        <w:t>│   ├─ 是 → 考虑 A-Frame / Three.js / PlayCanvas</w:t>
      </w:r>
    </w:p>
    <w:p>
      <w:pPr>
        <w:spacing w:after="0" w:line="240" w:lineRule="auto"/>
        <w:shd w:fill="F5F5F5" w:val="clear"/>
      </w:pPr>
      <w:r>
        <w:rPr>
          <w:rFonts w:ascii="Consolas" w:hAnsi="Consolas"/>
          <w:color w:val="323232"/>
          <w:sz w:val="18"/>
        </w:rPr>
        <w:t>│   │   ├─ 需要快速原型 → A-Frame</w:t>
      </w:r>
    </w:p>
    <w:p>
      <w:pPr>
        <w:spacing w:after="0" w:line="240" w:lineRule="auto"/>
        <w:shd w:fill="F5F5F5" w:val="clear"/>
      </w:pPr>
      <w:r>
        <w:rPr>
          <w:rFonts w:ascii="Consolas" w:hAnsi="Consolas"/>
          <w:color w:val="323232"/>
          <w:sz w:val="18"/>
        </w:rPr>
        <w:t>│   │   ├─ 需要精细控制 → Three.js</w:t>
      </w:r>
    </w:p>
    <w:p>
      <w:pPr>
        <w:spacing w:after="0" w:line="240" w:lineRule="auto"/>
        <w:shd w:fill="F5F5F5" w:val="clear"/>
      </w:pPr>
      <w:r>
        <w:rPr>
          <w:rFonts w:ascii="Consolas" w:hAnsi="Consolas"/>
          <w:color w:val="323232"/>
          <w:sz w:val="18"/>
        </w:rPr>
        <w:t>│   │   └─ 需要可视化编辑器 → PlayCanvas</w:t>
      </w:r>
    </w:p>
    <w:p>
      <w:pPr>
        <w:spacing w:after="0" w:line="240" w:lineRule="auto"/>
        <w:shd w:fill="F5F5F5" w:val="clear"/>
      </w:pPr>
      <w:r>
        <w:rPr>
          <w:rFonts w:ascii="Consolas" w:hAnsi="Consolas"/>
          <w:color w:val="323232"/>
          <w:sz w:val="18"/>
        </w:rPr>
        <w:t>│   └─ 否 → 继续</w:t>
      </w:r>
    </w:p>
    <w:p>
      <w:pPr>
        <w:spacing w:after="0" w:line="240" w:lineRule="auto"/>
        <w:shd w:fill="F5F5F5" w:val="clear"/>
      </w:pPr>
      <w:r>
        <w:rPr>
          <w:rFonts w:ascii="Consolas" w:hAnsi="Consolas"/>
          <w:color w:val="323232"/>
          <w:sz w:val="18"/>
        </w:rPr>
        <w:t>├─ 是否需要最高画质？</w:t>
      </w:r>
    </w:p>
    <w:p>
      <w:pPr>
        <w:spacing w:after="0" w:line="240" w:lineRule="auto"/>
        <w:shd w:fill="F5F5F5" w:val="clear"/>
      </w:pPr>
      <w:r>
        <w:rPr>
          <w:rFonts w:ascii="Consolas" w:hAnsi="Consolas"/>
          <w:color w:val="323232"/>
          <w:sz w:val="18"/>
        </w:rPr>
        <w:t>│   ├─ 是 → Unreal Engine 5</w:t>
      </w:r>
    </w:p>
    <w:p>
      <w:pPr>
        <w:spacing w:after="0" w:line="240" w:lineRule="auto"/>
        <w:shd w:fill="F5F5F5" w:val="clear"/>
      </w:pPr>
      <w:r>
        <w:rPr>
          <w:rFonts w:ascii="Consolas" w:hAnsi="Consolas"/>
          <w:color w:val="323232"/>
          <w:sz w:val="18"/>
        </w:rPr>
        <w:t>│   │   ├─ 需要 Nanite/Lumen → UE5</w:t>
      </w:r>
    </w:p>
    <w:p>
      <w:pPr>
        <w:spacing w:after="0" w:line="240" w:lineRule="auto"/>
        <w:shd w:fill="F5F5F5" w:val="clear"/>
      </w:pPr>
      <w:r>
        <w:rPr>
          <w:rFonts w:ascii="Consolas" w:hAnsi="Consolas"/>
          <w:color w:val="323232"/>
          <w:sz w:val="18"/>
        </w:rPr>
        <w:t>│   │   └─ 需要蓝图可视化编程 → UE5</w:t>
      </w:r>
    </w:p>
    <w:p>
      <w:pPr>
        <w:spacing w:after="0" w:line="240" w:lineRule="auto"/>
        <w:shd w:fill="F5F5F5" w:val="clear"/>
      </w:pPr>
      <w:r>
        <w:rPr>
          <w:rFonts w:ascii="Consolas" w:hAnsi="Consolas"/>
          <w:color w:val="323232"/>
          <w:sz w:val="18"/>
        </w:rPr>
        <w:t>│   └─ 否 → Unity</w:t>
      </w:r>
    </w:p>
    <w:p>
      <w:pPr>
        <w:spacing w:after="0" w:line="240" w:lineRule="auto"/>
        <w:shd w:fill="F5F5F5" w:val="clear"/>
      </w:pPr>
      <w:r>
        <w:rPr>
          <w:rFonts w:ascii="Consolas" w:hAnsi="Consolas"/>
          <w:color w:val="323232"/>
          <w:sz w:val="18"/>
        </w:rPr>
        <w:t>│       ├─ 需要 AR 开发 → Unity + AR Foundation</w:t>
      </w:r>
    </w:p>
    <w:p>
      <w:pPr>
        <w:spacing w:after="0" w:line="240" w:lineRule="auto"/>
        <w:shd w:fill="F5F5F5" w:val="clear"/>
      </w:pPr>
      <w:r>
        <w:rPr>
          <w:rFonts w:ascii="Consolas" w:hAnsi="Consolas"/>
          <w:color w:val="323232"/>
          <w:sz w:val="18"/>
        </w:rPr>
        <w:t>│       ├─ 需要移动端部署 → Unity (URP)</w:t>
      </w:r>
    </w:p>
    <w:p>
      <w:pPr>
        <w:spacing w:after="0" w:line="240" w:lineRule="auto"/>
        <w:shd w:fill="F5F5F5" w:val="clear"/>
      </w:pPr>
      <w:r>
        <w:rPr>
          <w:rFonts w:ascii="Consolas" w:hAnsi="Consolas"/>
          <w:color w:val="323232"/>
          <w:sz w:val="18"/>
        </w:rPr>
        <w:t>│       ├─ 需要多平台覆盖 → Unity</w:t>
      </w:r>
    </w:p>
    <w:p>
      <w:pPr>
        <w:spacing w:after="0" w:line="240" w:lineRule="auto"/>
        <w:shd w:fill="F5F5F5" w:val="clear"/>
      </w:pPr>
      <w:r>
        <w:rPr>
          <w:rFonts w:ascii="Consolas" w:hAnsi="Consolas"/>
          <w:color w:val="323232"/>
          <w:sz w:val="18"/>
        </w:rPr>
        <w:t>│       └─ 需要 VR/MR 开发 → Unity + OpenXR</w:t>
      </w:r>
    </w:p>
    <w:p/>
    <w:p>
      <w:pPr>
        <w:pStyle w:val="Heading3"/>
      </w:pPr>
      <w:r>
        <w:t>B.4.2 全景相机选型决策表</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使用场景</w:t>
            </w:r>
          </w:p>
        </w:tc>
        <w:tc>
          <w:tcPr>
            <w:tcW w:type="dxa" w:w="1662"/>
            <w:shd w:fill="D9E2F3" w:val="clear"/>
          </w:tcPr>
          <w:p>
            <w:pPr>
              <w:jc w:val="center"/>
            </w:pPr>
            <w:r/>
            <w:r>
              <w:rPr>
                <w:rFonts w:ascii="黑体" w:hAnsi="黑体" w:eastAsia="黑体"/>
                <w:b/>
                <w:sz w:val="20"/>
              </w:rPr>
              <w:t>推荐设备</w:t>
            </w:r>
          </w:p>
        </w:tc>
        <w:tc>
          <w:tcPr>
            <w:tcW w:type="dxa" w:w="1662"/>
            <w:shd w:fill="D9E2F3" w:val="clear"/>
          </w:tcPr>
          <w:p>
            <w:pPr>
              <w:jc w:val="center"/>
            </w:pPr>
            <w:r/>
            <w:r>
              <w:rPr>
                <w:rFonts w:ascii="黑体" w:hAnsi="黑体" w:eastAsia="黑体"/>
                <w:b/>
                <w:sz w:val="20"/>
              </w:rPr>
              <w:t>分辨率要求</w:t>
            </w:r>
          </w:p>
        </w:tc>
        <w:tc>
          <w:tcPr>
            <w:tcW w:type="dxa" w:w="1662"/>
            <w:shd w:fill="D9E2F3" w:val="clear"/>
          </w:tcPr>
          <w:p>
            <w:pPr>
              <w:jc w:val="center"/>
            </w:pPr>
            <w:r/>
            <w:r>
              <w:rPr>
                <w:rFonts w:ascii="黑体" w:hAnsi="黑体" w:eastAsia="黑体"/>
                <w:b/>
                <w:sz w:val="20"/>
              </w:rPr>
              <w:t>预算范围</w:t>
            </w:r>
          </w:p>
        </w:tc>
        <w:tc>
          <w:tcPr>
            <w:tcW w:type="dxa" w:w="1662"/>
            <w:shd w:fill="D9E2F3" w:val="clear"/>
          </w:tcPr>
          <w:p>
            <w:pPr>
              <w:jc w:val="center"/>
            </w:pPr>
            <w:r/>
            <w:r>
              <w:rPr>
                <w:rFonts w:ascii="黑体" w:hAnsi="黑体" w:eastAsia="黑体"/>
                <w:b/>
                <w:sz w:val="20"/>
              </w:rPr>
              <w:t>关键特性</w:t>
            </w:r>
          </w:p>
        </w:tc>
      </w:tr>
      <w:tr>
        <w:tc>
          <w:tcPr>
            <w:tcW w:type="dxa" w:w="1662"/>
          </w:tcPr>
          <w:p>
            <w:r/>
            <w:r>
              <w:rPr>
                <w:rFonts w:ascii="宋体" w:hAnsi="宋体" w:eastAsia="宋体"/>
                <w:sz w:val="20"/>
              </w:rPr>
              <w:t>教育实训入门</w:t>
            </w:r>
          </w:p>
        </w:tc>
        <w:tc>
          <w:tcPr>
            <w:tcW w:type="dxa" w:w="1662"/>
          </w:tcPr>
          <w:p>
            <w:r/>
            <w:r>
              <w:rPr>
                <w:rFonts w:ascii="宋体" w:hAnsi="宋体" w:eastAsia="宋体"/>
                <w:sz w:val="20"/>
              </w:rPr>
              <w:t>Insta360 X4</w:t>
            </w:r>
          </w:p>
        </w:tc>
        <w:tc>
          <w:tcPr>
            <w:tcW w:type="dxa" w:w="1662"/>
          </w:tcPr>
          <w:p>
            <w:r/>
            <w:r>
              <w:rPr>
                <w:rFonts w:ascii="宋体" w:hAnsi="宋体" w:eastAsia="宋体"/>
                <w:sz w:val="20"/>
              </w:rPr>
              <w:t>8K照片</w:t>
            </w:r>
          </w:p>
        </w:tc>
        <w:tc>
          <w:tcPr>
            <w:tcW w:type="dxa" w:w="1662"/>
          </w:tcPr>
          <w:p>
            <w:r/>
            <w:r>
              <w:rPr>
                <w:rFonts w:ascii="宋体" w:hAnsi="宋体" w:eastAsia="宋体"/>
                <w:sz w:val="20"/>
              </w:rPr>
              <w:t>2500-3500元</w:t>
            </w:r>
          </w:p>
        </w:tc>
        <w:tc>
          <w:tcPr>
            <w:tcW w:type="dxa" w:w="1662"/>
          </w:tcPr>
          <w:p>
            <w:r/>
            <w:r>
              <w:rPr>
                <w:rFonts w:ascii="宋体" w:hAnsi="宋体" w:eastAsia="宋体"/>
                <w:sz w:val="20"/>
              </w:rPr>
              <w:t>操作简单、HDR</w:t>
            </w:r>
          </w:p>
        </w:tc>
      </w:tr>
      <w:tr>
        <w:tc>
          <w:tcPr>
            <w:tcW w:type="dxa" w:w="1662"/>
          </w:tcPr>
          <w:p>
            <w:r/>
            <w:r>
              <w:rPr>
                <w:rFonts w:ascii="宋体" w:hAnsi="宋体" w:eastAsia="宋体"/>
                <w:sz w:val="20"/>
              </w:rPr>
              <w:t>景区VR营销</w:t>
            </w:r>
          </w:p>
        </w:tc>
        <w:tc>
          <w:tcPr>
            <w:tcW w:type="dxa" w:w="1662"/>
          </w:tcPr>
          <w:p>
            <w:r/>
            <w:r>
              <w:rPr>
                <w:rFonts w:ascii="宋体" w:hAnsi="宋体" w:eastAsia="宋体"/>
                <w:sz w:val="20"/>
              </w:rPr>
              <w:t>Insta360 X4 / Ricoh Theta Z1</w:t>
            </w:r>
          </w:p>
        </w:tc>
        <w:tc>
          <w:tcPr>
            <w:tcW w:type="dxa" w:w="1662"/>
          </w:tcPr>
          <w:p>
            <w:r/>
            <w:r>
              <w:rPr>
                <w:rFonts w:ascii="宋体" w:hAnsi="宋体" w:eastAsia="宋体"/>
                <w:sz w:val="20"/>
              </w:rPr>
              <w:t>6-8K</w:t>
            </w:r>
          </w:p>
        </w:tc>
        <w:tc>
          <w:tcPr>
            <w:tcW w:type="dxa" w:w="1662"/>
          </w:tcPr>
          <w:p>
            <w:r/>
            <w:r>
              <w:rPr>
                <w:rFonts w:ascii="宋体" w:hAnsi="宋体" w:eastAsia="宋体"/>
                <w:sz w:val="20"/>
              </w:rPr>
              <w:t>2500-6000元</w:t>
            </w:r>
          </w:p>
        </w:tc>
        <w:tc>
          <w:tcPr>
            <w:tcW w:type="dxa" w:w="1662"/>
          </w:tcPr>
          <w:p>
            <w:r/>
            <w:r>
              <w:rPr>
                <w:rFonts w:ascii="宋体" w:hAnsi="宋体" w:eastAsia="宋体"/>
                <w:sz w:val="20"/>
              </w:rPr>
              <w:t>便携、快速发布</w:t>
            </w:r>
          </w:p>
        </w:tc>
      </w:tr>
      <w:tr>
        <w:tc>
          <w:tcPr>
            <w:tcW w:type="dxa" w:w="1662"/>
          </w:tcPr>
          <w:p>
            <w:r/>
            <w:r>
              <w:rPr>
                <w:rFonts w:ascii="宋体" w:hAnsi="宋体" w:eastAsia="宋体"/>
                <w:sz w:val="20"/>
              </w:rPr>
              <w:t>专业景区制作</w:t>
            </w:r>
          </w:p>
        </w:tc>
        <w:tc>
          <w:tcPr>
            <w:tcW w:type="dxa" w:w="1662"/>
          </w:tcPr>
          <w:p>
            <w:r/>
            <w:r>
              <w:rPr>
                <w:rFonts w:ascii="宋体" w:hAnsi="宋体" w:eastAsia="宋体"/>
                <w:sz w:val="20"/>
              </w:rPr>
              <w:t>Insta360 Pro 2</w:t>
            </w:r>
          </w:p>
        </w:tc>
        <w:tc>
          <w:tcPr>
            <w:tcW w:type="dxa" w:w="1662"/>
          </w:tcPr>
          <w:p>
            <w:r/>
            <w:r>
              <w:rPr>
                <w:rFonts w:ascii="宋体" w:hAnsi="宋体" w:eastAsia="宋体"/>
                <w:sz w:val="20"/>
              </w:rPr>
              <w:t>8K 3D</w:t>
            </w:r>
          </w:p>
        </w:tc>
        <w:tc>
          <w:tcPr>
            <w:tcW w:type="dxa" w:w="1662"/>
          </w:tcPr>
          <w:p>
            <w:r/>
            <w:r>
              <w:rPr>
                <w:rFonts w:ascii="宋体" w:hAnsi="宋体" w:eastAsia="宋体"/>
                <w:sz w:val="20"/>
              </w:rPr>
              <w:t>20000-30000元</w:t>
            </w:r>
          </w:p>
        </w:tc>
        <w:tc>
          <w:tcPr>
            <w:tcW w:type="dxa" w:w="1662"/>
          </w:tcPr>
          <w:p>
            <w:r/>
            <w:r>
              <w:rPr>
                <w:rFonts w:ascii="宋体" w:hAnsi="宋体" w:eastAsia="宋体"/>
                <w:sz w:val="20"/>
              </w:rPr>
              <w:t>3D立体、专业拼接</w:t>
            </w:r>
          </w:p>
        </w:tc>
      </w:tr>
      <w:tr>
        <w:tc>
          <w:tcPr>
            <w:tcW w:type="dxa" w:w="1662"/>
          </w:tcPr>
          <w:p>
            <w:r/>
            <w:r>
              <w:rPr>
                <w:rFonts w:ascii="宋体" w:hAnsi="宋体" w:eastAsia="宋体"/>
                <w:sz w:val="20"/>
              </w:rPr>
              <w:t>博物馆数字存档</w:t>
            </w:r>
          </w:p>
        </w:tc>
        <w:tc>
          <w:tcPr>
            <w:tcW w:type="dxa" w:w="1662"/>
          </w:tcPr>
          <w:p>
            <w:r/>
            <w:r>
              <w:rPr>
                <w:rFonts w:ascii="宋体" w:hAnsi="宋体" w:eastAsia="宋体"/>
                <w:sz w:val="20"/>
              </w:rPr>
              <w:t>Kandao Obsidian Pro</w:t>
            </w:r>
          </w:p>
        </w:tc>
        <w:tc>
          <w:tcPr>
            <w:tcW w:type="dxa" w:w="1662"/>
          </w:tcPr>
          <w:p>
            <w:r/>
            <w:r>
              <w:rPr>
                <w:rFonts w:ascii="宋体" w:hAnsi="宋体" w:eastAsia="宋体"/>
                <w:sz w:val="20"/>
              </w:rPr>
              <w:t>8K+ 3D</w:t>
            </w:r>
          </w:p>
        </w:tc>
        <w:tc>
          <w:tcPr>
            <w:tcW w:type="dxa" w:w="1662"/>
          </w:tcPr>
          <w:p>
            <w:r/>
            <w:r>
              <w:rPr>
                <w:rFonts w:ascii="宋体" w:hAnsi="宋体" w:eastAsia="宋体"/>
                <w:sz w:val="20"/>
              </w:rPr>
              <w:t>30000-50000元</w:t>
            </w:r>
          </w:p>
        </w:tc>
        <w:tc>
          <w:tcPr>
            <w:tcW w:type="dxa" w:w="1662"/>
          </w:tcPr>
          <w:p>
            <w:r/>
            <w:r>
              <w:rPr>
                <w:rFonts w:ascii="宋体" w:hAnsi="宋体" w:eastAsia="宋体"/>
                <w:sz w:val="20"/>
              </w:rPr>
              <w:t>最高画质、RAW输出</w:t>
            </w:r>
          </w:p>
        </w:tc>
      </w:tr>
      <w:tr>
        <w:tc>
          <w:tcPr>
            <w:tcW w:type="dxa" w:w="1662"/>
          </w:tcPr>
          <w:p>
            <w:r/>
            <w:r>
              <w:rPr>
                <w:rFonts w:ascii="宋体" w:hAnsi="宋体" w:eastAsia="宋体"/>
                <w:sz w:val="20"/>
              </w:rPr>
              <w:t>活动直播</w:t>
            </w:r>
          </w:p>
        </w:tc>
        <w:tc>
          <w:tcPr>
            <w:tcW w:type="dxa" w:w="1662"/>
          </w:tcPr>
          <w:p>
            <w:r/>
            <w:r>
              <w:rPr>
                <w:rFonts w:ascii="宋体" w:hAnsi="宋体" w:eastAsia="宋体"/>
                <w:sz w:val="20"/>
              </w:rPr>
              <w:t>Insta360 Pro 2</w:t>
            </w:r>
          </w:p>
        </w:tc>
        <w:tc>
          <w:tcPr>
            <w:tcW w:type="dxa" w:w="1662"/>
          </w:tcPr>
          <w:p>
            <w:r/>
            <w:r>
              <w:rPr>
                <w:rFonts w:ascii="宋体" w:hAnsi="宋体" w:eastAsia="宋体"/>
                <w:sz w:val="20"/>
              </w:rPr>
              <w:t>4K直播</w:t>
            </w:r>
          </w:p>
        </w:tc>
        <w:tc>
          <w:tcPr>
            <w:tcW w:type="dxa" w:w="1662"/>
          </w:tcPr>
          <w:p>
            <w:r/>
            <w:r>
              <w:rPr>
                <w:rFonts w:ascii="宋体" w:hAnsi="宋体" w:eastAsia="宋体"/>
                <w:sz w:val="20"/>
              </w:rPr>
              <w:t>20000-30000元</w:t>
            </w:r>
          </w:p>
        </w:tc>
        <w:tc>
          <w:tcPr>
            <w:tcW w:type="dxa" w:w="1662"/>
          </w:tcPr>
          <w:p>
            <w:r/>
            <w:r>
              <w:rPr>
                <w:rFonts w:ascii="宋体" w:hAnsi="宋体" w:eastAsia="宋体"/>
                <w:sz w:val="20"/>
              </w:rPr>
              <w:t>实时拼接、RTMP推流</w:t>
            </w:r>
          </w:p>
        </w:tc>
      </w:tr>
    </w:tbl>
    <w:p/>
    <w:p/>
    <w:p>
      <w:pPr>
        <w:pStyle w:val="Heading3"/>
      </w:pPr>
      <w:r>
        <w:t>B.4.3 3D 扫描设备选型</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使用场景</w:t>
            </w:r>
          </w:p>
        </w:tc>
        <w:tc>
          <w:tcPr>
            <w:tcW w:type="dxa" w:w="1662"/>
            <w:shd w:fill="D9E2F3" w:val="clear"/>
          </w:tcPr>
          <w:p>
            <w:pPr>
              <w:jc w:val="center"/>
            </w:pPr>
            <w:r/>
            <w:r>
              <w:rPr>
                <w:rFonts w:ascii="黑体" w:hAnsi="黑体" w:eastAsia="黑体"/>
                <w:b/>
                <w:sz w:val="20"/>
              </w:rPr>
              <w:t>推荐设备</w:t>
            </w:r>
          </w:p>
        </w:tc>
        <w:tc>
          <w:tcPr>
            <w:tcW w:type="dxa" w:w="1662"/>
            <w:shd w:fill="D9E2F3" w:val="clear"/>
          </w:tcPr>
          <w:p>
            <w:pPr>
              <w:jc w:val="center"/>
            </w:pPr>
            <w:r/>
            <w:r>
              <w:rPr>
                <w:rFonts w:ascii="黑体" w:hAnsi="黑体" w:eastAsia="黑体"/>
                <w:b/>
                <w:sz w:val="20"/>
              </w:rPr>
              <w:t>精度要求</w:t>
            </w:r>
          </w:p>
        </w:tc>
        <w:tc>
          <w:tcPr>
            <w:tcW w:type="dxa" w:w="1662"/>
            <w:shd w:fill="D9E2F3" w:val="clear"/>
          </w:tcPr>
          <w:p>
            <w:pPr>
              <w:jc w:val="center"/>
            </w:pPr>
            <w:r/>
            <w:r>
              <w:rPr>
                <w:rFonts w:ascii="黑体" w:hAnsi="黑体" w:eastAsia="黑体"/>
                <w:b/>
                <w:sz w:val="20"/>
              </w:rPr>
              <w:t>预算范围</w:t>
            </w:r>
          </w:p>
        </w:tc>
        <w:tc>
          <w:tcPr>
            <w:tcW w:type="dxa" w:w="1662"/>
            <w:shd w:fill="D9E2F3" w:val="clear"/>
          </w:tcPr>
          <w:p>
            <w:pPr>
              <w:jc w:val="center"/>
            </w:pPr>
            <w:r/>
            <w:r>
              <w:rPr>
                <w:rFonts w:ascii="黑体" w:hAnsi="黑体" w:eastAsia="黑体"/>
                <w:b/>
                <w:sz w:val="20"/>
              </w:rPr>
              <w:t>输出格式</w:t>
            </w:r>
          </w:p>
        </w:tc>
      </w:tr>
      <w:tr>
        <w:tc>
          <w:tcPr>
            <w:tcW w:type="dxa" w:w="1662"/>
          </w:tcPr>
          <w:p>
            <w:r/>
            <w:r>
              <w:rPr>
                <w:rFonts w:ascii="宋体" w:hAnsi="宋体" w:eastAsia="宋体"/>
                <w:sz w:val="20"/>
              </w:rPr>
              <w:t>文物精细扫描</w:t>
            </w:r>
          </w:p>
        </w:tc>
        <w:tc>
          <w:tcPr>
            <w:tcW w:type="dxa" w:w="1662"/>
          </w:tcPr>
          <w:p>
            <w:r/>
            <w:r>
              <w:rPr>
                <w:rFonts w:ascii="宋体" w:hAnsi="宋体" w:eastAsia="宋体"/>
                <w:sz w:val="20"/>
              </w:rPr>
              <w:t>Artec Eva / EinScan Pro HD</w:t>
            </w:r>
          </w:p>
        </w:tc>
        <w:tc>
          <w:tcPr>
            <w:tcW w:type="dxa" w:w="1662"/>
          </w:tcPr>
          <w:p>
            <w:r/>
            <w:r>
              <w:rPr>
                <w:rFonts w:ascii="宋体" w:hAnsi="宋体" w:eastAsia="宋体"/>
                <w:sz w:val="20"/>
              </w:rPr>
              <w:t>0.05-0.1mm</w:t>
            </w:r>
          </w:p>
        </w:tc>
        <w:tc>
          <w:tcPr>
            <w:tcW w:type="dxa" w:w="1662"/>
          </w:tcPr>
          <w:p>
            <w:r/>
            <w:r>
              <w:rPr>
                <w:rFonts w:ascii="宋体" w:hAnsi="宋体" w:eastAsia="宋体"/>
                <w:sz w:val="20"/>
              </w:rPr>
              <w:t>20000-120000元</w:t>
            </w:r>
          </w:p>
        </w:tc>
        <w:tc>
          <w:tcPr>
            <w:tcW w:type="dxa" w:w="1662"/>
          </w:tcPr>
          <w:p>
            <w:r/>
            <w:r>
              <w:rPr>
                <w:rFonts w:ascii="宋体" w:hAnsi="宋体" w:eastAsia="宋体"/>
                <w:sz w:val="20"/>
              </w:rPr>
              <w:t>OBJ/PLY+纹理</w:t>
            </w:r>
          </w:p>
        </w:tc>
      </w:tr>
      <w:tr>
        <w:tc>
          <w:tcPr>
            <w:tcW w:type="dxa" w:w="1662"/>
          </w:tcPr>
          <w:p>
            <w:r/>
            <w:r>
              <w:rPr>
                <w:rFonts w:ascii="宋体" w:hAnsi="宋体" w:eastAsia="宋体"/>
                <w:sz w:val="20"/>
              </w:rPr>
              <w:t>建筑外观扫描</w:t>
            </w:r>
          </w:p>
        </w:tc>
        <w:tc>
          <w:tcPr>
            <w:tcW w:type="dxa" w:w="1662"/>
          </w:tcPr>
          <w:p>
            <w:r/>
            <w:r>
              <w:rPr>
                <w:rFonts w:ascii="宋体" w:hAnsi="宋体" w:eastAsia="宋体"/>
                <w:sz w:val="20"/>
              </w:rPr>
              <w:t>无人机倾斜摄影</w:t>
            </w:r>
          </w:p>
        </w:tc>
        <w:tc>
          <w:tcPr>
            <w:tcW w:type="dxa" w:w="1662"/>
          </w:tcPr>
          <w:p>
            <w:r/>
            <w:r>
              <w:rPr>
                <w:rFonts w:ascii="宋体" w:hAnsi="宋体" w:eastAsia="宋体"/>
                <w:sz w:val="20"/>
              </w:rPr>
              <w:t>5-50mm</w:t>
            </w:r>
          </w:p>
        </w:tc>
        <w:tc>
          <w:tcPr>
            <w:tcW w:type="dxa" w:w="1662"/>
          </w:tcPr>
          <w:p>
            <w:r/>
            <w:r>
              <w:rPr>
                <w:rFonts w:ascii="宋体" w:hAnsi="宋体" w:eastAsia="宋体"/>
                <w:sz w:val="20"/>
              </w:rPr>
              <w:t>30000-80000元</w:t>
            </w:r>
          </w:p>
        </w:tc>
        <w:tc>
          <w:tcPr>
            <w:tcW w:type="dxa" w:w="1662"/>
          </w:tcPr>
          <w:p>
            <w:r/>
            <w:r>
              <w:rPr>
                <w:rFonts w:ascii="宋体" w:hAnsi="宋体" w:eastAsia="宋体"/>
                <w:sz w:val="20"/>
              </w:rPr>
              <w:t>OBJ/OSGB</w:t>
            </w:r>
          </w:p>
        </w:tc>
      </w:tr>
      <w:tr>
        <w:tc>
          <w:tcPr>
            <w:tcW w:type="dxa" w:w="1662"/>
          </w:tcPr>
          <w:p>
            <w:r/>
            <w:r>
              <w:rPr>
                <w:rFonts w:ascii="宋体" w:hAnsi="宋体" w:eastAsia="宋体"/>
                <w:sz w:val="20"/>
              </w:rPr>
              <w:t>室内空间扫描</w:t>
            </w:r>
          </w:p>
        </w:tc>
        <w:tc>
          <w:tcPr>
            <w:tcW w:type="dxa" w:w="1662"/>
          </w:tcPr>
          <w:p>
            <w:r/>
            <w:r>
              <w:rPr>
                <w:rFonts w:ascii="宋体" w:hAnsi="宋体" w:eastAsia="宋体"/>
                <w:sz w:val="20"/>
              </w:rPr>
              <w:t>LiDAR (iPad/iPhone)</w:t>
            </w:r>
          </w:p>
        </w:tc>
        <w:tc>
          <w:tcPr>
            <w:tcW w:type="dxa" w:w="1662"/>
          </w:tcPr>
          <w:p>
            <w:r/>
            <w:r>
              <w:rPr>
                <w:rFonts w:ascii="宋体" w:hAnsi="宋体" w:eastAsia="宋体"/>
                <w:sz w:val="20"/>
              </w:rPr>
              <w:t>1-5cm</w:t>
            </w:r>
          </w:p>
        </w:tc>
        <w:tc>
          <w:tcPr>
            <w:tcW w:type="dxa" w:w="1662"/>
          </w:tcPr>
          <w:p>
            <w:r/>
            <w:r>
              <w:rPr>
                <w:rFonts w:ascii="宋体" w:hAnsi="宋体" w:eastAsia="宋体"/>
                <w:sz w:val="20"/>
              </w:rPr>
              <w:t>设备本身</w:t>
            </w:r>
          </w:p>
        </w:tc>
        <w:tc>
          <w:tcPr>
            <w:tcW w:type="dxa" w:w="1662"/>
          </w:tcPr>
          <w:p>
            <w:r/>
            <w:r>
              <w:rPr>
                <w:rFonts w:ascii="宋体" w:hAnsi="宋体" w:eastAsia="宋体"/>
                <w:sz w:val="20"/>
              </w:rPr>
              <w:t>USDZ/PLY</w:t>
            </w:r>
          </w:p>
        </w:tc>
      </w:tr>
      <w:tr>
        <w:tc>
          <w:tcPr>
            <w:tcW w:type="dxa" w:w="1662"/>
          </w:tcPr>
          <w:p>
            <w:r/>
            <w:r>
              <w:rPr>
                <w:rFonts w:ascii="宋体" w:hAnsi="宋体" w:eastAsia="宋体"/>
                <w:sz w:val="20"/>
              </w:rPr>
              <w:t>人物动作捕捉</w:t>
            </w:r>
          </w:p>
        </w:tc>
        <w:tc>
          <w:tcPr>
            <w:tcW w:type="dxa" w:w="1662"/>
          </w:tcPr>
          <w:p>
            <w:r/>
            <w:r>
              <w:rPr>
                <w:rFonts w:ascii="宋体" w:hAnsi="宋体" w:eastAsia="宋体"/>
                <w:sz w:val="20"/>
              </w:rPr>
              <w:t>Azure Kinect / OptiTrack</w:t>
            </w:r>
          </w:p>
        </w:tc>
        <w:tc>
          <w:tcPr>
            <w:tcW w:type="dxa" w:w="1662"/>
          </w:tcPr>
          <w:p>
            <w:r/>
            <w:r>
              <w:rPr>
                <w:rFonts w:ascii="宋体" w:hAnsi="宋体" w:eastAsia="宋体"/>
                <w:sz w:val="20"/>
              </w:rPr>
              <w:t>1-5mm</w:t>
            </w:r>
          </w:p>
        </w:tc>
        <w:tc>
          <w:tcPr>
            <w:tcW w:type="dxa" w:w="1662"/>
          </w:tcPr>
          <w:p>
            <w:r/>
            <w:r>
              <w:rPr>
                <w:rFonts w:ascii="宋体" w:hAnsi="宋体" w:eastAsia="宋体"/>
                <w:sz w:val="20"/>
              </w:rPr>
              <w:t>2000-200000元</w:t>
            </w:r>
          </w:p>
        </w:tc>
        <w:tc>
          <w:tcPr>
            <w:tcW w:type="dxa" w:w="1662"/>
          </w:tcPr>
          <w:p>
            <w:r/>
            <w:r>
              <w:rPr>
                <w:rFonts w:ascii="宋体" w:hAnsi="宋体" w:eastAsia="宋体"/>
                <w:sz w:val="20"/>
              </w:rPr>
              <w:t>BVH/FBX</w:t>
            </w:r>
          </w:p>
        </w:tc>
      </w:tr>
      <w:tr>
        <w:tc>
          <w:tcPr>
            <w:tcW w:type="dxa" w:w="1662"/>
          </w:tcPr>
          <w:p>
            <w:r/>
            <w:r>
              <w:rPr>
                <w:rFonts w:ascii="宋体" w:hAnsi="宋体" w:eastAsia="宋体"/>
                <w:sz w:val="20"/>
              </w:rPr>
              <w:t>快速原型扫描</w:t>
            </w:r>
          </w:p>
        </w:tc>
        <w:tc>
          <w:tcPr>
            <w:tcW w:type="dxa" w:w="1662"/>
          </w:tcPr>
          <w:p>
            <w:r/>
            <w:r>
              <w:rPr>
                <w:rFonts w:ascii="宋体" w:hAnsi="宋体" w:eastAsia="宋体"/>
                <w:sz w:val="20"/>
              </w:rPr>
              <w:t>iPhone LiDAR</w:t>
            </w:r>
          </w:p>
        </w:tc>
        <w:tc>
          <w:tcPr>
            <w:tcW w:type="dxa" w:w="1662"/>
          </w:tcPr>
          <w:p>
            <w:r/>
            <w:r>
              <w:rPr>
                <w:rFonts w:ascii="宋体" w:hAnsi="宋体" w:eastAsia="宋体"/>
                <w:sz w:val="20"/>
              </w:rPr>
              <w:t>1-5cm</w:t>
            </w:r>
          </w:p>
        </w:tc>
        <w:tc>
          <w:tcPr>
            <w:tcW w:type="dxa" w:w="1662"/>
          </w:tcPr>
          <w:p>
            <w:r/>
            <w:r>
              <w:rPr>
                <w:rFonts w:ascii="宋体" w:hAnsi="宋体" w:eastAsia="宋体"/>
                <w:sz w:val="20"/>
              </w:rPr>
              <w:t>手机价格</w:t>
            </w:r>
          </w:p>
        </w:tc>
        <w:tc>
          <w:tcPr>
            <w:tcW w:type="dxa" w:w="1662"/>
          </w:tcPr>
          <w:p>
            <w:r/>
            <w:r>
              <w:rPr>
                <w:rFonts w:ascii="宋体" w:hAnsi="宋体" w:eastAsia="宋体"/>
                <w:sz w:val="20"/>
              </w:rPr>
              <w:t>USDZ/OBJ</w:t>
            </w:r>
          </w:p>
        </w:tc>
      </w:tr>
    </w:tbl>
    <w:p/>
    <w:p/>
    <w:p>
      <w:pPr>
        <w:pStyle w:val="Heading3"/>
      </w:pPr>
      <w:r>
        <w:t>B.4.4 项目成本估算参考</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项目类型</w:t>
            </w:r>
          </w:p>
        </w:tc>
        <w:tc>
          <w:tcPr>
            <w:tcW w:type="dxa" w:w="2078"/>
            <w:shd w:fill="D9E2F3" w:val="clear"/>
          </w:tcPr>
          <w:p>
            <w:pPr>
              <w:jc w:val="center"/>
            </w:pPr>
            <w:r/>
            <w:r>
              <w:rPr>
                <w:rFonts w:ascii="黑体" w:hAnsi="黑体" w:eastAsia="黑体"/>
                <w:b/>
                <w:sz w:val="20"/>
              </w:rPr>
              <w:t>基础版</w:t>
            </w:r>
          </w:p>
        </w:tc>
        <w:tc>
          <w:tcPr>
            <w:tcW w:type="dxa" w:w="2078"/>
            <w:shd w:fill="D9E2F3" w:val="clear"/>
          </w:tcPr>
          <w:p>
            <w:pPr>
              <w:jc w:val="center"/>
            </w:pPr>
            <w:r/>
            <w:r>
              <w:rPr>
                <w:rFonts w:ascii="黑体" w:hAnsi="黑体" w:eastAsia="黑体"/>
                <w:b/>
                <w:sz w:val="20"/>
              </w:rPr>
              <w:t>标准版</w:t>
            </w:r>
          </w:p>
        </w:tc>
        <w:tc>
          <w:tcPr>
            <w:tcW w:type="dxa" w:w="2078"/>
            <w:shd w:fill="D9E2F3" w:val="clear"/>
          </w:tcPr>
          <w:p>
            <w:pPr>
              <w:jc w:val="center"/>
            </w:pPr>
            <w:r/>
            <w:r>
              <w:rPr>
                <w:rFonts w:ascii="黑体" w:hAnsi="黑体" w:eastAsia="黑体"/>
                <w:b/>
                <w:sz w:val="20"/>
              </w:rPr>
              <w:t>专业版</w:t>
            </w:r>
          </w:p>
        </w:tc>
      </w:tr>
      <w:tr>
        <w:tc>
          <w:tcPr>
            <w:tcW w:type="dxa" w:w="2078"/>
          </w:tcPr>
          <w:p>
            <w:r/>
            <w:r>
              <w:rPr>
                <w:rFonts w:ascii="宋体" w:hAnsi="宋体" w:eastAsia="宋体"/>
                <w:sz w:val="20"/>
              </w:rPr>
              <w:t>VR全景景区漫游</w:t>
            </w:r>
          </w:p>
        </w:tc>
        <w:tc>
          <w:tcPr>
            <w:tcW w:type="dxa" w:w="2078"/>
          </w:tcPr>
          <w:p>
            <w:r/>
            <w:r>
              <w:rPr>
                <w:rFonts w:ascii="宋体" w:hAnsi="宋体" w:eastAsia="宋体"/>
                <w:sz w:val="20"/>
              </w:rPr>
              <w:t>3-5万</w:t>
            </w:r>
          </w:p>
        </w:tc>
        <w:tc>
          <w:tcPr>
            <w:tcW w:type="dxa" w:w="2078"/>
          </w:tcPr>
          <w:p>
            <w:r/>
            <w:r>
              <w:rPr>
                <w:rFonts w:ascii="宋体" w:hAnsi="宋体" w:eastAsia="宋体"/>
                <w:sz w:val="20"/>
              </w:rPr>
              <w:t>5-10万</w:t>
            </w:r>
          </w:p>
        </w:tc>
        <w:tc>
          <w:tcPr>
            <w:tcW w:type="dxa" w:w="2078"/>
          </w:tcPr>
          <w:p>
            <w:r/>
            <w:r>
              <w:rPr>
                <w:rFonts w:ascii="宋体" w:hAnsi="宋体" w:eastAsia="宋体"/>
                <w:sz w:val="20"/>
              </w:rPr>
              <w:t>10-20万</w:t>
            </w:r>
          </w:p>
        </w:tc>
      </w:tr>
      <w:tr>
        <w:tc>
          <w:tcPr>
            <w:tcW w:type="dxa" w:w="2078"/>
          </w:tcPr>
          <w:p>
            <w:r/>
            <w:r>
              <w:rPr>
                <w:rFonts w:ascii="宋体" w:hAnsi="宋体" w:eastAsia="宋体"/>
                <w:sz w:val="20"/>
              </w:rPr>
              <w:t>AR文化导览应用</w:t>
            </w:r>
          </w:p>
        </w:tc>
        <w:tc>
          <w:tcPr>
            <w:tcW w:type="dxa" w:w="2078"/>
          </w:tcPr>
          <w:p>
            <w:r/>
            <w:r>
              <w:rPr>
                <w:rFonts w:ascii="宋体" w:hAnsi="宋体" w:eastAsia="宋体"/>
                <w:sz w:val="20"/>
              </w:rPr>
              <w:t>5-10万</w:t>
            </w:r>
          </w:p>
        </w:tc>
        <w:tc>
          <w:tcPr>
            <w:tcW w:type="dxa" w:w="2078"/>
          </w:tcPr>
          <w:p>
            <w:r/>
            <w:r>
              <w:rPr>
                <w:rFonts w:ascii="宋体" w:hAnsi="宋体" w:eastAsia="宋体"/>
                <w:sz w:val="20"/>
              </w:rPr>
              <w:t>10-20万</w:t>
            </w:r>
          </w:p>
        </w:tc>
        <w:tc>
          <w:tcPr>
            <w:tcW w:type="dxa" w:w="2078"/>
          </w:tcPr>
          <w:p>
            <w:r/>
            <w:r>
              <w:rPr>
                <w:rFonts w:ascii="宋体" w:hAnsi="宋体" w:eastAsia="宋体"/>
                <w:sz w:val="20"/>
              </w:rPr>
              <w:t>20-40万</w:t>
            </w:r>
          </w:p>
        </w:tc>
      </w:tr>
      <w:tr>
        <w:tc>
          <w:tcPr>
            <w:tcW w:type="dxa" w:w="2078"/>
          </w:tcPr>
          <w:p>
            <w:r/>
            <w:r>
              <w:rPr>
                <w:rFonts w:ascii="宋体" w:hAnsi="宋体" w:eastAsia="宋体"/>
                <w:sz w:val="20"/>
              </w:rPr>
              <w:t>VR沉浸式体验</w:t>
            </w:r>
          </w:p>
        </w:tc>
        <w:tc>
          <w:tcPr>
            <w:tcW w:type="dxa" w:w="2078"/>
          </w:tcPr>
          <w:p>
            <w:r/>
            <w:r>
              <w:rPr>
                <w:rFonts w:ascii="宋体" w:hAnsi="宋体" w:eastAsia="宋体"/>
                <w:sz w:val="20"/>
              </w:rPr>
              <w:t>8-15万</w:t>
            </w:r>
          </w:p>
        </w:tc>
        <w:tc>
          <w:tcPr>
            <w:tcW w:type="dxa" w:w="2078"/>
          </w:tcPr>
          <w:p>
            <w:r/>
            <w:r>
              <w:rPr>
                <w:rFonts w:ascii="宋体" w:hAnsi="宋体" w:eastAsia="宋体"/>
                <w:sz w:val="20"/>
              </w:rPr>
              <w:t>15-30万</w:t>
            </w:r>
          </w:p>
        </w:tc>
        <w:tc>
          <w:tcPr>
            <w:tcW w:type="dxa" w:w="2078"/>
          </w:tcPr>
          <w:p>
            <w:r/>
            <w:r>
              <w:rPr>
                <w:rFonts w:ascii="宋体" w:hAnsi="宋体" w:eastAsia="宋体"/>
                <w:sz w:val="20"/>
              </w:rPr>
              <w:t>30-80万</w:t>
            </w:r>
          </w:p>
        </w:tc>
      </w:tr>
      <w:tr>
        <w:tc>
          <w:tcPr>
            <w:tcW w:type="dxa" w:w="2078"/>
          </w:tcPr>
          <w:p>
            <w:r/>
            <w:r>
              <w:rPr>
                <w:rFonts w:ascii="宋体" w:hAnsi="宋体" w:eastAsia="宋体"/>
                <w:sz w:val="20"/>
              </w:rPr>
              <w:t>文旅元宇宙平台</w:t>
            </w:r>
          </w:p>
        </w:tc>
        <w:tc>
          <w:tcPr>
            <w:tcW w:type="dxa" w:w="2078"/>
          </w:tcPr>
          <w:p>
            <w:r/>
            <w:r>
              <w:rPr>
                <w:rFonts w:ascii="宋体" w:hAnsi="宋体" w:eastAsia="宋体"/>
                <w:sz w:val="20"/>
              </w:rPr>
              <w:t>20-50万</w:t>
            </w:r>
          </w:p>
        </w:tc>
        <w:tc>
          <w:tcPr>
            <w:tcW w:type="dxa" w:w="2078"/>
          </w:tcPr>
          <w:p>
            <w:r/>
            <w:r>
              <w:rPr>
                <w:rFonts w:ascii="宋体" w:hAnsi="宋体" w:eastAsia="宋体"/>
                <w:sz w:val="20"/>
              </w:rPr>
              <w:t>50-100万</w:t>
            </w:r>
          </w:p>
        </w:tc>
        <w:tc>
          <w:tcPr>
            <w:tcW w:type="dxa" w:w="2078"/>
          </w:tcPr>
          <w:p>
            <w:r/>
            <w:r>
              <w:rPr>
                <w:rFonts w:ascii="宋体" w:hAnsi="宋体" w:eastAsia="宋体"/>
                <w:sz w:val="20"/>
              </w:rPr>
              <w:t>100-300万</w:t>
            </w:r>
          </w:p>
        </w:tc>
      </w:tr>
      <w:tr>
        <w:tc>
          <w:tcPr>
            <w:tcW w:type="dxa" w:w="2078"/>
          </w:tcPr>
          <w:p>
            <w:r/>
            <w:r>
              <w:rPr>
                <w:rFonts w:ascii="宋体" w:hAnsi="宋体" w:eastAsia="宋体"/>
                <w:sz w:val="20"/>
              </w:rPr>
              <w:t>博物馆数字展厅</w:t>
            </w:r>
          </w:p>
        </w:tc>
        <w:tc>
          <w:tcPr>
            <w:tcW w:type="dxa" w:w="2078"/>
          </w:tcPr>
          <w:p>
            <w:r/>
            <w:r>
              <w:rPr>
                <w:rFonts w:ascii="宋体" w:hAnsi="宋体" w:eastAsia="宋体"/>
                <w:sz w:val="20"/>
              </w:rPr>
              <w:t>10-20万</w:t>
            </w:r>
          </w:p>
        </w:tc>
        <w:tc>
          <w:tcPr>
            <w:tcW w:type="dxa" w:w="2078"/>
          </w:tcPr>
          <w:p>
            <w:r/>
            <w:r>
              <w:rPr>
                <w:rFonts w:ascii="宋体" w:hAnsi="宋体" w:eastAsia="宋体"/>
                <w:sz w:val="20"/>
              </w:rPr>
              <w:t>20-50万</w:t>
            </w:r>
          </w:p>
        </w:tc>
        <w:tc>
          <w:tcPr>
            <w:tcW w:type="dxa" w:w="2078"/>
          </w:tcPr>
          <w:p>
            <w:r/>
            <w:r>
              <w:rPr>
                <w:rFonts w:ascii="宋体" w:hAnsi="宋体" w:eastAsia="宋体"/>
                <w:sz w:val="20"/>
              </w:rPr>
              <w:t>50-150万</w:t>
            </w:r>
          </w:p>
        </w:tc>
      </w:tr>
    </w:tbl>
    <w:p/>
    <w:p/>
    <w:p>
      <w:pPr>
        <w:ind w:firstLine="482"/>
      </w:pPr>
      <w:r>
        <w:rPr>
          <w:rFonts w:ascii="宋体" w:hAnsi="宋体" w:eastAsia="宋体"/>
          <w:sz w:val="24"/>
        </w:rPr>
        <w:t>注：以上为参考价格，实际成本取决于内容复杂度、3D资产数量、交互功能深度和团队资质等因素。</w:t>
      </w:r>
    </w:p>
    <w:p/>
    <w:p/>
    <w:p/>
    <w:p>
      <w:pPr>
        <w:pStyle w:val="Heading2"/>
      </w:pPr>
      <w:r>
        <w:t>B.5 开发环境配置指南</w:t>
      </w:r>
    </w:p>
    <w:p/>
    <w:p>
      <w:pPr>
        <w:pStyle w:val="Heading3"/>
      </w:pPr>
      <w:r>
        <w:t>B.5.1 Unity VR 开发环境配置</w:t>
      </w:r>
    </w:p>
    <w:p/>
    <w:p>
      <w:pPr>
        <w:ind w:firstLine="482"/>
      </w:pPr>
      <w:r>
        <w:rPr>
          <w:rFonts w:ascii="宋体" w:hAnsi="宋体" w:eastAsia="宋体"/>
          <w:b/>
          <w:sz w:val="24"/>
        </w:rPr>
        <w:t>步骤一：安装 Unity Hub 和 Unity Editor</w:t>
      </w:r>
    </w:p>
    <w:p/>
    <w:p>
      <w:pPr>
        <w:ind w:firstLine="482"/>
      </w:pPr>
      <w:r>
        <w:rPr>
          <w:rFonts w:ascii="宋体" w:hAnsi="宋体" w:eastAsia="宋体"/>
          <w:sz w:val="24"/>
        </w:rPr>
        <w:t>从 unity.com 下载 Unity Hub，通过 Hub 安装 Unity 2022 LTS 或更新版本。安装时勾选以下模块：</w:t>
      </w:r>
    </w:p>
    <w:p>
      <w:pPr>
        <w:pStyle w:val="ListBullet"/>
      </w:pPr>
      <w:r>
        <w:rPr>
          <w:rFonts w:ascii="宋体" w:hAnsi="宋体" w:eastAsia="宋体"/>
          <w:sz w:val="24"/>
        </w:rPr>
        <w:t>Android Build Support（含 SDK &amp; NDK）——用于 Android/Quest 构建</w:t>
      </w:r>
    </w:p>
    <w:p>
      <w:pPr>
        <w:pStyle w:val="ListBullet"/>
      </w:pPr>
      <w:r>
        <w:rPr>
          <w:rFonts w:ascii="宋体" w:hAnsi="宋体" w:eastAsia="宋体"/>
          <w:sz w:val="24"/>
        </w:rPr>
        <w:t>iOS Build Support——用于 iOS AR 应用构建</w:t>
      </w:r>
    </w:p>
    <w:p>
      <w:pPr>
        <w:pStyle w:val="ListBullet"/>
      </w:pPr>
      <w:r>
        <w:rPr>
          <w:rFonts w:ascii="宋体" w:hAnsi="宋体" w:eastAsia="宋体"/>
          <w:sz w:val="24"/>
        </w:rPr>
        <w:t>Universal Windows Platform——用于 PC VR 构建</w:t>
      </w:r>
    </w:p>
    <w:p>
      <w:pPr>
        <w:pStyle w:val="ListBullet"/>
      </w:pPr>
      <w:r>
        <w:rPr>
          <w:rFonts w:ascii="宋体" w:hAnsi="宋体" w:eastAsia="宋体"/>
          <w:sz w:val="24"/>
        </w:rPr>
        <w:t>WebGL——用于 WebVR 构建</w:t>
      </w:r>
    </w:p>
    <w:p/>
    <w:p>
      <w:pPr>
        <w:ind w:firstLine="482"/>
      </w:pPr>
      <w:r>
        <w:rPr>
          <w:rFonts w:ascii="宋体" w:hAnsi="宋体" w:eastAsia="宋体"/>
          <w:b/>
          <w:sz w:val="24"/>
        </w:rPr>
        <w:t>步骤二：配置 VR 开发插件</w:t>
      </w:r>
    </w:p>
    <w:p/>
    <w:p>
      <w:pPr>
        <w:ind w:firstLine="482"/>
      </w:pPr>
      <w:r>
        <w:rPr>
          <w:rFonts w:ascii="宋体" w:hAnsi="宋体" w:eastAsia="宋体"/>
          <w:sz w:val="24"/>
        </w:rPr>
        <w:t>在 Unity Package Manager 中安装以下包：</w:t>
      </w:r>
    </w:p>
    <w:p>
      <w:pPr>
        <w:pStyle w:val="ListBullet"/>
      </w:pPr>
      <w:r>
        <w:rPr>
          <w:rFonts w:ascii="宋体" w:hAnsi="宋体" w:eastAsia="宋体"/>
          <w:sz w:val="24"/>
        </w:rPr>
        <w:t>XR Plugin Management——VR/AR SDK 管理</w:t>
      </w:r>
    </w:p>
    <w:p>
      <w:pPr>
        <w:pStyle w:val="ListBullet"/>
      </w:pPr>
      <w:r>
        <w:rPr>
          <w:rFonts w:ascii="宋体" w:hAnsi="宋体" w:eastAsia="宋体"/>
          <w:sz w:val="24"/>
        </w:rPr>
        <w:t>OpenXR Plugin——跨平台 VR/AR 接口</w:t>
      </w:r>
    </w:p>
    <w:p>
      <w:pPr>
        <w:pStyle w:val="ListBullet"/>
      </w:pPr>
      <w:r>
        <w:rPr>
          <w:rFonts w:ascii="宋体" w:hAnsi="宋体" w:eastAsia="宋体"/>
          <w:sz w:val="24"/>
        </w:rPr>
        <w:t>XR Interaction Toolkit——VR/AR 交互组件</w:t>
      </w:r>
    </w:p>
    <w:p>
      <w:pPr>
        <w:pStyle w:val="ListBullet"/>
      </w:pPr>
      <w:r>
        <w:rPr>
          <w:rFonts w:ascii="宋体" w:hAnsi="宋体" w:eastAsia="宋体"/>
          <w:sz w:val="24"/>
        </w:rPr>
        <w:t>AR Foundation——AR 跨平台框架</w:t>
      </w:r>
    </w:p>
    <w:p>
      <w:pPr>
        <w:pStyle w:val="ListBullet"/>
      </w:pPr>
      <w:r>
        <w:rPr>
          <w:rFonts w:ascii="宋体" w:hAnsi="宋体" w:eastAsia="宋体"/>
          <w:sz w:val="24"/>
        </w:rPr>
        <w:t>ARKit XR Plugin——iOS AR 支持</w:t>
      </w:r>
    </w:p>
    <w:p>
      <w:pPr>
        <w:pStyle w:val="ListBullet"/>
      </w:pPr>
      <w:r>
        <w:rPr>
          <w:rFonts w:ascii="宋体" w:hAnsi="宋体" w:eastAsia="宋体"/>
          <w:sz w:val="24"/>
        </w:rPr>
        <w:t>ARCore XR Plugin——Android AR 支持</w:t>
      </w:r>
    </w:p>
    <w:p>
      <w:pPr>
        <w:pStyle w:val="ListBullet"/>
      </w:pPr>
      <w:r>
        <w:rPr>
          <w:rFonts w:ascii="宋体" w:hAnsi="宋体" w:eastAsia="宋体"/>
          <w:sz w:val="24"/>
        </w:rPr>
        <w:t>Input System——新版输入系统（推荐用于 VR 交互）</w:t>
      </w:r>
    </w:p>
    <w:p>
      <w:pPr>
        <w:pStyle w:val="ListBullet"/>
      </w:pPr>
      <w:r>
        <w:rPr>
          <w:rFonts w:ascii="宋体" w:hAnsi="宋体" w:eastAsia="宋体"/>
          <w:sz w:val="24"/>
        </w:rPr>
        <w:t>TextMeshPro——高质量文字渲染（VR 中文字清晰度至关重要）</w:t>
      </w:r>
    </w:p>
    <w:p>
      <w:pPr>
        <w:pStyle w:val="ListBullet"/>
      </w:pPr>
      <w:r>
        <w:rPr>
          <w:rFonts w:ascii="宋体" w:hAnsi="宋体" w:eastAsia="宋体"/>
          <w:sz w:val="24"/>
        </w:rPr>
        <w:t>Addressables——按需资产加载（优化内存和加载时间）</w:t>
      </w:r>
    </w:p>
    <w:p/>
    <w:p>
      <w:pPr>
        <w:ind w:firstLine="482"/>
      </w:pPr>
      <w:r>
        <w:rPr>
          <w:rFonts w:ascii="宋体" w:hAnsi="宋体" w:eastAsia="宋体"/>
          <w:b/>
          <w:sz w:val="24"/>
        </w:rPr>
        <w:t>步骤三：项目设置</w:t>
      </w:r>
    </w:p>
    <w:p/>
    <w:p>
      <w:pPr>
        <w:pStyle w:val="ListBullet"/>
      </w:pPr>
      <w:r>
        <w:rPr>
          <w:rFonts w:ascii="宋体" w:hAnsi="宋体" w:eastAsia="宋体"/>
          <w:sz w:val="24"/>
        </w:rPr>
        <w:t>将渲染管线设为 URP（Universal Render Pipeline）</w:t>
      </w:r>
    </w:p>
    <w:p>
      <w:pPr>
        <w:pStyle w:val="ListBullet"/>
      </w:pPr>
      <w:r>
        <w:rPr>
          <w:rFonts w:ascii="宋体" w:hAnsi="宋体" w:eastAsia="宋体"/>
          <w:sz w:val="24"/>
        </w:rPr>
        <w:t>在 XR Plugin Management 中启用目标平台的 VR/AR 插件</w:t>
      </w:r>
    </w:p>
    <w:p>
      <w:pPr>
        <w:pStyle w:val="ListBullet"/>
      </w:pPr>
      <w:r>
        <w:rPr>
          <w:rFonts w:ascii="宋体" w:hAnsi="宋体" w:eastAsia="宋体"/>
          <w:sz w:val="24"/>
        </w:rPr>
        <w:t>在 Project Settings &gt; Quality 中为每个平台设置质量级别</w:t>
      </w:r>
    </w:p>
    <w:p>
      <w:pPr>
        <w:pStyle w:val="ListBullet"/>
      </w:pPr>
      <w:r>
        <w:rPr>
          <w:rFonts w:ascii="宋体" w:hAnsi="宋体" w:eastAsia="宋体"/>
          <w:sz w:val="24"/>
        </w:rPr>
        <w:t>在 Player Settings 中配置 Bundle Identifier、版本号和权限描述</w:t>
      </w:r>
    </w:p>
    <w:p>
      <w:pPr>
        <w:pStyle w:val="ListBullet"/>
      </w:pPr>
      <w:r>
        <w:rPr>
          <w:rFonts w:ascii="宋体" w:hAnsi="宋体" w:eastAsia="宋体"/>
          <w:sz w:val="24"/>
        </w:rPr>
        <w:t>启用 "Run In Background" 以确保 VR 应用在失焦时仍运行</w:t>
      </w:r>
    </w:p>
    <w:p/>
    <w:p>
      <w:pPr>
        <w:pStyle w:val="Heading3"/>
      </w:pPr>
      <w:r>
        <w:t>B.5.2 A-Frame WebVR 开发环境配置</w:t>
      </w:r>
    </w:p>
    <w:p/>
    <w:p>
      <w:pPr>
        <w:ind w:firstLine="482"/>
      </w:pPr>
      <w:r>
        <w:rPr>
          <w:rFonts w:ascii="宋体" w:hAnsi="宋体" w:eastAsia="宋体"/>
          <w:sz w:val="24"/>
        </w:rPr>
        <w:t>A-Frame 的开发环境配置非常简单——只需要一个文本编辑器和一个 Web 服务器：</w:t>
      </w:r>
    </w:p>
    <w:p/>
    <w:p>
      <w:pPr>
        <w:pStyle w:val="ListNumber"/>
      </w:pPr>
      <w:r>
        <w:rPr>
          <w:rFonts w:ascii="宋体" w:hAnsi="宋体" w:eastAsia="宋体"/>
          <w:sz w:val="24"/>
        </w:rPr>
        <w:t>安装 Node.js（用于本地 Web 服务器和 npm 包管理）</w:t>
      </w:r>
    </w:p>
    <w:p>
      <w:pPr>
        <w:pStyle w:val="ListNumber"/>
      </w:pPr>
      <w:r>
        <w:rPr>
          <w:rFonts w:ascii="宋体" w:hAnsi="宋体" w:eastAsia="宋体"/>
          <w:sz w:val="24"/>
        </w:rPr>
        <w:t>创建项目目录，创建 index.html 文件</w:t>
      </w:r>
    </w:p>
    <w:p>
      <w:pPr>
        <w:pStyle w:val="ListNumber"/>
      </w:pPr>
      <w:r>
        <w:rPr>
          <w:rFonts w:ascii="宋体" w:hAnsi="宋体" w:eastAsia="宋体"/>
          <w:sz w:val="24"/>
        </w:rPr>
        <w:t>在 HTML 中引入 A-Frame 库：</w:t>
      </w:r>
      <w:r>
        <w:rPr>
          <w:rFonts w:ascii="Consolas" w:hAnsi="Consolas"/>
          <w:color w:val="C83232"/>
          <w:sz w:val="20"/>
        </w:rPr>
        <w:t>&lt;script src="https://aframe.io/releases/1.5.0/aframe.min.js"&gt;&lt;/script&gt;</w:t>
      </w:r>
    </w:p>
    <w:p>
      <w:pPr>
        <w:pStyle w:val="ListNumber"/>
      </w:pPr>
      <w:r>
        <w:rPr>
          <w:rFonts w:ascii="宋体" w:hAnsi="宋体" w:eastAsia="宋体"/>
          <w:sz w:val="24"/>
        </w:rPr>
        <w:t>使用 VS Code 编辑器（推荐安装 A-Frame Snippets 扩展）</w:t>
      </w:r>
    </w:p>
    <w:p>
      <w:pPr>
        <w:pStyle w:val="ListNumber"/>
      </w:pPr>
      <w:r>
        <w:rPr>
          <w:rFonts w:ascii="宋体" w:hAnsi="宋体" w:eastAsia="宋体"/>
          <w:sz w:val="24"/>
        </w:rPr>
        <w:t xml:space="preserve">使用 </w:t>
      </w:r>
      <w:r>
        <w:rPr>
          <w:rFonts w:ascii="Consolas" w:hAnsi="Consolas"/>
          <w:color w:val="C83232"/>
          <w:sz w:val="20"/>
        </w:rPr>
        <w:t>npx serve</w:t>
      </w:r>
      <w:r>
        <w:rPr>
          <w:rFonts w:ascii="宋体" w:hAnsi="宋体" w:eastAsia="宋体"/>
          <w:sz w:val="24"/>
        </w:rPr>
        <w:t xml:space="preserve"> 或 </w:t>
      </w:r>
      <w:r>
        <w:rPr>
          <w:rFonts w:ascii="Consolas" w:hAnsi="Consolas"/>
          <w:color w:val="C83232"/>
          <w:sz w:val="20"/>
        </w:rPr>
        <w:t>python -m http.server</w:t>
      </w:r>
      <w:r>
        <w:rPr>
          <w:rFonts w:ascii="宋体" w:hAnsi="宋体" w:eastAsia="宋体"/>
          <w:sz w:val="24"/>
        </w:rPr>
        <w:t xml:space="preserve"> 启动本地服务器</w:t>
      </w:r>
    </w:p>
    <w:p>
      <w:pPr>
        <w:pStyle w:val="ListNumber"/>
      </w:pPr>
      <w:r>
        <w:rPr>
          <w:rFonts w:ascii="宋体" w:hAnsi="宋体" w:eastAsia="宋体"/>
          <w:sz w:val="24"/>
        </w:rPr>
        <w:t xml:space="preserve">在浏览器中访问 </w:t>
      </w:r>
      <w:r>
        <w:rPr>
          <w:rFonts w:ascii="Consolas" w:hAnsi="Consolas"/>
          <w:color w:val="C83232"/>
          <w:sz w:val="20"/>
        </w:rPr>
        <w:t>http://localhost:3000</w:t>
      </w:r>
      <w:r>
        <w:rPr>
          <w:rFonts w:ascii="宋体" w:hAnsi="宋体" w:eastAsia="宋体"/>
          <w:sz w:val="24"/>
        </w:rPr>
        <w:t xml:space="preserve"> 预览</w:t>
      </w:r>
    </w:p>
    <w:p/>
    <w:p>
      <w:pPr>
        <w:pStyle w:val="Heading3"/>
      </w:pPr>
      <w:r>
        <w:t>B.5.3 常用开发工具推荐</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工具</w:t>
            </w:r>
          </w:p>
        </w:tc>
        <w:tc>
          <w:tcPr>
            <w:tcW w:type="dxa" w:w="2078"/>
            <w:shd w:fill="D9E2F3" w:val="clear"/>
          </w:tcPr>
          <w:p>
            <w:pPr>
              <w:jc w:val="center"/>
            </w:pPr>
            <w:r/>
            <w:r>
              <w:rPr>
                <w:rFonts w:ascii="黑体" w:hAnsi="黑体" w:eastAsia="黑体"/>
                <w:b/>
                <w:sz w:val="20"/>
              </w:rPr>
              <w:t>用途</w:t>
            </w:r>
          </w:p>
        </w:tc>
        <w:tc>
          <w:tcPr>
            <w:tcW w:type="dxa" w:w="2078"/>
            <w:shd w:fill="D9E2F3" w:val="clear"/>
          </w:tcPr>
          <w:p>
            <w:pPr>
              <w:jc w:val="center"/>
            </w:pPr>
            <w:r/>
            <w:r>
              <w:rPr>
                <w:rFonts w:ascii="黑体" w:hAnsi="黑体" w:eastAsia="黑体"/>
                <w:b/>
                <w:sz w:val="20"/>
              </w:rPr>
              <w:t>价格</w:t>
            </w:r>
          </w:p>
        </w:tc>
        <w:tc>
          <w:tcPr>
            <w:tcW w:type="dxa" w:w="2078"/>
            <w:shd w:fill="D9E2F3" w:val="clear"/>
          </w:tcPr>
          <w:p>
            <w:pPr>
              <w:jc w:val="center"/>
            </w:pPr>
            <w:r/>
            <w:r>
              <w:rPr>
                <w:rFonts w:ascii="黑体" w:hAnsi="黑体" w:eastAsia="黑体"/>
                <w:b/>
                <w:sz w:val="20"/>
              </w:rPr>
              <w:t>推荐理由</w:t>
            </w:r>
          </w:p>
        </w:tc>
      </w:tr>
      <w:tr>
        <w:tc>
          <w:tcPr>
            <w:tcW w:type="dxa" w:w="2078"/>
          </w:tcPr>
          <w:p>
            <w:r/>
            <w:r>
              <w:rPr>
                <w:rFonts w:ascii="宋体" w:hAnsi="宋体" w:eastAsia="宋体"/>
                <w:sz w:val="20"/>
              </w:rPr>
              <w:t>VS Code</w:t>
            </w:r>
          </w:p>
        </w:tc>
        <w:tc>
          <w:tcPr>
            <w:tcW w:type="dxa" w:w="2078"/>
          </w:tcPr>
          <w:p>
            <w:r/>
            <w:r>
              <w:rPr>
                <w:rFonts w:ascii="宋体" w:hAnsi="宋体" w:eastAsia="宋体"/>
                <w:sz w:val="20"/>
              </w:rPr>
              <w:t>代码编辑器</w:t>
            </w:r>
          </w:p>
        </w:tc>
        <w:tc>
          <w:tcPr>
            <w:tcW w:type="dxa" w:w="2078"/>
          </w:tcPr>
          <w:p>
            <w:r/>
            <w:r>
              <w:rPr>
                <w:rFonts w:ascii="宋体" w:hAnsi="宋体" w:eastAsia="宋体"/>
                <w:sz w:val="20"/>
              </w:rPr>
              <w:t>免费</w:t>
            </w:r>
          </w:p>
        </w:tc>
        <w:tc>
          <w:tcPr>
            <w:tcW w:type="dxa" w:w="2078"/>
          </w:tcPr>
          <w:p>
            <w:r/>
            <w:r>
              <w:rPr>
                <w:rFonts w:ascii="宋体" w:hAnsi="宋体" w:eastAsia="宋体"/>
                <w:sz w:val="20"/>
              </w:rPr>
              <w:t>轻量、插件丰富、Unity 支持</w:t>
            </w:r>
          </w:p>
        </w:tc>
      </w:tr>
      <w:tr>
        <w:tc>
          <w:tcPr>
            <w:tcW w:type="dxa" w:w="2078"/>
          </w:tcPr>
          <w:p>
            <w:r/>
            <w:r>
              <w:rPr>
                <w:rFonts w:ascii="宋体" w:hAnsi="宋体" w:eastAsia="宋体"/>
                <w:sz w:val="20"/>
              </w:rPr>
              <w:t>Git + GitHub</w:t>
            </w:r>
          </w:p>
        </w:tc>
        <w:tc>
          <w:tcPr>
            <w:tcW w:type="dxa" w:w="2078"/>
          </w:tcPr>
          <w:p>
            <w:r/>
            <w:r>
              <w:rPr>
                <w:rFonts w:ascii="宋体" w:hAnsi="宋体" w:eastAsia="宋体"/>
                <w:sz w:val="20"/>
              </w:rPr>
              <w:t>版本管理</w:t>
            </w:r>
          </w:p>
        </w:tc>
        <w:tc>
          <w:tcPr>
            <w:tcW w:type="dxa" w:w="2078"/>
          </w:tcPr>
          <w:p>
            <w:r/>
            <w:r>
              <w:rPr>
                <w:rFonts w:ascii="宋体" w:hAnsi="宋体" w:eastAsia="宋体"/>
                <w:sz w:val="20"/>
              </w:rPr>
              <w:t>免费</w:t>
            </w:r>
          </w:p>
        </w:tc>
        <w:tc>
          <w:tcPr>
            <w:tcW w:type="dxa" w:w="2078"/>
          </w:tcPr>
          <w:p>
            <w:r/>
            <w:r>
              <w:rPr>
                <w:rFonts w:ascii="宋体" w:hAnsi="宋体" w:eastAsia="宋体"/>
                <w:sz w:val="20"/>
              </w:rPr>
              <w:t>行业标准、团队协作</w:t>
            </w:r>
          </w:p>
        </w:tc>
      </w:tr>
      <w:tr>
        <w:tc>
          <w:tcPr>
            <w:tcW w:type="dxa" w:w="2078"/>
          </w:tcPr>
          <w:p>
            <w:r/>
            <w:r>
              <w:rPr>
                <w:rFonts w:ascii="宋体" w:hAnsi="宋体" w:eastAsia="宋体"/>
                <w:sz w:val="20"/>
              </w:rPr>
              <w:t>Figma</w:t>
            </w:r>
          </w:p>
        </w:tc>
        <w:tc>
          <w:tcPr>
            <w:tcW w:type="dxa" w:w="2078"/>
          </w:tcPr>
          <w:p>
            <w:r/>
            <w:r>
              <w:rPr>
                <w:rFonts w:ascii="宋体" w:hAnsi="宋体" w:eastAsia="宋体"/>
                <w:sz w:val="20"/>
              </w:rPr>
              <w:t>UI/UX 设计</w:t>
            </w:r>
          </w:p>
        </w:tc>
        <w:tc>
          <w:tcPr>
            <w:tcW w:type="dxa" w:w="2078"/>
          </w:tcPr>
          <w:p>
            <w:r/>
            <w:r>
              <w:rPr>
                <w:rFonts w:ascii="宋体" w:hAnsi="宋体" w:eastAsia="宋体"/>
                <w:sz w:val="20"/>
              </w:rPr>
              <w:t>免费/订阅</w:t>
            </w:r>
          </w:p>
        </w:tc>
        <w:tc>
          <w:tcPr>
            <w:tcW w:type="dxa" w:w="2078"/>
          </w:tcPr>
          <w:p>
            <w:r/>
            <w:r>
              <w:rPr>
                <w:rFonts w:ascii="宋体" w:hAnsi="宋体" w:eastAsia="宋体"/>
                <w:sz w:val="20"/>
              </w:rPr>
              <w:t>协作设计、原型制作</w:t>
            </w:r>
          </w:p>
        </w:tc>
      </w:tr>
      <w:tr>
        <w:tc>
          <w:tcPr>
            <w:tcW w:type="dxa" w:w="2078"/>
          </w:tcPr>
          <w:p>
            <w:r/>
            <w:r>
              <w:rPr>
                <w:rFonts w:ascii="宋体" w:hAnsi="宋体" w:eastAsia="宋体"/>
                <w:sz w:val="20"/>
              </w:rPr>
              <w:t>Notion / 飞书</w:t>
            </w:r>
          </w:p>
        </w:tc>
        <w:tc>
          <w:tcPr>
            <w:tcW w:type="dxa" w:w="2078"/>
          </w:tcPr>
          <w:p>
            <w:r/>
            <w:r>
              <w:rPr>
                <w:rFonts w:ascii="宋体" w:hAnsi="宋体" w:eastAsia="宋体"/>
                <w:sz w:val="20"/>
              </w:rPr>
              <w:t>项目管理</w:t>
            </w:r>
          </w:p>
        </w:tc>
        <w:tc>
          <w:tcPr>
            <w:tcW w:type="dxa" w:w="2078"/>
          </w:tcPr>
          <w:p>
            <w:r/>
            <w:r>
              <w:rPr>
                <w:rFonts w:ascii="宋体" w:hAnsi="宋体" w:eastAsia="宋体"/>
                <w:sz w:val="20"/>
              </w:rPr>
              <w:t>免费/订阅</w:t>
            </w:r>
          </w:p>
        </w:tc>
        <w:tc>
          <w:tcPr>
            <w:tcW w:type="dxa" w:w="2078"/>
          </w:tcPr>
          <w:p>
            <w:r/>
            <w:r>
              <w:rPr>
                <w:rFonts w:ascii="宋体" w:hAnsi="宋体" w:eastAsia="宋体"/>
                <w:sz w:val="20"/>
              </w:rPr>
              <w:t>文档管理、任务跟踪</w:t>
            </w:r>
          </w:p>
        </w:tc>
      </w:tr>
      <w:tr>
        <w:tc>
          <w:tcPr>
            <w:tcW w:type="dxa" w:w="2078"/>
          </w:tcPr>
          <w:p>
            <w:r/>
            <w:r>
              <w:rPr>
                <w:rFonts w:ascii="宋体" w:hAnsi="宋体" w:eastAsia="宋体"/>
                <w:sz w:val="20"/>
              </w:rPr>
              <w:t>Blender</w:t>
            </w:r>
          </w:p>
        </w:tc>
        <w:tc>
          <w:tcPr>
            <w:tcW w:type="dxa" w:w="2078"/>
          </w:tcPr>
          <w:p>
            <w:r/>
            <w:r>
              <w:rPr>
                <w:rFonts w:ascii="宋体" w:hAnsi="宋体" w:eastAsia="宋体"/>
                <w:sz w:val="20"/>
              </w:rPr>
              <w:t>3D 建模</w:t>
            </w:r>
          </w:p>
        </w:tc>
        <w:tc>
          <w:tcPr>
            <w:tcW w:type="dxa" w:w="2078"/>
          </w:tcPr>
          <w:p>
            <w:r/>
            <w:r>
              <w:rPr>
                <w:rFonts w:ascii="宋体" w:hAnsi="宋体" w:eastAsia="宋体"/>
                <w:sz w:val="20"/>
              </w:rPr>
              <w:t>免费</w:t>
            </w:r>
          </w:p>
        </w:tc>
        <w:tc>
          <w:tcPr>
            <w:tcW w:type="dxa" w:w="2078"/>
          </w:tcPr>
          <w:p>
            <w:r/>
            <w:r>
              <w:rPr>
                <w:rFonts w:ascii="宋体" w:hAnsi="宋体" w:eastAsia="宋体"/>
                <w:sz w:val="20"/>
              </w:rPr>
              <w:t>开源、功能强大</w:t>
            </w:r>
          </w:p>
        </w:tc>
      </w:tr>
      <w:tr>
        <w:tc>
          <w:tcPr>
            <w:tcW w:type="dxa" w:w="2078"/>
          </w:tcPr>
          <w:p>
            <w:r/>
            <w:r>
              <w:rPr>
                <w:rFonts w:ascii="宋体" w:hAnsi="宋体" w:eastAsia="宋体"/>
                <w:sz w:val="20"/>
              </w:rPr>
              <w:t>Discord</w:t>
            </w:r>
          </w:p>
        </w:tc>
        <w:tc>
          <w:tcPr>
            <w:tcW w:type="dxa" w:w="2078"/>
          </w:tcPr>
          <w:p>
            <w:r/>
            <w:r>
              <w:rPr>
                <w:rFonts w:ascii="宋体" w:hAnsi="宋体" w:eastAsia="宋体"/>
                <w:sz w:val="20"/>
              </w:rPr>
              <w:t>团队沟通</w:t>
            </w:r>
          </w:p>
        </w:tc>
        <w:tc>
          <w:tcPr>
            <w:tcW w:type="dxa" w:w="2078"/>
          </w:tcPr>
          <w:p>
            <w:r/>
            <w:r>
              <w:rPr>
                <w:rFonts w:ascii="宋体" w:hAnsi="宋体" w:eastAsia="宋体"/>
                <w:sz w:val="20"/>
              </w:rPr>
              <w:t>免费</w:t>
            </w:r>
          </w:p>
        </w:tc>
        <w:tc>
          <w:tcPr>
            <w:tcW w:type="dxa" w:w="2078"/>
          </w:tcPr>
          <w:p>
            <w:r/>
            <w:r>
              <w:rPr>
                <w:rFonts w:ascii="宋体" w:hAnsi="宋体" w:eastAsia="宋体"/>
                <w:sz w:val="20"/>
              </w:rPr>
              <w:t>语音/文字/屏幕共享</w:t>
            </w:r>
          </w:p>
        </w:tc>
      </w:tr>
      <w:tr>
        <w:tc>
          <w:tcPr>
            <w:tcW w:type="dxa" w:w="2078"/>
          </w:tcPr>
          <w:p>
            <w:r/>
            <w:r>
              <w:rPr>
                <w:rFonts w:ascii="宋体" w:hAnsi="宋体" w:eastAsia="宋体"/>
                <w:sz w:val="20"/>
              </w:rPr>
              <w:t>OBS Studio</w:t>
            </w:r>
          </w:p>
        </w:tc>
        <w:tc>
          <w:tcPr>
            <w:tcW w:type="dxa" w:w="2078"/>
          </w:tcPr>
          <w:p>
            <w:r/>
            <w:r>
              <w:rPr>
                <w:rFonts w:ascii="宋体" w:hAnsi="宋体" w:eastAsia="宋体"/>
                <w:sz w:val="20"/>
              </w:rPr>
              <w:t>录屏/直播</w:t>
            </w:r>
          </w:p>
        </w:tc>
        <w:tc>
          <w:tcPr>
            <w:tcW w:type="dxa" w:w="2078"/>
          </w:tcPr>
          <w:p>
            <w:r/>
            <w:r>
              <w:rPr>
                <w:rFonts w:ascii="宋体" w:hAnsi="宋体" w:eastAsia="宋体"/>
                <w:sz w:val="20"/>
              </w:rPr>
              <w:t>免费</w:t>
            </w:r>
          </w:p>
        </w:tc>
        <w:tc>
          <w:tcPr>
            <w:tcW w:type="dxa" w:w="2078"/>
          </w:tcPr>
          <w:p>
            <w:r/>
            <w:r>
              <w:rPr>
                <w:rFonts w:ascii="宋体" w:hAnsi="宋体" w:eastAsia="宋体"/>
                <w:sz w:val="20"/>
              </w:rPr>
              <w:t>项目演示录制</w:t>
            </w:r>
          </w:p>
        </w:tc>
      </w:tr>
    </w:tbl>
    <w:p/>
    <w:p/>
    <w:p/>
    <w:p/>
    <w:p/>
    <w:p>
      <w:pPr>
        <w:pStyle w:val="Heading2"/>
      </w:pPr>
      <w:r>
        <w:t>B.6 开发效率工具与技巧</w:t>
      </w:r>
    </w:p>
    <w:p/>
    <w:p>
      <w:pPr>
        <w:pStyle w:val="Heading3"/>
      </w:pPr>
      <w:r>
        <w:t>B.6.1 Unity 开发效率工具</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工具/插件</w:t>
            </w:r>
          </w:p>
        </w:tc>
        <w:tc>
          <w:tcPr>
            <w:tcW w:type="dxa" w:w="2078"/>
            <w:shd w:fill="D9E2F3" w:val="clear"/>
          </w:tcPr>
          <w:p>
            <w:pPr>
              <w:jc w:val="center"/>
            </w:pPr>
            <w:r/>
            <w:r>
              <w:rPr>
                <w:rFonts w:ascii="黑体" w:hAnsi="黑体" w:eastAsia="黑体"/>
                <w:b/>
                <w:sz w:val="20"/>
              </w:rPr>
              <w:t>功能</w:t>
            </w:r>
          </w:p>
        </w:tc>
        <w:tc>
          <w:tcPr>
            <w:tcW w:type="dxa" w:w="2078"/>
            <w:shd w:fill="D9E2F3" w:val="clear"/>
          </w:tcPr>
          <w:p>
            <w:pPr>
              <w:jc w:val="center"/>
            </w:pPr>
            <w:r/>
            <w:r>
              <w:rPr>
                <w:rFonts w:ascii="黑体" w:hAnsi="黑体" w:eastAsia="黑体"/>
                <w:b/>
                <w:sz w:val="20"/>
              </w:rPr>
              <w:t>价格</w:t>
            </w:r>
          </w:p>
        </w:tc>
        <w:tc>
          <w:tcPr>
            <w:tcW w:type="dxa" w:w="2078"/>
            <w:shd w:fill="D9E2F3" w:val="clear"/>
          </w:tcPr>
          <w:p>
            <w:pPr>
              <w:jc w:val="center"/>
            </w:pPr>
            <w:r/>
            <w:r>
              <w:rPr>
                <w:rFonts w:ascii="黑体" w:hAnsi="黑体" w:eastAsia="黑体"/>
                <w:b/>
                <w:sz w:val="20"/>
              </w:rPr>
              <w:t>效率提升</w:t>
            </w:r>
          </w:p>
        </w:tc>
      </w:tr>
      <w:tr>
        <w:tc>
          <w:tcPr>
            <w:tcW w:type="dxa" w:w="2078"/>
          </w:tcPr>
          <w:p>
            <w:r/>
            <w:r>
              <w:rPr>
                <w:rFonts w:ascii="宋体" w:hAnsi="宋体" w:eastAsia="宋体"/>
                <w:sz w:val="20"/>
              </w:rPr>
              <w:t>Odin Inspector</w:t>
            </w:r>
          </w:p>
        </w:tc>
        <w:tc>
          <w:tcPr>
            <w:tcW w:type="dxa" w:w="2078"/>
          </w:tcPr>
          <w:p>
            <w:r/>
            <w:r>
              <w:rPr>
                <w:rFonts w:ascii="宋体" w:hAnsi="宋体" w:eastAsia="宋体"/>
                <w:sz w:val="20"/>
              </w:rPr>
              <w:t>增强Inspector面板</w:t>
            </w:r>
          </w:p>
        </w:tc>
        <w:tc>
          <w:tcPr>
            <w:tcW w:type="dxa" w:w="2078"/>
          </w:tcPr>
          <w:p>
            <w:r/>
            <w:r>
              <w:rPr>
                <w:rFonts w:ascii="宋体" w:hAnsi="宋体" w:eastAsia="宋体"/>
                <w:sz w:val="20"/>
              </w:rPr>
              <w:t>付费</w:t>
            </w:r>
          </w:p>
        </w:tc>
        <w:tc>
          <w:tcPr>
            <w:tcW w:type="dxa" w:w="2078"/>
          </w:tcPr>
          <w:p>
            <w:r/>
            <w:r>
              <w:rPr>
                <w:rFonts w:ascii="宋体" w:hAnsi="宋体" w:eastAsia="宋体"/>
                <w:sz w:val="20"/>
              </w:rPr>
              <w:t>大幅提升配置效率</w:t>
            </w:r>
          </w:p>
        </w:tc>
      </w:tr>
      <w:tr>
        <w:tc>
          <w:tcPr>
            <w:tcW w:type="dxa" w:w="2078"/>
          </w:tcPr>
          <w:p>
            <w:r/>
            <w:r>
              <w:rPr>
                <w:rFonts w:ascii="宋体" w:hAnsi="宋体" w:eastAsia="宋体"/>
                <w:sz w:val="20"/>
              </w:rPr>
              <w:t>DOTween</w:t>
            </w:r>
          </w:p>
        </w:tc>
        <w:tc>
          <w:tcPr>
            <w:tcW w:type="dxa" w:w="2078"/>
          </w:tcPr>
          <w:p>
            <w:r/>
            <w:r>
              <w:rPr>
                <w:rFonts w:ascii="宋体" w:hAnsi="宋体" w:eastAsia="宋体"/>
                <w:sz w:val="20"/>
              </w:rPr>
              <w:t>补间动画库</w:t>
            </w:r>
          </w:p>
        </w:tc>
        <w:tc>
          <w:tcPr>
            <w:tcW w:type="dxa" w:w="2078"/>
          </w:tcPr>
          <w:p>
            <w:r/>
            <w:r>
              <w:rPr>
                <w:rFonts w:ascii="宋体" w:hAnsi="宋体" w:eastAsia="宋体"/>
                <w:sz w:val="20"/>
              </w:rPr>
              <w:t>免费</w:t>
            </w:r>
          </w:p>
        </w:tc>
        <w:tc>
          <w:tcPr>
            <w:tcW w:type="dxa" w:w="2078"/>
          </w:tcPr>
          <w:p>
            <w:r/>
            <w:r>
              <w:rPr>
                <w:rFonts w:ascii="宋体" w:hAnsi="宋体" w:eastAsia="宋体"/>
                <w:sz w:val="20"/>
              </w:rPr>
              <w:t>简化动画代码</w:t>
            </w:r>
          </w:p>
        </w:tc>
      </w:tr>
      <w:tr>
        <w:tc>
          <w:tcPr>
            <w:tcW w:type="dxa" w:w="2078"/>
          </w:tcPr>
          <w:p>
            <w:r/>
            <w:r>
              <w:rPr>
                <w:rFonts w:ascii="宋体" w:hAnsi="宋体" w:eastAsia="宋体"/>
                <w:sz w:val="20"/>
              </w:rPr>
              <w:t>Zenject</w:t>
            </w:r>
          </w:p>
        </w:tc>
        <w:tc>
          <w:tcPr>
            <w:tcW w:type="dxa" w:w="2078"/>
          </w:tcPr>
          <w:p>
            <w:r/>
            <w:r>
              <w:rPr>
                <w:rFonts w:ascii="宋体" w:hAnsi="宋体" w:eastAsia="宋体"/>
                <w:sz w:val="20"/>
              </w:rPr>
              <w:t>依赖注入框架</w:t>
            </w:r>
          </w:p>
        </w:tc>
        <w:tc>
          <w:tcPr>
            <w:tcW w:type="dxa" w:w="2078"/>
          </w:tcPr>
          <w:p>
            <w:r/>
            <w:r>
              <w:rPr>
                <w:rFonts w:ascii="宋体" w:hAnsi="宋体" w:eastAsia="宋体"/>
                <w:sz w:val="20"/>
              </w:rPr>
              <w:t>免费</w:t>
            </w:r>
          </w:p>
        </w:tc>
        <w:tc>
          <w:tcPr>
            <w:tcW w:type="dxa" w:w="2078"/>
          </w:tcPr>
          <w:p>
            <w:r/>
            <w:r>
              <w:rPr>
                <w:rFonts w:ascii="宋体" w:hAnsi="宋体" w:eastAsia="宋体"/>
                <w:sz w:val="20"/>
              </w:rPr>
              <w:t>提升架构质量</w:t>
            </w:r>
          </w:p>
        </w:tc>
      </w:tr>
      <w:tr>
        <w:tc>
          <w:tcPr>
            <w:tcW w:type="dxa" w:w="2078"/>
          </w:tcPr>
          <w:p>
            <w:r/>
            <w:r>
              <w:rPr>
                <w:rFonts w:ascii="宋体" w:hAnsi="宋体" w:eastAsia="宋体"/>
                <w:sz w:val="20"/>
              </w:rPr>
              <w:t>Bolt/Visual Scripting</w:t>
            </w:r>
          </w:p>
        </w:tc>
        <w:tc>
          <w:tcPr>
            <w:tcW w:type="dxa" w:w="2078"/>
          </w:tcPr>
          <w:p>
            <w:r/>
            <w:r>
              <w:rPr>
                <w:rFonts w:ascii="宋体" w:hAnsi="宋体" w:eastAsia="宋体"/>
                <w:sz w:val="20"/>
              </w:rPr>
              <w:t>可视化脚本</w:t>
            </w:r>
          </w:p>
        </w:tc>
        <w:tc>
          <w:tcPr>
            <w:tcW w:type="dxa" w:w="2078"/>
          </w:tcPr>
          <w:p>
            <w:r/>
            <w:r>
              <w:rPr>
                <w:rFonts w:ascii="宋体" w:hAnsi="宋体" w:eastAsia="宋体"/>
                <w:sz w:val="20"/>
              </w:rPr>
              <w:t>内置</w:t>
            </w:r>
          </w:p>
        </w:tc>
        <w:tc>
          <w:tcPr>
            <w:tcW w:type="dxa" w:w="2078"/>
          </w:tcPr>
          <w:p>
            <w:r/>
            <w:r>
              <w:rPr>
                <w:rFonts w:ascii="宋体" w:hAnsi="宋体" w:eastAsia="宋体"/>
                <w:sz w:val="20"/>
              </w:rPr>
              <w:t>降低编程门槛</w:t>
            </w:r>
          </w:p>
        </w:tc>
      </w:tr>
      <w:tr>
        <w:tc>
          <w:tcPr>
            <w:tcW w:type="dxa" w:w="2078"/>
          </w:tcPr>
          <w:p>
            <w:r/>
            <w:r>
              <w:rPr>
                <w:rFonts w:ascii="宋体" w:hAnsi="宋体" w:eastAsia="宋体"/>
                <w:sz w:val="20"/>
              </w:rPr>
              <w:t>ProBuilder</w:t>
            </w:r>
          </w:p>
        </w:tc>
        <w:tc>
          <w:tcPr>
            <w:tcW w:type="dxa" w:w="2078"/>
          </w:tcPr>
          <w:p>
            <w:r/>
            <w:r>
              <w:rPr>
                <w:rFonts w:ascii="宋体" w:hAnsi="宋体" w:eastAsia="宋体"/>
                <w:sz w:val="20"/>
              </w:rPr>
              <w:t>内置3D建模</w:t>
            </w:r>
          </w:p>
        </w:tc>
        <w:tc>
          <w:tcPr>
            <w:tcW w:type="dxa" w:w="2078"/>
          </w:tcPr>
          <w:p>
            <w:r/>
            <w:r>
              <w:rPr>
                <w:rFonts w:ascii="宋体" w:hAnsi="宋体" w:eastAsia="宋体"/>
                <w:sz w:val="20"/>
              </w:rPr>
              <w:t>内置</w:t>
            </w:r>
          </w:p>
        </w:tc>
        <w:tc>
          <w:tcPr>
            <w:tcW w:type="dxa" w:w="2078"/>
          </w:tcPr>
          <w:p>
            <w:r/>
            <w:r>
              <w:rPr>
                <w:rFonts w:ascii="宋体" w:hAnsi="宋体" w:eastAsia="宋体"/>
                <w:sz w:val="20"/>
              </w:rPr>
              <w:t>快速原型搭建</w:t>
            </w:r>
          </w:p>
        </w:tc>
      </w:tr>
      <w:tr>
        <w:tc>
          <w:tcPr>
            <w:tcW w:type="dxa" w:w="2078"/>
          </w:tcPr>
          <w:p>
            <w:r/>
            <w:r>
              <w:rPr>
                <w:rFonts w:ascii="宋体" w:hAnsi="宋体" w:eastAsia="宋体"/>
                <w:sz w:val="20"/>
              </w:rPr>
              <w:t>Polybrush</w:t>
            </w:r>
          </w:p>
        </w:tc>
        <w:tc>
          <w:tcPr>
            <w:tcW w:type="dxa" w:w="2078"/>
          </w:tcPr>
          <w:p>
            <w:r/>
            <w:r>
              <w:rPr>
                <w:rFonts w:ascii="宋体" w:hAnsi="宋体" w:eastAsia="宋体"/>
                <w:sz w:val="20"/>
              </w:rPr>
              <w:t>雕刻绘制工具</w:t>
            </w:r>
          </w:p>
        </w:tc>
        <w:tc>
          <w:tcPr>
            <w:tcW w:type="dxa" w:w="2078"/>
          </w:tcPr>
          <w:p>
            <w:r/>
            <w:r>
              <w:rPr>
                <w:rFonts w:ascii="宋体" w:hAnsi="宋体" w:eastAsia="宋体"/>
                <w:sz w:val="20"/>
              </w:rPr>
              <w:t>免费</w:t>
            </w:r>
          </w:p>
        </w:tc>
        <w:tc>
          <w:tcPr>
            <w:tcW w:type="dxa" w:w="2078"/>
          </w:tcPr>
          <w:p>
            <w:r/>
            <w:r>
              <w:rPr>
                <w:rFonts w:ascii="宋体" w:hAnsi="宋体" w:eastAsia="宋体"/>
                <w:sz w:val="20"/>
              </w:rPr>
              <w:t>场景细节制作</w:t>
            </w:r>
          </w:p>
        </w:tc>
      </w:tr>
      <w:tr>
        <w:tc>
          <w:tcPr>
            <w:tcW w:type="dxa" w:w="2078"/>
          </w:tcPr>
          <w:p>
            <w:r/>
            <w:r>
              <w:rPr>
                <w:rFonts w:ascii="宋体" w:hAnsi="宋体" w:eastAsia="宋体"/>
                <w:sz w:val="20"/>
              </w:rPr>
              <w:t>Cinemachine</w:t>
            </w:r>
          </w:p>
        </w:tc>
        <w:tc>
          <w:tcPr>
            <w:tcW w:type="dxa" w:w="2078"/>
          </w:tcPr>
          <w:p>
            <w:r/>
            <w:r>
              <w:rPr>
                <w:rFonts w:ascii="宋体" w:hAnsi="宋体" w:eastAsia="宋体"/>
                <w:sz w:val="20"/>
              </w:rPr>
              <w:t>摄像机系统</w:t>
            </w:r>
          </w:p>
        </w:tc>
        <w:tc>
          <w:tcPr>
            <w:tcW w:type="dxa" w:w="2078"/>
          </w:tcPr>
          <w:p>
            <w:r/>
            <w:r>
              <w:rPr>
                <w:rFonts w:ascii="宋体" w:hAnsi="宋体" w:eastAsia="宋体"/>
                <w:sz w:val="20"/>
              </w:rPr>
              <w:t>内置</w:t>
            </w:r>
          </w:p>
        </w:tc>
        <w:tc>
          <w:tcPr>
            <w:tcW w:type="dxa" w:w="2078"/>
          </w:tcPr>
          <w:p>
            <w:r/>
            <w:r>
              <w:rPr>
                <w:rFonts w:ascii="宋体" w:hAnsi="宋体" w:eastAsia="宋体"/>
                <w:sz w:val="20"/>
              </w:rPr>
              <w:t>摄像机动画</w:t>
            </w:r>
          </w:p>
        </w:tc>
      </w:tr>
      <w:tr>
        <w:tc>
          <w:tcPr>
            <w:tcW w:type="dxa" w:w="2078"/>
          </w:tcPr>
          <w:p>
            <w:r/>
            <w:r>
              <w:rPr>
                <w:rFonts w:ascii="宋体" w:hAnsi="宋体" w:eastAsia="宋体"/>
                <w:sz w:val="20"/>
              </w:rPr>
              <w:t>Timeline</w:t>
            </w:r>
          </w:p>
        </w:tc>
        <w:tc>
          <w:tcPr>
            <w:tcW w:type="dxa" w:w="2078"/>
          </w:tcPr>
          <w:p>
            <w:r/>
            <w:r>
              <w:rPr>
                <w:rFonts w:ascii="宋体" w:hAnsi="宋体" w:eastAsia="宋体"/>
                <w:sz w:val="20"/>
              </w:rPr>
              <w:t>时间线编辑</w:t>
            </w:r>
          </w:p>
        </w:tc>
        <w:tc>
          <w:tcPr>
            <w:tcW w:type="dxa" w:w="2078"/>
          </w:tcPr>
          <w:p>
            <w:r/>
            <w:r>
              <w:rPr>
                <w:rFonts w:ascii="宋体" w:hAnsi="宋体" w:eastAsia="宋体"/>
                <w:sz w:val="20"/>
              </w:rPr>
              <w:t>内置</w:t>
            </w:r>
          </w:p>
        </w:tc>
        <w:tc>
          <w:tcPr>
            <w:tcW w:type="dxa" w:w="2078"/>
          </w:tcPr>
          <w:p>
            <w:r/>
            <w:r>
              <w:rPr>
                <w:rFonts w:ascii="宋体" w:hAnsi="宋体" w:eastAsia="宋体"/>
                <w:sz w:val="20"/>
              </w:rPr>
              <w:t>过场动画</w:t>
            </w:r>
          </w:p>
        </w:tc>
      </w:tr>
      <w:tr>
        <w:tc>
          <w:tcPr>
            <w:tcW w:type="dxa" w:w="2078"/>
          </w:tcPr>
          <w:p>
            <w:r/>
            <w:r>
              <w:rPr>
                <w:rFonts w:ascii="宋体" w:hAnsi="宋体" w:eastAsia="宋体"/>
                <w:sz w:val="20"/>
              </w:rPr>
              <w:t>Addressables</w:t>
            </w:r>
          </w:p>
        </w:tc>
        <w:tc>
          <w:tcPr>
            <w:tcW w:type="dxa" w:w="2078"/>
          </w:tcPr>
          <w:p>
            <w:r/>
            <w:r>
              <w:rPr>
                <w:rFonts w:ascii="宋体" w:hAnsi="宋体" w:eastAsia="宋体"/>
                <w:sz w:val="20"/>
              </w:rPr>
              <w:t>资产管理系统</w:t>
            </w:r>
          </w:p>
        </w:tc>
        <w:tc>
          <w:tcPr>
            <w:tcW w:type="dxa" w:w="2078"/>
          </w:tcPr>
          <w:p>
            <w:r/>
            <w:r>
              <w:rPr>
                <w:rFonts w:ascii="宋体" w:hAnsi="宋体" w:eastAsia="宋体"/>
                <w:sz w:val="20"/>
              </w:rPr>
              <w:t>内置</w:t>
            </w:r>
          </w:p>
        </w:tc>
        <w:tc>
          <w:tcPr>
            <w:tcW w:type="dxa" w:w="2078"/>
          </w:tcPr>
          <w:p>
            <w:r/>
            <w:r>
              <w:rPr>
                <w:rFonts w:ascii="宋体" w:hAnsi="宋体" w:eastAsia="宋体"/>
                <w:sz w:val="20"/>
              </w:rPr>
              <w:t>按需加载</w:t>
            </w:r>
          </w:p>
        </w:tc>
      </w:tr>
      <w:tr>
        <w:tc>
          <w:tcPr>
            <w:tcW w:type="dxa" w:w="2078"/>
          </w:tcPr>
          <w:p>
            <w:r/>
            <w:r>
              <w:rPr>
                <w:rFonts w:ascii="宋体" w:hAnsi="宋体" w:eastAsia="宋体"/>
                <w:sz w:val="20"/>
              </w:rPr>
              <w:t>TextMeshPro</w:t>
            </w:r>
          </w:p>
        </w:tc>
        <w:tc>
          <w:tcPr>
            <w:tcW w:type="dxa" w:w="2078"/>
          </w:tcPr>
          <w:p>
            <w:r/>
            <w:r>
              <w:rPr>
                <w:rFonts w:ascii="宋体" w:hAnsi="宋体" w:eastAsia="宋体"/>
                <w:sz w:val="20"/>
              </w:rPr>
              <w:t>文字渲染</w:t>
            </w:r>
          </w:p>
        </w:tc>
        <w:tc>
          <w:tcPr>
            <w:tcW w:type="dxa" w:w="2078"/>
          </w:tcPr>
          <w:p>
            <w:r/>
            <w:r>
              <w:rPr>
                <w:rFonts w:ascii="宋体" w:hAnsi="宋体" w:eastAsia="宋体"/>
                <w:sz w:val="20"/>
              </w:rPr>
              <w:t>内置</w:t>
            </w:r>
          </w:p>
        </w:tc>
        <w:tc>
          <w:tcPr>
            <w:tcW w:type="dxa" w:w="2078"/>
          </w:tcPr>
          <w:p>
            <w:r/>
            <w:r>
              <w:rPr>
                <w:rFonts w:ascii="宋体" w:hAnsi="宋体" w:eastAsia="宋体"/>
                <w:sz w:val="20"/>
              </w:rPr>
              <w:t>VR文字清晰</w:t>
            </w:r>
          </w:p>
        </w:tc>
      </w:tr>
    </w:tbl>
    <w:p/>
    <w:p/>
    <w:p>
      <w:pPr>
        <w:pStyle w:val="Heading3"/>
      </w:pPr>
      <w:r>
        <w:t>B.6.2 开发快捷键速查</w:t>
      </w:r>
    </w:p>
    <w:p/>
    <w:p>
      <w:pPr>
        <w:ind w:firstLine="482"/>
      </w:pPr>
      <w:r>
        <w:rPr>
          <w:rFonts w:ascii="宋体" w:hAnsi="宋体" w:eastAsia="宋体"/>
          <w:b/>
          <w:sz w:val="24"/>
        </w:rPr>
        <w:t>Unity 常用快捷键</w:t>
      </w:r>
      <w:r>
        <w:rPr>
          <w:rFonts w:ascii="宋体" w:hAnsi="宋体" w:eastAsia="宋体"/>
          <w:sz w:val="24"/>
        </w:rPr>
        <w:t>：</w:t>
      </w:r>
    </w:p>
    <w:p>
      <w:pPr>
        <w:pStyle w:val="ListBullet"/>
      </w:pPr>
      <w:r>
        <w:rPr>
          <w:rFonts w:ascii="宋体" w:hAnsi="宋体" w:eastAsia="宋体"/>
          <w:sz w:val="24"/>
        </w:rPr>
        <w:t>W/E/R：移动/旋转/缩放工具切换</w:t>
      </w:r>
    </w:p>
    <w:p>
      <w:pPr>
        <w:pStyle w:val="ListBullet"/>
      </w:pPr>
      <w:r>
        <w:rPr>
          <w:rFonts w:ascii="宋体" w:hAnsi="宋体" w:eastAsia="宋体"/>
          <w:sz w:val="24"/>
        </w:rPr>
        <w:t>F：聚焦选中物体</w:t>
      </w:r>
    </w:p>
    <w:p>
      <w:pPr>
        <w:pStyle w:val="ListBullet"/>
      </w:pPr>
      <w:r>
        <w:rPr>
          <w:rFonts w:ascii="宋体" w:hAnsi="宋体" w:eastAsia="宋体"/>
          <w:sz w:val="24"/>
        </w:rPr>
        <w:t>Ctrl+D：复制选中物体</w:t>
      </w:r>
    </w:p>
    <w:p>
      <w:pPr>
        <w:pStyle w:val="ListBullet"/>
      </w:pPr>
      <w:r>
        <w:rPr>
          <w:rFonts w:ascii="宋体" w:hAnsi="宋体" w:eastAsia="宋体"/>
          <w:sz w:val="24"/>
        </w:rPr>
        <w:t>Ctrl+Shift+N：新建空物体</w:t>
      </w:r>
    </w:p>
    <w:p>
      <w:pPr>
        <w:pStyle w:val="ListBullet"/>
      </w:pPr>
      <w:r>
        <w:rPr>
          <w:rFonts w:ascii="宋体" w:hAnsi="宋体" w:eastAsia="宋体"/>
          <w:sz w:val="24"/>
        </w:rPr>
        <w:t>Ctrl+G：创建父物体组</w:t>
      </w:r>
    </w:p>
    <w:p>
      <w:pPr>
        <w:pStyle w:val="ListBullet"/>
      </w:pPr>
      <w:r>
        <w:rPr>
          <w:rFonts w:ascii="宋体" w:hAnsi="宋体" w:eastAsia="宋体"/>
          <w:sz w:val="24"/>
        </w:rPr>
        <w:t>Shift+Space：最大化/还原窗口</w:t>
      </w:r>
    </w:p>
    <w:p>
      <w:pPr>
        <w:pStyle w:val="ListBullet"/>
      </w:pPr>
      <w:r>
        <w:rPr>
          <w:rFonts w:ascii="宋体" w:hAnsi="宋体" w:eastAsia="宋体"/>
          <w:sz w:val="24"/>
        </w:rPr>
        <w:t>Ctrl+Shift+C：打开Console</w:t>
      </w:r>
    </w:p>
    <w:p>
      <w:pPr>
        <w:pStyle w:val="ListBullet"/>
      </w:pPr>
      <w:r>
        <w:rPr>
          <w:rFonts w:ascii="宋体" w:hAnsi="宋体" w:eastAsia="宋体"/>
          <w:sz w:val="24"/>
        </w:rPr>
        <w:t>Ctrl+0：打开Asset Store</w:t>
      </w:r>
    </w:p>
    <w:p/>
    <w:p>
      <w:pPr>
        <w:ind w:firstLine="482"/>
      </w:pPr>
      <w:r>
        <w:rPr>
          <w:rFonts w:ascii="宋体" w:hAnsi="宋体" w:eastAsia="宋体"/>
          <w:b/>
          <w:sz w:val="24"/>
        </w:rPr>
        <w:t>Blender 常用快捷键</w:t>
      </w:r>
      <w:r>
        <w:rPr>
          <w:rFonts w:ascii="宋体" w:hAnsi="宋体" w:eastAsia="宋体"/>
          <w:sz w:val="24"/>
        </w:rPr>
        <w:t>：</w:t>
      </w:r>
    </w:p>
    <w:p>
      <w:pPr>
        <w:pStyle w:val="ListBullet"/>
      </w:pPr>
      <w:r>
        <w:rPr>
          <w:rFonts w:ascii="宋体" w:hAnsi="宋体" w:eastAsia="宋体"/>
          <w:sz w:val="24"/>
        </w:rPr>
        <w:t>G/R/S：移动/旋转/缩放</w:t>
      </w:r>
    </w:p>
    <w:p>
      <w:pPr>
        <w:pStyle w:val="ListBullet"/>
      </w:pPr>
      <w:r>
        <w:rPr>
          <w:rFonts w:ascii="宋体" w:hAnsi="宋体" w:eastAsia="宋体"/>
          <w:sz w:val="24"/>
        </w:rPr>
        <w:t>Tab：编辑模式切换</w:t>
      </w:r>
    </w:p>
    <w:p>
      <w:pPr>
        <w:pStyle w:val="ListBullet"/>
      </w:pPr>
      <w:r>
        <w:rPr>
          <w:rFonts w:ascii="宋体" w:hAnsi="宋体" w:eastAsia="宋体"/>
          <w:sz w:val="24"/>
        </w:rPr>
        <w:t>1/2/3：顶点/边/面选择模式</w:t>
      </w:r>
    </w:p>
    <w:p>
      <w:pPr>
        <w:pStyle w:val="ListBullet"/>
      </w:pPr>
      <w:r>
        <w:rPr>
          <w:rFonts w:ascii="宋体" w:hAnsi="宋体" w:eastAsia="宋体"/>
          <w:sz w:val="24"/>
        </w:rPr>
        <w:t>E：挤出</w:t>
      </w:r>
    </w:p>
    <w:p>
      <w:pPr>
        <w:pStyle w:val="ListBullet"/>
      </w:pPr>
      <w:r>
        <w:rPr>
          <w:rFonts w:ascii="宋体" w:hAnsi="宋体" w:eastAsia="宋体"/>
          <w:sz w:val="24"/>
        </w:rPr>
        <w:t>I：内插面</w:t>
      </w:r>
    </w:p>
    <w:p>
      <w:pPr>
        <w:pStyle w:val="ListBullet"/>
      </w:pPr>
      <w:r>
        <w:rPr>
          <w:rFonts w:ascii="宋体" w:hAnsi="宋体" w:eastAsia="宋体"/>
          <w:sz w:val="24"/>
        </w:rPr>
        <w:t>Ctrl+R：环切</w:t>
      </w:r>
    </w:p>
    <w:p>
      <w:pPr>
        <w:pStyle w:val="ListBullet"/>
      </w:pPr>
      <w:r>
        <w:rPr>
          <w:rFonts w:ascii="宋体" w:hAnsi="宋体" w:eastAsia="宋体"/>
          <w:sz w:val="24"/>
        </w:rPr>
        <w:t>K：切刀工具</w:t>
      </w:r>
    </w:p>
    <w:p>
      <w:pPr>
        <w:pStyle w:val="ListBullet"/>
      </w:pPr>
      <w:r>
        <w:rPr>
          <w:rFonts w:ascii="宋体" w:hAnsi="宋体" w:eastAsia="宋体"/>
          <w:sz w:val="24"/>
        </w:rPr>
        <w:t>U：UV展开</w:t>
      </w:r>
    </w:p>
    <w:p>
      <w:pPr>
        <w:pStyle w:val="ListBullet"/>
      </w:pPr>
      <w:r>
        <w:rPr>
          <w:rFonts w:ascii="宋体" w:hAnsi="宋体" w:eastAsia="宋体"/>
          <w:sz w:val="24"/>
        </w:rPr>
        <w:t>Ctrl+A：应用变换</w:t>
      </w:r>
    </w:p>
    <w:p/>
    <w:p>
      <w:pPr>
        <w:pStyle w:val="Heading3"/>
      </w:pPr>
      <w:r>
        <w:t>B.6.3 调试技巧</w:t>
      </w:r>
    </w:p>
    <w:p/>
    <w:p>
      <w:pPr>
        <w:ind w:firstLine="482"/>
      </w:pPr>
      <w:r>
        <w:rPr>
          <w:rFonts w:ascii="宋体" w:hAnsi="宋体" w:eastAsia="宋体"/>
          <w:b/>
          <w:sz w:val="24"/>
        </w:rPr>
        <w:t>VR 调试技巧</w:t>
      </w:r>
      <w:r>
        <w:rPr>
          <w:rFonts w:ascii="宋体" w:hAnsi="宋体" w:eastAsia="宋体"/>
          <w:sz w:val="24"/>
        </w:rPr>
        <w:t>：</w:t>
      </w:r>
    </w:p>
    <w:p>
      <w:pPr>
        <w:pStyle w:val="ListNumber"/>
      </w:pPr>
      <w:r>
        <w:rPr>
          <w:rFonts w:ascii="宋体" w:hAnsi="宋体" w:eastAsia="宋体"/>
          <w:sz w:val="24"/>
        </w:rPr>
        <w:t>使用 Unity 的 VR Simulator 在编辑器中模拟 VR 输入，无需佩戴头显即可调试交互逻辑</w:t>
      </w:r>
    </w:p>
    <w:p>
      <w:pPr>
        <w:pStyle w:val="ListNumber"/>
      </w:pPr>
      <w:r>
        <w:rPr>
          <w:rFonts w:ascii="宋体" w:hAnsi="宋体" w:eastAsia="宋体"/>
          <w:sz w:val="24"/>
        </w:rPr>
        <w:t>使用 Oculus Link / Air Link 在 PC 上运行 VR 应用同时使用 Unity Profiler 分析性能</w:t>
      </w:r>
    </w:p>
    <w:p>
      <w:pPr>
        <w:pStyle w:val="ListNumber"/>
      </w:pPr>
      <w:r>
        <w:rPr>
          <w:rFonts w:ascii="宋体" w:hAnsi="宋体" w:eastAsia="宋体"/>
          <w:sz w:val="24"/>
        </w:rPr>
        <w:t>在 VR 场景中添加调试面板（固定在视野角落的 Text 面板），实时显示帧率、内存和关键变量</w:t>
      </w:r>
    </w:p>
    <w:p>
      <w:pPr>
        <w:pStyle w:val="ListNumber"/>
      </w:pPr>
      <w:r>
        <w:rPr>
          <w:rFonts w:ascii="宋体" w:hAnsi="宋体" w:eastAsia="宋体"/>
          <w:sz w:val="24"/>
        </w:rPr>
        <w:t>使用 Unity Remote Connect 在手机上远程预览 AR 应用，无需每次编译部署</w:t>
      </w:r>
    </w:p>
    <w:p/>
    <w:p>
      <w:pPr>
        <w:ind w:firstLine="482"/>
      </w:pPr>
      <w:r>
        <w:rPr>
          <w:rFonts w:ascii="宋体" w:hAnsi="宋体" w:eastAsia="宋体"/>
          <w:b/>
          <w:sz w:val="24"/>
        </w:rPr>
        <w:t>AR 调试技巧</w:t>
      </w:r>
      <w:r>
        <w:rPr>
          <w:rFonts w:ascii="宋体" w:hAnsi="宋体" w:eastAsia="宋体"/>
          <w:sz w:val="24"/>
        </w:rPr>
        <w:t>：</w:t>
      </w:r>
    </w:p>
    <w:p>
      <w:pPr>
        <w:pStyle w:val="ListNumber"/>
      </w:pPr>
      <w:r>
        <w:rPr>
          <w:rFonts w:ascii="宋体" w:hAnsi="宋体" w:eastAsia="宋体"/>
          <w:sz w:val="24"/>
        </w:rPr>
        <w:t>使用 AR Foundation 的 AR Session Editor 模拟器在编辑器中模拟 AR 追踪</w:t>
      </w:r>
    </w:p>
    <w:p>
      <w:pPr>
        <w:pStyle w:val="ListNumber"/>
      </w:pPr>
      <w:r>
        <w:rPr>
          <w:rFonts w:ascii="宋体" w:hAnsi="宋体" w:eastAsia="宋体"/>
          <w:sz w:val="24"/>
        </w:rPr>
        <w:t>录制真实环境的视频并在编辑器中播放，模拟 AR 相机输入</w:t>
      </w:r>
    </w:p>
    <w:p>
      <w:pPr>
        <w:pStyle w:val="ListNumber"/>
      </w:pPr>
      <w:r>
        <w:rPr>
          <w:rFonts w:ascii="宋体" w:hAnsi="宋体" w:eastAsia="宋体"/>
          <w:sz w:val="24"/>
        </w:rPr>
        <w:t>使用 AR Debug Visualizer 组件可视化平面检测、特征点和射线检测结果</w:t>
      </w:r>
    </w:p>
    <w:p>
      <w:pPr>
        <w:pStyle w:val="ListNumber"/>
      </w:pPr>
      <w:r>
        <w:rPr>
          <w:rFonts w:ascii="宋体" w:hAnsi="宋体" w:eastAsia="宋体"/>
          <w:sz w:val="24"/>
        </w:rPr>
        <w:t>在不同光照条件下测试图像追踪——准备强光、弱光、混合光三种测试环境</w:t>
      </w:r>
    </w:p>
    <w:p/>
    <w:p>
      <w:pPr>
        <w:pStyle w:val="Heading3"/>
      </w:pPr>
      <w:r>
        <w:t>B.6.4 版本管理最佳实践</w:t>
      </w:r>
    </w:p>
    <w:p/>
    <w:p>
      <w:pPr>
        <w:ind w:firstLine="482"/>
      </w:pPr>
      <w:r>
        <w:rPr>
          <w:rFonts w:ascii="宋体" w:hAnsi="宋体" w:eastAsia="宋体"/>
          <w:b/>
          <w:sz w:val="24"/>
        </w:rPr>
        <w:t>Git 配置建议</w:t>
      </w:r>
      <w:r>
        <w:rPr>
          <w:rFonts w:ascii="宋体" w:hAnsi="宋体" w:eastAsia="宋体"/>
          <w:sz w:val="24"/>
        </w:rPr>
        <w:t>：</w:t>
      </w:r>
    </w:p>
    <w:p>
      <w:pPr>
        <w:pStyle w:val="ListBullet"/>
      </w:pPr>
      <w:r>
        <w:rPr>
          <w:rFonts w:ascii="宋体" w:hAnsi="宋体" w:eastAsia="宋体"/>
          <w:sz w:val="24"/>
        </w:rPr>
        <w:t>使用 .gitignore 排除 Library/、Temp/、Obj/、Build/、Logs/ 目录</w:t>
      </w:r>
    </w:p>
    <w:p>
      <w:pPr>
        <w:pStyle w:val="ListBullet"/>
      </w:pPr>
      <w:r>
        <w:rPr>
          <w:rFonts w:ascii="宋体" w:hAnsi="宋体" w:eastAsia="宋体"/>
          <w:sz w:val="24"/>
        </w:rPr>
        <w:t>使用 Git LFS 管理 .fbx、.png、.wav、.psd 等大文件（设置 LFS 跟踪规则）</w:t>
      </w:r>
    </w:p>
    <w:p>
      <w:pPr>
        <w:pStyle w:val="ListBullet"/>
      </w:pPr>
      <w:r>
        <w:rPr>
          <w:rFonts w:ascii="宋体" w:hAnsi="宋体" w:eastAsia="宋体"/>
          <w:sz w:val="24"/>
        </w:rPr>
        <w:t>将场景文件（.unity）设为文本序列化（Project Settings &gt; Editor &gt; Asset Serialization &gt; Force Text）</w:t>
      </w:r>
    </w:p>
    <w:p>
      <w:pPr>
        <w:pStyle w:val="ListBullet"/>
      </w:pPr>
      <w:r>
        <w:rPr>
          <w:rFonts w:ascii="宋体" w:hAnsi="宋体" w:eastAsia="宋体"/>
          <w:sz w:val="24"/>
        </w:rPr>
        <w:t>避免多人同时编辑同一场景文件——使用 Prefab 和 Scene Additive Loading 分离工作</w:t>
      </w:r>
    </w:p>
    <w:p>
      <w:pPr>
        <w:pStyle w:val="ListBullet"/>
      </w:pPr>
      <w:r>
        <w:rPr>
          <w:rFonts w:ascii="宋体" w:hAnsi="宋体" w:eastAsia="宋体"/>
          <w:sz w:val="24"/>
        </w:rPr>
        <w:t>每日提交代码，使用有意义的提交信息（格式：[模块] 动作描述）</w:t>
      </w:r>
    </w:p>
    <w:p/>
    <w:p>
      <w:pPr>
        <w:ind w:firstLine="482"/>
      </w:pPr>
      <w:r>
        <w:rPr>
          <w:rFonts w:ascii="宋体" w:hAnsi="宋体" w:eastAsia="宋体"/>
          <w:b/>
          <w:sz w:val="24"/>
        </w:rPr>
        <w:t>团队协作流程</w:t>
      </w:r>
      <w:r>
        <w:rPr>
          <w:rFonts w:ascii="宋体" w:hAnsi="宋体" w:eastAsia="宋体"/>
          <w:sz w:val="24"/>
        </w:rPr>
        <w:t>：</w:t>
      </w:r>
    </w:p>
    <w:p>
      <w:pPr>
        <w:pStyle w:val="ListNumber"/>
      </w:pPr>
      <w:r>
        <w:rPr>
          <w:rFonts w:ascii="宋体" w:hAnsi="宋体" w:eastAsia="宋体"/>
          <w:sz w:val="24"/>
        </w:rPr>
        <w:t>每周创建一个 develop 分支作为集成分支</w:t>
      </w:r>
    </w:p>
    <w:p>
      <w:pPr>
        <w:pStyle w:val="ListNumber"/>
      </w:pPr>
      <w:r>
        <w:rPr>
          <w:rFonts w:ascii="宋体" w:hAnsi="宋体" w:eastAsia="宋体"/>
          <w:sz w:val="24"/>
        </w:rPr>
        <w:t>每个功能在独立的 feature 分支上开发</w:t>
      </w:r>
    </w:p>
    <w:p>
      <w:pPr>
        <w:pStyle w:val="ListNumber"/>
      </w:pPr>
      <w:r>
        <w:rPr>
          <w:rFonts w:ascii="宋体" w:hAnsi="宋体" w:eastAsia="宋体"/>
          <w:sz w:val="24"/>
        </w:rPr>
        <w:t>功能完成后提交 Pull Request，至少一人审查后合并</w:t>
      </w:r>
    </w:p>
    <w:p>
      <w:pPr>
        <w:pStyle w:val="ListNumber"/>
      </w:pPr>
      <w:r>
        <w:rPr>
          <w:rFonts w:ascii="宋体" w:hAnsi="宋体" w:eastAsia="宋体"/>
          <w:sz w:val="24"/>
        </w:rPr>
        <w:t>每周从 develop 分支构建一个测试版本供测试</w:t>
      </w:r>
    </w:p>
    <w:p>
      <w:pPr>
        <w:pStyle w:val="ListNumber"/>
      </w:pPr>
      <w:r>
        <w:rPr>
          <w:rFonts w:ascii="宋体" w:hAnsi="宋体" w:eastAsia="宋体"/>
          <w:sz w:val="24"/>
        </w:rPr>
        <w:t>月度从 develop 分支合并到 main 分支并发布 Release 版本</w:t>
      </w:r>
    </w:p>
    <w:p/>
    <w:p>
      <w:r>
        <w:br w:type="page"/>
      </w:r>
    </w:p>
    <w:p>
      <w:pPr>
        <w:pStyle w:val="Heading1"/>
      </w:pPr>
      <w:r>
        <w:t>附录 C：VR/AR 沉浸式场景案例库</w:t>
      </w:r>
    </w:p>
    <w:p/>
    <w:p>
      <w:pPr>
        <w:ind w:firstLine="482"/>
      </w:pPr>
      <w:r>
        <w:rPr>
          <w:rFonts w:ascii="宋体" w:hAnsi="宋体" w:eastAsia="宋体"/>
          <w:sz w:val="24"/>
        </w:rPr>
        <w:t>本附录收录了国内外 VR/AR 沉浸式场景在文旅、文化遗产和教育领域的代表性案例，供读者参考借鉴。</w:t>
      </w:r>
    </w:p>
    <w:p/>
    <w:p>
      <w:pPr>
        <w:pStyle w:val="Heading2"/>
      </w:pPr>
      <w:r>
        <w:t>C.1 国内文旅 VR/AR 案例</w:t>
      </w:r>
    </w:p>
    <w:p/>
    <w:p>
      <w:pPr>
        <w:pStyle w:val="Heading3"/>
      </w:pPr>
      <w:r>
        <w:t>C.1.1 故宫博物院数字故宫</w:t>
      </w:r>
    </w:p>
    <w:p/>
    <w:p>
      <w:pPr>
        <w:ind w:firstLine="482"/>
      </w:pPr>
      <w:r>
        <w:rPr>
          <w:rFonts w:ascii="宋体" w:hAnsi="宋体" w:eastAsia="宋体"/>
          <w:b/>
          <w:sz w:val="24"/>
        </w:rPr>
        <w:t>项目概述</w:t>
      </w:r>
      <w:r>
        <w:rPr>
          <w:rFonts w:ascii="宋体" w:hAnsi="宋体" w:eastAsia="宋体"/>
          <w:sz w:val="24"/>
        </w:rPr>
        <w:t>：故宫博物院与腾讯合作开发的数字故宫项目，综合运用 VR、AR、AI 等技术，将故宫的建筑、文物和文化以数字化形式呈现[1]。</w:t>
      </w:r>
    </w:p>
    <w:p/>
    <w:p>
      <w:pPr>
        <w:ind w:firstLine="482"/>
      </w:pPr>
      <w:r>
        <w:rPr>
          <w:rFonts w:ascii="宋体" w:hAnsi="宋体" w:eastAsia="宋体"/>
          <w:b/>
          <w:sz w:val="24"/>
        </w:rPr>
        <w:t>技术方案</w:t>
      </w:r>
      <w:r>
        <w:rPr>
          <w:rFonts w:ascii="宋体" w:hAnsi="宋体" w:eastAsia="宋体"/>
          <w:sz w:val="24"/>
        </w:rPr>
        <w:t>：使用摄影测量技术对故宫建筑群进行数字化采集，生成高精度 3D 模型。开发"故宫 VR"应用，用户可以在虚拟故宫中自由漫游，参观未开放的宫殿区域。开发 AR 导览应用"故宫展览"，游客通过手机扫描展品获取 AR 互动内容。使用 AI 技术实现文物自动识别和智能讲解。</w:t>
      </w:r>
    </w:p>
    <w:p/>
    <w:p>
      <w:pPr>
        <w:ind w:firstLine="482"/>
      </w:pPr>
      <w:r>
        <w:rPr>
          <w:rFonts w:ascii="宋体" w:hAnsi="宋体" w:eastAsia="宋体"/>
          <w:b/>
          <w:sz w:val="24"/>
        </w:rPr>
        <w:t>效果数据</w:t>
      </w:r>
      <w:r>
        <w:rPr>
          <w:rFonts w:ascii="宋体" w:hAnsi="宋体" w:eastAsia="宋体"/>
          <w:sz w:val="24"/>
        </w:rPr>
        <w:t>：数字故宫累计访问量超过 5000 万次，VR 应用在 App Store 评分 4.8/5.0。AR 导览使游客平均参观时长增加 25%，文物知识获取率提升 40%[1]。</w:t>
      </w:r>
    </w:p>
    <w:p/>
    <w:p>
      <w:pPr>
        <w:pStyle w:val="Heading3"/>
      </w:pPr>
      <w:r>
        <w:t>C.1.2 敦煌莫高窟数字敦煌</w:t>
      </w:r>
    </w:p>
    <w:p/>
    <w:p>
      <w:pPr>
        <w:ind w:firstLine="482"/>
      </w:pPr>
      <w:r>
        <w:rPr>
          <w:rFonts w:ascii="宋体" w:hAnsi="宋体" w:eastAsia="宋体"/>
          <w:b/>
          <w:sz w:val="24"/>
        </w:rPr>
        <w:t>项目概述</w:t>
      </w:r>
      <w:r>
        <w:rPr>
          <w:rFonts w:ascii="宋体" w:hAnsi="宋体" w:eastAsia="宋体"/>
          <w:sz w:val="24"/>
        </w:rPr>
        <w:t>：敦煌研究院与多方合作开展的莫高窟数字化保护与展示项目，是全球规模最大的文化遗产数字化项目之一[2]。</w:t>
      </w:r>
    </w:p>
    <w:p/>
    <w:p>
      <w:pPr>
        <w:ind w:firstLine="482"/>
      </w:pPr>
      <w:r>
        <w:rPr>
          <w:rFonts w:ascii="宋体" w:hAnsi="宋体" w:eastAsia="宋体"/>
          <w:b/>
          <w:sz w:val="24"/>
        </w:rPr>
        <w:t>技术方案</w:t>
      </w:r>
      <w:r>
        <w:rPr>
          <w:rFonts w:ascii="宋体" w:hAnsi="宋体" w:eastAsia="宋体"/>
          <w:sz w:val="24"/>
        </w:rPr>
        <w:t>：对 30 个洞窟进行高精度数字化采集（分辨率 300dpi），建立数字档案。开发"数字敦煌"网站，用户可在线浏览高清洞窟图像。建设敦煌 VR 体验中心，游客在 VR 中深入参观洞窟，缓解实体洞窟的游客压力。使用 AI 技术对褪色壁画进行虚拟复原。</w:t>
      </w:r>
    </w:p>
    <w:p/>
    <w:p>
      <w:pPr>
        <w:ind w:firstLine="482"/>
      </w:pPr>
      <w:r>
        <w:rPr>
          <w:rFonts w:ascii="宋体" w:hAnsi="宋体" w:eastAsia="宋体"/>
          <w:b/>
          <w:sz w:val="24"/>
        </w:rPr>
        <w:t>效果数据</w:t>
      </w:r>
      <w:r>
        <w:rPr>
          <w:rFonts w:ascii="宋体" w:hAnsi="宋体" w:eastAsia="宋体"/>
          <w:sz w:val="24"/>
        </w:rPr>
        <w:t>：已完成 200+ 洞窟的数字化采集。VR 体验中心年接待游客 50 万人次。实体洞窟的游客限流措施与 VR 体验相结合，既保护了文物又提升了游客体验[2]。</w:t>
      </w:r>
    </w:p>
    <w:p/>
    <w:p>
      <w:pPr>
        <w:pStyle w:val="Heading3"/>
      </w:pPr>
      <w:r>
        <w:t>C.1.3 贵州省博物馆数字展厅</w:t>
      </w:r>
    </w:p>
    <w:p/>
    <w:p>
      <w:pPr>
        <w:ind w:firstLine="482"/>
      </w:pPr>
      <w:r>
        <w:rPr>
          <w:rFonts w:ascii="宋体" w:hAnsi="宋体" w:eastAsia="宋体"/>
          <w:b/>
          <w:sz w:val="24"/>
        </w:rPr>
        <w:t>项目概述</w:t>
      </w:r>
      <w:r>
        <w:rPr>
          <w:rFonts w:ascii="宋体" w:hAnsi="宋体" w:eastAsia="宋体"/>
          <w:sz w:val="24"/>
        </w:rPr>
        <w:t>：贵州省博物馆运用 VR/AR 技术打造的数字化展示项目，重点展示贵州的民族文化和自然遗产[3]。</w:t>
      </w:r>
    </w:p>
    <w:p/>
    <w:p>
      <w:pPr>
        <w:ind w:firstLine="482"/>
      </w:pPr>
      <w:r>
        <w:rPr>
          <w:rFonts w:ascii="宋体" w:hAnsi="宋体" w:eastAsia="宋体"/>
          <w:b/>
          <w:sz w:val="24"/>
        </w:rPr>
        <w:t>技术方案</w:t>
      </w:r>
      <w:r>
        <w:rPr>
          <w:rFonts w:ascii="宋体" w:hAnsi="宋体" w:eastAsia="宋体"/>
          <w:sz w:val="24"/>
        </w:rPr>
        <w:t>：苗族银饰、蜡染等非遗文物使用 3D 扫描数字化，在 AR 展示中可 360 度旋转查看。古生物化石使用 VR 技术重现史前环境。开发手机 AR 导览应用，游客扫描展品触发多媒体讲解。</w:t>
      </w:r>
    </w:p>
    <w:p/>
    <w:p>
      <w:pPr>
        <w:ind w:firstLine="482"/>
      </w:pPr>
      <w:r>
        <w:rPr>
          <w:rFonts w:ascii="宋体" w:hAnsi="宋体" w:eastAsia="宋体"/>
          <w:b/>
          <w:sz w:val="24"/>
        </w:rPr>
        <w:t>效果数据</w:t>
      </w:r>
      <w:r>
        <w:rPr>
          <w:rFonts w:ascii="宋体" w:hAnsi="宋体" w:eastAsia="宋体"/>
          <w:sz w:val="24"/>
        </w:rPr>
        <w:t>：AR 导览使用率达 68%，游客满意度提升 35%。数字展厅成为贵州省文化旅游推广的重要窗口[3]。</w:t>
      </w:r>
    </w:p>
    <w:p/>
    <w:p>
      <w:pPr>
        <w:pStyle w:val="Heading2"/>
      </w:pPr>
      <w:r>
        <w:t>C.2 国际 VR/AR 文旅案例</w:t>
      </w:r>
    </w:p>
    <w:p/>
    <w:p>
      <w:pPr>
        <w:pStyle w:val="Heading3"/>
      </w:pPr>
      <w:r>
        <w:t>C.2.1 卢浮宫蒙娜丽莎 VR</w:t>
      </w:r>
    </w:p>
    <w:p/>
    <w:p>
      <w:pPr>
        <w:ind w:firstLine="482"/>
      </w:pPr>
      <w:r>
        <w:rPr>
          <w:rFonts w:ascii="宋体" w:hAnsi="宋体" w:eastAsia="宋体"/>
          <w:b/>
          <w:sz w:val="24"/>
        </w:rPr>
        <w:t>项目概述</w:t>
      </w:r>
      <w:r>
        <w:rPr>
          <w:rFonts w:ascii="宋体" w:hAnsi="宋体" w:eastAsia="宋体"/>
          <w:sz w:val="24"/>
        </w:rPr>
        <w:t>：法国卢浮宫与 HTC VIVE Arts 合作开发的蒙娜丽莎 VR 体验，让用户以全新视角欣赏这幅世界名画[4]。</w:t>
      </w:r>
    </w:p>
    <w:p/>
    <w:p>
      <w:pPr>
        <w:ind w:firstLine="482"/>
      </w:pPr>
      <w:r>
        <w:rPr>
          <w:rFonts w:ascii="宋体" w:hAnsi="宋体" w:eastAsia="宋体"/>
          <w:b/>
          <w:sz w:val="24"/>
        </w:rPr>
        <w:t>技术方案</w:t>
      </w:r>
      <w:r>
        <w:rPr>
          <w:rFonts w:ascii="宋体" w:hAnsi="宋体" w:eastAsia="宋体"/>
          <w:sz w:val="24"/>
        </w:rPr>
        <w:t>：使用超高清扫描（10000dpi）获取画作数字副本。在 VR 中用户可以近距离观察画作的笔触细节，了解达芬奇的绘画技法，还能"穿越"到 16 世纪的画室观看达芬奇创作过程。</w:t>
      </w:r>
    </w:p>
    <w:p/>
    <w:p>
      <w:pPr>
        <w:ind w:firstLine="482"/>
      </w:pPr>
      <w:r>
        <w:rPr>
          <w:rFonts w:ascii="宋体" w:hAnsi="宋体" w:eastAsia="宋体"/>
          <w:b/>
          <w:sz w:val="24"/>
        </w:rPr>
        <w:t>效果数据</w:t>
      </w:r>
      <w:r>
        <w:rPr>
          <w:rFonts w:ascii="宋体" w:hAnsi="宋体" w:eastAsia="宋体"/>
          <w:sz w:val="24"/>
        </w:rPr>
        <w:t>：VR 体验上线后 3 个月内下载量超过 50 万次，用户评分 4.7/5.0[4]。</w:t>
      </w:r>
    </w:p>
    <w:p/>
    <w:p>
      <w:pPr>
        <w:pStyle w:val="Heading3"/>
      </w:pPr>
      <w:r>
        <w:t>C.2.2 大英博物馆 VR 古埃及</w:t>
      </w:r>
    </w:p>
    <w:p/>
    <w:p>
      <w:pPr>
        <w:ind w:firstLine="482"/>
      </w:pPr>
      <w:r>
        <w:rPr>
          <w:rFonts w:ascii="宋体" w:hAnsi="宋体" w:eastAsia="宋体"/>
          <w:b/>
          <w:sz w:val="24"/>
        </w:rPr>
        <w:t>项目概述</w:t>
      </w:r>
      <w:r>
        <w:rPr>
          <w:rFonts w:ascii="宋体" w:hAnsi="宋体" w:eastAsia="宋体"/>
          <w:sz w:val="24"/>
        </w:rPr>
        <w:t>：大英博物馆与 Oculus 合作开发的古埃及 VR 展览，让用户在虚拟空间中探索古埃及文明[5]。</w:t>
      </w:r>
    </w:p>
    <w:p/>
    <w:p>
      <w:pPr>
        <w:ind w:firstLine="482"/>
      </w:pPr>
      <w:r>
        <w:rPr>
          <w:rFonts w:ascii="宋体" w:hAnsi="宋体" w:eastAsia="宋体"/>
          <w:b/>
          <w:sz w:val="24"/>
        </w:rPr>
        <w:t>技术方案</w:t>
      </w:r>
      <w:r>
        <w:rPr>
          <w:rFonts w:ascii="宋体" w:hAnsi="宋体" w:eastAsia="宋体"/>
          <w:sz w:val="24"/>
        </w:rPr>
        <w:t>：对木乃伊进行 CT 扫描并 3D 重建，在 VR 中用户可以"打开"木乃伊棺椁查看内部结构。虚拟重建古埃及神庙和日常生活场景。支持多人在线 VR 参观，用户可以与远程同伴一起游览。</w:t>
      </w:r>
    </w:p>
    <w:p/>
    <w:p>
      <w:pPr>
        <w:ind w:firstLine="482"/>
      </w:pPr>
      <w:r>
        <w:rPr>
          <w:rFonts w:ascii="宋体" w:hAnsi="宋体" w:eastAsia="宋体"/>
          <w:b/>
          <w:sz w:val="24"/>
        </w:rPr>
        <w:t>效果数据</w:t>
      </w:r>
      <w:r>
        <w:rPr>
          <w:rFonts w:ascii="宋体" w:hAnsi="宋体" w:eastAsia="宋体"/>
          <w:sz w:val="24"/>
        </w:rPr>
        <w:t>：VR 展览成为大英博物馆最受欢迎的数字化项目之一，日均体验人数 800+[5]。</w:t>
      </w:r>
    </w:p>
    <w:p/>
    <w:p>
      <w:pPr>
        <w:pStyle w:val="Heading3"/>
      </w:pPr>
      <w:r>
        <w:t>C.2.3 Google Arts &amp; Culture</w:t>
      </w:r>
    </w:p>
    <w:p/>
    <w:p>
      <w:pPr>
        <w:ind w:firstLine="482"/>
      </w:pPr>
      <w:r>
        <w:rPr>
          <w:rFonts w:ascii="宋体" w:hAnsi="宋体" w:eastAsia="宋体"/>
          <w:b/>
          <w:sz w:val="24"/>
        </w:rPr>
        <w:t>项目概述</w:t>
      </w:r>
      <w:r>
        <w:rPr>
          <w:rFonts w:ascii="宋体" w:hAnsi="宋体" w:eastAsia="宋体"/>
          <w:sz w:val="24"/>
        </w:rPr>
        <w:t>：Google 推出的全球文化艺术在线平台，收录 2000+ 家博物馆和艺术机构的数字藏品[6]。</w:t>
      </w:r>
    </w:p>
    <w:p/>
    <w:p>
      <w:pPr>
        <w:ind w:firstLine="482"/>
      </w:pPr>
      <w:r>
        <w:rPr>
          <w:rFonts w:ascii="宋体" w:hAnsi="宋体" w:eastAsia="宋体"/>
          <w:b/>
          <w:sz w:val="24"/>
        </w:rPr>
        <w:t>技术方案</w:t>
      </w:r>
      <w:r>
        <w:rPr>
          <w:rFonts w:ascii="宋体" w:hAnsi="宋体" w:eastAsia="宋体"/>
          <w:sz w:val="24"/>
        </w:rPr>
        <w:t>：使用 Art Camera 进行超高清艺术品扫描（gigapixel 级别）。提供 VR 游览功能，用户可在 Cardboard/Daydream VR 中虚拟参观博物馆。AR 功能允许用户将名画"挂"在自己家中查看。AI 驱动的艺术品相似度匹配和个性化推荐。</w:t>
      </w:r>
    </w:p>
    <w:p/>
    <w:p>
      <w:pPr>
        <w:ind w:firstLine="482"/>
      </w:pPr>
      <w:r>
        <w:rPr>
          <w:rFonts w:ascii="宋体" w:hAnsi="宋体" w:eastAsia="宋体"/>
          <w:b/>
          <w:sz w:val="24"/>
        </w:rPr>
        <w:t>效果数据</w:t>
      </w:r>
      <w:r>
        <w:rPr>
          <w:rFonts w:ascii="宋体" w:hAnsi="宋体" w:eastAsia="宋体"/>
          <w:sz w:val="24"/>
        </w:rPr>
        <w:t>：平台累计访问量超过 10 亿次，收录艺术品超过 800 万件。支持 70+ 种语言，覆盖全球 80+ 个国家[6]。</w:t>
      </w:r>
    </w:p>
    <w:p/>
    <w:p>
      <w:pPr>
        <w:pStyle w:val="Heading2"/>
      </w:pPr>
      <w:r>
        <w:t>C.3 教育 VR/AR 案例</w:t>
      </w:r>
    </w:p>
    <w:p/>
    <w:p>
      <w:pPr>
        <w:pStyle w:val="Heading3"/>
      </w:pPr>
      <w:r>
        <w:t>C.3.1 zSpace 教育桌面 VR</w:t>
      </w:r>
    </w:p>
    <w:p/>
    <w:p>
      <w:pPr>
        <w:ind w:firstLine="482"/>
      </w:pPr>
      <w:r>
        <w:rPr>
          <w:rFonts w:ascii="宋体" w:hAnsi="宋体" w:eastAsia="宋体"/>
          <w:b/>
          <w:sz w:val="24"/>
        </w:rPr>
        <w:t>项目概述</w:t>
      </w:r>
      <w:r>
        <w:rPr>
          <w:rFonts w:ascii="宋体" w:hAnsi="宋体" w:eastAsia="宋体"/>
          <w:sz w:val="24"/>
        </w:rPr>
        <w:t>：zSpace 推出的教育专用桌面 VR 系统，广泛应用于 K-12 科学教育[7]。</w:t>
      </w:r>
    </w:p>
    <w:p/>
    <w:p>
      <w:pPr>
        <w:ind w:firstLine="482"/>
      </w:pPr>
      <w:r>
        <w:rPr>
          <w:rFonts w:ascii="宋体" w:hAnsi="宋体" w:eastAsia="宋体"/>
          <w:b/>
          <w:sz w:val="24"/>
        </w:rPr>
        <w:t>技术方案</w:t>
      </w:r>
      <w:r>
        <w:rPr>
          <w:rFonts w:ascii="宋体" w:hAnsi="宋体" w:eastAsia="宋体"/>
          <w:sz w:val="24"/>
        </w:rPr>
        <w:t>：使用偏振 3D 显示屏和追踪眼镜实现桌面 VR 体验。学生使用触控笔操作虚拟物体——解剖青蛙、组装电路、观察分子结构。提供 800+ 个教育 VR 课件。</w:t>
      </w:r>
    </w:p>
    <w:p/>
    <w:p>
      <w:pPr>
        <w:ind w:firstLine="482"/>
      </w:pPr>
      <w:r>
        <w:rPr>
          <w:rFonts w:ascii="宋体" w:hAnsi="宋体" w:eastAsia="宋体"/>
          <w:b/>
          <w:sz w:val="24"/>
        </w:rPr>
        <w:t>效果数据</w:t>
      </w:r>
      <w:r>
        <w:rPr>
          <w:rFonts w:ascii="宋体" w:hAnsi="宋体" w:eastAsia="宋体"/>
          <w:sz w:val="24"/>
        </w:rPr>
        <w:t>：全球 1000+ 所学校使用 zSpace，学生科学测试成绩提升 15-25%[7]。</w:t>
      </w:r>
    </w:p>
    <w:p/>
    <w:p>
      <w:pPr>
        <w:pStyle w:val="Heading3"/>
      </w:pPr>
      <w:r>
        <w:t>C.3.2 Google Expeditions</w:t>
      </w:r>
    </w:p>
    <w:p/>
    <w:p>
      <w:pPr>
        <w:ind w:firstLine="482"/>
      </w:pPr>
      <w:r>
        <w:rPr>
          <w:rFonts w:ascii="宋体" w:hAnsi="宋体" w:eastAsia="宋体"/>
          <w:b/>
          <w:sz w:val="24"/>
        </w:rPr>
        <w:t>项目概述</w:t>
      </w:r>
      <w:r>
        <w:rPr>
          <w:rFonts w:ascii="宋体" w:hAnsi="宋体" w:eastAsia="宋体"/>
          <w:sz w:val="24"/>
        </w:rPr>
        <w:t>：Google 推出的教育 VR 实地考察平台（已整合到 Google Arts &amp; Culture），提供 900+ 个 VR 虚拟考察目的地[8]。</w:t>
      </w:r>
    </w:p>
    <w:p/>
    <w:p>
      <w:pPr>
        <w:ind w:firstLine="482"/>
      </w:pPr>
      <w:r>
        <w:rPr>
          <w:rFonts w:ascii="宋体" w:hAnsi="宋体" w:eastAsia="宋体"/>
          <w:b/>
          <w:sz w:val="24"/>
        </w:rPr>
        <w:t>技术方案</w:t>
      </w:r>
      <w:r>
        <w:rPr>
          <w:rFonts w:ascii="宋体" w:hAnsi="宋体" w:eastAsia="宋体"/>
          <w:sz w:val="24"/>
        </w:rPr>
        <w:t>：教师使用平板电脑控制 VR 考察流程，学生佩戴 Cardboard VR 眼镜观看。涵盖自然奇观、历史遗址、博物馆和太空等主题。支持 AR 模式，将 3D 模型投放到教室空间中。</w:t>
      </w:r>
    </w:p>
    <w:p/>
    <w:p>
      <w:pPr>
        <w:ind w:firstLine="482"/>
      </w:pPr>
      <w:r>
        <w:rPr>
          <w:rFonts w:ascii="宋体" w:hAnsi="宋体" w:eastAsia="宋体"/>
          <w:b/>
          <w:sz w:val="24"/>
        </w:rPr>
        <w:t>效果数据</w:t>
      </w:r>
      <w:r>
        <w:rPr>
          <w:rFonts w:ascii="宋体" w:hAnsi="宋体" w:eastAsia="宋体"/>
          <w:sz w:val="24"/>
        </w:rPr>
        <w:t>：全球 300 万+ 学生使用过 Google Expeditions 进行虚拟考察[8]。</w:t>
      </w:r>
    </w:p>
    <w:p/>
    <w:p>
      <w:pPr>
        <w:pStyle w:val="Heading3"/>
      </w:pPr>
      <w:r>
        <w:t>C.3.3 Medical Realities 手术 VR</w:t>
      </w:r>
    </w:p>
    <w:p/>
    <w:p>
      <w:pPr>
        <w:ind w:firstLine="482"/>
      </w:pPr>
      <w:r>
        <w:rPr>
          <w:rFonts w:ascii="宋体" w:hAnsi="宋体" w:eastAsia="宋体"/>
          <w:b/>
          <w:sz w:val="24"/>
        </w:rPr>
        <w:t>项目概述</w:t>
      </w:r>
      <w:r>
        <w:rPr>
          <w:rFonts w:ascii="宋体" w:hAnsi="宋体" w:eastAsia="宋体"/>
          <w:sz w:val="24"/>
        </w:rPr>
        <w:t>：Medical Realities 开发的医学手术 VR 培训平台，使用 360 度视频录制真实手术过程[9]。</w:t>
      </w:r>
    </w:p>
    <w:p/>
    <w:p>
      <w:pPr>
        <w:ind w:firstLine="482"/>
      </w:pPr>
      <w:r>
        <w:rPr>
          <w:rFonts w:ascii="宋体" w:hAnsi="宋体" w:eastAsia="宋体"/>
          <w:b/>
          <w:sz w:val="24"/>
        </w:rPr>
        <w:t>技术方案</w:t>
      </w:r>
      <w:r>
        <w:rPr>
          <w:rFonts w:ascii="宋体" w:hAnsi="宋体" w:eastAsia="宋体"/>
          <w:sz w:val="24"/>
        </w:rPr>
        <w:t>：在手术室部署 360 度相机阵列，以第一人称视角录制手术全过程。医学生在 VR 中观看手术直播或录像，获得身临其境的学习体验。配合 3D 解剖模型和交互式手术模拟。</w:t>
      </w:r>
    </w:p>
    <w:p/>
    <w:p>
      <w:pPr>
        <w:ind w:firstLine="482"/>
      </w:pPr>
      <w:r>
        <w:rPr>
          <w:rFonts w:ascii="宋体" w:hAnsi="宋体" w:eastAsia="宋体"/>
          <w:b/>
          <w:sz w:val="24"/>
        </w:rPr>
        <w:t>效果数据</w:t>
      </w:r>
      <w:r>
        <w:rPr>
          <w:rFonts w:ascii="宋体" w:hAnsi="宋体" w:eastAsia="宋体"/>
          <w:sz w:val="24"/>
        </w:rPr>
        <w:t>：全球 50+ 所医学院使用该平台，学生手术知识测试成绩提升 30-40%[9]。</w:t>
      </w:r>
    </w:p>
    <w:p/>
    <w:p>
      <w:pPr>
        <w:pStyle w:val="Heading2"/>
      </w:pPr>
      <w:r>
        <w:t>C.4 贵州特色 VR/AR 案例</w:t>
      </w:r>
    </w:p>
    <w:p/>
    <w:p>
      <w:pPr>
        <w:pStyle w:val="Heading3"/>
      </w:pPr>
      <w:r>
        <w:t>C.4.1 黄果树瀑布 VR 营销</w:t>
      </w:r>
    </w:p>
    <w:p/>
    <w:p>
      <w:pPr>
        <w:ind w:firstLine="482"/>
      </w:pPr>
      <w:r>
        <w:rPr>
          <w:rFonts w:ascii="宋体" w:hAnsi="宋体" w:eastAsia="宋体"/>
          <w:b/>
          <w:sz w:val="24"/>
        </w:rPr>
        <w:t>项目概述</w:t>
      </w:r>
      <w:r>
        <w:rPr>
          <w:rFonts w:ascii="宋体" w:hAnsi="宋体" w:eastAsia="宋体"/>
          <w:sz w:val="24"/>
        </w:rPr>
        <w:t>：黄果树景区在抖音平台推出的 VR 全景营销项目，通过沉浸式体验吸引游客[10]。</w:t>
      </w:r>
    </w:p>
    <w:p/>
    <w:p>
      <w:pPr>
        <w:ind w:firstLine="482"/>
      </w:pPr>
      <w:r>
        <w:rPr>
          <w:rFonts w:ascii="宋体" w:hAnsi="宋体" w:eastAsia="宋体"/>
          <w:b/>
          <w:sz w:val="24"/>
        </w:rPr>
        <w:t>技术方案</w:t>
      </w:r>
      <w:r>
        <w:rPr>
          <w:rFonts w:ascii="宋体" w:hAnsi="宋体" w:eastAsia="宋体"/>
          <w:sz w:val="24"/>
        </w:rPr>
        <w:t>：使用 Insta360 Pro 2 采集景区 8 个核心景点的 8K 全景影像。在抖音平台嵌入 WebVR 链接，用户无需 VR 设备即可通过手机陀螺仪体验全景。支持一键分享和景区门票预订。</w:t>
      </w:r>
    </w:p>
    <w:p/>
    <w:p>
      <w:pPr>
        <w:ind w:firstLine="482"/>
      </w:pPr>
      <w:r>
        <w:rPr>
          <w:rFonts w:ascii="宋体" w:hAnsi="宋体" w:eastAsia="宋体"/>
          <w:b/>
          <w:sz w:val="24"/>
        </w:rPr>
        <w:t>效果数据</w:t>
      </w:r>
      <w:r>
        <w:rPr>
          <w:rFonts w:ascii="宋体" w:hAnsi="宋体" w:eastAsia="宋体"/>
          <w:sz w:val="24"/>
        </w:rPr>
        <w:t>：VR 全景页面浏览量 120 万+，门票预订转化率提升 18%[10]。</w:t>
      </w:r>
    </w:p>
    <w:p/>
    <w:p>
      <w:pPr>
        <w:pStyle w:val="Heading3"/>
      </w:pPr>
      <w:r>
        <w:t>C.4.2 西江千户苗寨 AR 导览</w:t>
      </w:r>
    </w:p>
    <w:p/>
    <w:p>
      <w:pPr>
        <w:ind w:firstLine="482"/>
      </w:pPr>
      <w:r>
        <w:rPr>
          <w:rFonts w:ascii="宋体" w:hAnsi="宋体" w:eastAsia="宋体"/>
          <w:b/>
          <w:sz w:val="24"/>
        </w:rPr>
        <w:t>项目概述</w:t>
      </w:r>
      <w:r>
        <w:rPr>
          <w:rFonts w:ascii="宋体" w:hAnsi="宋体" w:eastAsia="宋体"/>
          <w:sz w:val="24"/>
        </w:rPr>
        <w:t>：西江千户苗寨景区推出的 AR 文化导览应用，让游客深入了解苗族文化[11]。</w:t>
      </w:r>
    </w:p>
    <w:p/>
    <w:p>
      <w:pPr>
        <w:ind w:firstLine="482"/>
      </w:pPr>
      <w:r>
        <w:rPr>
          <w:rFonts w:ascii="宋体" w:hAnsi="宋体" w:eastAsia="宋体"/>
          <w:b/>
          <w:sz w:val="24"/>
        </w:rPr>
        <w:t>技术方案</w:t>
      </w:r>
      <w:r>
        <w:rPr>
          <w:rFonts w:ascii="宋体" w:hAnsi="宋体" w:eastAsia="宋体"/>
          <w:sz w:val="24"/>
        </w:rPr>
        <w:t>：使用 Unity + AR Foundation 开发跨平台 AR 应用。游客扫描景区中的文化标记触发 AR 内容——苗族建筑 3D 模型、苗族服饰展示、苗族歌舞动画。GPS 导航引导游客游览 12 个文化体验点。</w:t>
      </w:r>
    </w:p>
    <w:p/>
    <w:p>
      <w:pPr>
        <w:ind w:firstLine="482"/>
      </w:pPr>
      <w:r>
        <w:rPr>
          <w:rFonts w:ascii="宋体" w:hAnsi="宋体" w:eastAsia="宋体"/>
          <w:b/>
          <w:sz w:val="24"/>
        </w:rPr>
        <w:t>效果数据</w:t>
      </w:r>
      <w:r>
        <w:rPr>
          <w:rFonts w:ascii="宋体" w:hAnsi="宋体" w:eastAsia="宋体"/>
          <w:sz w:val="24"/>
        </w:rPr>
        <w:t>：应用下载量 3 万+，AR 功能使用率 72%，游客文化知识获取度提升 45%[11]。</w:t>
      </w:r>
    </w:p>
    <w:p/>
    <w:p>
      <w:pPr>
        <w:pStyle w:val="Heading3"/>
      </w:pPr>
      <w:r>
        <w:t>C.4.3 遵义会议纪念馆 VR 体验</w:t>
      </w:r>
    </w:p>
    <w:p/>
    <w:p>
      <w:pPr>
        <w:ind w:firstLine="482"/>
      </w:pPr>
      <w:r>
        <w:rPr>
          <w:rFonts w:ascii="宋体" w:hAnsi="宋体" w:eastAsia="宋体"/>
          <w:b/>
          <w:sz w:val="24"/>
        </w:rPr>
        <w:t>项目概述</w:t>
      </w:r>
      <w:r>
        <w:rPr>
          <w:rFonts w:ascii="宋体" w:hAnsi="宋体" w:eastAsia="宋体"/>
          <w:sz w:val="24"/>
        </w:rPr>
        <w:t>：遵义会议纪念馆推出的红色文化 VR 体验项目[12]。</w:t>
      </w:r>
    </w:p>
    <w:p/>
    <w:p>
      <w:pPr>
        <w:ind w:firstLine="482"/>
      </w:pPr>
      <w:r>
        <w:rPr>
          <w:rFonts w:ascii="宋体" w:hAnsi="宋体" w:eastAsia="宋体"/>
          <w:b/>
          <w:sz w:val="24"/>
        </w:rPr>
        <w:t>技术方案</w:t>
      </w:r>
      <w:r>
        <w:rPr>
          <w:rFonts w:ascii="宋体" w:hAnsi="宋体" w:eastAsia="宋体"/>
          <w:sz w:val="24"/>
        </w:rPr>
        <w:t>：基于历史资料在 VR 中 1:1 还原 1935 年遵义会议会址。用户以虚拟身份参与会议，与 20 位历史人物的 3D 数字人互动。AI 驱动的历史人物对话系统，基于历史文献训练。</w:t>
      </w:r>
    </w:p>
    <w:p/>
    <w:p>
      <w:pPr>
        <w:ind w:firstLine="482"/>
      </w:pPr>
      <w:r>
        <w:rPr>
          <w:rFonts w:ascii="宋体" w:hAnsi="宋体" w:eastAsia="宋体"/>
          <w:b/>
          <w:sz w:val="24"/>
        </w:rPr>
        <w:t>效果数据</w:t>
      </w:r>
      <w:r>
        <w:rPr>
          <w:rFonts w:ascii="宋体" w:hAnsi="宋体" w:eastAsia="宋体"/>
          <w:sz w:val="24"/>
        </w:rPr>
        <w:t>：VR 体验中心年接待 8 万+ 人次，用户满意度 4.6/5.0，红色文化认知度提升 50%[12]。</w:t>
      </w:r>
    </w:p>
    <w:p/>
    <w:p/>
    <w:p/>
    <w:p>
      <w:pPr>
        <w:pStyle w:val="Heading2"/>
      </w:pPr>
      <w:r>
        <w:t>C.5 案例分析方法论</w:t>
      </w:r>
    </w:p>
    <w:p/>
    <w:p>
      <w:pPr>
        <w:pStyle w:val="Heading3"/>
      </w:pPr>
      <w:r>
        <w:t>C.5.1 VR/AR 项目案例分析框架</w:t>
      </w:r>
    </w:p>
    <w:p/>
    <w:p>
      <w:pPr>
        <w:ind w:firstLine="482"/>
      </w:pPr>
      <w:r>
        <w:rPr>
          <w:rFonts w:ascii="宋体" w:hAnsi="宋体" w:eastAsia="宋体"/>
          <w:sz w:val="24"/>
        </w:rPr>
        <w:t>分析 VR/AR 沉浸式场景案例时，建议从以下七个维度进行系统分析：</w:t>
      </w:r>
    </w:p>
    <w:p/>
    <w:p>
      <w:pPr>
        <w:ind w:firstLine="482"/>
      </w:pPr>
      <w:r>
        <w:rPr>
          <w:rFonts w:ascii="宋体" w:hAnsi="宋体" w:eastAsia="宋体"/>
          <w:b/>
          <w:sz w:val="24"/>
        </w:rPr>
        <w:t>维度一：技术方案</w:t>
      </w:r>
      <w:r>
        <w:rPr>
          <w:rFonts w:ascii="宋体" w:hAnsi="宋体" w:eastAsia="宋体"/>
          <w:sz w:val="24"/>
        </w:rPr>
        <w:t>。分析项目使用了哪些 VR/AR 技术（全景/AR/MR/元宇宙）、开发引擎（Unity/Unreal/Web）、硬件设备（VR头显/手机/AR眼镜）和网络架构（单机/在线/多人同步）。评估技术选型的合理性和创新性。</w:t>
      </w:r>
    </w:p>
    <w:p/>
    <w:p>
      <w:pPr>
        <w:ind w:firstLine="482"/>
      </w:pPr>
      <w:r>
        <w:rPr>
          <w:rFonts w:ascii="宋体" w:hAnsi="宋体" w:eastAsia="宋体"/>
          <w:b/>
          <w:sz w:val="24"/>
        </w:rPr>
        <w:t>维度二：内容设计</w:t>
      </w:r>
      <w:r>
        <w:rPr>
          <w:rFonts w:ascii="宋体" w:hAnsi="宋体" w:eastAsia="宋体"/>
          <w:sz w:val="24"/>
        </w:rPr>
        <w:t>。分析项目的内容主题、叙事结构、信息层级和交互设计。评估内容与文化主题的匹配度、用户体验的流畅性和信息传达的有效性。</w:t>
      </w:r>
    </w:p>
    <w:p/>
    <w:p>
      <w:pPr>
        <w:ind w:firstLine="482"/>
      </w:pPr>
      <w:r>
        <w:rPr>
          <w:rFonts w:ascii="宋体" w:hAnsi="宋体" w:eastAsia="宋体"/>
          <w:b/>
          <w:sz w:val="24"/>
        </w:rPr>
        <w:t>维度三：用户体验</w:t>
      </w:r>
      <w:r>
        <w:rPr>
          <w:rFonts w:ascii="宋体" w:hAnsi="宋体" w:eastAsia="宋体"/>
          <w:sz w:val="24"/>
        </w:rPr>
        <w:t>。分析项目的目标用户画像、使用场景、用户旅程和体验评估数据。关注用户满意度、停留时长、任务完成率等关键指标。</w:t>
      </w:r>
    </w:p>
    <w:p/>
    <w:p>
      <w:pPr>
        <w:ind w:firstLine="482"/>
      </w:pPr>
      <w:r>
        <w:rPr>
          <w:rFonts w:ascii="宋体" w:hAnsi="宋体" w:eastAsia="宋体"/>
          <w:b/>
          <w:sz w:val="24"/>
        </w:rPr>
        <w:t>维度四：商业模式</w:t>
      </w:r>
      <w:r>
        <w:rPr>
          <w:rFonts w:ascii="宋体" w:hAnsi="宋体" w:eastAsia="宋体"/>
          <w:sz w:val="24"/>
        </w:rPr>
        <w:t>。分析项目的收入来源（B2C/B2B/B2G/IP授权）、成本结构和盈利能力。评估商业模式的可持续性。</w:t>
      </w:r>
    </w:p>
    <w:p/>
    <w:p>
      <w:pPr>
        <w:ind w:firstLine="482"/>
      </w:pPr>
      <w:r>
        <w:rPr>
          <w:rFonts w:ascii="宋体" w:hAnsi="宋体" w:eastAsia="宋体"/>
          <w:b/>
          <w:sz w:val="24"/>
        </w:rPr>
        <w:t>维度五：技术挑战</w:t>
      </w:r>
      <w:r>
        <w:rPr>
          <w:rFonts w:ascii="宋体" w:hAnsi="宋体" w:eastAsia="宋体"/>
          <w:sz w:val="24"/>
        </w:rPr>
        <w:t>。分析项目面临的主要技术挑战（性能、追踪、内容制作、跨平台等）和解决方案。总结可复用的技术经验。</w:t>
      </w:r>
    </w:p>
    <w:p/>
    <w:p>
      <w:pPr>
        <w:ind w:firstLine="482"/>
      </w:pPr>
      <w:r>
        <w:rPr>
          <w:rFonts w:ascii="宋体" w:hAnsi="宋体" w:eastAsia="宋体"/>
          <w:b/>
          <w:sz w:val="24"/>
        </w:rPr>
        <w:t>维度六：文化价值</w:t>
      </w:r>
      <w:r>
        <w:rPr>
          <w:rFonts w:ascii="宋体" w:hAnsi="宋体" w:eastAsia="宋体"/>
          <w:sz w:val="24"/>
        </w:rPr>
        <w:t>。分析项目在文化传播、教育推广和遗产保护方面的价值和影响。评估技术对文化传承的赋能效果。</w:t>
      </w:r>
    </w:p>
    <w:p/>
    <w:p>
      <w:pPr>
        <w:ind w:firstLine="482"/>
      </w:pPr>
      <w:r>
        <w:rPr>
          <w:rFonts w:ascii="宋体" w:hAnsi="宋体" w:eastAsia="宋体"/>
          <w:b/>
          <w:sz w:val="24"/>
        </w:rPr>
        <w:t>维度七：可复用性</w:t>
      </w:r>
      <w:r>
        <w:rPr>
          <w:rFonts w:ascii="宋体" w:hAnsi="宋体" w:eastAsia="宋体"/>
          <w:sz w:val="24"/>
        </w:rPr>
        <w:t>。分析项目的技术方案、内容资产和设计模式是否可以复用于其他项目。提炼可迁移的最佳实践。</w:t>
      </w:r>
    </w:p>
    <w:p/>
    <w:p>
      <w:pPr>
        <w:pStyle w:val="Heading3"/>
      </w:pPr>
      <w:r>
        <w:t>C.5.2 案例比较分析</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比较维度</w:t>
            </w:r>
          </w:p>
        </w:tc>
        <w:tc>
          <w:tcPr>
            <w:tcW w:type="dxa" w:w="2078"/>
            <w:shd w:fill="D9E2F3" w:val="clear"/>
          </w:tcPr>
          <w:p>
            <w:pPr>
              <w:jc w:val="center"/>
            </w:pPr>
            <w:r/>
            <w:r>
              <w:rPr>
                <w:rFonts w:ascii="黑体" w:hAnsi="黑体" w:eastAsia="黑体"/>
                <w:b/>
                <w:sz w:val="20"/>
              </w:rPr>
              <w:t>故宫数字故宫</w:t>
            </w:r>
          </w:p>
        </w:tc>
        <w:tc>
          <w:tcPr>
            <w:tcW w:type="dxa" w:w="2078"/>
            <w:shd w:fill="D9E2F3" w:val="clear"/>
          </w:tcPr>
          <w:p>
            <w:pPr>
              <w:jc w:val="center"/>
            </w:pPr>
            <w:r/>
            <w:r>
              <w:rPr>
                <w:rFonts w:ascii="黑体" w:hAnsi="黑体" w:eastAsia="黑体"/>
                <w:b/>
                <w:sz w:val="20"/>
              </w:rPr>
              <w:t>敦煌数字敦煌</w:t>
            </w:r>
          </w:p>
        </w:tc>
        <w:tc>
          <w:tcPr>
            <w:tcW w:type="dxa" w:w="2078"/>
            <w:shd w:fill="D9E2F3" w:val="clear"/>
          </w:tcPr>
          <w:p>
            <w:pPr>
              <w:jc w:val="center"/>
            </w:pPr>
            <w:r/>
            <w:r>
              <w:rPr>
                <w:rFonts w:ascii="黑体" w:hAnsi="黑体" w:eastAsia="黑体"/>
                <w:b/>
                <w:sz w:val="20"/>
              </w:rPr>
              <w:t>贵州博物馆</w:t>
            </w:r>
          </w:p>
        </w:tc>
      </w:tr>
      <w:tr>
        <w:tc>
          <w:tcPr>
            <w:tcW w:type="dxa" w:w="2078"/>
          </w:tcPr>
          <w:p>
            <w:r/>
            <w:r>
              <w:rPr>
                <w:rFonts w:ascii="宋体" w:hAnsi="宋体" w:eastAsia="宋体"/>
                <w:sz w:val="20"/>
              </w:rPr>
              <w:t>技术方案</w:t>
            </w:r>
          </w:p>
        </w:tc>
        <w:tc>
          <w:tcPr>
            <w:tcW w:type="dxa" w:w="2078"/>
          </w:tcPr>
          <w:p>
            <w:r/>
            <w:r>
              <w:rPr>
                <w:rFonts w:ascii="宋体" w:hAnsi="宋体" w:eastAsia="宋体"/>
                <w:sz w:val="20"/>
              </w:rPr>
              <w:t>VR+AR+AI</w:t>
            </w:r>
          </w:p>
        </w:tc>
        <w:tc>
          <w:tcPr>
            <w:tcW w:type="dxa" w:w="2078"/>
          </w:tcPr>
          <w:p>
            <w:r/>
            <w:r>
              <w:rPr>
                <w:rFonts w:ascii="宋体" w:hAnsi="宋体" w:eastAsia="宋体"/>
                <w:sz w:val="20"/>
              </w:rPr>
              <w:t>高清数字化+VR</w:t>
            </w:r>
          </w:p>
        </w:tc>
        <w:tc>
          <w:tcPr>
            <w:tcW w:type="dxa" w:w="2078"/>
          </w:tcPr>
          <w:p>
            <w:r/>
            <w:r>
              <w:rPr>
                <w:rFonts w:ascii="宋体" w:hAnsi="宋体" w:eastAsia="宋体"/>
                <w:sz w:val="20"/>
              </w:rPr>
              <w:t>AR导览+3D扫描</w:t>
            </w:r>
          </w:p>
        </w:tc>
      </w:tr>
      <w:tr>
        <w:tc>
          <w:tcPr>
            <w:tcW w:type="dxa" w:w="2078"/>
          </w:tcPr>
          <w:p>
            <w:r/>
            <w:r>
              <w:rPr>
                <w:rFonts w:ascii="宋体" w:hAnsi="宋体" w:eastAsia="宋体"/>
                <w:sz w:val="20"/>
              </w:rPr>
              <w:t>内容主题</w:t>
            </w:r>
          </w:p>
        </w:tc>
        <w:tc>
          <w:tcPr>
            <w:tcW w:type="dxa" w:w="2078"/>
          </w:tcPr>
          <w:p>
            <w:r/>
            <w:r>
              <w:rPr>
                <w:rFonts w:ascii="宋体" w:hAnsi="宋体" w:eastAsia="宋体"/>
                <w:sz w:val="20"/>
              </w:rPr>
              <w:t>皇家文化</w:t>
            </w:r>
          </w:p>
        </w:tc>
        <w:tc>
          <w:tcPr>
            <w:tcW w:type="dxa" w:w="2078"/>
          </w:tcPr>
          <w:p>
            <w:r/>
            <w:r>
              <w:rPr>
                <w:rFonts w:ascii="宋体" w:hAnsi="宋体" w:eastAsia="宋体"/>
                <w:sz w:val="20"/>
              </w:rPr>
              <w:t>佛教艺术</w:t>
            </w:r>
          </w:p>
        </w:tc>
        <w:tc>
          <w:tcPr>
            <w:tcW w:type="dxa" w:w="2078"/>
          </w:tcPr>
          <w:p>
            <w:r/>
            <w:r>
              <w:rPr>
                <w:rFonts w:ascii="宋体" w:hAnsi="宋体" w:eastAsia="宋体"/>
                <w:sz w:val="20"/>
              </w:rPr>
              <w:t>民族文化</w:t>
            </w:r>
          </w:p>
        </w:tc>
      </w:tr>
      <w:tr>
        <w:tc>
          <w:tcPr>
            <w:tcW w:type="dxa" w:w="2078"/>
          </w:tcPr>
          <w:p>
            <w:r/>
            <w:r>
              <w:rPr>
                <w:rFonts w:ascii="宋体" w:hAnsi="宋体" w:eastAsia="宋体"/>
                <w:sz w:val="20"/>
              </w:rPr>
              <w:t>用户规模</w:t>
            </w:r>
          </w:p>
        </w:tc>
        <w:tc>
          <w:tcPr>
            <w:tcW w:type="dxa" w:w="2078"/>
          </w:tcPr>
          <w:p>
            <w:r/>
            <w:r>
              <w:rPr>
                <w:rFonts w:ascii="宋体" w:hAnsi="宋体" w:eastAsia="宋体"/>
                <w:sz w:val="20"/>
              </w:rPr>
              <w:t>5000万+</w:t>
            </w:r>
          </w:p>
        </w:tc>
        <w:tc>
          <w:tcPr>
            <w:tcW w:type="dxa" w:w="2078"/>
          </w:tcPr>
          <w:p>
            <w:r/>
            <w:r>
              <w:rPr>
                <w:rFonts w:ascii="宋体" w:hAnsi="宋体" w:eastAsia="宋体"/>
                <w:sz w:val="20"/>
              </w:rPr>
              <w:t>50万/年</w:t>
            </w:r>
          </w:p>
        </w:tc>
        <w:tc>
          <w:tcPr>
            <w:tcW w:type="dxa" w:w="2078"/>
          </w:tcPr>
          <w:p>
            <w:r/>
            <w:r>
              <w:rPr>
                <w:rFonts w:ascii="宋体" w:hAnsi="宋体" w:eastAsia="宋体"/>
                <w:sz w:val="20"/>
              </w:rPr>
              <w:t>8.5万/年</w:t>
            </w:r>
          </w:p>
        </w:tc>
      </w:tr>
      <w:tr>
        <w:tc>
          <w:tcPr>
            <w:tcW w:type="dxa" w:w="2078"/>
          </w:tcPr>
          <w:p>
            <w:r/>
            <w:r>
              <w:rPr>
                <w:rFonts w:ascii="宋体" w:hAnsi="宋体" w:eastAsia="宋体"/>
                <w:sz w:val="20"/>
              </w:rPr>
              <w:t>投资规模</w:t>
            </w:r>
          </w:p>
        </w:tc>
        <w:tc>
          <w:tcPr>
            <w:tcW w:type="dxa" w:w="2078"/>
          </w:tcPr>
          <w:p>
            <w:r/>
            <w:r>
              <w:rPr>
                <w:rFonts w:ascii="宋体" w:hAnsi="宋体" w:eastAsia="宋体"/>
                <w:sz w:val="20"/>
              </w:rPr>
              <w:t>大型</w:t>
            </w:r>
          </w:p>
        </w:tc>
        <w:tc>
          <w:tcPr>
            <w:tcW w:type="dxa" w:w="2078"/>
          </w:tcPr>
          <w:p>
            <w:r/>
            <w:r>
              <w:rPr>
                <w:rFonts w:ascii="宋体" w:hAnsi="宋体" w:eastAsia="宋体"/>
                <w:sz w:val="20"/>
              </w:rPr>
              <w:t>大型</w:t>
            </w:r>
          </w:p>
        </w:tc>
        <w:tc>
          <w:tcPr>
            <w:tcW w:type="dxa" w:w="2078"/>
          </w:tcPr>
          <w:p>
            <w:r/>
            <w:r>
              <w:rPr>
                <w:rFonts w:ascii="宋体" w:hAnsi="宋体" w:eastAsia="宋体"/>
                <w:sz w:val="20"/>
              </w:rPr>
              <w:t>中型</w:t>
            </w:r>
          </w:p>
        </w:tc>
      </w:tr>
      <w:tr>
        <w:tc>
          <w:tcPr>
            <w:tcW w:type="dxa" w:w="2078"/>
          </w:tcPr>
          <w:p>
            <w:r/>
            <w:r>
              <w:rPr>
                <w:rFonts w:ascii="宋体" w:hAnsi="宋体" w:eastAsia="宋体"/>
                <w:sz w:val="20"/>
              </w:rPr>
              <w:t>商业模式</w:t>
            </w:r>
          </w:p>
        </w:tc>
        <w:tc>
          <w:tcPr>
            <w:tcW w:type="dxa" w:w="2078"/>
          </w:tcPr>
          <w:p>
            <w:r/>
            <w:r>
              <w:rPr>
                <w:rFonts w:ascii="宋体" w:hAnsi="宋体" w:eastAsia="宋体"/>
                <w:sz w:val="20"/>
              </w:rPr>
              <w:t>免费公共服务</w:t>
            </w:r>
          </w:p>
        </w:tc>
        <w:tc>
          <w:tcPr>
            <w:tcW w:type="dxa" w:w="2078"/>
          </w:tcPr>
          <w:p>
            <w:r/>
            <w:r>
              <w:rPr>
                <w:rFonts w:ascii="宋体" w:hAnsi="宋体" w:eastAsia="宋体"/>
                <w:sz w:val="20"/>
              </w:rPr>
              <w:t>门票+衍生品</w:t>
            </w:r>
          </w:p>
        </w:tc>
        <w:tc>
          <w:tcPr>
            <w:tcW w:type="dxa" w:w="2078"/>
          </w:tcPr>
          <w:p>
            <w:r/>
            <w:r>
              <w:rPr>
                <w:rFonts w:ascii="宋体" w:hAnsi="宋体" w:eastAsia="宋体"/>
                <w:sz w:val="20"/>
              </w:rPr>
              <w:t>免费公共服务</w:t>
            </w:r>
          </w:p>
        </w:tc>
      </w:tr>
      <w:tr>
        <w:tc>
          <w:tcPr>
            <w:tcW w:type="dxa" w:w="2078"/>
          </w:tcPr>
          <w:p>
            <w:r/>
            <w:r>
              <w:rPr>
                <w:rFonts w:ascii="宋体" w:hAnsi="宋体" w:eastAsia="宋体"/>
                <w:sz w:val="20"/>
              </w:rPr>
              <w:t>技术创新</w:t>
            </w:r>
          </w:p>
        </w:tc>
        <w:tc>
          <w:tcPr>
            <w:tcW w:type="dxa" w:w="2078"/>
          </w:tcPr>
          <w:p>
            <w:r/>
            <w:r>
              <w:rPr>
                <w:rFonts w:ascii="宋体" w:hAnsi="宋体" w:eastAsia="宋体"/>
                <w:sz w:val="20"/>
              </w:rPr>
              <w:t>AI文物识别</w:t>
            </w:r>
          </w:p>
        </w:tc>
        <w:tc>
          <w:tcPr>
            <w:tcW w:type="dxa" w:w="2078"/>
          </w:tcPr>
          <w:p>
            <w:r/>
            <w:r>
              <w:rPr>
                <w:rFonts w:ascii="宋体" w:hAnsi="宋体" w:eastAsia="宋体"/>
                <w:sz w:val="20"/>
              </w:rPr>
              <w:t>超高清数字化</w:t>
            </w:r>
          </w:p>
        </w:tc>
        <w:tc>
          <w:tcPr>
            <w:tcW w:type="dxa" w:w="2078"/>
          </w:tcPr>
          <w:p>
            <w:r/>
            <w:r>
              <w:rPr>
                <w:rFonts w:ascii="宋体" w:hAnsi="宋体" w:eastAsia="宋体"/>
                <w:sz w:val="20"/>
              </w:rPr>
              <w:t>AR民族元素</w:t>
            </w:r>
          </w:p>
        </w:tc>
      </w:tr>
      <w:tr>
        <w:tc>
          <w:tcPr>
            <w:tcW w:type="dxa" w:w="2078"/>
          </w:tcPr>
          <w:p>
            <w:r/>
            <w:r>
              <w:rPr>
                <w:rFonts w:ascii="宋体" w:hAnsi="宋体" w:eastAsia="宋体"/>
                <w:sz w:val="20"/>
              </w:rPr>
              <w:t>可复用性</w:t>
            </w:r>
          </w:p>
        </w:tc>
        <w:tc>
          <w:tcPr>
            <w:tcW w:type="dxa" w:w="2078"/>
          </w:tcPr>
          <w:p>
            <w:r/>
            <w:r>
              <w:rPr>
                <w:rFonts w:ascii="宋体" w:hAnsi="宋体" w:eastAsia="宋体"/>
                <w:sz w:val="20"/>
              </w:rPr>
              <w:t>中</w:t>
            </w:r>
          </w:p>
        </w:tc>
        <w:tc>
          <w:tcPr>
            <w:tcW w:type="dxa" w:w="2078"/>
          </w:tcPr>
          <w:p>
            <w:r/>
            <w:r>
              <w:rPr>
                <w:rFonts w:ascii="宋体" w:hAnsi="宋体" w:eastAsia="宋体"/>
                <w:sz w:val="20"/>
              </w:rPr>
              <w:t>高</w:t>
            </w:r>
          </w:p>
        </w:tc>
        <w:tc>
          <w:tcPr>
            <w:tcW w:type="dxa" w:w="2078"/>
          </w:tcPr>
          <w:p>
            <w:r/>
            <w:r>
              <w:rPr>
                <w:rFonts w:ascii="宋体" w:hAnsi="宋体" w:eastAsia="宋体"/>
                <w:sz w:val="20"/>
              </w:rPr>
              <w:t>中</w:t>
            </w:r>
          </w:p>
        </w:tc>
      </w:tr>
      <w:tr>
        <w:tc>
          <w:tcPr>
            <w:tcW w:type="dxa" w:w="2078"/>
          </w:tcPr>
          <w:p>
            <w:r/>
            <w:r>
              <w:rPr>
                <w:rFonts w:ascii="宋体" w:hAnsi="宋体" w:eastAsia="宋体"/>
                <w:sz w:val="20"/>
              </w:rPr>
              <w:t>文化影响</w:t>
            </w:r>
          </w:p>
        </w:tc>
        <w:tc>
          <w:tcPr>
            <w:tcW w:type="dxa" w:w="2078"/>
          </w:tcPr>
          <w:p>
            <w:r/>
            <w:r>
              <w:rPr>
                <w:rFonts w:ascii="宋体" w:hAnsi="宋体" w:eastAsia="宋体"/>
                <w:sz w:val="20"/>
              </w:rPr>
              <w:t>极高</w:t>
            </w:r>
          </w:p>
        </w:tc>
        <w:tc>
          <w:tcPr>
            <w:tcW w:type="dxa" w:w="2078"/>
          </w:tcPr>
          <w:p>
            <w:r/>
            <w:r>
              <w:rPr>
                <w:rFonts w:ascii="宋体" w:hAnsi="宋体" w:eastAsia="宋体"/>
                <w:sz w:val="20"/>
              </w:rPr>
              <w:t>极高</w:t>
            </w:r>
          </w:p>
        </w:tc>
        <w:tc>
          <w:tcPr>
            <w:tcW w:type="dxa" w:w="2078"/>
          </w:tcPr>
          <w:p>
            <w:r/>
            <w:r>
              <w:rPr>
                <w:rFonts w:ascii="宋体" w:hAnsi="宋体" w:eastAsia="宋体"/>
                <w:sz w:val="20"/>
              </w:rPr>
              <w:t>高</w:t>
            </w:r>
          </w:p>
        </w:tc>
      </w:tr>
    </w:tbl>
    <w:p/>
    <w:p/>
    <w:p>
      <w:pPr>
        <w:pStyle w:val="Heading3"/>
      </w:pPr>
      <w:r>
        <w:t>C.5.3 从案例到实践的转化建议</w:t>
      </w:r>
    </w:p>
    <w:p/>
    <w:p>
      <w:pPr>
        <w:ind w:firstLine="482"/>
      </w:pPr>
      <w:r>
        <w:rPr>
          <w:rFonts w:ascii="宋体" w:hAnsi="宋体" w:eastAsia="宋体"/>
          <w:sz w:val="24"/>
        </w:rPr>
        <w:t>分析案例的最终目的是指导自己的项目实践。建议在学习案例时重点关注以下转化要点：</w:t>
      </w:r>
    </w:p>
    <w:p/>
    <w:p>
      <w:pPr>
        <w:pStyle w:val="ListNumber"/>
      </w:pPr>
      <w:r>
        <w:rPr>
          <w:rFonts w:ascii="宋体" w:hAnsi="宋体" w:eastAsia="宋体"/>
          <w:sz w:val="24"/>
        </w:rPr>
        <w:t>技术方案的可复制性——案例使用的技术是否在自己的项目中可行（考虑预算、团队技能和设备条件）</w:t>
      </w:r>
    </w:p>
    <w:p>
      <w:pPr>
        <w:pStyle w:val="ListNumber"/>
      </w:pPr>
      <w:r>
        <w:rPr>
          <w:rFonts w:ascii="宋体" w:hAnsi="宋体" w:eastAsia="宋体"/>
          <w:sz w:val="24"/>
        </w:rPr>
        <w:t>内容策略的适配性——案例的内容呈现方式是否适合自己的文化主题和目标用户</w:t>
      </w:r>
    </w:p>
    <w:p>
      <w:pPr>
        <w:pStyle w:val="ListNumber"/>
      </w:pPr>
      <w:r>
        <w:rPr>
          <w:rFonts w:ascii="宋体" w:hAnsi="宋体" w:eastAsia="宋体"/>
          <w:sz w:val="24"/>
        </w:rPr>
        <w:t>用户体验的借鉴——案例中的 UX 设计模式（如交互流程、界面布局、反馈机制）是否可以复用</w:t>
      </w:r>
    </w:p>
    <w:p>
      <w:pPr>
        <w:pStyle w:val="ListNumber"/>
      </w:pPr>
      <w:r>
        <w:rPr>
          <w:rFonts w:ascii="宋体" w:hAnsi="宋体" w:eastAsia="宋体"/>
          <w:sz w:val="24"/>
        </w:rPr>
        <w:t>避免的陷阱——案例中提到的失败经验和教训如何在自己项目中规避</w:t>
      </w:r>
    </w:p>
    <w:p>
      <w:pPr>
        <w:pStyle w:val="ListNumber"/>
      </w:pPr>
      <w:r>
        <w:rPr>
          <w:rFonts w:ascii="宋体" w:hAnsi="宋体" w:eastAsia="宋体"/>
          <w:sz w:val="24"/>
        </w:rPr>
        <w:t>创新突破点——在借鉴案例的基础上，如何结合自身特色实现差异化创新</w:t>
      </w:r>
    </w:p>
    <w:p/>
    <w:p/>
    <w:p/>
    <w:p>
      <w:pPr>
        <w:pStyle w:val="Heading2"/>
      </w:pPr>
      <w:r>
        <w:t>C.6 VR/AR 在教育领域的案例</w:t>
      </w:r>
    </w:p>
    <w:p/>
    <w:p>
      <w:pPr>
        <w:pStyle w:val="Heading3"/>
      </w:pPr>
      <w:r>
        <w:t>C.6.1 斯坦福大学 Virtual Human Interaction Lab</w:t>
      </w:r>
    </w:p>
    <w:p/>
    <w:p>
      <w:pPr>
        <w:ind w:firstLine="482"/>
      </w:pPr>
      <w:r>
        <w:rPr>
          <w:rFonts w:ascii="宋体" w:hAnsi="宋体" w:eastAsia="宋体"/>
          <w:sz w:val="24"/>
        </w:rPr>
        <w:t>斯坦福大学的 VHIL 实验室是 VR 社会心理学研究的先驱，其研究成果对 VR 教育应用设计具有深远影响。</w:t>
      </w:r>
    </w:p>
    <w:p/>
    <w:p>
      <w:pPr>
        <w:ind w:firstLine="482"/>
      </w:pPr>
      <w:r>
        <w:rPr>
          <w:rFonts w:ascii="宋体" w:hAnsi="宋体" w:eastAsia="宋体"/>
          <w:b/>
          <w:sz w:val="24"/>
        </w:rPr>
        <w:t>代表性研究</w:t>
      </w:r>
      <w:r>
        <w:rPr>
          <w:rFonts w:ascii="宋体" w:hAnsi="宋体" w:eastAsia="宋体"/>
          <w:sz w:val="24"/>
        </w:rPr>
        <w:t>：同理心 VR——让体验者以不同种族、年龄或身体状况的虚拟化身在 VR 中生活，显著提升了体验者的同理心和态度转变。这一研究为 VR 在文化教育和多元文化理解方面的应用提供了实证支持。</w:t>
      </w:r>
    </w:p>
    <w:p/>
    <w:p>
      <w:pPr>
        <w:ind w:firstLine="482"/>
      </w:pPr>
      <w:r>
        <w:rPr>
          <w:rFonts w:ascii="宋体" w:hAnsi="宋体" w:eastAsia="宋体"/>
          <w:b/>
          <w:sz w:val="24"/>
        </w:rPr>
        <w:t>对教材的启示</w:t>
      </w:r>
      <w:r>
        <w:rPr>
          <w:rFonts w:ascii="宋体" w:hAnsi="宋体" w:eastAsia="宋体"/>
          <w:sz w:val="24"/>
        </w:rPr>
        <w:t>：在文旅 VR 应用中，可以设计"角色互换"体验——让用户以苗族村民、古代屯军或非遗传承人的视角体验文化场景，增强文化同理心和跨文化理解。</w:t>
      </w:r>
    </w:p>
    <w:p/>
    <w:p>
      <w:pPr>
        <w:pStyle w:val="Heading3"/>
      </w:pPr>
      <w:r>
        <w:t>C.6.2 哥本哈根交互设计学院 VR 建筑教育</w:t>
      </w:r>
    </w:p>
    <w:p/>
    <w:p>
      <w:pPr>
        <w:ind w:firstLine="482"/>
      </w:pPr>
      <w:r>
        <w:rPr>
          <w:rFonts w:ascii="宋体" w:hAnsi="宋体" w:eastAsia="宋体"/>
          <w:sz w:val="24"/>
        </w:rPr>
        <w:t>该学院使用 VR 进行建筑设计教学，学生可以在 1:1 比例的 VR 空间中体验自己设计的建筑，感受空间尺度和光线效果。</w:t>
      </w:r>
    </w:p>
    <w:p/>
    <w:p>
      <w:pPr>
        <w:ind w:firstLine="482"/>
      </w:pPr>
      <w:r>
        <w:rPr>
          <w:rFonts w:ascii="宋体" w:hAnsi="宋体" w:eastAsia="宋体"/>
          <w:b/>
          <w:sz w:val="24"/>
        </w:rPr>
        <w:t>教学方法</w:t>
      </w:r>
      <w:r>
        <w:rPr>
          <w:rFonts w:ascii="宋体" w:hAnsi="宋体" w:eastAsia="宋体"/>
          <w:sz w:val="24"/>
        </w:rPr>
        <w:t>：设计-VR体验-修改-再体验的迭代循环。学生在传统工具中设计建筑方案，导入 VR 体验空间效果，根据 VR 中的感受修改设计，再次体验验证。这种"体验驱动设计"的方法显著提升了学生的空间感知能力和设计质量。</w:t>
      </w:r>
    </w:p>
    <w:p/>
    <w:p>
      <w:pPr>
        <w:ind w:firstLine="482"/>
      </w:pPr>
      <w:r>
        <w:rPr>
          <w:rFonts w:ascii="宋体" w:hAnsi="宋体" w:eastAsia="宋体"/>
          <w:b/>
          <w:sz w:val="24"/>
        </w:rPr>
        <w:t>对教材的启示</w:t>
      </w:r>
      <w:r>
        <w:rPr>
          <w:rFonts w:ascii="宋体" w:hAnsi="宋体" w:eastAsia="宋体"/>
          <w:sz w:val="24"/>
        </w:rPr>
        <w:t>：在第10-12章的实训项目中，可以引入"VR 验证"环节——学生在开发过程中频繁使用 VR 头显体验自己的作品，根据沉浸式体验中的感受调整设计方案。</w:t>
      </w:r>
    </w:p>
    <w:p/>
    <w:p>
      <w:pPr>
        <w:pStyle w:val="Heading3"/>
      </w:pPr>
      <w:r>
        <w:t>C.6.3 虚拟仿真实验教学项目</w:t>
      </w:r>
    </w:p>
    <w:p/>
    <w:p>
      <w:pPr>
        <w:ind w:firstLine="482"/>
      </w:pPr>
      <w:r>
        <w:rPr>
          <w:rFonts w:ascii="宋体" w:hAnsi="宋体" w:eastAsia="宋体"/>
          <w:sz w:val="24"/>
        </w:rPr>
        <w:t>中国教育部推动的虚拟仿真实验教学项目（国家虚拟仿真实验教学项目共享平台: ilab-x.com）已收录数千个 VR/AR 实验教学项目，覆盖理工农医等多个学科。</w:t>
      </w:r>
    </w:p>
    <w:p/>
    <w:p>
      <w:pPr>
        <w:ind w:firstLine="482"/>
      </w:pPr>
      <w:r>
        <w:rPr>
          <w:rFonts w:ascii="宋体" w:hAnsi="宋体" w:eastAsia="宋体"/>
          <w:b/>
          <w:sz w:val="24"/>
        </w:rPr>
        <w:t>文旅相关项目</w:t>
      </w:r>
      <w:r>
        <w:rPr>
          <w:rFonts w:ascii="宋体" w:hAnsi="宋体" w:eastAsia="宋体"/>
          <w:sz w:val="24"/>
        </w:rPr>
        <w:t>：平台上有多个文旅相关的虚拟仿真实验项目，如"苗族文化虚拟体验实验""古建筑 VR 测绘实验""旅游景区 VR 规划实验"等。这些项目为本书的实训教学提供了丰富的参考案例和教学经验。</w:t>
      </w:r>
    </w:p>
    <w:p/>
    <w:p>
      <w:pPr>
        <w:ind w:firstLine="482"/>
      </w:pPr>
      <w:r>
        <w:rPr>
          <w:rFonts w:ascii="宋体" w:hAnsi="宋体" w:eastAsia="宋体"/>
          <w:b/>
          <w:sz w:val="24"/>
        </w:rPr>
        <w:t>对教材的启示</w:t>
      </w:r>
      <w:r>
        <w:rPr>
          <w:rFonts w:ascii="宋体" w:hAnsi="宋体" w:eastAsia="宋体"/>
          <w:sz w:val="24"/>
        </w:rPr>
        <w:t>：建议教师关注国家虚拟仿真实验教学项目平台，学习优秀案例的教学设计方法，并将自己的实训项目成果申报为虚拟仿真实验教学项目，实现教学成果的更大范围共享。</w:t>
      </w:r>
    </w:p>
    <w:p/>
    <w:p/>
    <w:p/>
    <w:p>
      <w:pPr>
        <w:pStyle w:val="Heading2"/>
      </w:pPr>
      <w:r>
        <w:t>C.7 VR/AR 案例创新趋势</w:t>
      </w:r>
    </w:p>
    <w:p/>
    <w:p>
      <w:pPr>
        <w:pStyle w:val="Heading3"/>
      </w:pPr>
      <w:r>
        <w:t>C.7.1 AI+VR/AR 融合案例</w:t>
      </w:r>
    </w:p>
    <w:p/>
    <w:p>
      <w:pPr>
        <w:ind w:firstLine="482"/>
      </w:pPr>
      <w:r>
        <w:rPr>
          <w:rFonts w:ascii="宋体" w:hAnsi="宋体" w:eastAsia="宋体"/>
          <w:b/>
          <w:sz w:val="24"/>
        </w:rPr>
        <w:t>案例：AI 驱动的虚拟导游</w:t>
      </w:r>
      <w:r>
        <w:rPr>
          <w:rFonts w:ascii="宋体" w:hAnsi="宋体" w:eastAsia="宋体"/>
          <w:sz w:val="24"/>
        </w:rPr>
        <w:t>。多家博物馆和景区已开始集成大语言模型到 VR/AR 导览应用中。用户可以用自然语言向虚拟导游提问，获得个性化的回答。例如，用户可以问"这幅画中的女性是谁？""为什么她没有眉毛？"等具体问题，AI 导游基于艺术品知识库和历史文献生成详细回答。相比传统的预录语音讲解，AI 导游提供了交互式、个性化的体验。</w:t>
      </w:r>
    </w:p>
    <w:p/>
    <w:p>
      <w:pPr>
        <w:ind w:firstLine="482"/>
      </w:pPr>
      <w:r>
        <w:rPr>
          <w:rFonts w:ascii="宋体" w:hAnsi="宋体" w:eastAsia="宋体"/>
          <w:b/>
          <w:sz w:val="24"/>
        </w:rPr>
        <w:t>案例：AI 实时场景生成</w:t>
      </w:r>
      <w:r>
        <w:rPr>
          <w:rFonts w:ascii="宋体" w:hAnsi="宋体" w:eastAsia="宋体"/>
          <w:sz w:val="24"/>
        </w:rPr>
        <w:t>。使用生成式 AI（如 Stable Diffusion、DALL-E）在 VR 中实时生成虚拟环境——用户描述"我想看到一个苗族村寨的秋日黄昏"，AI 即时生成对应的 360 度全景图作为 VR 场景。这一技术目前处于实验阶段，但代表了 VR 内容创作的未来方向——从"预制内容"到"实时生成内容"的范式转变。</w:t>
      </w:r>
    </w:p>
    <w:p/>
    <w:p>
      <w:pPr>
        <w:pStyle w:val="Heading3"/>
      </w:pPr>
      <w:r>
        <w:t>C.7.2 社交 VR 案例</w:t>
      </w:r>
    </w:p>
    <w:p/>
    <w:p>
      <w:pPr>
        <w:ind w:firstLine="482"/>
      </w:pPr>
      <w:r>
        <w:rPr>
          <w:rFonts w:ascii="宋体" w:hAnsi="宋体" w:eastAsia="宋体"/>
          <w:b/>
          <w:sz w:val="24"/>
        </w:rPr>
        <w:t>案例：VRChat 文化社区</w:t>
      </w:r>
      <w:r>
        <w:rPr>
          <w:rFonts w:ascii="宋体" w:hAnsi="宋体" w:eastAsia="宋体"/>
          <w:sz w:val="24"/>
        </w:rPr>
        <w:t>。VRChat 平台上出现了多个以文化传播为主题的虚拟社区——日本茶道 VR 体验空间、中国书法虚拟工作室、非洲鼓乐互动空间等。这些社区由文化爱好者和专业团队创建，用户可以在 VR 中学习文化技能、参与文化活动并结交来自世界各地的朋友。这种"文化社交"模式为文旅 VR 应用提供了新的设计思路——不仅仅是"看"文化，更是"做"文化和"分享"文化。</w:t>
      </w:r>
    </w:p>
    <w:p/>
    <w:p>
      <w:pPr>
        <w:ind w:firstLine="482"/>
      </w:pPr>
      <w:r>
        <w:rPr>
          <w:rFonts w:ascii="宋体" w:hAnsi="宋体" w:eastAsia="宋体"/>
          <w:b/>
          <w:sz w:val="24"/>
        </w:rPr>
        <w:t>案例：Meta Horizon Worlds 文旅体验</w:t>
      </w:r>
      <w:r>
        <w:rPr>
          <w:rFonts w:ascii="宋体" w:hAnsi="宋体" w:eastAsia="宋体"/>
          <w:sz w:val="24"/>
        </w:rPr>
        <w:t>。Meta 的 Horizon Worlds 平台上已有多个文旅主题的虚拟世界——虚拟巴黎埃菲尔铁塔、虚拟埃及金字塔探索等。这些虚拟世界支持多人同时在线，用户可以与朋友一起虚拟旅行、拍照合影和分享体验。虽然目前的视觉效果还无法与专业 VR 应用相比，但其社交属性和用户生成内容（UGC）模式代表了文旅元宇宙的发展方向。</w:t>
      </w:r>
    </w:p>
    <w:p/>
    <w:p>
      <w:pPr>
        <w:pStyle w:val="Heading3"/>
      </w:pPr>
      <w:r>
        <w:t>C.7.3 可持续文旅 VR/AR 案例</w:t>
      </w:r>
    </w:p>
    <w:p/>
    <w:p>
      <w:pPr>
        <w:ind w:firstLine="482"/>
      </w:pPr>
      <w:r>
        <w:rPr>
          <w:rFonts w:ascii="宋体" w:hAnsi="宋体" w:eastAsia="宋体"/>
          <w:b/>
          <w:sz w:val="24"/>
        </w:rPr>
        <w:t>案例：VR 替代性旅游</w:t>
      </w:r>
      <w:r>
        <w:rPr>
          <w:rFonts w:ascii="宋体" w:hAnsi="宋体" w:eastAsia="宋体"/>
          <w:sz w:val="24"/>
        </w:rPr>
        <w:t>。对于生态环境脆弱的旅游目的地（如南极、热带雨林、珊瑚礁），VR 提供了"替代性旅游"方案——游客通过 VR 体验这些目的地，减少实体旅游对环境的压力。新西兰环保部已与 VR 制作公司合作，推出了多个保护区的 VR 体验，游客在游客中心通过 VR 观看保护区内部的自然景观，而无需进入保护区。</w:t>
      </w:r>
    </w:p>
    <w:p/>
    <w:p>
      <w:pPr>
        <w:ind w:firstLine="482"/>
      </w:pPr>
      <w:r>
        <w:rPr>
          <w:rFonts w:ascii="宋体" w:hAnsi="宋体" w:eastAsia="宋体"/>
          <w:b/>
          <w:sz w:val="24"/>
        </w:rPr>
        <w:t>案例：AR 无障碍旅游</w:t>
      </w:r>
      <w:r>
        <w:rPr>
          <w:rFonts w:ascii="宋体" w:hAnsi="宋体" w:eastAsia="宋体"/>
          <w:sz w:val="24"/>
        </w:rPr>
        <w:t>。AR 技术为行动不便的游客提供了增强性的旅游体验——轮椅用户通过 AR 看到无障碍路线推荐，视障用户通过 AR 语音导览获得环境描述，听障用户通过 AR 字幕获取讲解内容。这种"AR for All"的设计理念使旅游更加包容和可及。</w:t>
      </w:r>
    </w:p>
    <w:p/>
    <w:p/>
    <w:p/>
    <w:p/>
    <w:p>
      <w:pPr>
        <w:pStyle w:val="Heading2"/>
      </w:pPr>
      <w:r>
        <w:t>C.8 案例数据库与索引</w:t>
      </w:r>
    </w:p>
    <w:p/>
    <w:p>
      <w:pPr>
        <w:pStyle w:val="Heading3"/>
      </w:pPr>
      <w:r>
        <w:t>C.8.1 案例分类索引</w:t>
      </w:r>
    </w:p>
    <w:p/>
    <w:p>
      <w:pPr>
        <w:ind w:firstLine="482"/>
      </w:pPr>
      <w:r>
        <w:rPr>
          <w:rFonts w:ascii="宋体" w:hAnsi="宋体" w:eastAsia="宋体"/>
          <w:sz w:val="24"/>
        </w:rPr>
        <w:t>本附录收录的案例按以下维度进行分类索引，方便读者快速查找相关案例：</w:t>
      </w:r>
    </w:p>
    <w:p/>
    <w:p>
      <w:pPr>
        <w:ind w:firstLine="482"/>
      </w:pPr>
      <w:r>
        <w:rPr>
          <w:rFonts w:ascii="宋体" w:hAnsi="宋体" w:eastAsia="宋体"/>
          <w:b/>
          <w:sz w:val="24"/>
        </w:rPr>
        <w:t>按技术类型分类</w:t>
      </w:r>
      <w:r>
        <w:rPr>
          <w:rFonts w:ascii="宋体" w:hAnsi="宋体" w:eastAsia="宋体"/>
          <w:sz w:val="24"/>
        </w:rPr>
        <w:t>：</w:t>
      </w:r>
    </w:p>
    <w:p>
      <w:pPr>
        <w:pStyle w:val="ListBullet"/>
      </w:pPr>
      <w:r>
        <w:rPr>
          <w:rFonts w:ascii="宋体" w:hAnsi="宋体" w:eastAsia="宋体"/>
          <w:sz w:val="24"/>
        </w:rPr>
        <w:t>VR全景案例：黄果树VR全景、数字敦煌VR体验、Google Arts &amp; Culture VR游览</w:t>
      </w:r>
    </w:p>
    <w:p>
      <w:pPr>
        <w:pStyle w:val="ListBullet"/>
      </w:pPr>
      <w:r>
        <w:rPr>
          <w:rFonts w:ascii="宋体" w:hAnsi="宋体" w:eastAsia="宋体"/>
          <w:sz w:val="24"/>
        </w:rPr>
        <w:t>AR交互案例：西江苗寨AR导览、故宫AR展览、Wikitude AR导览</w:t>
      </w:r>
    </w:p>
    <w:p>
      <w:pPr>
        <w:pStyle w:val="ListBullet"/>
      </w:pPr>
      <w:r>
        <w:rPr>
          <w:rFonts w:ascii="宋体" w:hAnsi="宋体" w:eastAsia="宋体"/>
          <w:sz w:val="24"/>
        </w:rPr>
        <w:t>MR混合现实案例：Apple Vision Pro空间计算、Meta Quest 3 MR体验</w:t>
      </w:r>
    </w:p>
    <w:p>
      <w:pPr>
        <w:pStyle w:val="ListBullet"/>
      </w:pPr>
      <w:r>
        <w:rPr>
          <w:rFonts w:ascii="宋体" w:hAnsi="宋体" w:eastAsia="宋体"/>
          <w:sz w:val="24"/>
        </w:rPr>
        <w:t>元宇宙案例：贵州文旅元宇宙、Meta Horizon Worlds文旅体验、VRChat文化社区</w:t>
      </w:r>
    </w:p>
    <w:p>
      <w:pPr>
        <w:pStyle w:val="ListBullet"/>
      </w:pPr>
      <w:r>
        <w:rPr>
          <w:rFonts w:ascii="宋体" w:hAnsi="宋体" w:eastAsia="宋体"/>
          <w:sz w:val="24"/>
        </w:rPr>
        <w:t>AI+VR/AR案例：AI虚拟导游、AI实时场景生成、AI辅助文物修复</w:t>
      </w:r>
    </w:p>
    <w:p/>
    <w:p>
      <w:pPr>
        <w:ind w:firstLine="482"/>
      </w:pPr>
      <w:r>
        <w:rPr>
          <w:rFonts w:ascii="宋体" w:hAnsi="宋体" w:eastAsia="宋体"/>
          <w:b/>
          <w:sz w:val="24"/>
        </w:rPr>
        <w:t>按应用领域分类</w:t>
      </w:r>
      <w:r>
        <w:rPr>
          <w:rFonts w:ascii="宋体" w:hAnsi="宋体" w:eastAsia="宋体"/>
          <w:sz w:val="24"/>
        </w:rPr>
        <w:t>：</w:t>
      </w:r>
    </w:p>
    <w:p>
      <w:pPr>
        <w:pStyle w:val="ListBullet"/>
      </w:pPr>
      <w:r>
        <w:rPr>
          <w:rFonts w:ascii="宋体" w:hAnsi="宋体" w:eastAsia="宋体"/>
          <w:sz w:val="24"/>
        </w:rPr>
        <w:t>文化遗产保护：敦煌莫高窟数字化、苗族银饰数字化、侗族大歌数字化</w:t>
      </w:r>
    </w:p>
    <w:p>
      <w:pPr>
        <w:pStyle w:val="ListBullet"/>
      </w:pPr>
      <w:r>
        <w:rPr>
          <w:rFonts w:ascii="宋体" w:hAnsi="宋体" w:eastAsia="宋体"/>
          <w:sz w:val="24"/>
        </w:rPr>
        <w:t>文旅营销体验：黄果树VR营销、卢浮宫蒙娜丽莎VR、数字故宫</w:t>
      </w:r>
    </w:p>
    <w:p>
      <w:pPr>
        <w:pStyle w:val="ListBullet"/>
      </w:pPr>
      <w:r>
        <w:rPr>
          <w:rFonts w:ascii="宋体" w:hAnsi="宋体" w:eastAsia="宋体"/>
          <w:sz w:val="24"/>
        </w:rPr>
        <w:t>教育培训：zSpace教育VR、Google Expeditions、Medical Realities手术VR</w:t>
      </w:r>
    </w:p>
    <w:p>
      <w:pPr>
        <w:pStyle w:val="ListBullet"/>
      </w:pPr>
      <w:r>
        <w:rPr>
          <w:rFonts w:ascii="宋体" w:hAnsi="宋体" w:eastAsia="宋体"/>
          <w:sz w:val="24"/>
        </w:rPr>
        <w:t>红色文化传承：遵义会议VR体验、红色文化数字化伦理</w:t>
      </w:r>
    </w:p>
    <w:p>
      <w:pPr>
        <w:pStyle w:val="ListBullet"/>
      </w:pPr>
      <w:r>
        <w:rPr>
          <w:rFonts w:ascii="宋体" w:hAnsi="宋体" w:eastAsia="宋体"/>
          <w:sz w:val="24"/>
        </w:rPr>
        <w:t>无障碍体验：AR无障碍旅游、VR替代性旅游</w:t>
      </w:r>
    </w:p>
    <w:p/>
    <w:p>
      <w:pPr>
        <w:ind w:firstLine="482"/>
      </w:pPr>
      <w:r>
        <w:rPr>
          <w:rFonts w:ascii="宋体" w:hAnsi="宋体" w:eastAsia="宋体"/>
          <w:b/>
          <w:sz w:val="24"/>
        </w:rPr>
        <w:t>按地域分类</w:t>
      </w:r>
      <w:r>
        <w:rPr>
          <w:rFonts w:ascii="宋体" w:hAnsi="宋体" w:eastAsia="宋体"/>
          <w:sz w:val="24"/>
        </w:rPr>
        <w:t>：</w:t>
      </w:r>
    </w:p>
    <w:p>
      <w:pPr>
        <w:pStyle w:val="ListBullet"/>
      </w:pPr>
      <w:r>
        <w:rPr>
          <w:rFonts w:ascii="宋体" w:hAnsi="宋体" w:eastAsia="宋体"/>
          <w:sz w:val="24"/>
        </w:rPr>
        <w:t>贵州案例：黄果树、西江苗寨、遵义会议、贵州博物馆、贵州文旅元宇宙</w:t>
      </w:r>
    </w:p>
    <w:p>
      <w:pPr>
        <w:pStyle w:val="ListBullet"/>
      </w:pPr>
      <w:r>
        <w:rPr>
          <w:rFonts w:ascii="宋体" w:hAnsi="宋体" w:eastAsia="宋体"/>
          <w:sz w:val="24"/>
        </w:rPr>
        <w:t>国内其他案例：故宫、敦煌、数字中国</w:t>
      </w:r>
    </w:p>
    <w:p>
      <w:pPr>
        <w:pStyle w:val="ListBullet"/>
      </w:pPr>
      <w:r>
        <w:rPr>
          <w:rFonts w:ascii="宋体" w:hAnsi="宋体" w:eastAsia="宋体"/>
          <w:sz w:val="24"/>
        </w:rPr>
        <w:t>国际案例：卢浮宫、大英博物馆、Google Arts &amp; Culture、斯坦福VHIL</w:t>
      </w:r>
    </w:p>
    <w:p/>
    <w:p>
      <w:pPr>
        <w:pStyle w:val="Heading3"/>
      </w:pPr>
      <w:r>
        <w:t>C.8.2 案例使用建议</w:t>
      </w:r>
    </w:p>
    <w:p/>
    <w:p>
      <w:pPr>
        <w:ind w:firstLine="482"/>
      </w:pPr>
      <w:r>
        <w:rPr>
          <w:rFonts w:ascii="宋体" w:hAnsi="宋体" w:eastAsia="宋体"/>
          <w:sz w:val="24"/>
        </w:rPr>
        <w:t>教师在教学中使用本案例库时，建议采用"案例分析-对比讨论-实践应用"三步法：</w:t>
      </w:r>
    </w:p>
    <w:p/>
    <w:p>
      <w:pPr>
        <w:ind w:firstLine="482"/>
      </w:pPr>
      <w:r>
        <w:rPr>
          <w:rFonts w:ascii="宋体" w:hAnsi="宋体" w:eastAsia="宋体"/>
          <w:sz w:val="24"/>
        </w:rPr>
        <w:t>第一步：案例分析——学生阅读案例材料，使用C.5节的七维分析框架进行系统分析，形成案例分析报告。</w:t>
      </w:r>
    </w:p>
    <w:p/>
    <w:p>
      <w:pPr>
        <w:ind w:firstLine="482"/>
      </w:pPr>
      <w:r>
        <w:rPr>
          <w:rFonts w:ascii="宋体" w:hAnsi="宋体" w:eastAsia="宋体"/>
          <w:sz w:val="24"/>
        </w:rPr>
        <w:t>第二步：对比讨论——将2-3个同类案例进行对比讨论，分析不同技术方案和设计策略的优劣。讨论问题示例："故宫和敦煌的数字化策略有何不同？各自适合什么类型的文物？""黄果树VR和卢浮宫VR的用户体验设计有何差异？"</w:t>
      </w:r>
    </w:p>
    <w:p/>
    <w:p>
      <w:pPr>
        <w:ind w:firstLine="482"/>
      </w:pPr>
      <w:r>
        <w:rPr>
          <w:rFonts w:ascii="宋体" w:hAnsi="宋体" w:eastAsia="宋体"/>
          <w:sz w:val="24"/>
        </w:rPr>
        <w:t>第三步：实践应用——将案例分析中获得的洞察应用到自己的实训项目中。例如，学习了敦煌数字化的高精度采集方法后，在自己的古建筑VR复原项目中应用类似的技术标准。</w:t>
      </w:r>
    </w:p>
    <w:p/>
    <w:p>
      <w:pPr>
        <w:ind w:firstLine="482"/>
      </w:pPr>
      <w:r>
        <w:rPr>
          <w:rFonts w:ascii="宋体" w:hAnsi="宋体" w:eastAsia="宋体"/>
          <w:sz w:val="24"/>
        </w:rPr>
        <w:t>这种"从案例到实践"的教学方法，帮助学生将抽象的理论知识与具体的工程实践联系起来，培养分析问题和解决问题的能力。同时，案例的多样性和国际视野也有助于拓展学生的创新思维，激发他们在自己项目中实现差异化创新的灵感。</w:t>
      </w:r>
    </w:p>
    <w:p/>
    <w:p>
      <w:r>
        <w:br w:type="page"/>
      </w:r>
    </w:p>
    <w:p>
      <w:pPr>
        <w:pStyle w:val="Heading1"/>
      </w:pPr>
      <w:r>
        <w:t>附录 D：沉浸式场景设计模板</w:t>
      </w:r>
    </w:p>
    <w:p/>
    <w:p>
      <w:pPr>
        <w:ind w:firstLine="482"/>
      </w:pPr>
      <w:r>
        <w:rPr>
          <w:rFonts w:ascii="宋体" w:hAnsi="宋体" w:eastAsia="宋体"/>
          <w:sz w:val="24"/>
        </w:rPr>
        <w:t>本附录提供 VR/AR 沉浸式场景设计过程中常用的模板和表格，供项目团队直接使用或根据需要修改。</w:t>
      </w:r>
    </w:p>
    <w:p/>
    <w:p>
      <w:pPr>
        <w:pStyle w:val="Heading2"/>
      </w:pPr>
      <w:r>
        <w:t>D.1 项目需求规格说明书模板</w:t>
      </w:r>
    </w:p>
    <w:p/>
    <w:p>
      <w:pPr>
        <w:pStyle w:val="Heading3"/>
      </w:pPr>
      <w:r>
        <w:t>D.1.1 项目概述</w:t>
      </w:r>
    </w:p>
    <w:p/>
    <w:tbl>
      <w:tblPr>
        <w:tblStyle w:val="TableGrid"/>
        <w:tblW w:type="auto" w:w="0"/>
        <w:jc w:val="center"/>
        <w:tblLook w:firstColumn="1" w:firstRow="1" w:lastColumn="0" w:lastRow="0" w:noHBand="0" w:noVBand="1" w:val="04A0"/>
      </w:tblPr>
      <w:tblGrid>
        <w:gridCol w:w="4156"/>
        <w:gridCol w:w="4156"/>
      </w:tblGrid>
      <w:tr>
        <w:tc>
          <w:tcPr>
            <w:tcW w:type="dxa" w:w="4156"/>
            <w:shd w:fill="D9E2F3" w:val="clear"/>
          </w:tcPr>
          <w:p>
            <w:pPr>
              <w:jc w:val="center"/>
            </w:pPr>
            <w:r/>
            <w:r>
              <w:rPr>
                <w:rFonts w:ascii="黑体" w:hAnsi="黑体" w:eastAsia="黑体"/>
                <w:b/>
                <w:sz w:val="20"/>
              </w:rPr>
              <w:t>项目名称</w:t>
            </w:r>
          </w:p>
        </w:tc>
        <w:tc>
          <w:tcPr>
            <w:tcW w:type="dxa" w:w="4156"/>
            <w:shd w:fill="D9E2F3" w:val="clear"/>
          </w:tcPr>
          <w:p>
            <w:pPr>
              <w:jc w:val="center"/>
            </w:pPr>
            <w:r/>
            <w:r>
              <w:rPr>
                <w:rFonts w:ascii="黑体" w:hAnsi="黑体" w:eastAsia="黑体"/>
                <w:b/>
                <w:sz w:val="20"/>
              </w:rPr>
              <w:t>[填写项目名称]</w:t>
            </w:r>
          </w:p>
        </w:tc>
      </w:tr>
      <w:tr>
        <w:tc>
          <w:tcPr>
            <w:tcW w:type="dxa" w:w="4156"/>
          </w:tcPr>
          <w:p>
            <w:r/>
            <w:r>
              <w:rPr>
                <w:rFonts w:ascii="宋体" w:hAnsi="宋体" w:eastAsia="宋体"/>
                <w:sz w:val="20"/>
              </w:rPr>
              <w:t>项目类型</w:t>
            </w:r>
          </w:p>
        </w:tc>
        <w:tc>
          <w:tcPr>
            <w:tcW w:type="dxa" w:w="4156"/>
          </w:tcPr>
          <w:p>
            <w:r/>
            <w:r>
              <w:rPr>
                <w:rFonts w:ascii="宋体" w:hAnsi="宋体" w:eastAsia="宋体"/>
                <w:sz w:val="20"/>
              </w:rPr>
              <w:t>VR / AR / MR / WebXR / 元宇宙</w:t>
            </w:r>
          </w:p>
        </w:tc>
      </w:tr>
      <w:tr>
        <w:tc>
          <w:tcPr>
            <w:tcW w:type="dxa" w:w="4156"/>
          </w:tcPr>
          <w:p>
            <w:r/>
            <w:r>
              <w:rPr>
                <w:rFonts w:ascii="宋体" w:hAnsi="宋体" w:eastAsia="宋体"/>
                <w:sz w:val="20"/>
              </w:rPr>
              <w:t>委托方</w:t>
            </w:r>
          </w:p>
        </w:tc>
        <w:tc>
          <w:tcPr>
            <w:tcW w:type="dxa" w:w="4156"/>
          </w:tcPr>
          <w:p>
            <w:r/>
            <w:r>
              <w:rPr>
                <w:rFonts w:ascii="宋体" w:hAnsi="宋体" w:eastAsia="宋体"/>
                <w:sz w:val="20"/>
              </w:rPr>
              <w:t>[填写委托方名称]</w:t>
            </w:r>
          </w:p>
        </w:tc>
      </w:tr>
      <w:tr>
        <w:tc>
          <w:tcPr>
            <w:tcW w:type="dxa" w:w="4156"/>
          </w:tcPr>
          <w:p>
            <w:r/>
            <w:r>
              <w:rPr>
                <w:rFonts w:ascii="宋体" w:hAnsi="宋体" w:eastAsia="宋体"/>
                <w:sz w:val="20"/>
              </w:rPr>
              <w:t>开发方</w:t>
            </w:r>
          </w:p>
        </w:tc>
        <w:tc>
          <w:tcPr>
            <w:tcW w:type="dxa" w:w="4156"/>
          </w:tcPr>
          <w:p>
            <w:r/>
            <w:r>
              <w:rPr>
                <w:rFonts w:ascii="宋体" w:hAnsi="宋体" w:eastAsia="宋体"/>
                <w:sz w:val="20"/>
              </w:rPr>
              <w:t>[填写开发方名称]</w:t>
            </w:r>
          </w:p>
        </w:tc>
      </w:tr>
      <w:tr>
        <w:tc>
          <w:tcPr>
            <w:tcW w:type="dxa" w:w="4156"/>
          </w:tcPr>
          <w:p>
            <w:r/>
            <w:r>
              <w:rPr>
                <w:rFonts w:ascii="宋体" w:hAnsi="宋体" w:eastAsia="宋体"/>
                <w:sz w:val="20"/>
              </w:rPr>
              <w:t>项目周期</w:t>
            </w:r>
          </w:p>
        </w:tc>
        <w:tc>
          <w:tcPr>
            <w:tcW w:type="dxa" w:w="4156"/>
          </w:tcPr>
          <w:p>
            <w:r/>
            <w:r>
              <w:rPr>
                <w:rFonts w:ascii="宋体" w:hAnsi="宋体" w:eastAsia="宋体"/>
                <w:sz w:val="20"/>
              </w:rPr>
              <w:t>[开始日期] 至 [结束日期]</w:t>
            </w:r>
          </w:p>
        </w:tc>
      </w:tr>
      <w:tr>
        <w:tc>
          <w:tcPr>
            <w:tcW w:type="dxa" w:w="4156"/>
          </w:tcPr>
          <w:p>
            <w:r/>
            <w:r>
              <w:rPr>
                <w:rFonts w:ascii="宋体" w:hAnsi="宋体" w:eastAsia="宋体"/>
                <w:sz w:val="20"/>
              </w:rPr>
              <w:t>预算</w:t>
            </w:r>
          </w:p>
        </w:tc>
        <w:tc>
          <w:tcPr>
            <w:tcW w:type="dxa" w:w="4156"/>
          </w:tcPr>
          <w:p>
            <w:r/>
            <w:r>
              <w:rPr>
                <w:rFonts w:ascii="宋体" w:hAnsi="宋体" w:eastAsia="宋体"/>
                <w:sz w:val="20"/>
              </w:rPr>
              <w:t>[填写预算金额]</w:t>
            </w:r>
          </w:p>
        </w:tc>
      </w:tr>
      <w:tr>
        <w:tc>
          <w:tcPr>
            <w:tcW w:type="dxa" w:w="4156"/>
          </w:tcPr>
          <w:p>
            <w:r/>
            <w:r>
              <w:rPr>
                <w:rFonts w:ascii="宋体" w:hAnsi="宋体" w:eastAsia="宋体"/>
                <w:sz w:val="20"/>
              </w:rPr>
              <w:t>目标用户</w:t>
            </w:r>
          </w:p>
        </w:tc>
        <w:tc>
          <w:tcPr>
            <w:tcW w:type="dxa" w:w="4156"/>
          </w:tcPr>
          <w:p>
            <w:r/>
            <w:r>
              <w:rPr>
                <w:rFonts w:ascii="宋体" w:hAnsi="宋体" w:eastAsia="宋体"/>
                <w:sz w:val="20"/>
              </w:rPr>
              <w:t>[描述目标用户群体]</w:t>
            </w:r>
          </w:p>
        </w:tc>
      </w:tr>
    </w:tbl>
    <w:p/>
    <w:p/>
    <w:p>
      <w:pPr>
        <w:pStyle w:val="Heading3"/>
      </w:pPr>
      <w:r>
        <w:t>D.1.2 功能需求清单</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编号</w:t>
            </w:r>
          </w:p>
        </w:tc>
        <w:tc>
          <w:tcPr>
            <w:tcW w:type="dxa" w:w="1385"/>
            <w:shd w:fill="D9E2F3" w:val="clear"/>
          </w:tcPr>
          <w:p>
            <w:pPr>
              <w:jc w:val="center"/>
            </w:pPr>
            <w:r/>
            <w:r>
              <w:rPr>
                <w:rFonts w:ascii="黑体" w:hAnsi="黑体" w:eastAsia="黑体"/>
                <w:b/>
                <w:sz w:val="20"/>
              </w:rPr>
              <w:t>功能名称</w:t>
            </w:r>
          </w:p>
        </w:tc>
        <w:tc>
          <w:tcPr>
            <w:tcW w:type="dxa" w:w="1385"/>
            <w:shd w:fill="D9E2F3" w:val="clear"/>
          </w:tcPr>
          <w:p>
            <w:pPr>
              <w:jc w:val="center"/>
            </w:pPr>
            <w:r/>
            <w:r>
              <w:rPr>
                <w:rFonts w:ascii="黑体" w:hAnsi="黑体" w:eastAsia="黑体"/>
                <w:b/>
                <w:sz w:val="20"/>
              </w:rPr>
              <w:t>功能描述</w:t>
            </w:r>
          </w:p>
        </w:tc>
        <w:tc>
          <w:tcPr>
            <w:tcW w:type="dxa" w:w="1385"/>
            <w:shd w:fill="D9E2F3" w:val="clear"/>
          </w:tcPr>
          <w:p>
            <w:pPr>
              <w:jc w:val="center"/>
            </w:pPr>
            <w:r/>
            <w:r>
              <w:rPr>
                <w:rFonts w:ascii="黑体" w:hAnsi="黑体" w:eastAsia="黑体"/>
                <w:b/>
                <w:sz w:val="20"/>
              </w:rPr>
              <w:t>优先级</w:t>
            </w:r>
          </w:p>
        </w:tc>
        <w:tc>
          <w:tcPr>
            <w:tcW w:type="dxa" w:w="1385"/>
            <w:shd w:fill="D9E2F3" w:val="clear"/>
          </w:tcPr>
          <w:p>
            <w:pPr>
              <w:jc w:val="center"/>
            </w:pPr>
            <w:r/>
            <w:r>
              <w:rPr>
                <w:rFonts w:ascii="黑体" w:hAnsi="黑体" w:eastAsia="黑体"/>
                <w:b/>
                <w:sz w:val="20"/>
              </w:rPr>
              <w:t>技术方案</w:t>
            </w:r>
          </w:p>
        </w:tc>
        <w:tc>
          <w:tcPr>
            <w:tcW w:type="dxa" w:w="1385"/>
            <w:shd w:fill="D9E2F3" w:val="clear"/>
          </w:tcPr>
          <w:p>
            <w:pPr>
              <w:jc w:val="center"/>
            </w:pPr>
            <w:r/>
            <w:r>
              <w:rPr>
                <w:rFonts w:ascii="黑体" w:hAnsi="黑体" w:eastAsia="黑体"/>
                <w:b/>
                <w:sz w:val="20"/>
              </w:rPr>
              <w:t>验收标准</w:t>
            </w:r>
          </w:p>
        </w:tc>
      </w:tr>
      <w:tr>
        <w:tc>
          <w:tcPr>
            <w:tcW w:type="dxa" w:w="1385"/>
          </w:tcPr>
          <w:p>
            <w:r/>
            <w:r>
              <w:rPr>
                <w:rFonts w:ascii="宋体" w:hAnsi="宋体" w:eastAsia="宋体"/>
                <w:sz w:val="20"/>
              </w:rPr>
              <w:t>F001</w:t>
            </w:r>
          </w:p>
        </w:tc>
        <w:tc>
          <w:tcPr>
            <w:tcW w:type="dxa" w:w="1385"/>
          </w:tcPr>
          <w:p>
            <w:r/>
            <w:r>
              <w:rPr>
                <w:rFonts w:ascii="宋体" w:hAnsi="宋体" w:eastAsia="宋体"/>
                <w:sz w:val="20"/>
              </w:rPr>
              <w:t>[功能名称]</w:t>
            </w:r>
          </w:p>
        </w:tc>
        <w:tc>
          <w:tcPr>
            <w:tcW w:type="dxa" w:w="1385"/>
          </w:tcPr>
          <w:p>
            <w:r/>
            <w:r>
              <w:rPr>
                <w:rFonts w:ascii="宋体" w:hAnsi="宋体" w:eastAsia="宋体"/>
                <w:sz w:val="20"/>
              </w:rPr>
              <w:t>[详细描述]</w:t>
            </w:r>
          </w:p>
        </w:tc>
        <w:tc>
          <w:tcPr>
            <w:tcW w:type="dxa" w:w="1385"/>
          </w:tcPr>
          <w:p>
            <w:r/>
            <w:r>
              <w:rPr>
                <w:rFonts w:ascii="宋体" w:hAnsi="宋体" w:eastAsia="宋体"/>
                <w:sz w:val="20"/>
              </w:rPr>
              <w:t>P0/P1/P2</w:t>
            </w:r>
          </w:p>
        </w:tc>
        <w:tc>
          <w:tcPr>
            <w:tcW w:type="dxa" w:w="1385"/>
          </w:tcPr>
          <w:p>
            <w:r/>
            <w:r>
              <w:rPr>
                <w:rFonts w:ascii="宋体" w:hAnsi="宋体" w:eastAsia="宋体"/>
                <w:sz w:val="20"/>
              </w:rPr>
              <w:t>[技术方案]</w:t>
            </w:r>
          </w:p>
        </w:tc>
        <w:tc>
          <w:tcPr>
            <w:tcW w:type="dxa" w:w="1385"/>
          </w:tcPr>
          <w:p>
            <w:r/>
            <w:r>
              <w:rPr>
                <w:rFonts w:ascii="宋体" w:hAnsi="宋体" w:eastAsia="宋体"/>
                <w:sz w:val="20"/>
              </w:rPr>
              <w:t>[验收标准]</w:t>
            </w:r>
          </w:p>
        </w:tc>
      </w:tr>
    </w:tbl>
    <w:p/>
    <w:p/>
    <w:p>
      <w:pPr>
        <w:pStyle w:val="Heading3"/>
      </w:pPr>
      <w:r>
        <w:t>D.1.3 非功能需求</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需求类型</w:t>
            </w:r>
          </w:p>
        </w:tc>
        <w:tc>
          <w:tcPr>
            <w:tcW w:type="dxa" w:w="2078"/>
            <w:shd w:fill="D9E2F3" w:val="clear"/>
          </w:tcPr>
          <w:p>
            <w:pPr>
              <w:jc w:val="center"/>
            </w:pPr>
            <w:r/>
            <w:r>
              <w:rPr>
                <w:rFonts w:ascii="黑体" w:hAnsi="黑体" w:eastAsia="黑体"/>
                <w:b/>
                <w:sz w:val="20"/>
              </w:rPr>
              <w:t>指标</w:t>
            </w:r>
          </w:p>
        </w:tc>
        <w:tc>
          <w:tcPr>
            <w:tcW w:type="dxa" w:w="2078"/>
            <w:shd w:fill="D9E2F3" w:val="clear"/>
          </w:tcPr>
          <w:p>
            <w:pPr>
              <w:jc w:val="center"/>
            </w:pPr>
            <w:r/>
            <w:r>
              <w:rPr>
                <w:rFonts w:ascii="黑体" w:hAnsi="黑体" w:eastAsia="黑体"/>
                <w:b/>
                <w:sz w:val="20"/>
              </w:rPr>
              <w:t>目标值</w:t>
            </w:r>
          </w:p>
        </w:tc>
        <w:tc>
          <w:tcPr>
            <w:tcW w:type="dxa" w:w="2078"/>
            <w:shd w:fill="D9E2F3" w:val="clear"/>
          </w:tcPr>
          <w:p>
            <w:pPr>
              <w:jc w:val="center"/>
            </w:pPr>
            <w:r/>
            <w:r>
              <w:rPr>
                <w:rFonts w:ascii="黑体" w:hAnsi="黑体" w:eastAsia="黑体"/>
                <w:b/>
                <w:sz w:val="20"/>
              </w:rPr>
              <w:t>备注</w:t>
            </w:r>
          </w:p>
        </w:tc>
      </w:tr>
      <w:tr>
        <w:tc>
          <w:tcPr>
            <w:tcW w:type="dxa" w:w="2078"/>
          </w:tcPr>
          <w:p>
            <w:r/>
            <w:r>
              <w:rPr>
                <w:rFonts w:ascii="宋体" w:hAnsi="宋体" w:eastAsia="宋体"/>
                <w:sz w:val="20"/>
              </w:rPr>
              <w:t>性能</w:t>
            </w:r>
          </w:p>
        </w:tc>
        <w:tc>
          <w:tcPr>
            <w:tcW w:type="dxa" w:w="2078"/>
          </w:tcPr>
          <w:p>
            <w:r/>
            <w:r>
              <w:rPr>
                <w:rFonts w:ascii="宋体" w:hAnsi="宋体" w:eastAsia="宋体"/>
                <w:sz w:val="20"/>
              </w:rPr>
              <w:t>帧率</w:t>
            </w:r>
          </w:p>
        </w:tc>
        <w:tc>
          <w:tcPr>
            <w:tcW w:type="dxa" w:w="2078"/>
          </w:tcPr>
          <w:p>
            <w:r/>
            <w:r>
              <w:rPr>
                <w:rFonts w:ascii="宋体" w:hAnsi="宋体" w:eastAsia="宋体"/>
                <w:sz w:val="20"/>
              </w:rPr>
              <w:t>VR:72fps / Mobile:30fps</w:t>
            </w:r>
          </w:p>
        </w:tc>
        <w:tc>
          <w:tcPr>
            <w:tcW w:type="dxa" w:w="2078"/>
          </w:tcPr>
          <w:p>
            <w:r/>
            <w:r>
              <w:rPr>
                <w:rFonts w:ascii="宋体" w:hAnsi="宋体" w:eastAsia="宋体"/>
                <w:sz w:val="20"/>
              </w:rPr>
            </w:r>
          </w:p>
        </w:tc>
      </w:tr>
      <w:tr>
        <w:tc>
          <w:tcPr>
            <w:tcW w:type="dxa" w:w="2078"/>
          </w:tcPr>
          <w:p>
            <w:r/>
            <w:r>
              <w:rPr>
                <w:rFonts w:ascii="宋体" w:hAnsi="宋体" w:eastAsia="宋体"/>
                <w:sz w:val="20"/>
              </w:rPr>
              <w:t>性能</w:t>
            </w:r>
          </w:p>
        </w:tc>
        <w:tc>
          <w:tcPr>
            <w:tcW w:type="dxa" w:w="2078"/>
          </w:tcPr>
          <w:p>
            <w:r/>
            <w:r>
              <w:rPr>
                <w:rFonts w:ascii="宋体" w:hAnsi="宋体" w:eastAsia="宋体"/>
                <w:sz w:val="20"/>
              </w:rPr>
              <w:t>加载时间</w:t>
            </w:r>
          </w:p>
        </w:tc>
        <w:tc>
          <w:tcPr>
            <w:tcW w:type="dxa" w:w="2078"/>
          </w:tcPr>
          <w:p>
            <w:r/>
            <w:r>
              <w:rPr>
                <w:rFonts w:ascii="宋体" w:hAnsi="宋体" w:eastAsia="宋体"/>
                <w:sz w:val="20"/>
              </w:rPr>
              <w:t>≤10秒</w:t>
            </w:r>
          </w:p>
        </w:tc>
        <w:tc>
          <w:tcPr>
            <w:tcW w:type="dxa" w:w="2078"/>
          </w:tcPr>
          <w:p>
            <w:r/>
            <w:r>
              <w:rPr>
                <w:rFonts w:ascii="宋体" w:hAnsi="宋体" w:eastAsia="宋体"/>
                <w:sz w:val="20"/>
              </w:rPr>
            </w:r>
          </w:p>
        </w:tc>
      </w:tr>
      <w:tr>
        <w:tc>
          <w:tcPr>
            <w:tcW w:type="dxa" w:w="2078"/>
          </w:tcPr>
          <w:p>
            <w:r/>
            <w:r>
              <w:rPr>
                <w:rFonts w:ascii="宋体" w:hAnsi="宋体" w:eastAsia="宋体"/>
                <w:sz w:val="20"/>
              </w:rPr>
              <w:t>性能</w:t>
            </w:r>
          </w:p>
        </w:tc>
        <w:tc>
          <w:tcPr>
            <w:tcW w:type="dxa" w:w="2078"/>
          </w:tcPr>
          <w:p>
            <w:r/>
            <w:r>
              <w:rPr>
                <w:rFonts w:ascii="宋体" w:hAnsi="宋体" w:eastAsia="宋体"/>
                <w:sz w:val="20"/>
              </w:rPr>
              <w:t>内存占用</w:t>
            </w:r>
          </w:p>
        </w:tc>
        <w:tc>
          <w:tcPr>
            <w:tcW w:type="dxa" w:w="2078"/>
          </w:tcPr>
          <w:p>
            <w:r/>
            <w:r>
              <w:rPr>
                <w:rFonts w:ascii="宋体" w:hAnsi="宋体" w:eastAsia="宋体"/>
                <w:sz w:val="20"/>
              </w:rPr>
              <w:t>≤500MB</w:t>
            </w:r>
          </w:p>
        </w:tc>
        <w:tc>
          <w:tcPr>
            <w:tcW w:type="dxa" w:w="2078"/>
          </w:tcPr>
          <w:p>
            <w:r/>
            <w:r>
              <w:rPr>
                <w:rFonts w:ascii="宋体" w:hAnsi="宋体" w:eastAsia="宋体"/>
                <w:sz w:val="20"/>
              </w:rPr>
            </w:r>
          </w:p>
        </w:tc>
      </w:tr>
      <w:tr>
        <w:tc>
          <w:tcPr>
            <w:tcW w:type="dxa" w:w="2078"/>
          </w:tcPr>
          <w:p>
            <w:r/>
            <w:r>
              <w:rPr>
                <w:rFonts w:ascii="宋体" w:hAnsi="宋体" w:eastAsia="宋体"/>
                <w:sz w:val="20"/>
              </w:rPr>
              <w:t>兼容性</w:t>
            </w:r>
          </w:p>
        </w:tc>
        <w:tc>
          <w:tcPr>
            <w:tcW w:type="dxa" w:w="2078"/>
          </w:tcPr>
          <w:p>
            <w:r/>
            <w:r>
              <w:rPr>
                <w:rFonts w:ascii="宋体" w:hAnsi="宋体" w:eastAsia="宋体"/>
                <w:sz w:val="20"/>
              </w:rPr>
              <w:t>设备支持</w:t>
            </w:r>
          </w:p>
        </w:tc>
        <w:tc>
          <w:tcPr>
            <w:tcW w:type="dxa" w:w="2078"/>
          </w:tcPr>
          <w:p>
            <w:r/>
            <w:r>
              <w:rPr>
                <w:rFonts w:ascii="宋体" w:hAnsi="宋体" w:eastAsia="宋体"/>
                <w:sz w:val="20"/>
              </w:rPr>
              <w:t>[列出支持设备]</w:t>
            </w:r>
          </w:p>
        </w:tc>
        <w:tc>
          <w:tcPr>
            <w:tcW w:type="dxa" w:w="2078"/>
          </w:tcPr>
          <w:p>
            <w:r/>
            <w:r>
              <w:rPr>
                <w:rFonts w:ascii="宋体" w:hAnsi="宋体" w:eastAsia="宋体"/>
                <w:sz w:val="20"/>
              </w:rPr>
            </w:r>
          </w:p>
        </w:tc>
      </w:tr>
      <w:tr>
        <w:tc>
          <w:tcPr>
            <w:tcW w:type="dxa" w:w="2078"/>
          </w:tcPr>
          <w:p>
            <w:r/>
            <w:r>
              <w:rPr>
                <w:rFonts w:ascii="宋体" w:hAnsi="宋体" w:eastAsia="宋体"/>
                <w:sz w:val="20"/>
              </w:rPr>
              <w:t>可用性</w:t>
            </w:r>
          </w:p>
        </w:tc>
        <w:tc>
          <w:tcPr>
            <w:tcW w:type="dxa" w:w="2078"/>
          </w:tcPr>
          <w:p>
            <w:r/>
            <w:r>
              <w:rPr>
                <w:rFonts w:ascii="宋体" w:hAnsi="宋体" w:eastAsia="宋体"/>
                <w:sz w:val="20"/>
              </w:rPr>
              <w:t>学习成本</w:t>
            </w:r>
          </w:p>
        </w:tc>
        <w:tc>
          <w:tcPr>
            <w:tcW w:type="dxa" w:w="2078"/>
          </w:tcPr>
          <w:p>
            <w:r/>
            <w:r>
              <w:rPr>
                <w:rFonts w:ascii="宋体" w:hAnsi="宋体" w:eastAsia="宋体"/>
                <w:sz w:val="20"/>
              </w:rPr>
              <w:t>首次使用≤5分钟</w:t>
            </w:r>
          </w:p>
        </w:tc>
        <w:tc>
          <w:tcPr>
            <w:tcW w:type="dxa" w:w="2078"/>
          </w:tcPr>
          <w:p>
            <w:r/>
            <w:r>
              <w:rPr>
                <w:rFonts w:ascii="宋体" w:hAnsi="宋体" w:eastAsia="宋体"/>
                <w:sz w:val="20"/>
              </w:rPr>
            </w:r>
          </w:p>
        </w:tc>
      </w:tr>
      <w:tr>
        <w:tc>
          <w:tcPr>
            <w:tcW w:type="dxa" w:w="2078"/>
          </w:tcPr>
          <w:p>
            <w:r/>
            <w:r>
              <w:rPr>
                <w:rFonts w:ascii="宋体" w:hAnsi="宋体" w:eastAsia="宋体"/>
                <w:sz w:val="20"/>
              </w:rPr>
              <w:t>安全性</w:t>
            </w:r>
          </w:p>
        </w:tc>
        <w:tc>
          <w:tcPr>
            <w:tcW w:type="dxa" w:w="2078"/>
          </w:tcPr>
          <w:p>
            <w:r/>
            <w:r>
              <w:rPr>
                <w:rFonts w:ascii="宋体" w:hAnsi="宋体" w:eastAsia="宋体"/>
                <w:sz w:val="20"/>
              </w:rPr>
              <w:t>数据加密</w:t>
            </w:r>
          </w:p>
        </w:tc>
        <w:tc>
          <w:tcPr>
            <w:tcW w:type="dxa" w:w="2078"/>
          </w:tcPr>
          <w:p>
            <w:r/>
            <w:r>
              <w:rPr>
                <w:rFonts w:ascii="宋体" w:hAnsi="宋体" w:eastAsia="宋体"/>
                <w:sz w:val="20"/>
              </w:rPr>
              <w:t>TLS 1.2+</w:t>
            </w:r>
          </w:p>
        </w:tc>
        <w:tc>
          <w:tcPr>
            <w:tcW w:type="dxa" w:w="2078"/>
          </w:tcPr>
          <w:p>
            <w:r/>
            <w:r>
              <w:rPr>
                <w:rFonts w:ascii="宋体" w:hAnsi="宋体" w:eastAsia="宋体"/>
                <w:sz w:val="20"/>
              </w:rPr>
            </w:r>
          </w:p>
        </w:tc>
      </w:tr>
    </w:tbl>
    <w:p/>
    <w:p/>
    <w:p>
      <w:pPr>
        <w:pStyle w:val="Heading2"/>
      </w:pPr>
      <w:r>
        <w:t>D.2 VR/AR 体验设计文档模板</w:t>
      </w:r>
    </w:p>
    <w:p/>
    <w:p>
      <w:pPr>
        <w:pStyle w:val="Heading3"/>
      </w:pPr>
      <w:r>
        <w:t>D.2.1 体验概述</w:t>
      </w:r>
    </w:p>
    <w:p/>
    <w:tbl>
      <w:tblPr>
        <w:tblStyle w:val="TableGrid"/>
        <w:tblW w:type="auto" w:w="0"/>
        <w:jc w:val="center"/>
        <w:tblLook w:firstColumn="1" w:firstRow="1" w:lastColumn="0" w:lastRow="0" w:noHBand="0" w:noVBand="1" w:val="04A0"/>
      </w:tblPr>
      <w:tblGrid>
        <w:gridCol w:w="4156"/>
        <w:gridCol w:w="4156"/>
      </w:tblGrid>
      <w:tr>
        <w:tc>
          <w:tcPr>
            <w:tcW w:type="dxa" w:w="4156"/>
            <w:shd w:fill="D9E2F3" w:val="clear"/>
          </w:tcPr>
          <w:p>
            <w:pPr>
              <w:jc w:val="center"/>
            </w:pPr>
            <w:r/>
            <w:r>
              <w:rPr>
                <w:rFonts w:ascii="黑体" w:hAnsi="黑体" w:eastAsia="黑体"/>
                <w:b/>
                <w:sz w:val="20"/>
              </w:rPr>
              <w:t>体验名称</w:t>
            </w:r>
          </w:p>
        </w:tc>
        <w:tc>
          <w:tcPr>
            <w:tcW w:type="dxa" w:w="4156"/>
            <w:shd w:fill="D9E2F3" w:val="clear"/>
          </w:tcPr>
          <w:p>
            <w:pPr>
              <w:jc w:val="center"/>
            </w:pPr>
            <w:r/>
            <w:r>
              <w:rPr>
                <w:rFonts w:ascii="黑体" w:hAnsi="黑体" w:eastAsia="黑体"/>
                <w:b/>
                <w:sz w:val="20"/>
              </w:rPr>
              <w:t>[名称]</w:t>
            </w:r>
          </w:p>
        </w:tc>
      </w:tr>
      <w:tr>
        <w:tc>
          <w:tcPr>
            <w:tcW w:type="dxa" w:w="4156"/>
          </w:tcPr>
          <w:p>
            <w:r/>
            <w:r>
              <w:rPr>
                <w:rFonts w:ascii="宋体" w:hAnsi="宋体" w:eastAsia="宋体"/>
                <w:sz w:val="20"/>
              </w:rPr>
              <w:t>体验类型</w:t>
            </w:r>
          </w:p>
        </w:tc>
        <w:tc>
          <w:tcPr>
            <w:tcW w:type="dxa" w:w="4156"/>
          </w:tcPr>
          <w:p>
            <w:r/>
            <w:r>
              <w:rPr>
                <w:rFonts w:ascii="宋体" w:hAnsi="宋体" w:eastAsia="宋体"/>
                <w:sz w:val="20"/>
              </w:rPr>
              <w:t>全景浏览 / 互动体验 / 沉浸式叙事 / 社交体验</w:t>
            </w:r>
          </w:p>
        </w:tc>
      </w:tr>
      <w:tr>
        <w:tc>
          <w:tcPr>
            <w:tcW w:type="dxa" w:w="4156"/>
          </w:tcPr>
          <w:p>
            <w:r/>
            <w:r>
              <w:rPr>
                <w:rFonts w:ascii="宋体" w:hAnsi="宋体" w:eastAsia="宋体"/>
                <w:sz w:val="20"/>
              </w:rPr>
              <w:t>目标设备</w:t>
            </w:r>
          </w:p>
        </w:tc>
        <w:tc>
          <w:tcPr>
            <w:tcW w:type="dxa" w:w="4156"/>
          </w:tcPr>
          <w:p>
            <w:r/>
            <w:r>
              <w:rPr>
                <w:rFonts w:ascii="宋体" w:hAnsi="宋体" w:eastAsia="宋体"/>
                <w:sz w:val="20"/>
              </w:rPr>
              <w:t>[列出目标设备]</w:t>
            </w:r>
          </w:p>
        </w:tc>
      </w:tr>
      <w:tr>
        <w:tc>
          <w:tcPr>
            <w:tcW w:type="dxa" w:w="4156"/>
          </w:tcPr>
          <w:p>
            <w:r/>
            <w:r>
              <w:rPr>
                <w:rFonts w:ascii="宋体" w:hAnsi="宋体" w:eastAsia="宋体"/>
                <w:sz w:val="20"/>
              </w:rPr>
              <w:t>体验时长</w:t>
            </w:r>
          </w:p>
        </w:tc>
        <w:tc>
          <w:tcPr>
            <w:tcW w:type="dxa" w:w="4156"/>
          </w:tcPr>
          <w:p>
            <w:r/>
            <w:r>
              <w:rPr>
                <w:rFonts w:ascii="宋体" w:hAnsi="宋体" w:eastAsia="宋体"/>
                <w:sz w:val="20"/>
              </w:rPr>
              <w:t>[预估时长]</w:t>
            </w:r>
          </w:p>
        </w:tc>
      </w:tr>
      <w:tr>
        <w:tc>
          <w:tcPr>
            <w:tcW w:type="dxa" w:w="4156"/>
          </w:tcPr>
          <w:p>
            <w:r/>
            <w:r>
              <w:rPr>
                <w:rFonts w:ascii="宋体" w:hAnsi="宋体" w:eastAsia="宋体"/>
                <w:sz w:val="20"/>
              </w:rPr>
              <w:t>用户人数</w:t>
            </w:r>
          </w:p>
        </w:tc>
        <w:tc>
          <w:tcPr>
            <w:tcW w:type="dxa" w:w="4156"/>
          </w:tcPr>
          <w:p>
            <w:r/>
            <w:r>
              <w:rPr>
                <w:rFonts w:ascii="宋体" w:hAnsi="宋体" w:eastAsia="宋体"/>
                <w:sz w:val="20"/>
              </w:rPr>
              <w:t>[单人/多人]</w:t>
            </w:r>
          </w:p>
        </w:tc>
      </w:tr>
    </w:tbl>
    <w:p/>
    <w:p/>
    <w:p>
      <w:pPr>
        <w:pStyle w:val="Heading3"/>
      </w:pPr>
      <w:r>
        <w:t>D.2.2 场景设计</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场景编号</w:t>
            </w:r>
          </w:p>
        </w:tc>
        <w:tc>
          <w:tcPr>
            <w:tcW w:type="dxa" w:w="1385"/>
            <w:shd w:fill="D9E2F3" w:val="clear"/>
          </w:tcPr>
          <w:p>
            <w:pPr>
              <w:jc w:val="center"/>
            </w:pPr>
            <w:r/>
            <w:r>
              <w:rPr>
                <w:rFonts w:ascii="黑体" w:hAnsi="黑体" w:eastAsia="黑体"/>
                <w:b/>
                <w:sz w:val="20"/>
              </w:rPr>
              <w:t>场景名称</w:t>
            </w:r>
          </w:p>
        </w:tc>
        <w:tc>
          <w:tcPr>
            <w:tcW w:type="dxa" w:w="1385"/>
            <w:shd w:fill="D9E2F3" w:val="clear"/>
          </w:tcPr>
          <w:p>
            <w:pPr>
              <w:jc w:val="center"/>
            </w:pPr>
            <w:r/>
            <w:r>
              <w:rPr>
                <w:rFonts w:ascii="黑体" w:hAnsi="黑体" w:eastAsia="黑体"/>
                <w:b/>
                <w:sz w:val="20"/>
              </w:rPr>
              <w:t>场景描述</w:t>
            </w:r>
          </w:p>
        </w:tc>
        <w:tc>
          <w:tcPr>
            <w:tcW w:type="dxa" w:w="1385"/>
            <w:shd w:fill="D9E2F3" w:val="clear"/>
          </w:tcPr>
          <w:p>
            <w:pPr>
              <w:jc w:val="center"/>
            </w:pPr>
            <w:r/>
            <w:r>
              <w:rPr>
                <w:rFonts w:ascii="黑体" w:hAnsi="黑体" w:eastAsia="黑体"/>
                <w:b/>
                <w:sz w:val="20"/>
              </w:rPr>
              <w:t>素材需求</w:t>
            </w:r>
          </w:p>
        </w:tc>
        <w:tc>
          <w:tcPr>
            <w:tcW w:type="dxa" w:w="1385"/>
            <w:shd w:fill="D9E2F3" w:val="clear"/>
          </w:tcPr>
          <w:p>
            <w:pPr>
              <w:jc w:val="center"/>
            </w:pPr>
            <w:r/>
            <w:r>
              <w:rPr>
                <w:rFonts w:ascii="黑体" w:hAnsi="黑体" w:eastAsia="黑体"/>
                <w:b/>
                <w:sz w:val="20"/>
              </w:rPr>
              <w:t>交互元素</w:t>
            </w:r>
          </w:p>
        </w:tc>
        <w:tc>
          <w:tcPr>
            <w:tcW w:type="dxa" w:w="1385"/>
            <w:shd w:fill="D9E2F3" w:val="clear"/>
          </w:tcPr>
          <w:p>
            <w:pPr>
              <w:jc w:val="center"/>
            </w:pPr>
            <w:r/>
            <w:r>
              <w:rPr>
                <w:rFonts w:ascii="黑体" w:hAnsi="黑体" w:eastAsia="黑体"/>
                <w:b/>
                <w:sz w:val="20"/>
              </w:rPr>
              <w:t>过渡方式</w:t>
            </w:r>
          </w:p>
        </w:tc>
      </w:tr>
      <w:tr>
        <w:tc>
          <w:tcPr>
            <w:tcW w:type="dxa" w:w="1385"/>
          </w:tcPr>
          <w:p>
            <w:r/>
            <w:r>
              <w:rPr>
                <w:rFonts w:ascii="宋体" w:hAnsi="宋体" w:eastAsia="宋体"/>
                <w:sz w:val="20"/>
              </w:rPr>
              <w:t>S001</w:t>
            </w:r>
          </w:p>
        </w:tc>
        <w:tc>
          <w:tcPr>
            <w:tcW w:type="dxa" w:w="1385"/>
          </w:tcPr>
          <w:p>
            <w:r/>
            <w:r>
              <w:rPr>
                <w:rFonts w:ascii="宋体" w:hAnsi="宋体" w:eastAsia="宋体"/>
                <w:sz w:val="20"/>
              </w:rPr>
              <w:t>[场景名]</w:t>
            </w:r>
          </w:p>
        </w:tc>
        <w:tc>
          <w:tcPr>
            <w:tcW w:type="dxa" w:w="1385"/>
          </w:tcPr>
          <w:p>
            <w:r/>
            <w:r>
              <w:rPr>
                <w:rFonts w:ascii="宋体" w:hAnsi="宋体" w:eastAsia="宋体"/>
                <w:sz w:val="20"/>
              </w:rPr>
              <w:t>[描述]</w:t>
            </w:r>
          </w:p>
        </w:tc>
        <w:tc>
          <w:tcPr>
            <w:tcW w:type="dxa" w:w="1385"/>
          </w:tcPr>
          <w:p>
            <w:r/>
            <w:r>
              <w:rPr>
                <w:rFonts w:ascii="宋体" w:hAnsi="宋体" w:eastAsia="宋体"/>
                <w:sz w:val="20"/>
              </w:rPr>
              <w:t>[3D模型/全景图/视频]</w:t>
            </w:r>
          </w:p>
        </w:tc>
        <w:tc>
          <w:tcPr>
            <w:tcW w:type="dxa" w:w="1385"/>
          </w:tcPr>
          <w:p>
            <w:r/>
            <w:r>
              <w:rPr>
                <w:rFonts w:ascii="宋体" w:hAnsi="宋体" w:eastAsia="宋体"/>
                <w:sz w:val="20"/>
              </w:rPr>
              <w:t>[热点/物体/UI]</w:t>
            </w:r>
          </w:p>
        </w:tc>
        <w:tc>
          <w:tcPr>
            <w:tcW w:type="dxa" w:w="1385"/>
          </w:tcPr>
          <w:p>
            <w:r/>
            <w:r>
              <w:rPr>
                <w:rFonts w:ascii="宋体" w:hAnsi="宋体" w:eastAsia="宋体"/>
                <w:sz w:val="20"/>
              </w:rPr>
              <w:t>[淡入淡出/瞬移]</w:t>
            </w:r>
          </w:p>
        </w:tc>
      </w:tr>
    </w:tbl>
    <w:p/>
    <w:p/>
    <w:p>
      <w:pPr>
        <w:pStyle w:val="Heading3"/>
      </w:pPr>
      <w:r>
        <w:t>D.2.3 交互设计</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交互编号</w:t>
            </w:r>
          </w:p>
        </w:tc>
        <w:tc>
          <w:tcPr>
            <w:tcW w:type="dxa" w:w="1385"/>
            <w:shd w:fill="D9E2F3" w:val="clear"/>
          </w:tcPr>
          <w:p>
            <w:pPr>
              <w:jc w:val="center"/>
            </w:pPr>
            <w:r/>
            <w:r>
              <w:rPr>
                <w:rFonts w:ascii="黑体" w:hAnsi="黑体" w:eastAsia="黑体"/>
                <w:b/>
                <w:sz w:val="20"/>
              </w:rPr>
              <w:t>交互名称</w:t>
            </w:r>
          </w:p>
        </w:tc>
        <w:tc>
          <w:tcPr>
            <w:tcW w:type="dxa" w:w="1385"/>
            <w:shd w:fill="D9E2F3" w:val="clear"/>
          </w:tcPr>
          <w:p>
            <w:pPr>
              <w:jc w:val="center"/>
            </w:pPr>
            <w:r/>
            <w:r>
              <w:rPr>
                <w:rFonts w:ascii="黑体" w:hAnsi="黑体" w:eastAsia="黑体"/>
                <w:b/>
                <w:sz w:val="20"/>
              </w:rPr>
              <w:t>触发方式</w:t>
            </w:r>
          </w:p>
        </w:tc>
        <w:tc>
          <w:tcPr>
            <w:tcW w:type="dxa" w:w="1385"/>
            <w:shd w:fill="D9E2F3" w:val="clear"/>
          </w:tcPr>
          <w:p>
            <w:pPr>
              <w:jc w:val="center"/>
            </w:pPr>
            <w:r/>
            <w:r>
              <w:rPr>
                <w:rFonts w:ascii="黑体" w:hAnsi="黑体" w:eastAsia="黑体"/>
                <w:b/>
                <w:sz w:val="20"/>
              </w:rPr>
              <w:t>交互效果</w:t>
            </w:r>
          </w:p>
        </w:tc>
        <w:tc>
          <w:tcPr>
            <w:tcW w:type="dxa" w:w="1385"/>
            <w:shd w:fill="D9E2F3" w:val="clear"/>
          </w:tcPr>
          <w:p>
            <w:pPr>
              <w:jc w:val="center"/>
            </w:pPr>
            <w:r/>
            <w:r>
              <w:rPr>
                <w:rFonts w:ascii="黑体" w:hAnsi="黑体" w:eastAsia="黑体"/>
                <w:b/>
                <w:sz w:val="20"/>
              </w:rPr>
              <w:t>反馈方式</w:t>
            </w:r>
          </w:p>
        </w:tc>
        <w:tc>
          <w:tcPr>
            <w:tcW w:type="dxa" w:w="1385"/>
            <w:shd w:fill="D9E2F3" w:val="clear"/>
          </w:tcPr>
          <w:p>
            <w:pPr>
              <w:jc w:val="center"/>
            </w:pPr>
            <w:r/>
            <w:r>
              <w:rPr>
                <w:rFonts w:ascii="黑体" w:hAnsi="黑体" w:eastAsia="黑体"/>
                <w:b/>
                <w:sz w:val="20"/>
              </w:rPr>
              <w:t>异常处理</w:t>
            </w:r>
          </w:p>
        </w:tc>
      </w:tr>
      <w:tr>
        <w:tc>
          <w:tcPr>
            <w:tcW w:type="dxa" w:w="1385"/>
          </w:tcPr>
          <w:p>
            <w:r/>
            <w:r>
              <w:rPr>
                <w:rFonts w:ascii="宋体" w:hAnsi="宋体" w:eastAsia="宋体"/>
                <w:sz w:val="20"/>
              </w:rPr>
              <w:t>I001</w:t>
            </w:r>
          </w:p>
        </w:tc>
        <w:tc>
          <w:tcPr>
            <w:tcW w:type="dxa" w:w="1385"/>
          </w:tcPr>
          <w:p>
            <w:r/>
            <w:r>
              <w:rPr>
                <w:rFonts w:ascii="宋体" w:hAnsi="宋体" w:eastAsia="宋体"/>
                <w:sz w:val="20"/>
              </w:rPr>
              <w:t>[交互名]</w:t>
            </w:r>
          </w:p>
        </w:tc>
        <w:tc>
          <w:tcPr>
            <w:tcW w:type="dxa" w:w="1385"/>
          </w:tcPr>
          <w:p>
            <w:r/>
            <w:r>
              <w:rPr>
                <w:rFonts w:ascii="宋体" w:hAnsi="宋体" w:eastAsia="宋体"/>
                <w:sz w:val="20"/>
              </w:rPr>
              <w:t>[手柄/手势/语音/凝视]</w:t>
            </w:r>
          </w:p>
        </w:tc>
        <w:tc>
          <w:tcPr>
            <w:tcW w:type="dxa" w:w="1385"/>
          </w:tcPr>
          <w:p>
            <w:r/>
            <w:r>
              <w:rPr>
                <w:rFonts w:ascii="宋体" w:hAnsi="宋体" w:eastAsia="宋体"/>
                <w:sz w:val="20"/>
              </w:rPr>
              <w:t>[效果描述]</w:t>
            </w:r>
          </w:p>
        </w:tc>
        <w:tc>
          <w:tcPr>
            <w:tcW w:type="dxa" w:w="1385"/>
          </w:tcPr>
          <w:p>
            <w:r/>
            <w:r>
              <w:rPr>
                <w:rFonts w:ascii="宋体" w:hAnsi="宋体" w:eastAsia="宋体"/>
                <w:sz w:val="20"/>
              </w:rPr>
              <w:t>[视觉/听觉/触觉]</w:t>
            </w:r>
          </w:p>
        </w:tc>
        <w:tc>
          <w:tcPr>
            <w:tcW w:type="dxa" w:w="1385"/>
          </w:tcPr>
          <w:p>
            <w:r/>
            <w:r>
              <w:rPr>
                <w:rFonts w:ascii="宋体" w:hAnsi="宋体" w:eastAsia="宋体"/>
                <w:sz w:val="20"/>
              </w:rPr>
              <w:t>[处理方式]</w:t>
            </w:r>
          </w:p>
        </w:tc>
      </w:tr>
    </w:tbl>
    <w:p/>
    <w:p/>
    <w:p>
      <w:pPr>
        <w:pStyle w:val="Heading3"/>
      </w:pPr>
      <w:r>
        <w:t>D.2.4 叙事设计</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情节节点</w:t>
            </w:r>
          </w:p>
        </w:tc>
        <w:tc>
          <w:tcPr>
            <w:tcW w:type="dxa" w:w="1662"/>
            <w:shd w:fill="D9E2F3" w:val="clear"/>
          </w:tcPr>
          <w:p>
            <w:pPr>
              <w:jc w:val="center"/>
            </w:pPr>
            <w:r/>
            <w:r>
              <w:rPr>
                <w:rFonts w:ascii="黑体" w:hAnsi="黑体" w:eastAsia="黑体"/>
                <w:b/>
                <w:sz w:val="20"/>
              </w:rPr>
              <w:t>触发条件</w:t>
            </w:r>
          </w:p>
        </w:tc>
        <w:tc>
          <w:tcPr>
            <w:tcW w:type="dxa" w:w="1662"/>
            <w:shd w:fill="D9E2F3" w:val="clear"/>
          </w:tcPr>
          <w:p>
            <w:pPr>
              <w:jc w:val="center"/>
            </w:pPr>
            <w:r/>
            <w:r>
              <w:rPr>
                <w:rFonts w:ascii="黑体" w:hAnsi="黑体" w:eastAsia="黑体"/>
                <w:b/>
                <w:sz w:val="20"/>
              </w:rPr>
              <w:t>叙事内容</w:t>
            </w:r>
          </w:p>
        </w:tc>
        <w:tc>
          <w:tcPr>
            <w:tcW w:type="dxa" w:w="1662"/>
            <w:shd w:fill="D9E2F3" w:val="clear"/>
          </w:tcPr>
          <w:p>
            <w:pPr>
              <w:jc w:val="center"/>
            </w:pPr>
            <w:r/>
            <w:r>
              <w:rPr>
                <w:rFonts w:ascii="黑体" w:hAnsi="黑体" w:eastAsia="黑体"/>
                <w:b/>
                <w:sz w:val="20"/>
              </w:rPr>
              <w:t>情感目标</w:t>
            </w:r>
          </w:p>
        </w:tc>
        <w:tc>
          <w:tcPr>
            <w:tcW w:type="dxa" w:w="1662"/>
            <w:shd w:fill="D9E2F3" w:val="clear"/>
          </w:tcPr>
          <w:p>
            <w:pPr>
              <w:jc w:val="center"/>
            </w:pPr>
            <w:r/>
            <w:r>
              <w:rPr>
                <w:rFonts w:ascii="黑体" w:hAnsi="黑体" w:eastAsia="黑体"/>
                <w:b/>
                <w:sz w:val="20"/>
              </w:rPr>
              <w:t>交互参与</w:t>
            </w:r>
          </w:p>
        </w:tc>
      </w:tr>
      <w:tr>
        <w:tc>
          <w:tcPr>
            <w:tcW w:type="dxa" w:w="1662"/>
          </w:tcPr>
          <w:p>
            <w:r/>
            <w:r>
              <w:rPr>
                <w:rFonts w:ascii="宋体" w:hAnsi="宋体" w:eastAsia="宋体"/>
                <w:sz w:val="20"/>
              </w:rPr>
              <w:t>N001</w:t>
            </w:r>
          </w:p>
        </w:tc>
        <w:tc>
          <w:tcPr>
            <w:tcW w:type="dxa" w:w="1662"/>
          </w:tcPr>
          <w:p>
            <w:r/>
            <w:r>
              <w:rPr>
                <w:rFonts w:ascii="宋体" w:hAnsi="宋体" w:eastAsia="宋体"/>
                <w:sz w:val="20"/>
              </w:rPr>
              <w:t>[自动/用户触发]</w:t>
            </w:r>
          </w:p>
        </w:tc>
        <w:tc>
          <w:tcPr>
            <w:tcW w:type="dxa" w:w="1662"/>
          </w:tcPr>
          <w:p>
            <w:r/>
            <w:r>
              <w:rPr>
                <w:rFonts w:ascii="宋体" w:hAnsi="宋体" w:eastAsia="宋体"/>
                <w:sz w:val="20"/>
              </w:rPr>
              <w:t>[叙事文本]</w:t>
            </w:r>
          </w:p>
        </w:tc>
        <w:tc>
          <w:tcPr>
            <w:tcW w:type="dxa" w:w="1662"/>
          </w:tcPr>
          <w:p>
            <w:r/>
            <w:r>
              <w:rPr>
                <w:rFonts w:ascii="宋体" w:hAnsi="宋体" w:eastAsia="宋体"/>
                <w:sz w:val="20"/>
              </w:rPr>
              <w:t>[情感描述]</w:t>
            </w:r>
          </w:p>
        </w:tc>
        <w:tc>
          <w:tcPr>
            <w:tcW w:type="dxa" w:w="1662"/>
          </w:tcPr>
          <w:p>
            <w:r/>
            <w:r>
              <w:rPr>
                <w:rFonts w:ascii="宋体" w:hAnsi="宋体" w:eastAsia="宋体"/>
                <w:sz w:val="20"/>
              </w:rPr>
              <w:t>[用户操作]</w:t>
            </w:r>
          </w:p>
        </w:tc>
      </w:tr>
    </w:tbl>
    <w:p/>
    <w:p/>
    <w:p>
      <w:pPr>
        <w:pStyle w:val="Heading2"/>
      </w:pPr>
      <w:r>
        <w:t>D.3 技术方案文档模板</w:t>
      </w:r>
    </w:p>
    <w:p/>
    <w:p>
      <w:pPr>
        <w:pStyle w:val="Heading3"/>
      </w:pPr>
      <w:r>
        <w:t>D.3.1 技术架构</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层级</w:t>
            </w:r>
          </w:p>
        </w:tc>
        <w:tc>
          <w:tcPr>
            <w:tcW w:type="dxa" w:w="2078"/>
            <w:shd w:fill="D9E2F3" w:val="clear"/>
          </w:tcPr>
          <w:p>
            <w:pPr>
              <w:jc w:val="center"/>
            </w:pPr>
            <w:r/>
            <w:r>
              <w:rPr>
                <w:rFonts w:ascii="黑体" w:hAnsi="黑体" w:eastAsia="黑体"/>
                <w:b/>
                <w:sz w:val="20"/>
              </w:rPr>
              <w:t>组件</w:t>
            </w:r>
          </w:p>
        </w:tc>
        <w:tc>
          <w:tcPr>
            <w:tcW w:type="dxa" w:w="2078"/>
            <w:shd w:fill="D9E2F3" w:val="clear"/>
          </w:tcPr>
          <w:p>
            <w:pPr>
              <w:jc w:val="center"/>
            </w:pPr>
            <w:r/>
            <w:r>
              <w:rPr>
                <w:rFonts w:ascii="黑体" w:hAnsi="黑体" w:eastAsia="黑体"/>
                <w:b/>
                <w:sz w:val="20"/>
              </w:rPr>
              <w:t>技术选型</w:t>
            </w:r>
          </w:p>
        </w:tc>
        <w:tc>
          <w:tcPr>
            <w:tcW w:type="dxa" w:w="2078"/>
            <w:shd w:fill="D9E2F3" w:val="clear"/>
          </w:tcPr>
          <w:p>
            <w:pPr>
              <w:jc w:val="center"/>
            </w:pPr>
            <w:r/>
            <w:r>
              <w:rPr>
                <w:rFonts w:ascii="黑体" w:hAnsi="黑体" w:eastAsia="黑体"/>
                <w:b/>
                <w:sz w:val="20"/>
              </w:rPr>
              <w:t>说明</w:t>
            </w:r>
          </w:p>
        </w:tc>
      </w:tr>
      <w:tr>
        <w:tc>
          <w:tcPr>
            <w:tcW w:type="dxa" w:w="2078"/>
          </w:tcPr>
          <w:p>
            <w:r/>
            <w:r>
              <w:rPr>
                <w:rFonts w:ascii="宋体" w:hAnsi="宋体" w:eastAsia="宋体"/>
                <w:sz w:val="20"/>
              </w:rPr>
              <w:t>客户端</w:t>
            </w:r>
          </w:p>
        </w:tc>
        <w:tc>
          <w:tcPr>
            <w:tcW w:type="dxa" w:w="2078"/>
          </w:tcPr>
          <w:p>
            <w:r/>
            <w:r>
              <w:rPr>
                <w:rFonts w:ascii="宋体" w:hAnsi="宋体" w:eastAsia="宋体"/>
                <w:sz w:val="20"/>
              </w:rPr>
              <w:t>渲染引擎</w:t>
            </w:r>
          </w:p>
        </w:tc>
        <w:tc>
          <w:tcPr>
            <w:tcW w:type="dxa" w:w="2078"/>
          </w:tcPr>
          <w:p>
            <w:r/>
            <w:r>
              <w:rPr>
                <w:rFonts w:ascii="宋体" w:hAnsi="宋体" w:eastAsia="宋体"/>
                <w:sz w:val="20"/>
              </w:rPr>
              <w:t>Unity 2022 LTS / Unreal 5</w:t>
            </w:r>
          </w:p>
        </w:tc>
        <w:tc>
          <w:tcPr>
            <w:tcW w:type="dxa" w:w="2078"/>
          </w:tcPr>
          <w:p>
            <w:r/>
            <w:r>
              <w:rPr>
                <w:rFonts w:ascii="宋体" w:hAnsi="宋体" w:eastAsia="宋体"/>
                <w:sz w:val="20"/>
              </w:rPr>
            </w:r>
          </w:p>
        </w:tc>
      </w:tr>
      <w:tr>
        <w:tc>
          <w:tcPr>
            <w:tcW w:type="dxa" w:w="2078"/>
          </w:tcPr>
          <w:p>
            <w:r/>
            <w:r>
              <w:rPr>
                <w:rFonts w:ascii="宋体" w:hAnsi="宋体" w:eastAsia="宋体"/>
                <w:sz w:val="20"/>
              </w:rPr>
              <w:t>客户端</w:t>
            </w:r>
          </w:p>
        </w:tc>
        <w:tc>
          <w:tcPr>
            <w:tcW w:type="dxa" w:w="2078"/>
          </w:tcPr>
          <w:p>
            <w:r/>
            <w:r>
              <w:rPr>
                <w:rFonts w:ascii="宋体" w:hAnsi="宋体" w:eastAsia="宋体"/>
                <w:sz w:val="20"/>
              </w:rPr>
              <w:t>VR/AR SDK</w:t>
            </w:r>
          </w:p>
        </w:tc>
        <w:tc>
          <w:tcPr>
            <w:tcW w:type="dxa" w:w="2078"/>
          </w:tcPr>
          <w:p>
            <w:r/>
            <w:r>
              <w:rPr>
                <w:rFonts w:ascii="宋体" w:hAnsi="宋体" w:eastAsia="宋体"/>
                <w:sz w:val="20"/>
              </w:rPr>
              <w:t>OpenXR / AR Foundation</w:t>
            </w:r>
          </w:p>
        </w:tc>
        <w:tc>
          <w:tcPr>
            <w:tcW w:type="dxa" w:w="2078"/>
          </w:tcPr>
          <w:p>
            <w:r/>
            <w:r>
              <w:rPr>
                <w:rFonts w:ascii="宋体" w:hAnsi="宋体" w:eastAsia="宋体"/>
                <w:sz w:val="20"/>
              </w:rPr>
            </w:r>
          </w:p>
        </w:tc>
      </w:tr>
      <w:tr>
        <w:tc>
          <w:tcPr>
            <w:tcW w:type="dxa" w:w="2078"/>
          </w:tcPr>
          <w:p>
            <w:r/>
            <w:r>
              <w:rPr>
                <w:rFonts w:ascii="宋体" w:hAnsi="宋体" w:eastAsia="宋体"/>
                <w:sz w:val="20"/>
              </w:rPr>
              <w:t>客户端</w:t>
            </w:r>
          </w:p>
        </w:tc>
        <w:tc>
          <w:tcPr>
            <w:tcW w:type="dxa" w:w="2078"/>
          </w:tcPr>
          <w:p>
            <w:r/>
            <w:r>
              <w:rPr>
                <w:rFonts w:ascii="宋体" w:hAnsi="宋体" w:eastAsia="宋体"/>
                <w:sz w:val="20"/>
              </w:rPr>
              <w:t>UI 框架</w:t>
            </w:r>
          </w:p>
        </w:tc>
        <w:tc>
          <w:tcPr>
            <w:tcW w:type="dxa" w:w="2078"/>
          </w:tcPr>
          <w:p>
            <w:r/>
            <w:r>
              <w:rPr>
                <w:rFonts w:ascii="宋体" w:hAnsi="宋体" w:eastAsia="宋体"/>
                <w:sz w:val="20"/>
              </w:rPr>
              <w:t>Unity UI Toolkit / NGO</w:t>
            </w:r>
          </w:p>
        </w:tc>
        <w:tc>
          <w:tcPr>
            <w:tcW w:type="dxa" w:w="2078"/>
          </w:tcPr>
          <w:p>
            <w:r/>
            <w:r>
              <w:rPr>
                <w:rFonts w:ascii="宋体" w:hAnsi="宋体" w:eastAsia="宋体"/>
                <w:sz w:val="20"/>
              </w:rPr>
            </w:r>
          </w:p>
        </w:tc>
      </w:tr>
      <w:tr>
        <w:tc>
          <w:tcPr>
            <w:tcW w:type="dxa" w:w="2078"/>
          </w:tcPr>
          <w:p>
            <w:r/>
            <w:r>
              <w:rPr>
                <w:rFonts w:ascii="宋体" w:hAnsi="宋体" w:eastAsia="宋体"/>
                <w:sz w:val="20"/>
              </w:rPr>
              <w:t>服务端</w:t>
            </w:r>
          </w:p>
        </w:tc>
        <w:tc>
          <w:tcPr>
            <w:tcW w:type="dxa" w:w="2078"/>
          </w:tcPr>
          <w:p>
            <w:r/>
            <w:r>
              <w:rPr>
                <w:rFonts w:ascii="宋体" w:hAnsi="宋体" w:eastAsia="宋体"/>
                <w:sz w:val="20"/>
              </w:rPr>
              <w:t>API 服务</w:t>
            </w:r>
          </w:p>
        </w:tc>
        <w:tc>
          <w:tcPr>
            <w:tcW w:type="dxa" w:w="2078"/>
          </w:tcPr>
          <w:p>
            <w:r/>
            <w:r>
              <w:rPr>
                <w:rFonts w:ascii="宋体" w:hAnsi="宋体" w:eastAsia="宋体"/>
                <w:sz w:val="20"/>
              </w:rPr>
              <w:t>Node.js / Python Flask</w:t>
            </w:r>
          </w:p>
        </w:tc>
        <w:tc>
          <w:tcPr>
            <w:tcW w:type="dxa" w:w="2078"/>
          </w:tcPr>
          <w:p>
            <w:r/>
            <w:r>
              <w:rPr>
                <w:rFonts w:ascii="宋体" w:hAnsi="宋体" w:eastAsia="宋体"/>
                <w:sz w:val="20"/>
              </w:rPr>
            </w:r>
          </w:p>
        </w:tc>
      </w:tr>
      <w:tr>
        <w:tc>
          <w:tcPr>
            <w:tcW w:type="dxa" w:w="2078"/>
          </w:tcPr>
          <w:p>
            <w:r/>
            <w:r>
              <w:rPr>
                <w:rFonts w:ascii="宋体" w:hAnsi="宋体" w:eastAsia="宋体"/>
                <w:sz w:val="20"/>
              </w:rPr>
              <w:t>服务端</w:t>
            </w:r>
          </w:p>
        </w:tc>
        <w:tc>
          <w:tcPr>
            <w:tcW w:type="dxa" w:w="2078"/>
          </w:tcPr>
          <w:p>
            <w:r/>
            <w:r>
              <w:rPr>
                <w:rFonts w:ascii="宋体" w:hAnsi="宋体" w:eastAsia="宋体"/>
                <w:sz w:val="20"/>
              </w:rPr>
              <w:t>数据库</w:t>
            </w:r>
          </w:p>
        </w:tc>
        <w:tc>
          <w:tcPr>
            <w:tcW w:type="dxa" w:w="2078"/>
          </w:tcPr>
          <w:p>
            <w:r/>
            <w:r>
              <w:rPr>
                <w:rFonts w:ascii="宋体" w:hAnsi="宋体" w:eastAsia="宋体"/>
                <w:sz w:val="20"/>
              </w:rPr>
              <w:t>MongoDB / PostgreSQL</w:t>
            </w:r>
          </w:p>
        </w:tc>
        <w:tc>
          <w:tcPr>
            <w:tcW w:type="dxa" w:w="2078"/>
          </w:tcPr>
          <w:p>
            <w:r/>
            <w:r>
              <w:rPr>
                <w:rFonts w:ascii="宋体" w:hAnsi="宋体" w:eastAsia="宋体"/>
                <w:sz w:val="20"/>
              </w:rPr>
            </w:r>
          </w:p>
        </w:tc>
      </w:tr>
      <w:tr>
        <w:tc>
          <w:tcPr>
            <w:tcW w:type="dxa" w:w="2078"/>
          </w:tcPr>
          <w:p>
            <w:r/>
            <w:r>
              <w:rPr>
                <w:rFonts w:ascii="宋体" w:hAnsi="宋体" w:eastAsia="宋体"/>
                <w:sz w:val="20"/>
              </w:rPr>
              <w:t>服务端</w:t>
            </w:r>
          </w:p>
        </w:tc>
        <w:tc>
          <w:tcPr>
            <w:tcW w:type="dxa" w:w="2078"/>
          </w:tcPr>
          <w:p>
            <w:r/>
            <w:r>
              <w:rPr>
                <w:rFonts w:ascii="宋体" w:hAnsi="宋体" w:eastAsia="宋体"/>
                <w:sz w:val="20"/>
              </w:rPr>
              <w:t>缓存</w:t>
            </w:r>
          </w:p>
        </w:tc>
        <w:tc>
          <w:tcPr>
            <w:tcW w:type="dxa" w:w="2078"/>
          </w:tcPr>
          <w:p>
            <w:r/>
            <w:r>
              <w:rPr>
                <w:rFonts w:ascii="宋体" w:hAnsi="宋体" w:eastAsia="宋体"/>
                <w:sz w:val="20"/>
              </w:rPr>
              <w:t>Redis</w:t>
            </w:r>
          </w:p>
        </w:tc>
        <w:tc>
          <w:tcPr>
            <w:tcW w:type="dxa" w:w="2078"/>
          </w:tcPr>
          <w:p>
            <w:r/>
            <w:r>
              <w:rPr>
                <w:rFonts w:ascii="宋体" w:hAnsi="宋体" w:eastAsia="宋体"/>
                <w:sz w:val="20"/>
              </w:rPr>
            </w:r>
          </w:p>
        </w:tc>
      </w:tr>
      <w:tr>
        <w:tc>
          <w:tcPr>
            <w:tcW w:type="dxa" w:w="2078"/>
          </w:tcPr>
          <w:p>
            <w:r/>
            <w:r>
              <w:rPr>
                <w:rFonts w:ascii="宋体" w:hAnsi="宋体" w:eastAsia="宋体"/>
                <w:sz w:val="20"/>
              </w:rPr>
              <w:t>网络</w:t>
            </w:r>
          </w:p>
        </w:tc>
        <w:tc>
          <w:tcPr>
            <w:tcW w:type="dxa" w:w="2078"/>
          </w:tcPr>
          <w:p>
            <w:r/>
            <w:r>
              <w:rPr>
                <w:rFonts w:ascii="宋体" w:hAnsi="宋体" w:eastAsia="宋体"/>
                <w:sz w:val="20"/>
              </w:rPr>
              <w:t>多人同步</w:t>
            </w:r>
          </w:p>
        </w:tc>
        <w:tc>
          <w:tcPr>
            <w:tcW w:type="dxa" w:w="2078"/>
          </w:tcPr>
          <w:p>
            <w:r/>
            <w:r>
              <w:rPr>
                <w:rFonts w:ascii="宋体" w:hAnsi="宋体" w:eastAsia="宋体"/>
                <w:sz w:val="20"/>
              </w:rPr>
              <w:t>Photon Fusion / Mirror</w:t>
            </w:r>
          </w:p>
        </w:tc>
        <w:tc>
          <w:tcPr>
            <w:tcW w:type="dxa" w:w="2078"/>
          </w:tcPr>
          <w:p>
            <w:r/>
            <w:r>
              <w:rPr>
                <w:rFonts w:ascii="宋体" w:hAnsi="宋体" w:eastAsia="宋体"/>
                <w:sz w:val="20"/>
              </w:rPr>
            </w:r>
          </w:p>
        </w:tc>
      </w:tr>
      <w:tr>
        <w:tc>
          <w:tcPr>
            <w:tcW w:type="dxa" w:w="2078"/>
          </w:tcPr>
          <w:p>
            <w:r/>
            <w:r>
              <w:rPr>
                <w:rFonts w:ascii="宋体" w:hAnsi="宋体" w:eastAsia="宋体"/>
                <w:sz w:val="20"/>
              </w:rPr>
              <w:t>AI</w:t>
            </w:r>
          </w:p>
        </w:tc>
        <w:tc>
          <w:tcPr>
            <w:tcW w:type="dxa" w:w="2078"/>
          </w:tcPr>
          <w:p>
            <w:r/>
            <w:r>
              <w:rPr>
                <w:rFonts w:ascii="宋体" w:hAnsi="宋体" w:eastAsia="宋体"/>
                <w:sz w:val="20"/>
              </w:rPr>
              <w:t>大语言模型</w:t>
            </w:r>
          </w:p>
        </w:tc>
        <w:tc>
          <w:tcPr>
            <w:tcW w:type="dxa" w:w="2078"/>
          </w:tcPr>
          <w:p>
            <w:r/>
            <w:r>
              <w:rPr>
                <w:rFonts w:ascii="宋体" w:hAnsi="宋体" w:eastAsia="宋体"/>
                <w:sz w:val="20"/>
              </w:rPr>
              <w:t>DeepSeek / GPT-4 API</w:t>
            </w:r>
          </w:p>
        </w:tc>
        <w:tc>
          <w:tcPr>
            <w:tcW w:type="dxa" w:w="2078"/>
          </w:tcPr>
          <w:p>
            <w:r/>
            <w:r>
              <w:rPr>
                <w:rFonts w:ascii="宋体" w:hAnsi="宋体" w:eastAsia="宋体"/>
                <w:sz w:val="20"/>
              </w:rPr>
            </w:r>
          </w:p>
        </w:tc>
      </w:tr>
      <w:tr>
        <w:tc>
          <w:tcPr>
            <w:tcW w:type="dxa" w:w="2078"/>
          </w:tcPr>
          <w:p>
            <w:r/>
            <w:r>
              <w:rPr>
                <w:rFonts w:ascii="宋体" w:hAnsi="宋体" w:eastAsia="宋体"/>
                <w:sz w:val="20"/>
              </w:rPr>
              <w:t>部署</w:t>
            </w:r>
          </w:p>
        </w:tc>
        <w:tc>
          <w:tcPr>
            <w:tcW w:type="dxa" w:w="2078"/>
          </w:tcPr>
          <w:p>
            <w:r/>
            <w:r>
              <w:rPr>
                <w:rFonts w:ascii="宋体" w:hAnsi="宋体" w:eastAsia="宋体"/>
                <w:sz w:val="20"/>
              </w:rPr>
              <w:t>CDN</w:t>
            </w:r>
          </w:p>
        </w:tc>
        <w:tc>
          <w:tcPr>
            <w:tcW w:type="dxa" w:w="2078"/>
          </w:tcPr>
          <w:p>
            <w:r/>
            <w:r>
              <w:rPr>
                <w:rFonts w:ascii="宋体" w:hAnsi="宋体" w:eastAsia="宋体"/>
                <w:sz w:val="20"/>
              </w:rPr>
              <w:t>阿里云CDN / 腾讯云CDN</w:t>
            </w:r>
          </w:p>
        </w:tc>
        <w:tc>
          <w:tcPr>
            <w:tcW w:type="dxa" w:w="2078"/>
          </w:tcPr>
          <w:p>
            <w:r/>
            <w:r>
              <w:rPr>
                <w:rFonts w:ascii="宋体" w:hAnsi="宋体" w:eastAsia="宋体"/>
                <w:sz w:val="20"/>
              </w:rPr>
            </w:r>
          </w:p>
        </w:tc>
      </w:tr>
    </w:tbl>
    <w:p/>
    <w:p/>
    <w:p>
      <w:pPr>
        <w:pStyle w:val="Heading3"/>
      </w:pPr>
      <w:r>
        <w:t>D.3.2 性能预算</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资源类型</w:t>
            </w:r>
          </w:p>
        </w:tc>
        <w:tc>
          <w:tcPr>
            <w:tcW w:type="dxa" w:w="2078"/>
            <w:shd w:fill="D9E2F3" w:val="clear"/>
          </w:tcPr>
          <w:p>
            <w:pPr>
              <w:jc w:val="center"/>
            </w:pPr>
            <w:r/>
            <w:r>
              <w:rPr>
                <w:rFonts w:ascii="黑体" w:hAnsi="黑体" w:eastAsia="黑体"/>
                <w:b/>
                <w:sz w:val="20"/>
              </w:rPr>
              <w:t>VR平台</w:t>
            </w:r>
          </w:p>
        </w:tc>
        <w:tc>
          <w:tcPr>
            <w:tcW w:type="dxa" w:w="2078"/>
            <w:shd w:fill="D9E2F3" w:val="clear"/>
          </w:tcPr>
          <w:p>
            <w:pPr>
              <w:jc w:val="center"/>
            </w:pPr>
            <w:r/>
            <w:r>
              <w:rPr>
                <w:rFonts w:ascii="黑体" w:hAnsi="黑体" w:eastAsia="黑体"/>
                <w:b/>
                <w:sz w:val="20"/>
              </w:rPr>
              <w:t>PC平台</w:t>
            </w:r>
          </w:p>
        </w:tc>
        <w:tc>
          <w:tcPr>
            <w:tcW w:type="dxa" w:w="2078"/>
            <w:shd w:fill="D9E2F3" w:val="clear"/>
          </w:tcPr>
          <w:p>
            <w:pPr>
              <w:jc w:val="center"/>
            </w:pPr>
            <w:r/>
            <w:r>
              <w:rPr>
                <w:rFonts w:ascii="黑体" w:hAnsi="黑体" w:eastAsia="黑体"/>
                <w:b/>
                <w:sz w:val="20"/>
              </w:rPr>
              <w:t>移动平台</w:t>
            </w:r>
          </w:p>
        </w:tc>
      </w:tr>
      <w:tr>
        <w:tc>
          <w:tcPr>
            <w:tcW w:type="dxa" w:w="2078"/>
          </w:tcPr>
          <w:p>
            <w:r/>
            <w:r>
              <w:rPr>
                <w:rFonts w:ascii="宋体" w:hAnsi="宋体" w:eastAsia="宋体"/>
                <w:sz w:val="20"/>
              </w:rPr>
              <w:t>目标帧率</w:t>
            </w:r>
          </w:p>
        </w:tc>
        <w:tc>
          <w:tcPr>
            <w:tcW w:type="dxa" w:w="2078"/>
          </w:tcPr>
          <w:p>
            <w:r/>
            <w:r>
              <w:rPr>
                <w:rFonts w:ascii="宋体" w:hAnsi="宋体" w:eastAsia="宋体"/>
                <w:sz w:val="20"/>
              </w:rPr>
              <w:t>72fps</w:t>
            </w:r>
          </w:p>
        </w:tc>
        <w:tc>
          <w:tcPr>
            <w:tcW w:type="dxa" w:w="2078"/>
          </w:tcPr>
          <w:p>
            <w:r/>
            <w:r>
              <w:rPr>
                <w:rFonts w:ascii="宋体" w:hAnsi="宋体" w:eastAsia="宋体"/>
                <w:sz w:val="20"/>
              </w:rPr>
              <w:t>60fps</w:t>
            </w:r>
          </w:p>
        </w:tc>
        <w:tc>
          <w:tcPr>
            <w:tcW w:type="dxa" w:w="2078"/>
          </w:tcPr>
          <w:p>
            <w:r/>
            <w:r>
              <w:rPr>
                <w:rFonts w:ascii="宋体" w:hAnsi="宋体" w:eastAsia="宋体"/>
                <w:sz w:val="20"/>
              </w:rPr>
              <w:t>30fps</w:t>
            </w:r>
          </w:p>
        </w:tc>
      </w:tr>
      <w:tr>
        <w:tc>
          <w:tcPr>
            <w:tcW w:type="dxa" w:w="2078"/>
          </w:tcPr>
          <w:p>
            <w:r/>
            <w:r>
              <w:rPr>
                <w:rFonts w:ascii="宋体" w:hAnsi="宋体" w:eastAsia="宋体"/>
                <w:sz w:val="20"/>
              </w:rPr>
              <w:t>渲染预算</w:t>
            </w:r>
          </w:p>
        </w:tc>
        <w:tc>
          <w:tcPr>
            <w:tcW w:type="dxa" w:w="2078"/>
          </w:tcPr>
          <w:p>
            <w:r/>
            <w:r>
              <w:rPr>
                <w:rFonts w:ascii="宋体" w:hAnsi="宋体" w:eastAsia="宋体"/>
                <w:sz w:val="20"/>
              </w:rPr>
              <w:t>13ms/帧</w:t>
            </w:r>
          </w:p>
        </w:tc>
        <w:tc>
          <w:tcPr>
            <w:tcW w:type="dxa" w:w="2078"/>
          </w:tcPr>
          <w:p>
            <w:r/>
            <w:r>
              <w:rPr>
                <w:rFonts w:ascii="宋体" w:hAnsi="宋体" w:eastAsia="宋体"/>
                <w:sz w:val="20"/>
              </w:rPr>
              <w:t>16ms/帧</w:t>
            </w:r>
          </w:p>
        </w:tc>
        <w:tc>
          <w:tcPr>
            <w:tcW w:type="dxa" w:w="2078"/>
          </w:tcPr>
          <w:p>
            <w:r/>
            <w:r>
              <w:rPr>
                <w:rFonts w:ascii="宋体" w:hAnsi="宋体" w:eastAsia="宋体"/>
                <w:sz w:val="20"/>
              </w:rPr>
              <w:t>33ms/帧</w:t>
            </w:r>
          </w:p>
        </w:tc>
      </w:tr>
      <w:tr>
        <w:tc>
          <w:tcPr>
            <w:tcW w:type="dxa" w:w="2078"/>
          </w:tcPr>
          <w:p>
            <w:r/>
            <w:r>
              <w:rPr>
                <w:rFonts w:ascii="宋体" w:hAnsi="宋体" w:eastAsia="宋体"/>
                <w:sz w:val="20"/>
              </w:rPr>
              <w:t>内存限制</w:t>
            </w:r>
          </w:p>
        </w:tc>
        <w:tc>
          <w:tcPr>
            <w:tcW w:type="dxa" w:w="2078"/>
          </w:tcPr>
          <w:p>
            <w:r/>
            <w:r>
              <w:rPr>
                <w:rFonts w:ascii="宋体" w:hAnsi="宋体" w:eastAsia="宋体"/>
                <w:sz w:val="20"/>
              </w:rPr>
              <w:t>8GB</w:t>
            </w:r>
          </w:p>
        </w:tc>
        <w:tc>
          <w:tcPr>
            <w:tcW w:type="dxa" w:w="2078"/>
          </w:tcPr>
          <w:p>
            <w:r/>
            <w:r>
              <w:rPr>
                <w:rFonts w:ascii="宋体" w:hAnsi="宋体" w:eastAsia="宋体"/>
                <w:sz w:val="20"/>
              </w:rPr>
              <w:t>16GB</w:t>
            </w:r>
          </w:p>
        </w:tc>
        <w:tc>
          <w:tcPr>
            <w:tcW w:type="dxa" w:w="2078"/>
          </w:tcPr>
          <w:p>
            <w:r/>
            <w:r>
              <w:rPr>
                <w:rFonts w:ascii="宋体" w:hAnsi="宋体" w:eastAsia="宋体"/>
                <w:sz w:val="20"/>
              </w:rPr>
              <w:t>2GB</w:t>
            </w:r>
          </w:p>
        </w:tc>
      </w:tr>
      <w:tr>
        <w:tc>
          <w:tcPr>
            <w:tcW w:type="dxa" w:w="2078"/>
          </w:tcPr>
          <w:p>
            <w:r/>
            <w:r>
              <w:rPr>
                <w:rFonts w:ascii="宋体" w:hAnsi="宋体" w:eastAsia="宋体"/>
                <w:sz w:val="20"/>
              </w:rPr>
              <w:t>纹理总内存</w:t>
            </w:r>
          </w:p>
        </w:tc>
        <w:tc>
          <w:tcPr>
            <w:tcW w:type="dxa" w:w="2078"/>
          </w:tcPr>
          <w:p>
            <w:r/>
            <w:r>
              <w:rPr>
                <w:rFonts w:ascii="宋体" w:hAnsi="宋体" w:eastAsia="宋体"/>
                <w:sz w:val="20"/>
              </w:rPr>
              <w:t>500MB</w:t>
            </w:r>
          </w:p>
        </w:tc>
        <w:tc>
          <w:tcPr>
            <w:tcW w:type="dxa" w:w="2078"/>
          </w:tcPr>
          <w:p>
            <w:r/>
            <w:r>
              <w:rPr>
                <w:rFonts w:ascii="宋体" w:hAnsi="宋体" w:eastAsia="宋体"/>
                <w:sz w:val="20"/>
              </w:rPr>
              <w:t>1GB</w:t>
            </w:r>
          </w:p>
        </w:tc>
        <w:tc>
          <w:tcPr>
            <w:tcW w:type="dxa" w:w="2078"/>
          </w:tcPr>
          <w:p>
            <w:r/>
            <w:r>
              <w:rPr>
                <w:rFonts w:ascii="宋体" w:hAnsi="宋体" w:eastAsia="宋体"/>
                <w:sz w:val="20"/>
              </w:rPr>
              <w:t>100MB</w:t>
            </w:r>
          </w:p>
        </w:tc>
      </w:tr>
      <w:tr>
        <w:tc>
          <w:tcPr>
            <w:tcW w:type="dxa" w:w="2078"/>
          </w:tcPr>
          <w:p>
            <w:r/>
            <w:r>
              <w:rPr>
                <w:rFonts w:ascii="宋体" w:hAnsi="宋体" w:eastAsia="宋体"/>
                <w:sz w:val="20"/>
              </w:rPr>
              <w:t>Draw Call</w:t>
            </w:r>
          </w:p>
        </w:tc>
        <w:tc>
          <w:tcPr>
            <w:tcW w:type="dxa" w:w="2078"/>
          </w:tcPr>
          <w:p>
            <w:r/>
            <w:r>
              <w:rPr>
                <w:rFonts w:ascii="宋体" w:hAnsi="宋体" w:eastAsia="宋体"/>
                <w:sz w:val="20"/>
              </w:rPr>
              <w:t>&lt;200</w:t>
            </w:r>
          </w:p>
        </w:tc>
        <w:tc>
          <w:tcPr>
            <w:tcW w:type="dxa" w:w="2078"/>
          </w:tcPr>
          <w:p>
            <w:r/>
            <w:r>
              <w:rPr>
                <w:rFonts w:ascii="宋体" w:hAnsi="宋体" w:eastAsia="宋体"/>
                <w:sz w:val="20"/>
              </w:rPr>
              <w:t>&lt;500</w:t>
            </w:r>
          </w:p>
        </w:tc>
        <w:tc>
          <w:tcPr>
            <w:tcW w:type="dxa" w:w="2078"/>
          </w:tcPr>
          <w:p>
            <w:r/>
            <w:r>
              <w:rPr>
                <w:rFonts w:ascii="宋体" w:hAnsi="宋体" w:eastAsia="宋体"/>
                <w:sz w:val="20"/>
              </w:rPr>
              <w:t>&lt;100</w:t>
            </w:r>
          </w:p>
        </w:tc>
      </w:tr>
      <w:tr>
        <w:tc>
          <w:tcPr>
            <w:tcW w:type="dxa" w:w="2078"/>
          </w:tcPr>
          <w:p>
            <w:r/>
            <w:r>
              <w:rPr>
                <w:rFonts w:ascii="宋体" w:hAnsi="宋体" w:eastAsia="宋体"/>
                <w:sz w:val="20"/>
              </w:rPr>
              <w:t>三角形数</w:t>
            </w:r>
          </w:p>
        </w:tc>
        <w:tc>
          <w:tcPr>
            <w:tcW w:type="dxa" w:w="2078"/>
          </w:tcPr>
          <w:p>
            <w:r/>
            <w:r>
              <w:rPr>
                <w:rFonts w:ascii="宋体" w:hAnsi="宋体" w:eastAsia="宋体"/>
                <w:sz w:val="20"/>
              </w:rPr>
              <w:t>&lt;500K/帧</w:t>
            </w:r>
          </w:p>
        </w:tc>
        <w:tc>
          <w:tcPr>
            <w:tcW w:type="dxa" w:w="2078"/>
          </w:tcPr>
          <w:p>
            <w:r/>
            <w:r>
              <w:rPr>
                <w:rFonts w:ascii="宋体" w:hAnsi="宋体" w:eastAsia="宋体"/>
                <w:sz w:val="20"/>
              </w:rPr>
              <w:t>&lt;2M/帧</w:t>
            </w:r>
          </w:p>
        </w:tc>
        <w:tc>
          <w:tcPr>
            <w:tcW w:type="dxa" w:w="2078"/>
          </w:tcPr>
          <w:p>
            <w:r/>
            <w:r>
              <w:rPr>
                <w:rFonts w:ascii="宋体" w:hAnsi="宋体" w:eastAsia="宋体"/>
                <w:sz w:val="20"/>
              </w:rPr>
              <w:t>&lt;100K/帧</w:t>
            </w:r>
          </w:p>
        </w:tc>
      </w:tr>
      <w:tr>
        <w:tc>
          <w:tcPr>
            <w:tcW w:type="dxa" w:w="2078"/>
          </w:tcPr>
          <w:p>
            <w:r/>
            <w:r>
              <w:rPr>
                <w:rFonts w:ascii="宋体" w:hAnsi="宋体" w:eastAsia="宋体"/>
                <w:sz w:val="20"/>
              </w:rPr>
              <w:t>纹理分辨率</w:t>
            </w:r>
          </w:p>
        </w:tc>
        <w:tc>
          <w:tcPr>
            <w:tcW w:type="dxa" w:w="2078"/>
          </w:tcPr>
          <w:p>
            <w:r/>
            <w:r>
              <w:rPr>
                <w:rFonts w:ascii="宋体" w:hAnsi="宋体" w:eastAsia="宋体"/>
                <w:sz w:val="20"/>
              </w:rPr>
              <w:t>4K</w:t>
            </w:r>
          </w:p>
        </w:tc>
        <w:tc>
          <w:tcPr>
            <w:tcW w:type="dxa" w:w="2078"/>
          </w:tcPr>
          <w:p>
            <w:r/>
            <w:r>
              <w:rPr>
                <w:rFonts w:ascii="宋体" w:hAnsi="宋体" w:eastAsia="宋体"/>
                <w:sz w:val="20"/>
              </w:rPr>
              <w:t>8K</w:t>
            </w:r>
          </w:p>
        </w:tc>
        <w:tc>
          <w:tcPr>
            <w:tcW w:type="dxa" w:w="2078"/>
          </w:tcPr>
          <w:p>
            <w:r/>
            <w:r>
              <w:rPr>
                <w:rFonts w:ascii="宋体" w:hAnsi="宋体" w:eastAsia="宋体"/>
                <w:sz w:val="20"/>
              </w:rPr>
              <w:t>2K</w:t>
            </w:r>
          </w:p>
        </w:tc>
      </w:tr>
    </w:tbl>
    <w:p/>
    <w:p/>
    <w:p>
      <w:pPr>
        <w:pStyle w:val="Heading2"/>
      </w:pPr>
      <w:r>
        <w:t>D.4 测试计划模板</w:t>
      </w:r>
    </w:p>
    <w:p/>
    <w:p>
      <w:pPr>
        <w:pStyle w:val="Heading3"/>
      </w:pPr>
      <w:r>
        <w:t>D.4.1 测试矩阵</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测试类型</w:t>
            </w:r>
          </w:p>
        </w:tc>
        <w:tc>
          <w:tcPr>
            <w:tcW w:type="dxa" w:w="1385"/>
            <w:shd w:fill="D9E2F3" w:val="clear"/>
          </w:tcPr>
          <w:p>
            <w:pPr>
              <w:jc w:val="center"/>
            </w:pPr>
            <w:r/>
            <w:r>
              <w:rPr>
                <w:rFonts w:ascii="黑体" w:hAnsi="黑体" w:eastAsia="黑体"/>
                <w:b/>
                <w:sz w:val="20"/>
              </w:rPr>
              <w:t>测试内容</w:t>
            </w:r>
          </w:p>
        </w:tc>
        <w:tc>
          <w:tcPr>
            <w:tcW w:type="dxa" w:w="1385"/>
            <w:shd w:fill="D9E2F3" w:val="clear"/>
          </w:tcPr>
          <w:p>
            <w:pPr>
              <w:jc w:val="center"/>
            </w:pPr>
            <w:r/>
            <w:r>
              <w:rPr>
                <w:rFonts w:ascii="黑体" w:hAnsi="黑体" w:eastAsia="黑体"/>
                <w:b/>
                <w:sz w:val="20"/>
              </w:rPr>
              <w:t>测试环境</w:t>
            </w:r>
          </w:p>
        </w:tc>
        <w:tc>
          <w:tcPr>
            <w:tcW w:type="dxa" w:w="1385"/>
            <w:shd w:fill="D9E2F3" w:val="clear"/>
          </w:tcPr>
          <w:p>
            <w:pPr>
              <w:jc w:val="center"/>
            </w:pPr>
            <w:r/>
            <w:r>
              <w:rPr>
                <w:rFonts w:ascii="黑体" w:hAnsi="黑体" w:eastAsia="黑体"/>
                <w:b/>
                <w:sz w:val="20"/>
              </w:rPr>
              <w:t>通过标准</w:t>
            </w:r>
          </w:p>
        </w:tc>
        <w:tc>
          <w:tcPr>
            <w:tcW w:type="dxa" w:w="1385"/>
            <w:shd w:fill="D9E2F3" w:val="clear"/>
          </w:tcPr>
          <w:p>
            <w:pPr>
              <w:jc w:val="center"/>
            </w:pPr>
            <w:r/>
            <w:r>
              <w:rPr>
                <w:rFonts w:ascii="黑体" w:hAnsi="黑体" w:eastAsia="黑体"/>
                <w:b/>
                <w:sz w:val="20"/>
              </w:rPr>
              <w:t>负责人</w:t>
            </w:r>
          </w:p>
        </w:tc>
        <w:tc>
          <w:tcPr>
            <w:tcW w:type="dxa" w:w="1385"/>
            <w:shd w:fill="D9E2F3" w:val="clear"/>
          </w:tcPr>
          <w:p>
            <w:pPr>
              <w:jc w:val="center"/>
            </w:pPr>
            <w:r/>
            <w:r>
              <w:rPr>
                <w:rFonts w:ascii="黑体" w:hAnsi="黑体" w:eastAsia="黑体"/>
                <w:b/>
                <w:sz w:val="20"/>
              </w:rPr>
              <w:t>状态</w:t>
            </w:r>
          </w:p>
        </w:tc>
      </w:tr>
      <w:tr>
        <w:tc>
          <w:tcPr>
            <w:tcW w:type="dxa" w:w="1385"/>
          </w:tcPr>
          <w:p>
            <w:r/>
            <w:r>
              <w:rPr>
                <w:rFonts w:ascii="宋体" w:hAnsi="宋体" w:eastAsia="宋体"/>
                <w:sz w:val="20"/>
              </w:rPr>
              <w:t>功能测试</w:t>
            </w:r>
          </w:p>
        </w:tc>
        <w:tc>
          <w:tcPr>
            <w:tcW w:type="dxa" w:w="1385"/>
          </w:tcPr>
          <w:p>
            <w:r/>
            <w:r>
              <w:rPr>
                <w:rFonts w:ascii="宋体" w:hAnsi="宋体" w:eastAsia="宋体"/>
                <w:sz w:val="20"/>
              </w:rPr>
              <w:t>所有交互功能正常</w:t>
            </w:r>
          </w:p>
        </w:tc>
        <w:tc>
          <w:tcPr>
            <w:tcW w:type="dxa" w:w="1385"/>
          </w:tcPr>
          <w:p>
            <w:r/>
            <w:r>
              <w:rPr>
                <w:rFonts w:ascii="宋体" w:hAnsi="宋体" w:eastAsia="宋体"/>
                <w:sz w:val="20"/>
              </w:rPr>
              <w:t>开发环境</w:t>
            </w:r>
          </w:p>
        </w:tc>
        <w:tc>
          <w:tcPr>
            <w:tcW w:type="dxa" w:w="1385"/>
          </w:tcPr>
          <w:p>
            <w:r/>
            <w:r>
              <w:rPr>
                <w:rFonts w:ascii="宋体" w:hAnsi="宋体" w:eastAsia="宋体"/>
                <w:sz w:val="20"/>
              </w:rPr>
              <w:t>100%通过</w:t>
            </w:r>
          </w:p>
        </w:tc>
        <w:tc>
          <w:tcPr>
            <w:tcW w:type="dxa" w:w="1385"/>
          </w:tcPr>
          <w:p>
            <w:r/>
            <w:r>
              <w:rPr>
                <w:rFonts w:ascii="宋体" w:hAnsi="宋体" w:eastAsia="宋体"/>
                <w:sz w:val="20"/>
              </w:rPr>
              <w:t>[姓名]</w:t>
            </w:r>
          </w:p>
        </w:tc>
        <w:tc>
          <w:tcPr>
            <w:tcW w:type="dxa" w:w="1385"/>
          </w:tcPr>
          <w:p>
            <w:r/>
            <w:r>
              <w:rPr>
                <w:rFonts w:ascii="宋体" w:hAnsi="宋体" w:eastAsia="宋体"/>
                <w:sz w:val="20"/>
              </w:rPr>
            </w:r>
          </w:p>
        </w:tc>
      </w:tr>
      <w:tr>
        <w:tc>
          <w:tcPr>
            <w:tcW w:type="dxa" w:w="1385"/>
          </w:tcPr>
          <w:p>
            <w:r/>
            <w:r>
              <w:rPr>
                <w:rFonts w:ascii="宋体" w:hAnsi="宋体" w:eastAsia="宋体"/>
                <w:sz w:val="20"/>
              </w:rPr>
              <w:t>性能测试</w:t>
            </w:r>
          </w:p>
        </w:tc>
        <w:tc>
          <w:tcPr>
            <w:tcW w:type="dxa" w:w="1385"/>
          </w:tcPr>
          <w:p>
            <w:r/>
            <w:r>
              <w:rPr>
                <w:rFonts w:ascii="宋体" w:hAnsi="宋体" w:eastAsia="宋体"/>
                <w:sz w:val="20"/>
              </w:rPr>
              <w:t>帧率、内存、加载时间</w:t>
            </w:r>
          </w:p>
        </w:tc>
        <w:tc>
          <w:tcPr>
            <w:tcW w:type="dxa" w:w="1385"/>
          </w:tcPr>
          <w:p>
            <w:r/>
            <w:r>
              <w:rPr>
                <w:rFonts w:ascii="宋体" w:hAnsi="宋体" w:eastAsia="宋体"/>
                <w:sz w:val="20"/>
              </w:rPr>
              <w:t>目标设备</w:t>
            </w:r>
          </w:p>
        </w:tc>
        <w:tc>
          <w:tcPr>
            <w:tcW w:type="dxa" w:w="1385"/>
          </w:tcPr>
          <w:p>
            <w:r/>
            <w:r>
              <w:rPr>
                <w:rFonts w:ascii="宋体" w:hAnsi="宋体" w:eastAsia="宋体"/>
                <w:sz w:val="20"/>
              </w:rPr>
              <w:t>达到性能预算</w:t>
            </w:r>
          </w:p>
        </w:tc>
        <w:tc>
          <w:tcPr>
            <w:tcW w:type="dxa" w:w="1385"/>
          </w:tcPr>
          <w:p>
            <w:r/>
            <w:r>
              <w:rPr>
                <w:rFonts w:ascii="宋体" w:hAnsi="宋体" w:eastAsia="宋体"/>
                <w:sz w:val="20"/>
              </w:rPr>
              <w:t>[姓名]</w:t>
            </w:r>
          </w:p>
        </w:tc>
        <w:tc>
          <w:tcPr>
            <w:tcW w:type="dxa" w:w="1385"/>
          </w:tcPr>
          <w:p>
            <w:r/>
            <w:r>
              <w:rPr>
                <w:rFonts w:ascii="宋体" w:hAnsi="宋体" w:eastAsia="宋体"/>
                <w:sz w:val="20"/>
              </w:rPr>
            </w:r>
          </w:p>
        </w:tc>
      </w:tr>
      <w:tr>
        <w:tc>
          <w:tcPr>
            <w:tcW w:type="dxa" w:w="1385"/>
          </w:tcPr>
          <w:p>
            <w:r/>
            <w:r>
              <w:rPr>
                <w:rFonts w:ascii="宋体" w:hAnsi="宋体" w:eastAsia="宋体"/>
                <w:sz w:val="20"/>
              </w:rPr>
              <w:t>兼容性测试</w:t>
            </w:r>
          </w:p>
        </w:tc>
        <w:tc>
          <w:tcPr>
            <w:tcW w:type="dxa" w:w="1385"/>
          </w:tcPr>
          <w:p>
            <w:r/>
            <w:r>
              <w:rPr>
                <w:rFonts w:ascii="宋体" w:hAnsi="宋体" w:eastAsia="宋体"/>
                <w:sz w:val="20"/>
              </w:rPr>
              <w:t>多设备运行正常</w:t>
            </w:r>
          </w:p>
        </w:tc>
        <w:tc>
          <w:tcPr>
            <w:tcW w:type="dxa" w:w="1385"/>
          </w:tcPr>
          <w:p>
            <w:r/>
            <w:r>
              <w:rPr>
                <w:rFonts w:ascii="宋体" w:hAnsi="宋体" w:eastAsia="宋体"/>
                <w:sz w:val="20"/>
              </w:rPr>
              <w:t>5+设备</w:t>
            </w:r>
          </w:p>
        </w:tc>
        <w:tc>
          <w:tcPr>
            <w:tcW w:type="dxa" w:w="1385"/>
          </w:tcPr>
          <w:p>
            <w:r/>
            <w:r>
              <w:rPr>
                <w:rFonts w:ascii="宋体" w:hAnsi="宋体" w:eastAsia="宋体"/>
                <w:sz w:val="20"/>
              </w:rPr>
              <w:t>无崩溃</w:t>
            </w:r>
          </w:p>
        </w:tc>
        <w:tc>
          <w:tcPr>
            <w:tcW w:type="dxa" w:w="1385"/>
          </w:tcPr>
          <w:p>
            <w:r/>
            <w:r>
              <w:rPr>
                <w:rFonts w:ascii="宋体" w:hAnsi="宋体" w:eastAsia="宋体"/>
                <w:sz w:val="20"/>
              </w:rPr>
              <w:t>[姓名]</w:t>
            </w:r>
          </w:p>
        </w:tc>
        <w:tc>
          <w:tcPr>
            <w:tcW w:type="dxa" w:w="1385"/>
          </w:tcPr>
          <w:p>
            <w:r/>
            <w:r>
              <w:rPr>
                <w:rFonts w:ascii="宋体" w:hAnsi="宋体" w:eastAsia="宋体"/>
                <w:sz w:val="20"/>
              </w:rPr>
            </w:r>
          </w:p>
        </w:tc>
      </w:tr>
      <w:tr>
        <w:tc>
          <w:tcPr>
            <w:tcW w:type="dxa" w:w="1385"/>
          </w:tcPr>
          <w:p>
            <w:r/>
            <w:r>
              <w:rPr>
                <w:rFonts w:ascii="宋体" w:hAnsi="宋体" w:eastAsia="宋体"/>
                <w:sz w:val="20"/>
              </w:rPr>
              <w:t>用户体验测试</w:t>
            </w:r>
          </w:p>
        </w:tc>
        <w:tc>
          <w:tcPr>
            <w:tcW w:type="dxa" w:w="1385"/>
          </w:tcPr>
          <w:p>
            <w:r/>
            <w:r>
              <w:rPr>
                <w:rFonts w:ascii="宋体" w:hAnsi="宋体" w:eastAsia="宋体"/>
                <w:sz w:val="20"/>
              </w:rPr>
              <w:t>任务完成率、满意度</w:t>
            </w:r>
          </w:p>
        </w:tc>
        <w:tc>
          <w:tcPr>
            <w:tcW w:type="dxa" w:w="1385"/>
          </w:tcPr>
          <w:p>
            <w:r/>
            <w:r>
              <w:rPr>
                <w:rFonts w:ascii="宋体" w:hAnsi="宋体" w:eastAsia="宋体"/>
                <w:sz w:val="20"/>
              </w:rPr>
              <w:t>真实场景</w:t>
            </w:r>
          </w:p>
        </w:tc>
        <w:tc>
          <w:tcPr>
            <w:tcW w:type="dxa" w:w="1385"/>
          </w:tcPr>
          <w:p>
            <w:r/>
            <w:r>
              <w:rPr>
                <w:rFonts w:ascii="宋体" w:hAnsi="宋体" w:eastAsia="宋体"/>
                <w:sz w:val="20"/>
              </w:rPr>
              <w:t>满意度≥4.0</w:t>
            </w:r>
          </w:p>
        </w:tc>
        <w:tc>
          <w:tcPr>
            <w:tcW w:type="dxa" w:w="1385"/>
          </w:tcPr>
          <w:p>
            <w:r/>
            <w:r>
              <w:rPr>
                <w:rFonts w:ascii="宋体" w:hAnsi="宋体" w:eastAsia="宋体"/>
                <w:sz w:val="20"/>
              </w:rPr>
              <w:t>[姓名]</w:t>
            </w:r>
          </w:p>
        </w:tc>
        <w:tc>
          <w:tcPr>
            <w:tcW w:type="dxa" w:w="1385"/>
          </w:tcPr>
          <w:p>
            <w:r/>
            <w:r>
              <w:rPr>
                <w:rFonts w:ascii="宋体" w:hAnsi="宋体" w:eastAsia="宋体"/>
                <w:sz w:val="20"/>
              </w:rPr>
            </w:r>
          </w:p>
        </w:tc>
      </w:tr>
      <w:tr>
        <w:tc>
          <w:tcPr>
            <w:tcW w:type="dxa" w:w="1385"/>
          </w:tcPr>
          <w:p>
            <w:r/>
            <w:r>
              <w:rPr>
                <w:rFonts w:ascii="宋体" w:hAnsi="宋体" w:eastAsia="宋体"/>
                <w:sz w:val="20"/>
              </w:rPr>
              <w:t>文化准确性</w:t>
            </w:r>
          </w:p>
        </w:tc>
        <w:tc>
          <w:tcPr>
            <w:tcW w:type="dxa" w:w="1385"/>
          </w:tcPr>
          <w:p>
            <w:r/>
            <w:r>
              <w:rPr>
                <w:rFonts w:ascii="宋体" w:hAnsi="宋体" w:eastAsia="宋体"/>
                <w:sz w:val="20"/>
              </w:rPr>
              <w:t>文化内容准确</w:t>
            </w:r>
          </w:p>
        </w:tc>
        <w:tc>
          <w:tcPr>
            <w:tcW w:type="dxa" w:w="1385"/>
          </w:tcPr>
          <w:p>
            <w:r/>
            <w:r>
              <w:rPr>
                <w:rFonts w:ascii="宋体" w:hAnsi="宋体" w:eastAsia="宋体"/>
                <w:sz w:val="20"/>
              </w:rPr>
              <w:t>专家审核</w:t>
            </w:r>
          </w:p>
        </w:tc>
        <w:tc>
          <w:tcPr>
            <w:tcW w:type="dxa" w:w="1385"/>
          </w:tcPr>
          <w:p>
            <w:r/>
            <w:r>
              <w:rPr>
                <w:rFonts w:ascii="宋体" w:hAnsi="宋体" w:eastAsia="宋体"/>
                <w:sz w:val="20"/>
              </w:rPr>
              <w:t>专家认可</w:t>
            </w:r>
          </w:p>
        </w:tc>
        <w:tc>
          <w:tcPr>
            <w:tcW w:type="dxa" w:w="1385"/>
          </w:tcPr>
          <w:p>
            <w:r/>
            <w:r>
              <w:rPr>
                <w:rFonts w:ascii="宋体" w:hAnsi="宋体" w:eastAsia="宋体"/>
                <w:sz w:val="20"/>
              </w:rPr>
              <w:t>[姓名]</w:t>
            </w:r>
          </w:p>
        </w:tc>
        <w:tc>
          <w:tcPr>
            <w:tcW w:type="dxa" w:w="1385"/>
          </w:tcPr>
          <w:p>
            <w:r/>
            <w:r>
              <w:rPr>
                <w:rFonts w:ascii="宋体" w:hAnsi="宋体" w:eastAsia="宋体"/>
                <w:sz w:val="20"/>
              </w:rPr>
            </w:r>
          </w:p>
        </w:tc>
      </w:tr>
    </w:tbl>
    <w:p/>
    <w:p/>
    <w:p>
      <w:pPr>
        <w:pStyle w:val="Heading3"/>
      </w:pPr>
      <w:r>
        <w:t>D.4.2 用户测试任务设计</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任务编号</w:t>
            </w:r>
          </w:p>
        </w:tc>
        <w:tc>
          <w:tcPr>
            <w:tcW w:type="dxa" w:w="1662"/>
            <w:shd w:fill="D9E2F3" w:val="clear"/>
          </w:tcPr>
          <w:p>
            <w:pPr>
              <w:jc w:val="center"/>
            </w:pPr>
            <w:r/>
            <w:r>
              <w:rPr>
                <w:rFonts w:ascii="黑体" w:hAnsi="黑体" w:eastAsia="黑体"/>
                <w:b/>
                <w:sz w:val="20"/>
              </w:rPr>
              <w:t>任务描述</w:t>
            </w:r>
          </w:p>
        </w:tc>
        <w:tc>
          <w:tcPr>
            <w:tcW w:type="dxa" w:w="1662"/>
            <w:shd w:fill="D9E2F3" w:val="clear"/>
          </w:tcPr>
          <w:p>
            <w:pPr>
              <w:jc w:val="center"/>
            </w:pPr>
            <w:r/>
            <w:r>
              <w:rPr>
                <w:rFonts w:ascii="黑体" w:hAnsi="黑体" w:eastAsia="黑体"/>
                <w:b/>
                <w:sz w:val="20"/>
              </w:rPr>
              <w:t>任务目标</w:t>
            </w:r>
          </w:p>
        </w:tc>
        <w:tc>
          <w:tcPr>
            <w:tcW w:type="dxa" w:w="1662"/>
            <w:shd w:fill="D9E2F3" w:val="clear"/>
          </w:tcPr>
          <w:p>
            <w:pPr>
              <w:jc w:val="center"/>
            </w:pPr>
            <w:r/>
            <w:r>
              <w:rPr>
                <w:rFonts w:ascii="黑体" w:hAnsi="黑体" w:eastAsia="黑体"/>
                <w:b/>
                <w:sz w:val="20"/>
              </w:rPr>
              <w:t>预期时间</w:t>
            </w:r>
          </w:p>
        </w:tc>
        <w:tc>
          <w:tcPr>
            <w:tcW w:type="dxa" w:w="1662"/>
            <w:shd w:fill="D9E2F3" w:val="clear"/>
          </w:tcPr>
          <w:p>
            <w:pPr>
              <w:jc w:val="center"/>
            </w:pPr>
            <w:r/>
            <w:r>
              <w:rPr>
                <w:rFonts w:ascii="黑体" w:hAnsi="黑体" w:eastAsia="黑体"/>
                <w:b/>
                <w:sz w:val="20"/>
              </w:rPr>
              <w:t>成功标准</w:t>
            </w:r>
          </w:p>
        </w:tc>
      </w:tr>
      <w:tr>
        <w:tc>
          <w:tcPr>
            <w:tcW w:type="dxa" w:w="1662"/>
          </w:tcPr>
          <w:p>
            <w:r/>
            <w:r>
              <w:rPr>
                <w:rFonts w:ascii="宋体" w:hAnsi="宋体" w:eastAsia="宋体"/>
                <w:sz w:val="20"/>
              </w:rPr>
              <w:t>T001</w:t>
            </w:r>
          </w:p>
        </w:tc>
        <w:tc>
          <w:tcPr>
            <w:tcW w:type="dxa" w:w="1662"/>
          </w:tcPr>
          <w:p>
            <w:r/>
            <w:r>
              <w:rPr>
                <w:rFonts w:ascii="宋体" w:hAnsi="宋体" w:eastAsia="宋体"/>
                <w:sz w:val="20"/>
              </w:rPr>
              <w:t>[任务描述]</w:t>
            </w:r>
          </w:p>
        </w:tc>
        <w:tc>
          <w:tcPr>
            <w:tcW w:type="dxa" w:w="1662"/>
          </w:tcPr>
          <w:p>
            <w:r/>
            <w:r>
              <w:rPr>
                <w:rFonts w:ascii="宋体" w:hAnsi="宋体" w:eastAsia="宋体"/>
                <w:sz w:val="20"/>
              </w:rPr>
              <w:t>[考察目标]</w:t>
            </w:r>
          </w:p>
        </w:tc>
        <w:tc>
          <w:tcPr>
            <w:tcW w:type="dxa" w:w="1662"/>
          </w:tcPr>
          <w:p>
            <w:r/>
            <w:r>
              <w:rPr>
                <w:rFonts w:ascii="宋体" w:hAnsi="宋体" w:eastAsia="宋体"/>
                <w:sz w:val="20"/>
              </w:rPr>
              <w:t>[秒]</w:t>
            </w:r>
          </w:p>
        </w:tc>
        <w:tc>
          <w:tcPr>
            <w:tcW w:type="dxa" w:w="1662"/>
          </w:tcPr>
          <w:p>
            <w:r/>
            <w:r>
              <w:rPr>
                <w:rFonts w:ascii="宋体" w:hAnsi="宋体" w:eastAsia="宋体"/>
                <w:sz w:val="20"/>
              </w:rPr>
              <w:t>[完成标准]</w:t>
            </w:r>
          </w:p>
        </w:tc>
      </w:tr>
    </w:tbl>
    <w:p/>
    <w:p/>
    <w:p>
      <w:pPr>
        <w:pStyle w:val="Heading2"/>
      </w:pPr>
      <w:r>
        <w:t>D.5 项目进度计划模板</w:t>
      </w:r>
    </w:p>
    <w:p/>
    <w:p>
      <w:pPr>
        <w:pStyle w:val="Heading3"/>
      </w:pPr>
      <w:r>
        <w:t>D.5.1 甘特图数据</w:t>
      </w:r>
    </w:p>
    <w:p/>
    <w:tbl>
      <w:tblPr>
        <w:tblStyle w:val="TableGrid"/>
        <w:tblW w:type="auto" w:w="0"/>
        <w:jc w:val="center"/>
        <w:tblLook w:firstColumn="1" w:firstRow="1" w:lastColumn="0" w:lastRow="0" w:noHBand="0" w:noVBand="1" w:val="04A0"/>
      </w:tblPr>
      <w:tblGrid>
        <w:gridCol w:w="1187"/>
        <w:gridCol w:w="1187"/>
        <w:gridCol w:w="1187"/>
        <w:gridCol w:w="1187"/>
        <w:gridCol w:w="1187"/>
        <w:gridCol w:w="1187"/>
        <w:gridCol w:w="1187"/>
      </w:tblGrid>
      <w:tr>
        <w:tc>
          <w:tcPr>
            <w:tcW w:type="dxa" w:w="1187"/>
            <w:shd w:fill="D9E2F3" w:val="clear"/>
          </w:tcPr>
          <w:p>
            <w:pPr>
              <w:jc w:val="center"/>
            </w:pPr>
            <w:r/>
            <w:r>
              <w:rPr>
                <w:rFonts w:ascii="黑体" w:hAnsi="黑体" w:eastAsia="黑体"/>
                <w:b/>
                <w:sz w:val="20"/>
              </w:rPr>
              <w:t>阶段</w:t>
            </w:r>
          </w:p>
        </w:tc>
        <w:tc>
          <w:tcPr>
            <w:tcW w:type="dxa" w:w="1187"/>
            <w:shd w:fill="D9E2F3" w:val="clear"/>
          </w:tcPr>
          <w:p>
            <w:pPr>
              <w:jc w:val="center"/>
            </w:pPr>
            <w:r/>
            <w:r>
              <w:rPr>
                <w:rFonts w:ascii="黑体" w:hAnsi="黑体" w:eastAsia="黑体"/>
                <w:b/>
                <w:sz w:val="20"/>
              </w:rPr>
              <w:t>任务</w:t>
            </w:r>
          </w:p>
        </w:tc>
        <w:tc>
          <w:tcPr>
            <w:tcW w:type="dxa" w:w="1187"/>
            <w:shd w:fill="D9E2F3" w:val="clear"/>
          </w:tcPr>
          <w:p>
            <w:pPr>
              <w:jc w:val="center"/>
            </w:pPr>
            <w:r/>
            <w:r>
              <w:rPr>
                <w:rFonts w:ascii="黑体" w:hAnsi="黑体" w:eastAsia="黑体"/>
                <w:b/>
                <w:sz w:val="20"/>
              </w:rPr>
              <w:t>开始</w:t>
            </w:r>
          </w:p>
        </w:tc>
        <w:tc>
          <w:tcPr>
            <w:tcW w:type="dxa" w:w="1187"/>
            <w:shd w:fill="D9E2F3" w:val="clear"/>
          </w:tcPr>
          <w:p>
            <w:pPr>
              <w:jc w:val="center"/>
            </w:pPr>
            <w:r/>
            <w:r>
              <w:rPr>
                <w:rFonts w:ascii="黑体" w:hAnsi="黑体" w:eastAsia="黑体"/>
                <w:b/>
                <w:sz w:val="20"/>
              </w:rPr>
              <w:t>结束</w:t>
            </w:r>
          </w:p>
        </w:tc>
        <w:tc>
          <w:tcPr>
            <w:tcW w:type="dxa" w:w="1187"/>
            <w:shd w:fill="D9E2F3" w:val="clear"/>
          </w:tcPr>
          <w:p>
            <w:pPr>
              <w:jc w:val="center"/>
            </w:pPr>
            <w:r/>
            <w:r>
              <w:rPr>
                <w:rFonts w:ascii="黑体" w:hAnsi="黑体" w:eastAsia="黑体"/>
                <w:b/>
                <w:sz w:val="20"/>
              </w:rPr>
              <w:t>负责人</w:t>
            </w:r>
          </w:p>
        </w:tc>
        <w:tc>
          <w:tcPr>
            <w:tcW w:type="dxa" w:w="1187"/>
            <w:shd w:fill="D9E2F3" w:val="clear"/>
          </w:tcPr>
          <w:p>
            <w:pPr>
              <w:jc w:val="center"/>
            </w:pPr>
            <w:r/>
            <w:r>
              <w:rPr>
                <w:rFonts w:ascii="黑体" w:hAnsi="黑体" w:eastAsia="黑体"/>
                <w:b/>
                <w:sz w:val="20"/>
              </w:rPr>
              <w:t>依赖</w:t>
            </w:r>
          </w:p>
        </w:tc>
        <w:tc>
          <w:tcPr>
            <w:tcW w:type="dxa" w:w="1187"/>
            <w:shd w:fill="D9E2F3" w:val="clear"/>
          </w:tcPr>
          <w:p>
            <w:pPr>
              <w:jc w:val="center"/>
            </w:pPr>
            <w:r/>
            <w:r>
              <w:rPr>
                <w:rFonts w:ascii="黑体" w:hAnsi="黑体" w:eastAsia="黑体"/>
                <w:b/>
                <w:sz w:val="20"/>
              </w:rPr>
              <w:t>交付物</w:t>
            </w:r>
          </w:p>
        </w:tc>
      </w:tr>
      <w:tr>
        <w:tc>
          <w:tcPr>
            <w:tcW w:type="dxa" w:w="1187"/>
          </w:tcPr>
          <w:p>
            <w:r/>
            <w:r>
              <w:rPr>
                <w:rFonts w:ascii="宋体" w:hAnsi="宋体" w:eastAsia="宋体"/>
                <w:sz w:val="20"/>
              </w:rPr>
              <w:t>P1</w:t>
            </w:r>
          </w:p>
        </w:tc>
        <w:tc>
          <w:tcPr>
            <w:tcW w:type="dxa" w:w="1187"/>
          </w:tcPr>
          <w:p>
            <w:r/>
            <w:r>
              <w:rPr>
                <w:rFonts w:ascii="宋体" w:hAnsi="宋体" w:eastAsia="宋体"/>
                <w:sz w:val="20"/>
              </w:rPr>
              <w:t>[任务名]</w:t>
            </w:r>
          </w:p>
        </w:tc>
        <w:tc>
          <w:tcPr>
            <w:tcW w:type="dxa" w:w="1187"/>
          </w:tcPr>
          <w:p>
            <w:r/>
            <w:r>
              <w:rPr>
                <w:rFonts w:ascii="宋体" w:hAnsi="宋体" w:eastAsia="宋体"/>
                <w:sz w:val="20"/>
              </w:rPr>
              <w:t>[日期]</w:t>
            </w:r>
          </w:p>
        </w:tc>
        <w:tc>
          <w:tcPr>
            <w:tcW w:type="dxa" w:w="1187"/>
          </w:tcPr>
          <w:p>
            <w:r/>
            <w:r>
              <w:rPr>
                <w:rFonts w:ascii="宋体" w:hAnsi="宋体" w:eastAsia="宋体"/>
                <w:sz w:val="20"/>
              </w:rPr>
              <w:t>[日期]</w:t>
            </w:r>
          </w:p>
        </w:tc>
        <w:tc>
          <w:tcPr>
            <w:tcW w:type="dxa" w:w="1187"/>
          </w:tcPr>
          <w:p>
            <w:r/>
            <w:r>
              <w:rPr>
                <w:rFonts w:ascii="宋体" w:hAnsi="宋体" w:eastAsia="宋体"/>
                <w:sz w:val="20"/>
              </w:rPr>
              <w:t>[姓名]</w:t>
            </w:r>
          </w:p>
        </w:tc>
        <w:tc>
          <w:tcPr>
            <w:tcW w:type="dxa" w:w="1187"/>
          </w:tcPr>
          <w:p>
            <w:r/>
            <w:r>
              <w:rPr>
                <w:rFonts w:ascii="宋体" w:hAnsi="宋体" w:eastAsia="宋体"/>
                <w:sz w:val="20"/>
              </w:rPr>
              <w:t>[依赖任务]</w:t>
            </w:r>
          </w:p>
        </w:tc>
        <w:tc>
          <w:tcPr>
            <w:tcW w:type="dxa" w:w="1187"/>
          </w:tcPr>
          <w:p>
            <w:r/>
            <w:r>
              <w:rPr>
                <w:rFonts w:ascii="宋体" w:hAnsi="宋体" w:eastAsia="宋体"/>
                <w:sz w:val="20"/>
              </w:rPr>
              <w:t>[交付物]</w:t>
            </w:r>
          </w:p>
        </w:tc>
      </w:tr>
    </w:tbl>
    <w:p/>
    <w:p/>
    <w:p>
      <w:pPr>
        <w:pStyle w:val="Heading3"/>
      </w:pPr>
      <w:r>
        <w:t>D.5.2 里程碑</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里程碑</w:t>
            </w:r>
          </w:p>
        </w:tc>
        <w:tc>
          <w:tcPr>
            <w:tcW w:type="dxa" w:w="2078"/>
            <w:shd w:fill="D9E2F3" w:val="clear"/>
          </w:tcPr>
          <w:p>
            <w:pPr>
              <w:jc w:val="center"/>
            </w:pPr>
            <w:r/>
            <w:r>
              <w:rPr>
                <w:rFonts w:ascii="黑体" w:hAnsi="黑体" w:eastAsia="黑体"/>
                <w:b/>
                <w:sz w:val="20"/>
              </w:rPr>
              <w:t>日期</w:t>
            </w:r>
          </w:p>
        </w:tc>
        <w:tc>
          <w:tcPr>
            <w:tcW w:type="dxa" w:w="2078"/>
            <w:shd w:fill="D9E2F3" w:val="clear"/>
          </w:tcPr>
          <w:p>
            <w:pPr>
              <w:jc w:val="center"/>
            </w:pPr>
            <w:r/>
            <w:r>
              <w:rPr>
                <w:rFonts w:ascii="黑体" w:hAnsi="黑体" w:eastAsia="黑体"/>
                <w:b/>
                <w:sz w:val="20"/>
              </w:rPr>
              <w:t>验收标准</w:t>
            </w:r>
          </w:p>
        </w:tc>
        <w:tc>
          <w:tcPr>
            <w:tcW w:type="dxa" w:w="2078"/>
            <w:shd w:fill="D9E2F3" w:val="clear"/>
          </w:tcPr>
          <w:p>
            <w:pPr>
              <w:jc w:val="center"/>
            </w:pPr>
            <w:r/>
            <w:r>
              <w:rPr>
                <w:rFonts w:ascii="黑体" w:hAnsi="黑体" w:eastAsia="黑体"/>
                <w:b/>
                <w:sz w:val="20"/>
              </w:rPr>
              <w:t>交付物</w:t>
            </w:r>
          </w:p>
        </w:tc>
      </w:tr>
      <w:tr>
        <w:tc>
          <w:tcPr>
            <w:tcW w:type="dxa" w:w="2078"/>
          </w:tcPr>
          <w:p>
            <w:r/>
            <w:r>
              <w:rPr>
                <w:rFonts w:ascii="宋体" w:hAnsi="宋体" w:eastAsia="宋体"/>
                <w:sz w:val="20"/>
              </w:rPr>
              <w:t>M1</w:t>
            </w:r>
          </w:p>
        </w:tc>
        <w:tc>
          <w:tcPr>
            <w:tcW w:type="dxa" w:w="2078"/>
          </w:tcPr>
          <w:p>
            <w:r/>
            <w:r>
              <w:rPr>
                <w:rFonts w:ascii="宋体" w:hAnsi="宋体" w:eastAsia="宋体"/>
                <w:sz w:val="20"/>
              </w:rPr>
              <w:t>[日期]</w:t>
            </w:r>
          </w:p>
        </w:tc>
        <w:tc>
          <w:tcPr>
            <w:tcW w:type="dxa" w:w="2078"/>
          </w:tcPr>
          <w:p>
            <w:r/>
            <w:r>
              <w:rPr>
                <w:rFonts w:ascii="宋体" w:hAnsi="宋体" w:eastAsia="宋体"/>
                <w:sz w:val="20"/>
              </w:rPr>
              <w:t>[标准]</w:t>
            </w:r>
          </w:p>
        </w:tc>
        <w:tc>
          <w:tcPr>
            <w:tcW w:type="dxa" w:w="2078"/>
          </w:tcPr>
          <w:p>
            <w:r/>
            <w:r>
              <w:rPr>
                <w:rFonts w:ascii="宋体" w:hAnsi="宋体" w:eastAsia="宋体"/>
                <w:sz w:val="20"/>
              </w:rPr>
              <w:t>[交付物]</w:t>
            </w:r>
          </w:p>
        </w:tc>
      </w:tr>
    </w:tbl>
    <w:p/>
    <w:p/>
    <w:p>
      <w:pPr>
        <w:pStyle w:val="Heading2"/>
      </w:pPr>
      <w:r>
        <w:t>D.6 评估量规模板</w:t>
      </w:r>
    </w:p>
    <w:p/>
    <w:p>
      <w:pPr>
        <w:pStyle w:val="Heading3"/>
      </w:pPr>
      <w:r>
        <w:t>D.6.1 VR/AR 项目评估量规</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评估维度</w:t>
            </w:r>
          </w:p>
        </w:tc>
        <w:tc>
          <w:tcPr>
            <w:tcW w:type="dxa" w:w="1662"/>
            <w:shd w:fill="D9E2F3" w:val="clear"/>
          </w:tcPr>
          <w:p>
            <w:pPr>
              <w:jc w:val="center"/>
            </w:pPr>
            <w:r/>
            <w:r>
              <w:rPr>
                <w:rFonts w:ascii="黑体" w:hAnsi="黑体" w:eastAsia="黑体"/>
                <w:b/>
                <w:sz w:val="20"/>
              </w:rPr>
              <w:t>优秀(90-100)</w:t>
            </w:r>
          </w:p>
        </w:tc>
        <w:tc>
          <w:tcPr>
            <w:tcW w:type="dxa" w:w="1662"/>
            <w:shd w:fill="D9E2F3" w:val="clear"/>
          </w:tcPr>
          <w:p>
            <w:pPr>
              <w:jc w:val="center"/>
            </w:pPr>
            <w:r/>
            <w:r>
              <w:rPr>
                <w:rFonts w:ascii="黑体" w:hAnsi="黑体" w:eastAsia="黑体"/>
                <w:b/>
                <w:sz w:val="20"/>
              </w:rPr>
              <w:t>良好(75-89)</w:t>
            </w:r>
          </w:p>
        </w:tc>
        <w:tc>
          <w:tcPr>
            <w:tcW w:type="dxa" w:w="1662"/>
            <w:shd w:fill="D9E2F3" w:val="clear"/>
          </w:tcPr>
          <w:p>
            <w:pPr>
              <w:jc w:val="center"/>
            </w:pPr>
            <w:r/>
            <w:r>
              <w:rPr>
                <w:rFonts w:ascii="黑体" w:hAnsi="黑体" w:eastAsia="黑体"/>
                <w:b/>
                <w:sz w:val="20"/>
              </w:rPr>
              <w:t>合格(60-74)</w:t>
            </w:r>
          </w:p>
        </w:tc>
        <w:tc>
          <w:tcPr>
            <w:tcW w:type="dxa" w:w="1662"/>
            <w:shd w:fill="D9E2F3" w:val="clear"/>
          </w:tcPr>
          <w:p>
            <w:pPr>
              <w:jc w:val="center"/>
            </w:pPr>
            <w:r/>
            <w:r>
              <w:rPr>
                <w:rFonts w:ascii="黑体" w:hAnsi="黑体" w:eastAsia="黑体"/>
                <w:b/>
                <w:sz w:val="20"/>
              </w:rPr>
              <w:t>不合格(&lt;60)</w:t>
            </w:r>
          </w:p>
        </w:tc>
      </w:tr>
      <w:tr>
        <w:tc>
          <w:tcPr>
            <w:tcW w:type="dxa" w:w="1662"/>
          </w:tcPr>
          <w:p>
            <w:r/>
            <w:r>
              <w:rPr>
                <w:rFonts w:ascii="宋体" w:hAnsi="宋体" w:eastAsia="宋体"/>
                <w:sz w:val="20"/>
              </w:rPr>
              <w:t>技术实现</w:t>
            </w:r>
          </w:p>
        </w:tc>
        <w:tc>
          <w:tcPr>
            <w:tcW w:type="dxa" w:w="1662"/>
          </w:tcPr>
          <w:p>
            <w:r/>
            <w:r>
              <w:rPr>
                <w:rFonts w:ascii="宋体" w:hAnsi="宋体" w:eastAsia="宋体"/>
                <w:sz w:val="20"/>
              </w:rPr>
              <w:t>功能完整,性能优秀,代码规范</w:t>
            </w:r>
          </w:p>
        </w:tc>
        <w:tc>
          <w:tcPr>
            <w:tcW w:type="dxa" w:w="1662"/>
          </w:tcPr>
          <w:p>
            <w:r/>
            <w:r>
              <w:rPr>
                <w:rFonts w:ascii="宋体" w:hAnsi="宋体" w:eastAsia="宋体"/>
                <w:sz w:val="20"/>
              </w:rPr>
              <w:t>功能完整,性能达标,代码基本规范</w:t>
            </w:r>
          </w:p>
        </w:tc>
        <w:tc>
          <w:tcPr>
            <w:tcW w:type="dxa" w:w="1662"/>
          </w:tcPr>
          <w:p>
            <w:r/>
            <w:r>
              <w:rPr>
                <w:rFonts w:ascii="宋体" w:hAnsi="宋体" w:eastAsia="宋体"/>
                <w:sz w:val="20"/>
              </w:rPr>
              <w:t>核心功能完整,性能一般</w:t>
            </w:r>
          </w:p>
        </w:tc>
        <w:tc>
          <w:tcPr>
            <w:tcW w:type="dxa" w:w="1662"/>
          </w:tcPr>
          <w:p>
            <w:r/>
            <w:r>
              <w:rPr>
                <w:rFonts w:ascii="宋体" w:hAnsi="宋体" w:eastAsia="宋体"/>
                <w:sz w:val="20"/>
              </w:rPr>
              <w:t>功能缺失,性能不达标</w:t>
            </w:r>
          </w:p>
        </w:tc>
      </w:tr>
      <w:tr>
        <w:tc>
          <w:tcPr>
            <w:tcW w:type="dxa" w:w="1662"/>
          </w:tcPr>
          <w:p>
            <w:r/>
            <w:r>
              <w:rPr>
                <w:rFonts w:ascii="宋体" w:hAnsi="宋体" w:eastAsia="宋体"/>
                <w:sz w:val="20"/>
              </w:rPr>
              <w:t>用户体验</w:t>
            </w:r>
          </w:p>
        </w:tc>
        <w:tc>
          <w:tcPr>
            <w:tcW w:type="dxa" w:w="1662"/>
          </w:tcPr>
          <w:p>
            <w:r/>
            <w:r>
              <w:rPr>
                <w:rFonts w:ascii="宋体" w:hAnsi="宋体" w:eastAsia="宋体"/>
                <w:sz w:val="20"/>
              </w:rPr>
              <w:t>交互流畅,界面美观,沉浸感强</w:t>
            </w:r>
          </w:p>
        </w:tc>
        <w:tc>
          <w:tcPr>
            <w:tcW w:type="dxa" w:w="1662"/>
          </w:tcPr>
          <w:p>
            <w:r/>
            <w:r>
              <w:rPr>
                <w:rFonts w:ascii="宋体" w:hAnsi="宋体" w:eastAsia="宋体"/>
                <w:sz w:val="20"/>
              </w:rPr>
              <w:t>交互顺畅,界面整洁,有一定沉浸感</w:t>
            </w:r>
          </w:p>
        </w:tc>
        <w:tc>
          <w:tcPr>
            <w:tcW w:type="dxa" w:w="1662"/>
          </w:tcPr>
          <w:p>
            <w:r/>
            <w:r>
              <w:rPr>
                <w:rFonts w:ascii="宋体" w:hAnsi="宋体" w:eastAsia="宋体"/>
                <w:sz w:val="20"/>
              </w:rPr>
              <w:t>交互可用,界面一般</w:t>
            </w:r>
          </w:p>
        </w:tc>
        <w:tc>
          <w:tcPr>
            <w:tcW w:type="dxa" w:w="1662"/>
          </w:tcPr>
          <w:p>
            <w:r/>
            <w:r>
              <w:rPr>
                <w:rFonts w:ascii="宋体" w:hAnsi="宋体" w:eastAsia="宋体"/>
                <w:sz w:val="20"/>
              </w:rPr>
              <w:t>交互困难,界面混乱</w:t>
            </w:r>
          </w:p>
        </w:tc>
      </w:tr>
      <w:tr>
        <w:tc>
          <w:tcPr>
            <w:tcW w:type="dxa" w:w="1662"/>
          </w:tcPr>
          <w:p>
            <w:r/>
            <w:r>
              <w:rPr>
                <w:rFonts w:ascii="宋体" w:hAnsi="宋体" w:eastAsia="宋体"/>
                <w:sz w:val="20"/>
              </w:rPr>
              <w:t>内容质量</w:t>
            </w:r>
          </w:p>
        </w:tc>
        <w:tc>
          <w:tcPr>
            <w:tcW w:type="dxa" w:w="1662"/>
          </w:tcPr>
          <w:p>
            <w:r/>
            <w:r>
              <w:rPr>
                <w:rFonts w:ascii="宋体" w:hAnsi="宋体" w:eastAsia="宋体"/>
                <w:sz w:val="20"/>
              </w:rPr>
              <w:t>内容丰富,文化准确,有深度</w:t>
            </w:r>
          </w:p>
        </w:tc>
        <w:tc>
          <w:tcPr>
            <w:tcW w:type="dxa" w:w="1662"/>
          </w:tcPr>
          <w:p>
            <w:r/>
            <w:r>
              <w:rPr>
                <w:rFonts w:ascii="宋体" w:hAnsi="宋体" w:eastAsia="宋体"/>
                <w:sz w:val="20"/>
              </w:rPr>
              <w:t>内容充实,基本准确</w:t>
            </w:r>
          </w:p>
        </w:tc>
        <w:tc>
          <w:tcPr>
            <w:tcW w:type="dxa" w:w="1662"/>
          </w:tcPr>
          <w:p>
            <w:r/>
            <w:r>
              <w:rPr>
                <w:rFonts w:ascii="宋体" w:hAnsi="宋体" w:eastAsia="宋体"/>
                <w:sz w:val="20"/>
              </w:rPr>
              <w:t>内容基本完整,有少量错误</w:t>
            </w:r>
          </w:p>
        </w:tc>
        <w:tc>
          <w:tcPr>
            <w:tcW w:type="dxa" w:w="1662"/>
          </w:tcPr>
          <w:p>
            <w:r/>
            <w:r>
              <w:rPr>
                <w:rFonts w:ascii="宋体" w:hAnsi="宋体" w:eastAsia="宋体"/>
                <w:sz w:val="20"/>
              </w:rPr>
              <w:t>内容不完整,有明显错误</w:t>
            </w:r>
          </w:p>
        </w:tc>
      </w:tr>
      <w:tr>
        <w:tc>
          <w:tcPr>
            <w:tcW w:type="dxa" w:w="1662"/>
          </w:tcPr>
          <w:p>
            <w:r/>
            <w:r>
              <w:rPr>
                <w:rFonts w:ascii="宋体" w:hAnsi="宋体" w:eastAsia="宋体"/>
                <w:sz w:val="20"/>
              </w:rPr>
              <w:t>文档规范</w:t>
            </w:r>
          </w:p>
        </w:tc>
        <w:tc>
          <w:tcPr>
            <w:tcW w:type="dxa" w:w="1662"/>
          </w:tcPr>
          <w:p>
            <w:r/>
            <w:r>
              <w:rPr>
                <w:rFonts w:ascii="宋体" w:hAnsi="宋体" w:eastAsia="宋体"/>
                <w:sz w:val="20"/>
              </w:rPr>
              <w:t>文档齐全,格式规范,内容详实</w:t>
            </w:r>
          </w:p>
        </w:tc>
        <w:tc>
          <w:tcPr>
            <w:tcW w:type="dxa" w:w="1662"/>
          </w:tcPr>
          <w:p>
            <w:r/>
            <w:r>
              <w:rPr>
                <w:rFonts w:ascii="宋体" w:hAnsi="宋体" w:eastAsia="宋体"/>
                <w:sz w:val="20"/>
              </w:rPr>
              <w:t>文档完整,格式基本规范</w:t>
            </w:r>
          </w:p>
        </w:tc>
        <w:tc>
          <w:tcPr>
            <w:tcW w:type="dxa" w:w="1662"/>
          </w:tcPr>
          <w:p>
            <w:r/>
            <w:r>
              <w:rPr>
                <w:rFonts w:ascii="宋体" w:hAnsi="宋体" w:eastAsia="宋体"/>
                <w:sz w:val="20"/>
              </w:rPr>
              <w:t>文档基本齐全,格式一般</w:t>
            </w:r>
          </w:p>
        </w:tc>
        <w:tc>
          <w:tcPr>
            <w:tcW w:type="dxa" w:w="1662"/>
          </w:tcPr>
          <w:p>
            <w:r/>
            <w:r>
              <w:rPr>
                <w:rFonts w:ascii="宋体" w:hAnsi="宋体" w:eastAsia="宋体"/>
                <w:sz w:val="20"/>
              </w:rPr>
              <w:t>文档缺失,格式混乱</w:t>
            </w:r>
          </w:p>
        </w:tc>
      </w:tr>
      <w:tr>
        <w:tc>
          <w:tcPr>
            <w:tcW w:type="dxa" w:w="1662"/>
          </w:tcPr>
          <w:p>
            <w:r/>
            <w:r>
              <w:rPr>
                <w:rFonts w:ascii="宋体" w:hAnsi="宋体" w:eastAsia="宋体"/>
                <w:sz w:val="20"/>
              </w:rPr>
              <w:t>团队协作</w:t>
            </w:r>
          </w:p>
        </w:tc>
        <w:tc>
          <w:tcPr>
            <w:tcW w:type="dxa" w:w="1662"/>
          </w:tcPr>
          <w:p>
            <w:r/>
            <w:r>
              <w:rPr>
                <w:rFonts w:ascii="宋体" w:hAnsi="宋体" w:eastAsia="宋体"/>
                <w:sz w:val="20"/>
              </w:rPr>
              <w:t>分工明确,沟通高效,协作顺畅</w:t>
            </w:r>
          </w:p>
        </w:tc>
        <w:tc>
          <w:tcPr>
            <w:tcW w:type="dxa" w:w="1662"/>
          </w:tcPr>
          <w:p>
            <w:r/>
            <w:r>
              <w:rPr>
                <w:rFonts w:ascii="宋体" w:hAnsi="宋体" w:eastAsia="宋体"/>
                <w:sz w:val="20"/>
              </w:rPr>
              <w:t>分工合理,沟通正常</w:t>
            </w:r>
          </w:p>
        </w:tc>
        <w:tc>
          <w:tcPr>
            <w:tcW w:type="dxa" w:w="1662"/>
          </w:tcPr>
          <w:p>
            <w:r/>
            <w:r>
              <w:rPr>
                <w:rFonts w:ascii="宋体" w:hAnsi="宋体" w:eastAsia="宋体"/>
                <w:sz w:val="20"/>
              </w:rPr>
              <w:t>分工基本合理,沟通一般</w:t>
            </w:r>
          </w:p>
        </w:tc>
        <w:tc>
          <w:tcPr>
            <w:tcW w:type="dxa" w:w="1662"/>
          </w:tcPr>
          <w:p>
            <w:r/>
            <w:r>
              <w:rPr>
                <w:rFonts w:ascii="宋体" w:hAnsi="宋体" w:eastAsia="宋体"/>
                <w:sz w:val="20"/>
              </w:rPr>
              <w:t>分工混乱,沟通困难</w:t>
            </w:r>
          </w:p>
        </w:tc>
      </w:tr>
    </w:tbl>
    <w:p/>
    <w:p/>
    <w:p/>
    <w:p/>
    <w:p>
      <w:pPr>
        <w:pStyle w:val="Heading2"/>
      </w:pPr>
      <w:r>
        <w:t>D.7 VR/AR 应用检查清单</w:t>
      </w:r>
    </w:p>
    <w:p/>
    <w:p>
      <w:pPr>
        <w:pStyle w:val="Heading3"/>
      </w:pPr>
      <w:r>
        <w:t>D.7.1 开发前检查清单</w:t>
      </w:r>
    </w:p>
    <w:p/>
    <w:p>
      <w:pPr>
        <w:pStyle w:val="ListBullet"/>
      </w:pPr>
      <w:r>
        <w:rPr>
          <w:rFonts w:ascii="宋体" w:hAnsi="宋体" w:eastAsia="宋体"/>
          <w:sz w:val="24"/>
        </w:rPr>
        <w:t>[ ] 需求规格说明书已获委托方签字确认</w:t>
      </w:r>
    </w:p>
    <w:p>
      <w:pPr>
        <w:pStyle w:val="ListBullet"/>
      </w:pPr>
      <w:r>
        <w:rPr>
          <w:rFonts w:ascii="宋体" w:hAnsi="宋体" w:eastAsia="宋体"/>
          <w:sz w:val="24"/>
        </w:rPr>
        <w:t>[ ] 技术方案已通过技术评审</w:t>
      </w:r>
    </w:p>
    <w:p>
      <w:pPr>
        <w:pStyle w:val="ListBullet"/>
      </w:pPr>
      <w:r>
        <w:rPr>
          <w:rFonts w:ascii="宋体" w:hAnsi="宋体" w:eastAsia="宋体"/>
          <w:sz w:val="24"/>
        </w:rPr>
        <w:t>[ ] 项目计划已制定并获得团队认可</w:t>
      </w:r>
    </w:p>
    <w:p>
      <w:pPr>
        <w:pStyle w:val="ListBullet"/>
      </w:pPr>
      <w:r>
        <w:rPr>
          <w:rFonts w:ascii="宋体" w:hAnsi="宋体" w:eastAsia="宋体"/>
          <w:sz w:val="24"/>
        </w:rPr>
        <w:t>[ ] 开发环境已搭建（引擎版本、SDK版本、依赖库）</w:t>
      </w:r>
    </w:p>
    <w:p>
      <w:pPr>
        <w:pStyle w:val="ListBullet"/>
      </w:pPr>
      <w:r>
        <w:rPr>
          <w:rFonts w:ascii="宋体" w:hAnsi="宋体" w:eastAsia="宋体"/>
          <w:sz w:val="24"/>
        </w:rPr>
        <w:t>[ ] 目标设备已准备并测试可用</w:t>
      </w:r>
    </w:p>
    <w:p>
      <w:pPr>
        <w:pStyle w:val="ListBullet"/>
      </w:pPr>
      <w:r>
        <w:rPr>
          <w:rFonts w:ascii="宋体" w:hAnsi="宋体" w:eastAsia="宋体"/>
          <w:sz w:val="24"/>
        </w:rPr>
        <w:t>[ ] 3D资产规范已制定并通知团队</w:t>
      </w:r>
    </w:p>
    <w:p>
      <w:pPr>
        <w:pStyle w:val="ListBullet"/>
      </w:pPr>
      <w:r>
        <w:rPr>
          <w:rFonts w:ascii="宋体" w:hAnsi="宋体" w:eastAsia="宋体"/>
          <w:sz w:val="24"/>
        </w:rPr>
        <w:t>[ ] 代码版本管理系统已配置</w:t>
      </w:r>
    </w:p>
    <w:p>
      <w:pPr>
        <w:pStyle w:val="ListBullet"/>
      </w:pPr>
      <w:r>
        <w:rPr>
          <w:rFonts w:ascii="宋体" w:hAnsi="宋体" w:eastAsia="宋体"/>
          <w:sz w:val="24"/>
        </w:rPr>
        <w:t>[ ] 每日构建流程已建立</w:t>
      </w:r>
    </w:p>
    <w:p>
      <w:pPr>
        <w:pStyle w:val="ListBullet"/>
      </w:pPr>
      <w:r>
        <w:rPr>
          <w:rFonts w:ascii="宋体" w:hAnsi="宋体" w:eastAsia="宋体"/>
          <w:sz w:val="24"/>
        </w:rPr>
        <w:t>[ ] 测试计划已制定</w:t>
      </w:r>
    </w:p>
    <w:p>
      <w:pPr>
        <w:pStyle w:val="ListBullet"/>
      </w:pPr>
      <w:r>
        <w:rPr>
          <w:rFonts w:ascii="宋体" w:hAnsi="宋体" w:eastAsia="宋体"/>
          <w:sz w:val="24"/>
        </w:rPr>
        <w:t>[ ] 风险清单已识别并有应对方案</w:t>
      </w:r>
    </w:p>
    <w:p/>
    <w:p>
      <w:pPr>
        <w:pStyle w:val="Heading3"/>
      </w:pPr>
      <w:r>
        <w:t>D.7.2 VR 应用发布前检查清单</w:t>
      </w:r>
    </w:p>
    <w:p/>
    <w:p>
      <w:pPr>
        <w:ind w:firstLine="482"/>
      </w:pPr>
      <w:r>
        <w:rPr>
          <w:rFonts w:ascii="宋体" w:hAnsi="宋体" w:eastAsia="宋体"/>
          <w:b/>
          <w:sz w:val="24"/>
        </w:rPr>
        <w:t>视觉质量</w:t>
      </w:r>
      <w:r>
        <w:rPr>
          <w:rFonts w:ascii="宋体" w:hAnsi="宋体" w:eastAsia="宋体"/>
          <w:sz w:val="24"/>
        </w:rPr>
        <w:t>：</w:t>
      </w:r>
    </w:p>
    <w:p>
      <w:pPr>
        <w:pStyle w:val="ListBullet"/>
      </w:pPr>
      <w:r>
        <w:rPr>
          <w:rFonts w:ascii="宋体" w:hAnsi="宋体" w:eastAsia="宋体"/>
          <w:sz w:val="24"/>
        </w:rPr>
        <w:t>[ ] VR模式下帧率稳定达标（Quest:72fps, PCVR:90fps）</w:t>
      </w:r>
    </w:p>
    <w:p>
      <w:pPr>
        <w:pStyle w:val="ListBullet"/>
      </w:pPr>
      <w:r>
        <w:rPr>
          <w:rFonts w:ascii="宋体" w:hAnsi="宋体" w:eastAsia="宋体"/>
          <w:sz w:val="24"/>
        </w:rPr>
        <w:t>[ ] 无明显的纱窗效应和像素感</w:t>
      </w:r>
    </w:p>
    <w:p>
      <w:pPr>
        <w:pStyle w:val="ListBullet"/>
      </w:pPr>
      <w:r>
        <w:rPr>
          <w:rFonts w:ascii="宋体" w:hAnsi="宋体" w:eastAsia="宋体"/>
          <w:sz w:val="24"/>
        </w:rPr>
        <w:t>[ ] 色差校正已应用</w:t>
      </w:r>
    </w:p>
    <w:p>
      <w:pPr>
        <w:pStyle w:val="ListBullet"/>
      </w:pPr>
      <w:r>
        <w:rPr>
          <w:rFonts w:ascii="宋体" w:hAnsi="宋体" w:eastAsia="宋体"/>
          <w:sz w:val="24"/>
        </w:rPr>
        <w:t>[ ] 文字在VR中清晰可读（字号≥0.05m）</w:t>
      </w:r>
    </w:p>
    <w:p>
      <w:pPr>
        <w:pStyle w:val="ListBullet"/>
      </w:pPr>
      <w:r>
        <w:rPr>
          <w:rFonts w:ascii="宋体" w:hAnsi="宋体" w:eastAsia="宋体"/>
          <w:sz w:val="24"/>
        </w:rPr>
        <w:t>[ ] UI元素在视野舒适区内</w:t>
      </w:r>
    </w:p>
    <w:p/>
    <w:p>
      <w:pPr>
        <w:ind w:firstLine="482"/>
      </w:pPr>
      <w:r>
        <w:rPr>
          <w:rFonts w:ascii="宋体" w:hAnsi="宋体" w:eastAsia="宋体"/>
          <w:b/>
          <w:sz w:val="24"/>
        </w:rPr>
        <w:t>交互体验</w:t>
      </w:r>
      <w:r>
        <w:rPr>
          <w:rFonts w:ascii="宋体" w:hAnsi="宋体" w:eastAsia="宋体"/>
          <w:sz w:val="24"/>
        </w:rPr>
        <w:t>：</w:t>
      </w:r>
    </w:p>
    <w:p>
      <w:pPr>
        <w:pStyle w:val="ListBullet"/>
      </w:pPr>
      <w:r>
        <w:rPr>
          <w:rFonts w:ascii="宋体" w:hAnsi="宋体" w:eastAsia="宋体"/>
          <w:sz w:val="24"/>
        </w:rPr>
        <w:t>[ ] 所有交互功能在VR手柄下可用</w:t>
      </w:r>
    </w:p>
    <w:p>
      <w:pPr>
        <w:pStyle w:val="ListBullet"/>
      </w:pPr>
      <w:r>
        <w:rPr>
          <w:rFonts w:ascii="宋体" w:hAnsi="宋体" w:eastAsia="宋体"/>
          <w:sz w:val="24"/>
        </w:rPr>
        <w:t>[ ] 热点/按钮的碰撞体足够大（半径≥0.1m）</w:t>
      </w:r>
    </w:p>
    <w:p>
      <w:pPr>
        <w:pStyle w:val="ListBullet"/>
      </w:pPr>
      <w:r>
        <w:rPr>
          <w:rFonts w:ascii="宋体" w:hAnsi="宋体" w:eastAsia="宋体"/>
          <w:sz w:val="24"/>
        </w:rPr>
        <w:t>[ ] 射线交互的灵敏度适中</w:t>
      </w:r>
    </w:p>
    <w:p>
      <w:pPr>
        <w:pStyle w:val="ListBullet"/>
      </w:pPr>
      <w:r>
        <w:rPr>
          <w:rFonts w:ascii="宋体" w:hAnsi="宋体" w:eastAsia="宋体"/>
          <w:sz w:val="24"/>
        </w:rPr>
        <w:t>[ ] 交互反馈完整（视觉+听觉+触觉）</w:t>
      </w:r>
    </w:p>
    <w:p>
      <w:pPr>
        <w:pStyle w:val="ListBullet"/>
      </w:pPr>
      <w:r>
        <w:rPr>
          <w:rFonts w:ascii="宋体" w:hAnsi="宋体" w:eastAsia="宋体"/>
          <w:sz w:val="24"/>
        </w:rPr>
        <w:t>[ ] 错误操作可撤销</w:t>
      </w:r>
    </w:p>
    <w:p/>
    <w:p>
      <w:pPr>
        <w:ind w:firstLine="482"/>
      </w:pPr>
      <w:r>
        <w:rPr>
          <w:rFonts w:ascii="宋体" w:hAnsi="宋体" w:eastAsia="宋体"/>
          <w:b/>
          <w:sz w:val="24"/>
        </w:rPr>
        <w:t>舒适度</w:t>
      </w:r>
      <w:r>
        <w:rPr>
          <w:rFonts w:ascii="宋体" w:hAnsi="宋体" w:eastAsia="宋体"/>
          <w:sz w:val="24"/>
        </w:rPr>
        <w:t>：</w:t>
      </w:r>
    </w:p>
    <w:p>
      <w:pPr>
        <w:pStyle w:val="ListBullet"/>
      </w:pPr>
      <w:r>
        <w:rPr>
          <w:rFonts w:ascii="宋体" w:hAnsi="宋体" w:eastAsia="宋体"/>
          <w:sz w:val="24"/>
        </w:rPr>
        <w:t>[ ] 默认移动方式为瞬移（非平滑移动）</w:t>
      </w:r>
    </w:p>
    <w:p>
      <w:pPr>
        <w:pStyle w:val="ListBullet"/>
      </w:pPr>
      <w:r>
        <w:rPr>
          <w:rFonts w:ascii="宋体" w:hAnsi="宋体" w:eastAsia="宋体"/>
          <w:sz w:val="24"/>
        </w:rPr>
        <w:t>[ ] 移动速度不超过3m/s</w:t>
      </w:r>
    </w:p>
    <w:p>
      <w:pPr>
        <w:pStyle w:val="ListBullet"/>
      </w:pPr>
      <w:r>
        <w:rPr>
          <w:rFonts w:ascii="宋体" w:hAnsi="宋体" w:eastAsia="宋体"/>
          <w:sz w:val="24"/>
        </w:rPr>
        <w:t>[ ] 无强制快速头部转动</w:t>
      </w:r>
    </w:p>
    <w:p>
      <w:pPr>
        <w:pStyle w:val="ListBullet"/>
      </w:pPr>
      <w:r>
        <w:rPr>
          <w:rFonts w:ascii="宋体" w:hAnsi="宋体" w:eastAsia="宋体"/>
          <w:sz w:val="24"/>
        </w:rPr>
        <w:t>[ ] 加速度不超过2m/s²</w:t>
      </w:r>
    </w:p>
    <w:p>
      <w:pPr>
        <w:pStyle w:val="ListBullet"/>
      </w:pPr>
      <w:r>
        <w:rPr>
          <w:rFonts w:ascii="宋体" w:hAnsi="宋体" w:eastAsia="宋体"/>
          <w:sz w:val="24"/>
        </w:rPr>
        <w:t>[ ] VR眩晕测试通过（SSQ评分&lt;10）</w:t>
      </w:r>
    </w:p>
    <w:p>
      <w:pPr>
        <w:pStyle w:val="ListBullet"/>
      </w:pPr>
      <w:r>
        <w:rPr>
          <w:rFonts w:ascii="宋体" w:hAnsi="宋体" w:eastAsia="宋体"/>
          <w:sz w:val="24"/>
        </w:rPr>
        <w:t>[ ] 提供舒适度设置选项</w:t>
      </w:r>
    </w:p>
    <w:p/>
    <w:p>
      <w:pPr>
        <w:ind w:firstLine="482"/>
      </w:pPr>
      <w:r>
        <w:rPr>
          <w:rFonts w:ascii="宋体" w:hAnsi="宋体" w:eastAsia="宋体"/>
          <w:b/>
          <w:sz w:val="24"/>
        </w:rPr>
        <w:t>性能</w:t>
      </w:r>
      <w:r>
        <w:rPr>
          <w:rFonts w:ascii="宋体" w:hAnsi="宋体" w:eastAsia="宋体"/>
          <w:sz w:val="24"/>
        </w:rPr>
        <w:t>：</w:t>
      </w:r>
    </w:p>
    <w:p>
      <w:pPr>
        <w:pStyle w:val="ListBullet"/>
      </w:pPr>
      <w:r>
        <w:rPr>
          <w:rFonts w:ascii="宋体" w:hAnsi="宋体" w:eastAsia="宋体"/>
          <w:sz w:val="24"/>
        </w:rPr>
        <w:t>[ ] 内存占用在预算内（Quest:&lt;2GB, PC:&lt;4GB）</w:t>
      </w:r>
    </w:p>
    <w:p>
      <w:pPr>
        <w:pStyle w:val="ListBullet"/>
      </w:pPr>
      <w:r>
        <w:rPr>
          <w:rFonts w:ascii="宋体" w:hAnsi="宋体" w:eastAsia="宋体"/>
          <w:sz w:val="24"/>
        </w:rPr>
        <w:t>[ ] Draw Call数量在预算内（&lt;200）</w:t>
      </w:r>
    </w:p>
    <w:p>
      <w:pPr>
        <w:pStyle w:val="ListBullet"/>
      </w:pPr>
      <w:r>
        <w:rPr>
          <w:rFonts w:ascii="宋体" w:hAnsi="宋体" w:eastAsia="宋体"/>
          <w:sz w:val="24"/>
        </w:rPr>
        <w:t>[ ] 纹理总内存不超过限制</w:t>
      </w:r>
    </w:p>
    <w:p>
      <w:pPr>
        <w:pStyle w:val="ListBullet"/>
      </w:pPr>
      <w:r>
        <w:rPr>
          <w:rFonts w:ascii="宋体" w:hAnsi="宋体" w:eastAsia="宋体"/>
          <w:sz w:val="24"/>
        </w:rPr>
        <w:t>[ ] 加载时间在目标范围内（&lt;15秒）</w:t>
      </w:r>
    </w:p>
    <w:p>
      <w:pPr>
        <w:pStyle w:val="ListBullet"/>
      </w:pPr>
      <w:r>
        <w:rPr>
          <w:rFonts w:ascii="宋体" w:hAnsi="宋体" w:eastAsia="宋体"/>
          <w:sz w:val="24"/>
        </w:rPr>
        <w:t>[ ] 连续运行30分钟无内存泄漏</w:t>
      </w:r>
    </w:p>
    <w:p/>
    <w:p>
      <w:pPr>
        <w:ind w:firstLine="482"/>
      </w:pPr>
      <w:r>
        <w:rPr>
          <w:rFonts w:ascii="宋体" w:hAnsi="宋体" w:eastAsia="宋体"/>
          <w:b/>
          <w:sz w:val="24"/>
        </w:rPr>
        <w:t>内容</w:t>
      </w:r>
      <w:r>
        <w:rPr>
          <w:rFonts w:ascii="宋体" w:hAnsi="宋体" w:eastAsia="宋体"/>
          <w:sz w:val="24"/>
        </w:rPr>
        <w:t>：</w:t>
      </w:r>
    </w:p>
    <w:p>
      <w:pPr>
        <w:pStyle w:val="ListBullet"/>
      </w:pPr>
      <w:r>
        <w:rPr>
          <w:rFonts w:ascii="宋体" w:hAnsi="宋体" w:eastAsia="宋体"/>
          <w:sz w:val="24"/>
        </w:rPr>
        <w:t>[ ] 所有文本内容已校对</w:t>
      </w:r>
    </w:p>
    <w:p>
      <w:pPr>
        <w:pStyle w:val="ListBullet"/>
      </w:pPr>
      <w:r>
        <w:rPr>
          <w:rFonts w:ascii="宋体" w:hAnsi="宋体" w:eastAsia="宋体"/>
          <w:sz w:val="24"/>
        </w:rPr>
        <w:t>[ ] 文化内容已经专家审核</w:t>
      </w:r>
    </w:p>
    <w:p>
      <w:pPr>
        <w:pStyle w:val="ListBullet"/>
      </w:pPr>
      <w:r>
        <w:rPr>
          <w:rFonts w:ascii="宋体" w:hAnsi="宋体" w:eastAsia="宋体"/>
          <w:sz w:val="24"/>
        </w:rPr>
        <w:t>[ ] 多语言版本已翻译并校对</w:t>
      </w:r>
    </w:p>
    <w:p>
      <w:pPr>
        <w:pStyle w:val="ListBullet"/>
      </w:pPr>
      <w:r>
        <w:rPr>
          <w:rFonts w:ascii="宋体" w:hAnsi="宋体" w:eastAsia="宋体"/>
          <w:sz w:val="24"/>
        </w:rPr>
        <w:t>[ ] 音频内容已审核（音量、清晰度、时长）</w:t>
      </w:r>
    </w:p>
    <w:p>
      <w:pPr>
        <w:pStyle w:val="ListBullet"/>
      </w:pPr>
      <w:r>
        <w:rPr>
          <w:rFonts w:ascii="宋体" w:hAnsi="宋体" w:eastAsia="宋体"/>
          <w:sz w:val="24"/>
        </w:rPr>
        <w:t>[ ] 版权素材已获授权</w:t>
      </w:r>
    </w:p>
    <w:p/>
    <w:p>
      <w:pPr>
        <w:pStyle w:val="Heading3"/>
      </w:pPr>
      <w:r>
        <w:t>D.7.3 AR 应用发布前检查清单</w:t>
      </w:r>
    </w:p>
    <w:p/>
    <w:p>
      <w:pPr>
        <w:ind w:firstLine="482"/>
      </w:pPr>
      <w:r>
        <w:rPr>
          <w:rFonts w:ascii="宋体" w:hAnsi="宋体" w:eastAsia="宋体"/>
          <w:b/>
          <w:sz w:val="24"/>
        </w:rPr>
        <w:t>追踪稳定性</w:t>
      </w:r>
      <w:r>
        <w:rPr>
          <w:rFonts w:ascii="宋体" w:hAnsi="宋体" w:eastAsia="宋体"/>
          <w:sz w:val="24"/>
        </w:rPr>
        <w:t>：</w:t>
      </w:r>
    </w:p>
    <w:p>
      <w:pPr>
        <w:pStyle w:val="ListBullet"/>
      </w:pPr>
      <w:r>
        <w:rPr>
          <w:rFonts w:ascii="宋体" w:hAnsi="宋体" w:eastAsia="宋体"/>
          <w:sz w:val="24"/>
        </w:rPr>
        <w:t>[ ] 图像追踪成功率≥90%（标准光照条件下）</w:t>
      </w:r>
    </w:p>
    <w:p>
      <w:pPr>
        <w:pStyle w:val="ListBullet"/>
      </w:pPr>
      <w:r>
        <w:rPr>
          <w:rFonts w:ascii="宋体" w:hAnsi="宋体" w:eastAsia="宋体"/>
          <w:sz w:val="24"/>
        </w:rPr>
        <w:t>[ ] 平面检测响应时间&lt;3秒</w:t>
      </w:r>
    </w:p>
    <w:p>
      <w:pPr>
        <w:pStyle w:val="ListBullet"/>
      </w:pPr>
      <w:r>
        <w:rPr>
          <w:rFonts w:ascii="宋体" w:hAnsi="宋体" w:eastAsia="宋体"/>
          <w:sz w:val="24"/>
        </w:rPr>
        <w:t>[ ] 追踪丢失时有明确的视觉提示</w:t>
      </w:r>
    </w:p>
    <w:p>
      <w:pPr>
        <w:pStyle w:val="ListBullet"/>
      </w:pPr>
      <w:r>
        <w:rPr>
          <w:rFonts w:ascii="宋体" w:hAnsi="宋体" w:eastAsia="宋体"/>
          <w:sz w:val="24"/>
        </w:rPr>
        <w:t>[ ] 追踪恢复后AR内容位置正确</w:t>
      </w:r>
    </w:p>
    <w:p/>
    <w:p>
      <w:pPr>
        <w:ind w:firstLine="482"/>
      </w:pPr>
      <w:r>
        <w:rPr>
          <w:rFonts w:ascii="宋体" w:hAnsi="宋体" w:eastAsia="宋体"/>
          <w:b/>
          <w:sz w:val="24"/>
        </w:rPr>
        <w:t>设备兼容性</w:t>
      </w:r>
      <w:r>
        <w:rPr>
          <w:rFonts w:ascii="宋体" w:hAnsi="宋体" w:eastAsia="宋体"/>
          <w:sz w:val="24"/>
        </w:rPr>
        <w:t>：</w:t>
      </w:r>
    </w:p>
    <w:p>
      <w:pPr>
        <w:pStyle w:val="ListBullet"/>
      </w:pPr>
      <w:r>
        <w:rPr>
          <w:rFonts w:ascii="宋体" w:hAnsi="宋体" w:eastAsia="宋体"/>
          <w:sz w:val="24"/>
        </w:rPr>
        <w:t>[ ] iOS测试通过（iPhone 12及以上）</w:t>
      </w:r>
    </w:p>
    <w:p>
      <w:pPr>
        <w:pStyle w:val="ListBullet"/>
      </w:pPr>
      <w:r>
        <w:rPr>
          <w:rFonts w:ascii="宋体" w:hAnsi="宋体" w:eastAsia="宋体"/>
          <w:sz w:val="24"/>
        </w:rPr>
        <w:t>[ ] Android测试通过（ARCore支持列表中的设备）</w:t>
      </w:r>
    </w:p>
    <w:p>
      <w:pPr>
        <w:pStyle w:val="ListBullet"/>
      </w:pPr>
      <w:r>
        <w:rPr>
          <w:rFonts w:ascii="宋体" w:hAnsi="宋体" w:eastAsia="宋体"/>
          <w:sz w:val="24"/>
        </w:rPr>
        <w:t>[ ] 不同屏幕尺寸的UI适配正确</w:t>
      </w:r>
    </w:p>
    <w:p>
      <w:pPr>
        <w:pStyle w:val="ListBullet"/>
      </w:pPr>
      <w:r>
        <w:rPr>
          <w:rFonts w:ascii="宋体" w:hAnsi="宋体" w:eastAsia="宋体"/>
          <w:sz w:val="24"/>
        </w:rPr>
        <w:t>[ ] 前置/后置摄像头切换正常</w:t>
      </w:r>
    </w:p>
    <w:p/>
    <w:p>
      <w:pPr>
        <w:ind w:firstLine="482"/>
      </w:pPr>
      <w:r>
        <w:rPr>
          <w:rFonts w:ascii="宋体" w:hAnsi="宋体" w:eastAsia="宋体"/>
          <w:b/>
          <w:sz w:val="24"/>
        </w:rPr>
        <w:t>性能</w:t>
      </w:r>
      <w:r>
        <w:rPr>
          <w:rFonts w:ascii="宋体" w:hAnsi="宋体" w:eastAsia="宋体"/>
          <w:sz w:val="24"/>
        </w:rPr>
        <w:t>：</w:t>
      </w:r>
    </w:p>
    <w:p>
      <w:pPr>
        <w:pStyle w:val="ListBullet"/>
      </w:pPr>
      <w:r>
        <w:rPr>
          <w:rFonts w:ascii="宋体" w:hAnsi="宋体" w:eastAsia="宋体"/>
          <w:sz w:val="24"/>
        </w:rPr>
        <w:t>[ ] 帧率≥30fps（中端手机）</w:t>
      </w:r>
    </w:p>
    <w:p>
      <w:pPr>
        <w:pStyle w:val="ListBullet"/>
      </w:pPr>
      <w:r>
        <w:rPr>
          <w:rFonts w:ascii="宋体" w:hAnsi="宋体" w:eastAsia="宋体"/>
          <w:sz w:val="24"/>
        </w:rPr>
        <w:t>[ ] 电池消耗&lt;20%/30分钟</w:t>
      </w:r>
    </w:p>
    <w:p>
      <w:pPr>
        <w:pStyle w:val="ListBullet"/>
      </w:pPr>
      <w:r>
        <w:rPr>
          <w:rFonts w:ascii="宋体" w:hAnsi="宋体" w:eastAsia="宋体"/>
          <w:sz w:val="24"/>
        </w:rPr>
        <w:t>[ ] 发热控制在可接受范围</w:t>
      </w:r>
    </w:p>
    <w:p>
      <w:pPr>
        <w:pStyle w:val="ListBullet"/>
      </w:pPr>
      <w:r>
        <w:rPr>
          <w:rFonts w:ascii="宋体" w:hAnsi="宋体" w:eastAsia="宋体"/>
          <w:sz w:val="24"/>
        </w:rPr>
        <w:t>[ ] 内存占用&lt;500MB</w:t>
      </w:r>
    </w:p>
    <w:p/>
    <w:p>
      <w:pPr>
        <w:ind w:firstLine="482"/>
      </w:pPr>
      <w:r>
        <w:rPr>
          <w:rFonts w:ascii="宋体" w:hAnsi="宋体" w:eastAsia="宋体"/>
          <w:b/>
          <w:sz w:val="24"/>
        </w:rPr>
        <w:t>发布合规</w:t>
      </w:r>
      <w:r>
        <w:rPr>
          <w:rFonts w:ascii="宋体" w:hAnsi="宋体" w:eastAsia="宋体"/>
          <w:sz w:val="24"/>
        </w:rPr>
        <w:t>：</w:t>
      </w:r>
    </w:p>
    <w:p>
      <w:pPr>
        <w:pStyle w:val="ListBullet"/>
      </w:pPr>
      <w:r>
        <w:rPr>
          <w:rFonts w:ascii="宋体" w:hAnsi="宋体" w:eastAsia="宋体"/>
          <w:sz w:val="24"/>
        </w:rPr>
        <w:t>[ ] App Store审核材料准备齐全（含AR演示视频）</w:t>
      </w:r>
    </w:p>
    <w:p>
      <w:pPr>
        <w:pStyle w:val="ListBullet"/>
      </w:pPr>
      <w:r>
        <w:rPr>
          <w:rFonts w:ascii="宋体" w:hAnsi="宋体" w:eastAsia="宋体"/>
          <w:sz w:val="24"/>
        </w:rPr>
        <w:t>[ ] Google Play商店信息填写完整</w:t>
      </w:r>
    </w:p>
    <w:p>
      <w:pPr>
        <w:pStyle w:val="ListBullet"/>
      </w:pPr>
      <w:r>
        <w:rPr>
          <w:rFonts w:ascii="宋体" w:hAnsi="宋体" w:eastAsia="宋体"/>
          <w:sz w:val="24"/>
        </w:rPr>
        <w:t>[ ] 隐私政策和使用条款已编写</w:t>
      </w:r>
    </w:p>
    <w:p>
      <w:pPr>
        <w:pStyle w:val="ListBullet"/>
      </w:pPr>
      <w:r>
        <w:rPr>
          <w:rFonts w:ascii="宋体" w:hAnsi="宋体" w:eastAsia="宋体"/>
          <w:sz w:val="24"/>
        </w:rPr>
        <w:t>[ ] 应用内权限说明清晰（相机、位置、麦克风）</w:t>
      </w:r>
    </w:p>
    <w:p>
      <w:pPr>
        <w:pStyle w:val="ListBullet"/>
      </w:pPr>
      <w:r>
        <w:rPr>
          <w:rFonts w:ascii="宋体" w:hAnsi="宋体" w:eastAsia="宋体"/>
          <w:sz w:val="24"/>
        </w:rPr>
        <w:t>[ ] 内容分级已设置</w:t>
      </w:r>
    </w:p>
    <w:p/>
    <w:p/>
    <w:p/>
    <w:p>
      <w:pPr>
        <w:pStyle w:val="Heading2"/>
      </w:pPr>
      <w:r>
        <w:t>D.8 VR/AR 项目风险管理模板</w:t>
      </w:r>
    </w:p>
    <w:p/>
    <w:p>
      <w:pPr>
        <w:pStyle w:val="Heading3"/>
      </w:pPr>
      <w:r>
        <w:t>D.8.1 风险登记册</w:t>
      </w:r>
    </w:p>
    <w:p/>
    <w:tbl>
      <w:tblPr>
        <w:tblStyle w:val="TableGrid"/>
        <w:tblW w:type="auto" w:w="0"/>
        <w:jc w:val="center"/>
        <w:tblLook w:firstColumn="1" w:firstRow="1" w:lastColumn="0" w:lastRow="0" w:noHBand="0" w:noVBand="1" w:val="04A0"/>
      </w:tblPr>
      <w:tblGrid>
        <w:gridCol w:w="924"/>
        <w:gridCol w:w="924"/>
        <w:gridCol w:w="924"/>
        <w:gridCol w:w="924"/>
        <w:gridCol w:w="924"/>
        <w:gridCol w:w="924"/>
        <w:gridCol w:w="924"/>
        <w:gridCol w:w="924"/>
        <w:gridCol w:w="924"/>
      </w:tblGrid>
      <w:tr>
        <w:tc>
          <w:tcPr>
            <w:tcW w:type="dxa" w:w="924"/>
            <w:shd w:fill="D9E2F3" w:val="clear"/>
          </w:tcPr>
          <w:p>
            <w:pPr>
              <w:jc w:val="center"/>
            </w:pPr>
            <w:r/>
            <w:r>
              <w:rPr>
                <w:rFonts w:ascii="黑体" w:hAnsi="黑体" w:eastAsia="黑体"/>
                <w:b/>
                <w:sz w:val="20"/>
              </w:rPr>
              <w:t>风险ID</w:t>
            </w:r>
          </w:p>
        </w:tc>
        <w:tc>
          <w:tcPr>
            <w:tcW w:type="dxa" w:w="924"/>
            <w:shd w:fill="D9E2F3" w:val="clear"/>
          </w:tcPr>
          <w:p>
            <w:pPr>
              <w:jc w:val="center"/>
            </w:pPr>
            <w:r/>
            <w:r>
              <w:rPr>
                <w:rFonts w:ascii="黑体" w:hAnsi="黑体" w:eastAsia="黑体"/>
                <w:b/>
                <w:sz w:val="20"/>
              </w:rPr>
              <w:t>风险描述</w:t>
            </w:r>
          </w:p>
        </w:tc>
        <w:tc>
          <w:tcPr>
            <w:tcW w:type="dxa" w:w="924"/>
            <w:shd w:fill="D9E2F3" w:val="clear"/>
          </w:tcPr>
          <w:p>
            <w:pPr>
              <w:jc w:val="center"/>
            </w:pPr>
            <w:r/>
            <w:r>
              <w:rPr>
                <w:rFonts w:ascii="黑体" w:hAnsi="黑体" w:eastAsia="黑体"/>
                <w:b/>
                <w:sz w:val="20"/>
              </w:rPr>
              <w:t>风险类别</w:t>
            </w:r>
          </w:p>
        </w:tc>
        <w:tc>
          <w:tcPr>
            <w:tcW w:type="dxa" w:w="924"/>
            <w:shd w:fill="D9E2F3" w:val="clear"/>
          </w:tcPr>
          <w:p>
            <w:pPr>
              <w:jc w:val="center"/>
            </w:pPr>
            <w:r/>
            <w:r>
              <w:rPr>
                <w:rFonts w:ascii="黑体" w:hAnsi="黑体" w:eastAsia="黑体"/>
                <w:b/>
                <w:sz w:val="20"/>
              </w:rPr>
              <w:t>概率(1-5)</w:t>
            </w:r>
          </w:p>
        </w:tc>
        <w:tc>
          <w:tcPr>
            <w:tcW w:type="dxa" w:w="924"/>
            <w:shd w:fill="D9E2F3" w:val="clear"/>
          </w:tcPr>
          <w:p>
            <w:pPr>
              <w:jc w:val="center"/>
            </w:pPr>
            <w:r/>
            <w:r>
              <w:rPr>
                <w:rFonts w:ascii="黑体" w:hAnsi="黑体" w:eastAsia="黑体"/>
                <w:b/>
                <w:sz w:val="20"/>
              </w:rPr>
              <w:t>影响(1-5)</w:t>
            </w:r>
          </w:p>
        </w:tc>
        <w:tc>
          <w:tcPr>
            <w:tcW w:type="dxa" w:w="924"/>
            <w:shd w:fill="D9E2F3" w:val="clear"/>
          </w:tcPr>
          <w:p>
            <w:pPr>
              <w:jc w:val="center"/>
            </w:pPr>
            <w:r/>
            <w:r>
              <w:rPr>
                <w:rFonts w:ascii="黑体" w:hAnsi="黑体" w:eastAsia="黑体"/>
                <w:b/>
                <w:sz w:val="20"/>
              </w:rPr>
              <w:t>风险分值</w:t>
            </w:r>
          </w:p>
        </w:tc>
        <w:tc>
          <w:tcPr>
            <w:tcW w:type="dxa" w:w="924"/>
            <w:shd w:fill="D9E2F3" w:val="clear"/>
          </w:tcPr>
          <w:p>
            <w:pPr>
              <w:jc w:val="center"/>
            </w:pPr>
            <w:r/>
            <w:r>
              <w:rPr>
                <w:rFonts w:ascii="黑体" w:hAnsi="黑体" w:eastAsia="黑体"/>
                <w:b/>
                <w:sz w:val="20"/>
              </w:rPr>
              <w:t>应对策略</w:t>
            </w:r>
          </w:p>
        </w:tc>
        <w:tc>
          <w:tcPr>
            <w:tcW w:type="dxa" w:w="924"/>
            <w:shd w:fill="D9E2F3" w:val="clear"/>
          </w:tcPr>
          <w:p>
            <w:pPr>
              <w:jc w:val="center"/>
            </w:pPr>
            <w:r/>
            <w:r>
              <w:rPr>
                <w:rFonts w:ascii="黑体" w:hAnsi="黑体" w:eastAsia="黑体"/>
                <w:b/>
                <w:sz w:val="20"/>
              </w:rPr>
              <w:t>责任人</w:t>
            </w:r>
          </w:p>
        </w:tc>
        <w:tc>
          <w:tcPr>
            <w:tcW w:type="dxa" w:w="924"/>
            <w:shd w:fill="D9E2F3" w:val="clear"/>
          </w:tcPr>
          <w:p>
            <w:pPr>
              <w:jc w:val="center"/>
            </w:pPr>
            <w:r/>
            <w:r>
              <w:rPr>
                <w:rFonts w:ascii="黑体" w:hAnsi="黑体" w:eastAsia="黑体"/>
                <w:b/>
                <w:sz w:val="20"/>
              </w:rPr>
              <w:t>状态</w:t>
            </w:r>
          </w:p>
        </w:tc>
      </w:tr>
      <w:tr>
        <w:tc>
          <w:tcPr>
            <w:tcW w:type="dxa" w:w="924"/>
          </w:tcPr>
          <w:p>
            <w:r/>
            <w:r>
              <w:rPr>
                <w:rFonts w:ascii="宋体" w:hAnsi="宋体" w:eastAsia="宋体"/>
                <w:sz w:val="20"/>
              </w:rPr>
              <w:t>R001</w:t>
            </w:r>
          </w:p>
        </w:tc>
        <w:tc>
          <w:tcPr>
            <w:tcW w:type="dxa" w:w="924"/>
          </w:tcPr>
          <w:p>
            <w:r/>
            <w:r>
              <w:rPr>
                <w:rFonts w:ascii="宋体" w:hAnsi="宋体" w:eastAsia="宋体"/>
                <w:sz w:val="20"/>
              </w:rPr>
              <w:t>VR设备故障影响教学</w:t>
            </w:r>
          </w:p>
        </w:tc>
        <w:tc>
          <w:tcPr>
            <w:tcW w:type="dxa" w:w="924"/>
          </w:tcPr>
          <w:p>
            <w:r/>
            <w:r>
              <w:rPr>
                <w:rFonts w:ascii="宋体" w:hAnsi="宋体" w:eastAsia="宋体"/>
                <w:sz w:val="20"/>
              </w:rPr>
              <w:t>技术</w:t>
            </w:r>
          </w:p>
        </w:tc>
        <w:tc>
          <w:tcPr>
            <w:tcW w:type="dxa" w:w="924"/>
          </w:tcPr>
          <w:p>
            <w:r/>
            <w:r>
              <w:rPr>
                <w:rFonts w:ascii="宋体" w:hAnsi="宋体" w:eastAsia="宋体"/>
                <w:sz w:val="20"/>
              </w:rPr>
              <w:t>3</w:t>
            </w:r>
          </w:p>
        </w:tc>
        <w:tc>
          <w:tcPr>
            <w:tcW w:type="dxa" w:w="924"/>
          </w:tcPr>
          <w:p>
            <w:r/>
            <w:r>
              <w:rPr>
                <w:rFonts w:ascii="宋体" w:hAnsi="宋体" w:eastAsia="宋体"/>
                <w:sz w:val="20"/>
              </w:rPr>
              <w:t>4</w:t>
            </w:r>
          </w:p>
        </w:tc>
        <w:tc>
          <w:tcPr>
            <w:tcW w:type="dxa" w:w="924"/>
          </w:tcPr>
          <w:p>
            <w:r/>
            <w:r>
              <w:rPr>
                <w:rFonts w:ascii="宋体" w:hAnsi="宋体" w:eastAsia="宋体"/>
                <w:sz w:val="20"/>
              </w:rPr>
              <w:t>12</w:t>
            </w:r>
          </w:p>
        </w:tc>
        <w:tc>
          <w:tcPr>
            <w:tcW w:type="dxa" w:w="924"/>
          </w:tcPr>
          <w:p>
            <w:r/>
            <w:r>
              <w:rPr>
                <w:rFonts w:ascii="宋体" w:hAnsi="宋体" w:eastAsia="宋体"/>
                <w:sz w:val="20"/>
              </w:rPr>
              <w:t>准备备用设备</w:t>
            </w:r>
          </w:p>
        </w:tc>
        <w:tc>
          <w:tcPr>
            <w:tcW w:type="dxa" w:w="924"/>
          </w:tcPr>
          <w:p>
            <w:r/>
            <w:r>
              <w:rPr>
                <w:rFonts w:ascii="宋体" w:hAnsi="宋体" w:eastAsia="宋体"/>
                <w:sz w:val="20"/>
              </w:rPr>
              <w:t>[姓名]</w:t>
            </w:r>
          </w:p>
        </w:tc>
        <w:tc>
          <w:tcPr>
            <w:tcW w:type="dxa" w:w="924"/>
          </w:tcPr>
          <w:p>
            <w:r/>
            <w:r>
              <w:rPr>
                <w:rFonts w:ascii="宋体" w:hAnsi="宋体" w:eastAsia="宋体"/>
                <w:sz w:val="20"/>
              </w:rPr>
              <w:t>监控中</w:t>
            </w:r>
          </w:p>
        </w:tc>
      </w:tr>
      <w:tr>
        <w:tc>
          <w:tcPr>
            <w:tcW w:type="dxa" w:w="924"/>
          </w:tcPr>
          <w:p>
            <w:r/>
            <w:r>
              <w:rPr>
                <w:rFonts w:ascii="宋体" w:hAnsi="宋体" w:eastAsia="宋体"/>
                <w:sz w:val="20"/>
              </w:rPr>
              <w:t>R002</w:t>
            </w:r>
          </w:p>
        </w:tc>
        <w:tc>
          <w:tcPr>
            <w:tcW w:type="dxa" w:w="924"/>
          </w:tcPr>
          <w:p>
            <w:r/>
            <w:r>
              <w:rPr>
                <w:rFonts w:ascii="宋体" w:hAnsi="宋体" w:eastAsia="宋体"/>
                <w:sz w:val="20"/>
              </w:rPr>
              <w:t>3D资产制作延期</w:t>
            </w:r>
          </w:p>
        </w:tc>
        <w:tc>
          <w:tcPr>
            <w:tcW w:type="dxa" w:w="924"/>
          </w:tcPr>
          <w:p>
            <w:r/>
            <w:r>
              <w:rPr>
                <w:rFonts w:ascii="宋体" w:hAnsi="宋体" w:eastAsia="宋体"/>
                <w:sz w:val="20"/>
              </w:rPr>
              <w:t>进度</w:t>
            </w:r>
          </w:p>
        </w:tc>
        <w:tc>
          <w:tcPr>
            <w:tcW w:type="dxa" w:w="924"/>
          </w:tcPr>
          <w:p>
            <w:r/>
            <w:r>
              <w:rPr>
                <w:rFonts w:ascii="宋体" w:hAnsi="宋体" w:eastAsia="宋体"/>
                <w:sz w:val="20"/>
              </w:rPr>
              <w:t>4</w:t>
            </w:r>
          </w:p>
        </w:tc>
        <w:tc>
          <w:tcPr>
            <w:tcW w:type="dxa" w:w="924"/>
          </w:tcPr>
          <w:p>
            <w:r/>
            <w:r>
              <w:rPr>
                <w:rFonts w:ascii="宋体" w:hAnsi="宋体" w:eastAsia="宋体"/>
                <w:sz w:val="20"/>
              </w:rPr>
              <w:t>3</w:t>
            </w:r>
          </w:p>
        </w:tc>
        <w:tc>
          <w:tcPr>
            <w:tcW w:type="dxa" w:w="924"/>
          </w:tcPr>
          <w:p>
            <w:r/>
            <w:r>
              <w:rPr>
                <w:rFonts w:ascii="宋体" w:hAnsi="宋体" w:eastAsia="宋体"/>
                <w:sz w:val="20"/>
              </w:rPr>
              <w:t>12</w:t>
            </w:r>
          </w:p>
        </w:tc>
        <w:tc>
          <w:tcPr>
            <w:tcW w:type="dxa" w:w="924"/>
          </w:tcPr>
          <w:p>
            <w:r/>
            <w:r>
              <w:rPr>
                <w:rFonts w:ascii="宋体" w:hAnsi="宋体" w:eastAsia="宋体"/>
                <w:sz w:val="20"/>
              </w:rPr>
              <w:t>优先核心资产</w:t>
            </w:r>
          </w:p>
        </w:tc>
        <w:tc>
          <w:tcPr>
            <w:tcW w:type="dxa" w:w="924"/>
          </w:tcPr>
          <w:p>
            <w:r/>
            <w:r>
              <w:rPr>
                <w:rFonts w:ascii="宋体" w:hAnsi="宋体" w:eastAsia="宋体"/>
                <w:sz w:val="20"/>
              </w:rPr>
              <w:t>[姓名]</w:t>
            </w:r>
          </w:p>
        </w:tc>
        <w:tc>
          <w:tcPr>
            <w:tcW w:type="dxa" w:w="924"/>
          </w:tcPr>
          <w:p>
            <w:r/>
            <w:r>
              <w:rPr>
                <w:rFonts w:ascii="宋体" w:hAnsi="宋体" w:eastAsia="宋体"/>
                <w:sz w:val="20"/>
              </w:rPr>
              <w:t>监控中</w:t>
            </w:r>
          </w:p>
        </w:tc>
      </w:tr>
      <w:tr>
        <w:tc>
          <w:tcPr>
            <w:tcW w:type="dxa" w:w="924"/>
          </w:tcPr>
          <w:p>
            <w:r/>
            <w:r>
              <w:rPr>
                <w:rFonts w:ascii="宋体" w:hAnsi="宋体" w:eastAsia="宋体"/>
                <w:sz w:val="20"/>
              </w:rPr>
              <w:t>R003</w:t>
            </w:r>
          </w:p>
        </w:tc>
        <w:tc>
          <w:tcPr>
            <w:tcW w:type="dxa" w:w="924"/>
          </w:tcPr>
          <w:p>
            <w:r/>
            <w:r>
              <w:rPr>
                <w:rFonts w:ascii="宋体" w:hAnsi="宋体" w:eastAsia="宋体"/>
                <w:sz w:val="20"/>
              </w:rPr>
              <w:t>文化内容不准确</w:t>
            </w:r>
          </w:p>
        </w:tc>
        <w:tc>
          <w:tcPr>
            <w:tcW w:type="dxa" w:w="924"/>
          </w:tcPr>
          <w:p>
            <w:r/>
            <w:r>
              <w:rPr>
                <w:rFonts w:ascii="宋体" w:hAnsi="宋体" w:eastAsia="宋体"/>
                <w:sz w:val="20"/>
              </w:rPr>
              <w:t>内容</w:t>
            </w:r>
          </w:p>
        </w:tc>
        <w:tc>
          <w:tcPr>
            <w:tcW w:type="dxa" w:w="924"/>
          </w:tcPr>
          <w:p>
            <w:r/>
            <w:r>
              <w:rPr>
                <w:rFonts w:ascii="宋体" w:hAnsi="宋体" w:eastAsia="宋体"/>
                <w:sz w:val="20"/>
              </w:rPr>
              <w:t>2</w:t>
            </w:r>
          </w:p>
        </w:tc>
        <w:tc>
          <w:tcPr>
            <w:tcW w:type="dxa" w:w="924"/>
          </w:tcPr>
          <w:p>
            <w:r/>
            <w:r>
              <w:rPr>
                <w:rFonts w:ascii="宋体" w:hAnsi="宋体" w:eastAsia="宋体"/>
                <w:sz w:val="20"/>
              </w:rPr>
              <w:t>5</w:t>
            </w:r>
          </w:p>
        </w:tc>
        <w:tc>
          <w:tcPr>
            <w:tcW w:type="dxa" w:w="924"/>
          </w:tcPr>
          <w:p>
            <w:r/>
            <w:r>
              <w:rPr>
                <w:rFonts w:ascii="宋体" w:hAnsi="宋体" w:eastAsia="宋体"/>
                <w:sz w:val="20"/>
              </w:rPr>
              <w:t>10</w:t>
            </w:r>
          </w:p>
        </w:tc>
        <w:tc>
          <w:tcPr>
            <w:tcW w:type="dxa" w:w="924"/>
          </w:tcPr>
          <w:p>
            <w:r/>
            <w:r>
              <w:rPr>
                <w:rFonts w:ascii="宋体" w:hAnsi="宋体" w:eastAsia="宋体"/>
                <w:sz w:val="20"/>
              </w:rPr>
              <w:t>专家审核</w:t>
            </w:r>
          </w:p>
        </w:tc>
        <w:tc>
          <w:tcPr>
            <w:tcW w:type="dxa" w:w="924"/>
          </w:tcPr>
          <w:p>
            <w:r/>
            <w:r>
              <w:rPr>
                <w:rFonts w:ascii="宋体" w:hAnsi="宋体" w:eastAsia="宋体"/>
                <w:sz w:val="20"/>
              </w:rPr>
              <w:t>[姓名]</w:t>
            </w:r>
          </w:p>
        </w:tc>
        <w:tc>
          <w:tcPr>
            <w:tcW w:type="dxa" w:w="924"/>
          </w:tcPr>
          <w:p>
            <w:r/>
            <w:r>
              <w:rPr>
                <w:rFonts w:ascii="宋体" w:hAnsi="宋体" w:eastAsia="宋体"/>
                <w:sz w:val="20"/>
              </w:rPr>
              <w:t>已缓解</w:t>
            </w:r>
          </w:p>
        </w:tc>
      </w:tr>
      <w:tr>
        <w:tc>
          <w:tcPr>
            <w:tcW w:type="dxa" w:w="924"/>
          </w:tcPr>
          <w:p>
            <w:r/>
            <w:r>
              <w:rPr>
                <w:rFonts w:ascii="宋体" w:hAnsi="宋体" w:eastAsia="宋体"/>
                <w:sz w:val="20"/>
              </w:rPr>
              <w:t>R004</w:t>
            </w:r>
          </w:p>
        </w:tc>
        <w:tc>
          <w:tcPr>
            <w:tcW w:type="dxa" w:w="924"/>
          </w:tcPr>
          <w:p>
            <w:r/>
            <w:r>
              <w:rPr>
                <w:rFonts w:ascii="宋体" w:hAnsi="宋体" w:eastAsia="宋体"/>
                <w:sz w:val="20"/>
              </w:rPr>
              <w:t>应用商店审核被拒</w:t>
            </w:r>
          </w:p>
        </w:tc>
        <w:tc>
          <w:tcPr>
            <w:tcW w:type="dxa" w:w="924"/>
          </w:tcPr>
          <w:p>
            <w:r/>
            <w:r>
              <w:rPr>
                <w:rFonts w:ascii="宋体" w:hAnsi="宋体" w:eastAsia="宋体"/>
                <w:sz w:val="20"/>
              </w:rPr>
              <w:t>合规</w:t>
            </w:r>
          </w:p>
        </w:tc>
        <w:tc>
          <w:tcPr>
            <w:tcW w:type="dxa" w:w="924"/>
          </w:tcPr>
          <w:p>
            <w:r/>
            <w:r>
              <w:rPr>
                <w:rFonts w:ascii="宋体" w:hAnsi="宋体" w:eastAsia="宋体"/>
                <w:sz w:val="20"/>
              </w:rPr>
              <w:t>2</w:t>
            </w:r>
          </w:p>
        </w:tc>
        <w:tc>
          <w:tcPr>
            <w:tcW w:type="dxa" w:w="924"/>
          </w:tcPr>
          <w:p>
            <w:r/>
            <w:r>
              <w:rPr>
                <w:rFonts w:ascii="宋体" w:hAnsi="宋体" w:eastAsia="宋体"/>
                <w:sz w:val="20"/>
              </w:rPr>
              <w:t>4</w:t>
            </w:r>
          </w:p>
        </w:tc>
        <w:tc>
          <w:tcPr>
            <w:tcW w:type="dxa" w:w="924"/>
          </w:tcPr>
          <w:p>
            <w:r/>
            <w:r>
              <w:rPr>
                <w:rFonts w:ascii="宋体" w:hAnsi="宋体" w:eastAsia="宋体"/>
                <w:sz w:val="20"/>
              </w:rPr>
              <w:t>8</w:t>
            </w:r>
          </w:p>
        </w:tc>
        <w:tc>
          <w:tcPr>
            <w:tcW w:type="dxa" w:w="924"/>
          </w:tcPr>
          <w:p>
            <w:r/>
            <w:r>
              <w:rPr>
                <w:rFonts w:ascii="宋体" w:hAnsi="宋体" w:eastAsia="宋体"/>
                <w:sz w:val="20"/>
              </w:rPr>
              <w:t>提前了解规则</w:t>
            </w:r>
          </w:p>
        </w:tc>
        <w:tc>
          <w:tcPr>
            <w:tcW w:type="dxa" w:w="924"/>
          </w:tcPr>
          <w:p>
            <w:r/>
            <w:r>
              <w:rPr>
                <w:rFonts w:ascii="宋体" w:hAnsi="宋体" w:eastAsia="宋体"/>
                <w:sz w:val="20"/>
              </w:rPr>
              <w:t>[姓名]</w:t>
            </w:r>
          </w:p>
        </w:tc>
        <w:tc>
          <w:tcPr>
            <w:tcW w:type="dxa" w:w="924"/>
          </w:tcPr>
          <w:p>
            <w:r/>
            <w:r>
              <w:rPr>
                <w:rFonts w:ascii="宋体" w:hAnsi="宋体" w:eastAsia="宋体"/>
                <w:sz w:val="20"/>
              </w:rPr>
              <w:t>监控中</w:t>
            </w:r>
          </w:p>
        </w:tc>
      </w:tr>
      <w:tr>
        <w:tc>
          <w:tcPr>
            <w:tcW w:type="dxa" w:w="924"/>
          </w:tcPr>
          <w:p>
            <w:r/>
            <w:r>
              <w:rPr>
                <w:rFonts w:ascii="宋体" w:hAnsi="宋体" w:eastAsia="宋体"/>
                <w:sz w:val="20"/>
              </w:rPr>
              <w:t>R005</w:t>
            </w:r>
          </w:p>
        </w:tc>
        <w:tc>
          <w:tcPr>
            <w:tcW w:type="dxa" w:w="924"/>
          </w:tcPr>
          <w:p>
            <w:r/>
            <w:r>
              <w:rPr>
                <w:rFonts w:ascii="宋体" w:hAnsi="宋体" w:eastAsia="宋体"/>
                <w:sz w:val="20"/>
              </w:rPr>
              <w:t>团队成员退出</w:t>
            </w:r>
          </w:p>
        </w:tc>
        <w:tc>
          <w:tcPr>
            <w:tcW w:type="dxa" w:w="924"/>
          </w:tcPr>
          <w:p>
            <w:r/>
            <w:r>
              <w:rPr>
                <w:rFonts w:ascii="宋体" w:hAnsi="宋体" w:eastAsia="宋体"/>
                <w:sz w:val="20"/>
              </w:rPr>
              <w:t>人员</w:t>
            </w:r>
          </w:p>
        </w:tc>
        <w:tc>
          <w:tcPr>
            <w:tcW w:type="dxa" w:w="924"/>
          </w:tcPr>
          <w:p>
            <w:r/>
            <w:r>
              <w:rPr>
                <w:rFonts w:ascii="宋体" w:hAnsi="宋体" w:eastAsia="宋体"/>
                <w:sz w:val="20"/>
              </w:rPr>
              <w:t>2</w:t>
            </w:r>
          </w:p>
        </w:tc>
        <w:tc>
          <w:tcPr>
            <w:tcW w:type="dxa" w:w="924"/>
          </w:tcPr>
          <w:p>
            <w:r/>
            <w:r>
              <w:rPr>
                <w:rFonts w:ascii="宋体" w:hAnsi="宋体" w:eastAsia="宋体"/>
                <w:sz w:val="20"/>
              </w:rPr>
              <w:t>4</w:t>
            </w:r>
          </w:p>
        </w:tc>
        <w:tc>
          <w:tcPr>
            <w:tcW w:type="dxa" w:w="924"/>
          </w:tcPr>
          <w:p>
            <w:r/>
            <w:r>
              <w:rPr>
                <w:rFonts w:ascii="宋体" w:hAnsi="宋体" w:eastAsia="宋体"/>
                <w:sz w:val="20"/>
              </w:rPr>
              <w:t>8</w:t>
            </w:r>
          </w:p>
        </w:tc>
        <w:tc>
          <w:tcPr>
            <w:tcW w:type="dxa" w:w="924"/>
          </w:tcPr>
          <w:p>
            <w:r/>
            <w:r>
              <w:rPr>
                <w:rFonts w:ascii="宋体" w:hAnsi="宋体" w:eastAsia="宋体"/>
                <w:sz w:val="20"/>
              </w:rPr>
              <w:t>明确分工记录</w:t>
            </w:r>
          </w:p>
        </w:tc>
        <w:tc>
          <w:tcPr>
            <w:tcW w:type="dxa" w:w="924"/>
          </w:tcPr>
          <w:p>
            <w:r/>
            <w:r>
              <w:rPr>
                <w:rFonts w:ascii="宋体" w:hAnsi="宋体" w:eastAsia="宋体"/>
                <w:sz w:val="20"/>
              </w:rPr>
              <w:t>[姓名]</w:t>
            </w:r>
          </w:p>
        </w:tc>
        <w:tc>
          <w:tcPr>
            <w:tcW w:type="dxa" w:w="924"/>
          </w:tcPr>
          <w:p>
            <w:r/>
            <w:r>
              <w:rPr>
                <w:rFonts w:ascii="宋体" w:hAnsi="宋体" w:eastAsia="宋体"/>
                <w:sz w:val="20"/>
              </w:rPr>
              <w:t>监控中</w:t>
            </w:r>
          </w:p>
        </w:tc>
      </w:tr>
    </w:tbl>
    <w:p/>
    <w:p/>
    <w:p>
      <w:pPr>
        <w:pStyle w:val="Heading3"/>
      </w:pPr>
      <w:r>
        <w:t>D.8.2 风险应对策略矩阵</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策略类型</w:t>
            </w:r>
          </w:p>
        </w:tc>
        <w:tc>
          <w:tcPr>
            <w:tcW w:type="dxa" w:w="2771"/>
            <w:shd w:fill="D9E2F3" w:val="clear"/>
          </w:tcPr>
          <w:p>
            <w:pPr>
              <w:jc w:val="center"/>
            </w:pPr>
            <w:r/>
            <w:r>
              <w:rPr>
                <w:rFonts w:ascii="黑体" w:hAnsi="黑体" w:eastAsia="黑体"/>
                <w:b/>
                <w:sz w:val="20"/>
              </w:rPr>
              <w:t>适用场景</w:t>
            </w:r>
          </w:p>
        </w:tc>
        <w:tc>
          <w:tcPr>
            <w:tcW w:type="dxa" w:w="2771"/>
            <w:shd w:fill="D9E2F3" w:val="clear"/>
          </w:tcPr>
          <w:p>
            <w:pPr>
              <w:jc w:val="center"/>
            </w:pPr>
            <w:r/>
            <w:r>
              <w:rPr>
                <w:rFonts w:ascii="黑体" w:hAnsi="黑体" w:eastAsia="黑体"/>
                <w:b/>
                <w:sz w:val="20"/>
              </w:rPr>
              <w:t>具体措施</w:t>
            </w:r>
          </w:p>
        </w:tc>
      </w:tr>
      <w:tr>
        <w:tc>
          <w:tcPr>
            <w:tcW w:type="dxa" w:w="2771"/>
          </w:tcPr>
          <w:p>
            <w:r/>
            <w:r>
              <w:rPr>
                <w:rFonts w:ascii="宋体" w:hAnsi="宋体" w:eastAsia="宋体"/>
                <w:sz w:val="20"/>
              </w:rPr>
              <w:t>规避</w:t>
            </w:r>
          </w:p>
        </w:tc>
        <w:tc>
          <w:tcPr>
            <w:tcW w:type="dxa" w:w="2771"/>
          </w:tcPr>
          <w:p>
            <w:r/>
            <w:r>
              <w:rPr>
                <w:rFonts w:ascii="宋体" w:hAnsi="宋体" w:eastAsia="宋体"/>
                <w:sz w:val="20"/>
              </w:rPr>
              <w:t>高概率高影响风险</w:t>
            </w:r>
          </w:p>
        </w:tc>
        <w:tc>
          <w:tcPr>
            <w:tcW w:type="dxa" w:w="2771"/>
          </w:tcPr>
          <w:p>
            <w:r/>
            <w:r>
              <w:rPr>
                <w:rFonts w:ascii="宋体" w:hAnsi="宋体" w:eastAsia="宋体"/>
                <w:sz w:val="20"/>
              </w:rPr>
              <w:t>改变项目计划以消除风险源</w:t>
            </w:r>
          </w:p>
        </w:tc>
      </w:tr>
      <w:tr>
        <w:tc>
          <w:tcPr>
            <w:tcW w:type="dxa" w:w="2771"/>
          </w:tcPr>
          <w:p>
            <w:r/>
            <w:r>
              <w:rPr>
                <w:rFonts w:ascii="宋体" w:hAnsi="宋体" w:eastAsia="宋体"/>
                <w:sz w:val="20"/>
              </w:rPr>
              <w:t>减轻</w:t>
            </w:r>
          </w:p>
        </w:tc>
        <w:tc>
          <w:tcPr>
            <w:tcW w:type="dxa" w:w="2771"/>
          </w:tcPr>
          <w:p>
            <w:r/>
            <w:r>
              <w:rPr>
                <w:rFonts w:ascii="宋体" w:hAnsi="宋体" w:eastAsia="宋体"/>
                <w:sz w:val="20"/>
              </w:rPr>
              <w:t>中等概率影响风险</w:t>
            </w:r>
          </w:p>
        </w:tc>
        <w:tc>
          <w:tcPr>
            <w:tcW w:type="dxa" w:w="2771"/>
          </w:tcPr>
          <w:p>
            <w:r/>
            <w:r>
              <w:rPr>
                <w:rFonts w:ascii="宋体" w:hAnsi="宋体" w:eastAsia="宋体"/>
                <w:sz w:val="20"/>
              </w:rPr>
              <w:t>采取措施降低概率或影响</w:t>
            </w:r>
          </w:p>
        </w:tc>
      </w:tr>
      <w:tr>
        <w:tc>
          <w:tcPr>
            <w:tcW w:type="dxa" w:w="2771"/>
          </w:tcPr>
          <w:p>
            <w:r/>
            <w:r>
              <w:rPr>
                <w:rFonts w:ascii="宋体" w:hAnsi="宋体" w:eastAsia="宋体"/>
                <w:sz w:val="20"/>
              </w:rPr>
              <w:t>转移</w:t>
            </w:r>
          </w:p>
        </w:tc>
        <w:tc>
          <w:tcPr>
            <w:tcW w:type="dxa" w:w="2771"/>
          </w:tcPr>
          <w:p>
            <w:r/>
            <w:r>
              <w:rPr>
                <w:rFonts w:ascii="宋体" w:hAnsi="宋体" w:eastAsia="宋体"/>
                <w:sz w:val="20"/>
              </w:rPr>
              <w:t>需要专业能力应对的风险</w:t>
            </w:r>
          </w:p>
        </w:tc>
        <w:tc>
          <w:tcPr>
            <w:tcW w:type="dxa" w:w="2771"/>
          </w:tcPr>
          <w:p>
            <w:r/>
            <w:r>
              <w:rPr>
                <w:rFonts w:ascii="宋体" w:hAnsi="宋体" w:eastAsia="宋体"/>
                <w:sz w:val="20"/>
              </w:rPr>
              <w:t>外包或购买保险</w:t>
            </w:r>
          </w:p>
        </w:tc>
      </w:tr>
      <w:tr>
        <w:tc>
          <w:tcPr>
            <w:tcW w:type="dxa" w:w="2771"/>
          </w:tcPr>
          <w:p>
            <w:r/>
            <w:r>
              <w:rPr>
                <w:rFonts w:ascii="宋体" w:hAnsi="宋体" w:eastAsia="宋体"/>
                <w:sz w:val="20"/>
              </w:rPr>
              <w:t>接受</w:t>
            </w:r>
          </w:p>
        </w:tc>
        <w:tc>
          <w:tcPr>
            <w:tcW w:type="dxa" w:w="2771"/>
          </w:tcPr>
          <w:p>
            <w:r/>
            <w:r>
              <w:rPr>
                <w:rFonts w:ascii="宋体" w:hAnsi="宋体" w:eastAsia="宋体"/>
                <w:sz w:val="20"/>
              </w:rPr>
              <w:t>低概率低影响风险</w:t>
            </w:r>
          </w:p>
        </w:tc>
        <w:tc>
          <w:tcPr>
            <w:tcW w:type="dxa" w:w="2771"/>
          </w:tcPr>
          <w:p>
            <w:r/>
            <w:r>
              <w:rPr>
                <w:rFonts w:ascii="宋体" w:hAnsi="宋体" w:eastAsia="宋体"/>
                <w:sz w:val="20"/>
              </w:rPr>
              <w:t>监控但不主动干预</w:t>
            </w:r>
          </w:p>
        </w:tc>
      </w:tr>
    </w:tbl>
    <w:p/>
    <w:p/>
    <w:p>
      <w:pPr>
        <w:pStyle w:val="Heading2"/>
      </w:pPr>
      <w:r>
        <w:t>D.9 项目沟通管理模板</w:t>
      </w:r>
    </w:p>
    <w:p/>
    <w:p>
      <w:pPr>
        <w:pStyle w:val="Heading3"/>
      </w:pPr>
      <w:r>
        <w:t>D.9.1 沟通计划</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沟通类型</w:t>
            </w:r>
          </w:p>
        </w:tc>
        <w:tc>
          <w:tcPr>
            <w:tcW w:type="dxa" w:w="1385"/>
            <w:shd w:fill="D9E2F3" w:val="clear"/>
          </w:tcPr>
          <w:p>
            <w:pPr>
              <w:jc w:val="center"/>
            </w:pPr>
            <w:r/>
            <w:r>
              <w:rPr>
                <w:rFonts w:ascii="黑体" w:hAnsi="黑体" w:eastAsia="黑体"/>
                <w:b/>
                <w:sz w:val="20"/>
              </w:rPr>
              <w:t>参与者</w:t>
            </w:r>
          </w:p>
        </w:tc>
        <w:tc>
          <w:tcPr>
            <w:tcW w:type="dxa" w:w="1385"/>
            <w:shd w:fill="D9E2F3" w:val="clear"/>
          </w:tcPr>
          <w:p>
            <w:pPr>
              <w:jc w:val="center"/>
            </w:pPr>
            <w:r/>
            <w:r>
              <w:rPr>
                <w:rFonts w:ascii="黑体" w:hAnsi="黑体" w:eastAsia="黑体"/>
                <w:b/>
                <w:sz w:val="20"/>
              </w:rPr>
              <w:t>频率</w:t>
            </w:r>
          </w:p>
        </w:tc>
        <w:tc>
          <w:tcPr>
            <w:tcW w:type="dxa" w:w="1385"/>
            <w:shd w:fill="D9E2F3" w:val="clear"/>
          </w:tcPr>
          <w:p>
            <w:pPr>
              <w:jc w:val="center"/>
            </w:pPr>
            <w:r/>
            <w:r>
              <w:rPr>
                <w:rFonts w:ascii="黑体" w:hAnsi="黑体" w:eastAsia="黑体"/>
                <w:b/>
                <w:sz w:val="20"/>
              </w:rPr>
              <w:t>方式</w:t>
            </w:r>
          </w:p>
        </w:tc>
        <w:tc>
          <w:tcPr>
            <w:tcW w:type="dxa" w:w="1385"/>
            <w:shd w:fill="D9E2F3" w:val="clear"/>
          </w:tcPr>
          <w:p>
            <w:pPr>
              <w:jc w:val="center"/>
            </w:pPr>
            <w:r/>
            <w:r>
              <w:rPr>
                <w:rFonts w:ascii="黑体" w:hAnsi="黑体" w:eastAsia="黑体"/>
                <w:b/>
                <w:sz w:val="20"/>
              </w:rPr>
              <w:t>内容</w:t>
            </w:r>
          </w:p>
        </w:tc>
        <w:tc>
          <w:tcPr>
            <w:tcW w:type="dxa" w:w="1385"/>
            <w:shd w:fill="D9E2F3" w:val="clear"/>
          </w:tcPr>
          <w:p>
            <w:pPr>
              <w:jc w:val="center"/>
            </w:pPr>
            <w:r/>
            <w:r>
              <w:rPr>
                <w:rFonts w:ascii="黑体" w:hAnsi="黑体" w:eastAsia="黑体"/>
                <w:b/>
                <w:sz w:val="20"/>
              </w:rPr>
              <w:t>记录</w:t>
            </w:r>
          </w:p>
        </w:tc>
      </w:tr>
      <w:tr>
        <w:tc>
          <w:tcPr>
            <w:tcW w:type="dxa" w:w="1385"/>
          </w:tcPr>
          <w:p>
            <w:r/>
            <w:r>
              <w:rPr>
                <w:rFonts w:ascii="宋体" w:hAnsi="宋体" w:eastAsia="宋体"/>
                <w:sz w:val="20"/>
              </w:rPr>
              <w:t>每日站会</w:t>
            </w:r>
          </w:p>
        </w:tc>
        <w:tc>
          <w:tcPr>
            <w:tcW w:type="dxa" w:w="1385"/>
          </w:tcPr>
          <w:p>
            <w:r/>
            <w:r>
              <w:rPr>
                <w:rFonts w:ascii="宋体" w:hAnsi="宋体" w:eastAsia="宋体"/>
                <w:sz w:val="20"/>
              </w:rPr>
              <w:t>团队成员</w:t>
            </w:r>
          </w:p>
        </w:tc>
        <w:tc>
          <w:tcPr>
            <w:tcW w:type="dxa" w:w="1385"/>
          </w:tcPr>
          <w:p>
            <w:r/>
            <w:r>
              <w:rPr>
                <w:rFonts w:ascii="宋体" w:hAnsi="宋体" w:eastAsia="宋体"/>
                <w:sz w:val="20"/>
              </w:rPr>
              <w:t>每日</w:t>
            </w:r>
          </w:p>
        </w:tc>
        <w:tc>
          <w:tcPr>
            <w:tcW w:type="dxa" w:w="1385"/>
          </w:tcPr>
          <w:p>
            <w:r/>
            <w:r>
              <w:rPr>
                <w:rFonts w:ascii="宋体" w:hAnsi="宋体" w:eastAsia="宋体"/>
                <w:sz w:val="20"/>
              </w:rPr>
              <w:t>线上/线下</w:t>
            </w:r>
          </w:p>
        </w:tc>
        <w:tc>
          <w:tcPr>
            <w:tcW w:type="dxa" w:w="1385"/>
          </w:tcPr>
          <w:p>
            <w:r/>
            <w:r>
              <w:rPr>
                <w:rFonts w:ascii="宋体" w:hAnsi="宋体" w:eastAsia="宋体"/>
                <w:sz w:val="20"/>
              </w:rPr>
              <w:t>昨日完成、今日计划、阻碍</w:t>
            </w:r>
          </w:p>
        </w:tc>
        <w:tc>
          <w:tcPr>
            <w:tcW w:type="dxa" w:w="1385"/>
          </w:tcPr>
          <w:p>
            <w:r/>
            <w:r>
              <w:rPr>
                <w:rFonts w:ascii="宋体" w:hAnsi="宋体" w:eastAsia="宋体"/>
                <w:sz w:val="20"/>
              </w:rPr>
              <w:t>看板更新</w:t>
            </w:r>
          </w:p>
        </w:tc>
      </w:tr>
      <w:tr>
        <w:tc>
          <w:tcPr>
            <w:tcW w:type="dxa" w:w="1385"/>
          </w:tcPr>
          <w:p>
            <w:r/>
            <w:r>
              <w:rPr>
                <w:rFonts w:ascii="宋体" w:hAnsi="宋体" w:eastAsia="宋体"/>
                <w:sz w:val="20"/>
              </w:rPr>
              <w:t>周例会</w:t>
            </w:r>
          </w:p>
        </w:tc>
        <w:tc>
          <w:tcPr>
            <w:tcW w:type="dxa" w:w="1385"/>
          </w:tcPr>
          <w:p>
            <w:r/>
            <w:r>
              <w:rPr>
                <w:rFonts w:ascii="宋体" w:hAnsi="宋体" w:eastAsia="宋体"/>
                <w:sz w:val="20"/>
              </w:rPr>
              <w:t>团队+教师</w:t>
            </w:r>
          </w:p>
        </w:tc>
        <w:tc>
          <w:tcPr>
            <w:tcW w:type="dxa" w:w="1385"/>
          </w:tcPr>
          <w:p>
            <w:r/>
            <w:r>
              <w:rPr>
                <w:rFonts w:ascii="宋体" w:hAnsi="宋体" w:eastAsia="宋体"/>
                <w:sz w:val="20"/>
              </w:rPr>
              <w:t>每周</w:t>
            </w:r>
          </w:p>
        </w:tc>
        <w:tc>
          <w:tcPr>
            <w:tcW w:type="dxa" w:w="1385"/>
          </w:tcPr>
          <w:p>
            <w:r/>
            <w:r>
              <w:rPr>
                <w:rFonts w:ascii="宋体" w:hAnsi="宋体" w:eastAsia="宋体"/>
                <w:sz w:val="20"/>
              </w:rPr>
              <w:t>线下</w:t>
            </w:r>
          </w:p>
        </w:tc>
        <w:tc>
          <w:tcPr>
            <w:tcW w:type="dxa" w:w="1385"/>
          </w:tcPr>
          <w:p>
            <w:r/>
            <w:r>
              <w:rPr>
                <w:rFonts w:ascii="宋体" w:hAnsi="宋体" w:eastAsia="宋体"/>
                <w:sz w:val="20"/>
              </w:rPr>
              <w:t>进度汇报、问题讨论</w:t>
            </w:r>
          </w:p>
        </w:tc>
        <w:tc>
          <w:tcPr>
            <w:tcW w:type="dxa" w:w="1385"/>
          </w:tcPr>
          <w:p>
            <w:r/>
            <w:r>
              <w:rPr>
                <w:rFonts w:ascii="宋体" w:hAnsi="宋体" w:eastAsia="宋体"/>
                <w:sz w:val="20"/>
              </w:rPr>
              <w:t>会议纪要</w:t>
            </w:r>
          </w:p>
        </w:tc>
      </w:tr>
      <w:tr>
        <w:tc>
          <w:tcPr>
            <w:tcW w:type="dxa" w:w="1385"/>
          </w:tcPr>
          <w:p>
            <w:r/>
            <w:r>
              <w:rPr>
                <w:rFonts w:ascii="宋体" w:hAnsi="宋体" w:eastAsia="宋体"/>
                <w:sz w:val="20"/>
              </w:rPr>
              <w:t>里程碑评审</w:t>
            </w:r>
          </w:p>
        </w:tc>
        <w:tc>
          <w:tcPr>
            <w:tcW w:type="dxa" w:w="1385"/>
          </w:tcPr>
          <w:p>
            <w:r/>
            <w:r>
              <w:rPr>
                <w:rFonts w:ascii="宋体" w:hAnsi="宋体" w:eastAsia="宋体"/>
                <w:sz w:val="20"/>
              </w:rPr>
              <w:t>团队+教师+委托方</w:t>
            </w:r>
          </w:p>
        </w:tc>
        <w:tc>
          <w:tcPr>
            <w:tcW w:type="dxa" w:w="1385"/>
          </w:tcPr>
          <w:p>
            <w:r/>
            <w:r>
              <w:rPr>
                <w:rFonts w:ascii="宋体" w:hAnsi="宋体" w:eastAsia="宋体"/>
                <w:sz w:val="20"/>
              </w:rPr>
              <w:t>里程碑节点</w:t>
            </w:r>
          </w:p>
        </w:tc>
        <w:tc>
          <w:tcPr>
            <w:tcW w:type="dxa" w:w="1385"/>
          </w:tcPr>
          <w:p>
            <w:r/>
            <w:r>
              <w:rPr>
                <w:rFonts w:ascii="宋体" w:hAnsi="宋体" w:eastAsia="宋体"/>
                <w:sz w:val="20"/>
              </w:rPr>
              <w:t>线下</w:t>
            </w:r>
          </w:p>
        </w:tc>
        <w:tc>
          <w:tcPr>
            <w:tcW w:type="dxa" w:w="1385"/>
          </w:tcPr>
          <w:p>
            <w:r/>
            <w:r>
              <w:rPr>
                <w:rFonts w:ascii="宋体" w:hAnsi="宋体" w:eastAsia="宋体"/>
                <w:sz w:val="20"/>
              </w:rPr>
              <w:t>里程碑交付物评审</w:t>
            </w:r>
          </w:p>
        </w:tc>
        <w:tc>
          <w:tcPr>
            <w:tcW w:type="dxa" w:w="1385"/>
          </w:tcPr>
          <w:p>
            <w:r/>
            <w:r>
              <w:rPr>
                <w:rFonts w:ascii="宋体" w:hAnsi="宋体" w:eastAsia="宋体"/>
                <w:sz w:val="20"/>
              </w:rPr>
              <w:t>评审报告</w:t>
            </w:r>
          </w:p>
        </w:tc>
      </w:tr>
      <w:tr>
        <w:tc>
          <w:tcPr>
            <w:tcW w:type="dxa" w:w="1385"/>
          </w:tcPr>
          <w:p>
            <w:r/>
            <w:r>
              <w:rPr>
                <w:rFonts w:ascii="宋体" w:hAnsi="宋体" w:eastAsia="宋体"/>
                <w:sz w:val="20"/>
              </w:rPr>
              <w:t>即时沟通</w:t>
            </w:r>
          </w:p>
        </w:tc>
        <w:tc>
          <w:tcPr>
            <w:tcW w:type="dxa" w:w="1385"/>
          </w:tcPr>
          <w:p>
            <w:r/>
            <w:r>
              <w:rPr>
                <w:rFonts w:ascii="宋体" w:hAnsi="宋体" w:eastAsia="宋体"/>
                <w:sz w:val="20"/>
              </w:rPr>
              <w:t>需要时</w:t>
            </w:r>
          </w:p>
        </w:tc>
        <w:tc>
          <w:tcPr>
            <w:tcW w:type="dxa" w:w="1385"/>
          </w:tcPr>
          <w:p>
            <w:r/>
            <w:r>
              <w:rPr>
                <w:rFonts w:ascii="宋体" w:hAnsi="宋体" w:eastAsia="宋体"/>
                <w:sz w:val="20"/>
              </w:rPr>
              <w:t>随时</w:t>
            </w:r>
          </w:p>
        </w:tc>
        <w:tc>
          <w:tcPr>
            <w:tcW w:type="dxa" w:w="1385"/>
          </w:tcPr>
          <w:p>
            <w:r/>
            <w:r>
              <w:rPr>
                <w:rFonts w:ascii="宋体" w:hAnsi="宋体" w:eastAsia="宋体"/>
                <w:sz w:val="20"/>
              </w:rPr>
              <w:t>微信/Discord</w:t>
            </w:r>
          </w:p>
        </w:tc>
        <w:tc>
          <w:tcPr>
            <w:tcW w:type="dxa" w:w="1385"/>
          </w:tcPr>
          <w:p>
            <w:r/>
            <w:r>
              <w:rPr>
                <w:rFonts w:ascii="宋体" w:hAnsi="宋体" w:eastAsia="宋体"/>
                <w:sz w:val="20"/>
              </w:rPr>
              <w:t>技术问题、紧急事项</w:t>
            </w:r>
          </w:p>
        </w:tc>
        <w:tc>
          <w:tcPr>
            <w:tcW w:type="dxa" w:w="1385"/>
          </w:tcPr>
          <w:p>
            <w:r/>
            <w:r>
              <w:rPr>
                <w:rFonts w:ascii="宋体" w:hAnsi="宋体" w:eastAsia="宋体"/>
                <w:sz w:val="20"/>
              </w:rPr>
              <w:t>聊天记录</w:t>
            </w:r>
          </w:p>
        </w:tc>
      </w:tr>
    </w:tbl>
    <w:p/>
    <w:p/>
    <w:p>
      <w:pPr>
        <w:pStyle w:val="Heading3"/>
      </w:pPr>
      <w:r>
        <w:t>D.9.2 会议纪要模板</w:t>
      </w:r>
    </w:p>
    <w:p/>
    <w:p>
      <w:pPr>
        <w:spacing w:after="0" w:line="240" w:lineRule="auto"/>
        <w:shd w:fill="F5F5F5" w:val="clear"/>
      </w:pPr>
      <w:r>
        <w:rPr>
          <w:rFonts w:ascii="Consolas" w:hAnsi="Consolas"/>
          <w:color w:val="323232"/>
          <w:sz w:val="18"/>
        </w:rPr>
        <w:t>会议名称：[名称]</w:t>
      </w:r>
    </w:p>
    <w:p>
      <w:pPr>
        <w:spacing w:after="0" w:line="240" w:lineRule="auto"/>
        <w:shd w:fill="F5F5F5" w:val="clear"/>
      </w:pPr>
      <w:r>
        <w:rPr>
          <w:rFonts w:ascii="Consolas" w:hAnsi="Consolas"/>
          <w:color w:val="323232"/>
          <w:sz w:val="18"/>
        </w:rPr>
        <w:t>日期：[日期]</w:t>
      </w:r>
    </w:p>
    <w:p>
      <w:pPr>
        <w:spacing w:after="0" w:line="240" w:lineRule="auto"/>
        <w:shd w:fill="F5F5F5" w:val="clear"/>
      </w:pPr>
      <w:r>
        <w:rPr>
          <w:rFonts w:ascii="Consolas" w:hAnsi="Consolas"/>
          <w:color w:val="323232"/>
          <w:sz w:val="18"/>
        </w:rPr>
        <w:t>参与人员：[名单]</w:t>
      </w:r>
    </w:p>
    <w:p>
      <w:pPr>
        <w:spacing w:after="0" w:line="240" w:lineRule="auto"/>
        <w:shd w:fill="F5F5F5" w:val="clear"/>
      </w:pPr>
      <w:r>
        <w:rPr>
          <w:rFonts w:ascii="Consolas" w:hAnsi="Consolas"/>
          <w:color w:val="323232"/>
          <w:sz w:val="18"/>
        </w:rPr>
      </w:r>
    </w:p>
    <w:p>
      <w:pPr>
        <w:spacing w:after="0" w:line="240" w:lineRule="auto"/>
        <w:shd w:fill="F5F5F5" w:val="clear"/>
      </w:pPr>
      <w:r>
        <w:rPr>
          <w:rFonts w:ascii="Consolas" w:hAnsi="Consolas"/>
          <w:color w:val="323232"/>
          <w:sz w:val="18"/>
        </w:rPr>
        <w:t>议题：</w:t>
      </w:r>
    </w:p>
    <w:p>
      <w:pPr>
        <w:spacing w:after="0" w:line="240" w:lineRule="auto"/>
        <w:shd w:fill="F5F5F5" w:val="clear"/>
      </w:pPr>
      <w:r>
        <w:rPr>
          <w:rFonts w:ascii="Consolas" w:hAnsi="Consolas"/>
          <w:color w:val="323232"/>
          <w:sz w:val="18"/>
        </w:rPr>
        <w:t>1. [议题1]</w:t>
      </w:r>
    </w:p>
    <w:p>
      <w:pPr>
        <w:spacing w:after="0" w:line="240" w:lineRule="auto"/>
        <w:shd w:fill="F5F5F5" w:val="clear"/>
      </w:pPr>
      <w:r>
        <w:rPr>
          <w:rFonts w:ascii="Consolas" w:hAnsi="Consolas"/>
          <w:color w:val="323232"/>
          <w:sz w:val="18"/>
        </w:rPr>
        <w:t>2. [议题2]</w:t>
      </w:r>
    </w:p>
    <w:p>
      <w:pPr>
        <w:spacing w:after="0" w:line="240" w:lineRule="auto"/>
        <w:shd w:fill="F5F5F5" w:val="clear"/>
      </w:pPr>
      <w:r>
        <w:rPr>
          <w:rFonts w:ascii="Consolas" w:hAnsi="Consolas"/>
          <w:color w:val="323232"/>
          <w:sz w:val="18"/>
        </w:rPr>
      </w:r>
    </w:p>
    <w:p>
      <w:pPr>
        <w:spacing w:after="0" w:line="240" w:lineRule="auto"/>
        <w:shd w:fill="F5F5F5" w:val="clear"/>
      </w:pPr>
      <w:r>
        <w:rPr>
          <w:rFonts w:ascii="Consolas" w:hAnsi="Consolas"/>
          <w:color w:val="323232"/>
          <w:sz w:val="18"/>
        </w:rPr>
        <w:t>讨论要点：</w:t>
      </w:r>
    </w:p>
    <w:p>
      <w:pPr>
        <w:spacing w:after="0" w:line="240" w:lineRule="auto"/>
        <w:shd w:fill="F5F5F5" w:val="clear"/>
      </w:pPr>
      <w:r>
        <w:rPr>
          <w:rFonts w:ascii="Consolas" w:hAnsi="Consolas"/>
          <w:color w:val="323232"/>
          <w:sz w:val="18"/>
        </w:rPr>
        <w:t>- [要点1]</w:t>
      </w:r>
    </w:p>
    <w:p>
      <w:pPr>
        <w:spacing w:after="0" w:line="240" w:lineRule="auto"/>
        <w:shd w:fill="F5F5F5" w:val="clear"/>
      </w:pPr>
      <w:r>
        <w:rPr>
          <w:rFonts w:ascii="Consolas" w:hAnsi="Consolas"/>
          <w:color w:val="323232"/>
          <w:sz w:val="18"/>
        </w:rPr>
        <w:t>- [要点2]</w:t>
      </w:r>
    </w:p>
    <w:p>
      <w:pPr>
        <w:spacing w:after="0" w:line="240" w:lineRule="auto"/>
        <w:shd w:fill="F5F5F5" w:val="clear"/>
      </w:pPr>
      <w:r>
        <w:rPr>
          <w:rFonts w:ascii="Consolas" w:hAnsi="Consolas"/>
          <w:color w:val="323232"/>
          <w:sz w:val="18"/>
        </w:rPr>
      </w:r>
    </w:p>
    <w:p>
      <w:pPr>
        <w:spacing w:after="0" w:line="240" w:lineRule="auto"/>
        <w:shd w:fill="F5F5F5" w:val="clear"/>
      </w:pPr>
      <w:r>
        <w:rPr>
          <w:rFonts w:ascii="Consolas" w:hAnsi="Consolas"/>
          <w:color w:val="323232"/>
          <w:sz w:val="18"/>
        </w:rPr>
        <w:t>决议：</w:t>
      </w:r>
    </w:p>
    <w:p>
      <w:pPr>
        <w:spacing w:after="0" w:line="240" w:lineRule="auto"/>
        <w:shd w:fill="F5F5F5" w:val="clear"/>
      </w:pPr>
      <w:r>
        <w:rPr>
          <w:rFonts w:ascii="Consolas" w:hAnsi="Consolas"/>
          <w:color w:val="323232"/>
          <w:sz w:val="18"/>
        </w:rPr>
        <w:t>- [决议1]（责任人：[姓名]，截止：[日期]）</w:t>
      </w:r>
    </w:p>
    <w:p>
      <w:pPr>
        <w:spacing w:after="0" w:line="240" w:lineRule="auto"/>
        <w:shd w:fill="F5F5F5" w:val="clear"/>
      </w:pPr>
      <w:r>
        <w:rPr>
          <w:rFonts w:ascii="Consolas" w:hAnsi="Consolas"/>
          <w:color w:val="323232"/>
          <w:sz w:val="18"/>
        </w:rPr>
        <w:t>- [决议2]（责任人：[姓名]，截止：[日期]）</w:t>
      </w:r>
    </w:p>
    <w:p>
      <w:pPr>
        <w:spacing w:after="0" w:line="240" w:lineRule="auto"/>
        <w:shd w:fill="F5F5F5" w:val="clear"/>
      </w:pPr>
      <w:r>
        <w:rPr>
          <w:rFonts w:ascii="Consolas" w:hAnsi="Consolas"/>
          <w:color w:val="323232"/>
          <w:sz w:val="18"/>
        </w:rPr>
      </w:r>
    </w:p>
    <w:p>
      <w:pPr>
        <w:spacing w:after="0" w:line="240" w:lineRule="auto"/>
        <w:shd w:fill="F5F5F5" w:val="clear"/>
      </w:pPr>
      <w:r>
        <w:rPr>
          <w:rFonts w:ascii="Consolas" w:hAnsi="Consolas"/>
          <w:color w:val="323232"/>
          <w:sz w:val="18"/>
        </w:rPr>
        <w:t>下次会议：[日期] [时间]</w:t>
      </w:r>
    </w:p>
    <w:p/>
    <w:p>
      <w:pPr>
        <w:pStyle w:val="Heading2"/>
      </w:pPr>
      <w:r>
        <w:t>D.10 资产管理模板</w:t>
      </w:r>
    </w:p>
    <w:p/>
    <w:p>
      <w:pPr>
        <w:pStyle w:val="Heading3"/>
      </w:pPr>
      <w:r>
        <w:t>D.10.1 3D 资产登记表</w:t>
      </w:r>
    </w:p>
    <w:p/>
    <w:tbl>
      <w:tblPr>
        <w:tblStyle w:val="TableGrid"/>
        <w:tblW w:type="auto" w:w="0"/>
        <w:jc w:val="center"/>
        <w:tblLook w:firstColumn="1" w:firstRow="1" w:lastColumn="0" w:lastRow="0" w:noHBand="0" w:noVBand="1" w:val="04A0"/>
      </w:tblPr>
      <w:tblGrid>
        <w:gridCol w:w="831"/>
        <w:gridCol w:w="831"/>
        <w:gridCol w:w="831"/>
        <w:gridCol w:w="831"/>
        <w:gridCol w:w="831"/>
        <w:gridCol w:w="831"/>
        <w:gridCol w:w="831"/>
        <w:gridCol w:w="831"/>
        <w:gridCol w:w="831"/>
        <w:gridCol w:w="831"/>
      </w:tblGrid>
      <w:tr>
        <w:tc>
          <w:tcPr>
            <w:tcW w:type="dxa" w:w="831"/>
            <w:shd w:fill="D9E2F3" w:val="clear"/>
          </w:tcPr>
          <w:p>
            <w:pPr>
              <w:jc w:val="center"/>
            </w:pPr>
            <w:r/>
            <w:r>
              <w:rPr>
                <w:rFonts w:ascii="黑体" w:hAnsi="黑体" w:eastAsia="黑体"/>
                <w:b/>
                <w:sz w:val="20"/>
              </w:rPr>
              <w:t>资产ID</w:t>
            </w:r>
          </w:p>
        </w:tc>
        <w:tc>
          <w:tcPr>
            <w:tcW w:type="dxa" w:w="831"/>
            <w:shd w:fill="D9E2F3" w:val="clear"/>
          </w:tcPr>
          <w:p>
            <w:pPr>
              <w:jc w:val="center"/>
            </w:pPr>
            <w:r/>
            <w:r>
              <w:rPr>
                <w:rFonts w:ascii="黑体" w:hAnsi="黑体" w:eastAsia="黑体"/>
                <w:b/>
                <w:sz w:val="20"/>
              </w:rPr>
              <w:t>资产名称</w:t>
            </w:r>
          </w:p>
        </w:tc>
        <w:tc>
          <w:tcPr>
            <w:tcW w:type="dxa" w:w="831"/>
            <w:shd w:fill="D9E2F3" w:val="clear"/>
          </w:tcPr>
          <w:p>
            <w:pPr>
              <w:jc w:val="center"/>
            </w:pPr>
            <w:r/>
            <w:r>
              <w:rPr>
                <w:rFonts w:ascii="黑体" w:hAnsi="黑体" w:eastAsia="黑体"/>
                <w:b/>
                <w:sz w:val="20"/>
              </w:rPr>
              <w:t>类型</w:t>
            </w:r>
          </w:p>
        </w:tc>
        <w:tc>
          <w:tcPr>
            <w:tcW w:type="dxa" w:w="831"/>
            <w:shd w:fill="D9E2F3" w:val="clear"/>
          </w:tcPr>
          <w:p>
            <w:pPr>
              <w:jc w:val="center"/>
            </w:pPr>
            <w:r/>
            <w:r>
              <w:rPr>
                <w:rFonts w:ascii="黑体" w:hAnsi="黑体" w:eastAsia="黑体"/>
                <w:b/>
                <w:sz w:val="20"/>
              </w:rPr>
              <w:t>文件格式</w:t>
            </w:r>
          </w:p>
        </w:tc>
        <w:tc>
          <w:tcPr>
            <w:tcW w:type="dxa" w:w="831"/>
            <w:shd w:fill="D9E2F3" w:val="clear"/>
          </w:tcPr>
          <w:p>
            <w:pPr>
              <w:jc w:val="center"/>
            </w:pPr>
            <w:r/>
            <w:r>
              <w:rPr>
                <w:rFonts w:ascii="黑体" w:hAnsi="黑体" w:eastAsia="黑体"/>
                <w:b/>
                <w:sz w:val="20"/>
              </w:rPr>
              <w:t>面数</w:t>
            </w:r>
          </w:p>
        </w:tc>
        <w:tc>
          <w:tcPr>
            <w:tcW w:type="dxa" w:w="831"/>
            <w:shd w:fill="D9E2F3" w:val="clear"/>
          </w:tcPr>
          <w:p>
            <w:pPr>
              <w:jc w:val="center"/>
            </w:pPr>
            <w:r/>
            <w:r>
              <w:rPr>
                <w:rFonts w:ascii="黑体" w:hAnsi="黑体" w:eastAsia="黑体"/>
                <w:b/>
                <w:sz w:val="20"/>
              </w:rPr>
              <w:t>纹理分辨率</w:t>
            </w:r>
          </w:p>
        </w:tc>
        <w:tc>
          <w:tcPr>
            <w:tcW w:type="dxa" w:w="831"/>
            <w:shd w:fill="D9E2F3" w:val="clear"/>
          </w:tcPr>
          <w:p>
            <w:pPr>
              <w:jc w:val="center"/>
            </w:pPr>
            <w:r/>
            <w:r>
              <w:rPr>
                <w:rFonts w:ascii="黑体" w:hAnsi="黑体" w:eastAsia="黑体"/>
                <w:b/>
                <w:sz w:val="20"/>
              </w:rPr>
              <w:t>文件大小</w:t>
            </w:r>
          </w:p>
        </w:tc>
        <w:tc>
          <w:tcPr>
            <w:tcW w:type="dxa" w:w="831"/>
            <w:shd w:fill="D9E2F3" w:val="clear"/>
          </w:tcPr>
          <w:p>
            <w:pPr>
              <w:jc w:val="center"/>
            </w:pPr>
            <w:r/>
            <w:r>
              <w:rPr>
                <w:rFonts w:ascii="黑体" w:hAnsi="黑体" w:eastAsia="黑体"/>
                <w:b/>
                <w:sz w:val="20"/>
              </w:rPr>
              <w:t>来源</w:t>
            </w:r>
          </w:p>
        </w:tc>
        <w:tc>
          <w:tcPr>
            <w:tcW w:type="dxa" w:w="831"/>
            <w:shd w:fill="D9E2F3" w:val="clear"/>
          </w:tcPr>
          <w:p>
            <w:pPr>
              <w:jc w:val="center"/>
            </w:pPr>
            <w:r/>
            <w:r>
              <w:rPr>
                <w:rFonts w:ascii="黑体" w:hAnsi="黑体" w:eastAsia="黑体"/>
                <w:b/>
                <w:sz w:val="20"/>
              </w:rPr>
              <w:t>授权状态</w:t>
            </w:r>
          </w:p>
        </w:tc>
        <w:tc>
          <w:tcPr>
            <w:tcW w:type="dxa" w:w="831"/>
            <w:shd w:fill="D9E2F3" w:val="clear"/>
          </w:tcPr>
          <w:p>
            <w:pPr>
              <w:jc w:val="center"/>
            </w:pPr>
            <w:r/>
            <w:r>
              <w:rPr>
                <w:rFonts w:ascii="黑体" w:hAnsi="黑体" w:eastAsia="黑体"/>
                <w:b/>
                <w:sz w:val="20"/>
              </w:rPr>
              <w:t>使用场景</w:t>
            </w:r>
          </w:p>
        </w:tc>
      </w:tr>
      <w:tr>
        <w:tc>
          <w:tcPr>
            <w:tcW w:type="dxa" w:w="831"/>
          </w:tcPr>
          <w:p>
            <w:r/>
            <w:r>
              <w:rPr>
                <w:rFonts w:ascii="宋体" w:hAnsi="宋体" w:eastAsia="宋体"/>
                <w:sz w:val="20"/>
              </w:rPr>
              <w:t>A001</w:t>
            </w:r>
          </w:p>
        </w:tc>
        <w:tc>
          <w:tcPr>
            <w:tcW w:type="dxa" w:w="831"/>
          </w:tcPr>
          <w:p>
            <w:r/>
            <w:r>
              <w:rPr>
                <w:rFonts w:ascii="宋体" w:hAnsi="宋体" w:eastAsia="宋体"/>
                <w:sz w:val="20"/>
              </w:rPr>
              <w:t>苗寨吊脚楼</w:t>
            </w:r>
          </w:p>
        </w:tc>
        <w:tc>
          <w:tcPr>
            <w:tcW w:type="dxa" w:w="831"/>
          </w:tcPr>
          <w:p>
            <w:r/>
            <w:r>
              <w:rPr>
                <w:rFonts w:ascii="宋体" w:hAnsi="宋体" w:eastAsia="宋体"/>
                <w:sz w:val="20"/>
              </w:rPr>
              <w:t>建筑</w:t>
            </w:r>
          </w:p>
        </w:tc>
        <w:tc>
          <w:tcPr>
            <w:tcW w:type="dxa" w:w="831"/>
          </w:tcPr>
          <w:p>
            <w:r/>
            <w:r>
              <w:rPr>
                <w:rFonts w:ascii="宋体" w:hAnsi="宋体" w:eastAsia="宋体"/>
                <w:sz w:val="20"/>
              </w:rPr>
              <w:t>FBX</w:t>
            </w:r>
          </w:p>
        </w:tc>
        <w:tc>
          <w:tcPr>
            <w:tcW w:type="dxa" w:w="831"/>
          </w:tcPr>
          <w:p>
            <w:r/>
            <w:r>
              <w:rPr>
                <w:rFonts w:ascii="宋体" w:hAnsi="宋体" w:eastAsia="宋体"/>
                <w:sz w:val="20"/>
              </w:rPr>
              <w:t>18500</w:t>
            </w:r>
          </w:p>
        </w:tc>
        <w:tc>
          <w:tcPr>
            <w:tcW w:type="dxa" w:w="831"/>
          </w:tcPr>
          <w:p>
            <w:r/>
            <w:r>
              <w:rPr>
                <w:rFonts w:ascii="宋体" w:hAnsi="宋体" w:eastAsia="宋体"/>
                <w:sz w:val="20"/>
              </w:rPr>
              <w:t>2048x2048</w:t>
            </w:r>
          </w:p>
        </w:tc>
        <w:tc>
          <w:tcPr>
            <w:tcW w:type="dxa" w:w="831"/>
          </w:tcPr>
          <w:p>
            <w:r/>
            <w:r>
              <w:rPr>
                <w:rFonts w:ascii="宋体" w:hAnsi="宋体" w:eastAsia="宋体"/>
                <w:sz w:val="20"/>
              </w:rPr>
              <w:t>12MB</w:t>
            </w:r>
          </w:p>
        </w:tc>
        <w:tc>
          <w:tcPr>
            <w:tcW w:type="dxa" w:w="831"/>
          </w:tcPr>
          <w:p>
            <w:r/>
            <w:r>
              <w:rPr>
                <w:rFonts w:ascii="宋体" w:hAnsi="宋体" w:eastAsia="宋体"/>
                <w:sz w:val="20"/>
              </w:rPr>
              <w:t>自制</w:t>
            </w:r>
          </w:p>
        </w:tc>
        <w:tc>
          <w:tcPr>
            <w:tcW w:type="dxa" w:w="831"/>
          </w:tcPr>
          <w:p>
            <w:r/>
            <w:r>
              <w:rPr>
                <w:rFonts w:ascii="宋体" w:hAnsi="宋体" w:eastAsia="宋体"/>
                <w:sz w:val="20"/>
              </w:rPr>
              <w:t>原创</w:t>
            </w:r>
          </w:p>
        </w:tc>
        <w:tc>
          <w:tcPr>
            <w:tcW w:type="dxa" w:w="831"/>
          </w:tcPr>
          <w:p>
            <w:r/>
            <w:r>
              <w:rPr>
                <w:rFonts w:ascii="宋体" w:hAnsi="宋体" w:eastAsia="宋体"/>
                <w:sz w:val="20"/>
              </w:rPr>
              <w:t>Ch10/Ch12</w:t>
            </w:r>
          </w:p>
        </w:tc>
      </w:tr>
      <w:tr>
        <w:tc>
          <w:tcPr>
            <w:tcW w:type="dxa" w:w="831"/>
          </w:tcPr>
          <w:p>
            <w:r/>
            <w:r>
              <w:rPr>
                <w:rFonts w:ascii="宋体" w:hAnsi="宋体" w:eastAsia="宋体"/>
                <w:sz w:val="20"/>
              </w:rPr>
              <w:t>A002</w:t>
            </w:r>
          </w:p>
        </w:tc>
        <w:tc>
          <w:tcPr>
            <w:tcW w:type="dxa" w:w="831"/>
          </w:tcPr>
          <w:p>
            <w:r/>
            <w:r>
              <w:rPr>
                <w:rFonts w:ascii="宋体" w:hAnsi="宋体" w:eastAsia="宋体"/>
                <w:sz w:val="20"/>
              </w:rPr>
              <w:t>地戏面具</w:t>
            </w:r>
          </w:p>
        </w:tc>
        <w:tc>
          <w:tcPr>
            <w:tcW w:type="dxa" w:w="831"/>
          </w:tcPr>
          <w:p>
            <w:r/>
            <w:r>
              <w:rPr>
                <w:rFonts w:ascii="宋体" w:hAnsi="宋体" w:eastAsia="宋体"/>
                <w:sz w:val="20"/>
              </w:rPr>
              <w:t>道具</w:t>
            </w:r>
          </w:p>
        </w:tc>
        <w:tc>
          <w:tcPr>
            <w:tcW w:type="dxa" w:w="831"/>
          </w:tcPr>
          <w:p>
            <w:r/>
            <w:r>
              <w:rPr>
                <w:rFonts w:ascii="宋体" w:hAnsi="宋体" w:eastAsia="宋体"/>
                <w:sz w:val="20"/>
              </w:rPr>
              <w:t>FBX</w:t>
            </w:r>
          </w:p>
        </w:tc>
        <w:tc>
          <w:tcPr>
            <w:tcW w:type="dxa" w:w="831"/>
          </w:tcPr>
          <w:p>
            <w:r/>
            <w:r>
              <w:rPr>
                <w:rFonts w:ascii="宋体" w:hAnsi="宋体" w:eastAsia="宋体"/>
                <w:sz w:val="20"/>
              </w:rPr>
              <w:t>8500</w:t>
            </w:r>
          </w:p>
        </w:tc>
        <w:tc>
          <w:tcPr>
            <w:tcW w:type="dxa" w:w="831"/>
          </w:tcPr>
          <w:p>
            <w:r/>
            <w:r>
              <w:rPr>
                <w:rFonts w:ascii="宋体" w:hAnsi="宋体" w:eastAsia="宋体"/>
                <w:sz w:val="20"/>
              </w:rPr>
              <w:t>2048x2048</w:t>
            </w:r>
          </w:p>
        </w:tc>
        <w:tc>
          <w:tcPr>
            <w:tcW w:type="dxa" w:w="831"/>
          </w:tcPr>
          <w:p>
            <w:r/>
            <w:r>
              <w:rPr>
                <w:rFonts w:ascii="宋体" w:hAnsi="宋体" w:eastAsia="宋体"/>
                <w:sz w:val="20"/>
              </w:rPr>
              <w:t>6MB</w:t>
            </w:r>
          </w:p>
        </w:tc>
        <w:tc>
          <w:tcPr>
            <w:tcW w:type="dxa" w:w="831"/>
          </w:tcPr>
          <w:p>
            <w:r/>
            <w:r>
              <w:rPr>
                <w:rFonts w:ascii="宋体" w:hAnsi="宋体" w:eastAsia="宋体"/>
                <w:sz w:val="20"/>
              </w:rPr>
              <w:t>扫描</w:t>
            </w:r>
          </w:p>
        </w:tc>
        <w:tc>
          <w:tcPr>
            <w:tcW w:type="dxa" w:w="831"/>
          </w:tcPr>
          <w:p>
            <w:r/>
            <w:r>
              <w:rPr>
                <w:rFonts w:ascii="宋体" w:hAnsi="宋体" w:eastAsia="宋体"/>
                <w:sz w:val="20"/>
              </w:rPr>
              <w:t>授权</w:t>
            </w:r>
          </w:p>
        </w:tc>
        <w:tc>
          <w:tcPr>
            <w:tcW w:type="dxa" w:w="831"/>
          </w:tcPr>
          <w:p>
            <w:r/>
            <w:r>
              <w:rPr>
                <w:rFonts w:ascii="宋体" w:hAnsi="宋体" w:eastAsia="宋体"/>
                <w:sz w:val="20"/>
              </w:rPr>
              <w:t>Ch11</w:t>
            </w:r>
          </w:p>
        </w:tc>
      </w:tr>
      <w:tr>
        <w:tc>
          <w:tcPr>
            <w:tcW w:type="dxa" w:w="831"/>
          </w:tcPr>
          <w:p>
            <w:r/>
            <w:r>
              <w:rPr>
                <w:rFonts w:ascii="宋体" w:hAnsi="宋体" w:eastAsia="宋体"/>
                <w:sz w:val="20"/>
              </w:rPr>
              <w:t>A003</w:t>
            </w:r>
          </w:p>
        </w:tc>
        <w:tc>
          <w:tcPr>
            <w:tcW w:type="dxa" w:w="831"/>
          </w:tcPr>
          <w:p>
            <w:r/>
            <w:r>
              <w:rPr>
                <w:rFonts w:ascii="宋体" w:hAnsi="宋体" w:eastAsia="宋体"/>
                <w:sz w:val="20"/>
              </w:rPr>
              <w:t>黄果树瀑布</w:t>
            </w:r>
          </w:p>
        </w:tc>
        <w:tc>
          <w:tcPr>
            <w:tcW w:type="dxa" w:w="831"/>
          </w:tcPr>
          <w:p>
            <w:r/>
            <w:r>
              <w:rPr>
                <w:rFonts w:ascii="宋体" w:hAnsi="宋体" w:eastAsia="宋体"/>
                <w:sz w:val="20"/>
              </w:rPr>
              <w:t>场景</w:t>
            </w:r>
          </w:p>
        </w:tc>
        <w:tc>
          <w:tcPr>
            <w:tcW w:type="dxa" w:w="831"/>
          </w:tcPr>
          <w:p>
            <w:r/>
            <w:r>
              <w:rPr>
                <w:rFonts w:ascii="宋体" w:hAnsi="宋体" w:eastAsia="宋体"/>
                <w:sz w:val="20"/>
              </w:rPr>
              <w:t>FBX</w:t>
            </w:r>
          </w:p>
        </w:tc>
        <w:tc>
          <w:tcPr>
            <w:tcW w:type="dxa" w:w="831"/>
          </w:tcPr>
          <w:p>
            <w:r/>
            <w:r>
              <w:rPr>
                <w:rFonts w:ascii="宋体" w:hAnsi="宋体" w:eastAsia="宋体"/>
                <w:sz w:val="20"/>
              </w:rPr>
              <w:t>520000</w:t>
            </w:r>
          </w:p>
        </w:tc>
        <w:tc>
          <w:tcPr>
            <w:tcW w:type="dxa" w:w="831"/>
          </w:tcPr>
          <w:p>
            <w:r/>
            <w:r>
              <w:rPr>
                <w:rFonts w:ascii="宋体" w:hAnsi="宋体" w:eastAsia="宋体"/>
                <w:sz w:val="20"/>
              </w:rPr>
              <w:t>4096x4096</w:t>
            </w:r>
          </w:p>
        </w:tc>
        <w:tc>
          <w:tcPr>
            <w:tcW w:type="dxa" w:w="831"/>
          </w:tcPr>
          <w:p>
            <w:r/>
            <w:r>
              <w:rPr>
                <w:rFonts w:ascii="宋体" w:hAnsi="宋体" w:eastAsia="宋体"/>
                <w:sz w:val="20"/>
              </w:rPr>
              <w:t>85MB</w:t>
            </w:r>
          </w:p>
        </w:tc>
        <w:tc>
          <w:tcPr>
            <w:tcW w:type="dxa" w:w="831"/>
          </w:tcPr>
          <w:p>
            <w:r/>
            <w:r>
              <w:rPr>
                <w:rFonts w:ascii="宋体" w:hAnsi="宋体" w:eastAsia="宋体"/>
                <w:sz w:val="20"/>
              </w:rPr>
              <w:t>扫描</w:t>
            </w:r>
          </w:p>
        </w:tc>
        <w:tc>
          <w:tcPr>
            <w:tcW w:type="dxa" w:w="831"/>
          </w:tcPr>
          <w:p>
            <w:r/>
            <w:r>
              <w:rPr>
                <w:rFonts w:ascii="宋体" w:hAnsi="宋体" w:eastAsia="宋体"/>
                <w:sz w:val="20"/>
              </w:rPr>
              <w:t>原创</w:t>
            </w:r>
          </w:p>
        </w:tc>
        <w:tc>
          <w:tcPr>
            <w:tcW w:type="dxa" w:w="831"/>
          </w:tcPr>
          <w:p>
            <w:r/>
            <w:r>
              <w:rPr>
                <w:rFonts w:ascii="宋体" w:hAnsi="宋体" w:eastAsia="宋体"/>
                <w:sz w:val="20"/>
              </w:rPr>
              <w:t>Ch10/Ch12</w:t>
            </w:r>
          </w:p>
        </w:tc>
      </w:tr>
    </w:tbl>
    <w:p/>
    <w:p/>
    <w:p>
      <w:pPr>
        <w:pStyle w:val="Heading3"/>
      </w:pPr>
      <w:r>
        <w:t>D.10.2 资产命名规范</w:t>
      </w:r>
    </w:p>
    <w:p/>
    <w:p>
      <w:pPr>
        <w:ind w:firstLine="482"/>
      </w:pPr>
      <w:r>
        <w:rPr>
          <w:rFonts w:ascii="宋体" w:hAnsi="宋体" w:eastAsia="宋体"/>
          <w:sz w:val="24"/>
        </w:rPr>
        <w:t>命名格式：</w:t>
      </w:r>
      <w:r>
        <w:rPr>
          <w:rFonts w:ascii="Consolas" w:hAnsi="Consolas"/>
          <w:color w:val="C83232"/>
          <w:sz w:val="20"/>
        </w:rPr>
        <w:t>[类型]_[名称]_[版本]_[ LOD].[扩展名]</w:t>
      </w:r>
    </w:p>
    <w:p/>
    <w:p>
      <w:pPr>
        <w:ind w:firstLine="482"/>
      </w:pPr>
      <w:r>
        <w:rPr>
          <w:rFonts w:ascii="宋体" w:hAnsi="宋体" w:eastAsia="宋体"/>
          <w:sz w:val="24"/>
        </w:rPr>
        <w:t>类型代码：MDL(模型)、TEX(纹理)、MAT(材质)、ANI(动画)、AUD(音频)、EFF(特效)、SCN(场景)、PFB(预制体)</w:t>
      </w:r>
    </w:p>
    <w:p/>
    <w:p>
      <w:pPr>
        <w:ind w:firstLine="482"/>
      </w:pPr>
      <w:r>
        <w:rPr>
          <w:rFonts w:ascii="宋体" w:hAnsi="宋体" w:eastAsia="宋体"/>
          <w:sz w:val="24"/>
        </w:rPr>
        <w:t>示例：</w:t>
      </w:r>
      <w:r>
        <w:rPr>
          <w:rFonts w:ascii="Consolas" w:hAnsi="Consolas"/>
          <w:color w:val="C83232"/>
          <w:sz w:val="20"/>
        </w:rPr>
        <w:t>MDL_TunpuGate_v03_LOD0.fbx</w:t>
      </w:r>
      <w:r>
        <w:rPr>
          <w:rFonts w:ascii="宋体" w:hAnsi="宋体" w:eastAsia="宋体"/>
          <w:sz w:val="24"/>
        </w:rPr>
        <w:t>、</w:t>
      </w:r>
      <w:r>
        <w:rPr>
          <w:rFonts w:ascii="Consolas" w:hAnsi="Consolas"/>
          <w:color w:val="C83232"/>
          <w:sz w:val="20"/>
        </w:rPr>
        <w:t>TEX_StoneWall_D_2k.png</w:t>
      </w:r>
      <w:r>
        <w:rPr>
          <w:rFonts w:ascii="宋体" w:hAnsi="宋体" w:eastAsia="宋体"/>
          <w:sz w:val="24"/>
        </w:rPr>
        <w:t>、</w:t>
      </w:r>
      <w:r>
        <w:rPr>
          <w:rFonts w:ascii="Consolas" w:hAnsi="Consolas"/>
          <w:color w:val="C83232"/>
          <w:sz w:val="20"/>
        </w:rPr>
        <w:t>AUD_Narration01_ZH.mp3</w:t>
      </w:r>
    </w:p>
    <w:p/>
    <w:p>
      <w:pPr>
        <w:pStyle w:val="Heading3"/>
      </w:pPr>
      <w:r>
        <w:t>D.10.3 资产存储结构</w:t>
      </w:r>
    </w:p>
    <w:p/>
    <w:p>
      <w:pPr>
        <w:spacing w:after="0" w:line="240" w:lineRule="auto"/>
        <w:shd w:fill="F5F5F5" w:val="clear"/>
      </w:pPr>
      <w:r>
        <w:rPr>
          <w:rFonts w:ascii="Consolas" w:hAnsi="Consolas"/>
          <w:color w:val="323232"/>
          <w:sz w:val="18"/>
        </w:rPr>
        <w:t>/Assets</w:t>
      </w:r>
    </w:p>
    <w:p>
      <w:pPr>
        <w:spacing w:after="0" w:line="240" w:lineRule="auto"/>
        <w:shd w:fill="F5F5F5" w:val="clear"/>
      </w:pPr>
      <w:r>
        <w:rPr>
          <w:rFonts w:ascii="Consolas" w:hAnsi="Consolas"/>
          <w:color w:val="323232"/>
          <w:sz w:val="18"/>
        </w:rPr>
        <w:t>├── /Models          # 3D模型</w:t>
      </w:r>
    </w:p>
    <w:p>
      <w:pPr>
        <w:spacing w:after="0" w:line="240" w:lineRule="auto"/>
        <w:shd w:fill="F5F5F5" w:val="clear"/>
      </w:pPr>
      <w:r>
        <w:rPr>
          <w:rFonts w:ascii="Consolas" w:hAnsi="Consolas"/>
          <w:color w:val="323232"/>
          <w:sz w:val="18"/>
        </w:rPr>
        <w:t>│   ├── /Buildings    # 建筑模型</w:t>
      </w:r>
    </w:p>
    <w:p>
      <w:pPr>
        <w:spacing w:after="0" w:line="240" w:lineRule="auto"/>
        <w:shd w:fill="F5F5F5" w:val="clear"/>
      </w:pPr>
      <w:r>
        <w:rPr>
          <w:rFonts w:ascii="Consolas" w:hAnsi="Consolas"/>
          <w:color w:val="323232"/>
          <w:sz w:val="18"/>
        </w:rPr>
        <w:t>│   ├── /Characters   # 角色模型</w:t>
      </w:r>
    </w:p>
    <w:p>
      <w:pPr>
        <w:spacing w:after="0" w:line="240" w:lineRule="auto"/>
        <w:shd w:fill="F5F5F5" w:val="clear"/>
      </w:pPr>
      <w:r>
        <w:rPr>
          <w:rFonts w:ascii="Consolas" w:hAnsi="Consolas"/>
          <w:color w:val="323232"/>
          <w:sz w:val="18"/>
        </w:rPr>
        <w:t>│   ├── /Props        # 道具模型</w:t>
      </w:r>
    </w:p>
    <w:p>
      <w:pPr>
        <w:spacing w:after="0" w:line="240" w:lineRule="auto"/>
        <w:shd w:fill="F5F5F5" w:val="clear"/>
      </w:pPr>
      <w:r>
        <w:rPr>
          <w:rFonts w:ascii="Consolas" w:hAnsi="Consolas"/>
          <w:color w:val="323232"/>
          <w:sz w:val="18"/>
        </w:rPr>
        <w:t>│   └── /Environment  # 环境模型</w:t>
      </w:r>
    </w:p>
    <w:p>
      <w:pPr>
        <w:spacing w:after="0" w:line="240" w:lineRule="auto"/>
        <w:shd w:fill="F5F5F5" w:val="clear"/>
      </w:pPr>
      <w:r>
        <w:rPr>
          <w:rFonts w:ascii="Consolas" w:hAnsi="Consolas"/>
          <w:color w:val="323232"/>
          <w:sz w:val="18"/>
        </w:rPr>
        <w:t>├── /Textures         # 纹理贴图</w:t>
      </w:r>
    </w:p>
    <w:p>
      <w:pPr>
        <w:spacing w:after="0" w:line="240" w:lineRule="auto"/>
        <w:shd w:fill="F5F5F5" w:val="clear"/>
      </w:pPr>
      <w:r>
        <w:rPr>
          <w:rFonts w:ascii="Consolas" w:hAnsi="Consolas"/>
          <w:color w:val="323232"/>
          <w:sz w:val="18"/>
        </w:rPr>
        <w:t>│   ├── /PBR          # PBR纹理集</w:t>
      </w:r>
    </w:p>
    <w:p>
      <w:pPr>
        <w:spacing w:after="0" w:line="240" w:lineRule="auto"/>
        <w:shd w:fill="F5F5F5" w:val="clear"/>
      </w:pPr>
      <w:r>
        <w:rPr>
          <w:rFonts w:ascii="Consolas" w:hAnsi="Consolas"/>
          <w:color w:val="323232"/>
          <w:sz w:val="18"/>
        </w:rPr>
        <w:t>│   └── /UI           # UI纹理</w:t>
      </w:r>
    </w:p>
    <w:p>
      <w:pPr>
        <w:spacing w:after="0" w:line="240" w:lineRule="auto"/>
        <w:shd w:fill="F5F5F5" w:val="clear"/>
      </w:pPr>
      <w:r>
        <w:rPr>
          <w:rFonts w:ascii="Consolas" w:hAnsi="Consolas"/>
          <w:color w:val="323232"/>
          <w:sz w:val="18"/>
        </w:rPr>
        <w:t>├── /Materials        # 材质</w:t>
      </w:r>
    </w:p>
    <w:p>
      <w:pPr>
        <w:spacing w:after="0" w:line="240" w:lineRule="auto"/>
        <w:shd w:fill="F5F5F5" w:val="clear"/>
      </w:pPr>
      <w:r>
        <w:rPr>
          <w:rFonts w:ascii="Consolas" w:hAnsi="Consolas"/>
          <w:color w:val="323232"/>
          <w:sz w:val="18"/>
        </w:rPr>
        <w:t>├── /Animations       # 动画</w:t>
      </w:r>
    </w:p>
    <w:p>
      <w:pPr>
        <w:spacing w:after="0" w:line="240" w:lineRule="auto"/>
        <w:shd w:fill="F5F5F5" w:val="clear"/>
      </w:pPr>
      <w:r>
        <w:rPr>
          <w:rFonts w:ascii="Consolas" w:hAnsi="Consolas"/>
          <w:color w:val="323232"/>
          <w:sz w:val="18"/>
        </w:rPr>
        <w:t>├── /Audio            # 音频</w:t>
      </w:r>
    </w:p>
    <w:p>
      <w:pPr>
        <w:spacing w:after="0" w:line="240" w:lineRule="auto"/>
        <w:shd w:fill="F5F5F5" w:val="clear"/>
      </w:pPr>
      <w:r>
        <w:rPr>
          <w:rFonts w:ascii="Consolas" w:hAnsi="Consolas"/>
          <w:color w:val="323232"/>
          <w:sz w:val="18"/>
        </w:rPr>
        <w:t>│   ├── /Music        # 音乐</w:t>
      </w:r>
    </w:p>
    <w:p>
      <w:pPr>
        <w:spacing w:after="0" w:line="240" w:lineRule="auto"/>
        <w:shd w:fill="F5F5F5" w:val="clear"/>
      </w:pPr>
      <w:r>
        <w:rPr>
          <w:rFonts w:ascii="Consolas" w:hAnsi="Consolas"/>
          <w:color w:val="323232"/>
          <w:sz w:val="18"/>
        </w:rPr>
        <w:t>│   ├── /SFX          # 音效</w:t>
      </w:r>
    </w:p>
    <w:p>
      <w:pPr>
        <w:spacing w:after="0" w:line="240" w:lineRule="auto"/>
        <w:shd w:fill="F5F5F5" w:val="clear"/>
      </w:pPr>
      <w:r>
        <w:rPr>
          <w:rFonts w:ascii="Consolas" w:hAnsi="Consolas"/>
          <w:color w:val="323232"/>
          <w:sz w:val="18"/>
        </w:rPr>
        <w:t>│   └── /Voice        # 语音</w:t>
      </w:r>
    </w:p>
    <w:p>
      <w:pPr>
        <w:spacing w:after="0" w:line="240" w:lineRule="auto"/>
        <w:shd w:fill="F5F5F5" w:val="clear"/>
      </w:pPr>
      <w:r>
        <w:rPr>
          <w:rFonts w:ascii="Consolas" w:hAnsi="Consolas"/>
          <w:color w:val="323232"/>
          <w:sz w:val="18"/>
        </w:rPr>
        <w:t>├── /Prefabs          # 预制体</w:t>
      </w:r>
    </w:p>
    <w:p>
      <w:pPr>
        <w:spacing w:after="0" w:line="240" w:lineRule="auto"/>
        <w:shd w:fill="F5F5F5" w:val="clear"/>
      </w:pPr>
      <w:r>
        <w:rPr>
          <w:rFonts w:ascii="Consolas" w:hAnsi="Consolas"/>
          <w:color w:val="323232"/>
          <w:sz w:val="18"/>
        </w:rPr>
        <w:t>├── /Scenes           # 场景文件</w:t>
      </w:r>
    </w:p>
    <w:p>
      <w:pPr>
        <w:spacing w:after="0" w:line="240" w:lineRule="auto"/>
        <w:shd w:fill="F5F5F5" w:val="clear"/>
      </w:pPr>
      <w:r>
        <w:rPr>
          <w:rFonts w:ascii="Consolas" w:hAnsi="Consolas"/>
          <w:color w:val="323232"/>
          <w:sz w:val="18"/>
        </w:rPr>
        <w:t>├── /Scripts          # 代码</w:t>
      </w:r>
    </w:p>
    <w:p>
      <w:pPr>
        <w:spacing w:after="0" w:line="240" w:lineRule="auto"/>
        <w:shd w:fill="F5F5F5" w:val="clear"/>
      </w:pPr>
      <w:r>
        <w:rPr>
          <w:rFonts w:ascii="Consolas" w:hAnsi="Consolas"/>
          <w:color w:val="323232"/>
          <w:sz w:val="18"/>
        </w:rPr>
        <w:t>├── /Shaders          # 着色器</w:t>
      </w:r>
    </w:p>
    <w:p>
      <w:pPr>
        <w:spacing w:after="0" w:line="240" w:lineRule="auto"/>
        <w:shd w:fill="F5F5F5" w:val="clear"/>
      </w:pPr>
      <w:r>
        <w:rPr>
          <w:rFonts w:ascii="Consolas" w:hAnsi="Consolas"/>
          <w:color w:val="323232"/>
          <w:sz w:val="18"/>
        </w:rPr>
        <w:t>└── /Settings         # 配置文件</w:t>
      </w:r>
    </w:p>
    <w:p/>
    <w:p/>
    <w:p/>
    <w:p/>
    <w:p>
      <w:pPr>
        <w:pStyle w:val="Heading2"/>
      </w:pPr>
      <w:r>
        <w:t>D.11 项目验收与交付模板</w:t>
      </w:r>
    </w:p>
    <w:p/>
    <w:p>
      <w:pPr>
        <w:pStyle w:val="Heading3"/>
      </w:pPr>
      <w:r>
        <w:t>D.11.1 验收报告模板</w:t>
      </w:r>
    </w:p>
    <w:p/>
    <w:p>
      <w:pPr>
        <w:ind w:firstLine="482"/>
      </w:pPr>
      <w:r>
        <w:rPr>
          <w:rFonts w:ascii="宋体" w:hAnsi="宋体" w:eastAsia="宋体"/>
          <w:sz w:val="24"/>
        </w:rPr>
        <w:t>项目验收是实训项目的最终环节，以下验收报告模板确保验收过程规范化和标准化：</w:t>
      </w:r>
    </w:p>
    <w:p/>
    <w:p>
      <w:pPr>
        <w:ind w:firstLine="482"/>
      </w:pPr>
      <w:r>
        <w:rPr>
          <w:rFonts w:ascii="宋体" w:hAnsi="宋体" w:eastAsia="宋体"/>
          <w:b/>
          <w:sz w:val="24"/>
        </w:rPr>
        <w:t>一、项目基本信息</w:t>
      </w:r>
      <w:r>
        <w:rPr>
          <w:rFonts w:ascii="宋体" w:hAnsi="宋体" w:eastAsia="宋体"/>
          <w:sz w:val="24"/>
        </w:rPr>
        <w:t>：项目名称、委托方、开发方、验收日期、验收组成员。</w:t>
      </w:r>
    </w:p>
    <w:p/>
    <w:p>
      <w:pPr>
        <w:ind w:firstLine="482"/>
      </w:pPr>
      <w:r>
        <w:rPr>
          <w:rFonts w:ascii="宋体" w:hAnsi="宋体" w:eastAsia="宋体"/>
          <w:b/>
          <w:sz w:val="24"/>
        </w:rPr>
        <w:t>二、验收内容清单</w:t>
      </w:r>
      <w:r>
        <w:rPr>
          <w:rFonts w:ascii="宋体" w:hAnsi="宋体" w:eastAsia="宋体"/>
          <w:sz w:val="24"/>
        </w:rPr>
        <w:t>：逐项列出合同/需求规格中约定的交付物，标注验收结果（通过/不通过/部分通过）和验收说明。交付物通常包括：应用软件（可执行文件+源代码）、3D资产库、音频视频素材、技术文档（需求文档、设计文档、技术文档）、用户手册、测试报告和项目报告。</w:t>
      </w:r>
    </w:p>
    <w:p/>
    <w:p>
      <w:pPr>
        <w:ind w:firstLine="482"/>
      </w:pPr>
      <w:r>
        <w:rPr>
          <w:rFonts w:ascii="宋体" w:hAnsi="宋体" w:eastAsia="宋体"/>
          <w:b/>
          <w:sz w:val="24"/>
        </w:rPr>
        <w:t>三、技术指标达标情况</w:t>
      </w:r>
      <w:r>
        <w:rPr>
          <w:rFonts w:ascii="宋体" w:hAnsi="宋体" w:eastAsia="宋体"/>
          <w:sz w:val="24"/>
        </w:rPr>
        <w:t>：对照需求规格中的性能指标（帧率、内存、加载时间等），列出实测数据和达标判定。对于未达标指标，说明原因和改进计划。</w:t>
      </w:r>
    </w:p>
    <w:p/>
    <w:p>
      <w:pPr>
        <w:ind w:firstLine="482"/>
      </w:pPr>
      <w:r>
        <w:rPr>
          <w:rFonts w:ascii="宋体" w:hAnsi="宋体" w:eastAsia="宋体"/>
          <w:b/>
          <w:sz w:val="24"/>
        </w:rPr>
        <w:t>四、功能验收记录</w:t>
      </w:r>
      <w:r>
        <w:rPr>
          <w:rFonts w:ascii="宋体" w:hAnsi="宋体" w:eastAsia="宋体"/>
          <w:sz w:val="24"/>
        </w:rPr>
        <w:t>：逐项验证功能需求清单中的每个功能点，记录验收结果和问题。功能验收应在目标设备上进行实际操作测试，而非仅查看代码。</w:t>
      </w:r>
    </w:p>
    <w:p/>
    <w:p>
      <w:pPr>
        <w:ind w:firstLine="482"/>
      </w:pPr>
      <w:r>
        <w:rPr>
          <w:rFonts w:ascii="宋体" w:hAnsi="宋体" w:eastAsia="宋体"/>
          <w:b/>
          <w:sz w:val="24"/>
        </w:rPr>
        <w:t>五、验收结论</w:t>
      </w:r>
      <w:r>
        <w:rPr>
          <w:rFonts w:ascii="宋体" w:hAnsi="宋体" w:eastAsia="宋体"/>
          <w:sz w:val="24"/>
        </w:rPr>
        <w:t>：验收组给出验收结论——通过验收、有条件通过（需整改后复核）或不通过。结论需全体验收组成员签字确认。</w:t>
      </w:r>
    </w:p>
    <w:p/>
    <w:p>
      <w:pPr>
        <w:pStyle w:val="Heading3"/>
      </w:pPr>
      <w:r>
        <w:t>D.11.2 交付物清单模板</w:t>
      </w:r>
    </w:p>
    <w:p/>
    <w:tbl>
      <w:tblPr>
        <w:tblStyle w:val="TableGrid"/>
        <w:tblW w:type="auto" w:w="0"/>
        <w:jc w:val="center"/>
        <w:tblLook w:firstColumn="1" w:firstRow="1" w:lastColumn="0" w:lastRow="0" w:noHBand="0" w:noVBand="1" w:val="04A0"/>
      </w:tblPr>
      <w:tblGrid>
        <w:gridCol w:w="1187"/>
        <w:gridCol w:w="1187"/>
        <w:gridCol w:w="1187"/>
        <w:gridCol w:w="1187"/>
        <w:gridCol w:w="1187"/>
        <w:gridCol w:w="1187"/>
        <w:gridCol w:w="1187"/>
      </w:tblGrid>
      <w:tr>
        <w:tc>
          <w:tcPr>
            <w:tcW w:type="dxa" w:w="1187"/>
            <w:shd w:fill="D9E2F3" w:val="clear"/>
          </w:tcPr>
          <w:p>
            <w:pPr>
              <w:jc w:val="center"/>
            </w:pPr>
            <w:r/>
            <w:r>
              <w:rPr>
                <w:rFonts w:ascii="黑体" w:hAnsi="黑体" w:eastAsia="黑体"/>
                <w:b/>
                <w:sz w:val="20"/>
              </w:rPr>
              <w:t>序号</w:t>
            </w:r>
          </w:p>
        </w:tc>
        <w:tc>
          <w:tcPr>
            <w:tcW w:type="dxa" w:w="1187"/>
            <w:shd w:fill="D9E2F3" w:val="clear"/>
          </w:tcPr>
          <w:p>
            <w:pPr>
              <w:jc w:val="center"/>
            </w:pPr>
            <w:r/>
            <w:r>
              <w:rPr>
                <w:rFonts w:ascii="黑体" w:hAnsi="黑体" w:eastAsia="黑体"/>
                <w:b/>
                <w:sz w:val="20"/>
              </w:rPr>
              <w:t>交付物名称</w:t>
            </w:r>
          </w:p>
        </w:tc>
        <w:tc>
          <w:tcPr>
            <w:tcW w:type="dxa" w:w="1187"/>
            <w:shd w:fill="D9E2F3" w:val="clear"/>
          </w:tcPr>
          <w:p>
            <w:pPr>
              <w:jc w:val="center"/>
            </w:pPr>
            <w:r/>
            <w:r>
              <w:rPr>
                <w:rFonts w:ascii="黑体" w:hAnsi="黑体" w:eastAsia="黑体"/>
                <w:b/>
                <w:sz w:val="20"/>
              </w:rPr>
              <w:t>类型</w:t>
            </w:r>
          </w:p>
        </w:tc>
        <w:tc>
          <w:tcPr>
            <w:tcW w:type="dxa" w:w="1187"/>
            <w:shd w:fill="D9E2F3" w:val="clear"/>
          </w:tcPr>
          <w:p>
            <w:pPr>
              <w:jc w:val="center"/>
            </w:pPr>
            <w:r/>
            <w:r>
              <w:rPr>
                <w:rFonts w:ascii="黑体" w:hAnsi="黑体" w:eastAsia="黑体"/>
                <w:b/>
                <w:sz w:val="20"/>
              </w:rPr>
              <w:t>格式</w:t>
            </w:r>
          </w:p>
        </w:tc>
        <w:tc>
          <w:tcPr>
            <w:tcW w:type="dxa" w:w="1187"/>
            <w:shd w:fill="D9E2F3" w:val="clear"/>
          </w:tcPr>
          <w:p>
            <w:pPr>
              <w:jc w:val="center"/>
            </w:pPr>
            <w:r/>
            <w:r>
              <w:rPr>
                <w:rFonts w:ascii="黑体" w:hAnsi="黑体" w:eastAsia="黑体"/>
                <w:b/>
                <w:sz w:val="20"/>
              </w:rPr>
              <w:t>数量</w:t>
            </w:r>
          </w:p>
        </w:tc>
        <w:tc>
          <w:tcPr>
            <w:tcW w:type="dxa" w:w="1187"/>
            <w:shd w:fill="D9E2F3" w:val="clear"/>
          </w:tcPr>
          <w:p>
            <w:pPr>
              <w:jc w:val="center"/>
            </w:pPr>
            <w:r/>
            <w:r>
              <w:rPr>
                <w:rFonts w:ascii="黑体" w:hAnsi="黑体" w:eastAsia="黑体"/>
                <w:b/>
                <w:sz w:val="20"/>
              </w:rPr>
              <w:t>验收结果</w:t>
            </w:r>
          </w:p>
        </w:tc>
        <w:tc>
          <w:tcPr>
            <w:tcW w:type="dxa" w:w="1187"/>
            <w:shd w:fill="D9E2F3" w:val="clear"/>
          </w:tcPr>
          <w:p>
            <w:pPr>
              <w:jc w:val="center"/>
            </w:pPr>
            <w:r/>
            <w:r>
              <w:rPr>
                <w:rFonts w:ascii="黑体" w:hAnsi="黑体" w:eastAsia="黑体"/>
                <w:b/>
                <w:sz w:val="20"/>
              </w:rPr>
              <w:t>备注</w:t>
            </w:r>
          </w:p>
        </w:tc>
      </w:tr>
      <w:tr>
        <w:tc>
          <w:tcPr>
            <w:tcW w:type="dxa" w:w="1187"/>
          </w:tcPr>
          <w:p>
            <w:r/>
            <w:r>
              <w:rPr>
                <w:rFonts w:ascii="宋体" w:hAnsi="宋体" w:eastAsia="宋体"/>
                <w:sz w:val="20"/>
              </w:rPr>
              <w:t>1</w:t>
            </w:r>
          </w:p>
        </w:tc>
        <w:tc>
          <w:tcPr>
            <w:tcW w:type="dxa" w:w="1187"/>
          </w:tcPr>
          <w:p>
            <w:r/>
            <w:r>
              <w:rPr>
                <w:rFonts w:ascii="宋体" w:hAnsi="宋体" w:eastAsia="宋体"/>
                <w:sz w:val="20"/>
              </w:rPr>
              <w:t>VR/AR应用软件</w:t>
            </w:r>
          </w:p>
        </w:tc>
        <w:tc>
          <w:tcPr>
            <w:tcW w:type="dxa" w:w="1187"/>
          </w:tcPr>
          <w:p>
            <w:r/>
            <w:r>
              <w:rPr>
                <w:rFonts w:ascii="宋体" w:hAnsi="宋体" w:eastAsia="宋体"/>
                <w:sz w:val="20"/>
              </w:rPr>
              <w:t>软件</w:t>
            </w:r>
          </w:p>
        </w:tc>
        <w:tc>
          <w:tcPr>
            <w:tcW w:type="dxa" w:w="1187"/>
          </w:tcPr>
          <w:p>
            <w:r/>
            <w:r>
              <w:rPr>
                <w:rFonts w:ascii="宋体" w:hAnsi="宋体" w:eastAsia="宋体"/>
                <w:sz w:val="20"/>
              </w:rPr>
              <w:t>APK/EXE/Web</w:t>
            </w:r>
          </w:p>
        </w:tc>
        <w:tc>
          <w:tcPr>
            <w:tcW w:type="dxa" w:w="1187"/>
          </w:tcPr>
          <w:p>
            <w:r/>
            <w:r>
              <w:rPr>
                <w:rFonts w:ascii="宋体" w:hAnsi="宋体" w:eastAsia="宋体"/>
                <w:sz w:val="20"/>
              </w:rPr>
              <w:t>1</w:t>
            </w:r>
          </w:p>
        </w:tc>
        <w:tc>
          <w:tcPr>
            <w:tcW w:type="dxa" w:w="1187"/>
          </w:tcPr>
          <w:p>
            <w:r/>
            <w:r>
              <w:rPr>
                <w:rFonts w:ascii="宋体" w:hAnsi="宋体" w:eastAsia="宋体"/>
                <w:sz w:val="20"/>
              </w:rPr>
              <w:t>通过</w:t>
            </w:r>
          </w:p>
        </w:tc>
        <w:tc>
          <w:tcPr>
            <w:tcW w:type="dxa" w:w="1187"/>
          </w:tcPr>
          <w:p>
            <w:r/>
            <w:r>
              <w:rPr>
                <w:rFonts w:ascii="宋体" w:hAnsi="宋体" w:eastAsia="宋体"/>
                <w:sz w:val="20"/>
              </w:rPr>
              <w:t>含源代码</w:t>
            </w:r>
          </w:p>
        </w:tc>
      </w:tr>
      <w:tr>
        <w:tc>
          <w:tcPr>
            <w:tcW w:type="dxa" w:w="1187"/>
          </w:tcPr>
          <w:p>
            <w:r/>
            <w:r>
              <w:rPr>
                <w:rFonts w:ascii="宋体" w:hAnsi="宋体" w:eastAsia="宋体"/>
                <w:sz w:val="20"/>
              </w:rPr>
              <w:t>2</w:t>
            </w:r>
          </w:p>
        </w:tc>
        <w:tc>
          <w:tcPr>
            <w:tcW w:type="dxa" w:w="1187"/>
          </w:tcPr>
          <w:p>
            <w:r/>
            <w:r>
              <w:rPr>
                <w:rFonts w:ascii="宋体" w:hAnsi="宋体" w:eastAsia="宋体"/>
                <w:sz w:val="20"/>
              </w:rPr>
              <w:t>3D资产库</w:t>
            </w:r>
          </w:p>
        </w:tc>
        <w:tc>
          <w:tcPr>
            <w:tcW w:type="dxa" w:w="1187"/>
          </w:tcPr>
          <w:p>
            <w:r/>
            <w:r>
              <w:rPr>
                <w:rFonts w:ascii="宋体" w:hAnsi="宋体" w:eastAsia="宋体"/>
                <w:sz w:val="20"/>
              </w:rPr>
              <w:t>资产</w:t>
            </w:r>
          </w:p>
        </w:tc>
        <w:tc>
          <w:tcPr>
            <w:tcW w:type="dxa" w:w="1187"/>
          </w:tcPr>
          <w:p>
            <w:r/>
            <w:r>
              <w:rPr>
                <w:rFonts w:ascii="宋体" w:hAnsi="宋体" w:eastAsia="宋体"/>
                <w:sz w:val="20"/>
              </w:rPr>
              <w:t>FBX+PNG</w:t>
            </w:r>
          </w:p>
        </w:tc>
        <w:tc>
          <w:tcPr>
            <w:tcW w:type="dxa" w:w="1187"/>
          </w:tcPr>
          <w:p>
            <w:r/>
            <w:r>
              <w:rPr>
                <w:rFonts w:ascii="宋体" w:hAnsi="宋体" w:eastAsia="宋体"/>
                <w:sz w:val="20"/>
              </w:rPr>
              <w:t>50+</w:t>
            </w:r>
          </w:p>
        </w:tc>
        <w:tc>
          <w:tcPr>
            <w:tcW w:type="dxa" w:w="1187"/>
          </w:tcPr>
          <w:p>
            <w:r/>
            <w:r>
              <w:rPr>
                <w:rFonts w:ascii="宋体" w:hAnsi="宋体" w:eastAsia="宋体"/>
                <w:sz w:val="20"/>
              </w:rPr>
              <w:t>通过</w:t>
            </w:r>
          </w:p>
        </w:tc>
        <w:tc>
          <w:tcPr>
            <w:tcW w:type="dxa" w:w="1187"/>
          </w:tcPr>
          <w:p>
            <w:r/>
            <w:r>
              <w:rPr>
                <w:rFonts w:ascii="宋体" w:hAnsi="宋体" w:eastAsia="宋体"/>
                <w:sz w:val="20"/>
              </w:rPr>
              <w:t>含材质和动画</w:t>
            </w:r>
          </w:p>
        </w:tc>
      </w:tr>
      <w:tr>
        <w:tc>
          <w:tcPr>
            <w:tcW w:type="dxa" w:w="1187"/>
          </w:tcPr>
          <w:p>
            <w:r/>
            <w:r>
              <w:rPr>
                <w:rFonts w:ascii="宋体" w:hAnsi="宋体" w:eastAsia="宋体"/>
                <w:sz w:val="20"/>
              </w:rPr>
              <w:t>3</w:t>
            </w:r>
          </w:p>
        </w:tc>
        <w:tc>
          <w:tcPr>
            <w:tcW w:type="dxa" w:w="1187"/>
          </w:tcPr>
          <w:p>
            <w:r/>
            <w:r>
              <w:rPr>
                <w:rFonts w:ascii="宋体" w:hAnsi="宋体" w:eastAsia="宋体"/>
                <w:sz w:val="20"/>
              </w:rPr>
              <w:t>音频素材库</w:t>
            </w:r>
          </w:p>
        </w:tc>
        <w:tc>
          <w:tcPr>
            <w:tcW w:type="dxa" w:w="1187"/>
          </w:tcPr>
          <w:p>
            <w:r/>
            <w:r>
              <w:rPr>
                <w:rFonts w:ascii="宋体" w:hAnsi="宋体" w:eastAsia="宋体"/>
                <w:sz w:val="20"/>
              </w:rPr>
              <w:t>资产</w:t>
            </w:r>
          </w:p>
        </w:tc>
        <w:tc>
          <w:tcPr>
            <w:tcW w:type="dxa" w:w="1187"/>
          </w:tcPr>
          <w:p>
            <w:r/>
            <w:r>
              <w:rPr>
                <w:rFonts w:ascii="宋体" w:hAnsi="宋体" w:eastAsia="宋体"/>
                <w:sz w:val="20"/>
              </w:rPr>
              <w:t>MP3/WAV</w:t>
            </w:r>
          </w:p>
        </w:tc>
        <w:tc>
          <w:tcPr>
            <w:tcW w:type="dxa" w:w="1187"/>
          </w:tcPr>
          <w:p>
            <w:r/>
            <w:r>
              <w:rPr>
                <w:rFonts w:ascii="宋体" w:hAnsi="宋体" w:eastAsia="宋体"/>
                <w:sz w:val="20"/>
              </w:rPr>
              <w:t>20+</w:t>
            </w:r>
          </w:p>
        </w:tc>
        <w:tc>
          <w:tcPr>
            <w:tcW w:type="dxa" w:w="1187"/>
          </w:tcPr>
          <w:p>
            <w:r/>
            <w:r>
              <w:rPr>
                <w:rFonts w:ascii="宋体" w:hAnsi="宋体" w:eastAsia="宋体"/>
                <w:sz w:val="20"/>
              </w:rPr>
              <w:t>通过</w:t>
            </w:r>
          </w:p>
        </w:tc>
        <w:tc>
          <w:tcPr>
            <w:tcW w:type="dxa" w:w="1187"/>
          </w:tcPr>
          <w:p>
            <w:r/>
            <w:r>
              <w:rPr>
                <w:rFonts w:ascii="宋体" w:hAnsi="宋体" w:eastAsia="宋体"/>
                <w:sz w:val="20"/>
              </w:rPr>
              <w:t>中英文版本</w:t>
            </w:r>
          </w:p>
        </w:tc>
      </w:tr>
      <w:tr>
        <w:tc>
          <w:tcPr>
            <w:tcW w:type="dxa" w:w="1187"/>
          </w:tcPr>
          <w:p>
            <w:r/>
            <w:r>
              <w:rPr>
                <w:rFonts w:ascii="宋体" w:hAnsi="宋体" w:eastAsia="宋体"/>
                <w:sz w:val="20"/>
              </w:rPr>
              <w:t>4</w:t>
            </w:r>
          </w:p>
        </w:tc>
        <w:tc>
          <w:tcPr>
            <w:tcW w:type="dxa" w:w="1187"/>
          </w:tcPr>
          <w:p>
            <w:r/>
            <w:r>
              <w:rPr>
                <w:rFonts w:ascii="宋体" w:hAnsi="宋体" w:eastAsia="宋体"/>
                <w:sz w:val="20"/>
              </w:rPr>
              <w:t>需求规格说明书</w:t>
            </w:r>
          </w:p>
        </w:tc>
        <w:tc>
          <w:tcPr>
            <w:tcW w:type="dxa" w:w="1187"/>
          </w:tcPr>
          <w:p>
            <w:r/>
            <w:r>
              <w:rPr>
                <w:rFonts w:ascii="宋体" w:hAnsi="宋体" w:eastAsia="宋体"/>
                <w:sz w:val="20"/>
              </w:rPr>
              <w:t>文档</w:t>
            </w:r>
          </w:p>
        </w:tc>
        <w:tc>
          <w:tcPr>
            <w:tcW w:type="dxa" w:w="1187"/>
          </w:tcPr>
          <w:p>
            <w:r/>
            <w:r>
              <w:rPr>
                <w:rFonts w:ascii="宋体" w:hAnsi="宋体" w:eastAsia="宋体"/>
                <w:sz w:val="20"/>
              </w:rPr>
              <w:t>DOCX/PDF</w:t>
            </w:r>
          </w:p>
        </w:tc>
        <w:tc>
          <w:tcPr>
            <w:tcW w:type="dxa" w:w="1187"/>
          </w:tcPr>
          <w:p>
            <w:r/>
            <w:r>
              <w:rPr>
                <w:rFonts w:ascii="宋体" w:hAnsi="宋体" w:eastAsia="宋体"/>
                <w:sz w:val="20"/>
              </w:rPr>
              <w:t>1</w:t>
            </w:r>
          </w:p>
        </w:tc>
        <w:tc>
          <w:tcPr>
            <w:tcW w:type="dxa" w:w="1187"/>
          </w:tcPr>
          <w:p>
            <w:r/>
            <w:r>
              <w:rPr>
                <w:rFonts w:ascii="宋体" w:hAnsi="宋体" w:eastAsia="宋体"/>
                <w:sz w:val="20"/>
              </w:rPr>
              <w:t>通过</w:t>
            </w:r>
          </w:p>
        </w:tc>
        <w:tc>
          <w:tcPr>
            <w:tcW w:type="dxa" w:w="1187"/>
          </w:tcPr>
          <w:p>
            <w:r/>
            <w:r>
              <w:rPr>
                <w:rFonts w:ascii="宋体" w:hAnsi="宋体" w:eastAsia="宋体"/>
                <w:sz w:val="20"/>
              </w:rPr>
              <w:t>含签字确认页</w:t>
            </w:r>
          </w:p>
        </w:tc>
      </w:tr>
      <w:tr>
        <w:tc>
          <w:tcPr>
            <w:tcW w:type="dxa" w:w="1187"/>
          </w:tcPr>
          <w:p>
            <w:r/>
            <w:r>
              <w:rPr>
                <w:rFonts w:ascii="宋体" w:hAnsi="宋体" w:eastAsia="宋体"/>
                <w:sz w:val="20"/>
              </w:rPr>
              <w:t>5</w:t>
            </w:r>
          </w:p>
        </w:tc>
        <w:tc>
          <w:tcPr>
            <w:tcW w:type="dxa" w:w="1187"/>
          </w:tcPr>
          <w:p>
            <w:r/>
            <w:r>
              <w:rPr>
                <w:rFonts w:ascii="宋体" w:hAnsi="宋体" w:eastAsia="宋体"/>
                <w:sz w:val="20"/>
              </w:rPr>
              <w:t>技术设计文档</w:t>
            </w:r>
          </w:p>
        </w:tc>
        <w:tc>
          <w:tcPr>
            <w:tcW w:type="dxa" w:w="1187"/>
          </w:tcPr>
          <w:p>
            <w:r/>
            <w:r>
              <w:rPr>
                <w:rFonts w:ascii="宋体" w:hAnsi="宋体" w:eastAsia="宋体"/>
                <w:sz w:val="20"/>
              </w:rPr>
              <w:t>文档</w:t>
            </w:r>
          </w:p>
        </w:tc>
        <w:tc>
          <w:tcPr>
            <w:tcW w:type="dxa" w:w="1187"/>
          </w:tcPr>
          <w:p>
            <w:r/>
            <w:r>
              <w:rPr>
                <w:rFonts w:ascii="宋体" w:hAnsi="宋体" w:eastAsia="宋体"/>
                <w:sz w:val="20"/>
              </w:rPr>
              <w:t>DOCX/PDF</w:t>
            </w:r>
          </w:p>
        </w:tc>
        <w:tc>
          <w:tcPr>
            <w:tcW w:type="dxa" w:w="1187"/>
          </w:tcPr>
          <w:p>
            <w:r/>
            <w:r>
              <w:rPr>
                <w:rFonts w:ascii="宋体" w:hAnsi="宋体" w:eastAsia="宋体"/>
                <w:sz w:val="20"/>
              </w:rPr>
              <w:t>1</w:t>
            </w:r>
          </w:p>
        </w:tc>
        <w:tc>
          <w:tcPr>
            <w:tcW w:type="dxa" w:w="1187"/>
          </w:tcPr>
          <w:p>
            <w:r/>
            <w:r>
              <w:rPr>
                <w:rFonts w:ascii="宋体" w:hAnsi="宋体" w:eastAsia="宋体"/>
                <w:sz w:val="20"/>
              </w:rPr>
              <w:t>通过</w:t>
            </w:r>
          </w:p>
        </w:tc>
        <w:tc>
          <w:tcPr>
            <w:tcW w:type="dxa" w:w="1187"/>
          </w:tcPr>
          <w:p>
            <w:r/>
            <w:r>
              <w:rPr>
                <w:rFonts w:ascii="宋体" w:hAnsi="宋体" w:eastAsia="宋体"/>
                <w:sz w:val="20"/>
              </w:rPr>
              <w:t>含架构图</w:t>
            </w:r>
          </w:p>
        </w:tc>
      </w:tr>
      <w:tr>
        <w:tc>
          <w:tcPr>
            <w:tcW w:type="dxa" w:w="1187"/>
          </w:tcPr>
          <w:p>
            <w:r/>
            <w:r>
              <w:rPr>
                <w:rFonts w:ascii="宋体" w:hAnsi="宋体" w:eastAsia="宋体"/>
                <w:sz w:val="20"/>
              </w:rPr>
              <w:t>6</w:t>
            </w:r>
          </w:p>
        </w:tc>
        <w:tc>
          <w:tcPr>
            <w:tcW w:type="dxa" w:w="1187"/>
          </w:tcPr>
          <w:p>
            <w:r/>
            <w:r>
              <w:rPr>
                <w:rFonts w:ascii="宋体" w:hAnsi="宋体" w:eastAsia="宋体"/>
                <w:sz w:val="20"/>
              </w:rPr>
              <w:t>用户手册</w:t>
            </w:r>
          </w:p>
        </w:tc>
        <w:tc>
          <w:tcPr>
            <w:tcW w:type="dxa" w:w="1187"/>
          </w:tcPr>
          <w:p>
            <w:r/>
            <w:r>
              <w:rPr>
                <w:rFonts w:ascii="宋体" w:hAnsi="宋体" w:eastAsia="宋体"/>
                <w:sz w:val="20"/>
              </w:rPr>
              <w:t>文档</w:t>
            </w:r>
          </w:p>
        </w:tc>
        <w:tc>
          <w:tcPr>
            <w:tcW w:type="dxa" w:w="1187"/>
          </w:tcPr>
          <w:p>
            <w:r/>
            <w:r>
              <w:rPr>
                <w:rFonts w:ascii="宋体" w:hAnsi="宋体" w:eastAsia="宋体"/>
                <w:sz w:val="20"/>
              </w:rPr>
              <w:t>DOCX/PDF</w:t>
            </w:r>
          </w:p>
        </w:tc>
        <w:tc>
          <w:tcPr>
            <w:tcW w:type="dxa" w:w="1187"/>
          </w:tcPr>
          <w:p>
            <w:r/>
            <w:r>
              <w:rPr>
                <w:rFonts w:ascii="宋体" w:hAnsi="宋体" w:eastAsia="宋体"/>
                <w:sz w:val="20"/>
              </w:rPr>
              <w:t>1</w:t>
            </w:r>
          </w:p>
        </w:tc>
        <w:tc>
          <w:tcPr>
            <w:tcW w:type="dxa" w:w="1187"/>
          </w:tcPr>
          <w:p>
            <w:r/>
            <w:r>
              <w:rPr>
                <w:rFonts w:ascii="宋体" w:hAnsi="宋体" w:eastAsia="宋体"/>
                <w:sz w:val="20"/>
              </w:rPr>
              <w:t>通过</w:t>
            </w:r>
          </w:p>
        </w:tc>
        <w:tc>
          <w:tcPr>
            <w:tcW w:type="dxa" w:w="1187"/>
          </w:tcPr>
          <w:p>
            <w:r/>
            <w:r>
              <w:rPr>
                <w:rFonts w:ascii="宋体" w:hAnsi="宋体" w:eastAsia="宋体"/>
                <w:sz w:val="20"/>
              </w:rPr>
              <w:t>含操作截图</w:t>
            </w:r>
          </w:p>
        </w:tc>
      </w:tr>
      <w:tr>
        <w:tc>
          <w:tcPr>
            <w:tcW w:type="dxa" w:w="1187"/>
          </w:tcPr>
          <w:p>
            <w:r/>
            <w:r>
              <w:rPr>
                <w:rFonts w:ascii="宋体" w:hAnsi="宋体" w:eastAsia="宋体"/>
                <w:sz w:val="20"/>
              </w:rPr>
              <w:t>7</w:t>
            </w:r>
          </w:p>
        </w:tc>
        <w:tc>
          <w:tcPr>
            <w:tcW w:type="dxa" w:w="1187"/>
          </w:tcPr>
          <w:p>
            <w:r/>
            <w:r>
              <w:rPr>
                <w:rFonts w:ascii="宋体" w:hAnsi="宋体" w:eastAsia="宋体"/>
                <w:sz w:val="20"/>
              </w:rPr>
              <w:t>测试报告</w:t>
            </w:r>
          </w:p>
        </w:tc>
        <w:tc>
          <w:tcPr>
            <w:tcW w:type="dxa" w:w="1187"/>
          </w:tcPr>
          <w:p>
            <w:r/>
            <w:r>
              <w:rPr>
                <w:rFonts w:ascii="宋体" w:hAnsi="宋体" w:eastAsia="宋体"/>
                <w:sz w:val="20"/>
              </w:rPr>
              <w:t>文档</w:t>
            </w:r>
          </w:p>
        </w:tc>
        <w:tc>
          <w:tcPr>
            <w:tcW w:type="dxa" w:w="1187"/>
          </w:tcPr>
          <w:p>
            <w:r/>
            <w:r>
              <w:rPr>
                <w:rFonts w:ascii="宋体" w:hAnsi="宋体" w:eastAsia="宋体"/>
                <w:sz w:val="20"/>
              </w:rPr>
              <w:t>DOCX/PDF</w:t>
            </w:r>
          </w:p>
        </w:tc>
        <w:tc>
          <w:tcPr>
            <w:tcW w:type="dxa" w:w="1187"/>
          </w:tcPr>
          <w:p>
            <w:r/>
            <w:r>
              <w:rPr>
                <w:rFonts w:ascii="宋体" w:hAnsi="宋体" w:eastAsia="宋体"/>
                <w:sz w:val="20"/>
              </w:rPr>
              <w:t>1</w:t>
            </w:r>
          </w:p>
        </w:tc>
        <w:tc>
          <w:tcPr>
            <w:tcW w:type="dxa" w:w="1187"/>
          </w:tcPr>
          <w:p>
            <w:r/>
            <w:r>
              <w:rPr>
                <w:rFonts w:ascii="宋体" w:hAnsi="宋体" w:eastAsia="宋体"/>
                <w:sz w:val="20"/>
              </w:rPr>
              <w:t>通过</w:t>
            </w:r>
          </w:p>
        </w:tc>
        <w:tc>
          <w:tcPr>
            <w:tcW w:type="dxa" w:w="1187"/>
          </w:tcPr>
          <w:p>
            <w:r/>
            <w:r>
              <w:rPr>
                <w:rFonts w:ascii="宋体" w:hAnsi="宋体" w:eastAsia="宋体"/>
                <w:sz w:val="20"/>
              </w:rPr>
              <w:t>含测试数据</w:t>
            </w:r>
          </w:p>
        </w:tc>
      </w:tr>
      <w:tr>
        <w:tc>
          <w:tcPr>
            <w:tcW w:type="dxa" w:w="1187"/>
          </w:tcPr>
          <w:p>
            <w:r/>
            <w:r>
              <w:rPr>
                <w:rFonts w:ascii="宋体" w:hAnsi="宋体" w:eastAsia="宋体"/>
                <w:sz w:val="20"/>
              </w:rPr>
              <w:t>8</w:t>
            </w:r>
          </w:p>
        </w:tc>
        <w:tc>
          <w:tcPr>
            <w:tcW w:type="dxa" w:w="1187"/>
          </w:tcPr>
          <w:p>
            <w:r/>
            <w:r>
              <w:rPr>
                <w:rFonts w:ascii="宋体" w:hAnsi="宋体" w:eastAsia="宋体"/>
                <w:sz w:val="20"/>
              </w:rPr>
              <w:t>项目总结报告</w:t>
            </w:r>
          </w:p>
        </w:tc>
        <w:tc>
          <w:tcPr>
            <w:tcW w:type="dxa" w:w="1187"/>
          </w:tcPr>
          <w:p>
            <w:r/>
            <w:r>
              <w:rPr>
                <w:rFonts w:ascii="宋体" w:hAnsi="宋体" w:eastAsia="宋体"/>
                <w:sz w:val="20"/>
              </w:rPr>
              <w:t>文档</w:t>
            </w:r>
          </w:p>
        </w:tc>
        <w:tc>
          <w:tcPr>
            <w:tcW w:type="dxa" w:w="1187"/>
          </w:tcPr>
          <w:p>
            <w:r/>
            <w:r>
              <w:rPr>
                <w:rFonts w:ascii="宋体" w:hAnsi="宋体" w:eastAsia="宋体"/>
                <w:sz w:val="20"/>
              </w:rPr>
              <w:t>DOCX/PDF</w:t>
            </w:r>
          </w:p>
        </w:tc>
        <w:tc>
          <w:tcPr>
            <w:tcW w:type="dxa" w:w="1187"/>
          </w:tcPr>
          <w:p>
            <w:r/>
            <w:r>
              <w:rPr>
                <w:rFonts w:ascii="宋体" w:hAnsi="宋体" w:eastAsia="宋体"/>
                <w:sz w:val="20"/>
              </w:rPr>
              <w:t>1</w:t>
            </w:r>
          </w:p>
        </w:tc>
        <w:tc>
          <w:tcPr>
            <w:tcW w:type="dxa" w:w="1187"/>
          </w:tcPr>
          <w:p>
            <w:r/>
            <w:r>
              <w:rPr>
                <w:rFonts w:ascii="宋体" w:hAnsi="宋体" w:eastAsia="宋体"/>
                <w:sz w:val="20"/>
              </w:rPr>
              <w:t>通过</w:t>
            </w:r>
          </w:p>
        </w:tc>
        <w:tc>
          <w:tcPr>
            <w:tcW w:type="dxa" w:w="1187"/>
          </w:tcPr>
          <w:p>
            <w:r/>
            <w:r>
              <w:rPr>
                <w:rFonts w:ascii="宋体" w:hAnsi="宋体" w:eastAsia="宋体"/>
                <w:sz w:val="20"/>
              </w:rPr>
              <w:t>含经验总结</w:t>
            </w:r>
          </w:p>
        </w:tc>
      </w:tr>
    </w:tbl>
    <w:p/>
    <w:p/>
    <w:p>
      <w:r>
        <w:br w:type="page"/>
      </w:r>
    </w:p>
    <w:p>
      <w:pPr>
        <w:pStyle w:val="Heading1"/>
      </w:pPr>
      <w:r>
        <w:t>附录 E：教学大纲</w:t>
      </w:r>
    </w:p>
    <w:p/>
    <w:p>
      <w:pPr>
        <w:ind w:firstLine="482"/>
      </w:pPr>
      <w:r>
        <w:rPr>
          <w:rFonts w:ascii="宋体" w:hAnsi="宋体" w:eastAsia="宋体"/>
          <w:sz w:val="24"/>
        </w:rPr>
        <w:t>本附录提供《VR/AR 沉浸式场景制作实训》课程的教学大纲参考方案，适用于数字文旅、数字媒体技术、计算机科学等相关专业本科或研究生课程。课程总学时 64 学时（4 学分），可根据实际情况调整。</w:t>
      </w:r>
    </w:p>
    <w:p/>
    <w:p>
      <w:pPr>
        <w:pStyle w:val="Heading2"/>
      </w:pPr>
      <w:r>
        <w:t>E.1 课程基本信息</w:t>
      </w:r>
    </w:p>
    <w:p/>
    <w:tbl>
      <w:tblPr>
        <w:tblStyle w:val="TableGrid"/>
        <w:tblW w:type="auto" w:w="0"/>
        <w:jc w:val="center"/>
        <w:tblLook w:firstColumn="1" w:firstRow="1" w:lastColumn="0" w:lastRow="0" w:noHBand="0" w:noVBand="1" w:val="04A0"/>
      </w:tblPr>
      <w:tblGrid>
        <w:gridCol w:w="4156"/>
        <w:gridCol w:w="4156"/>
      </w:tblGrid>
      <w:tr>
        <w:tc>
          <w:tcPr>
            <w:tcW w:type="dxa" w:w="4156"/>
            <w:shd w:fill="D9E2F3" w:val="clear"/>
          </w:tcPr>
          <w:p>
            <w:pPr>
              <w:jc w:val="center"/>
            </w:pPr>
            <w:r/>
            <w:r>
              <w:rPr>
                <w:rFonts w:ascii="黑体" w:hAnsi="黑体" w:eastAsia="黑体"/>
                <w:b/>
                <w:sz w:val="20"/>
              </w:rPr>
              <w:t>项目</w:t>
            </w:r>
          </w:p>
        </w:tc>
        <w:tc>
          <w:tcPr>
            <w:tcW w:type="dxa" w:w="4156"/>
            <w:shd w:fill="D9E2F3" w:val="clear"/>
          </w:tcPr>
          <w:p>
            <w:pPr>
              <w:jc w:val="center"/>
            </w:pPr>
            <w:r/>
            <w:r>
              <w:rPr>
                <w:rFonts w:ascii="黑体" w:hAnsi="黑体" w:eastAsia="黑体"/>
                <w:b/>
                <w:sz w:val="20"/>
              </w:rPr>
              <w:t>内容</w:t>
            </w:r>
          </w:p>
        </w:tc>
      </w:tr>
      <w:tr>
        <w:tc>
          <w:tcPr>
            <w:tcW w:type="dxa" w:w="4156"/>
          </w:tcPr>
          <w:p>
            <w:r/>
            <w:r>
              <w:rPr>
                <w:rFonts w:ascii="宋体" w:hAnsi="宋体" w:eastAsia="宋体"/>
                <w:sz w:val="20"/>
              </w:rPr>
              <w:t>课程名称</w:t>
            </w:r>
          </w:p>
        </w:tc>
        <w:tc>
          <w:tcPr>
            <w:tcW w:type="dxa" w:w="4156"/>
          </w:tcPr>
          <w:p>
            <w:r/>
            <w:r>
              <w:rPr>
                <w:rFonts w:ascii="宋体" w:hAnsi="宋体" w:eastAsia="宋体"/>
                <w:sz w:val="20"/>
              </w:rPr>
              <w:t>VR/AR 沉浸式场景制作实训</w:t>
            </w:r>
          </w:p>
        </w:tc>
      </w:tr>
      <w:tr>
        <w:tc>
          <w:tcPr>
            <w:tcW w:type="dxa" w:w="4156"/>
          </w:tcPr>
          <w:p>
            <w:r/>
            <w:r>
              <w:rPr>
                <w:rFonts w:ascii="宋体" w:hAnsi="宋体" w:eastAsia="宋体"/>
                <w:sz w:val="20"/>
              </w:rPr>
              <w:t>课程代码</w:t>
            </w:r>
          </w:p>
        </w:tc>
        <w:tc>
          <w:tcPr>
            <w:tcW w:type="dxa" w:w="4156"/>
          </w:tcPr>
          <w:p>
            <w:r/>
            <w:r>
              <w:rPr>
                <w:rFonts w:ascii="宋体" w:hAnsi="宋体" w:eastAsia="宋体"/>
                <w:sz w:val="20"/>
              </w:rPr>
              <w:t>[按学校编码填写]</w:t>
            </w:r>
          </w:p>
        </w:tc>
      </w:tr>
      <w:tr>
        <w:tc>
          <w:tcPr>
            <w:tcW w:type="dxa" w:w="4156"/>
          </w:tcPr>
          <w:p>
            <w:r/>
            <w:r>
              <w:rPr>
                <w:rFonts w:ascii="宋体" w:hAnsi="宋体" w:eastAsia="宋体"/>
                <w:sz w:val="20"/>
              </w:rPr>
              <w:t>学分/学时</w:t>
            </w:r>
          </w:p>
        </w:tc>
        <w:tc>
          <w:tcPr>
            <w:tcW w:type="dxa" w:w="4156"/>
          </w:tcPr>
          <w:p>
            <w:r/>
            <w:r>
              <w:rPr>
                <w:rFonts w:ascii="宋体" w:hAnsi="宋体" w:eastAsia="宋体"/>
                <w:sz w:val="20"/>
              </w:rPr>
              <w:t>4学分 / 64学时（理论16学时 + 实训48学时）</w:t>
            </w:r>
          </w:p>
        </w:tc>
      </w:tr>
      <w:tr>
        <w:tc>
          <w:tcPr>
            <w:tcW w:type="dxa" w:w="4156"/>
          </w:tcPr>
          <w:p>
            <w:r/>
            <w:r>
              <w:rPr>
                <w:rFonts w:ascii="宋体" w:hAnsi="宋体" w:eastAsia="宋体"/>
                <w:sz w:val="20"/>
              </w:rPr>
              <w:t>适用专业</w:t>
            </w:r>
          </w:p>
        </w:tc>
        <w:tc>
          <w:tcPr>
            <w:tcW w:type="dxa" w:w="4156"/>
          </w:tcPr>
          <w:p>
            <w:r/>
            <w:r>
              <w:rPr>
                <w:rFonts w:ascii="宋体" w:hAnsi="宋体" w:eastAsia="宋体"/>
                <w:sz w:val="20"/>
              </w:rPr>
              <w:t>数字文旅、数字媒体技术、计算机科学、旅游管理</w:t>
            </w:r>
          </w:p>
        </w:tc>
      </w:tr>
      <w:tr>
        <w:tc>
          <w:tcPr>
            <w:tcW w:type="dxa" w:w="4156"/>
          </w:tcPr>
          <w:p>
            <w:r/>
            <w:r>
              <w:rPr>
                <w:rFonts w:ascii="宋体" w:hAnsi="宋体" w:eastAsia="宋体"/>
                <w:sz w:val="20"/>
              </w:rPr>
              <w:t>先修课程</w:t>
            </w:r>
          </w:p>
        </w:tc>
        <w:tc>
          <w:tcPr>
            <w:tcW w:type="dxa" w:w="4156"/>
          </w:tcPr>
          <w:p>
            <w:r/>
            <w:r>
              <w:rPr>
                <w:rFonts w:ascii="宋体" w:hAnsi="宋体" w:eastAsia="宋体"/>
                <w:sz w:val="20"/>
              </w:rPr>
              <w:t>计算机基础、程序设计基础（建议但非必需）</w:t>
            </w:r>
          </w:p>
        </w:tc>
      </w:tr>
      <w:tr>
        <w:tc>
          <w:tcPr>
            <w:tcW w:type="dxa" w:w="4156"/>
          </w:tcPr>
          <w:p>
            <w:r/>
            <w:r>
              <w:rPr>
                <w:rFonts w:ascii="宋体" w:hAnsi="宋体" w:eastAsia="宋体"/>
                <w:sz w:val="20"/>
              </w:rPr>
              <w:t>开课学期</w:t>
            </w:r>
          </w:p>
        </w:tc>
        <w:tc>
          <w:tcPr>
            <w:tcW w:type="dxa" w:w="4156"/>
          </w:tcPr>
          <w:p>
            <w:r/>
            <w:r>
              <w:rPr>
                <w:rFonts w:ascii="宋体" w:hAnsi="宋体" w:eastAsia="宋体"/>
                <w:sz w:val="20"/>
              </w:rPr>
              <w:t>第5或第6学期</w:t>
            </w:r>
          </w:p>
        </w:tc>
      </w:tr>
      <w:tr>
        <w:tc>
          <w:tcPr>
            <w:tcW w:type="dxa" w:w="4156"/>
          </w:tcPr>
          <w:p>
            <w:r/>
            <w:r>
              <w:rPr>
                <w:rFonts w:ascii="宋体" w:hAnsi="宋体" w:eastAsia="宋体"/>
                <w:sz w:val="20"/>
              </w:rPr>
              <w:t>考核方式</w:t>
            </w:r>
          </w:p>
        </w:tc>
        <w:tc>
          <w:tcPr>
            <w:tcW w:type="dxa" w:w="4156"/>
          </w:tcPr>
          <w:p>
            <w:r/>
            <w:r>
              <w:rPr>
                <w:rFonts w:ascii="宋体" w:hAnsi="宋体" w:eastAsia="宋体"/>
                <w:sz w:val="20"/>
              </w:rPr>
              <w:t>过程性评价（40%）+ 终结性评价（60%）</w:t>
            </w:r>
          </w:p>
        </w:tc>
      </w:tr>
    </w:tbl>
    <w:p/>
    <w:p/>
    <w:p>
      <w:pPr>
        <w:pStyle w:val="Heading2"/>
      </w:pPr>
      <w:r>
        <w:t>E.2 课程目标</w:t>
      </w:r>
    </w:p>
    <w:p/>
    <w:p>
      <w:pPr>
        <w:ind w:firstLine="482"/>
      </w:pPr>
      <w:r>
        <w:rPr>
          <w:rFonts w:ascii="宋体" w:hAnsi="宋体" w:eastAsia="宋体"/>
          <w:sz w:val="24"/>
        </w:rPr>
        <w:t>完成本课程后，学生应能够：</w:t>
      </w:r>
    </w:p>
    <w:p/>
    <w:p>
      <w:pPr>
        <w:pStyle w:val="ListNumber"/>
      </w:pPr>
      <w:r>
        <w:rPr>
          <w:rFonts w:ascii="宋体" w:hAnsi="宋体" w:eastAsia="宋体"/>
          <w:sz w:val="24"/>
        </w:rPr>
        <w:t>解释 VR/AR 技术的基本原理、发展历程和产业生态（对应 I.M.M.E.R.S.E. 框架的 I 维度）</w:t>
      </w:r>
    </w:p>
    <w:p>
      <w:pPr>
        <w:pStyle w:val="ListNumber"/>
      </w:pPr>
      <w:r>
        <w:rPr>
          <w:rFonts w:ascii="宋体" w:hAnsi="宋体" w:eastAsia="宋体"/>
          <w:sz w:val="24"/>
        </w:rPr>
        <w:t>选择合适的 VR/AR 硬件设备和开发工具进行项目开发（对应 S 维度）</w:t>
      </w:r>
    </w:p>
    <w:p>
      <w:pPr>
        <w:pStyle w:val="ListNumber"/>
      </w:pPr>
      <w:r>
        <w:rPr>
          <w:rFonts w:ascii="宋体" w:hAnsi="宋体" w:eastAsia="宋体"/>
          <w:sz w:val="24"/>
        </w:rPr>
        <w:t>应用沉浸感理论和体验设计原则设计 VR/AR 应用（对应 E 维度）</w:t>
      </w:r>
    </w:p>
    <w:p>
      <w:pPr>
        <w:pStyle w:val="ListNumber"/>
      </w:pPr>
      <w:r>
        <w:rPr>
          <w:rFonts w:ascii="宋体" w:hAnsi="宋体" w:eastAsia="宋体"/>
          <w:sz w:val="24"/>
        </w:rPr>
        <w:t>使用 Unity、A-Frame 等工具开发 VR/AR 应用原型（对应 M 维度）</w:t>
      </w:r>
    </w:p>
    <w:p>
      <w:pPr>
        <w:pStyle w:val="ListNumber"/>
      </w:pPr>
      <w:r>
        <w:rPr>
          <w:rFonts w:ascii="宋体" w:hAnsi="宋体" w:eastAsia="宋体"/>
          <w:sz w:val="24"/>
        </w:rPr>
        <w:t>设计和实现多模态交互功能（对应 M 维度）</w:t>
      </w:r>
    </w:p>
    <w:p>
      <w:pPr>
        <w:pStyle w:val="ListNumber"/>
      </w:pPr>
      <w:r>
        <w:rPr>
          <w:rFonts w:ascii="宋体" w:hAnsi="宋体" w:eastAsia="宋体"/>
          <w:sz w:val="24"/>
        </w:rPr>
        <w:t>评估 VR/AR 应用的用户体验和技术性能（对应 E 维度）</w:t>
      </w:r>
    </w:p>
    <w:p>
      <w:pPr>
        <w:pStyle w:val="ListNumber"/>
      </w:pPr>
      <w:r>
        <w:rPr>
          <w:rFonts w:ascii="宋体" w:hAnsi="宋体" w:eastAsia="宋体"/>
          <w:sz w:val="24"/>
        </w:rPr>
        <w:t>理解 VR/AR 在文旅、文化遗产和教育领域的应用方法和伦理规范（对应 R 维度）</w:t>
      </w:r>
    </w:p>
    <w:p/>
    <w:p>
      <w:pPr>
        <w:pStyle w:val="Heading2"/>
      </w:pPr>
      <w:r>
        <w:t>E.3 教学进度安排</w:t>
      </w:r>
    </w:p>
    <w:p/>
    <w:p>
      <w:pPr>
        <w:pStyle w:val="Heading3"/>
      </w:pPr>
      <w:r>
        <w:t>E.3.1 第一篇：基础理论（第1-3周，12学时）</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周次</w:t>
            </w:r>
          </w:p>
        </w:tc>
        <w:tc>
          <w:tcPr>
            <w:tcW w:type="dxa" w:w="1385"/>
            <w:shd w:fill="D9E2F3" w:val="clear"/>
          </w:tcPr>
          <w:p>
            <w:pPr>
              <w:jc w:val="center"/>
            </w:pPr>
            <w:r/>
            <w:r>
              <w:rPr>
                <w:rFonts w:ascii="黑体" w:hAnsi="黑体" w:eastAsia="黑体"/>
                <w:b/>
                <w:sz w:val="20"/>
              </w:rPr>
              <w:t>学时</w:t>
            </w:r>
          </w:p>
        </w:tc>
        <w:tc>
          <w:tcPr>
            <w:tcW w:type="dxa" w:w="1385"/>
            <w:shd w:fill="D9E2F3" w:val="clear"/>
          </w:tcPr>
          <w:p>
            <w:pPr>
              <w:jc w:val="center"/>
            </w:pPr>
            <w:r/>
            <w:r>
              <w:rPr>
                <w:rFonts w:ascii="黑体" w:hAnsi="黑体" w:eastAsia="黑体"/>
                <w:b/>
                <w:sz w:val="20"/>
              </w:rPr>
              <w:t>章节</w:t>
            </w:r>
          </w:p>
        </w:tc>
        <w:tc>
          <w:tcPr>
            <w:tcW w:type="dxa" w:w="1385"/>
            <w:shd w:fill="D9E2F3" w:val="clear"/>
          </w:tcPr>
          <w:p>
            <w:pPr>
              <w:jc w:val="center"/>
            </w:pPr>
            <w:r/>
            <w:r>
              <w:rPr>
                <w:rFonts w:ascii="黑体" w:hAnsi="黑体" w:eastAsia="黑体"/>
                <w:b/>
                <w:sz w:val="20"/>
              </w:rPr>
              <w:t>教学内容</w:t>
            </w:r>
          </w:p>
        </w:tc>
        <w:tc>
          <w:tcPr>
            <w:tcW w:type="dxa" w:w="1385"/>
            <w:shd w:fill="D9E2F3" w:val="clear"/>
          </w:tcPr>
          <w:p>
            <w:pPr>
              <w:jc w:val="center"/>
            </w:pPr>
            <w:r/>
            <w:r>
              <w:rPr>
                <w:rFonts w:ascii="黑体" w:hAnsi="黑体" w:eastAsia="黑体"/>
                <w:b/>
                <w:sz w:val="20"/>
              </w:rPr>
              <w:t>教学方式</w:t>
            </w:r>
          </w:p>
        </w:tc>
        <w:tc>
          <w:tcPr>
            <w:tcW w:type="dxa" w:w="1385"/>
            <w:shd w:fill="D9E2F3" w:val="clear"/>
          </w:tcPr>
          <w:p>
            <w:pPr>
              <w:jc w:val="center"/>
            </w:pPr>
            <w:r/>
            <w:r>
              <w:rPr>
                <w:rFonts w:ascii="黑体" w:hAnsi="黑体" w:eastAsia="黑体"/>
                <w:b/>
                <w:sz w:val="20"/>
              </w:rPr>
              <w:t>课后任务</w:t>
            </w:r>
          </w:p>
        </w:tc>
      </w:tr>
      <w:tr>
        <w:tc>
          <w:tcPr>
            <w:tcW w:type="dxa" w:w="1385"/>
          </w:tcPr>
          <w:p>
            <w:r/>
            <w:r>
              <w:rPr>
                <w:rFonts w:ascii="宋体" w:hAnsi="宋体" w:eastAsia="宋体"/>
                <w:sz w:val="20"/>
              </w:rPr>
              <w:t>1</w:t>
            </w:r>
          </w:p>
        </w:tc>
        <w:tc>
          <w:tcPr>
            <w:tcW w:type="dxa" w:w="1385"/>
          </w:tcPr>
          <w:p>
            <w:r/>
            <w:r>
              <w:rPr>
                <w:rFonts w:ascii="宋体" w:hAnsi="宋体" w:eastAsia="宋体"/>
                <w:sz w:val="20"/>
              </w:rPr>
              <w:t>4</w:t>
            </w:r>
          </w:p>
        </w:tc>
        <w:tc>
          <w:tcPr>
            <w:tcW w:type="dxa" w:w="1385"/>
          </w:tcPr>
          <w:p>
            <w:r/>
            <w:r>
              <w:rPr>
                <w:rFonts w:ascii="宋体" w:hAnsi="宋体" w:eastAsia="宋体"/>
                <w:sz w:val="20"/>
              </w:rPr>
              <w:t>第1章</w:t>
            </w:r>
          </w:p>
        </w:tc>
        <w:tc>
          <w:tcPr>
            <w:tcW w:type="dxa" w:w="1385"/>
          </w:tcPr>
          <w:p>
            <w:r/>
            <w:r>
              <w:rPr>
                <w:rFonts w:ascii="宋体" w:hAnsi="宋体" w:eastAsia="宋体"/>
                <w:sz w:val="20"/>
              </w:rPr>
              <w:t>VR/AR技术概述、发展史、产业生态、I.M.M.E.R.S.E.框架</w:t>
            </w:r>
          </w:p>
        </w:tc>
        <w:tc>
          <w:tcPr>
            <w:tcW w:type="dxa" w:w="1385"/>
          </w:tcPr>
          <w:p>
            <w:r/>
            <w:r>
              <w:rPr>
                <w:rFonts w:ascii="宋体" w:hAnsi="宋体" w:eastAsia="宋体"/>
                <w:sz w:val="20"/>
              </w:rPr>
              <w:t>讲授+讨论</w:t>
            </w:r>
          </w:p>
        </w:tc>
        <w:tc>
          <w:tcPr>
            <w:tcW w:type="dxa" w:w="1385"/>
          </w:tcPr>
          <w:p>
            <w:r/>
            <w:r>
              <w:rPr>
                <w:rFonts w:ascii="宋体" w:hAnsi="宋体" w:eastAsia="宋体"/>
                <w:sz w:val="20"/>
              </w:rPr>
              <w:t>阅读教材+文献阅读</w:t>
            </w:r>
          </w:p>
        </w:tc>
      </w:tr>
      <w:tr>
        <w:tc>
          <w:tcPr>
            <w:tcW w:type="dxa" w:w="1385"/>
          </w:tcPr>
          <w:p>
            <w:r/>
            <w:r>
              <w:rPr>
                <w:rFonts w:ascii="宋体" w:hAnsi="宋体" w:eastAsia="宋体"/>
                <w:sz w:val="20"/>
              </w:rPr>
              <w:t>2</w:t>
            </w:r>
          </w:p>
        </w:tc>
        <w:tc>
          <w:tcPr>
            <w:tcW w:type="dxa" w:w="1385"/>
          </w:tcPr>
          <w:p>
            <w:r/>
            <w:r>
              <w:rPr>
                <w:rFonts w:ascii="宋体" w:hAnsi="宋体" w:eastAsia="宋体"/>
                <w:sz w:val="20"/>
              </w:rPr>
              <w:t>4</w:t>
            </w:r>
          </w:p>
        </w:tc>
        <w:tc>
          <w:tcPr>
            <w:tcW w:type="dxa" w:w="1385"/>
          </w:tcPr>
          <w:p>
            <w:r/>
            <w:r>
              <w:rPr>
                <w:rFonts w:ascii="宋体" w:hAnsi="宋体" w:eastAsia="宋体"/>
                <w:sz w:val="20"/>
              </w:rPr>
              <w:t>第2章</w:t>
            </w:r>
          </w:p>
        </w:tc>
        <w:tc>
          <w:tcPr>
            <w:tcW w:type="dxa" w:w="1385"/>
          </w:tcPr>
          <w:p>
            <w:r/>
            <w:r>
              <w:rPr>
                <w:rFonts w:ascii="宋体" w:hAnsi="宋体" w:eastAsia="宋体"/>
                <w:sz w:val="20"/>
              </w:rPr>
              <w:t>VR/AR硬件设备：HMD光学/显示/追踪/交互设备/选型策略</w:t>
            </w:r>
          </w:p>
        </w:tc>
        <w:tc>
          <w:tcPr>
            <w:tcW w:type="dxa" w:w="1385"/>
          </w:tcPr>
          <w:p>
            <w:r/>
            <w:r>
              <w:rPr>
                <w:rFonts w:ascii="宋体" w:hAnsi="宋体" w:eastAsia="宋体"/>
                <w:sz w:val="20"/>
              </w:rPr>
              <w:t>讲授+设备体验</w:t>
            </w:r>
          </w:p>
        </w:tc>
        <w:tc>
          <w:tcPr>
            <w:tcW w:type="dxa" w:w="1385"/>
          </w:tcPr>
          <w:p>
            <w:r/>
            <w:r>
              <w:rPr>
                <w:rFonts w:ascii="宋体" w:hAnsi="宋体" w:eastAsia="宋体"/>
                <w:sz w:val="20"/>
              </w:rPr>
              <w:t>设备评测报告</w:t>
            </w:r>
          </w:p>
        </w:tc>
      </w:tr>
      <w:tr>
        <w:tc>
          <w:tcPr>
            <w:tcW w:type="dxa" w:w="1385"/>
          </w:tcPr>
          <w:p>
            <w:r/>
            <w:r>
              <w:rPr>
                <w:rFonts w:ascii="宋体" w:hAnsi="宋体" w:eastAsia="宋体"/>
                <w:sz w:val="20"/>
              </w:rPr>
              <w:t>3</w:t>
            </w:r>
          </w:p>
        </w:tc>
        <w:tc>
          <w:tcPr>
            <w:tcW w:type="dxa" w:w="1385"/>
          </w:tcPr>
          <w:p>
            <w:r/>
            <w:r>
              <w:rPr>
                <w:rFonts w:ascii="宋体" w:hAnsi="宋体" w:eastAsia="宋体"/>
                <w:sz w:val="20"/>
              </w:rPr>
              <w:t>4</w:t>
            </w:r>
          </w:p>
        </w:tc>
        <w:tc>
          <w:tcPr>
            <w:tcW w:type="dxa" w:w="1385"/>
          </w:tcPr>
          <w:p>
            <w:r/>
            <w:r>
              <w:rPr>
                <w:rFonts w:ascii="宋体" w:hAnsi="宋体" w:eastAsia="宋体"/>
                <w:sz w:val="20"/>
              </w:rPr>
              <w:t>第3章</w:t>
            </w:r>
          </w:p>
        </w:tc>
        <w:tc>
          <w:tcPr>
            <w:tcW w:type="dxa" w:w="1385"/>
          </w:tcPr>
          <w:p>
            <w:r/>
            <w:r>
              <w:rPr>
                <w:rFonts w:ascii="宋体" w:hAnsi="宋体" w:eastAsia="宋体"/>
                <w:sz w:val="20"/>
              </w:rPr>
              <w:t>沉浸感理论：临场感、眩晕、设计原则</w:t>
            </w:r>
          </w:p>
        </w:tc>
        <w:tc>
          <w:tcPr>
            <w:tcW w:type="dxa" w:w="1385"/>
          </w:tcPr>
          <w:p>
            <w:r/>
            <w:r>
              <w:rPr>
                <w:rFonts w:ascii="宋体" w:hAnsi="宋体" w:eastAsia="宋体"/>
                <w:sz w:val="20"/>
              </w:rPr>
              <w:t>讲授+案例分析</w:t>
            </w:r>
          </w:p>
        </w:tc>
        <w:tc>
          <w:tcPr>
            <w:tcW w:type="dxa" w:w="1385"/>
          </w:tcPr>
          <w:p>
            <w:r/>
            <w:r>
              <w:rPr>
                <w:rFonts w:ascii="宋体" w:hAnsi="宋体" w:eastAsia="宋体"/>
                <w:sz w:val="20"/>
              </w:rPr>
              <w:t>沉浸感体验分析</w:t>
            </w:r>
          </w:p>
        </w:tc>
      </w:tr>
    </w:tbl>
    <w:p/>
    <w:p/>
    <w:p>
      <w:pPr>
        <w:pStyle w:val="Heading3"/>
      </w:pPr>
      <w:r>
        <w:t>E.3.2 第二篇：技术方法（第4-6周，12学时）</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周次</w:t>
            </w:r>
          </w:p>
        </w:tc>
        <w:tc>
          <w:tcPr>
            <w:tcW w:type="dxa" w:w="1385"/>
            <w:shd w:fill="D9E2F3" w:val="clear"/>
          </w:tcPr>
          <w:p>
            <w:pPr>
              <w:jc w:val="center"/>
            </w:pPr>
            <w:r/>
            <w:r>
              <w:rPr>
                <w:rFonts w:ascii="黑体" w:hAnsi="黑体" w:eastAsia="黑体"/>
                <w:b/>
                <w:sz w:val="20"/>
              </w:rPr>
              <w:t>学时</w:t>
            </w:r>
          </w:p>
        </w:tc>
        <w:tc>
          <w:tcPr>
            <w:tcW w:type="dxa" w:w="1385"/>
            <w:shd w:fill="D9E2F3" w:val="clear"/>
          </w:tcPr>
          <w:p>
            <w:pPr>
              <w:jc w:val="center"/>
            </w:pPr>
            <w:r/>
            <w:r>
              <w:rPr>
                <w:rFonts w:ascii="黑体" w:hAnsi="黑体" w:eastAsia="黑体"/>
                <w:b/>
                <w:sz w:val="20"/>
              </w:rPr>
              <w:t>章节</w:t>
            </w:r>
          </w:p>
        </w:tc>
        <w:tc>
          <w:tcPr>
            <w:tcW w:type="dxa" w:w="1385"/>
            <w:shd w:fill="D9E2F3" w:val="clear"/>
          </w:tcPr>
          <w:p>
            <w:pPr>
              <w:jc w:val="center"/>
            </w:pPr>
            <w:r/>
            <w:r>
              <w:rPr>
                <w:rFonts w:ascii="黑体" w:hAnsi="黑体" w:eastAsia="黑体"/>
                <w:b/>
                <w:sz w:val="20"/>
              </w:rPr>
              <w:t>教学内容</w:t>
            </w:r>
          </w:p>
        </w:tc>
        <w:tc>
          <w:tcPr>
            <w:tcW w:type="dxa" w:w="1385"/>
            <w:shd w:fill="D9E2F3" w:val="clear"/>
          </w:tcPr>
          <w:p>
            <w:pPr>
              <w:jc w:val="center"/>
            </w:pPr>
            <w:r/>
            <w:r>
              <w:rPr>
                <w:rFonts w:ascii="黑体" w:hAnsi="黑体" w:eastAsia="黑体"/>
                <w:b/>
                <w:sz w:val="20"/>
              </w:rPr>
              <w:t>教学方式</w:t>
            </w:r>
          </w:p>
        </w:tc>
        <w:tc>
          <w:tcPr>
            <w:tcW w:type="dxa" w:w="1385"/>
            <w:shd w:fill="D9E2F3" w:val="clear"/>
          </w:tcPr>
          <w:p>
            <w:pPr>
              <w:jc w:val="center"/>
            </w:pPr>
            <w:r/>
            <w:r>
              <w:rPr>
                <w:rFonts w:ascii="黑体" w:hAnsi="黑体" w:eastAsia="黑体"/>
                <w:b/>
                <w:sz w:val="20"/>
              </w:rPr>
              <w:t>课后任务</w:t>
            </w:r>
          </w:p>
        </w:tc>
      </w:tr>
      <w:tr>
        <w:tc>
          <w:tcPr>
            <w:tcW w:type="dxa" w:w="1385"/>
          </w:tcPr>
          <w:p>
            <w:r/>
            <w:r>
              <w:rPr>
                <w:rFonts w:ascii="宋体" w:hAnsi="宋体" w:eastAsia="宋体"/>
                <w:sz w:val="20"/>
              </w:rPr>
              <w:t>4</w:t>
            </w:r>
          </w:p>
        </w:tc>
        <w:tc>
          <w:tcPr>
            <w:tcW w:type="dxa" w:w="1385"/>
          </w:tcPr>
          <w:p>
            <w:r/>
            <w:r>
              <w:rPr>
                <w:rFonts w:ascii="宋体" w:hAnsi="宋体" w:eastAsia="宋体"/>
                <w:sz w:val="20"/>
              </w:rPr>
              <w:t>4</w:t>
            </w:r>
          </w:p>
        </w:tc>
        <w:tc>
          <w:tcPr>
            <w:tcW w:type="dxa" w:w="1385"/>
          </w:tcPr>
          <w:p>
            <w:r/>
            <w:r>
              <w:rPr>
                <w:rFonts w:ascii="宋体" w:hAnsi="宋体" w:eastAsia="宋体"/>
                <w:sz w:val="20"/>
              </w:rPr>
              <w:t>第4章</w:t>
            </w:r>
          </w:p>
        </w:tc>
        <w:tc>
          <w:tcPr>
            <w:tcW w:type="dxa" w:w="1385"/>
          </w:tcPr>
          <w:p>
            <w:r/>
            <w:r>
              <w:rPr>
                <w:rFonts w:ascii="宋体" w:hAnsi="宋体" w:eastAsia="宋体"/>
                <w:sz w:val="20"/>
              </w:rPr>
              <w:t>3D建模与数字资产创建：建模流程、摄影测量、优化</w:t>
            </w:r>
          </w:p>
        </w:tc>
        <w:tc>
          <w:tcPr>
            <w:tcW w:type="dxa" w:w="1385"/>
          </w:tcPr>
          <w:p>
            <w:r/>
            <w:r>
              <w:rPr>
                <w:rFonts w:ascii="宋体" w:hAnsi="宋体" w:eastAsia="宋体"/>
                <w:sz w:val="20"/>
              </w:rPr>
              <w:t>讲授+实训</w:t>
            </w:r>
          </w:p>
        </w:tc>
        <w:tc>
          <w:tcPr>
            <w:tcW w:type="dxa" w:w="1385"/>
          </w:tcPr>
          <w:p>
            <w:r/>
            <w:r>
              <w:rPr>
                <w:rFonts w:ascii="宋体" w:hAnsi="宋体" w:eastAsia="宋体"/>
                <w:sz w:val="20"/>
              </w:rPr>
              <w:t>Blender建模练习</w:t>
            </w:r>
          </w:p>
        </w:tc>
      </w:tr>
      <w:tr>
        <w:tc>
          <w:tcPr>
            <w:tcW w:type="dxa" w:w="1385"/>
          </w:tcPr>
          <w:p>
            <w:r/>
            <w:r>
              <w:rPr>
                <w:rFonts w:ascii="宋体" w:hAnsi="宋体" w:eastAsia="宋体"/>
                <w:sz w:val="20"/>
              </w:rPr>
              <w:t>5</w:t>
            </w:r>
          </w:p>
        </w:tc>
        <w:tc>
          <w:tcPr>
            <w:tcW w:type="dxa" w:w="1385"/>
          </w:tcPr>
          <w:p>
            <w:r/>
            <w:r>
              <w:rPr>
                <w:rFonts w:ascii="宋体" w:hAnsi="宋体" w:eastAsia="宋体"/>
                <w:sz w:val="20"/>
              </w:rPr>
              <w:t>4</w:t>
            </w:r>
          </w:p>
        </w:tc>
        <w:tc>
          <w:tcPr>
            <w:tcW w:type="dxa" w:w="1385"/>
          </w:tcPr>
          <w:p>
            <w:r/>
            <w:r>
              <w:rPr>
                <w:rFonts w:ascii="宋体" w:hAnsi="宋体" w:eastAsia="宋体"/>
                <w:sz w:val="20"/>
              </w:rPr>
              <w:t>第5章</w:t>
            </w:r>
          </w:p>
        </w:tc>
        <w:tc>
          <w:tcPr>
            <w:tcW w:type="dxa" w:w="1385"/>
          </w:tcPr>
          <w:p>
            <w:r/>
            <w:r>
              <w:rPr>
                <w:rFonts w:ascii="宋体" w:hAnsi="宋体" w:eastAsia="宋体"/>
                <w:sz w:val="20"/>
              </w:rPr>
              <w:t>多模态交互设计：手势/语音/凝视/空间音频</w:t>
            </w:r>
          </w:p>
        </w:tc>
        <w:tc>
          <w:tcPr>
            <w:tcW w:type="dxa" w:w="1385"/>
          </w:tcPr>
          <w:p>
            <w:r/>
            <w:r>
              <w:rPr>
                <w:rFonts w:ascii="宋体" w:hAnsi="宋体" w:eastAsia="宋体"/>
                <w:sz w:val="20"/>
              </w:rPr>
              <w:t>讲授+实训</w:t>
            </w:r>
          </w:p>
        </w:tc>
        <w:tc>
          <w:tcPr>
            <w:tcW w:type="dxa" w:w="1385"/>
          </w:tcPr>
          <w:p>
            <w:r/>
            <w:r>
              <w:rPr>
                <w:rFonts w:ascii="宋体" w:hAnsi="宋体" w:eastAsia="宋体"/>
                <w:sz w:val="20"/>
              </w:rPr>
              <w:t>交互原型设计</w:t>
            </w:r>
          </w:p>
        </w:tc>
      </w:tr>
      <w:tr>
        <w:tc>
          <w:tcPr>
            <w:tcW w:type="dxa" w:w="1385"/>
          </w:tcPr>
          <w:p>
            <w:r/>
            <w:r>
              <w:rPr>
                <w:rFonts w:ascii="宋体" w:hAnsi="宋体" w:eastAsia="宋体"/>
                <w:sz w:val="20"/>
              </w:rPr>
              <w:t>6</w:t>
            </w:r>
          </w:p>
        </w:tc>
        <w:tc>
          <w:tcPr>
            <w:tcW w:type="dxa" w:w="1385"/>
          </w:tcPr>
          <w:p>
            <w:r/>
            <w:r>
              <w:rPr>
                <w:rFonts w:ascii="宋体" w:hAnsi="宋体" w:eastAsia="宋体"/>
                <w:sz w:val="20"/>
              </w:rPr>
              <w:t>4</w:t>
            </w:r>
          </w:p>
        </w:tc>
        <w:tc>
          <w:tcPr>
            <w:tcW w:type="dxa" w:w="1385"/>
          </w:tcPr>
          <w:p>
            <w:r/>
            <w:r>
              <w:rPr>
                <w:rFonts w:ascii="宋体" w:hAnsi="宋体" w:eastAsia="宋体"/>
                <w:sz w:val="20"/>
              </w:rPr>
              <w:t>第6章</w:t>
            </w:r>
          </w:p>
        </w:tc>
        <w:tc>
          <w:tcPr>
            <w:tcW w:type="dxa" w:w="1385"/>
          </w:tcPr>
          <w:p>
            <w:r/>
            <w:r>
              <w:rPr>
                <w:rFonts w:ascii="宋体" w:hAnsi="宋体" w:eastAsia="宋体"/>
                <w:sz w:val="20"/>
              </w:rPr>
              <w:t>开发引擎与渲染优化：Unity/Unreal/WebXR</w:t>
            </w:r>
          </w:p>
        </w:tc>
        <w:tc>
          <w:tcPr>
            <w:tcW w:type="dxa" w:w="1385"/>
          </w:tcPr>
          <w:p>
            <w:r/>
            <w:r>
              <w:rPr>
                <w:rFonts w:ascii="宋体" w:hAnsi="宋体" w:eastAsia="宋体"/>
                <w:sz w:val="20"/>
              </w:rPr>
              <w:t>讲授+实训</w:t>
            </w:r>
          </w:p>
        </w:tc>
        <w:tc>
          <w:tcPr>
            <w:tcW w:type="dxa" w:w="1385"/>
          </w:tcPr>
          <w:p>
            <w:r/>
            <w:r>
              <w:rPr>
                <w:rFonts w:ascii="宋体" w:hAnsi="宋体" w:eastAsia="宋体"/>
                <w:sz w:val="20"/>
              </w:rPr>
              <w:t>Unity基础项目</w:t>
            </w:r>
          </w:p>
        </w:tc>
      </w:tr>
    </w:tbl>
    <w:p/>
    <w:p/>
    <w:p>
      <w:pPr>
        <w:pStyle w:val="Heading3"/>
      </w:pPr>
      <w:r>
        <w:t>E.3.3 第三篇：应用领域（第7-9周，12学时）</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周次</w:t>
            </w:r>
          </w:p>
        </w:tc>
        <w:tc>
          <w:tcPr>
            <w:tcW w:type="dxa" w:w="1385"/>
            <w:shd w:fill="D9E2F3" w:val="clear"/>
          </w:tcPr>
          <w:p>
            <w:pPr>
              <w:jc w:val="center"/>
            </w:pPr>
            <w:r/>
            <w:r>
              <w:rPr>
                <w:rFonts w:ascii="黑体" w:hAnsi="黑体" w:eastAsia="黑体"/>
                <w:b/>
                <w:sz w:val="20"/>
              </w:rPr>
              <w:t>学时</w:t>
            </w:r>
          </w:p>
        </w:tc>
        <w:tc>
          <w:tcPr>
            <w:tcW w:type="dxa" w:w="1385"/>
            <w:shd w:fill="D9E2F3" w:val="clear"/>
          </w:tcPr>
          <w:p>
            <w:pPr>
              <w:jc w:val="center"/>
            </w:pPr>
            <w:r/>
            <w:r>
              <w:rPr>
                <w:rFonts w:ascii="黑体" w:hAnsi="黑体" w:eastAsia="黑体"/>
                <w:b/>
                <w:sz w:val="20"/>
              </w:rPr>
              <w:t>章节</w:t>
            </w:r>
          </w:p>
        </w:tc>
        <w:tc>
          <w:tcPr>
            <w:tcW w:type="dxa" w:w="1385"/>
            <w:shd w:fill="D9E2F3" w:val="clear"/>
          </w:tcPr>
          <w:p>
            <w:pPr>
              <w:jc w:val="center"/>
            </w:pPr>
            <w:r/>
            <w:r>
              <w:rPr>
                <w:rFonts w:ascii="黑体" w:hAnsi="黑体" w:eastAsia="黑体"/>
                <w:b/>
                <w:sz w:val="20"/>
              </w:rPr>
              <w:t>教学内容</w:t>
            </w:r>
          </w:p>
        </w:tc>
        <w:tc>
          <w:tcPr>
            <w:tcW w:type="dxa" w:w="1385"/>
            <w:shd w:fill="D9E2F3" w:val="clear"/>
          </w:tcPr>
          <w:p>
            <w:pPr>
              <w:jc w:val="center"/>
            </w:pPr>
            <w:r/>
            <w:r>
              <w:rPr>
                <w:rFonts w:ascii="黑体" w:hAnsi="黑体" w:eastAsia="黑体"/>
                <w:b/>
                <w:sz w:val="20"/>
              </w:rPr>
              <w:t>教学方式</w:t>
            </w:r>
          </w:p>
        </w:tc>
        <w:tc>
          <w:tcPr>
            <w:tcW w:type="dxa" w:w="1385"/>
            <w:shd w:fill="D9E2F3" w:val="clear"/>
          </w:tcPr>
          <w:p>
            <w:pPr>
              <w:jc w:val="center"/>
            </w:pPr>
            <w:r/>
            <w:r>
              <w:rPr>
                <w:rFonts w:ascii="黑体" w:hAnsi="黑体" w:eastAsia="黑体"/>
                <w:b/>
                <w:sz w:val="20"/>
              </w:rPr>
              <w:t>课后任务</w:t>
            </w:r>
          </w:p>
        </w:tc>
      </w:tr>
      <w:tr>
        <w:tc>
          <w:tcPr>
            <w:tcW w:type="dxa" w:w="1385"/>
          </w:tcPr>
          <w:p>
            <w:r/>
            <w:r>
              <w:rPr>
                <w:rFonts w:ascii="宋体" w:hAnsi="宋体" w:eastAsia="宋体"/>
                <w:sz w:val="20"/>
              </w:rPr>
              <w:t>7</w:t>
            </w:r>
          </w:p>
        </w:tc>
        <w:tc>
          <w:tcPr>
            <w:tcW w:type="dxa" w:w="1385"/>
          </w:tcPr>
          <w:p>
            <w:r/>
            <w:r>
              <w:rPr>
                <w:rFonts w:ascii="宋体" w:hAnsi="宋体" w:eastAsia="宋体"/>
                <w:sz w:val="20"/>
              </w:rPr>
              <w:t>4</w:t>
            </w:r>
          </w:p>
        </w:tc>
        <w:tc>
          <w:tcPr>
            <w:tcW w:type="dxa" w:w="1385"/>
          </w:tcPr>
          <w:p>
            <w:r/>
            <w:r>
              <w:rPr>
                <w:rFonts w:ascii="宋体" w:hAnsi="宋体" w:eastAsia="宋体"/>
                <w:sz w:val="20"/>
              </w:rPr>
              <w:t>第7章</w:t>
            </w:r>
          </w:p>
        </w:tc>
        <w:tc>
          <w:tcPr>
            <w:tcW w:type="dxa" w:w="1385"/>
          </w:tcPr>
          <w:p>
            <w:r/>
            <w:r>
              <w:rPr>
                <w:rFonts w:ascii="宋体" w:hAnsi="宋体" w:eastAsia="宋体"/>
                <w:sz w:val="20"/>
              </w:rPr>
              <w:t>文旅沉浸式场景设计：VR全景/AR导览/MR混合现实</w:t>
            </w:r>
          </w:p>
        </w:tc>
        <w:tc>
          <w:tcPr>
            <w:tcW w:type="dxa" w:w="1385"/>
          </w:tcPr>
          <w:p>
            <w:r/>
            <w:r>
              <w:rPr>
                <w:rFonts w:ascii="宋体" w:hAnsi="宋体" w:eastAsia="宋体"/>
                <w:sz w:val="20"/>
              </w:rPr>
              <w:t>讲授+案例</w:t>
            </w:r>
          </w:p>
        </w:tc>
        <w:tc>
          <w:tcPr>
            <w:tcW w:type="dxa" w:w="1385"/>
          </w:tcPr>
          <w:p>
            <w:r/>
            <w:r>
              <w:rPr>
                <w:rFonts w:ascii="宋体" w:hAnsi="宋体" w:eastAsia="宋体"/>
                <w:sz w:val="20"/>
              </w:rPr>
              <w:t>文旅VR方案设计</w:t>
            </w:r>
          </w:p>
        </w:tc>
      </w:tr>
      <w:tr>
        <w:tc>
          <w:tcPr>
            <w:tcW w:type="dxa" w:w="1385"/>
          </w:tcPr>
          <w:p>
            <w:r/>
            <w:r>
              <w:rPr>
                <w:rFonts w:ascii="宋体" w:hAnsi="宋体" w:eastAsia="宋体"/>
                <w:sz w:val="20"/>
              </w:rPr>
              <w:t>8</w:t>
            </w:r>
          </w:p>
        </w:tc>
        <w:tc>
          <w:tcPr>
            <w:tcW w:type="dxa" w:w="1385"/>
          </w:tcPr>
          <w:p>
            <w:r/>
            <w:r>
              <w:rPr>
                <w:rFonts w:ascii="宋体" w:hAnsi="宋体" w:eastAsia="宋体"/>
                <w:sz w:val="20"/>
              </w:rPr>
              <w:t>4</w:t>
            </w:r>
          </w:p>
        </w:tc>
        <w:tc>
          <w:tcPr>
            <w:tcW w:type="dxa" w:w="1385"/>
          </w:tcPr>
          <w:p>
            <w:r/>
            <w:r>
              <w:rPr>
                <w:rFonts w:ascii="宋体" w:hAnsi="宋体" w:eastAsia="宋体"/>
                <w:sz w:val="20"/>
              </w:rPr>
              <w:t>第8章</w:t>
            </w:r>
          </w:p>
        </w:tc>
        <w:tc>
          <w:tcPr>
            <w:tcW w:type="dxa" w:w="1385"/>
          </w:tcPr>
          <w:p>
            <w:r/>
            <w:r>
              <w:rPr>
                <w:rFonts w:ascii="宋体" w:hAnsi="宋体" w:eastAsia="宋体"/>
                <w:sz w:val="20"/>
              </w:rPr>
              <w:t>文化遗产数字化与沉浸式展示：非遗/文物/红色文化</w:t>
            </w:r>
          </w:p>
        </w:tc>
        <w:tc>
          <w:tcPr>
            <w:tcW w:type="dxa" w:w="1385"/>
          </w:tcPr>
          <w:p>
            <w:r/>
            <w:r>
              <w:rPr>
                <w:rFonts w:ascii="宋体" w:hAnsi="宋体" w:eastAsia="宋体"/>
                <w:sz w:val="20"/>
              </w:rPr>
              <w:t>讲授+案例</w:t>
            </w:r>
          </w:p>
        </w:tc>
        <w:tc>
          <w:tcPr>
            <w:tcW w:type="dxa" w:w="1385"/>
          </w:tcPr>
          <w:p>
            <w:r/>
            <w:r>
              <w:rPr>
                <w:rFonts w:ascii="宋体" w:hAnsi="宋体" w:eastAsia="宋体"/>
                <w:sz w:val="20"/>
              </w:rPr>
              <w:t>数字化方案设计</w:t>
            </w:r>
          </w:p>
        </w:tc>
      </w:tr>
      <w:tr>
        <w:tc>
          <w:tcPr>
            <w:tcW w:type="dxa" w:w="1385"/>
          </w:tcPr>
          <w:p>
            <w:r/>
            <w:r>
              <w:rPr>
                <w:rFonts w:ascii="宋体" w:hAnsi="宋体" w:eastAsia="宋体"/>
                <w:sz w:val="20"/>
              </w:rPr>
              <w:t>9</w:t>
            </w:r>
          </w:p>
        </w:tc>
        <w:tc>
          <w:tcPr>
            <w:tcW w:type="dxa" w:w="1385"/>
          </w:tcPr>
          <w:p>
            <w:r/>
            <w:r>
              <w:rPr>
                <w:rFonts w:ascii="宋体" w:hAnsi="宋体" w:eastAsia="宋体"/>
                <w:sz w:val="20"/>
              </w:rPr>
              <w:t>4</w:t>
            </w:r>
          </w:p>
        </w:tc>
        <w:tc>
          <w:tcPr>
            <w:tcW w:type="dxa" w:w="1385"/>
          </w:tcPr>
          <w:p>
            <w:r/>
            <w:r>
              <w:rPr>
                <w:rFonts w:ascii="宋体" w:hAnsi="宋体" w:eastAsia="宋体"/>
                <w:sz w:val="20"/>
              </w:rPr>
              <w:t>第9章</w:t>
            </w:r>
          </w:p>
        </w:tc>
        <w:tc>
          <w:tcPr>
            <w:tcW w:type="dxa" w:w="1385"/>
          </w:tcPr>
          <w:p>
            <w:r/>
            <w:r>
              <w:rPr>
                <w:rFonts w:ascii="宋体" w:hAnsi="宋体" w:eastAsia="宋体"/>
                <w:sz w:val="20"/>
              </w:rPr>
              <w:t>VR/AR教育培训与实训设计：ADDIE/CDIO/PBL/评估</w:t>
            </w:r>
          </w:p>
        </w:tc>
        <w:tc>
          <w:tcPr>
            <w:tcW w:type="dxa" w:w="1385"/>
          </w:tcPr>
          <w:p>
            <w:r/>
            <w:r>
              <w:rPr>
                <w:rFonts w:ascii="宋体" w:hAnsi="宋体" w:eastAsia="宋体"/>
                <w:sz w:val="20"/>
              </w:rPr>
              <w:t>讲授+讨论</w:t>
            </w:r>
          </w:p>
        </w:tc>
        <w:tc>
          <w:tcPr>
            <w:tcW w:type="dxa" w:w="1385"/>
          </w:tcPr>
          <w:p>
            <w:r/>
            <w:r>
              <w:rPr>
                <w:rFonts w:ascii="宋体" w:hAnsi="宋体" w:eastAsia="宋体"/>
                <w:sz w:val="20"/>
              </w:rPr>
              <w:t>教学设计文档</w:t>
            </w:r>
          </w:p>
        </w:tc>
      </w:tr>
    </w:tbl>
    <w:p/>
    <w:p/>
    <w:p>
      <w:pPr>
        <w:pStyle w:val="Heading3"/>
      </w:pPr>
      <w:r>
        <w:t>E.3.4 第四篇：实训项目（第10-16周，28学时）</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周次</w:t>
            </w:r>
          </w:p>
        </w:tc>
        <w:tc>
          <w:tcPr>
            <w:tcW w:type="dxa" w:w="1385"/>
            <w:shd w:fill="D9E2F3" w:val="clear"/>
          </w:tcPr>
          <w:p>
            <w:pPr>
              <w:jc w:val="center"/>
            </w:pPr>
            <w:r/>
            <w:r>
              <w:rPr>
                <w:rFonts w:ascii="黑体" w:hAnsi="黑体" w:eastAsia="黑体"/>
                <w:b/>
                <w:sz w:val="20"/>
              </w:rPr>
              <w:t>学时</w:t>
            </w:r>
          </w:p>
        </w:tc>
        <w:tc>
          <w:tcPr>
            <w:tcW w:type="dxa" w:w="1385"/>
            <w:shd w:fill="D9E2F3" w:val="clear"/>
          </w:tcPr>
          <w:p>
            <w:pPr>
              <w:jc w:val="center"/>
            </w:pPr>
            <w:r/>
            <w:r>
              <w:rPr>
                <w:rFonts w:ascii="黑体" w:hAnsi="黑体" w:eastAsia="黑体"/>
                <w:b/>
                <w:sz w:val="20"/>
              </w:rPr>
              <w:t>章节</w:t>
            </w:r>
          </w:p>
        </w:tc>
        <w:tc>
          <w:tcPr>
            <w:tcW w:type="dxa" w:w="1385"/>
            <w:shd w:fill="D9E2F3" w:val="clear"/>
          </w:tcPr>
          <w:p>
            <w:pPr>
              <w:jc w:val="center"/>
            </w:pPr>
            <w:r/>
            <w:r>
              <w:rPr>
                <w:rFonts w:ascii="黑体" w:hAnsi="黑体" w:eastAsia="黑体"/>
                <w:b/>
                <w:sz w:val="20"/>
              </w:rPr>
              <w:t>教学内容</w:t>
            </w:r>
          </w:p>
        </w:tc>
        <w:tc>
          <w:tcPr>
            <w:tcW w:type="dxa" w:w="1385"/>
            <w:shd w:fill="D9E2F3" w:val="clear"/>
          </w:tcPr>
          <w:p>
            <w:pPr>
              <w:jc w:val="center"/>
            </w:pPr>
            <w:r/>
            <w:r>
              <w:rPr>
                <w:rFonts w:ascii="黑体" w:hAnsi="黑体" w:eastAsia="黑体"/>
                <w:b/>
                <w:sz w:val="20"/>
              </w:rPr>
              <w:t>教学方式</w:t>
            </w:r>
          </w:p>
        </w:tc>
        <w:tc>
          <w:tcPr>
            <w:tcW w:type="dxa" w:w="1385"/>
            <w:shd w:fill="D9E2F3" w:val="clear"/>
          </w:tcPr>
          <w:p>
            <w:pPr>
              <w:jc w:val="center"/>
            </w:pPr>
            <w:r/>
            <w:r>
              <w:rPr>
                <w:rFonts w:ascii="黑体" w:hAnsi="黑体" w:eastAsia="黑体"/>
                <w:b/>
                <w:sz w:val="20"/>
              </w:rPr>
              <w:t>课后任务</w:t>
            </w:r>
          </w:p>
        </w:tc>
      </w:tr>
      <w:tr>
        <w:tc>
          <w:tcPr>
            <w:tcW w:type="dxa" w:w="1385"/>
          </w:tcPr>
          <w:p>
            <w:r/>
            <w:r>
              <w:rPr>
                <w:rFonts w:ascii="宋体" w:hAnsi="宋体" w:eastAsia="宋体"/>
                <w:sz w:val="20"/>
              </w:rPr>
              <w:t>10-11</w:t>
            </w:r>
          </w:p>
        </w:tc>
        <w:tc>
          <w:tcPr>
            <w:tcW w:type="dxa" w:w="1385"/>
          </w:tcPr>
          <w:p>
            <w:r/>
            <w:r>
              <w:rPr>
                <w:rFonts w:ascii="宋体" w:hAnsi="宋体" w:eastAsia="宋体"/>
                <w:sz w:val="20"/>
              </w:rPr>
              <w:t>8</w:t>
            </w:r>
          </w:p>
        </w:tc>
        <w:tc>
          <w:tcPr>
            <w:tcW w:type="dxa" w:w="1385"/>
          </w:tcPr>
          <w:p>
            <w:r/>
            <w:r>
              <w:rPr>
                <w:rFonts w:ascii="宋体" w:hAnsi="宋体" w:eastAsia="宋体"/>
                <w:sz w:val="20"/>
              </w:rPr>
              <w:t>第10章</w:t>
            </w:r>
          </w:p>
        </w:tc>
        <w:tc>
          <w:tcPr>
            <w:tcW w:type="dxa" w:w="1385"/>
          </w:tcPr>
          <w:p>
            <w:r/>
            <w:r>
              <w:rPr>
                <w:rFonts w:ascii="宋体" w:hAnsi="宋体" w:eastAsia="宋体"/>
                <w:sz w:val="20"/>
              </w:rPr>
              <w:t>实训一：VR全景景区漫游制作</w:t>
            </w:r>
          </w:p>
        </w:tc>
        <w:tc>
          <w:tcPr>
            <w:tcW w:type="dxa" w:w="1385"/>
          </w:tcPr>
          <w:p>
            <w:r/>
            <w:r>
              <w:rPr>
                <w:rFonts w:ascii="宋体" w:hAnsi="宋体" w:eastAsia="宋体"/>
                <w:sz w:val="20"/>
              </w:rPr>
              <w:t>项目实训</w:t>
            </w:r>
          </w:p>
        </w:tc>
        <w:tc>
          <w:tcPr>
            <w:tcW w:type="dxa" w:w="1385"/>
          </w:tcPr>
          <w:p>
            <w:r/>
            <w:r>
              <w:rPr>
                <w:rFonts w:ascii="宋体" w:hAnsi="宋体" w:eastAsia="宋体"/>
                <w:sz w:val="20"/>
              </w:rPr>
              <w:t>全景采集+开发</w:t>
            </w:r>
          </w:p>
        </w:tc>
      </w:tr>
      <w:tr>
        <w:tc>
          <w:tcPr>
            <w:tcW w:type="dxa" w:w="1385"/>
          </w:tcPr>
          <w:p>
            <w:r/>
            <w:r>
              <w:rPr>
                <w:rFonts w:ascii="宋体" w:hAnsi="宋体" w:eastAsia="宋体"/>
                <w:sz w:val="20"/>
              </w:rPr>
              <w:t>12-13</w:t>
            </w:r>
          </w:p>
        </w:tc>
        <w:tc>
          <w:tcPr>
            <w:tcW w:type="dxa" w:w="1385"/>
          </w:tcPr>
          <w:p>
            <w:r/>
            <w:r>
              <w:rPr>
                <w:rFonts w:ascii="宋体" w:hAnsi="宋体" w:eastAsia="宋体"/>
                <w:sz w:val="20"/>
              </w:rPr>
              <w:t>8</w:t>
            </w:r>
          </w:p>
        </w:tc>
        <w:tc>
          <w:tcPr>
            <w:tcW w:type="dxa" w:w="1385"/>
          </w:tcPr>
          <w:p>
            <w:r/>
            <w:r>
              <w:rPr>
                <w:rFonts w:ascii="宋体" w:hAnsi="宋体" w:eastAsia="宋体"/>
                <w:sz w:val="20"/>
              </w:rPr>
              <w:t>第11章</w:t>
            </w:r>
          </w:p>
        </w:tc>
        <w:tc>
          <w:tcPr>
            <w:tcW w:type="dxa" w:w="1385"/>
          </w:tcPr>
          <w:p>
            <w:r/>
            <w:r>
              <w:rPr>
                <w:rFonts w:ascii="宋体" w:hAnsi="宋体" w:eastAsia="宋体"/>
                <w:sz w:val="20"/>
              </w:rPr>
              <w:t>实训二：AR文化导览应用开发</w:t>
            </w:r>
          </w:p>
        </w:tc>
        <w:tc>
          <w:tcPr>
            <w:tcW w:type="dxa" w:w="1385"/>
          </w:tcPr>
          <w:p>
            <w:r/>
            <w:r>
              <w:rPr>
                <w:rFonts w:ascii="宋体" w:hAnsi="宋体" w:eastAsia="宋体"/>
                <w:sz w:val="20"/>
              </w:rPr>
              <w:t>项目实训</w:t>
            </w:r>
          </w:p>
        </w:tc>
        <w:tc>
          <w:tcPr>
            <w:tcW w:type="dxa" w:w="1385"/>
          </w:tcPr>
          <w:p>
            <w:r/>
            <w:r>
              <w:rPr>
                <w:rFonts w:ascii="宋体" w:hAnsi="宋体" w:eastAsia="宋体"/>
                <w:sz w:val="20"/>
              </w:rPr>
              <w:t>AR开发+测试</w:t>
            </w:r>
          </w:p>
        </w:tc>
      </w:tr>
      <w:tr>
        <w:tc>
          <w:tcPr>
            <w:tcW w:type="dxa" w:w="1385"/>
          </w:tcPr>
          <w:p>
            <w:r/>
            <w:r>
              <w:rPr>
                <w:rFonts w:ascii="宋体" w:hAnsi="宋体" w:eastAsia="宋体"/>
                <w:sz w:val="20"/>
              </w:rPr>
              <w:t>14-15</w:t>
            </w:r>
          </w:p>
        </w:tc>
        <w:tc>
          <w:tcPr>
            <w:tcW w:type="dxa" w:w="1385"/>
          </w:tcPr>
          <w:p>
            <w:r/>
            <w:r>
              <w:rPr>
                <w:rFonts w:ascii="宋体" w:hAnsi="宋体" w:eastAsia="宋体"/>
                <w:sz w:val="20"/>
              </w:rPr>
              <w:t>8</w:t>
            </w:r>
          </w:p>
        </w:tc>
        <w:tc>
          <w:tcPr>
            <w:tcW w:type="dxa" w:w="1385"/>
          </w:tcPr>
          <w:p>
            <w:r/>
            <w:r>
              <w:rPr>
                <w:rFonts w:ascii="宋体" w:hAnsi="宋体" w:eastAsia="宋体"/>
                <w:sz w:val="20"/>
              </w:rPr>
              <w:t>第12章</w:t>
            </w:r>
          </w:p>
        </w:tc>
        <w:tc>
          <w:tcPr>
            <w:tcW w:type="dxa" w:w="1385"/>
          </w:tcPr>
          <w:p>
            <w:r/>
            <w:r>
              <w:rPr>
                <w:rFonts w:ascii="宋体" w:hAnsi="宋体" w:eastAsia="宋体"/>
                <w:sz w:val="20"/>
              </w:rPr>
              <w:t>实训三：沉浸式文旅元宇宙场景制作</w:t>
            </w:r>
          </w:p>
        </w:tc>
        <w:tc>
          <w:tcPr>
            <w:tcW w:type="dxa" w:w="1385"/>
          </w:tcPr>
          <w:p>
            <w:r/>
            <w:r>
              <w:rPr>
                <w:rFonts w:ascii="宋体" w:hAnsi="宋体" w:eastAsia="宋体"/>
                <w:sz w:val="20"/>
              </w:rPr>
              <w:t>项目实训</w:t>
            </w:r>
          </w:p>
        </w:tc>
        <w:tc>
          <w:tcPr>
            <w:tcW w:type="dxa" w:w="1385"/>
          </w:tcPr>
          <w:p>
            <w:r/>
            <w:r>
              <w:rPr>
                <w:rFonts w:ascii="宋体" w:hAnsi="宋体" w:eastAsia="宋体"/>
                <w:sz w:val="20"/>
              </w:rPr>
              <w:t>元宇宙开发</w:t>
            </w:r>
          </w:p>
        </w:tc>
      </w:tr>
      <w:tr>
        <w:tc>
          <w:tcPr>
            <w:tcW w:type="dxa" w:w="1385"/>
          </w:tcPr>
          <w:p>
            <w:r/>
            <w:r>
              <w:rPr>
                <w:rFonts w:ascii="宋体" w:hAnsi="宋体" w:eastAsia="宋体"/>
                <w:sz w:val="20"/>
              </w:rPr>
              <w:t>16</w:t>
            </w:r>
          </w:p>
        </w:tc>
        <w:tc>
          <w:tcPr>
            <w:tcW w:type="dxa" w:w="1385"/>
          </w:tcPr>
          <w:p>
            <w:r/>
            <w:r>
              <w:rPr>
                <w:rFonts w:ascii="宋体" w:hAnsi="宋体" w:eastAsia="宋体"/>
                <w:sz w:val="20"/>
              </w:rPr>
              <w:t>4</w:t>
            </w:r>
          </w:p>
        </w:tc>
        <w:tc>
          <w:tcPr>
            <w:tcW w:type="dxa" w:w="1385"/>
          </w:tcPr>
          <w:p>
            <w:r/>
            <w:r>
              <w:rPr>
                <w:rFonts w:ascii="宋体" w:hAnsi="宋体" w:eastAsia="宋体"/>
                <w:sz w:val="20"/>
              </w:rPr>
              <w:t>全书</w:t>
            </w:r>
          </w:p>
        </w:tc>
        <w:tc>
          <w:tcPr>
            <w:tcW w:type="dxa" w:w="1385"/>
          </w:tcPr>
          <w:p>
            <w:r/>
            <w:r>
              <w:rPr>
                <w:rFonts w:ascii="宋体" w:hAnsi="宋体" w:eastAsia="宋体"/>
                <w:sz w:val="20"/>
              </w:rPr>
              <w:t>项目答辩与总结</w:t>
            </w:r>
          </w:p>
        </w:tc>
        <w:tc>
          <w:tcPr>
            <w:tcW w:type="dxa" w:w="1385"/>
          </w:tcPr>
          <w:p>
            <w:r/>
            <w:r>
              <w:rPr>
                <w:rFonts w:ascii="宋体" w:hAnsi="宋体" w:eastAsia="宋体"/>
                <w:sz w:val="20"/>
              </w:rPr>
              <w:t>答辩评审</w:t>
            </w:r>
          </w:p>
        </w:tc>
        <w:tc>
          <w:tcPr>
            <w:tcW w:type="dxa" w:w="1385"/>
          </w:tcPr>
          <w:p>
            <w:r/>
            <w:r>
              <w:rPr>
                <w:rFonts w:ascii="宋体" w:hAnsi="宋体" w:eastAsia="宋体"/>
                <w:sz w:val="20"/>
              </w:rPr>
              <w:t>项目报告</w:t>
            </w:r>
          </w:p>
        </w:tc>
      </w:tr>
    </w:tbl>
    <w:p/>
    <w:p/>
    <w:p>
      <w:pPr>
        <w:pStyle w:val="Heading2"/>
      </w:pPr>
      <w:r>
        <w:t>E.4 考核评价方案</w:t>
      </w:r>
    </w:p>
    <w:p/>
    <w:p>
      <w:pPr>
        <w:pStyle w:val="Heading3"/>
      </w:pPr>
      <w:r>
        <w:t>E.4.1 过程性评价（40%）</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评价项目</w:t>
            </w:r>
          </w:p>
        </w:tc>
        <w:tc>
          <w:tcPr>
            <w:tcW w:type="dxa" w:w="2078"/>
            <w:shd w:fill="D9E2F3" w:val="clear"/>
          </w:tcPr>
          <w:p>
            <w:pPr>
              <w:jc w:val="center"/>
            </w:pPr>
            <w:r/>
            <w:r>
              <w:rPr>
                <w:rFonts w:ascii="黑体" w:hAnsi="黑体" w:eastAsia="黑体"/>
                <w:b/>
                <w:sz w:val="20"/>
              </w:rPr>
              <w:t>权重</w:t>
            </w:r>
          </w:p>
        </w:tc>
        <w:tc>
          <w:tcPr>
            <w:tcW w:type="dxa" w:w="2078"/>
            <w:shd w:fill="D9E2F3" w:val="clear"/>
          </w:tcPr>
          <w:p>
            <w:pPr>
              <w:jc w:val="center"/>
            </w:pPr>
            <w:r/>
            <w:r>
              <w:rPr>
                <w:rFonts w:ascii="黑体" w:hAnsi="黑体" w:eastAsia="黑体"/>
                <w:b/>
                <w:sz w:val="20"/>
              </w:rPr>
              <w:t>评价方式</w:t>
            </w:r>
          </w:p>
        </w:tc>
        <w:tc>
          <w:tcPr>
            <w:tcW w:type="dxa" w:w="2078"/>
            <w:shd w:fill="D9E2F3" w:val="clear"/>
          </w:tcPr>
          <w:p>
            <w:pPr>
              <w:jc w:val="center"/>
            </w:pPr>
            <w:r/>
            <w:r>
              <w:rPr>
                <w:rFonts w:ascii="黑体" w:hAnsi="黑体" w:eastAsia="黑体"/>
                <w:b/>
                <w:sz w:val="20"/>
              </w:rPr>
              <w:t>说明</w:t>
            </w:r>
          </w:p>
        </w:tc>
      </w:tr>
      <w:tr>
        <w:tc>
          <w:tcPr>
            <w:tcW w:type="dxa" w:w="2078"/>
          </w:tcPr>
          <w:p>
            <w:r/>
            <w:r>
              <w:rPr>
                <w:rFonts w:ascii="宋体" w:hAnsi="宋体" w:eastAsia="宋体"/>
                <w:sz w:val="20"/>
              </w:rPr>
              <w:t>出勤与参与</w:t>
            </w:r>
          </w:p>
        </w:tc>
        <w:tc>
          <w:tcPr>
            <w:tcW w:type="dxa" w:w="2078"/>
          </w:tcPr>
          <w:p>
            <w:r/>
            <w:r>
              <w:rPr>
                <w:rFonts w:ascii="宋体" w:hAnsi="宋体" w:eastAsia="宋体"/>
                <w:sz w:val="20"/>
              </w:rPr>
              <w:t>10%</w:t>
            </w:r>
          </w:p>
        </w:tc>
        <w:tc>
          <w:tcPr>
            <w:tcW w:type="dxa" w:w="2078"/>
          </w:tcPr>
          <w:p>
            <w:r/>
            <w:r>
              <w:rPr>
                <w:rFonts w:ascii="宋体" w:hAnsi="宋体" w:eastAsia="宋体"/>
                <w:sz w:val="20"/>
              </w:rPr>
              <w:t>教师记录</w:t>
            </w:r>
          </w:p>
        </w:tc>
        <w:tc>
          <w:tcPr>
            <w:tcW w:type="dxa" w:w="2078"/>
          </w:tcPr>
          <w:p>
            <w:r/>
            <w:r>
              <w:rPr>
                <w:rFonts w:ascii="宋体" w:hAnsi="宋体" w:eastAsia="宋体"/>
                <w:sz w:val="20"/>
              </w:rPr>
              <w:t>课堂出勤率和讨论参与度</w:t>
            </w:r>
          </w:p>
        </w:tc>
      </w:tr>
      <w:tr>
        <w:tc>
          <w:tcPr>
            <w:tcW w:type="dxa" w:w="2078"/>
          </w:tcPr>
          <w:p>
            <w:r/>
            <w:r>
              <w:rPr>
                <w:rFonts w:ascii="宋体" w:hAnsi="宋体" w:eastAsia="宋体"/>
                <w:sz w:val="20"/>
              </w:rPr>
              <w:t>阶段作业</w:t>
            </w:r>
          </w:p>
        </w:tc>
        <w:tc>
          <w:tcPr>
            <w:tcW w:type="dxa" w:w="2078"/>
          </w:tcPr>
          <w:p>
            <w:r/>
            <w:r>
              <w:rPr>
                <w:rFonts w:ascii="宋体" w:hAnsi="宋体" w:eastAsia="宋体"/>
                <w:sz w:val="20"/>
              </w:rPr>
              <w:t>15%</w:t>
            </w:r>
          </w:p>
        </w:tc>
        <w:tc>
          <w:tcPr>
            <w:tcW w:type="dxa" w:w="2078"/>
          </w:tcPr>
          <w:p>
            <w:r/>
            <w:r>
              <w:rPr>
                <w:rFonts w:ascii="宋体" w:hAnsi="宋体" w:eastAsia="宋体"/>
                <w:sz w:val="20"/>
              </w:rPr>
              <w:t>教师评分</w:t>
            </w:r>
          </w:p>
        </w:tc>
        <w:tc>
          <w:tcPr>
            <w:tcW w:type="dxa" w:w="2078"/>
          </w:tcPr>
          <w:p>
            <w:r/>
            <w:r>
              <w:rPr>
                <w:rFonts w:ascii="宋体" w:hAnsi="宋体" w:eastAsia="宋体"/>
                <w:sz w:val="20"/>
              </w:rPr>
              <w:t>每章课后任务（共9次）</w:t>
            </w:r>
          </w:p>
        </w:tc>
      </w:tr>
      <w:tr>
        <w:tc>
          <w:tcPr>
            <w:tcW w:type="dxa" w:w="2078"/>
          </w:tcPr>
          <w:p>
            <w:r/>
            <w:r>
              <w:rPr>
                <w:rFonts w:ascii="宋体" w:hAnsi="宋体" w:eastAsia="宋体"/>
                <w:sz w:val="20"/>
              </w:rPr>
              <w:t>实训参与度</w:t>
            </w:r>
          </w:p>
        </w:tc>
        <w:tc>
          <w:tcPr>
            <w:tcW w:type="dxa" w:w="2078"/>
          </w:tcPr>
          <w:p>
            <w:r/>
            <w:r>
              <w:rPr>
                <w:rFonts w:ascii="宋体" w:hAnsi="宋体" w:eastAsia="宋体"/>
                <w:sz w:val="20"/>
              </w:rPr>
              <w:t>15%</w:t>
            </w:r>
          </w:p>
        </w:tc>
        <w:tc>
          <w:tcPr>
            <w:tcW w:type="dxa" w:w="2078"/>
          </w:tcPr>
          <w:p>
            <w:r/>
            <w:r>
              <w:rPr>
                <w:rFonts w:ascii="宋体" w:hAnsi="宋体" w:eastAsia="宋体"/>
                <w:sz w:val="20"/>
              </w:rPr>
              <w:t>教师+同伴</w:t>
            </w:r>
          </w:p>
        </w:tc>
        <w:tc>
          <w:tcPr>
            <w:tcW w:type="dxa" w:w="2078"/>
          </w:tcPr>
          <w:p>
            <w:r/>
            <w:r>
              <w:rPr>
                <w:rFonts w:ascii="宋体" w:hAnsi="宋体" w:eastAsia="宋体"/>
                <w:sz w:val="20"/>
              </w:rPr>
              <w:t>三个实训项目的参与度和贡献度</w:t>
            </w:r>
          </w:p>
        </w:tc>
      </w:tr>
    </w:tbl>
    <w:p/>
    <w:p/>
    <w:p>
      <w:pPr>
        <w:pStyle w:val="Heading3"/>
      </w:pPr>
      <w:r>
        <w:t>E.4.2 终结性评价（60%）</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评价项目</w:t>
            </w:r>
          </w:p>
        </w:tc>
        <w:tc>
          <w:tcPr>
            <w:tcW w:type="dxa" w:w="2078"/>
            <w:shd w:fill="D9E2F3" w:val="clear"/>
          </w:tcPr>
          <w:p>
            <w:pPr>
              <w:jc w:val="center"/>
            </w:pPr>
            <w:r/>
            <w:r>
              <w:rPr>
                <w:rFonts w:ascii="黑体" w:hAnsi="黑体" w:eastAsia="黑体"/>
                <w:b/>
                <w:sz w:val="20"/>
              </w:rPr>
              <w:t>权重</w:t>
            </w:r>
          </w:p>
        </w:tc>
        <w:tc>
          <w:tcPr>
            <w:tcW w:type="dxa" w:w="2078"/>
            <w:shd w:fill="D9E2F3" w:val="clear"/>
          </w:tcPr>
          <w:p>
            <w:pPr>
              <w:jc w:val="center"/>
            </w:pPr>
            <w:r/>
            <w:r>
              <w:rPr>
                <w:rFonts w:ascii="黑体" w:hAnsi="黑体" w:eastAsia="黑体"/>
                <w:b/>
                <w:sz w:val="20"/>
              </w:rPr>
              <w:t>评价方式</w:t>
            </w:r>
          </w:p>
        </w:tc>
        <w:tc>
          <w:tcPr>
            <w:tcW w:type="dxa" w:w="2078"/>
            <w:shd w:fill="D9E2F3" w:val="clear"/>
          </w:tcPr>
          <w:p>
            <w:pPr>
              <w:jc w:val="center"/>
            </w:pPr>
            <w:r/>
            <w:r>
              <w:rPr>
                <w:rFonts w:ascii="黑体" w:hAnsi="黑体" w:eastAsia="黑体"/>
                <w:b/>
                <w:sz w:val="20"/>
              </w:rPr>
              <w:t>说明</w:t>
            </w:r>
          </w:p>
        </w:tc>
      </w:tr>
      <w:tr>
        <w:tc>
          <w:tcPr>
            <w:tcW w:type="dxa" w:w="2078"/>
          </w:tcPr>
          <w:p>
            <w:r/>
            <w:r>
              <w:rPr>
                <w:rFonts w:ascii="宋体" w:hAnsi="宋体" w:eastAsia="宋体"/>
                <w:sz w:val="20"/>
              </w:rPr>
              <w:t>实训项目成果</w:t>
            </w:r>
          </w:p>
        </w:tc>
        <w:tc>
          <w:tcPr>
            <w:tcW w:type="dxa" w:w="2078"/>
          </w:tcPr>
          <w:p>
            <w:r/>
            <w:r>
              <w:rPr>
                <w:rFonts w:ascii="宋体" w:hAnsi="宋体" w:eastAsia="宋体"/>
                <w:sz w:val="20"/>
              </w:rPr>
              <w:t>30%</w:t>
            </w:r>
          </w:p>
        </w:tc>
        <w:tc>
          <w:tcPr>
            <w:tcW w:type="dxa" w:w="2078"/>
          </w:tcPr>
          <w:p>
            <w:r/>
            <w:r>
              <w:rPr>
                <w:rFonts w:ascii="宋体" w:hAnsi="宋体" w:eastAsia="宋体"/>
                <w:sz w:val="20"/>
              </w:rPr>
              <w:t>评审小组</w:t>
            </w:r>
          </w:p>
        </w:tc>
        <w:tc>
          <w:tcPr>
            <w:tcW w:type="dxa" w:w="2078"/>
          </w:tcPr>
          <w:p>
            <w:r/>
            <w:r>
              <w:rPr>
                <w:rFonts w:ascii="宋体" w:hAnsi="宋体" w:eastAsia="宋体"/>
                <w:sz w:val="20"/>
              </w:rPr>
              <w:t>三个实训项目的功能、体验、创新</w:t>
            </w:r>
          </w:p>
        </w:tc>
      </w:tr>
      <w:tr>
        <w:tc>
          <w:tcPr>
            <w:tcW w:type="dxa" w:w="2078"/>
          </w:tcPr>
          <w:p>
            <w:r/>
            <w:r>
              <w:rPr>
                <w:rFonts w:ascii="宋体" w:hAnsi="宋体" w:eastAsia="宋体"/>
                <w:sz w:val="20"/>
              </w:rPr>
              <w:t>项目文档</w:t>
            </w:r>
          </w:p>
        </w:tc>
        <w:tc>
          <w:tcPr>
            <w:tcW w:type="dxa" w:w="2078"/>
          </w:tcPr>
          <w:p>
            <w:r/>
            <w:r>
              <w:rPr>
                <w:rFonts w:ascii="宋体" w:hAnsi="宋体" w:eastAsia="宋体"/>
                <w:sz w:val="20"/>
              </w:rPr>
              <w:t>15%</w:t>
            </w:r>
          </w:p>
        </w:tc>
        <w:tc>
          <w:tcPr>
            <w:tcW w:type="dxa" w:w="2078"/>
          </w:tcPr>
          <w:p>
            <w:r/>
            <w:r>
              <w:rPr>
                <w:rFonts w:ascii="宋体" w:hAnsi="宋体" w:eastAsia="宋体"/>
                <w:sz w:val="20"/>
              </w:rPr>
              <w:t>教师评分</w:t>
            </w:r>
          </w:p>
        </w:tc>
        <w:tc>
          <w:tcPr>
            <w:tcW w:type="dxa" w:w="2078"/>
          </w:tcPr>
          <w:p>
            <w:r/>
            <w:r>
              <w:rPr>
                <w:rFonts w:ascii="宋体" w:hAnsi="宋体" w:eastAsia="宋体"/>
                <w:sz w:val="20"/>
              </w:rPr>
              <w:t>需求文档、设计文档、技术文档、用户手册</w:t>
            </w:r>
          </w:p>
        </w:tc>
      </w:tr>
      <w:tr>
        <w:tc>
          <w:tcPr>
            <w:tcW w:type="dxa" w:w="2078"/>
          </w:tcPr>
          <w:p>
            <w:r/>
            <w:r>
              <w:rPr>
                <w:rFonts w:ascii="宋体" w:hAnsi="宋体" w:eastAsia="宋体"/>
                <w:sz w:val="20"/>
              </w:rPr>
              <w:t>答辩表现</w:t>
            </w:r>
          </w:p>
        </w:tc>
        <w:tc>
          <w:tcPr>
            <w:tcW w:type="dxa" w:w="2078"/>
          </w:tcPr>
          <w:p>
            <w:r/>
            <w:r>
              <w:rPr>
                <w:rFonts w:ascii="宋体" w:hAnsi="宋体" w:eastAsia="宋体"/>
                <w:sz w:val="20"/>
              </w:rPr>
              <w:t>15%</w:t>
            </w:r>
          </w:p>
        </w:tc>
        <w:tc>
          <w:tcPr>
            <w:tcW w:type="dxa" w:w="2078"/>
          </w:tcPr>
          <w:p>
            <w:r/>
            <w:r>
              <w:rPr>
                <w:rFonts w:ascii="宋体" w:hAnsi="宋体" w:eastAsia="宋体"/>
                <w:sz w:val="20"/>
              </w:rPr>
              <w:t>评审小组</w:t>
            </w:r>
          </w:p>
        </w:tc>
        <w:tc>
          <w:tcPr>
            <w:tcW w:type="dxa" w:w="2078"/>
          </w:tcPr>
          <w:p>
            <w:r/>
            <w:r>
              <w:rPr>
                <w:rFonts w:ascii="宋体" w:hAnsi="宋体" w:eastAsia="宋体"/>
                <w:sz w:val="20"/>
              </w:rPr>
              <w:t>项目展示、问答、团队协作</w:t>
            </w:r>
          </w:p>
        </w:tc>
      </w:tr>
    </w:tbl>
    <w:p/>
    <w:p/>
    <w:p>
      <w:pPr>
        <w:pStyle w:val="Heading3"/>
      </w:pPr>
      <w:r>
        <w:t>E.4.3 评价量规</w:t>
      </w:r>
    </w:p>
    <w:p/>
    <w:p>
      <w:pPr>
        <w:ind w:firstLine="482"/>
      </w:pPr>
      <w:r>
        <w:rPr>
          <w:rFonts w:ascii="宋体" w:hAnsi="宋体" w:eastAsia="宋体"/>
          <w:b/>
          <w:sz w:val="24"/>
        </w:rPr>
        <w:t>实训项目成果评分量规（30%）</w:t>
      </w:r>
      <w:r>
        <w:rPr>
          <w:rFonts w:ascii="宋体" w:hAnsi="宋体" w:eastAsia="宋体"/>
          <w:sz w:val="24"/>
        </w:rPr>
        <w:t>：</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维度</w:t>
            </w:r>
          </w:p>
        </w:tc>
        <w:tc>
          <w:tcPr>
            <w:tcW w:type="dxa" w:w="1662"/>
            <w:shd w:fill="D9E2F3" w:val="clear"/>
          </w:tcPr>
          <w:p>
            <w:pPr>
              <w:jc w:val="center"/>
            </w:pPr>
            <w:r/>
            <w:r>
              <w:rPr>
                <w:rFonts w:ascii="黑体" w:hAnsi="黑体" w:eastAsia="黑体"/>
                <w:b/>
                <w:sz w:val="20"/>
              </w:rPr>
              <w:t>优秀(27-30)</w:t>
            </w:r>
          </w:p>
        </w:tc>
        <w:tc>
          <w:tcPr>
            <w:tcW w:type="dxa" w:w="1662"/>
            <w:shd w:fill="D9E2F3" w:val="clear"/>
          </w:tcPr>
          <w:p>
            <w:pPr>
              <w:jc w:val="center"/>
            </w:pPr>
            <w:r/>
            <w:r>
              <w:rPr>
                <w:rFonts w:ascii="黑体" w:hAnsi="黑体" w:eastAsia="黑体"/>
                <w:b/>
                <w:sz w:val="20"/>
              </w:rPr>
              <w:t>良好(24-26)</w:t>
            </w:r>
          </w:p>
        </w:tc>
        <w:tc>
          <w:tcPr>
            <w:tcW w:type="dxa" w:w="1662"/>
            <w:shd w:fill="D9E2F3" w:val="clear"/>
          </w:tcPr>
          <w:p>
            <w:pPr>
              <w:jc w:val="center"/>
            </w:pPr>
            <w:r/>
            <w:r>
              <w:rPr>
                <w:rFonts w:ascii="黑体" w:hAnsi="黑体" w:eastAsia="黑体"/>
                <w:b/>
                <w:sz w:val="20"/>
              </w:rPr>
              <w:t>合格(18-23)</w:t>
            </w:r>
          </w:p>
        </w:tc>
        <w:tc>
          <w:tcPr>
            <w:tcW w:type="dxa" w:w="1662"/>
            <w:shd w:fill="D9E2F3" w:val="clear"/>
          </w:tcPr>
          <w:p>
            <w:pPr>
              <w:jc w:val="center"/>
            </w:pPr>
            <w:r/>
            <w:r>
              <w:rPr>
                <w:rFonts w:ascii="黑体" w:hAnsi="黑体" w:eastAsia="黑体"/>
                <w:b/>
                <w:sz w:val="20"/>
              </w:rPr>
              <w:t>不合格(&lt;18)</w:t>
            </w:r>
          </w:p>
        </w:tc>
      </w:tr>
      <w:tr>
        <w:tc>
          <w:tcPr>
            <w:tcW w:type="dxa" w:w="1662"/>
          </w:tcPr>
          <w:p>
            <w:r/>
            <w:r>
              <w:rPr>
                <w:rFonts w:ascii="宋体" w:hAnsi="宋体" w:eastAsia="宋体"/>
                <w:sz w:val="20"/>
              </w:rPr>
              <w:t>技术实现</w:t>
            </w:r>
          </w:p>
        </w:tc>
        <w:tc>
          <w:tcPr>
            <w:tcW w:type="dxa" w:w="1662"/>
          </w:tcPr>
          <w:p>
            <w:r/>
            <w:r>
              <w:rPr>
                <w:rFonts w:ascii="宋体" w:hAnsi="宋体" w:eastAsia="宋体"/>
                <w:sz w:val="20"/>
              </w:rPr>
              <w:t>功能完整,性能优秀,代码规范,有创新</w:t>
            </w:r>
          </w:p>
        </w:tc>
        <w:tc>
          <w:tcPr>
            <w:tcW w:type="dxa" w:w="1662"/>
          </w:tcPr>
          <w:p>
            <w:r/>
            <w:r>
              <w:rPr>
                <w:rFonts w:ascii="宋体" w:hAnsi="宋体" w:eastAsia="宋体"/>
                <w:sz w:val="20"/>
              </w:rPr>
              <w:t>功能完整,性能达标,代码规范</w:t>
            </w:r>
          </w:p>
        </w:tc>
        <w:tc>
          <w:tcPr>
            <w:tcW w:type="dxa" w:w="1662"/>
          </w:tcPr>
          <w:p>
            <w:r/>
            <w:r>
              <w:rPr>
                <w:rFonts w:ascii="宋体" w:hAnsi="宋体" w:eastAsia="宋体"/>
                <w:sz w:val="20"/>
              </w:rPr>
              <w:t>核心功能完整,性能一般</w:t>
            </w:r>
          </w:p>
        </w:tc>
        <w:tc>
          <w:tcPr>
            <w:tcW w:type="dxa" w:w="1662"/>
          </w:tcPr>
          <w:p>
            <w:r/>
            <w:r>
              <w:rPr>
                <w:rFonts w:ascii="宋体" w:hAnsi="宋体" w:eastAsia="宋体"/>
                <w:sz w:val="20"/>
              </w:rPr>
              <w:t>功能缺失,性能差</w:t>
            </w:r>
          </w:p>
        </w:tc>
      </w:tr>
      <w:tr>
        <w:tc>
          <w:tcPr>
            <w:tcW w:type="dxa" w:w="1662"/>
          </w:tcPr>
          <w:p>
            <w:r/>
            <w:r>
              <w:rPr>
                <w:rFonts w:ascii="宋体" w:hAnsi="宋体" w:eastAsia="宋体"/>
                <w:sz w:val="20"/>
              </w:rPr>
              <w:t>用户体验</w:t>
            </w:r>
          </w:p>
        </w:tc>
        <w:tc>
          <w:tcPr>
            <w:tcW w:type="dxa" w:w="1662"/>
          </w:tcPr>
          <w:p>
            <w:r/>
            <w:r>
              <w:rPr>
                <w:rFonts w:ascii="宋体" w:hAnsi="宋体" w:eastAsia="宋体"/>
                <w:sz w:val="20"/>
              </w:rPr>
              <w:t>交互流畅,沉浸感强,界面专业</w:t>
            </w:r>
          </w:p>
        </w:tc>
        <w:tc>
          <w:tcPr>
            <w:tcW w:type="dxa" w:w="1662"/>
          </w:tcPr>
          <w:p>
            <w:r/>
            <w:r>
              <w:rPr>
                <w:rFonts w:ascii="宋体" w:hAnsi="宋体" w:eastAsia="宋体"/>
                <w:sz w:val="20"/>
              </w:rPr>
              <w:t>交互顺畅,有沉浸感,界面整洁</w:t>
            </w:r>
          </w:p>
        </w:tc>
        <w:tc>
          <w:tcPr>
            <w:tcW w:type="dxa" w:w="1662"/>
          </w:tcPr>
          <w:p>
            <w:r/>
            <w:r>
              <w:rPr>
                <w:rFonts w:ascii="宋体" w:hAnsi="宋体" w:eastAsia="宋体"/>
                <w:sz w:val="20"/>
              </w:rPr>
              <w:t>交互可用,界面一般</w:t>
            </w:r>
          </w:p>
        </w:tc>
        <w:tc>
          <w:tcPr>
            <w:tcW w:type="dxa" w:w="1662"/>
          </w:tcPr>
          <w:p>
            <w:r/>
            <w:r>
              <w:rPr>
                <w:rFonts w:ascii="宋体" w:hAnsi="宋体" w:eastAsia="宋体"/>
                <w:sz w:val="20"/>
              </w:rPr>
              <w:t>交互困难,界面混乱</w:t>
            </w:r>
          </w:p>
        </w:tc>
      </w:tr>
      <w:tr>
        <w:tc>
          <w:tcPr>
            <w:tcW w:type="dxa" w:w="1662"/>
          </w:tcPr>
          <w:p>
            <w:r/>
            <w:r>
              <w:rPr>
                <w:rFonts w:ascii="宋体" w:hAnsi="宋体" w:eastAsia="宋体"/>
                <w:sz w:val="20"/>
              </w:rPr>
              <w:t>文化内容</w:t>
            </w:r>
          </w:p>
        </w:tc>
        <w:tc>
          <w:tcPr>
            <w:tcW w:type="dxa" w:w="1662"/>
          </w:tcPr>
          <w:p>
            <w:r/>
            <w:r>
              <w:rPr>
                <w:rFonts w:ascii="宋体" w:hAnsi="宋体" w:eastAsia="宋体"/>
                <w:sz w:val="20"/>
              </w:rPr>
              <w:t>内容丰富,文化准确,有深度和创意</w:t>
            </w:r>
          </w:p>
        </w:tc>
        <w:tc>
          <w:tcPr>
            <w:tcW w:type="dxa" w:w="1662"/>
          </w:tcPr>
          <w:p>
            <w:r/>
            <w:r>
              <w:rPr>
                <w:rFonts w:ascii="宋体" w:hAnsi="宋体" w:eastAsia="宋体"/>
                <w:sz w:val="20"/>
              </w:rPr>
              <w:t>内容充实,基本准确</w:t>
            </w:r>
          </w:p>
        </w:tc>
        <w:tc>
          <w:tcPr>
            <w:tcW w:type="dxa" w:w="1662"/>
          </w:tcPr>
          <w:p>
            <w:r/>
            <w:r>
              <w:rPr>
                <w:rFonts w:ascii="宋体" w:hAnsi="宋体" w:eastAsia="宋体"/>
                <w:sz w:val="20"/>
              </w:rPr>
              <w:t>内容基本完整</w:t>
            </w:r>
          </w:p>
        </w:tc>
        <w:tc>
          <w:tcPr>
            <w:tcW w:type="dxa" w:w="1662"/>
          </w:tcPr>
          <w:p>
            <w:r/>
            <w:r>
              <w:rPr>
                <w:rFonts w:ascii="宋体" w:hAnsi="宋体" w:eastAsia="宋体"/>
                <w:sz w:val="20"/>
              </w:rPr>
              <w:t>内容不完整或不准确</w:t>
            </w:r>
          </w:p>
        </w:tc>
      </w:tr>
    </w:tbl>
    <w:p/>
    <w:p/>
    <w:p>
      <w:pPr>
        <w:pStyle w:val="Heading2"/>
      </w:pPr>
      <w:r>
        <w:t>E.5 教学资源</w:t>
      </w:r>
    </w:p>
    <w:p/>
    <w:p>
      <w:pPr>
        <w:pStyle w:val="Heading3"/>
      </w:pPr>
      <w:r>
        <w:t>E.5.1 教材</w:t>
      </w:r>
    </w:p>
    <w:p/>
    <w:p>
      <w:pPr>
        <w:pStyle w:val="ListBullet"/>
      </w:pPr>
      <w:r>
        <w:rPr>
          <w:rFonts w:ascii="宋体" w:hAnsi="宋体" w:eastAsia="宋体"/>
          <w:sz w:val="24"/>
        </w:rPr>
        <w:t>本教材：《VR/AR 沉浸式场景制作实训》</w:t>
      </w:r>
    </w:p>
    <w:p>
      <w:pPr>
        <w:pStyle w:val="ListBullet"/>
      </w:pPr>
      <w:r>
        <w:rPr>
          <w:rFonts w:ascii="宋体" w:hAnsi="宋体" w:eastAsia="宋体"/>
          <w:sz w:val="24"/>
        </w:rPr>
        <w:t>参考教材：Unity 官方教程（learn.unity.com）、A-Frame 官方文档（aframe.io）</w:t>
      </w:r>
    </w:p>
    <w:p/>
    <w:p>
      <w:pPr>
        <w:pStyle w:val="Heading3"/>
      </w:pPr>
      <w:r>
        <w:t>E.5.2 实训环境</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设备</w:t>
            </w:r>
          </w:p>
        </w:tc>
        <w:tc>
          <w:tcPr>
            <w:tcW w:type="dxa" w:w="2771"/>
            <w:shd w:fill="D9E2F3" w:val="clear"/>
          </w:tcPr>
          <w:p>
            <w:pPr>
              <w:jc w:val="center"/>
            </w:pPr>
            <w:r/>
            <w:r>
              <w:rPr>
                <w:rFonts w:ascii="黑体" w:hAnsi="黑体" w:eastAsia="黑体"/>
                <w:b/>
                <w:sz w:val="20"/>
              </w:rPr>
              <w:t>数量</w:t>
            </w:r>
          </w:p>
        </w:tc>
        <w:tc>
          <w:tcPr>
            <w:tcW w:type="dxa" w:w="2771"/>
            <w:shd w:fill="D9E2F3" w:val="clear"/>
          </w:tcPr>
          <w:p>
            <w:pPr>
              <w:jc w:val="center"/>
            </w:pPr>
            <w:r/>
            <w:r>
              <w:rPr>
                <w:rFonts w:ascii="黑体" w:hAnsi="黑体" w:eastAsia="黑体"/>
                <w:b/>
                <w:sz w:val="20"/>
              </w:rPr>
              <w:t>用途</w:t>
            </w:r>
          </w:p>
        </w:tc>
      </w:tr>
      <w:tr>
        <w:tc>
          <w:tcPr>
            <w:tcW w:type="dxa" w:w="2771"/>
          </w:tcPr>
          <w:p>
            <w:r/>
            <w:r>
              <w:rPr>
                <w:rFonts w:ascii="宋体" w:hAnsi="宋体" w:eastAsia="宋体"/>
                <w:sz w:val="20"/>
              </w:rPr>
              <w:t>Meta Quest 3 VR头显</w:t>
            </w:r>
          </w:p>
        </w:tc>
        <w:tc>
          <w:tcPr>
            <w:tcW w:type="dxa" w:w="2771"/>
          </w:tcPr>
          <w:p>
            <w:r/>
            <w:r>
              <w:rPr>
                <w:rFonts w:ascii="宋体" w:hAnsi="宋体" w:eastAsia="宋体"/>
                <w:sz w:val="20"/>
              </w:rPr>
              <w:t>20台</w:t>
            </w:r>
          </w:p>
        </w:tc>
        <w:tc>
          <w:tcPr>
            <w:tcW w:type="dxa" w:w="2771"/>
          </w:tcPr>
          <w:p>
            <w:r/>
            <w:r>
              <w:rPr>
                <w:rFonts w:ascii="宋体" w:hAnsi="宋体" w:eastAsia="宋体"/>
                <w:sz w:val="20"/>
              </w:rPr>
              <w:t>VR体验与开发测试</w:t>
            </w:r>
          </w:p>
        </w:tc>
      </w:tr>
      <w:tr>
        <w:tc>
          <w:tcPr>
            <w:tcW w:type="dxa" w:w="2771"/>
          </w:tcPr>
          <w:p>
            <w:r/>
            <w:r>
              <w:rPr>
                <w:rFonts w:ascii="宋体" w:hAnsi="宋体" w:eastAsia="宋体"/>
                <w:sz w:val="20"/>
              </w:rPr>
              <w:t>高性能开发PC（i7/32GB/RTX4070）</w:t>
            </w:r>
          </w:p>
        </w:tc>
        <w:tc>
          <w:tcPr>
            <w:tcW w:type="dxa" w:w="2771"/>
          </w:tcPr>
          <w:p>
            <w:r/>
            <w:r>
              <w:rPr>
                <w:rFonts w:ascii="宋体" w:hAnsi="宋体" w:eastAsia="宋体"/>
                <w:sz w:val="20"/>
              </w:rPr>
              <w:t>15台</w:t>
            </w:r>
          </w:p>
        </w:tc>
        <w:tc>
          <w:tcPr>
            <w:tcW w:type="dxa" w:w="2771"/>
          </w:tcPr>
          <w:p>
            <w:r/>
            <w:r>
              <w:rPr>
                <w:rFonts w:ascii="宋体" w:hAnsi="宋体" w:eastAsia="宋体"/>
                <w:sz w:val="20"/>
              </w:rPr>
              <w:t>Unity/Unreal开发</w:t>
            </w:r>
          </w:p>
        </w:tc>
      </w:tr>
      <w:tr>
        <w:tc>
          <w:tcPr>
            <w:tcW w:type="dxa" w:w="2771"/>
          </w:tcPr>
          <w:p>
            <w:r/>
            <w:r>
              <w:rPr>
                <w:rFonts w:ascii="宋体" w:hAnsi="宋体" w:eastAsia="宋体"/>
                <w:sz w:val="20"/>
              </w:rPr>
              <w:t>Insta360 X4全景相机</w:t>
            </w:r>
          </w:p>
        </w:tc>
        <w:tc>
          <w:tcPr>
            <w:tcW w:type="dxa" w:w="2771"/>
          </w:tcPr>
          <w:p>
            <w:r/>
            <w:r>
              <w:rPr>
                <w:rFonts w:ascii="宋体" w:hAnsi="宋体" w:eastAsia="宋体"/>
                <w:sz w:val="20"/>
              </w:rPr>
              <w:t>5台</w:t>
            </w:r>
          </w:p>
        </w:tc>
        <w:tc>
          <w:tcPr>
            <w:tcW w:type="dxa" w:w="2771"/>
          </w:tcPr>
          <w:p>
            <w:r/>
            <w:r>
              <w:rPr>
                <w:rFonts w:ascii="宋体" w:hAnsi="宋体" w:eastAsia="宋体"/>
                <w:sz w:val="20"/>
              </w:rPr>
              <w:t>全景素材采集</w:t>
            </w:r>
          </w:p>
        </w:tc>
      </w:tr>
      <w:tr>
        <w:tc>
          <w:tcPr>
            <w:tcW w:type="dxa" w:w="2771"/>
          </w:tcPr>
          <w:p>
            <w:r/>
            <w:r>
              <w:rPr>
                <w:rFonts w:ascii="宋体" w:hAnsi="宋体" w:eastAsia="宋体"/>
                <w:sz w:val="20"/>
              </w:rPr>
              <w:t>EinScan Pro HD 3D扫描仪</w:t>
            </w:r>
          </w:p>
        </w:tc>
        <w:tc>
          <w:tcPr>
            <w:tcW w:type="dxa" w:w="2771"/>
          </w:tcPr>
          <w:p>
            <w:r/>
            <w:r>
              <w:rPr>
                <w:rFonts w:ascii="宋体" w:hAnsi="宋体" w:eastAsia="宋体"/>
                <w:sz w:val="20"/>
              </w:rPr>
              <w:t>2台</w:t>
            </w:r>
          </w:p>
        </w:tc>
        <w:tc>
          <w:tcPr>
            <w:tcW w:type="dxa" w:w="2771"/>
          </w:tcPr>
          <w:p>
            <w:r/>
            <w:r>
              <w:rPr>
                <w:rFonts w:ascii="宋体" w:hAnsi="宋体" w:eastAsia="宋体"/>
                <w:sz w:val="20"/>
              </w:rPr>
              <w:t>3D数字化采集</w:t>
            </w:r>
          </w:p>
        </w:tc>
      </w:tr>
      <w:tr>
        <w:tc>
          <w:tcPr>
            <w:tcW w:type="dxa" w:w="2771"/>
          </w:tcPr>
          <w:p>
            <w:r/>
            <w:r>
              <w:rPr>
                <w:rFonts w:ascii="宋体" w:hAnsi="宋体" w:eastAsia="宋体"/>
                <w:sz w:val="20"/>
              </w:rPr>
              <w:t>安卓/iOS测试手机</w:t>
            </w:r>
          </w:p>
        </w:tc>
        <w:tc>
          <w:tcPr>
            <w:tcW w:type="dxa" w:w="2771"/>
          </w:tcPr>
          <w:p>
            <w:r/>
            <w:r>
              <w:rPr>
                <w:rFonts w:ascii="宋体" w:hAnsi="宋体" w:eastAsia="宋体"/>
                <w:sz w:val="20"/>
              </w:rPr>
              <w:t>10台</w:t>
            </w:r>
          </w:p>
        </w:tc>
        <w:tc>
          <w:tcPr>
            <w:tcW w:type="dxa" w:w="2771"/>
          </w:tcPr>
          <w:p>
            <w:r/>
            <w:r>
              <w:rPr>
                <w:rFonts w:ascii="宋体" w:hAnsi="宋体" w:eastAsia="宋体"/>
                <w:sz w:val="20"/>
              </w:rPr>
              <w:t>AR应用测试</w:t>
            </w:r>
          </w:p>
        </w:tc>
      </w:tr>
    </w:tbl>
    <w:p/>
    <w:p/>
    <w:p>
      <w:pPr>
        <w:pStyle w:val="Heading3"/>
      </w:pPr>
      <w:r>
        <w:t>E.5.3 推荐阅读</w:t>
      </w:r>
    </w:p>
    <w:p/>
    <w:tbl>
      <w:tblPr>
        <w:tblStyle w:val="TableGrid"/>
        <w:tblW w:type="auto" w:w="0"/>
        <w:jc w:val="center"/>
        <w:tblLook w:firstColumn="1" w:firstRow="1" w:lastColumn="0" w:lastRow="0" w:noHBand="0" w:noVBand="1" w:val="04A0"/>
      </w:tblPr>
      <w:tblGrid>
        <w:gridCol w:w="4156"/>
        <w:gridCol w:w="4156"/>
      </w:tblGrid>
      <w:tr>
        <w:tc>
          <w:tcPr>
            <w:tcW w:type="dxa" w:w="4156"/>
            <w:shd w:fill="D9E2F3" w:val="clear"/>
          </w:tcPr>
          <w:p>
            <w:pPr>
              <w:jc w:val="center"/>
            </w:pPr>
            <w:r/>
            <w:r>
              <w:rPr>
                <w:rFonts w:ascii="黑体" w:hAnsi="黑体" w:eastAsia="黑体"/>
                <w:b/>
                <w:sz w:val="20"/>
              </w:rPr>
              <w:t>类型</w:t>
            </w:r>
          </w:p>
        </w:tc>
        <w:tc>
          <w:tcPr>
            <w:tcW w:type="dxa" w:w="4156"/>
            <w:shd w:fill="D9E2F3" w:val="clear"/>
          </w:tcPr>
          <w:p>
            <w:pPr>
              <w:jc w:val="center"/>
            </w:pPr>
            <w:r/>
            <w:r>
              <w:rPr>
                <w:rFonts w:ascii="黑体" w:hAnsi="黑体" w:eastAsia="黑体"/>
                <w:b/>
                <w:sz w:val="20"/>
              </w:rPr>
              <w:t>文献</w:t>
            </w:r>
          </w:p>
        </w:tc>
      </w:tr>
      <w:tr>
        <w:tc>
          <w:tcPr>
            <w:tcW w:type="dxa" w:w="4156"/>
          </w:tcPr>
          <w:p>
            <w:r/>
            <w:r>
              <w:rPr>
                <w:rFonts w:ascii="宋体" w:hAnsi="宋体" w:eastAsia="宋体"/>
                <w:sz w:val="20"/>
              </w:rPr>
              <w:t>理论</w:t>
            </w:r>
          </w:p>
        </w:tc>
        <w:tc>
          <w:tcPr>
            <w:tcW w:type="dxa" w:w="4156"/>
          </w:tcPr>
          <w:p>
            <w:r/>
            <w:r>
              <w:rPr>
                <w:rFonts w:ascii="宋体" w:hAnsi="宋体" w:eastAsia="宋体"/>
                <w:sz w:val="20"/>
              </w:rPr>
              <w:t>Slater &amp; Wilbur (1997) Presence framework</w:t>
            </w:r>
          </w:p>
        </w:tc>
      </w:tr>
      <w:tr>
        <w:tc>
          <w:tcPr>
            <w:tcW w:type="dxa" w:w="4156"/>
          </w:tcPr>
          <w:p>
            <w:r/>
            <w:r>
              <w:rPr>
                <w:rFonts w:ascii="宋体" w:hAnsi="宋体" w:eastAsia="宋体"/>
                <w:sz w:val="20"/>
              </w:rPr>
              <w:t>理论</w:t>
            </w:r>
          </w:p>
        </w:tc>
        <w:tc>
          <w:tcPr>
            <w:tcW w:type="dxa" w:w="4156"/>
          </w:tcPr>
          <w:p>
            <w:r/>
            <w:r>
              <w:rPr>
                <w:rFonts w:ascii="宋体" w:hAnsi="宋体" w:eastAsia="宋体"/>
                <w:sz w:val="20"/>
              </w:rPr>
              <w:t>Milgram &amp; Kishino (1994) Reality-Virtuality Continuum</w:t>
            </w:r>
          </w:p>
        </w:tc>
      </w:tr>
      <w:tr>
        <w:tc>
          <w:tcPr>
            <w:tcW w:type="dxa" w:w="4156"/>
          </w:tcPr>
          <w:p>
            <w:r/>
            <w:r>
              <w:rPr>
                <w:rFonts w:ascii="宋体" w:hAnsi="宋体" w:eastAsia="宋体"/>
                <w:sz w:val="20"/>
              </w:rPr>
              <w:t>技术</w:t>
            </w:r>
          </w:p>
        </w:tc>
        <w:tc>
          <w:tcPr>
            <w:tcW w:type="dxa" w:w="4156"/>
          </w:tcPr>
          <w:p>
            <w:r/>
            <w:r>
              <w:rPr>
                <w:rFonts w:ascii="宋体" w:hAnsi="宋体" w:eastAsia="宋体"/>
                <w:sz w:val="20"/>
              </w:rPr>
              <w:t>Unity Documentation (docs.unity3d.com)</w:t>
            </w:r>
          </w:p>
        </w:tc>
      </w:tr>
      <w:tr>
        <w:tc>
          <w:tcPr>
            <w:tcW w:type="dxa" w:w="4156"/>
          </w:tcPr>
          <w:p>
            <w:r/>
            <w:r>
              <w:rPr>
                <w:rFonts w:ascii="宋体" w:hAnsi="宋体" w:eastAsia="宋体"/>
                <w:sz w:val="20"/>
              </w:rPr>
              <w:t>技术</w:t>
            </w:r>
          </w:p>
        </w:tc>
        <w:tc>
          <w:tcPr>
            <w:tcW w:type="dxa" w:w="4156"/>
          </w:tcPr>
          <w:p>
            <w:r/>
            <w:r>
              <w:rPr>
                <w:rFonts w:ascii="宋体" w:hAnsi="宋体" w:eastAsia="宋体"/>
                <w:sz w:val="20"/>
              </w:rPr>
              <w:t>A-Frame Documentation (aframe.io/docs)</w:t>
            </w:r>
          </w:p>
        </w:tc>
      </w:tr>
      <w:tr>
        <w:tc>
          <w:tcPr>
            <w:tcW w:type="dxa" w:w="4156"/>
          </w:tcPr>
          <w:p>
            <w:r/>
            <w:r>
              <w:rPr>
                <w:rFonts w:ascii="宋体" w:hAnsi="宋体" w:eastAsia="宋体"/>
                <w:sz w:val="20"/>
              </w:rPr>
              <w:t>应用</w:t>
            </w:r>
          </w:p>
        </w:tc>
        <w:tc>
          <w:tcPr>
            <w:tcW w:type="dxa" w:w="4156"/>
          </w:tcPr>
          <w:p>
            <w:r/>
            <w:r>
              <w:rPr>
                <w:rFonts w:ascii="宋体" w:hAnsi="宋体" w:eastAsia="宋体"/>
                <w:sz w:val="20"/>
              </w:rPr>
              <w:t>Google Arts &amp; Culture (artsandculture.google.com)</w:t>
            </w:r>
          </w:p>
        </w:tc>
      </w:tr>
      <w:tr>
        <w:tc>
          <w:tcPr>
            <w:tcW w:type="dxa" w:w="4156"/>
          </w:tcPr>
          <w:p>
            <w:r/>
            <w:r>
              <w:rPr>
                <w:rFonts w:ascii="宋体" w:hAnsi="宋体" w:eastAsia="宋体"/>
                <w:sz w:val="20"/>
              </w:rPr>
              <w:t>期刊</w:t>
            </w:r>
          </w:p>
        </w:tc>
        <w:tc>
          <w:tcPr>
            <w:tcW w:type="dxa" w:w="4156"/>
          </w:tcPr>
          <w:p>
            <w:r/>
            <w:r>
              <w:rPr>
                <w:rFonts w:ascii="宋体" w:hAnsi="宋体" w:eastAsia="宋体"/>
                <w:sz w:val="20"/>
              </w:rPr>
              <w:t>IEEE VR, ISMAR, TVCG</w:t>
            </w:r>
          </w:p>
        </w:tc>
      </w:tr>
      <w:tr>
        <w:tc>
          <w:tcPr>
            <w:tcW w:type="dxa" w:w="4156"/>
          </w:tcPr>
          <w:p>
            <w:r/>
            <w:r>
              <w:rPr>
                <w:rFonts w:ascii="宋体" w:hAnsi="宋体" w:eastAsia="宋体"/>
                <w:sz w:val="20"/>
              </w:rPr>
              <w:t>期刊</w:t>
            </w:r>
          </w:p>
        </w:tc>
        <w:tc>
          <w:tcPr>
            <w:tcW w:type="dxa" w:w="4156"/>
          </w:tcPr>
          <w:p>
            <w:r/>
            <w:r>
              <w:rPr>
                <w:rFonts w:ascii="宋体" w:hAnsi="宋体" w:eastAsia="宋体"/>
                <w:sz w:val="20"/>
              </w:rPr>
              <w:t>Presence: Teleoperators and Virtual Environments</w:t>
            </w:r>
          </w:p>
        </w:tc>
      </w:tr>
    </w:tbl>
    <w:p/>
    <w:p/>
    <w:p>
      <w:pPr>
        <w:pStyle w:val="Heading2"/>
      </w:pPr>
      <w:r>
        <w:t>E.6 课程思政融入方案</w:t>
      </w:r>
    </w:p>
    <w:p/>
    <w:p>
      <w:pPr>
        <w:ind w:firstLine="482"/>
      </w:pPr>
      <w:r>
        <w:rPr>
          <w:rFonts w:ascii="宋体" w:hAnsi="宋体" w:eastAsia="宋体"/>
          <w:sz w:val="24"/>
        </w:rPr>
        <w:t>本课程在技术教学的同时，注重融入以下思政元素：</w:t>
      </w:r>
    </w:p>
    <w:p/>
    <w:p>
      <w:pPr>
        <w:pStyle w:val="ListNumber"/>
      </w:pPr>
      <w:r>
        <w:rPr>
          <w:rFonts w:ascii="宋体" w:hAnsi="宋体" w:eastAsia="宋体"/>
          <w:b/>
          <w:sz w:val="24"/>
        </w:rPr>
        <w:t>文化自信</w:t>
      </w:r>
      <w:r>
        <w:rPr>
          <w:rFonts w:ascii="宋体" w:hAnsi="宋体" w:eastAsia="宋体"/>
          <w:sz w:val="24"/>
        </w:rPr>
        <w:t>：通过贵州非遗数字化、红色文化 VR 等案例，展示中国文化魅力，培养学生的文化自信和文化传播使命感。</w:t>
      </w:r>
    </w:p>
    <w:p/>
    <w:p>
      <w:pPr>
        <w:pStyle w:val="ListNumber"/>
      </w:pPr>
      <w:r>
        <w:rPr>
          <w:rFonts w:ascii="宋体" w:hAnsi="宋体" w:eastAsia="宋体"/>
          <w:b/>
          <w:sz w:val="24"/>
        </w:rPr>
        <w:t>科技报国</w:t>
      </w:r>
      <w:r>
        <w:rPr>
          <w:rFonts w:ascii="宋体" w:hAnsi="宋体" w:eastAsia="宋体"/>
          <w:sz w:val="24"/>
        </w:rPr>
        <w:t>：介绍中国在 VR/AR 领域的技术进步和产业成就（如 Pico VR、华为 VR Glass），激发学生的科技创新热情。</w:t>
      </w:r>
    </w:p>
    <w:p/>
    <w:p>
      <w:pPr>
        <w:pStyle w:val="ListNumber"/>
      </w:pPr>
      <w:r>
        <w:rPr>
          <w:rFonts w:ascii="宋体" w:hAnsi="宋体" w:eastAsia="宋体"/>
          <w:b/>
          <w:sz w:val="24"/>
        </w:rPr>
        <w:t>工匠精神</w:t>
      </w:r>
      <w:r>
        <w:rPr>
          <w:rFonts w:ascii="宋体" w:hAnsi="宋体" w:eastAsia="宋体"/>
          <w:sz w:val="24"/>
        </w:rPr>
        <w:t>：在 3D 建模和开发实训中强调精益求精、严谨认真的工匠精神，培养专业素养。</w:t>
      </w:r>
    </w:p>
    <w:p/>
    <w:p>
      <w:pPr>
        <w:pStyle w:val="ListNumber"/>
      </w:pPr>
      <w:r>
        <w:rPr>
          <w:rFonts w:ascii="宋体" w:hAnsi="宋体" w:eastAsia="宋体"/>
          <w:b/>
          <w:sz w:val="24"/>
        </w:rPr>
        <w:t>团队协作</w:t>
      </w:r>
      <w:r>
        <w:rPr>
          <w:rFonts w:ascii="宋体" w:hAnsi="宋体" w:eastAsia="宋体"/>
          <w:sz w:val="24"/>
        </w:rPr>
        <w:t>：通过项目化实训培养学生的团队合作意识和沟通协调能力。</w:t>
      </w:r>
    </w:p>
    <w:p/>
    <w:p>
      <w:pPr>
        <w:pStyle w:val="ListNumber"/>
      </w:pPr>
      <w:r>
        <w:rPr>
          <w:rFonts w:ascii="宋体" w:hAnsi="宋体" w:eastAsia="宋体"/>
          <w:b/>
          <w:sz w:val="24"/>
        </w:rPr>
        <w:t>伦理责任</w:t>
      </w:r>
      <w:r>
        <w:rPr>
          <w:rFonts w:ascii="宋体" w:hAnsi="宋体" w:eastAsia="宋体"/>
          <w:sz w:val="24"/>
        </w:rPr>
        <w:t>：在文化遗产数字化和数据隐私章节讨论技术伦理，培养社会责任感。</w:t>
      </w:r>
    </w:p>
    <w:p/>
    <w:p>
      <w:pPr>
        <w:pStyle w:val="Heading2"/>
      </w:pPr>
      <w:r>
        <w:t>E.7 教学改进建议</w:t>
      </w:r>
    </w:p>
    <w:p/>
    <w:p>
      <w:pPr>
        <w:pStyle w:val="ListNumber"/>
      </w:pPr>
      <w:r>
        <w:rPr>
          <w:rFonts w:ascii="宋体" w:hAnsi="宋体" w:eastAsia="宋体"/>
          <w:b/>
          <w:sz w:val="24"/>
        </w:rPr>
        <w:t>产教融合</w:t>
      </w:r>
      <w:r>
        <w:rPr>
          <w:rFonts w:ascii="宋体" w:hAnsi="宋体" w:eastAsia="宋体"/>
          <w:sz w:val="24"/>
        </w:rPr>
        <w:t>：邀请 VR/AR 企业工程师参与教学，引入真实项目案例，缩短教学与产业的距离。</w:t>
      </w:r>
    </w:p>
    <w:p/>
    <w:p>
      <w:pPr>
        <w:pStyle w:val="ListNumber"/>
      </w:pPr>
      <w:r>
        <w:rPr>
          <w:rFonts w:ascii="宋体" w:hAnsi="宋体" w:eastAsia="宋体"/>
          <w:b/>
          <w:sz w:val="24"/>
        </w:rPr>
        <w:t>跨学科协作</w:t>
      </w:r>
      <w:r>
        <w:rPr>
          <w:rFonts w:ascii="宋体" w:hAnsi="宋体" w:eastAsia="宋体"/>
          <w:sz w:val="24"/>
        </w:rPr>
        <w:t>：与旅游管理、历史文化、艺术设计等院系联合开课，培养跨学科复合型人才。</w:t>
      </w:r>
    </w:p>
    <w:p/>
    <w:p>
      <w:pPr>
        <w:pStyle w:val="ListNumber"/>
      </w:pPr>
      <w:r>
        <w:rPr>
          <w:rFonts w:ascii="宋体" w:hAnsi="宋体" w:eastAsia="宋体"/>
          <w:b/>
          <w:sz w:val="24"/>
        </w:rPr>
        <w:t>竞赛驱动</w:t>
      </w:r>
      <w:r>
        <w:rPr>
          <w:rFonts w:ascii="宋体" w:hAnsi="宋体" w:eastAsia="宋体"/>
          <w:sz w:val="24"/>
        </w:rPr>
        <w:t>：鼓励学生参加全国大学生 VR/AR 大赛、互联网+创新创业大赛等竞赛，以赛促学。</w:t>
      </w:r>
    </w:p>
    <w:p/>
    <w:p>
      <w:pPr>
        <w:pStyle w:val="ListNumber"/>
      </w:pPr>
      <w:r>
        <w:rPr>
          <w:rFonts w:ascii="宋体" w:hAnsi="宋体" w:eastAsia="宋体"/>
          <w:b/>
          <w:sz w:val="24"/>
        </w:rPr>
        <w:t>国际视野</w:t>
      </w:r>
      <w:r>
        <w:rPr>
          <w:rFonts w:ascii="宋体" w:hAnsi="宋体" w:eastAsia="宋体"/>
          <w:sz w:val="24"/>
        </w:rPr>
        <w:t>：引入国际 VR/AR 教育案例和最新研究论文，拓展学生的国际视野。</w:t>
      </w:r>
    </w:p>
    <w:p/>
    <w:p>
      <w:pPr>
        <w:pStyle w:val="ListNumber"/>
      </w:pPr>
      <w:r>
        <w:rPr>
          <w:rFonts w:ascii="宋体" w:hAnsi="宋体" w:eastAsia="宋体"/>
          <w:b/>
          <w:sz w:val="24"/>
        </w:rPr>
        <w:t>持续更新</w:t>
      </w:r>
      <w:r>
        <w:rPr>
          <w:rFonts w:ascii="宋体" w:hAnsi="宋体" w:eastAsia="宋体"/>
          <w:sz w:val="24"/>
        </w:rPr>
        <w:t>：VR/AR 技术更新快速，教师应持续学习新技术、更新教学内容，保持课程的前沿性。</w:t>
      </w:r>
    </w:p>
    <w:p/>
    <w:p/>
    <w:p/>
    <w:p>
      <w:pPr>
        <w:pStyle w:val="Heading2"/>
      </w:pPr>
      <w:r>
        <w:t>E.8 实训室建设方案</w:t>
      </w:r>
    </w:p>
    <w:p/>
    <w:p>
      <w:pPr>
        <w:pStyle w:val="Heading3"/>
      </w:pPr>
      <w:r>
        <w:t>E.8.1 实训室功能区域规划</w:t>
      </w:r>
    </w:p>
    <w:p/>
    <w:p>
      <w:pPr>
        <w:ind w:firstLine="482"/>
      </w:pPr>
      <w:r>
        <w:rPr>
          <w:rFonts w:ascii="宋体" w:hAnsi="宋体" w:eastAsia="宋体"/>
          <w:sz w:val="24"/>
        </w:rPr>
        <w:t>VR/AR 沉浸式场景制作实训室应包含以下功能区域：</w:t>
      </w:r>
    </w:p>
    <w:p/>
    <w:p>
      <w:pPr>
        <w:ind w:firstLine="482"/>
      </w:pPr>
      <w:r>
        <w:rPr>
          <w:rFonts w:ascii="宋体" w:hAnsi="宋体" w:eastAsia="宋体"/>
          <w:b/>
          <w:sz w:val="24"/>
        </w:rPr>
        <w:t>区域一：VR体验区</w:t>
      </w:r>
      <w:r>
        <w:rPr>
          <w:rFonts w:ascii="宋体" w:hAnsi="宋体" w:eastAsia="宋体"/>
          <w:sz w:val="24"/>
        </w:rPr>
        <w:t>（面积 30-50 平方米）</w:t>
      </w:r>
    </w:p>
    <w:p>
      <w:pPr>
        <w:pStyle w:val="ListBullet"/>
      </w:pPr>
      <w:r>
        <w:rPr>
          <w:rFonts w:ascii="宋体" w:hAnsi="宋体" w:eastAsia="宋体"/>
          <w:sz w:val="24"/>
        </w:rPr>
        <w:t>配置 10-20 台 VR 头显（Meta Quest 3 或同等设备）</w:t>
      </w:r>
    </w:p>
    <w:p>
      <w:pPr>
        <w:pStyle w:val="ListBullet"/>
      </w:pPr>
      <w:r>
        <w:rPr>
          <w:rFonts w:ascii="宋体" w:hAnsi="宋体" w:eastAsia="宋体"/>
          <w:sz w:val="24"/>
        </w:rPr>
        <w:t>每台 VR 头显配备 2m x 2m 的安全活动空间</w:t>
      </w:r>
    </w:p>
    <w:p>
      <w:pPr>
        <w:pStyle w:val="ListBullet"/>
      </w:pPr>
      <w:r>
        <w:rPr>
          <w:rFonts w:ascii="宋体" w:hAnsi="宋体" w:eastAsia="宋体"/>
          <w:sz w:val="24"/>
        </w:rPr>
        <w:t>地面铺设防滑防摔垫</w:t>
      </w:r>
    </w:p>
    <w:p>
      <w:pPr>
        <w:pStyle w:val="ListBullet"/>
      </w:pPr>
      <w:r>
        <w:rPr>
          <w:rFonts w:ascii="宋体" w:hAnsi="宋体" w:eastAsia="宋体"/>
          <w:sz w:val="24"/>
        </w:rPr>
        <w:t>配置 VR 消毒设备（UV消毒柜、酒精湿巾）</w:t>
      </w:r>
    </w:p>
    <w:p>
      <w:pPr>
        <w:pStyle w:val="ListBullet"/>
      </w:pPr>
      <w:r>
        <w:rPr>
          <w:rFonts w:ascii="宋体" w:hAnsi="宋体" w:eastAsia="宋体"/>
          <w:sz w:val="24"/>
        </w:rPr>
        <w:t>配置观屏电视（供旁观者观看 VR 画面）</w:t>
      </w:r>
    </w:p>
    <w:p/>
    <w:p>
      <w:pPr>
        <w:ind w:firstLine="482"/>
      </w:pPr>
      <w:r>
        <w:rPr>
          <w:rFonts w:ascii="宋体" w:hAnsi="宋体" w:eastAsia="宋体"/>
          <w:b/>
          <w:sz w:val="24"/>
        </w:rPr>
        <w:t>区域二：开发实训区</w:t>
      </w:r>
      <w:r>
        <w:rPr>
          <w:rFonts w:ascii="宋体" w:hAnsi="宋体" w:eastAsia="宋体"/>
          <w:sz w:val="24"/>
        </w:rPr>
        <w:t>（面积 40-60 平方米）</w:t>
      </w:r>
    </w:p>
    <w:p>
      <w:pPr>
        <w:pStyle w:val="ListBullet"/>
      </w:pPr>
      <w:r>
        <w:rPr>
          <w:rFonts w:ascii="宋体" w:hAnsi="宋体" w:eastAsia="宋体"/>
          <w:sz w:val="24"/>
        </w:rPr>
        <w:t>配置 15-20 台高性能开发 PC（i7/32GB/RTX4070+）</w:t>
      </w:r>
    </w:p>
    <w:p>
      <w:pPr>
        <w:pStyle w:val="ListBullet"/>
      </w:pPr>
      <w:r>
        <w:rPr>
          <w:rFonts w:ascii="宋体" w:hAnsi="宋体" w:eastAsia="宋体"/>
          <w:sz w:val="24"/>
        </w:rPr>
        <w:t>每台 PC 配双显示器（代码+预览）</w:t>
      </w:r>
    </w:p>
    <w:p>
      <w:pPr>
        <w:pStyle w:val="ListBullet"/>
      </w:pPr>
      <w:r>
        <w:rPr>
          <w:rFonts w:ascii="宋体" w:hAnsi="宋体" w:eastAsia="宋体"/>
          <w:sz w:val="24"/>
        </w:rPr>
        <w:t>配置局域网服务器（文件共享和版本管理）</w:t>
      </w:r>
    </w:p>
    <w:p>
      <w:pPr>
        <w:pStyle w:val="ListBullet"/>
      </w:pPr>
      <w:r>
        <w:rPr>
          <w:rFonts w:ascii="宋体" w:hAnsi="宋体" w:eastAsia="宋体"/>
          <w:sz w:val="24"/>
        </w:rPr>
        <w:t>安装 Unity、Blender、Substance Painter 等开发软件</w:t>
      </w:r>
    </w:p>
    <w:p/>
    <w:p>
      <w:pPr>
        <w:ind w:firstLine="482"/>
      </w:pPr>
      <w:r>
        <w:rPr>
          <w:rFonts w:ascii="宋体" w:hAnsi="宋体" w:eastAsia="宋体"/>
          <w:b/>
          <w:sz w:val="24"/>
        </w:rPr>
        <w:t>区域三：素材采集区</w:t>
      </w:r>
      <w:r>
        <w:rPr>
          <w:rFonts w:ascii="宋体" w:hAnsi="宋体" w:eastAsia="宋体"/>
          <w:sz w:val="24"/>
        </w:rPr>
        <w:t>（面积 20-30 平方米）</w:t>
      </w:r>
    </w:p>
    <w:p>
      <w:pPr>
        <w:pStyle w:val="ListBullet"/>
      </w:pPr>
      <w:r>
        <w:rPr>
          <w:rFonts w:ascii="宋体" w:hAnsi="宋体" w:eastAsia="宋体"/>
          <w:sz w:val="24"/>
        </w:rPr>
        <w:t>配置全景相机（Insta360 X4/Pro 2）</w:t>
      </w:r>
    </w:p>
    <w:p>
      <w:pPr>
        <w:pStyle w:val="ListBullet"/>
      </w:pPr>
      <w:r>
        <w:rPr>
          <w:rFonts w:ascii="宋体" w:hAnsi="宋体" w:eastAsia="宋体"/>
          <w:sz w:val="24"/>
        </w:rPr>
        <w:t>配置 3D 扫描仪（EinScan Pro HD）</w:t>
      </w:r>
    </w:p>
    <w:p>
      <w:pPr>
        <w:pStyle w:val="ListBullet"/>
      </w:pPr>
      <w:r>
        <w:rPr>
          <w:rFonts w:ascii="宋体" w:hAnsi="宋体" w:eastAsia="宋体"/>
          <w:sz w:val="24"/>
        </w:rPr>
        <w:t>配置专业灯光设备（用于拍摄和扫描）</w:t>
      </w:r>
    </w:p>
    <w:p>
      <w:pPr>
        <w:pStyle w:val="ListBullet"/>
      </w:pPr>
      <w:r>
        <w:rPr>
          <w:rFonts w:ascii="宋体" w:hAnsi="宋体" w:eastAsia="宋体"/>
          <w:sz w:val="24"/>
        </w:rPr>
        <w:t>配置绿幕/蓝幕背景（用于人物抠像）</w:t>
      </w:r>
    </w:p>
    <w:p>
      <w:pPr>
        <w:pStyle w:val="ListBullet"/>
      </w:pPr>
      <w:r>
        <w:rPr>
          <w:rFonts w:ascii="宋体" w:hAnsi="宋体" w:eastAsia="宋体"/>
          <w:sz w:val="24"/>
        </w:rPr>
        <w:t>配置三脚架、云台、稳定器等拍摄辅助设备</w:t>
      </w:r>
    </w:p>
    <w:p/>
    <w:p>
      <w:pPr>
        <w:ind w:firstLine="482"/>
      </w:pPr>
      <w:r>
        <w:rPr>
          <w:rFonts w:ascii="宋体" w:hAnsi="宋体" w:eastAsia="宋体"/>
          <w:b/>
          <w:sz w:val="24"/>
        </w:rPr>
        <w:t>区域四：AR测试区</w:t>
      </w:r>
      <w:r>
        <w:rPr>
          <w:rFonts w:ascii="宋体" w:hAnsi="宋体" w:eastAsia="宋体"/>
          <w:sz w:val="24"/>
        </w:rPr>
        <w:t>（面积 15-20 平方米）</w:t>
      </w:r>
    </w:p>
    <w:p>
      <w:pPr>
        <w:pStyle w:val="ListBullet"/>
      </w:pPr>
      <w:r>
        <w:rPr>
          <w:rFonts w:ascii="宋体" w:hAnsi="宋体" w:eastAsia="宋体"/>
          <w:sz w:val="24"/>
        </w:rPr>
        <w:t>配置 AR 标记图片测试墙</w:t>
      </w:r>
    </w:p>
    <w:p>
      <w:pPr>
        <w:pStyle w:val="ListBullet"/>
      </w:pPr>
      <w:r>
        <w:rPr>
          <w:rFonts w:ascii="宋体" w:hAnsi="宋体" w:eastAsia="宋体"/>
          <w:sz w:val="24"/>
        </w:rPr>
        <w:t>配置不同光照条件模拟设备（强光、弱光、混合光）</w:t>
      </w:r>
    </w:p>
    <w:p>
      <w:pPr>
        <w:pStyle w:val="ListBullet"/>
      </w:pPr>
      <w:r>
        <w:rPr>
          <w:rFonts w:ascii="宋体" w:hAnsi="宋体" w:eastAsia="宋体"/>
          <w:sz w:val="24"/>
        </w:rPr>
        <w:t>配置多型号测试手机（iOS/Android各5台以上）</w:t>
      </w:r>
    </w:p>
    <w:p>
      <w:pPr>
        <w:pStyle w:val="ListBullet"/>
      </w:pPr>
      <w:r>
        <w:rPr>
          <w:rFonts w:ascii="宋体" w:hAnsi="宋体" w:eastAsia="宋体"/>
          <w:sz w:val="24"/>
        </w:rPr>
        <w:t>配置 AR 眼镜（如有预算）</w:t>
      </w:r>
    </w:p>
    <w:p/>
    <w:p>
      <w:pPr>
        <w:ind w:firstLine="482"/>
      </w:pPr>
      <w:r>
        <w:rPr>
          <w:rFonts w:ascii="宋体" w:hAnsi="宋体" w:eastAsia="宋体"/>
          <w:b/>
          <w:sz w:val="24"/>
        </w:rPr>
        <w:t>区域五：展示交流区</w:t>
      </w:r>
      <w:r>
        <w:rPr>
          <w:rFonts w:ascii="宋体" w:hAnsi="宋体" w:eastAsia="宋体"/>
          <w:sz w:val="24"/>
        </w:rPr>
        <w:t>（面积 20-30 平方米）</w:t>
      </w:r>
    </w:p>
    <w:p>
      <w:pPr>
        <w:pStyle w:val="ListBullet"/>
      </w:pPr>
      <w:r>
        <w:rPr>
          <w:rFonts w:ascii="宋体" w:hAnsi="宋体" w:eastAsia="宋体"/>
          <w:sz w:val="24"/>
        </w:rPr>
        <w:t>配置大屏显示设备（75寸以上）</w:t>
      </w:r>
    </w:p>
    <w:p>
      <w:pPr>
        <w:pStyle w:val="ListBullet"/>
      </w:pPr>
      <w:r>
        <w:rPr>
          <w:rFonts w:ascii="宋体" w:hAnsi="宋体" w:eastAsia="宋体"/>
          <w:sz w:val="24"/>
        </w:rPr>
        <w:t>配置投影仪（用于项目展示）</w:t>
      </w:r>
    </w:p>
    <w:p>
      <w:pPr>
        <w:pStyle w:val="ListBullet"/>
      </w:pPr>
      <w:r>
        <w:rPr>
          <w:rFonts w:ascii="宋体" w:hAnsi="宋体" w:eastAsia="宋体"/>
          <w:sz w:val="24"/>
        </w:rPr>
        <w:t>配置会议桌椅（用于团队讨论和评审）</w:t>
      </w:r>
    </w:p>
    <w:p>
      <w:pPr>
        <w:pStyle w:val="ListBullet"/>
      </w:pPr>
      <w:r>
        <w:rPr>
          <w:rFonts w:ascii="宋体" w:hAnsi="宋体" w:eastAsia="宋体"/>
          <w:sz w:val="24"/>
        </w:rPr>
        <w:t>展示优秀学生作品</w:t>
      </w:r>
    </w:p>
    <w:p/>
    <w:p>
      <w:pPr>
        <w:pStyle w:val="Heading3"/>
      </w:pPr>
      <w:r>
        <w:t>E.8.2 设备采购清单与预算</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设备类别</w:t>
            </w:r>
          </w:p>
        </w:tc>
        <w:tc>
          <w:tcPr>
            <w:tcW w:type="dxa" w:w="1662"/>
            <w:shd w:fill="D9E2F3" w:val="clear"/>
          </w:tcPr>
          <w:p>
            <w:pPr>
              <w:jc w:val="center"/>
            </w:pPr>
            <w:r/>
            <w:r>
              <w:rPr>
                <w:rFonts w:ascii="黑体" w:hAnsi="黑体" w:eastAsia="黑体"/>
                <w:b/>
                <w:sz w:val="20"/>
              </w:rPr>
              <w:t>设备名称</w:t>
            </w:r>
          </w:p>
        </w:tc>
        <w:tc>
          <w:tcPr>
            <w:tcW w:type="dxa" w:w="1662"/>
            <w:shd w:fill="D9E2F3" w:val="clear"/>
          </w:tcPr>
          <w:p>
            <w:pPr>
              <w:jc w:val="center"/>
            </w:pPr>
            <w:r/>
            <w:r>
              <w:rPr>
                <w:rFonts w:ascii="黑体" w:hAnsi="黑体" w:eastAsia="黑体"/>
                <w:b/>
                <w:sz w:val="20"/>
              </w:rPr>
              <w:t>数量</w:t>
            </w:r>
          </w:p>
        </w:tc>
        <w:tc>
          <w:tcPr>
            <w:tcW w:type="dxa" w:w="1662"/>
            <w:shd w:fill="D9E2F3" w:val="clear"/>
          </w:tcPr>
          <w:p>
            <w:pPr>
              <w:jc w:val="center"/>
            </w:pPr>
            <w:r/>
            <w:r>
              <w:rPr>
                <w:rFonts w:ascii="黑体" w:hAnsi="黑体" w:eastAsia="黑体"/>
                <w:b/>
                <w:sz w:val="20"/>
              </w:rPr>
              <w:t>单价（元）</w:t>
            </w:r>
          </w:p>
        </w:tc>
        <w:tc>
          <w:tcPr>
            <w:tcW w:type="dxa" w:w="1662"/>
            <w:shd w:fill="D9E2F3" w:val="clear"/>
          </w:tcPr>
          <w:p>
            <w:pPr>
              <w:jc w:val="center"/>
            </w:pPr>
            <w:r/>
            <w:r>
              <w:rPr>
                <w:rFonts w:ascii="黑体" w:hAnsi="黑体" w:eastAsia="黑体"/>
                <w:b/>
                <w:sz w:val="20"/>
              </w:rPr>
              <w:t>总价（元）</w:t>
            </w:r>
          </w:p>
        </w:tc>
      </w:tr>
      <w:tr>
        <w:tc>
          <w:tcPr>
            <w:tcW w:type="dxa" w:w="1662"/>
          </w:tcPr>
          <w:p>
            <w:r/>
            <w:r>
              <w:rPr>
                <w:rFonts w:ascii="宋体" w:hAnsi="宋体" w:eastAsia="宋体"/>
                <w:sz w:val="20"/>
              </w:rPr>
              <w:t>VR头显</w:t>
            </w:r>
          </w:p>
        </w:tc>
        <w:tc>
          <w:tcPr>
            <w:tcW w:type="dxa" w:w="1662"/>
          </w:tcPr>
          <w:p>
            <w:r/>
            <w:r>
              <w:rPr>
                <w:rFonts w:ascii="宋体" w:hAnsi="宋体" w:eastAsia="宋体"/>
                <w:sz w:val="20"/>
              </w:rPr>
              <w:t>Meta Quest 3 (128GB)</w:t>
            </w:r>
          </w:p>
        </w:tc>
        <w:tc>
          <w:tcPr>
            <w:tcW w:type="dxa" w:w="1662"/>
          </w:tcPr>
          <w:p>
            <w:r/>
            <w:r>
              <w:rPr>
                <w:rFonts w:ascii="宋体" w:hAnsi="宋体" w:eastAsia="宋体"/>
                <w:sz w:val="20"/>
              </w:rPr>
              <w:t>20</w:t>
            </w:r>
          </w:p>
        </w:tc>
        <w:tc>
          <w:tcPr>
            <w:tcW w:type="dxa" w:w="1662"/>
          </w:tcPr>
          <w:p>
            <w:r/>
            <w:r>
              <w:rPr>
                <w:rFonts w:ascii="宋体" w:hAnsi="宋体" w:eastAsia="宋体"/>
                <w:sz w:val="20"/>
              </w:rPr>
              <w:t>3,500</w:t>
            </w:r>
          </w:p>
        </w:tc>
        <w:tc>
          <w:tcPr>
            <w:tcW w:type="dxa" w:w="1662"/>
          </w:tcPr>
          <w:p>
            <w:r/>
            <w:r>
              <w:rPr>
                <w:rFonts w:ascii="宋体" w:hAnsi="宋体" w:eastAsia="宋体"/>
                <w:sz w:val="20"/>
              </w:rPr>
              <w:t>70,000</w:t>
            </w:r>
          </w:p>
        </w:tc>
      </w:tr>
      <w:tr>
        <w:tc>
          <w:tcPr>
            <w:tcW w:type="dxa" w:w="1662"/>
          </w:tcPr>
          <w:p>
            <w:r/>
            <w:r>
              <w:rPr>
                <w:rFonts w:ascii="宋体" w:hAnsi="宋体" w:eastAsia="宋体"/>
                <w:sz w:val="20"/>
              </w:rPr>
              <w:t>开发PC</w:t>
            </w:r>
          </w:p>
        </w:tc>
        <w:tc>
          <w:tcPr>
            <w:tcW w:type="dxa" w:w="1662"/>
          </w:tcPr>
          <w:p>
            <w:r/>
            <w:r>
              <w:rPr>
                <w:rFonts w:ascii="宋体" w:hAnsi="宋体" w:eastAsia="宋体"/>
                <w:sz w:val="20"/>
              </w:rPr>
              <w:t>高性能工作站</w:t>
            </w:r>
          </w:p>
        </w:tc>
        <w:tc>
          <w:tcPr>
            <w:tcW w:type="dxa" w:w="1662"/>
          </w:tcPr>
          <w:p>
            <w:r/>
            <w:r>
              <w:rPr>
                <w:rFonts w:ascii="宋体" w:hAnsi="宋体" w:eastAsia="宋体"/>
                <w:sz w:val="20"/>
              </w:rPr>
              <w:t>15</w:t>
            </w:r>
          </w:p>
        </w:tc>
        <w:tc>
          <w:tcPr>
            <w:tcW w:type="dxa" w:w="1662"/>
          </w:tcPr>
          <w:p>
            <w:r/>
            <w:r>
              <w:rPr>
                <w:rFonts w:ascii="宋体" w:hAnsi="宋体" w:eastAsia="宋体"/>
                <w:sz w:val="20"/>
              </w:rPr>
              <w:t>8,000</w:t>
            </w:r>
          </w:p>
        </w:tc>
        <w:tc>
          <w:tcPr>
            <w:tcW w:type="dxa" w:w="1662"/>
          </w:tcPr>
          <w:p>
            <w:r/>
            <w:r>
              <w:rPr>
                <w:rFonts w:ascii="宋体" w:hAnsi="宋体" w:eastAsia="宋体"/>
                <w:sz w:val="20"/>
              </w:rPr>
              <w:t>120,000</w:t>
            </w:r>
          </w:p>
        </w:tc>
      </w:tr>
      <w:tr>
        <w:tc>
          <w:tcPr>
            <w:tcW w:type="dxa" w:w="1662"/>
          </w:tcPr>
          <w:p>
            <w:r/>
            <w:r>
              <w:rPr>
                <w:rFonts w:ascii="宋体" w:hAnsi="宋体" w:eastAsia="宋体"/>
                <w:sz w:val="20"/>
              </w:rPr>
              <w:t>全景相机</w:t>
            </w:r>
          </w:p>
        </w:tc>
        <w:tc>
          <w:tcPr>
            <w:tcW w:type="dxa" w:w="1662"/>
          </w:tcPr>
          <w:p>
            <w:r/>
            <w:r>
              <w:rPr>
                <w:rFonts w:ascii="宋体" w:hAnsi="宋体" w:eastAsia="宋体"/>
                <w:sz w:val="20"/>
              </w:rPr>
              <w:t>Insta360 X4</w:t>
            </w:r>
          </w:p>
        </w:tc>
        <w:tc>
          <w:tcPr>
            <w:tcW w:type="dxa" w:w="1662"/>
          </w:tcPr>
          <w:p>
            <w:r/>
            <w:r>
              <w:rPr>
                <w:rFonts w:ascii="宋体" w:hAnsi="宋体" w:eastAsia="宋体"/>
                <w:sz w:val="20"/>
              </w:rPr>
              <w:t>5</w:t>
            </w:r>
          </w:p>
        </w:tc>
        <w:tc>
          <w:tcPr>
            <w:tcW w:type="dxa" w:w="1662"/>
          </w:tcPr>
          <w:p>
            <w:r/>
            <w:r>
              <w:rPr>
                <w:rFonts w:ascii="宋体" w:hAnsi="宋体" w:eastAsia="宋体"/>
                <w:sz w:val="20"/>
              </w:rPr>
              <w:t>3,000</w:t>
            </w:r>
          </w:p>
        </w:tc>
        <w:tc>
          <w:tcPr>
            <w:tcW w:type="dxa" w:w="1662"/>
          </w:tcPr>
          <w:p>
            <w:r/>
            <w:r>
              <w:rPr>
                <w:rFonts w:ascii="宋体" w:hAnsi="宋体" w:eastAsia="宋体"/>
                <w:sz w:val="20"/>
              </w:rPr>
              <w:t>15,000</w:t>
            </w:r>
          </w:p>
        </w:tc>
      </w:tr>
      <w:tr>
        <w:tc>
          <w:tcPr>
            <w:tcW w:type="dxa" w:w="1662"/>
          </w:tcPr>
          <w:p>
            <w:r/>
            <w:r>
              <w:rPr>
                <w:rFonts w:ascii="宋体" w:hAnsi="宋体" w:eastAsia="宋体"/>
                <w:sz w:val="20"/>
              </w:rPr>
              <w:t>3D扫描仪</w:t>
            </w:r>
          </w:p>
        </w:tc>
        <w:tc>
          <w:tcPr>
            <w:tcW w:type="dxa" w:w="1662"/>
          </w:tcPr>
          <w:p>
            <w:r/>
            <w:r>
              <w:rPr>
                <w:rFonts w:ascii="宋体" w:hAnsi="宋体" w:eastAsia="宋体"/>
                <w:sz w:val="20"/>
              </w:rPr>
              <w:t>EinScan Pro HD</w:t>
            </w:r>
          </w:p>
        </w:tc>
        <w:tc>
          <w:tcPr>
            <w:tcW w:type="dxa" w:w="1662"/>
          </w:tcPr>
          <w:p>
            <w:r/>
            <w:r>
              <w:rPr>
                <w:rFonts w:ascii="宋体" w:hAnsi="宋体" w:eastAsia="宋体"/>
                <w:sz w:val="20"/>
              </w:rPr>
              <w:t>2</w:t>
            </w:r>
          </w:p>
        </w:tc>
        <w:tc>
          <w:tcPr>
            <w:tcW w:type="dxa" w:w="1662"/>
          </w:tcPr>
          <w:p>
            <w:r/>
            <w:r>
              <w:rPr>
                <w:rFonts w:ascii="宋体" w:hAnsi="宋体" w:eastAsia="宋体"/>
                <w:sz w:val="20"/>
              </w:rPr>
              <w:t>25,000</w:t>
            </w:r>
          </w:p>
        </w:tc>
        <w:tc>
          <w:tcPr>
            <w:tcW w:type="dxa" w:w="1662"/>
          </w:tcPr>
          <w:p>
            <w:r/>
            <w:r>
              <w:rPr>
                <w:rFonts w:ascii="宋体" w:hAnsi="宋体" w:eastAsia="宋体"/>
                <w:sz w:val="20"/>
              </w:rPr>
              <w:t>50,000</w:t>
            </w:r>
          </w:p>
        </w:tc>
      </w:tr>
      <w:tr>
        <w:tc>
          <w:tcPr>
            <w:tcW w:type="dxa" w:w="1662"/>
          </w:tcPr>
          <w:p>
            <w:r/>
            <w:r>
              <w:rPr>
                <w:rFonts w:ascii="宋体" w:hAnsi="宋体" w:eastAsia="宋体"/>
                <w:sz w:val="20"/>
              </w:rPr>
              <w:t>测试手机</w:t>
            </w:r>
          </w:p>
        </w:tc>
        <w:tc>
          <w:tcPr>
            <w:tcW w:type="dxa" w:w="1662"/>
          </w:tcPr>
          <w:p>
            <w:r/>
            <w:r>
              <w:rPr>
                <w:rFonts w:ascii="宋体" w:hAnsi="宋体" w:eastAsia="宋体"/>
                <w:sz w:val="20"/>
              </w:rPr>
              <w:t>iPhone/Android</w:t>
            </w:r>
          </w:p>
        </w:tc>
        <w:tc>
          <w:tcPr>
            <w:tcW w:type="dxa" w:w="1662"/>
          </w:tcPr>
          <w:p>
            <w:r/>
            <w:r>
              <w:rPr>
                <w:rFonts w:ascii="宋体" w:hAnsi="宋体" w:eastAsia="宋体"/>
                <w:sz w:val="20"/>
              </w:rPr>
              <w:t>10</w:t>
            </w:r>
          </w:p>
        </w:tc>
        <w:tc>
          <w:tcPr>
            <w:tcW w:type="dxa" w:w="1662"/>
          </w:tcPr>
          <w:p>
            <w:r/>
            <w:r>
              <w:rPr>
                <w:rFonts w:ascii="宋体" w:hAnsi="宋体" w:eastAsia="宋体"/>
                <w:sz w:val="20"/>
              </w:rPr>
              <w:t>4,000</w:t>
            </w:r>
          </w:p>
        </w:tc>
        <w:tc>
          <w:tcPr>
            <w:tcW w:type="dxa" w:w="1662"/>
          </w:tcPr>
          <w:p>
            <w:r/>
            <w:r>
              <w:rPr>
                <w:rFonts w:ascii="宋体" w:hAnsi="宋体" w:eastAsia="宋体"/>
                <w:sz w:val="20"/>
              </w:rPr>
              <w:t>40,000</w:t>
            </w:r>
          </w:p>
        </w:tc>
      </w:tr>
      <w:tr>
        <w:tc>
          <w:tcPr>
            <w:tcW w:type="dxa" w:w="1662"/>
          </w:tcPr>
          <w:p>
            <w:r/>
            <w:r>
              <w:rPr>
                <w:rFonts w:ascii="宋体" w:hAnsi="宋体" w:eastAsia="宋体"/>
                <w:sz w:val="20"/>
              </w:rPr>
              <w:t>显示器</w:t>
            </w:r>
          </w:p>
        </w:tc>
        <w:tc>
          <w:tcPr>
            <w:tcW w:type="dxa" w:w="1662"/>
          </w:tcPr>
          <w:p>
            <w:r/>
            <w:r>
              <w:rPr>
                <w:rFonts w:ascii="宋体" w:hAnsi="宋体" w:eastAsia="宋体"/>
                <w:sz w:val="20"/>
              </w:rPr>
              <w:t>27寸4K显示器</w:t>
            </w:r>
          </w:p>
        </w:tc>
        <w:tc>
          <w:tcPr>
            <w:tcW w:type="dxa" w:w="1662"/>
          </w:tcPr>
          <w:p>
            <w:r/>
            <w:r>
              <w:rPr>
                <w:rFonts w:ascii="宋体" w:hAnsi="宋体" w:eastAsia="宋体"/>
                <w:sz w:val="20"/>
              </w:rPr>
              <w:t>15</w:t>
            </w:r>
          </w:p>
        </w:tc>
        <w:tc>
          <w:tcPr>
            <w:tcW w:type="dxa" w:w="1662"/>
          </w:tcPr>
          <w:p>
            <w:r/>
            <w:r>
              <w:rPr>
                <w:rFonts w:ascii="宋体" w:hAnsi="宋体" w:eastAsia="宋体"/>
                <w:sz w:val="20"/>
              </w:rPr>
              <w:t>1,500</w:t>
            </w:r>
          </w:p>
        </w:tc>
        <w:tc>
          <w:tcPr>
            <w:tcW w:type="dxa" w:w="1662"/>
          </w:tcPr>
          <w:p>
            <w:r/>
            <w:r>
              <w:rPr>
                <w:rFonts w:ascii="宋体" w:hAnsi="宋体" w:eastAsia="宋体"/>
                <w:sz w:val="20"/>
              </w:rPr>
              <w:t>22,500</w:t>
            </w:r>
          </w:p>
        </w:tc>
      </w:tr>
      <w:tr>
        <w:tc>
          <w:tcPr>
            <w:tcW w:type="dxa" w:w="1662"/>
          </w:tcPr>
          <w:p>
            <w:r/>
            <w:r>
              <w:rPr>
                <w:rFonts w:ascii="宋体" w:hAnsi="宋体" w:eastAsia="宋体"/>
                <w:sz w:val="20"/>
              </w:rPr>
              <w:t>家具</w:t>
            </w:r>
          </w:p>
        </w:tc>
        <w:tc>
          <w:tcPr>
            <w:tcW w:type="dxa" w:w="1662"/>
          </w:tcPr>
          <w:p>
            <w:r/>
            <w:r>
              <w:rPr>
                <w:rFonts w:ascii="宋体" w:hAnsi="宋体" w:eastAsia="宋体"/>
                <w:sz w:val="20"/>
              </w:rPr>
              <w:t>实训桌椅/储物柜</w:t>
            </w:r>
          </w:p>
        </w:tc>
        <w:tc>
          <w:tcPr>
            <w:tcW w:type="dxa" w:w="1662"/>
          </w:tcPr>
          <w:p>
            <w:r/>
            <w:r>
              <w:rPr>
                <w:rFonts w:ascii="宋体" w:hAnsi="宋体" w:eastAsia="宋体"/>
                <w:sz w:val="20"/>
              </w:rPr>
              <w:t>一批</w:t>
            </w:r>
          </w:p>
        </w:tc>
        <w:tc>
          <w:tcPr>
            <w:tcW w:type="dxa" w:w="1662"/>
          </w:tcPr>
          <w:p>
            <w:r/>
            <w:r>
              <w:rPr>
                <w:rFonts w:ascii="宋体" w:hAnsi="宋体" w:eastAsia="宋体"/>
                <w:sz w:val="20"/>
              </w:rPr>
              <w:t>-</w:t>
            </w:r>
          </w:p>
        </w:tc>
        <w:tc>
          <w:tcPr>
            <w:tcW w:type="dxa" w:w="1662"/>
          </w:tcPr>
          <w:p>
            <w:r/>
            <w:r>
              <w:rPr>
                <w:rFonts w:ascii="宋体" w:hAnsi="宋体" w:eastAsia="宋体"/>
                <w:sz w:val="20"/>
              </w:rPr>
              <w:t>30,000</w:t>
            </w:r>
          </w:p>
        </w:tc>
      </w:tr>
      <w:tr>
        <w:tc>
          <w:tcPr>
            <w:tcW w:type="dxa" w:w="1662"/>
          </w:tcPr>
          <w:p>
            <w:r/>
            <w:r>
              <w:rPr>
                <w:rFonts w:ascii="宋体" w:hAnsi="宋体" w:eastAsia="宋体"/>
                <w:sz w:val="20"/>
              </w:rPr>
              <w:t>网络</w:t>
            </w:r>
          </w:p>
        </w:tc>
        <w:tc>
          <w:tcPr>
            <w:tcW w:type="dxa" w:w="1662"/>
          </w:tcPr>
          <w:p>
            <w:r/>
            <w:r>
              <w:rPr>
                <w:rFonts w:ascii="宋体" w:hAnsi="宋体" w:eastAsia="宋体"/>
                <w:sz w:val="20"/>
              </w:rPr>
              <w:t>交换机/路由器/线材</w:t>
            </w:r>
          </w:p>
        </w:tc>
        <w:tc>
          <w:tcPr>
            <w:tcW w:type="dxa" w:w="1662"/>
          </w:tcPr>
          <w:p>
            <w:r/>
            <w:r>
              <w:rPr>
                <w:rFonts w:ascii="宋体" w:hAnsi="宋体" w:eastAsia="宋体"/>
                <w:sz w:val="20"/>
              </w:rPr>
              <w:t>一批</w:t>
            </w:r>
          </w:p>
        </w:tc>
        <w:tc>
          <w:tcPr>
            <w:tcW w:type="dxa" w:w="1662"/>
          </w:tcPr>
          <w:p>
            <w:r/>
            <w:r>
              <w:rPr>
                <w:rFonts w:ascii="宋体" w:hAnsi="宋体" w:eastAsia="宋体"/>
                <w:sz w:val="20"/>
              </w:rPr>
              <w:t>-</w:t>
            </w:r>
          </w:p>
        </w:tc>
        <w:tc>
          <w:tcPr>
            <w:tcW w:type="dxa" w:w="1662"/>
          </w:tcPr>
          <w:p>
            <w:r/>
            <w:r>
              <w:rPr>
                <w:rFonts w:ascii="宋体" w:hAnsi="宋体" w:eastAsia="宋体"/>
                <w:sz w:val="20"/>
              </w:rPr>
              <w:t>10,000</w:t>
            </w:r>
          </w:p>
        </w:tc>
      </w:tr>
      <w:tr>
        <w:tc>
          <w:tcPr>
            <w:tcW w:type="dxa" w:w="1662"/>
          </w:tcPr>
          <w:p>
            <w:r/>
            <w:r>
              <w:rPr>
                <w:rFonts w:ascii="宋体" w:hAnsi="宋体" w:eastAsia="宋体"/>
                <w:sz w:val="20"/>
              </w:rPr>
              <w:t>软件</w:t>
            </w:r>
          </w:p>
        </w:tc>
        <w:tc>
          <w:tcPr>
            <w:tcW w:type="dxa" w:w="1662"/>
          </w:tcPr>
          <w:p>
            <w:r/>
            <w:r>
              <w:rPr>
                <w:rFonts w:ascii="宋体" w:hAnsi="宋体" w:eastAsia="宋体"/>
                <w:sz w:val="20"/>
              </w:rPr>
              <w:t>Unity Pro/Substance等</w:t>
            </w:r>
          </w:p>
        </w:tc>
        <w:tc>
          <w:tcPr>
            <w:tcW w:type="dxa" w:w="1662"/>
          </w:tcPr>
          <w:p>
            <w:r/>
            <w:r>
              <w:rPr>
                <w:rFonts w:ascii="宋体" w:hAnsi="宋体" w:eastAsia="宋体"/>
                <w:sz w:val="20"/>
              </w:rPr>
              <w:t>年费</w:t>
            </w:r>
          </w:p>
        </w:tc>
        <w:tc>
          <w:tcPr>
            <w:tcW w:type="dxa" w:w="1662"/>
          </w:tcPr>
          <w:p>
            <w:r/>
            <w:r>
              <w:rPr>
                <w:rFonts w:ascii="宋体" w:hAnsi="宋体" w:eastAsia="宋体"/>
                <w:sz w:val="20"/>
              </w:rPr>
              <w:t>-</w:t>
            </w:r>
          </w:p>
        </w:tc>
        <w:tc>
          <w:tcPr>
            <w:tcW w:type="dxa" w:w="1662"/>
          </w:tcPr>
          <w:p>
            <w:r/>
            <w:r>
              <w:rPr>
                <w:rFonts w:ascii="宋体" w:hAnsi="宋体" w:eastAsia="宋体"/>
                <w:sz w:val="20"/>
              </w:rPr>
              <w:t>20,000</w:t>
            </w:r>
          </w:p>
        </w:tc>
      </w:tr>
      <w:tr>
        <w:tc>
          <w:tcPr>
            <w:tcW w:type="dxa" w:w="1662"/>
          </w:tcPr>
          <w:p>
            <w:r/>
            <w:r>
              <w:rPr>
                <w:rFonts w:ascii="宋体" w:hAnsi="宋体" w:eastAsia="宋体"/>
                <w:sz w:val="20"/>
              </w:rPr>
              <w:t>其他</w:t>
            </w:r>
          </w:p>
        </w:tc>
        <w:tc>
          <w:tcPr>
            <w:tcW w:type="dxa" w:w="1662"/>
          </w:tcPr>
          <w:p>
            <w:r/>
            <w:r>
              <w:rPr>
                <w:rFonts w:ascii="宋体" w:hAnsi="宋体" w:eastAsia="宋体"/>
                <w:sz w:val="20"/>
              </w:rPr>
              <w:t>灯光/绿幕/防滑垫等</w:t>
            </w:r>
          </w:p>
        </w:tc>
        <w:tc>
          <w:tcPr>
            <w:tcW w:type="dxa" w:w="1662"/>
          </w:tcPr>
          <w:p>
            <w:r/>
            <w:r>
              <w:rPr>
                <w:rFonts w:ascii="宋体" w:hAnsi="宋体" w:eastAsia="宋体"/>
                <w:sz w:val="20"/>
              </w:rPr>
              <w:t>一批</w:t>
            </w:r>
          </w:p>
        </w:tc>
        <w:tc>
          <w:tcPr>
            <w:tcW w:type="dxa" w:w="1662"/>
          </w:tcPr>
          <w:p>
            <w:r/>
            <w:r>
              <w:rPr>
                <w:rFonts w:ascii="宋体" w:hAnsi="宋体" w:eastAsia="宋体"/>
                <w:sz w:val="20"/>
              </w:rPr>
              <w:t>-</w:t>
            </w:r>
          </w:p>
        </w:tc>
        <w:tc>
          <w:tcPr>
            <w:tcW w:type="dxa" w:w="1662"/>
          </w:tcPr>
          <w:p>
            <w:r/>
            <w:r>
              <w:rPr>
                <w:rFonts w:ascii="宋体" w:hAnsi="宋体" w:eastAsia="宋体"/>
                <w:sz w:val="20"/>
              </w:rPr>
              <w:t>15,000</w:t>
            </w:r>
          </w:p>
        </w:tc>
      </w:tr>
      <w:tr>
        <w:tc>
          <w:tcPr>
            <w:tcW w:type="dxa" w:w="1662"/>
          </w:tcPr>
          <w:p>
            <w:r/>
            <w:r>
              <w:rPr>
                <w:rFonts w:ascii="宋体" w:hAnsi="宋体" w:eastAsia="宋体"/>
                <w:sz w:val="20"/>
              </w:rPr>
              <w:t>**合计**</w:t>
            </w:r>
          </w:p>
        </w:tc>
        <w:tc>
          <w:tcPr>
            <w:tcW w:type="dxa" w:w="1662"/>
          </w:tcPr>
          <w:p>
            <w:r/>
            <w:r>
              <w:rPr>
                <w:rFonts w:ascii="宋体" w:hAnsi="宋体" w:eastAsia="宋体"/>
                <w:sz w:val="20"/>
              </w:rPr>
            </w:r>
          </w:p>
        </w:tc>
        <w:tc>
          <w:tcPr>
            <w:tcW w:type="dxa" w:w="1662"/>
          </w:tcPr>
          <w:p>
            <w:r/>
            <w:r>
              <w:rPr>
                <w:rFonts w:ascii="宋体" w:hAnsi="宋体" w:eastAsia="宋体"/>
                <w:sz w:val="20"/>
              </w:rPr>
            </w:r>
          </w:p>
        </w:tc>
        <w:tc>
          <w:tcPr>
            <w:tcW w:type="dxa" w:w="1662"/>
          </w:tcPr>
          <w:p>
            <w:r/>
            <w:r>
              <w:rPr>
                <w:rFonts w:ascii="宋体" w:hAnsi="宋体" w:eastAsia="宋体"/>
                <w:sz w:val="20"/>
              </w:rPr>
            </w:r>
          </w:p>
        </w:tc>
        <w:tc>
          <w:tcPr>
            <w:tcW w:type="dxa" w:w="1662"/>
          </w:tcPr>
          <w:p>
            <w:r/>
            <w:r>
              <w:rPr>
                <w:rFonts w:ascii="宋体" w:hAnsi="宋体" w:eastAsia="宋体"/>
                <w:sz w:val="20"/>
              </w:rPr>
              <w:t>**392,500**</w:t>
            </w:r>
          </w:p>
        </w:tc>
      </w:tr>
    </w:tbl>
    <w:p/>
    <w:p/>
    <w:p>
      <w:pPr>
        <w:pStyle w:val="Heading3"/>
      </w:pPr>
      <w:r>
        <w:t>E.8.3 实训室管理规范</w:t>
      </w:r>
    </w:p>
    <w:p/>
    <w:p>
      <w:pPr>
        <w:pStyle w:val="ListNumber"/>
      </w:pPr>
      <w:r>
        <w:rPr>
          <w:rFonts w:ascii="宋体" w:hAnsi="宋体" w:eastAsia="宋体"/>
          <w:b/>
          <w:sz w:val="24"/>
        </w:rPr>
        <w:t>预约制度</w:t>
      </w:r>
      <w:r>
        <w:rPr>
          <w:rFonts w:ascii="宋体" w:hAnsi="宋体" w:eastAsia="宋体"/>
          <w:sz w:val="24"/>
        </w:rPr>
        <w:t>：学生通过在线系统预约实训室使用时间，避免冲突</w:t>
      </w:r>
    </w:p>
    <w:p>
      <w:pPr>
        <w:pStyle w:val="ListNumber"/>
      </w:pPr>
      <w:r>
        <w:rPr>
          <w:rFonts w:ascii="宋体" w:hAnsi="宋体" w:eastAsia="宋体"/>
          <w:b/>
          <w:sz w:val="24"/>
        </w:rPr>
        <w:t>设备借还</w:t>
      </w:r>
      <w:r>
        <w:rPr>
          <w:rFonts w:ascii="宋体" w:hAnsi="宋体" w:eastAsia="宋体"/>
          <w:sz w:val="24"/>
        </w:rPr>
        <w:t>：VR头显和相机等便携设备实行借还登记制度</w:t>
      </w:r>
    </w:p>
    <w:p>
      <w:pPr>
        <w:pStyle w:val="ListNumber"/>
      </w:pPr>
      <w:r>
        <w:rPr>
          <w:rFonts w:ascii="宋体" w:hAnsi="宋体" w:eastAsia="宋体"/>
          <w:b/>
          <w:sz w:val="24"/>
        </w:rPr>
        <w:t>安全规范</w:t>
      </w:r>
      <w:r>
        <w:rPr>
          <w:rFonts w:ascii="宋体" w:hAnsi="宋体" w:eastAsia="宋体"/>
          <w:sz w:val="24"/>
        </w:rPr>
        <w:t>：VR体验区必须有同伴看护，防止碰撞和摔倒</w:t>
      </w:r>
    </w:p>
    <w:p>
      <w:pPr>
        <w:pStyle w:val="ListNumber"/>
      </w:pPr>
      <w:r>
        <w:rPr>
          <w:rFonts w:ascii="宋体" w:hAnsi="宋体" w:eastAsia="宋体"/>
          <w:b/>
          <w:sz w:val="24"/>
        </w:rPr>
        <w:t>卫生管理</w:t>
      </w:r>
      <w:r>
        <w:rPr>
          <w:rFonts w:ascii="宋体" w:hAnsi="宋体" w:eastAsia="宋体"/>
          <w:sz w:val="24"/>
        </w:rPr>
        <w:t>：VR头显面罩每次使用后消毒，定期更换面罩衬垫</w:t>
      </w:r>
    </w:p>
    <w:p>
      <w:pPr>
        <w:pStyle w:val="ListNumber"/>
      </w:pPr>
      <w:r>
        <w:rPr>
          <w:rFonts w:ascii="宋体" w:hAnsi="宋体" w:eastAsia="宋体"/>
          <w:b/>
          <w:sz w:val="24"/>
        </w:rPr>
        <w:t>数据安全</w:t>
      </w:r>
      <w:r>
        <w:rPr>
          <w:rFonts w:ascii="宋体" w:hAnsi="宋体" w:eastAsia="宋体"/>
          <w:sz w:val="24"/>
        </w:rPr>
        <w:t>：开发PC定期备份，重要项目数据存储在服务器</w:t>
      </w:r>
    </w:p>
    <w:p>
      <w:pPr>
        <w:pStyle w:val="ListNumber"/>
      </w:pPr>
      <w:r>
        <w:rPr>
          <w:rFonts w:ascii="宋体" w:hAnsi="宋体" w:eastAsia="宋体"/>
          <w:b/>
          <w:sz w:val="24"/>
        </w:rPr>
        <w:t>维护保养</w:t>
      </w:r>
      <w:r>
        <w:rPr>
          <w:rFonts w:ascii="宋体" w:hAnsi="宋体" w:eastAsia="宋体"/>
          <w:sz w:val="24"/>
        </w:rPr>
        <w:t>：每月进行设备检查和保养，及时报修故障设备</w:t>
      </w:r>
    </w:p>
    <w:p/>
    <w:p/>
    <w:p/>
    <w:p>
      <w:pPr>
        <w:pStyle w:val="Heading2"/>
      </w:pPr>
      <w:r>
        <w:t>E.9 教师培训与专业发展</w:t>
      </w:r>
    </w:p>
    <w:p/>
    <w:p>
      <w:pPr>
        <w:pStyle w:val="Heading3"/>
      </w:pPr>
      <w:r>
        <w:t>E.9.1 VR/AR 教师能力框架</w:t>
      </w:r>
    </w:p>
    <w:p/>
    <w:p>
      <w:pPr>
        <w:ind w:firstLine="482"/>
      </w:pPr>
      <w:r>
        <w:rPr>
          <w:rFonts w:ascii="宋体" w:hAnsi="宋体" w:eastAsia="宋体"/>
          <w:sz w:val="24"/>
        </w:rPr>
        <w:t>教授 VR/AR 沉浸式场景制作课程的教师应具备以下能力：</w:t>
      </w:r>
    </w:p>
    <w:p/>
    <w:p>
      <w:pPr>
        <w:ind w:firstLine="482"/>
      </w:pPr>
      <w:r>
        <w:rPr>
          <w:rFonts w:ascii="宋体" w:hAnsi="宋体" w:eastAsia="宋体"/>
          <w:b/>
          <w:sz w:val="24"/>
        </w:rPr>
        <w:t>技术能力</w:t>
      </w:r>
      <w:r>
        <w:rPr>
          <w:rFonts w:ascii="宋体" w:hAnsi="宋体" w:eastAsia="宋体"/>
          <w:sz w:val="24"/>
        </w:rPr>
        <w:t>：掌握至少一种 VR/AR 开发引擎（Unity 优先），能够进行基本的 VR/AR 应用开发和调试。理解 3D 建模、材质、动画和渲染的基本原理。了解主流 VR/AR 硬件设备的操作和限制。</w:t>
      </w:r>
    </w:p>
    <w:p/>
    <w:p>
      <w:pPr>
        <w:ind w:firstLine="482"/>
      </w:pPr>
      <w:r>
        <w:rPr>
          <w:rFonts w:ascii="宋体" w:hAnsi="宋体" w:eastAsia="宋体"/>
          <w:b/>
          <w:sz w:val="24"/>
        </w:rPr>
        <w:t>教学能力</w:t>
      </w:r>
      <w:r>
        <w:rPr>
          <w:rFonts w:ascii="宋体" w:hAnsi="宋体" w:eastAsia="宋体"/>
          <w:sz w:val="24"/>
        </w:rPr>
        <w:t>：能够设计项目化教学方案，组织实训活动，指导学生团队项目。能够使用过程性评价和终结性评价工具评估学生学习效果。能够处理实训课堂中的技术问题和设备故障。</w:t>
      </w:r>
    </w:p>
    <w:p/>
    <w:p>
      <w:pPr>
        <w:ind w:firstLine="482"/>
      </w:pPr>
      <w:r>
        <w:rPr>
          <w:rFonts w:ascii="宋体" w:hAnsi="宋体" w:eastAsia="宋体"/>
          <w:b/>
          <w:sz w:val="24"/>
        </w:rPr>
        <w:t>领域知识</w:t>
      </w:r>
      <w:r>
        <w:rPr>
          <w:rFonts w:ascii="宋体" w:hAnsi="宋体" w:eastAsia="宋体"/>
          <w:sz w:val="24"/>
        </w:rPr>
        <w:t>：对数字文旅、文化遗产数字化和教育技术有基本了解。理解 VR/AR 在文旅和教育领域的应用场景和伦理规范。关注行业动态和技术发展趋势。</w:t>
      </w:r>
    </w:p>
    <w:p/>
    <w:p>
      <w:pPr>
        <w:ind w:firstLine="482"/>
      </w:pPr>
      <w:r>
        <w:rPr>
          <w:rFonts w:ascii="宋体" w:hAnsi="宋体" w:eastAsia="宋体"/>
          <w:b/>
          <w:sz w:val="24"/>
        </w:rPr>
        <w:t>管理能力</w:t>
      </w:r>
      <w:r>
        <w:rPr>
          <w:rFonts w:ascii="宋体" w:hAnsi="宋体" w:eastAsia="宋体"/>
          <w:sz w:val="24"/>
        </w:rPr>
        <w:t>：能够管理 VR/AR 实训室的设备和日常运营。能够组织校企合作项目和竞赛参与。能够撰写项目申报书和教学研究论文。</w:t>
      </w:r>
    </w:p>
    <w:p/>
    <w:p>
      <w:pPr>
        <w:pStyle w:val="Heading3"/>
      </w:pPr>
      <w:r>
        <w:t>E.9.2 教师培训途径</w:t>
      </w:r>
    </w:p>
    <w:p/>
    <w:p>
      <w:pPr>
        <w:pStyle w:val="ListNumber"/>
      </w:pPr>
      <w:r>
        <w:rPr>
          <w:rFonts w:ascii="宋体" w:hAnsi="宋体" w:eastAsia="宋体"/>
          <w:b/>
          <w:sz w:val="24"/>
        </w:rPr>
        <w:t>官方培训</w:t>
      </w:r>
      <w:r>
        <w:rPr>
          <w:rFonts w:ascii="宋体" w:hAnsi="宋体" w:eastAsia="宋体"/>
          <w:sz w:val="24"/>
        </w:rPr>
        <w:t>：Unity Educator 计划提供免费的教师培训和教学资源（unity.com/learn/educators）</w:t>
      </w:r>
    </w:p>
    <w:p>
      <w:pPr>
        <w:pStyle w:val="ListNumber"/>
      </w:pPr>
      <w:r>
        <w:rPr>
          <w:rFonts w:ascii="宋体" w:hAnsi="宋体" w:eastAsia="宋体"/>
          <w:b/>
          <w:sz w:val="24"/>
        </w:rPr>
        <w:t>学术会议</w:t>
      </w:r>
      <w:r>
        <w:rPr>
          <w:rFonts w:ascii="宋体" w:hAnsi="宋体" w:eastAsia="宋体"/>
          <w:sz w:val="24"/>
        </w:rPr>
        <w:t>：参加 IEEE VR、ISMAR 等学术会议，了解最新技术进展和教学实践</w:t>
      </w:r>
    </w:p>
    <w:p>
      <w:pPr>
        <w:pStyle w:val="ListNumber"/>
      </w:pPr>
      <w:r>
        <w:rPr>
          <w:rFonts w:ascii="宋体" w:hAnsi="宋体" w:eastAsia="宋体"/>
          <w:b/>
          <w:sz w:val="24"/>
        </w:rPr>
        <w:t>在线课程</w:t>
      </w:r>
      <w:r>
        <w:rPr>
          <w:rFonts w:ascii="宋体" w:hAnsi="宋体" w:eastAsia="宋体"/>
          <w:sz w:val="24"/>
        </w:rPr>
        <w:t>：Coursera、edX 等平台提供 VR/AR 开发课程，教师可以自学提升</w:t>
      </w:r>
    </w:p>
    <w:p>
      <w:pPr>
        <w:pStyle w:val="ListNumber"/>
      </w:pPr>
      <w:r>
        <w:rPr>
          <w:rFonts w:ascii="宋体" w:hAnsi="宋体" w:eastAsia="宋体"/>
          <w:b/>
          <w:sz w:val="24"/>
        </w:rPr>
        <w:t>校企合作</w:t>
      </w:r>
      <w:r>
        <w:rPr>
          <w:rFonts w:ascii="宋体" w:hAnsi="宋体" w:eastAsia="宋体"/>
          <w:sz w:val="24"/>
        </w:rPr>
        <w:t>：与 VR/AR 企业建立合作关系，派遣教师到企业实习交流</w:t>
      </w:r>
    </w:p>
    <w:p>
      <w:pPr>
        <w:pStyle w:val="ListNumber"/>
      </w:pPr>
      <w:r>
        <w:rPr>
          <w:rFonts w:ascii="宋体" w:hAnsi="宋体" w:eastAsia="宋体"/>
          <w:b/>
          <w:sz w:val="24"/>
        </w:rPr>
        <w:t>同行交流</w:t>
      </w:r>
      <w:r>
        <w:rPr>
          <w:rFonts w:ascii="宋体" w:hAnsi="宋体" w:eastAsia="宋体"/>
          <w:sz w:val="24"/>
        </w:rPr>
        <w:t>：加入 VR/AR 教育社区（如 Unity Education 社区），与同行分享教学经验</w:t>
      </w:r>
    </w:p>
    <w:p/>
    <w:p>
      <w:pPr>
        <w:pStyle w:val="Heading3"/>
      </w:pPr>
      <w:r>
        <w:t>E.9.3 教学研究方向</w:t>
      </w:r>
    </w:p>
    <w:p/>
    <w:p>
      <w:pPr>
        <w:ind w:firstLine="482"/>
      </w:pPr>
      <w:r>
        <w:rPr>
          <w:rFonts w:ascii="宋体" w:hAnsi="宋体" w:eastAsia="宋体"/>
          <w:sz w:val="24"/>
        </w:rPr>
        <w:t>教师在教授本课程的过程中，可以开展以下方向的教学研究：</w:t>
      </w:r>
    </w:p>
    <w:p/>
    <w:p>
      <w:pPr>
        <w:pStyle w:val="ListNumber"/>
      </w:pPr>
      <w:r>
        <w:rPr>
          <w:rFonts w:ascii="宋体" w:hAnsi="宋体" w:eastAsia="宋体"/>
          <w:sz w:val="24"/>
        </w:rPr>
        <w:t>VR/AR 教学效果实证研究——对比 VR/AR 教学与传统教学的学习效果差异</w:t>
      </w:r>
    </w:p>
    <w:p>
      <w:pPr>
        <w:pStyle w:val="ListNumber"/>
      </w:pPr>
      <w:r>
        <w:rPr>
          <w:rFonts w:ascii="宋体" w:hAnsi="宋体" w:eastAsia="宋体"/>
          <w:sz w:val="24"/>
        </w:rPr>
        <w:t>VR/AR 项目化教学模式研究——探索最优的团队组织、任务分解和评价方式</w:t>
      </w:r>
    </w:p>
    <w:p>
      <w:pPr>
        <w:pStyle w:val="ListNumber"/>
      </w:pPr>
      <w:r>
        <w:rPr>
          <w:rFonts w:ascii="宋体" w:hAnsi="宋体" w:eastAsia="宋体"/>
          <w:sz w:val="24"/>
        </w:rPr>
        <w:t>VR/AR 跨学科教学研究——研究技术与文旅/文化遗产融合的教学方法</w:t>
      </w:r>
    </w:p>
    <w:p>
      <w:pPr>
        <w:pStyle w:val="ListNumber"/>
      </w:pPr>
      <w:r>
        <w:rPr>
          <w:rFonts w:ascii="宋体" w:hAnsi="宋体" w:eastAsia="宋体"/>
          <w:sz w:val="24"/>
        </w:rPr>
        <w:t>VR/AR 教育公平研究——探索如何通过 VR/AR 技术缩小教育资源差距</w:t>
      </w:r>
    </w:p>
    <w:p>
      <w:pPr>
        <w:pStyle w:val="ListNumber"/>
      </w:pPr>
      <w:r>
        <w:rPr>
          <w:rFonts w:ascii="宋体" w:hAnsi="宋体" w:eastAsia="宋体"/>
          <w:sz w:val="24"/>
        </w:rPr>
        <w:t>VR/AR 教学伦理研究——讨论 VR/AR 教学中的数据隐私、文化尊重和身心安全问题</w:t>
      </w:r>
    </w:p>
    <w:p/>
    <w:p>
      <w:pPr>
        <w:pStyle w:val="Heading2"/>
      </w:pPr>
      <w:r>
        <w:t>E.10 课程评估与持续改进</w:t>
      </w:r>
    </w:p>
    <w:p/>
    <w:p>
      <w:pPr>
        <w:pStyle w:val="Heading3"/>
      </w:pPr>
      <w:r>
        <w:t>E.10.1 课程评估指标</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评估维度</w:t>
            </w:r>
          </w:p>
        </w:tc>
        <w:tc>
          <w:tcPr>
            <w:tcW w:type="dxa" w:w="2078"/>
            <w:shd w:fill="D9E2F3" w:val="clear"/>
          </w:tcPr>
          <w:p>
            <w:pPr>
              <w:jc w:val="center"/>
            </w:pPr>
            <w:r/>
            <w:r>
              <w:rPr>
                <w:rFonts w:ascii="黑体" w:hAnsi="黑体" w:eastAsia="黑体"/>
                <w:b/>
                <w:sz w:val="20"/>
              </w:rPr>
              <w:t>指标</w:t>
            </w:r>
          </w:p>
        </w:tc>
        <w:tc>
          <w:tcPr>
            <w:tcW w:type="dxa" w:w="2078"/>
            <w:shd w:fill="D9E2F3" w:val="clear"/>
          </w:tcPr>
          <w:p>
            <w:pPr>
              <w:jc w:val="center"/>
            </w:pPr>
            <w:r/>
            <w:r>
              <w:rPr>
                <w:rFonts w:ascii="黑体" w:hAnsi="黑体" w:eastAsia="黑体"/>
                <w:b/>
                <w:sz w:val="20"/>
              </w:rPr>
              <w:t>测量方法</w:t>
            </w:r>
          </w:p>
        </w:tc>
        <w:tc>
          <w:tcPr>
            <w:tcW w:type="dxa" w:w="2078"/>
            <w:shd w:fill="D9E2F3" w:val="clear"/>
          </w:tcPr>
          <w:p>
            <w:pPr>
              <w:jc w:val="center"/>
            </w:pPr>
            <w:r/>
            <w:r>
              <w:rPr>
                <w:rFonts w:ascii="黑体" w:hAnsi="黑体" w:eastAsia="黑体"/>
                <w:b/>
                <w:sz w:val="20"/>
              </w:rPr>
              <w:t>目标值</w:t>
            </w:r>
          </w:p>
        </w:tc>
      </w:tr>
      <w:tr>
        <w:tc>
          <w:tcPr>
            <w:tcW w:type="dxa" w:w="2078"/>
          </w:tcPr>
          <w:p>
            <w:r/>
            <w:r>
              <w:rPr>
                <w:rFonts w:ascii="宋体" w:hAnsi="宋体" w:eastAsia="宋体"/>
                <w:sz w:val="20"/>
              </w:rPr>
              <w:t>学习成效</w:t>
            </w:r>
          </w:p>
        </w:tc>
        <w:tc>
          <w:tcPr>
            <w:tcW w:type="dxa" w:w="2078"/>
          </w:tcPr>
          <w:p>
            <w:r/>
            <w:r>
              <w:rPr>
                <w:rFonts w:ascii="宋体" w:hAnsi="宋体" w:eastAsia="宋体"/>
                <w:sz w:val="20"/>
              </w:rPr>
              <w:t>知识掌握度</w:t>
            </w:r>
          </w:p>
        </w:tc>
        <w:tc>
          <w:tcPr>
            <w:tcW w:type="dxa" w:w="2078"/>
          </w:tcPr>
          <w:p>
            <w:r/>
            <w:r>
              <w:rPr>
                <w:rFonts w:ascii="宋体" w:hAnsi="宋体" w:eastAsia="宋体"/>
                <w:sz w:val="20"/>
              </w:rPr>
              <w:t>前后测对比</w:t>
            </w:r>
          </w:p>
        </w:tc>
        <w:tc>
          <w:tcPr>
            <w:tcW w:type="dxa" w:w="2078"/>
          </w:tcPr>
          <w:p>
            <w:r/>
            <w:r>
              <w:rPr>
                <w:rFonts w:ascii="宋体" w:hAnsi="宋体" w:eastAsia="宋体"/>
                <w:sz w:val="20"/>
              </w:rPr>
              <w:t>提升≥50%</w:t>
            </w:r>
          </w:p>
        </w:tc>
      </w:tr>
      <w:tr>
        <w:tc>
          <w:tcPr>
            <w:tcW w:type="dxa" w:w="2078"/>
          </w:tcPr>
          <w:p>
            <w:r/>
            <w:r>
              <w:rPr>
                <w:rFonts w:ascii="宋体" w:hAnsi="宋体" w:eastAsia="宋体"/>
                <w:sz w:val="20"/>
              </w:rPr>
              <w:t>学习成效</w:t>
            </w:r>
          </w:p>
        </w:tc>
        <w:tc>
          <w:tcPr>
            <w:tcW w:type="dxa" w:w="2078"/>
          </w:tcPr>
          <w:p>
            <w:r/>
            <w:r>
              <w:rPr>
                <w:rFonts w:ascii="宋体" w:hAnsi="宋体" w:eastAsia="宋体"/>
                <w:sz w:val="20"/>
              </w:rPr>
              <w:t>技能操作合格率</w:t>
            </w:r>
          </w:p>
        </w:tc>
        <w:tc>
          <w:tcPr>
            <w:tcW w:type="dxa" w:w="2078"/>
          </w:tcPr>
          <w:p>
            <w:r/>
            <w:r>
              <w:rPr>
                <w:rFonts w:ascii="宋体" w:hAnsi="宋体" w:eastAsia="宋体"/>
                <w:sz w:val="20"/>
              </w:rPr>
              <w:t>实训评分</w:t>
            </w:r>
          </w:p>
        </w:tc>
        <w:tc>
          <w:tcPr>
            <w:tcW w:type="dxa" w:w="2078"/>
          </w:tcPr>
          <w:p>
            <w:r/>
            <w:r>
              <w:rPr>
                <w:rFonts w:ascii="宋体" w:hAnsi="宋体" w:eastAsia="宋体"/>
                <w:sz w:val="20"/>
              </w:rPr>
              <w:t>≥85%</w:t>
            </w:r>
          </w:p>
        </w:tc>
      </w:tr>
      <w:tr>
        <w:tc>
          <w:tcPr>
            <w:tcW w:type="dxa" w:w="2078"/>
          </w:tcPr>
          <w:p>
            <w:r/>
            <w:r>
              <w:rPr>
                <w:rFonts w:ascii="宋体" w:hAnsi="宋体" w:eastAsia="宋体"/>
                <w:sz w:val="20"/>
              </w:rPr>
              <w:t>学习体验</w:t>
            </w:r>
          </w:p>
        </w:tc>
        <w:tc>
          <w:tcPr>
            <w:tcW w:type="dxa" w:w="2078"/>
          </w:tcPr>
          <w:p>
            <w:r/>
            <w:r>
              <w:rPr>
                <w:rFonts w:ascii="宋体" w:hAnsi="宋体" w:eastAsia="宋体"/>
                <w:sz w:val="20"/>
              </w:rPr>
              <w:t>课程满意度</w:t>
            </w:r>
          </w:p>
        </w:tc>
        <w:tc>
          <w:tcPr>
            <w:tcW w:type="dxa" w:w="2078"/>
          </w:tcPr>
          <w:p>
            <w:r/>
            <w:r>
              <w:rPr>
                <w:rFonts w:ascii="宋体" w:hAnsi="宋体" w:eastAsia="宋体"/>
                <w:sz w:val="20"/>
              </w:rPr>
              <w:t>问卷评分</w:t>
            </w:r>
          </w:p>
        </w:tc>
        <w:tc>
          <w:tcPr>
            <w:tcW w:type="dxa" w:w="2078"/>
          </w:tcPr>
          <w:p>
            <w:r/>
            <w:r>
              <w:rPr>
                <w:rFonts w:ascii="宋体" w:hAnsi="宋体" w:eastAsia="宋体"/>
                <w:sz w:val="20"/>
              </w:rPr>
              <w:t>≥4.5/5.0</w:t>
            </w:r>
          </w:p>
        </w:tc>
      </w:tr>
      <w:tr>
        <w:tc>
          <w:tcPr>
            <w:tcW w:type="dxa" w:w="2078"/>
          </w:tcPr>
          <w:p>
            <w:r/>
            <w:r>
              <w:rPr>
                <w:rFonts w:ascii="宋体" w:hAnsi="宋体" w:eastAsia="宋体"/>
                <w:sz w:val="20"/>
              </w:rPr>
              <w:t>学习体验</w:t>
            </w:r>
          </w:p>
        </w:tc>
        <w:tc>
          <w:tcPr>
            <w:tcW w:type="dxa" w:w="2078"/>
          </w:tcPr>
          <w:p>
            <w:r/>
            <w:r>
              <w:rPr>
                <w:rFonts w:ascii="宋体" w:hAnsi="宋体" w:eastAsia="宋体"/>
                <w:sz w:val="20"/>
              </w:rPr>
              <w:t>实训参与度</w:t>
            </w:r>
          </w:p>
        </w:tc>
        <w:tc>
          <w:tcPr>
            <w:tcW w:type="dxa" w:w="2078"/>
          </w:tcPr>
          <w:p>
            <w:r/>
            <w:r>
              <w:rPr>
                <w:rFonts w:ascii="宋体" w:hAnsi="宋体" w:eastAsia="宋体"/>
                <w:sz w:val="20"/>
              </w:rPr>
              <w:t>出勤+提交率</w:t>
            </w:r>
          </w:p>
        </w:tc>
        <w:tc>
          <w:tcPr>
            <w:tcW w:type="dxa" w:w="2078"/>
          </w:tcPr>
          <w:p>
            <w:r/>
            <w:r>
              <w:rPr>
                <w:rFonts w:ascii="宋体" w:hAnsi="宋体" w:eastAsia="宋体"/>
                <w:sz w:val="20"/>
              </w:rPr>
              <w:t>≥90%</w:t>
            </w:r>
          </w:p>
        </w:tc>
      </w:tr>
      <w:tr>
        <w:tc>
          <w:tcPr>
            <w:tcW w:type="dxa" w:w="2078"/>
          </w:tcPr>
          <w:p>
            <w:r/>
            <w:r>
              <w:rPr>
                <w:rFonts w:ascii="宋体" w:hAnsi="宋体" w:eastAsia="宋体"/>
                <w:sz w:val="20"/>
              </w:rPr>
              <w:t>教学质量</w:t>
            </w:r>
          </w:p>
        </w:tc>
        <w:tc>
          <w:tcPr>
            <w:tcW w:type="dxa" w:w="2078"/>
          </w:tcPr>
          <w:p>
            <w:r/>
            <w:r>
              <w:rPr>
                <w:rFonts w:ascii="宋体" w:hAnsi="宋体" w:eastAsia="宋体"/>
                <w:sz w:val="20"/>
              </w:rPr>
              <w:t>教师评分</w:t>
            </w:r>
          </w:p>
        </w:tc>
        <w:tc>
          <w:tcPr>
            <w:tcW w:type="dxa" w:w="2078"/>
          </w:tcPr>
          <w:p>
            <w:r/>
            <w:r>
              <w:rPr>
                <w:rFonts w:ascii="宋体" w:hAnsi="宋体" w:eastAsia="宋体"/>
                <w:sz w:val="20"/>
              </w:rPr>
              <w:t>学生评教</w:t>
            </w:r>
          </w:p>
        </w:tc>
        <w:tc>
          <w:tcPr>
            <w:tcW w:type="dxa" w:w="2078"/>
          </w:tcPr>
          <w:p>
            <w:r/>
            <w:r>
              <w:rPr>
                <w:rFonts w:ascii="宋体" w:hAnsi="宋体" w:eastAsia="宋体"/>
                <w:sz w:val="20"/>
              </w:rPr>
              <w:t>≥4.5/5.0</w:t>
            </w:r>
          </w:p>
        </w:tc>
      </w:tr>
      <w:tr>
        <w:tc>
          <w:tcPr>
            <w:tcW w:type="dxa" w:w="2078"/>
          </w:tcPr>
          <w:p>
            <w:r/>
            <w:r>
              <w:rPr>
                <w:rFonts w:ascii="宋体" w:hAnsi="宋体" w:eastAsia="宋体"/>
                <w:sz w:val="20"/>
              </w:rPr>
              <w:t>教学质量</w:t>
            </w:r>
          </w:p>
        </w:tc>
        <w:tc>
          <w:tcPr>
            <w:tcW w:type="dxa" w:w="2078"/>
          </w:tcPr>
          <w:p>
            <w:r/>
            <w:r>
              <w:rPr>
                <w:rFonts w:ascii="宋体" w:hAnsi="宋体" w:eastAsia="宋体"/>
                <w:sz w:val="20"/>
              </w:rPr>
              <w:t>项目成果质量</w:t>
            </w:r>
          </w:p>
        </w:tc>
        <w:tc>
          <w:tcPr>
            <w:tcW w:type="dxa" w:w="2078"/>
          </w:tcPr>
          <w:p>
            <w:r/>
            <w:r>
              <w:rPr>
                <w:rFonts w:ascii="宋体" w:hAnsi="宋体" w:eastAsia="宋体"/>
                <w:sz w:val="20"/>
              </w:rPr>
              <w:t>评审评分</w:t>
            </w:r>
          </w:p>
        </w:tc>
        <w:tc>
          <w:tcPr>
            <w:tcW w:type="dxa" w:w="2078"/>
          </w:tcPr>
          <w:p>
            <w:r/>
            <w:r>
              <w:rPr>
                <w:rFonts w:ascii="宋体" w:hAnsi="宋体" w:eastAsia="宋体"/>
                <w:sz w:val="20"/>
              </w:rPr>
              <w:t>≥80/100</w:t>
            </w:r>
          </w:p>
        </w:tc>
      </w:tr>
      <w:tr>
        <w:tc>
          <w:tcPr>
            <w:tcW w:type="dxa" w:w="2078"/>
          </w:tcPr>
          <w:p>
            <w:r/>
            <w:r>
              <w:rPr>
                <w:rFonts w:ascii="宋体" w:hAnsi="宋体" w:eastAsia="宋体"/>
                <w:sz w:val="20"/>
              </w:rPr>
              <w:t>就业影响</w:t>
            </w:r>
          </w:p>
        </w:tc>
        <w:tc>
          <w:tcPr>
            <w:tcW w:type="dxa" w:w="2078"/>
          </w:tcPr>
          <w:p>
            <w:r/>
            <w:r>
              <w:rPr>
                <w:rFonts w:ascii="宋体" w:hAnsi="宋体" w:eastAsia="宋体"/>
                <w:sz w:val="20"/>
              </w:rPr>
              <w:t>相关就业率</w:t>
            </w:r>
          </w:p>
        </w:tc>
        <w:tc>
          <w:tcPr>
            <w:tcW w:type="dxa" w:w="2078"/>
          </w:tcPr>
          <w:p>
            <w:r/>
            <w:r>
              <w:rPr>
                <w:rFonts w:ascii="宋体" w:hAnsi="宋体" w:eastAsia="宋体"/>
                <w:sz w:val="20"/>
              </w:rPr>
              <w:t>毕业追踪</w:t>
            </w:r>
          </w:p>
        </w:tc>
        <w:tc>
          <w:tcPr>
            <w:tcW w:type="dxa" w:w="2078"/>
          </w:tcPr>
          <w:p>
            <w:r/>
            <w:r>
              <w:rPr>
                <w:rFonts w:ascii="宋体" w:hAnsi="宋体" w:eastAsia="宋体"/>
                <w:sz w:val="20"/>
              </w:rPr>
              <w:t>≥30%</w:t>
            </w:r>
          </w:p>
        </w:tc>
      </w:tr>
      <w:tr>
        <w:tc>
          <w:tcPr>
            <w:tcW w:type="dxa" w:w="2078"/>
          </w:tcPr>
          <w:p>
            <w:r/>
            <w:r>
              <w:rPr>
                <w:rFonts w:ascii="宋体" w:hAnsi="宋体" w:eastAsia="宋体"/>
                <w:sz w:val="20"/>
              </w:rPr>
              <w:t>竞赛成果</w:t>
            </w:r>
          </w:p>
        </w:tc>
        <w:tc>
          <w:tcPr>
            <w:tcW w:type="dxa" w:w="2078"/>
          </w:tcPr>
          <w:p>
            <w:r/>
            <w:r>
              <w:rPr>
                <w:rFonts w:ascii="宋体" w:hAnsi="宋体" w:eastAsia="宋体"/>
                <w:sz w:val="20"/>
              </w:rPr>
              <w:t>竞赛获奖</w:t>
            </w:r>
          </w:p>
        </w:tc>
        <w:tc>
          <w:tcPr>
            <w:tcW w:type="dxa" w:w="2078"/>
          </w:tcPr>
          <w:p>
            <w:r/>
            <w:r>
              <w:rPr>
                <w:rFonts w:ascii="宋体" w:hAnsi="宋体" w:eastAsia="宋体"/>
                <w:sz w:val="20"/>
              </w:rPr>
              <w:t>竞赛统计</w:t>
            </w:r>
          </w:p>
        </w:tc>
        <w:tc>
          <w:tcPr>
            <w:tcW w:type="dxa" w:w="2078"/>
          </w:tcPr>
          <w:p>
            <w:r/>
            <w:r>
              <w:rPr>
                <w:rFonts w:ascii="宋体" w:hAnsi="宋体" w:eastAsia="宋体"/>
                <w:sz w:val="20"/>
              </w:rPr>
              <w:t>≥2项/年</w:t>
            </w:r>
          </w:p>
        </w:tc>
      </w:tr>
    </w:tbl>
    <w:p/>
    <w:p/>
    <w:p>
      <w:pPr>
        <w:pStyle w:val="Heading3"/>
      </w:pPr>
      <w:r>
        <w:t>E.10.2 持续改进机制</w:t>
      </w:r>
    </w:p>
    <w:p/>
    <w:p>
      <w:pPr>
        <w:ind w:firstLine="482"/>
      </w:pPr>
      <w:r>
        <w:rPr>
          <w:rFonts w:ascii="宋体" w:hAnsi="宋体" w:eastAsia="宋体"/>
          <w:sz w:val="24"/>
        </w:rPr>
        <w:t>建立"计划-执行-检查-行动"（PDCA）的持续改进循环：</w:t>
      </w:r>
    </w:p>
    <w:p/>
    <w:p>
      <w:pPr>
        <w:pStyle w:val="ListNumber"/>
      </w:pPr>
      <w:r>
        <w:rPr>
          <w:rFonts w:ascii="宋体" w:hAnsi="宋体" w:eastAsia="宋体"/>
          <w:b/>
          <w:sz w:val="24"/>
        </w:rPr>
        <w:t>Plan（计划）</w:t>
      </w:r>
      <w:r>
        <w:rPr>
          <w:rFonts w:ascii="宋体" w:hAnsi="宋体" w:eastAsia="宋体"/>
          <w:sz w:val="24"/>
        </w:rPr>
        <w:t>：每学期初根据上学期的评估结果制定改进计划</w:t>
      </w:r>
    </w:p>
    <w:p>
      <w:pPr>
        <w:pStyle w:val="ListNumber"/>
      </w:pPr>
      <w:r>
        <w:rPr>
          <w:rFonts w:ascii="宋体" w:hAnsi="宋体" w:eastAsia="宋体"/>
          <w:b/>
          <w:sz w:val="24"/>
        </w:rPr>
        <w:t>Do（执行）</w:t>
      </w:r>
      <w:r>
        <w:rPr>
          <w:rFonts w:ascii="宋体" w:hAnsi="宋体" w:eastAsia="宋体"/>
          <w:sz w:val="24"/>
        </w:rPr>
        <w:t>：在教学中实施改进措施</w:t>
      </w:r>
    </w:p>
    <w:p>
      <w:pPr>
        <w:pStyle w:val="ListNumber"/>
      </w:pPr>
      <w:r>
        <w:rPr>
          <w:rFonts w:ascii="宋体" w:hAnsi="宋体" w:eastAsia="宋体"/>
          <w:b/>
          <w:sz w:val="24"/>
        </w:rPr>
        <w:t>Check（检查）</w:t>
      </w:r>
      <w:r>
        <w:rPr>
          <w:rFonts w:ascii="宋体" w:hAnsi="宋体" w:eastAsia="宋体"/>
          <w:sz w:val="24"/>
        </w:rPr>
        <w:t>：期末收集学生反馈和评估数据</w:t>
      </w:r>
    </w:p>
    <w:p>
      <w:pPr>
        <w:pStyle w:val="ListNumber"/>
      </w:pPr>
      <w:r>
        <w:rPr>
          <w:rFonts w:ascii="宋体" w:hAnsi="宋体" w:eastAsia="宋体"/>
          <w:b/>
          <w:sz w:val="24"/>
        </w:rPr>
        <w:t>Act（行动）</w:t>
      </w:r>
      <w:r>
        <w:rPr>
          <w:rFonts w:ascii="宋体" w:hAnsi="宋体" w:eastAsia="宋体"/>
          <w:sz w:val="24"/>
        </w:rPr>
        <w:t>：根据评估结果调整下一学期的教学方案</w:t>
      </w:r>
    </w:p>
    <w:p/>
    <w:p>
      <w:pPr>
        <w:ind w:firstLine="482"/>
      </w:pPr>
      <w:r>
        <w:rPr>
          <w:rFonts w:ascii="宋体" w:hAnsi="宋体" w:eastAsia="宋体"/>
          <w:sz w:val="24"/>
        </w:rPr>
        <w:t>持续改进的重点关注领域包括：技术内容的前沿性（每年更新10-20%的教学内容）、实训项目的真实性（与行业需求对齐）、教学方法的创新性（探索新的教学模式）和评价体系的科学性（完善评估指标和方法）。</w:t>
      </w:r>
    </w:p>
    <w:p/>
    <w:p/>
    <w:p/>
    <w:p/>
    <w:p>
      <w:pPr>
        <w:pStyle w:val="Heading2"/>
      </w:pPr>
      <w:r>
        <w:t>E.11 校企合作与产教融合</w:t>
      </w:r>
    </w:p>
    <w:p/>
    <w:p>
      <w:pPr>
        <w:pStyle w:val="Heading3"/>
      </w:pPr>
      <w:r>
        <w:t>E.11.1 合作模式</w:t>
      </w:r>
    </w:p>
    <w:p/>
    <w:p>
      <w:pPr>
        <w:ind w:firstLine="482"/>
      </w:pPr>
      <w:r>
        <w:rPr>
          <w:rFonts w:ascii="宋体" w:hAnsi="宋体" w:eastAsia="宋体"/>
          <w:sz w:val="24"/>
        </w:rPr>
        <w:t>VR/AR 沉浸式场景制作课程应积极与企业合作，实现产教融合：</w:t>
      </w:r>
    </w:p>
    <w:p/>
    <w:p>
      <w:pPr>
        <w:ind w:firstLine="482"/>
      </w:pPr>
      <w:r>
        <w:rPr>
          <w:rFonts w:ascii="宋体" w:hAnsi="宋体" w:eastAsia="宋体"/>
          <w:b/>
          <w:sz w:val="24"/>
        </w:rPr>
        <w:t>模式一：企业项目引入</w:t>
      </w:r>
      <w:r>
        <w:rPr>
          <w:rFonts w:ascii="宋体" w:hAnsi="宋体" w:eastAsia="宋体"/>
          <w:sz w:val="24"/>
        </w:rPr>
        <w:t>。将企业的真实 VR/AR 项目（脱敏后）作为课程实训选题，学生团队在教师和企业工程师的共同指导下完成项目。优秀成果可能被企业采用，学生获得实践经验和可能的就业机会。</w:t>
      </w:r>
    </w:p>
    <w:p/>
    <w:p>
      <w:pPr>
        <w:ind w:firstLine="482"/>
      </w:pPr>
      <w:r>
        <w:rPr>
          <w:rFonts w:ascii="宋体" w:hAnsi="宋体" w:eastAsia="宋体"/>
          <w:b/>
          <w:sz w:val="24"/>
        </w:rPr>
        <w:t>模式二：企业导师入驻</w:t>
      </w:r>
      <w:r>
        <w:rPr>
          <w:rFonts w:ascii="宋体" w:hAnsi="宋体" w:eastAsia="宋体"/>
          <w:sz w:val="24"/>
        </w:rPr>
        <w:t>。邀请 VR/AR 企业的技术专家作为兼职导师参与教学，定期开展技术讲座、项目评审和就业指导。企业导师带来行业最新技术趋势和实践经验，弥补教材内容滞后于行业发展的不足。</w:t>
      </w:r>
    </w:p>
    <w:p/>
    <w:p>
      <w:pPr>
        <w:ind w:firstLine="482"/>
      </w:pPr>
      <w:r>
        <w:rPr>
          <w:rFonts w:ascii="宋体" w:hAnsi="宋体" w:eastAsia="宋体"/>
          <w:b/>
          <w:sz w:val="24"/>
        </w:rPr>
        <w:t>模式三：共建实训基地</w:t>
      </w:r>
      <w:r>
        <w:rPr>
          <w:rFonts w:ascii="宋体" w:hAnsi="宋体" w:eastAsia="宋体"/>
          <w:sz w:val="24"/>
        </w:rPr>
        <w:t>。与 VR/AR 企业共建实训基地，企业提供设备、软件许可和技术支持，学校提供场地和师资。学生在实训基地参与企业实际项目，实现"学中做、做中学"的产教融合模式。</w:t>
      </w:r>
    </w:p>
    <w:p/>
    <w:p>
      <w:pPr>
        <w:ind w:firstLine="482"/>
      </w:pPr>
      <w:r>
        <w:rPr>
          <w:rFonts w:ascii="宋体" w:hAnsi="宋体" w:eastAsia="宋体"/>
          <w:b/>
          <w:sz w:val="24"/>
        </w:rPr>
        <w:t>模式四：竞赛联合培养</w:t>
      </w:r>
      <w:r>
        <w:rPr>
          <w:rFonts w:ascii="宋体" w:hAnsi="宋体" w:eastAsia="宋体"/>
          <w:sz w:val="24"/>
        </w:rPr>
        <w:t>。学校与企业联合组队参加 VR/AR 行业竞赛（如全国大学生 VR/AR 大赛、中国虚拟现实创新创业大赛），企业提供技术指导和项目资源，学校组织学生团队参赛。竞赛成果可作为教学案例和成果展示。</w:t>
      </w:r>
    </w:p>
    <w:p/>
    <w:p>
      <w:pPr>
        <w:pStyle w:val="Heading3"/>
      </w:pPr>
      <w:r>
        <w:t>E.11.2 合作企业推荐类型</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企业类型</w:t>
            </w:r>
          </w:p>
        </w:tc>
        <w:tc>
          <w:tcPr>
            <w:tcW w:type="dxa" w:w="2771"/>
            <w:shd w:fill="D9E2F3" w:val="clear"/>
          </w:tcPr>
          <w:p>
            <w:pPr>
              <w:jc w:val="center"/>
            </w:pPr>
            <w:r/>
            <w:r>
              <w:rPr>
                <w:rFonts w:ascii="黑体" w:hAnsi="黑体" w:eastAsia="黑体"/>
                <w:b/>
                <w:sz w:val="20"/>
              </w:rPr>
              <w:t>合作价值</w:t>
            </w:r>
          </w:p>
        </w:tc>
        <w:tc>
          <w:tcPr>
            <w:tcW w:type="dxa" w:w="2771"/>
            <w:shd w:fill="D9E2F3" w:val="clear"/>
          </w:tcPr>
          <w:p>
            <w:pPr>
              <w:jc w:val="center"/>
            </w:pPr>
            <w:r/>
            <w:r>
              <w:rPr>
                <w:rFonts w:ascii="黑体" w:hAnsi="黑体" w:eastAsia="黑体"/>
                <w:b/>
                <w:sz w:val="20"/>
              </w:rPr>
              <w:t>典型合作内容</w:t>
            </w:r>
          </w:p>
        </w:tc>
      </w:tr>
      <w:tr>
        <w:tc>
          <w:tcPr>
            <w:tcW w:type="dxa" w:w="2771"/>
          </w:tcPr>
          <w:p>
            <w:r/>
            <w:r>
              <w:rPr>
                <w:rFonts w:ascii="宋体" w:hAnsi="宋体" w:eastAsia="宋体"/>
                <w:sz w:val="20"/>
              </w:rPr>
              <w:t>VR/AR 硬件厂商</w:t>
            </w:r>
          </w:p>
        </w:tc>
        <w:tc>
          <w:tcPr>
            <w:tcW w:type="dxa" w:w="2771"/>
          </w:tcPr>
          <w:p>
            <w:r/>
            <w:r>
              <w:rPr>
                <w:rFonts w:ascii="宋体" w:hAnsi="宋体" w:eastAsia="宋体"/>
                <w:sz w:val="20"/>
              </w:rPr>
              <w:t>设备支持、技术培训</w:t>
            </w:r>
          </w:p>
        </w:tc>
        <w:tc>
          <w:tcPr>
            <w:tcW w:type="dxa" w:w="2771"/>
          </w:tcPr>
          <w:p>
            <w:r/>
            <w:r>
              <w:rPr>
                <w:rFonts w:ascii="宋体" w:hAnsi="宋体" w:eastAsia="宋体"/>
                <w:sz w:val="20"/>
              </w:rPr>
              <w:t>设备捐赠、开发培训、测试认证</w:t>
            </w:r>
          </w:p>
        </w:tc>
      </w:tr>
      <w:tr>
        <w:tc>
          <w:tcPr>
            <w:tcW w:type="dxa" w:w="2771"/>
          </w:tcPr>
          <w:p>
            <w:r/>
            <w:r>
              <w:rPr>
                <w:rFonts w:ascii="宋体" w:hAnsi="宋体" w:eastAsia="宋体"/>
                <w:sz w:val="20"/>
              </w:rPr>
              <w:t>VR/AR 开发公司</w:t>
            </w:r>
          </w:p>
        </w:tc>
        <w:tc>
          <w:tcPr>
            <w:tcW w:type="dxa" w:w="2771"/>
          </w:tcPr>
          <w:p>
            <w:r/>
            <w:r>
              <w:rPr>
                <w:rFonts w:ascii="宋体" w:hAnsi="宋体" w:eastAsia="宋体"/>
                <w:sz w:val="20"/>
              </w:rPr>
              <w:t>项目资源、就业渠道</w:t>
            </w:r>
          </w:p>
        </w:tc>
        <w:tc>
          <w:tcPr>
            <w:tcW w:type="dxa" w:w="2771"/>
          </w:tcPr>
          <w:p>
            <w:r/>
            <w:r>
              <w:rPr>
                <w:rFonts w:ascii="宋体" w:hAnsi="宋体" w:eastAsia="宋体"/>
                <w:sz w:val="20"/>
              </w:rPr>
              <w:t>实训项目、实习岗位、技术讲座</w:t>
            </w:r>
          </w:p>
        </w:tc>
      </w:tr>
      <w:tr>
        <w:tc>
          <w:tcPr>
            <w:tcW w:type="dxa" w:w="2771"/>
          </w:tcPr>
          <w:p>
            <w:r/>
            <w:r>
              <w:rPr>
                <w:rFonts w:ascii="宋体" w:hAnsi="宋体" w:eastAsia="宋体"/>
                <w:sz w:val="20"/>
              </w:rPr>
              <w:t>文旅景区/博物馆</w:t>
            </w:r>
          </w:p>
        </w:tc>
        <w:tc>
          <w:tcPr>
            <w:tcW w:type="dxa" w:w="2771"/>
          </w:tcPr>
          <w:p>
            <w:r/>
            <w:r>
              <w:rPr>
                <w:rFonts w:ascii="宋体" w:hAnsi="宋体" w:eastAsia="宋体"/>
                <w:sz w:val="20"/>
              </w:rPr>
              <w:t>应用场景、文化内容</w:t>
            </w:r>
          </w:p>
        </w:tc>
        <w:tc>
          <w:tcPr>
            <w:tcW w:type="dxa" w:w="2771"/>
          </w:tcPr>
          <w:p>
            <w:r/>
            <w:r>
              <w:rPr>
                <w:rFonts w:ascii="宋体" w:hAnsi="宋体" w:eastAsia="宋体"/>
                <w:sz w:val="20"/>
              </w:rPr>
              <w:t>案例调研、需求对接、成果试用</w:t>
            </w:r>
          </w:p>
        </w:tc>
      </w:tr>
      <w:tr>
        <w:tc>
          <w:tcPr>
            <w:tcW w:type="dxa" w:w="2771"/>
          </w:tcPr>
          <w:p>
            <w:r/>
            <w:r>
              <w:rPr>
                <w:rFonts w:ascii="宋体" w:hAnsi="宋体" w:eastAsia="宋体"/>
                <w:sz w:val="20"/>
              </w:rPr>
              <w:t>教育科技公司</w:t>
            </w:r>
          </w:p>
        </w:tc>
        <w:tc>
          <w:tcPr>
            <w:tcW w:type="dxa" w:w="2771"/>
          </w:tcPr>
          <w:p>
            <w:r/>
            <w:r>
              <w:rPr>
                <w:rFonts w:ascii="宋体" w:hAnsi="宋体" w:eastAsia="宋体"/>
                <w:sz w:val="20"/>
              </w:rPr>
              <w:t>教学方法、平台支持</w:t>
            </w:r>
          </w:p>
        </w:tc>
        <w:tc>
          <w:tcPr>
            <w:tcW w:type="dxa" w:w="2771"/>
          </w:tcPr>
          <w:p>
            <w:r/>
            <w:r>
              <w:rPr>
                <w:rFonts w:ascii="宋体" w:hAnsi="宋体" w:eastAsia="宋体"/>
                <w:sz w:val="20"/>
              </w:rPr>
              <w:t>教学工具、在线平台、研究合作</w:t>
            </w:r>
          </w:p>
        </w:tc>
      </w:tr>
      <w:tr>
        <w:tc>
          <w:tcPr>
            <w:tcW w:type="dxa" w:w="2771"/>
          </w:tcPr>
          <w:p>
            <w:r/>
            <w:r>
              <w:rPr>
                <w:rFonts w:ascii="宋体" w:hAnsi="宋体" w:eastAsia="宋体"/>
                <w:sz w:val="20"/>
              </w:rPr>
              <w:t>云计算/CDN厂商</w:t>
            </w:r>
          </w:p>
        </w:tc>
        <w:tc>
          <w:tcPr>
            <w:tcW w:type="dxa" w:w="2771"/>
          </w:tcPr>
          <w:p>
            <w:r/>
            <w:r>
              <w:rPr>
                <w:rFonts w:ascii="宋体" w:hAnsi="宋体" w:eastAsia="宋体"/>
                <w:sz w:val="20"/>
              </w:rPr>
              <w:t>部署资源、技术支持</w:t>
            </w:r>
          </w:p>
        </w:tc>
        <w:tc>
          <w:tcPr>
            <w:tcW w:type="dxa" w:w="2771"/>
          </w:tcPr>
          <w:p>
            <w:r/>
            <w:r>
              <w:rPr>
                <w:rFonts w:ascii="宋体" w:hAnsi="宋体" w:eastAsia="宋体"/>
                <w:sz w:val="20"/>
              </w:rPr>
              <w:t>云服务器、CDN流量、API调用额度</w:t>
            </w:r>
          </w:p>
        </w:tc>
      </w:tr>
    </w:tbl>
    <w:p/>
    <w:p/>
    <w:p>
      <w:pPr>
        <w:ind w:firstLine="482"/>
      </w:pPr>
      <w:r>
        <w:rPr>
          <w:rFonts w:ascii="宋体" w:hAnsi="宋体" w:eastAsia="宋体"/>
          <w:sz w:val="24"/>
        </w:rPr>
        <w:t>产教融合是提升 VR/AR 教育质量和学生就业竞争力的关键策略。建议学校设立专门的产教融合协调岗位，负责企业合作关系的维护和项目管理，确保合作长期稳定运行。</w:t>
      </w:r>
    </w:p>
    <w:p/>
    <w:p>
      <w:r>
        <w:br w:type="page"/>
      </w:r>
    </w:p>
    <w:p>
      <w:pPr>
        <w:pStyle w:val="Heading1"/>
      </w:pPr>
      <w:r>
        <w:t>附录 F：实训项目扩展集</w:t>
      </w:r>
    </w:p>
    <w:p/>
    <w:p>
      <w:pPr>
        <w:ind w:firstLine="482"/>
      </w:pPr>
      <w:r>
        <w:rPr>
          <w:rFonts w:ascii="宋体" w:hAnsi="宋体" w:eastAsia="宋体"/>
          <w:sz w:val="24"/>
        </w:rPr>
        <w:t>本附录在教材三个核心实训项目（VR全景景区漫游、AR文化导览应用、文旅元宇宙场景）之外，提供六个扩展实训项目，供教师根据课程需要选做或学生自主拓展。</w:t>
      </w:r>
    </w:p>
    <w:p/>
    <w:p>
      <w:pPr>
        <w:pStyle w:val="Heading2"/>
      </w:pPr>
      <w:r>
        <w:t>F.1 实训项目四：博物馆 VR 虚拟展厅</w:t>
      </w:r>
    </w:p>
    <w:p/>
    <w:p>
      <w:pPr>
        <w:pStyle w:val="Heading3"/>
      </w:pPr>
      <w:r>
        <w:t>F.1.1 项目概述</w:t>
      </w:r>
    </w:p>
    <w:p/>
    <w:p>
      <w:pPr>
        <w:ind w:firstLine="482"/>
      </w:pPr>
      <w:r>
        <w:rPr>
          <w:rFonts w:ascii="宋体" w:hAnsi="宋体" w:eastAsia="宋体"/>
          <w:sz w:val="24"/>
        </w:rPr>
        <w:t>设计并开发一个博物馆 VR 虚拟展厅，将实体博物馆的展览空间以数字化形式呈现，用户通过 VR 头显或 Web 浏览器参观虚拟展览[1]。</w:t>
      </w:r>
    </w:p>
    <w:p/>
    <w:p>
      <w:pPr>
        <w:ind w:firstLine="482"/>
      </w:pPr>
      <w:r>
        <w:rPr>
          <w:rFonts w:ascii="宋体" w:hAnsi="宋体" w:eastAsia="宋体"/>
          <w:b/>
          <w:sz w:val="24"/>
        </w:rPr>
        <w:t>项目目标</w:t>
      </w:r>
      <w:r>
        <w:rPr>
          <w:rFonts w:ascii="宋体" w:hAnsi="宋体" w:eastAsia="宋体"/>
          <w:sz w:val="24"/>
        </w:rPr>
        <w:t>：（1）使用 Unity 搭建 3D 虚拟展厅空间；（2）集成 3D 文物模型和多媒介讲解；（3）实现展厅漫游、文物交互和信息查看功能；（4）支持 WebVR 在线访问。</w:t>
      </w:r>
    </w:p>
    <w:p/>
    <w:p>
      <w:pPr>
        <w:ind w:firstLine="482"/>
      </w:pPr>
      <w:r>
        <w:rPr>
          <w:rFonts w:ascii="宋体" w:hAnsi="宋体" w:eastAsia="宋体"/>
          <w:b/>
          <w:sz w:val="24"/>
        </w:rPr>
        <w:t>技术方案</w:t>
      </w:r>
      <w:r>
        <w:rPr>
          <w:rFonts w:ascii="宋体" w:hAnsi="宋体" w:eastAsia="宋体"/>
          <w:sz w:val="24"/>
        </w:rPr>
        <w:t>：Unity + WebGL 导出 + Three.js 备选方案。3D 文物模型使用摄影测量或手工建模。语音讲解使用 TTS 预生成。</w:t>
      </w:r>
    </w:p>
    <w:p/>
    <w:p>
      <w:pPr>
        <w:ind w:firstLine="482"/>
      </w:pPr>
      <w:r>
        <w:rPr>
          <w:rFonts w:ascii="宋体" w:hAnsi="宋体" w:eastAsia="宋体"/>
          <w:b/>
          <w:sz w:val="24"/>
        </w:rPr>
        <w:t>学时建议</w:t>
      </w:r>
      <w:r>
        <w:rPr>
          <w:rFonts w:ascii="宋体" w:hAnsi="宋体" w:eastAsia="宋体"/>
          <w:sz w:val="24"/>
        </w:rPr>
        <w:t>：12-16学时</w:t>
      </w:r>
    </w:p>
    <w:p/>
    <w:p>
      <w:pPr>
        <w:pStyle w:val="Heading3"/>
      </w:pPr>
      <w:r>
        <w:t>F.1.2 实训内容</w:t>
      </w:r>
    </w:p>
    <w:p/>
    <w:p>
      <w:pPr>
        <w:pStyle w:val="ListNumber"/>
      </w:pPr>
      <w:r>
        <w:rPr>
          <w:rFonts w:ascii="宋体" w:hAnsi="宋体" w:eastAsia="宋体"/>
          <w:sz w:val="24"/>
        </w:rPr>
        <w:t>展厅空间设计：使用 Unity ProBuilder 或 Blender 设计展厅建筑空间（墙壁、地板、天花板、灯光）</w:t>
      </w:r>
    </w:p>
    <w:p>
      <w:pPr>
        <w:pStyle w:val="ListNumber"/>
      </w:pPr>
      <w:r>
        <w:rPr>
          <w:rFonts w:ascii="宋体" w:hAnsi="宋体" w:eastAsia="宋体"/>
          <w:sz w:val="24"/>
        </w:rPr>
        <w:t>文物布展：将 3D 文物模型按展览逻辑布置在展厅中，设置展柜和灯光</w:t>
      </w:r>
    </w:p>
    <w:p>
      <w:pPr>
        <w:pStyle w:val="ListNumber"/>
      </w:pPr>
      <w:r>
        <w:rPr>
          <w:rFonts w:ascii="宋体" w:hAnsi="宋体" w:eastAsia="宋体"/>
          <w:sz w:val="24"/>
        </w:rPr>
        <w:t>交互功能：文物旋转查看、放大细节、信息面板弹出、语音讲解播放</w:t>
      </w:r>
    </w:p>
    <w:p>
      <w:pPr>
        <w:pStyle w:val="ListNumber"/>
      </w:pPr>
      <w:r>
        <w:rPr>
          <w:rFonts w:ascii="宋体" w:hAnsi="宋体" w:eastAsia="宋体"/>
          <w:sz w:val="24"/>
        </w:rPr>
        <w:t>导览功能：自动导览路线、自由漫游模式、导航地图</w:t>
      </w:r>
    </w:p>
    <w:p>
      <w:pPr>
        <w:pStyle w:val="ListNumber"/>
      </w:pPr>
      <w:r>
        <w:rPr>
          <w:rFonts w:ascii="宋体" w:hAnsi="宋体" w:eastAsia="宋体"/>
          <w:sz w:val="24"/>
        </w:rPr>
        <w:t>Web发布：导出 WebGL 版本部署到服务器</w:t>
      </w:r>
    </w:p>
    <w:p/>
    <w:p>
      <w:pPr>
        <w:pStyle w:val="Heading3"/>
      </w:pPr>
      <w:r>
        <w:t>F.1.3 评估标准</w:t>
      </w:r>
    </w:p>
    <w:p/>
    <w:p>
      <w:pPr>
        <w:ind w:firstLine="482"/>
      </w:pPr>
      <w:r>
        <w:rPr>
          <w:rFonts w:ascii="宋体" w:hAnsi="宋体" w:eastAsia="宋体"/>
          <w:sz w:val="24"/>
        </w:rPr>
        <w:t>展厅空间设计合理性（30%）、文物展示效果（25%）、交互功能完整性（25%）、Web发布可用性（20%）</w:t>
      </w:r>
    </w:p>
    <w:p/>
    <w:p>
      <w:pPr>
        <w:pStyle w:val="Heading2"/>
      </w:pPr>
      <w:r>
        <w:t>F.2 实训项目五：古建筑 VR 复原</w:t>
      </w:r>
    </w:p>
    <w:p/>
    <w:p>
      <w:pPr>
        <w:pStyle w:val="Heading3"/>
      </w:pPr>
      <w:r>
        <w:t>F.2.1 项目概述</w:t>
      </w:r>
    </w:p>
    <w:p/>
    <w:p>
      <w:pPr>
        <w:ind w:firstLine="482"/>
      </w:pPr>
      <w:r>
        <w:rPr>
          <w:rFonts w:ascii="宋体" w:hAnsi="宋体" w:eastAsia="宋体"/>
          <w:sz w:val="24"/>
        </w:rPr>
        <w:t>选择一座已损毁或部分损毁的古建筑，基于历史资料在 VR 中进行虚拟复原，让用户在 VR 中参观复原后的建筑原貌[2]。</w:t>
      </w:r>
    </w:p>
    <w:p/>
    <w:p>
      <w:pPr>
        <w:ind w:firstLine="482"/>
      </w:pPr>
      <w:r>
        <w:rPr>
          <w:rFonts w:ascii="宋体" w:hAnsi="宋体" w:eastAsia="宋体"/>
          <w:b/>
          <w:sz w:val="24"/>
        </w:rPr>
        <w:t>项目目标</w:t>
      </w:r>
      <w:r>
        <w:rPr>
          <w:rFonts w:ascii="宋体" w:hAnsi="宋体" w:eastAsia="宋体"/>
          <w:sz w:val="24"/>
        </w:rPr>
        <w:t>：（1）收集古建筑的历史资料（图纸、照片、文献）；（2）使用 Blender 进行 3D 建模复原；（3）在 Unity 中搭建 VR 场景；（4）添加历史信息展示和交互功能。</w:t>
      </w:r>
    </w:p>
    <w:p/>
    <w:p>
      <w:pPr>
        <w:ind w:firstLine="482"/>
      </w:pPr>
      <w:r>
        <w:rPr>
          <w:rFonts w:ascii="宋体" w:hAnsi="宋体" w:eastAsia="宋体"/>
          <w:b/>
          <w:sz w:val="24"/>
        </w:rPr>
        <w:t>技术方案</w:t>
      </w:r>
      <w:r>
        <w:rPr>
          <w:rFonts w:ascii="宋体" w:hAnsi="宋体" w:eastAsia="宋体"/>
          <w:sz w:val="24"/>
        </w:rPr>
        <w:t>：Blender建模 + Unity VR + 信息热点交互</w:t>
      </w:r>
    </w:p>
    <w:p/>
    <w:p>
      <w:pPr>
        <w:ind w:firstLine="482"/>
      </w:pPr>
      <w:r>
        <w:rPr>
          <w:rFonts w:ascii="宋体" w:hAnsi="宋体" w:eastAsia="宋体"/>
          <w:b/>
          <w:sz w:val="24"/>
        </w:rPr>
        <w:t>学时建议</w:t>
      </w:r>
      <w:r>
        <w:rPr>
          <w:rFonts w:ascii="宋体" w:hAnsi="宋体" w:eastAsia="宋体"/>
          <w:sz w:val="24"/>
        </w:rPr>
        <w:t>：16-20学时</w:t>
      </w:r>
    </w:p>
    <w:p/>
    <w:p>
      <w:pPr>
        <w:pStyle w:val="Heading3"/>
      </w:pPr>
      <w:r>
        <w:t>F.2.2 推荐选题</w:t>
      </w:r>
    </w:p>
    <w:p/>
    <w:p>
      <w:pPr>
        <w:pStyle w:val="ListBullet"/>
      </w:pPr>
      <w:r>
        <w:rPr>
          <w:rFonts w:ascii="宋体" w:hAnsi="宋体" w:eastAsia="宋体"/>
          <w:sz w:val="24"/>
        </w:rPr>
        <w:t>贵州海龙屯土司遗址（世界文化遗产，部分损毁）</w:t>
      </w:r>
    </w:p>
    <w:p>
      <w:pPr>
        <w:pStyle w:val="ListBullet"/>
      </w:pPr>
      <w:r>
        <w:rPr>
          <w:rFonts w:ascii="宋体" w:hAnsi="宋体" w:eastAsia="宋体"/>
          <w:sz w:val="24"/>
        </w:rPr>
        <w:t>圆明园数字复原（已有多方探索，可作为参考）</w:t>
      </w:r>
    </w:p>
    <w:p>
      <w:pPr>
        <w:pStyle w:val="ListBullet"/>
      </w:pPr>
      <w:r>
        <w:rPr>
          <w:rFonts w:ascii="宋体" w:hAnsi="宋体" w:eastAsia="宋体"/>
          <w:sz w:val="24"/>
        </w:rPr>
        <w:t>安顺屯堡已损毁建筑复原</w:t>
      </w:r>
    </w:p>
    <w:p>
      <w:pPr>
        <w:pStyle w:val="ListBullet"/>
      </w:pPr>
      <w:r>
        <w:rPr>
          <w:rFonts w:ascii="宋体" w:hAnsi="宋体" w:eastAsia="宋体"/>
          <w:sz w:val="24"/>
        </w:rPr>
        <w:t>贵州侗族鼓楼传统结构展示</w:t>
      </w:r>
    </w:p>
    <w:p/>
    <w:p>
      <w:pPr>
        <w:pStyle w:val="Heading3"/>
      </w:pPr>
      <w:r>
        <w:t>F.2.3 实训内容</w:t>
      </w:r>
    </w:p>
    <w:p/>
    <w:p>
      <w:pPr>
        <w:pStyle w:val="ListNumber"/>
      </w:pPr>
      <w:r>
        <w:rPr>
          <w:rFonts w:ascii="宋体" w:hAnsi="宋体" w:eastAsia="宋体"/>
          <w:sz w:val="24"/>
        </w:rPr>
        <w:t>历史资料收集与分析：收集建筑的历史图纸、老照片、文献描述</w:t>
      </w:r>
    </w:p>
    <w:p>
      <w:pPr>
        <w:pStyle w:val="ListNumber"/>
      </w:pPr>
      <w:r>
        <w:rPr>
          <w:rFonts w:ascii="宋体" w:hAnsi="宋体" w:eastAsia="宋体"/>
          <w:sz w:val="24"/>
        </w:rPr>
        <w:t>3D建模复原：在 Blender 中根据资料进行建筑复原建模</w:t>
      </w:r>
    </w:p>
    <w:p>
      <w:pPr>
        <w:pStyle w:val="ListNumber"/>
      </w:pPr>
      <w:r>
        <w:rPr>
          <w:rFonts w:ascii="宋体" w:hAnsi="宋体" w:eastAsia="宋体"/>
          <w:sz w:val="24"/>
        </w:rPr>
        <w:t>UV展开与纹理：制作符合历史时代的材质纹理（木纹、砖瓦、彩绘等）</w:t>
      </w:r>
    </w:p>
    <w:p>
      <w:pPr>
        <w:pStyle w:val="ListNumber"/>
      </w:pPr>
      <w:r>
        <w:rPr>
          <w:rFonts w:ascii="宋体" w:hAnsi="宋体" w:eastAsia="宋体"/>
          <w:sz w:val="24"/>
        </w:rPr>
        <w:t>VR场景搭建：在 Unity 中配置VR环境、灯光、天空盒</w:t>
      </w:r>
    </w:p>
    <w:p>
      <w:pPr>
        <w:pStyle w:val="ListNumber"/>
      </w:pPr>
      <w:r>
        <w:rPr>
          <w:rFonts w:ascii="宋体" w:hAnsi="宋体" w:eastAsia="宋体"/>
          <w:sz w:val="24"/>
        </w:rPr>
        <w:t>信息展示：添加建筑历史、结构特点、文化背景等信息热点</w:t>
      </w:r>
    </w:p>
    <w:p>
      <w:pPr>
        <w:pStyle w:val="ListNumber"/>
      </w:pPr>
      <w:r>
        <w:rPr>
          <w:rFonts w:ascii="宋体" w:hAnsi="宋体" w:eastAsia="宋体"/>
          <w:sz w:val="24"/>
        </w:rPr>
        <w:t>交互功能：建筑剖面展示（可切换显示内部结构）、时代对比（古今对比视图）</w:t>
      </w:r>
    </w:p>
    <w:p/>
    <w:p>
      <w:pPr>
        <w:pStyle w:val="Heading2"/>
      </w:pPr>
      <w:r>
        <w:t>F.3 实训项目六：多人 VR 协作教学场景</w:t>
      </w:r>
    </w:p>
    <w:p/>
    <w:p>
      <w:pPr>
        <w:pStyle w:val="Heading3"/>
      </w:pPr>
      <w:r>
        <w:t>F.3.1 项目概述</w:t>
      </w:r>
    </w:p>
    <w:p/>
    <w:p>
      <w:pPr>
        <w:ind w:firstLine="482"/>
      </w:pPr>
      <w:r>
        <w:rPr>
          <w:rFonts w:ascii="宋体" w:hAnsi="宋体" w:eastAsia="宋体"/>
          <w:sz w:val="24"/>
        </w:rPr>
        <w:t>开发一个多人 VR 协作教学场景，支持教师和多名学生在 VR 中进行互动式教学[3]。</w:t>
      </w:r>
    </w:p>
    <w:p/>
    <w:p>
      <w:pPr>
        <w:ind w:firstLine="482"/>
      </w:pPr>
      <w:r>
        <w:rPr>
          <w:rFonts w:ascii="宋体" w:hAnsi="宋体" w:eastAsia="宋体"/>
          <w:b/>
          <w:sz w:val="24"/>
        </w:rPr>
        <w:t>项目目标</w:t>
      </w:r>
      <w:r>
        <w:rPr>
          <w:rFonts w:ascii="宋体" w:hAnsi="宋体" w:eastAsia="宋体"/>
          <w:sz w:val="24"/>
        </w:rPr>
        <w:t>：（1）使用 Photon Fusion 实现多人 VR 同步；（2）设计 VR 教学工具（白板、3D模型展示、演示工具）；（3）实现语音通话和手势交互；（4）支持教师控制和学生举手等课堂管理功能。</w:t>
      </w:r>
    </w:p>
    <w:p/>
    <w:p>
      <w:pPr>
        <w:ind w:firstLine="482"/>
      </w:pPr>
      <w:r>
        <w:rPr>
          <w:rFonts w:ascii="宋体" w:hAnsi="宋体" w:eastAsia="宋体"/>
          <w:b/>
          <w:sz w:val="24"/>
        </w:rPr>
        <w:t>技术方案</w:t>
      </w:r>
      <w:r>
        <w:rPr>
          <w:rFonts w:ascii="宋体" w:hAnsi="宋体" w:eastAsia="宋体"/>
          <w:sz w:val="24"/>
        </w:rPr>
        <w:t>：Unity + Photon Fusion + Meta Quest + XR Interaction Toolkit</w:t>
      </w:r>
    </w:p>
    <w:p/>
    <w:p>
      <w:pPr>
        <w:ind w:firstLine="482"/>
      </w:pPr>
      <w:r>
        <w:rPr>
          <w:rFonts w:ascii="宋体" w:hAnsi="宋体" w:eastAsia="宋体"/>
          <w:b/>
          <w:sz w:val="24"/>
        </w:rPr>
        <w:t>学时建议</w:t>
      </w:r>
      <w:r>
        <w:rPr>
          <w:rFonts w:ascii="宋体" w:hAnsi="宋体" w:eastAsia="宋体"/>
          <w:sz w:val="24"/>
        </w:rPr>
        <w:t>：16-20学时</w:t>
      </w:r>
    </w:p>
    <w:p/>
    <w:p>
      <w:pPr>
        <w:pStyle w:val="Heading3"/>
      </w:pPr>
      <w:r>
        <w:t>F.3.2 实训内容</w:t>
      </w:r>
    </w:p>
    <w:p/>
    <w:p>
      <w:pPr>
        <w:pStyle w:val="ListNumber"/>
      </w:pPr>
      <w:r>
        <w:rPr>
          <w:rFonts w:ascii="宋体" w:hAnsi="宋体" w:eastAsia="宋体"/>
          <w:sz w:val="24"/>
        </w:rPr>
        <w:t>多人网络架构：Photon Fusion 服务器配置、玩家同步、状态管理</w:t>
      </w:r>
    </w:p>
    <w:p>
      <w:pPr>
        <w:pStyle w:val="ListNumber"/>
      </w:pPr>
      <w:r>
        <w:rPr>
          <w:rFonts w:ascii="宋体" w:hAnsi="宋体" w:eastAsia="宋体"/>
          <w:sz w:val="24"/>
        </w:rPr>
        <w:t>虚拟教室环境：3D教室空间、座位布局、白板/投影屏</w:t>
      </w:r>
    </w:p>
    <w:p>
      <w:pPr>
        <w:pStyle w:val="ListNumber"/>
      </w:pPr>
      <w:r>
        <w:rPr>
          <w:rFonts w:ascii="宋体" w:hAnsi="宋体" w:eastAsia="宋体"/>
          <w:sz w:val="24"/>
        </w:rPr>
        <w:t>教学工具：VR白板（手柄书写）、3D模型展示台、PPT演示模式</w:t>
      </w:r>
    </w:p>
    <w:p>
      <w:pPr>
        <w:pStyle w:val="ListNumber"/>
      </w:pPr>
      <w:r>
        <w:rPr>
          <w:rFonts w:ascii="宋体" w:hAnsi="宋体" w:eastAsia="宋体"/>
          <w:sz w:val="24"/>
        </w:rPr>
        <w:t>社交功能：语音通话、虚拟化身、手势表情、举手提问</w:t>
      </w:r>
    </w:p>
    <w:p>
      <w:pPr>
        <w:pStyle w:val="ListNumber"/>
      </w:pPr>
      <w:r>
        <w:rPr>
          <w:rFonts w:ascii="宋体" w:hAnsi="宋体" w:eastAsia="宋体"/>
          <w:sz w:val="24"/>
        </w:rPr>
        <w:t>课堂管理：教师权限控制、学生视图切换、课堂录制</w:t>
      </w:r>
    </w:p>
    <w:p/>
    <w:p>
      <w:pPr>
        <w:pStyle w:val="Heading2"/>
      </w:pPr>
      <w:r>
        <w:t>F.4 实训项目七：AR 景观识别与解说应用</w:t>
      </w:r>
    </w:p>
    <w:p/>
    <w:p>
      <w:pPr>
        <w:pStyle w:val="Heading3"/>
      </w:pPr>
      <w:r>
        <w:t>F.4.1 项目概述</w:t>
      </w:r>
    </w:p>
    <w:p/>
    <w:p>
      <w:pPr>
        <w:ind w:firstLine="482"/>
      </w:pPr>
      <w:r>
        <w:rPr>
          <w:rFonts w:ascii="宋体" w:hAnsi="宋体" w:eastAsia="宋体"/>
          <w:sz w:val="24"/>
        </w:rPr>
        <w:t>开发一个基于 AR 图像识别的景观解说应用，用户通过手机摄像头对准自然景观（如岩石、植物、地貌），AR 自动识别并显示相关的科普信息[4]。</w:t>
      </w:r>
    </w:p>
    <w:p/>
    <w:p>
      <w:pPr>
        <w:ind w:firstLine="482"/>
      </w:pPr>
      <w:r>
        <w:rPr>
          <w:rFonts w:ascii="宋体" w:hAnsi="宋体" w:eastAsia="宋体"/>
          <w:b/>
          <w:sz w:val="24"/>
        </w:rPr>
        <w:t>项目目标</w:t>
      </w:r>
      <w:r>
        <w:rPr>
          <w:rFonts w:ascii="宋体" w:hAnsi="宋体" w:eastAsia="宋体"/>
          <w:sz w:val="24"/>
        </w:rPr>
        <w:t>：（1）使用 AR Foundation 的图像追踪和环境理解功能；（2）集成 AI 图像识别模型进行景观分类；（3）设计 AR 信息展示界面；（4）实现离线识别和多语言支持。</w:t>
      </w:r>
    </w:p>
    <w:p/>
    <w:p>
      <w:pPr>
        <w:ind w:firstLine="482"/>
      </w:pPr>
      <w:r>
        <w:rPr>
          <w:rFonts w:ascii="宋体" w:hAnsi="宋体" w:eastAsia="宋体"/>
          <w:b/>
          <w:sz w:val="24"/>
        </w:rPr>
        <w:t>技术方案</w:t>
      </w:r>
      <w:r>
        <w:rPr>
          <w:rFonts w:ascii="宋体" w:hAnsi="宋体" w:eastAsia="宋体"/>
          <w:sz w:val="24"/>
        </w:rPr>
        <w:t>：Unity + AR Foundation + TensorFlow Lite（移动端AI推理）</w:t>
      </w:r>
    </w:p>
    <w:p/>
    <w:p>
      <w:pPr>
        <w:ind w:firstLine="482"/>
      </w:pPr>
      <w:r>
        <w:rPr>
          <w:rFonts w:ascii="宋体" w:hAnsi="宋体" w:eastAsia="宋体"/>
          <w:b/>
          <w:sz w:val="24"/>
        </w:rPr>
        <w:t>学时建议</w:t>
      </w:r>
      <w:r>
        <w:rPr>
          <w:rFonts w:ascii="宋体" w:hAnsi="宋体" w:eastAsia="宋体"/>
          <w:sz w:val="24"/>
        </w:rPr>
        <w:t>：12-16学时</w:t>
      </w:r>
    </w:p>
    <w:p/>
    <w:p>
      <w:pPr>
        <w:pStyle w:val="Heading3"/>
      </w:pPr>
      <w:r>
        <w:t>F.4.2 实训内容</w:t>
      </w:r>
    </w:p>
    <w:p/>
    <w:p>
      <w:pPr>
        <w:pStyle w:val="ListNumber"/>
      </w:pPr>
      <w:r>
        <w:rPr>
          <w:rFonts w:ascii="宋体" w:hAnsi="宋体" w:eastAsia="宋体"/>
          <w:sz w:val="24"/>
        </w:rPr>
        <w:t>景观数据集制作：采集贵州特色景观（喀斯特地貌、苗族建筑、特色植物）的图像数据</w:t>
      </w:r>
    </w:p>
    <w:p>
      <w:pPr>
        <w:pStyle w:val="ListNumber"/>
      </w:pPr>
      <w:r>
        <w:rPr>
          <w:rFonts w:ascii="宋体" w:hAnsi="宋体" w:eastAsia="宋体"/>
          <w:sz w:val="24"/>
        </w:rPr>
        <w:t>AI模型训练：使用 TensorFlow 训练图像分类模型，导出为 TFLite 格式</w:t>
      </w:r>
    </w:p>
    <w:p>
      <w:pPr>
        <w:pStyle w:val="ListNumber"/>
      </w:pPr>
      <w:r>
        <w:rPr>
          <w:rFonts w:ascii="宋体" w:hAnsi="宋体" w:eastAsia="宋体"/>
          <w:sz w:val="24"/>
        </w:rPr>
        <w:t>AR场景开发：AR Foundation 图像追踪 + AI识别结果触发 AR 内容</w:t>
      </w:r>
    </w:p>
    <w:p>
      <w:pPr>
        <w:pStyle w:val="ListNumber"/>
      </w:pPr>
      <w:r>
        <w:rPr>
          <w:rFonts w:ascii="宋体" w:hAnsi="宋体" w:eastAsia="宋体"/>
          <w:sz w:val="24"/>
        </w:rPr>
        <w:t>信息展示：AR 标签、3D模型叠加、语音解说</w:t>
      </w:r>
    </w:p>
    <w:p>
      <w:pPr>
        <w:pStyle w:val="ListNumber"/>
      </w:pPr>
      <w:r>
        <w:rPr>
          <w:rFonts w:ascii="宋体" w:hAnsi="宋体" w:eastAsia="宋体"/>
          <w:sz w:val="24"/>
        </w:rPr>
        <w:t>离线优化：模型量化压缩、资源本地存储、缓存策略</w:t>
      </w:r>
    </w:p>
    <w:p/>
    <w:p>
      <w:pPr>
        <w:pStyle w:val="Heading2"/>
      </w:pPr>
      <w:r>
        <w:t>F.5 实训项目八：VR 安全教育演练</w:t>
      </w:r>
    </w:p>
    <w:p/>
    <w:p>
      <w:pPr>
        <w:pStyle w:val="Heading3"/>
      </w:pPr>
      <w:r>
        <w:t>F.5.1 项目概述</w:t>
      </w:r>
    </w:p>
    <w:p/>
    <w:p>
      <w:pPr>
        <w:ind w:firstLine="482"/>
      </w:pPr>
      <w:r>
        <w:rPr>
          <w:rFonts w:ascii="宋体" w:hAnsi="宋体" w:eastAsia="宋体"/>
          <w:sz w:val="24"/>
        </w:rPr>
        <w:t>开发一个 VR 安全教育演练应用，模拟旅游场景中的紧急情况（如火灾、地震、踩踏），让用户在 VR 中学习正确的应急处理方法[5]。</w:t>
      </w:r>
    </w:p>
    <w:p/>
    <w:p>
      <w:pPr>
        <w:ind w:firstLine="482"/>
      </w:pPr>
      <w:r>
        <w:rPr>
          <w:rFonts w:ascii="宋体" w:hAnsi="宋体" w:eastAsia="宋体"/>
          <w:b/>
          <w:sz w:val="24"/>
        </w:rPr>
        <w:t>项目目标</w:t>
      </w:r>
      <w:r>
        <w:rPr>
          <w:rFonts w:ascii="宋体" w:hAnsi="宋体" w:eastAsia="宋体"/>
          <w:sz w:val="24"/>
        </w:rPr>
        <w:t>：（1）使用 Unity 创建 VR 安全演练场景；（2）实现多种紧急情况的模拟；（3）设计交互式应急决策训练；（4）评估用户的应急反应并给出反馈。</w:t>
      </w:r>
    </w:p>
    <w:p/>
    <w:p>
      <w:pPr>
        <w:ind w:firstLine="482"/>
      </w:pPr>
      <w:r>
        <w:rPr>
          <w:rFonts w:ascii="宋体" w:hAnsi="宋体" w:eastAsia="宋体"/>
          <w:b/>
          <w:sz w:val="24"/>
        </w:rPr>
        <w:t>技术方案</w:t>
      </w:r>
      <w:r>
        <w:rPr>
          <w:rFonts w:ascii="宋体" w:hAnsi="宋体" w:eastAsia="宋体"/>
          <w:sz w:val="24"/>
        </w:rPr>
        <w:t>：Unity VR + 粒子系统（火灾/烟雾）+ 物理引擎 + 评估系统</w:t>
      </w:r>
    </w:p>
    <w:p/>
    <w:p>
      <w:pPr>
        <w:ind w:firstLine="482"/>
      </w:pPr>
      <w:r>
        <w:rPr>
          <w:rFonts w:ascii="宋体" w:hAnsi="宋体" w:eastAsia="宋体"/>
          <w:b/>
          <w:sz w:val="24"/>
        </w:rPr>
        <w:t>学时建议</w:t>
      </w:r>
      <w:r>
        <w:rPr>
          <w:rFonts w:ascii="宋体" w:hAnsi="宋体" w:eastAsia="宋体"/>
          <w:sz w:val="24"/>
        </w:rPr>
        <w:t>：12-16学时</w:t>
      </w:r>
    </w:p>
    <w:p/>
    <w:p>
      <w:pPr>
        <w:pStyle w:val="Heading3"/>
      </w:pPr>
      <w:r>
        <w:t>F.5.3 实训内容</w:t>
      </w:r>
    </w:p>
    <w:p/>
    <w:p>
      <w:pPr>
        <w:pStyle w:val="ListNumber"/>
      </w:pPr>
      <w:r>
        <w:rPr>
          <w:rFonts w:ascii="宋体" w:hAnsi="宋体" w:eastAsia="宋体"/>
          <w:sz w:val="24"/>
        </w:rPr>
        <w:t>场景设计：景区场景建模（酒店、景区入口、缆车等）</w:t>
      </w:r>
    </w:p>
    <w:p>
      <w:pPr>
        <w:pStyle w:val="ListNumber"/>
      </w:pPr>
      <w:r>
        <w:rPr>
          <w:rFonts w:ascii="宋体" w:hAnsi="宋体" w:eastAsia="宋体"/>
          <w:sz w:val="24"/>
        </w:rPr>
        <w:t>紧急情况模拟：火灾（粒子系统+热辐射视觉效果）、地震（场景摇晃+物品掉落）、踩踏（人群动画+路径堵塞）</w:t>
      </w:r>
    </w:p>
    <w:p>
      <w:pPr>
        <w:pStyle w:val="ListNumber"/>
      </w:pPr>
      <w:r>
        <w:rPr>
          <w:rFonts w:ascii="宋体" w:hAnsi="宋体" w:eastAsia="宋体"/>
          <w:sz w:val="24"/>
        </w:rPr>
        <w:t>应急决策训练：用户选择逃生路线、使用灭火器、帮助他人等交互</w:t>
      </w:r>
    </w:p>
    <w:p>
      <w:pPr>
        <w:pStyle w:val="ListNumber"/>
      </w:pPr>
      <w:r>
        <w:rPr>
          <w:rFonts w:ascii="宋体" w:hAnsi="宋体" w:eastAsia="宋体"/>
          <w:sz w:val="24"/>
        </w:rPr>
        <w:t>评估系统：决策正确性评分、反应时间记录、错误分析报告</w:t>
      </w:r>
    </w:p>
    <w:p>
      <w:pPr>
        <w:pStyle w:val="ListNumber"/>
      </w:pPr>
      <w:r>
        <w:rPr>
          <w:rFonts w:ascii="宋体" w:hAnsi="宋体" w:eastAsia="宋体"/>
          <w:sz w:val="24"/>
        </w:rPr>
        <w:t>教学反馈：正确做法对比、知识点强化、重复训练建议</w:t>
      </w:r>
    </w:p>
    <w:p/>
    <w:p>
      <w:pPr>
        <w:pStyle w:val="Heading2"/>
      </w:pPr>
      <w:r>
        <w:t>F.6 实训项目九：沉浸式数字艺术展览</w:t>
      </w:r>
    </w:p>
    <w:p/>
    <w:p>
      <w:pPr>
        <w:pStyle w:val="Heading3"/>
      </w:pPr>
      <w:r>
        <w:t>F.6.1 项目概述</w:t>
      </w:r>
    </w:p>
    <w:p/>
    <w:p>
      <w:pPr>
        <w:ind w:firstLine="482"/>
      </w:pPr>
      <w:r>
        <w:rPr>
          <w:rFonts w:ascii="宋体" w:hAnsi="宋体" w:eastAsia="宋体"/>
          <w:sz w:val="24"/>
        </w:rPr>
        <w:t>设计并开发一个沉浸式数字艺术展览，将传统艺术作品（绘画、书法、摄影）以沉浸式数字形式重新呈现，创造"走进画中"的体验[6]。</w:t>
      </w:r>
    </w:p>
    <w:p/>
    <w:p>
      <w:pPr>
        <w:ind w:firstLine="482"/>
      </w:pPr>
      <w:r>
        <w:rPr>
          <w:rFonts w:ascii="宋体" w:hAnsi="宋体" w:eastAsia="宋体"/>
          <w:b/>
          <w:sz w:val="24"/>
        </w:rPr>
        <w:t>项目目标</w:t>
      </w:r>
      <w:r>
        <w:rPr>
          <w:rFonts w:ascii="宋体" w:hAnsi="宋体" w:eastAsia="宋体"/>
          <w:sz w:val="24"/>
        </w:rPr>
        <w:t>：（1）将 2D 艺术作品转化为 3D 沉浸式场景；（2）使用动画、粒子效果和空间音频增强艺术表现力；（3）实现观众与艺术作品的互动；（4）支持 VR 和大屏投影两种展示模式。</w:t>
      </w:r>
    </w:p>
    <w:p/>
    <w:p>
      <w:pPr>
        <w:ind w:firstLine="482"/>
      </w:pPr>
      <w:r>
        <w:rPr>
          <w:rFonts w:ascii="宋体" w:hAnsi="宋体" w:eastAsia="宋体"/>
          <w:b/>
          <w:sz w:val="24"/>
        </w:rPr>
        <w:t>技术方案</w:t>
      </w:r>
      <w:r>
        <w:rPr>
          <w:rFonts w:ascii="宋体" w:hAnsi="宋体" w:eastAsia="宋体"/>
          <w:sz w:val="24"/>
        </w:rPr>
        <w:t>：Unity + 着色器（Shader Graph）+ 粒子系统 + 空间音频</w:t>
      </w:r>
    </w:p>
    <w:p/>
    <w:p>
      <w:pPr>
        <w:ind w:firstLine="482"/>
      </w:pPr>
      <w:r>
        <w:rPr>
          <w:rFonts w:ascii="宋体" w:hAnsi="宋体" w:eastAsia="宋体"/>
          <w:b/>
          <w:sz w:val="24"/>
        </w:rPr>
        <w:t>学时建议</w:t>
      </w:r>
      <w:r>
        <w:rPr>
          <w:rFonts w:ascii="宋体" w:hAnsi="宋体" w:eastAsia="宋体"/>
          <w:sz w:val="24"/>
        </w:rPr>
        <w:t>：12-16学时</w:t>
      </w:r>
    </w:p>
    <w:p/>
    <w:p>
      <w:pPr>
        <w:pStyle w:val="Heading3"/>
      </w:pPr>
      <w:r>
        <w:t>F.6.2 实训内容</w:t>
      </w:r>
    </w:p>
    <w:p/>
    <w:p>
      <w:pPr>
        <w:pStyle w:val="ListNumber"/>
      </w:pPr>
      <w:r>
        <w:rPr>
          <w:rFonts w:ascii="宋体" w:hAnsi="宋体" w:eastAsia="宋体"/>
          <w:sz w:val="24"/>
        </w:rPr>
        <w:t>艺术作品选择与授权：选择适合数字化的艺术作品（建议选择贵州民族艺术或中国山水画）</w:t>
      </w:r>
    </w:p>
    <w:p>
      <w:pPr>
        <w:pStyle w:val="ListNumber"/>
      </w:pPr>
      <w:r>
        <w:rPr>
          <w:rFonts w:ascii="宋体" w:hAnsi="宋体" w:eastAsia="宋体"/>
          <w:sz w:val="24"/>
        </w:rPr>
        <w:t>2D到3D转化：将平面作品中的元素分层，在 3D 空间中重建深度和层次</w:t>
      </w:r>
    </w:p>
    <w:p>
      <w:pPr>
        <w:pStyle w:val="ListNumber"/>
      </w:pPr>
      <w:r>
        <w:rPr>
          <w:rFonts w:ascii="宋体" w:hAnsi="宋体" w:eastAsia="宋体"/>
          <w:sz w:val="24"/>
        </w:rPr>
        <w:t>动画与特效：为画面元素添加动态效果（流水、云雾、花鸟动画）</w:t>
      </w:r>
    </w:p>
    <w:p>
      <w:pPr>
        <w:pStyle w:val="ListNumber"/>
      </w:pPr>
      <w:r>
        <w:rPr>
          <w:rFonts w:ascii="宋体" w:hAnsi="宋体" w:eastAsia="宋体"/>
          <w:sz w:val="24"/>
        </w:rPr>
        <w:t>互动设计：用户触碰画面元素触发变化（如触碰花朵使其绽放）</w:t>
      </w:r>
    </w:p>
    <w:p>
      <w:pPr>
        <w:pStyle w:val="ListNumber"/>
      </w:pPr>
      <w:r>
        <w:rPr>
          <w:rFonts w:ascii="宋体" w:hAnsi="宋体" w:eastAsia="宋体"/>
          <w:sz w:val="24"/>
        </w:rPr>
        <w:t>音景设计：配合画面氛围创作空间音频环境</w:t>
      </w:r>
    </w:p>
    <w:p>
      <w:pPr>
        <w:pStyle w:val="ListNumber"/>
      </w:pPr>
      <w:r>
        <w:rPr>
          <w:rFonts w:ascii="宋体" w:hAnsi="宋体" w:eastAsia="宋体"/>
          <w:sz w:val="24"/>
        </w:rPr>
        <w:t>展示模式：VR沉浸模式和沉浸式投影模式（多屏拼接）</w:t>
      </w:r>
    </w:p>
    <w:p/>
    <w:p>
      <w:pPr>
        <w:pStyle w:val="Heading2"/>
      </w:pPr>
      <w:r>
        <w:t>F.7 实训项目选做建议</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项目编号</w:t>
            </w:r>
          </w:p>
        </w:tc>
        <w:tc>
          <w:tcPr>
            <w:tcW w:type="dxa" w:w="1385"/>
            <w:shd w:fill="D9E2F3" w:val="clear"/>
          </w:tcPr>
          <w:p>
            <w:pPr>
              <w:jc w:val="center"/>
            </w:pPr>
            <w:r/>
            <w:r>
              <w:rPr>
                <w:rFonts w:ascii="黑体" w:hAnsi="黑体" w:eastAsia="黑体"/>
                <w:b/>
                <w:sz w:val="20"/>
              </w:rPr>
              <w:t>项目名称</w:t>
            </w:r>
          </w:p>
        </w:tc>
        <w:tc>
          <w:tcPr>
            <w:tcW w:type="dxa" w:w="1385"/>
            <w:shd w:fill="D9E2F3" w:val="clear"/>
          </w:tcPr>
          <w:p>
            <w:pPr>
              <w:jc w:val="center"/>
            </w:pPr>
            <w:r/>
            <w:r>
              <w:rPr>
                <w:rFonts w:ascii="黑体" w:hAnsi="黑体" w:eastAsia="黑体"/>
                <w:b/>
                <w:sz w:val="20"/>
              </w:rPr>
              <w:t>难度</w:t>
            </w:r>
          </w:p>
        </w:tc>
        <w:tc>
          <w:tcPr>
            <w:tcW w:type="dxa" w:w="1385"/>
            <w:shd w:fill="D9E2F3" w:val="clear"/>
          </w:tcPr>
          <w:p>
            <w:pPr>
              <w:jc w:val="center"/>
            </w:pPr>
            <w:r/>
            <w:r>
              <w:rPr>
                <w:rFonts w:ascii="黑体" w:hAnsi="黑体" w:eastAsia="黑体"/>
                <w:b/>
                <w:sz w:val="20"/>
              </w:rPr>
              <w:t>学时</w:t>
            </w:r>
          </w:p>
        </w:tc>
        <w:tc>
          <w:tcPr>
            <w:tcW w:type="dxa" w:w="1385"/>
            <w:shd w:fill="D9E2F3" w:val="clear"/>
          </w:tcPr>
          <w:p>
            <w:pPr>
              <w:jc w:val="center"/>
            </w:pPr>
            <w:r/>
            <w:r>
              <w:rPr>
                <w:rFonts w:ascii="黑体" w:hAnsi="黑体" w:eastAsia="黑体"/>
                <w:b/>
                <w:sz w:val="20"/>
              </w:rPr>
              <w:t>技术重点</w:t>
            </w:r>
          </w:p>
        </w:tc>
        <w:tc>
          <w:tcPr>
            <w:tcW w:type="dxa" w:w="1385"/>
            <w:shd w:fill="D9E2F3" w:val="clear"/>
          </w:tcPr>
          <w:p>
            <w:pPr>
              <w:jc w:val="center"/>
            </w:pPr>
            <w:r/>
            <w:r>
              <w:rPr>
                <w:rFonts w:ascii="黑体" w:hAnsi="黑体" w:eastAsia="黑体"/>
                <w:b/>
                <w:sz w:val="20"/>
              </w:rPr>
              <w:t>适合方向</w:t>
            </w:r>
          </w:p>
        </w:tc>
      </w:tr>
      <w:tr>
        <w:tc>
          <w:tcPr>
            <w:tcW w:type="dxa" w:w="1385"/>
          </w:tcPr>
          <w:p>
            <w:r/>
            <w:r>
              <w:rPr>
                <w:rFonts w:ascii="宋体" w:hAnsi="宋体" w:eastAsia="宋体"/>
                <w:sz w:val="20"/>
              </w:rPr>
              <w:t>四</w:t>
            </w:r>
          </w:p>
        </w:tc>
        <w:tc>
          <w:tcPr>
            <w:tcW w:type="dxa" w:w="1385"/>
          </w:tcPr>
          <w:p>
            <w:r/>
            <w:r>
              <w:rPr>
                <w:rFonts w:ascii="宋体" w:hAnsi="宋体" w:eastAsia="宋体"/>
                <w:sz w:val="20"/>
              </w:rPr>
              <w:t>博物馆VR虚拟展厅</w:t>
            </w:r>
          </w:p>
        </w:tc>
        <w:tc>
          <w:tcPr>
            <w:tcW w:type="dxa" w:w="1385"/>
          </w:tcPr>
          <w:p>
            <w:r/>
            <w:r>
              <w:rPr>
                <w:rFonts w:ascii="宋体" w:hAnsi="宋体" w:eastAsia="宋体"/>
                <w:sz w:val="20"/>
              </w:rPr>
              <w:t>中</w:t>
            </w:r>
          </w:p>
        </w:tc>
        <w:tc>
          <w:tcPr>
            <w:tcW w:type="dxa" w:w="1385"/>
          </w:tcPr>
          <w:p>
            <w:r/>
            <w:r>
              <w:rPr>
                <w:rFonts w:ascii="宋体" w:hAnsi="宋体" w:eastAsia="宋体"/>
                <w:sz w:val="20"/>
              </w:rPr>
              <w:t>12-16</w:t>
            </w:r>
          </w:p>
        </w:tc>
        <w:tc>
          <w:tcPr>
            <w:tcW w:type="dxa" w:w="1385"/>
          </w:tcPr>
          <w:p>
            <w:r/>
            <w:r>
              <w:rPr>
                <w:rFonts w:ascii="宋体" w:hAnsi="宋体" w:eastAsia="宋体"/>
                <w:sz w:val="20"/>
              </w:rPr>
              <w:t>Unity WebGL、3D展示</w:t>
            </w:r>
          </w:p>
        </w:tc>
        <w:tc>
          <w:tcPr>
            <w:tcW w:type="dxa" w:w="1385"/>
          </w:tcPr>
          <w:p>
            <w:r/>
            <w:r>
              <w:rPr>
                <w:rFonts w:ascii="宋体" w:hAnsi="宋体" w:eastAsia="宋体"/>
                <w:sz w:val="20"/>
              </w:rPr>
              <w:t>文旅数字化</w:t>
            </w:r>
          </w:p>
        </w:tc>
      </w:tr>
      <w:tr>
        <w:tc>
          <w:tcPr>
            <w:tcW w:type="dxa" w:w="1385"/>
          </w:tcPr>
          <w:p>
            <w:r/>
            <w:r>
              <w:rPr>
                <w:rFonts w:ascii="宋体" w:hAnsi="宋体" w:eastAsia="宋体"/>
                <w:sz w:val="20"/>
              </w:rPr>
              <w:t>五</w:t>
            </w:r>
          </w:p>
        </w:tc>
        <w:tc>
          <w:tcPr>
            <w:tcW w:type="dxa" w:w="1385"/>
          </w:tcPr>
          <w:p>
            <w:r/>
            <w:r>
              <w:rPr>
                <w:rFonts w:ascii="宋体" w:hAnsi="宋体" w:eastAsia="宋体"/>
                <w:sz w:val="20"/>
              </w:rPr>
              <w:t>古建筑VR复原</w:t>
            </w:r>
          </w:p>
        </w:tc>
        <w:tc>
          <w:tcPr>
            <w:tcW w:type="dxa" w:w="1385"/>
          </w:tcPr>
          <w:p>
            <w:r/>
            <w:r>
              <w:rPr>
                <w:rFonts w:ascii="宋体" w:hAnsi="宋体" w:eastAsia="宋体"/>
                <w:sz w:val="20"/>
              </w:rPr>
              <w:t>中高</w:t>
            </w:r>
          </w:p>
        </w:tc>
        <w:tc>
          <w:tcPr>
            <w:tcW w:type="dxa" w:w="1385"/>
          </w:tcPr>
          <w:p>
            <w:r/>
            <w:r>
              <w:rPr>
                <w:rFonts w:ascii="宋体" w:hAnsi="宋体" w:eastAsia="宋体"/>
                <w:sz w:val="20"/>
              </w:rPr>
              <w:t>16-20</w:t>
            </w:r>
          </w:p>
        </w:tc>
        <w:tc>
          <w:tcPr>
            <w:tcW w:type="dxa" w:w="1385"/>
          </w:tcPr>
          <w:p>
            <w:r/>
            <w:r>
              <w:rPr>
                <w:rFonts w:ascii="宋体" w:hAnsi="宋体" w:eastAsia="宋体"/>
                <w:sz w:val="20"/>
              </w:rPr>
              <w:t>Blender建模、历史复原</w:t>
            </w:r>
          </w:p>
        </w:tc>
        <w:tc>
          <w:tcPr>
            <w:tcW w:type="dxa" w:w="1385"/>
          </w:tcPr>
          <w:p>
            <w:r/>
            <w:r>
              <w:rPr>
                <w:rFonts w:ascii="宋体" w:hAnsi="宋体" w:eastAsia="宋体"/>
                <w:sz w:val="20"/>
              </w:rPr>
              <w:t>文化遗产保护</w:t>
            </w:r>
          </w:p>
        </w:tc>
      </w:tr>
      <w:tr>
        <w:tc>
          <w:tcPr>
            <w:tcW w:type="dxa" w:w="1385"/>
          </w:tcPr>
          <w:p>
            <w:r/>
            <w:r>
              <w:rPr>
                <w:rFonts w:ascii="宋体" w:hAnsi="宋体" w:eastAsia="宋体"/>
                <w:sz w:val="20"/>
              </w:rPr>
              <w:t>六</w:t>
            </w:r>
          </w:p>
        </w:tc>
        <w:tc>
          <w:tcPr>
            <w:tcW w:type="dxa" w:w="1385"/>
          </w:tcPr>
          <w:p>
            <w:r/>
            <w:r>
              <w:rPr>
                <w:rFonts w:ascii="宋体" w:hAnsi="宋体" w:eastAsia="宋体"/>
                <w:sz w:val="20"/>
              </w:rPr>
              <w:t>多人VR协作教学</w:t>
            </w:r>
          </w:p>
        </w:tc>
        <w:tc>
          <w:tcPr>
            <w:tcW w:type="dxa" w:w="1385"/>
          </w:tcPr>
          <w:p>
            <w:r/>
            <w:r>
              <w:rPr>
                <w:rFonts w:ascii="宋体" w:hAnsi="宋体" w:eastAsia="宋体"/>
                <w:sz w:val="20"/>
              </w:rPr>
              <w:t>高</w:t>
            </w:r>
          </w:p>
        </w:tc>
        <w:tc>
          <w:tcPr>
            <w:tcW w:type="dxa" w:w="1385"/>
          </w:tcPr>
          <w:p>
            <w:r/>
            <w:r>
              <w:rPr>
                <w:rFonts w:ascii="宋体" w:hAnsi="宋体" w:eastAsia="宋体"/>
                <w:sz w:val="20"/>
              </w:rPr>
              <w:t>16-20</w:t>
            </w:r>
          </w:p>
        </w:tc>
        <w:tc>
          <w:tcPr>
            <w:tcW w:type="dxa" w:w="1385"/>
          </w:tcPr>
          <w:p>
            <w:r/>
            <w:r>
              <w:rPr>
                <w:rFonts w:ascii="宋体" w:hAnsi="宋体" w:eastAsia="宋体"/>
                <w:sz w:val="20"/>
              </w:rPr>
              <w:t>Photon Fusion、多人网络</w:t>
            </w:r>
          </w:p>
        </w:tc>
        <w:tc>
          <w:tcPr>
            <w:tcW w:type="dxa" w:w="1385"/>
          </w:tcPr>
          <w:p>
            <w:r/>
            <w:r>
              <w:rPr>
                <w:rFonts w:ascii="宋体" w:hAnsi="宋体" w:eastAsia="宋体"/>
                <w:sz w:val="20"/>
              </w:rPr>
              <w:t>教育技术</w:t>
            </w:r>
          </w:p>
        </w:tc>
      </w:tr>
      <w:tr>
        <w:tc>
          <w:tcPr>
            <w:tcW w:type="dxa" w:w="1385"/>
          </w:tcPr>
          <w:p>
            <w:r/>
            <w:r>
              <w:rPr>
                <w:rFonts w:ascii="宋体" w:hAnsi="宋体" w:eastAsia="宋体"/>
                <w:sz w:val="20"/>
              </w:rPr>
              <w:t>七</w:t>
            </w:r>
          </w:p>
        </w:tc>
        <w:tc>
          <w:tcPr>
            <w:tcW w:type="dxa" w:w="1385"/>
          </w:tcPr>
          <w:p>
            <w:r/>
            <w:r>
              <w:rPr>
                <w:rFonts w:ascii="宋体" w:hAnsi="宋体" w:eastAsia="宋体"/>
                <w:sz w:val="20"/>
              </w:rPr>
              <w:t>AR景观识别解说</w:t>
            </w:r>
          </w:p>
        </w:tc>
        <w:tc>
          <w:tcPr>
            <w:tcW w:type="dxa" w:w="1385"/>
          </w:tcPr>
          <w:p>
            <w:r/>
            <w:r>
              <w:rPr>
                <w:rFonts w:ascii="宋体" w:hAnsi="宋体" w:eastAsia="宋体"/>
                <w:sz w:val="20"/>
              </w:rPr>
              <w:t>中高</w:t>
            </w:r>
          </w:p>
        </w:tc>
        <w:tc>
          <w:tcPr>
            <w:tcW w:type="dxa" w:w="1385"/>
          </w:tcPr>
          <w:p>
            <w:r/>
            <w:r>
              <w:rPr>
                <w:rFonts w:ascii="宋体" w:hAnsi="宋体" w:eastAsia="宋体"/>
                <w:sz w:val="20"/>
              </w:rPr>
              <w:t>12-16</w:t>
            </w:r>
          </w:p>
        </w:tc>
        <w:tc>
          <w:tcPr>
            <w:tcW w:type="dxa" w:w="1385"/>
          </w:tcPr>
          <w:p>
            <w:r/>
            <w:r>
              <w:rPr>
                <w:rFonts w:ascii="宋体" w:hAnsi="宋体" w:eastAsia="宋体"/>
                <w:sz w:val="20"/>
              </w:rPr>
              <w:t>AI图像识别、AR Foundation</w:t>
            </w:r>
          </w:p>
        </w:tc>
        <w:tc>
          <w:tcPr>
            <w:tcW w:type="dxa" w:w="1385"/>
          </w:tcPr>
          <w:p>
            <w:r/>
            <w:r>
              <w:rPr>
                <w:rFonts w:ascii="宋体" w:hAnsi="宋体" w:eastAsia="宋体"/>
                <w:sz w:val="20"/>
              </w:rPr>
              <w:t>智慧旅游</w:t>
            </w:r>
          </w:p>
        </w:tc>
      </w:tr>
      <w:tr>
        <w:tc>
          <w:tcPr>
            <w:tcW w:type="dxa" w:w="1385"/>
          </w:tcPr>
          <w:p>
            <w:r/>
            <w:r>
              <w:rPr>
                <w:rFonts w:ascii="宋体" w:hAnsi="宋体" w:eastAsia="宋体"/>
                <w:sz w:val="20"/>
              </w:rPr>
              <w:t>八</w:t>
            </w:r>
          </w:p>
        </w:tc>
        <w:tc>
          <w:tcPr>
            <w:tcW w:type="dxa" w:w="1385"/>
          </w:tcPr>
          <w:p>
            <w:r/>
            <w:r>
              <w:rPr>
                <w:rFonts w:ascii="宋体" w:hAnsi="宋体" w:eastAsia="宋体"/>
                <w:sz w:val="20"/>
              </w:rPr>
              <w:t>VR安全教育演练</w:t>
            </w:r>
          </w:p>
        </w:tc>
        <w:tc>
          <w:tcPr>
            <w:tcW w:type="dxa" w:w="1385"/>
          </w:tcPr>
          <w:p>
            <w:r/>
            <w:r>
              <w:rPr>
                <w:rFonts w:ascii="宋体" w:hAnsi="宋体" w:eastAsia="宋体"/>
                <w:sz w:val="20"/>
              </w:rPr>
              <w:t>中</w:t>
            </w:r>
          </w:p>
        </w:tc>
        <w:tc>
          <w:tcPr>
            <w:tcW w:type="dxa" w:w="1385"/>
          </w:tcPr>
          <w:p>
            <w:r/>
            <w:r>
              <w:rPr>
                <w:rFonts w:ascii="宋体" w:hAnsi="宋体" w:eastAsia="宋体"/>
                <w:sz w:val="20"/>
              </w:rPr>
              <w:t>12-16</w:t>
            </w:r>
          </w:p>
        </w:tc>
        <w:tc>
          <w:tcPr>
            <w:tcW w:type="dxa" w:w="1385"/>
          </w:tcPr>
          <w:p>
            <w:r/>
            <w:r>
              <w:rPr>
                <w:rFonts w:ascii="宋体" w:hAnsi="宋体" w:eastAsia="宋体"/>
                <w:sz w:val="20"/>
              </w:rPr>
              <w:t>物理模拟、评估系统</w:t>
            </w:r>
          </w:p>
        </w:tc>
        <w:tc>
          <w:tcPr>
            <w:tcW w:type="dxa" w:w="1385"/>
          </w:tcPr>
          <w:p>
            <w:r/>
            <w:r>
              <w:rPr>
                <w:rFonts w:ascii="宋体" w:hAnsi="宋体" w:eastAsia="宋体"/>
                <w:sz w:val="20"/>
              </w:rPr>
              <w:t>旅游安全</w:t>
            </w:r>
          </w:p>
        </w:tc>
      </w:tr>
      <w:tr>
        <w:tc>
          <w:tcPr>
            <w:tcW w:type="dxa" w:w="1385"/>
          </w:tcPr>
          <w:p>
            <w:r/>
            <w:r>
              <w:rPr>
                <w:rFonts w:ascii="宋体" w:hAnsi="宋体" w:eastAsia="宋体"/>
                <w:sz w:val="20"/>
              </w:rPr>
              <w:t>九</w:t>
            </w:r>
          </w:p>
        </w:tc>
        <w:tc>
          <w:tcPr>
            <w:tcW w:type="dxa" w:w="1385"/>
          </w:tcPr>
          <w:p>
            <w:r/>
            <w:r>
              <w:rPr>
                <w:rFonts w:ascii="宋体" w:hAnsi="宋体" w:eastAsia="宋体"/>
                <w:sz w:val="20"/>
              </w:rPr>
              <w:t>沉浸式数字艺术</w:t>
            </w:r>
          </w:p>
        </w:tc>
        <w:tc>
          <w:tcPr>
            <w:tcW w:type="dxa" w:w="1385"/>
          </w:tcPr>
          <w:p>
            <w:r/>
            <w:r>
              <w:rPr>
                <w:rFonts w:ascii="宋体" w:hAnsi="宋体" w:eastAsia="宋体"/>
                <w:sz w:val="20"/>
              </w:rPr>
              <w:t>中</w:t>
            </w:r>
          </w:p>
        </w:tc>
        <w:tc>
          <w:tcPr>
            <w:tcW w:type="dxa" w:w="1385"/>
          </w:tcPr>
          <w:p>
            <w:r/>
            <w:r>
              <w:rPr>
                <w:rFonts w:ascii="宋体" w:hAnsi="宋体" w:eastAsia="宋体"/>
                <w:sz w:val="20"/>
              </w:rPr>
              <w:t>12-16</w:t>
            </w:r>
          </w:p>
        </w:tc>
        <w:tc>
          <w:tcPr>
            <w:tcW w:type="dxa" w:w="1385"/>
          </w:tcPr>
          <w:p>
            <w:r/>
            <w:r>
              <w:rPr>
                <w:rFonts w:ascii="宋体" w:hAnsi="宋体" w:eastAsia="宋体"/>
                <w:sz w:val="20"/>
              </w:rPr>
              <w:t>Shader、粒子系统、艺术创作</w:t>
            </w:r>
          </w:p>
        </w:tc>
        <w:tc>
          <w:tcPr>
            <w:tcW w:type="dxa" w:w="1385"/>
          </w:tcPr>
          <w:p>
            <w:r/>
            <w:r>
              <w:rPr>
                <w:rFonts w:ascii="宋体" w:hAnsi="宋体" w:eastAsia="宋体"/>
                <w:sz w:val="20"/>
              </w:rPr>
              <w:t>数字艺术</w:t>
            </w:r>
          </w:p>
        </w:tc>
      </w:tr>
    </w:tbl>
    <w:p/>
    <w:p/>
    <w:p>
      <w:pPr>
        <w:ind w:firstLine="482"/>
      </w:pPr>
      <w:r>
        <w:rPr>
          <w:rFonts w:ascii="宋体" w:hAnsi="宋体" w:eastAsia="宋体"/>
          <w:sz w:val="24"/>
        </w:rPr>
        <w:t>教师可根据课程学时、学生能力和设备条件选择 1-2 个扩展项目作为补充实训，或作为学生毕业设计和创新创业项目的选题。</w:t>
      </w:r>
    </w:p>
    <w:p/>
    <w:p/>
    <w:p/>
    <w:p>
      <w:pPr>
        <w:pStyle w:val="Heading2"/>
      </w:pPr>
      <w:r>
        <w:t>F.7 实训项目通用指导</w:t>
      </w:r>
    </w:p>
    <w:p/>
    <w:p>
      <w:pPr>
        <w:pStyle w:val="Heading3"/>
      </w:pPr>
      <w:r>
        <w:t>F.7.1 项目启动阶段指导</w:t>
      </w:r>
    </w:p>
    <w:p/>
    <w:p>
      <w:pPr>
        <w:ind w:firstLine="482"/>
      </w:pPr>
      <w:r>
        <w:rPr>
          <w:rFonts w:ascii="宋体" w:hAnsi="宋体" w:eastAsia="宋体"/>
          <w:sz w:val="24"/>
        </w:rPr>
        <w:t>项目启动是成功的关键。建议在每个实训项目开始时完成以下工作：</w:t>
      </w:r>
    </w:p>
    <w:p/>
    <w:p>
      <w:pPr>
        <w:ind w:firstLine="482"/>
      </w:pPr>
      <w:r>
        <w:rPr>
          <w:rFonts w:ascii="宋体" w:hAnsi="宋体" w:eastAsia="宋体"/>
          <w:b/>
          <w:sz w:val="24"/>
        </w:rPr>
        <w:t>团队组建</w:t>
      </w:r>
      <w:r>
        <w:rPr>
          <w:rFonts w:ascii="宋体" w:hAnsi="宋体" w:eastAsia="宋体"/>
          <w:sz w:val="24"/>
        </w:rPr>
        <w:t>：3-5人一组，确保团队中有编程、设计和内容策划的分工。对于跨学科课程，建议混合编组——技术专业学生负责开发，旅游/文化专业学生负责内容策划，艺术专业学生负责视觉设计。</w:t>
      </w:r>
    </w:p>
    <w:p/>
    <w:p>
      <w:pPr>
        <w:ind w:firstLine="482"/>
      </w:pPr>
      <w:r>
        <w:rPr>
          <w:rFonts w:ascii="宋体" w:hAnsi="宋体" w:eastAsia="宋体"/>
          <w:b/>
          <w:sz w:val="24"/>
        </w:rPr>
        <w:t>选题确认</w:t>
      </w:r>
      <w:r>
        <w:rPr>
          <w:rFonts w:ascii="宋体" w:hAnsi="宋体" w:eastAsia="宋体"/>
          <w:sz w:val="24"/>
        </w:rPr>
        <w:t>：每个项目提供2-3个选题供学生选择。选题应结合贵州本地文旅资源，具有真实的应用价值。学生也可以自主提出选题，经教师审核后执行。</w:t>
      </w:r>
    </w:p>
    <w:p/>
    <w:p>
      <w:pPr>
        <w:ind w:firstLine="482"/>
      </w:pPr>
      <w:r>
        <w:rPr>
          <w:rFonts w:ascii="宋体" w:hAnsi="宋体" w:eastAsia="宋体"/>
          <w:b/>
          <w:sz w:val="24"/>
        </w:rPr>
        <w:t>需求分析</w:t>
      </w:r>
      <w:r>
        <w:rPr>
          <w:rFonts w:ascii="宋体" w:hAnsi="宋体" w:eastAsia="宋体"/>
          <w:sz w:val="24"/>
        </w:rPr>
        <w:t>：团队共同讨论项目需求，填写需求规格说明书模板（见附录D）。教师审阅并给出修改建议。</w:t>
      </w:r>
    </w:p>
    <w:p/>
    <w:p>
      <w:pPr>
        <w:ind w:firstLine="482"/>
      </w:pPr>
      <w:r>
        <w:rPr>
          <w:rFonts w:ascii="宋体" w:hAnsi="宋体" w:eastAsia="宋体"/>
          <w:b/>
          <w:sz w:val="24"/>
        </w:rPr>
        <w:t>技术方案</w:t>
      </w:r>
      <w:r>
        <w:rPr>
          <w:rFonts w:ascii="宋体" w:hAnsi="宋体" w:eastAsia="宋体"/>
          <w:sz w:val="24"/>
        </w:rPr>
        <w:t>：根据需求确定技术方案，包括开发引擎、硬件平台、网络架构和第三方服务。教师确认技术可行性。</w:t>
      </w:r>
    </w:p>
    <w:p/>
    <w:p>
      <w:pPr>
        <w:ind w:firstLine="482"/>
      </w:pPr>
      <w:r>
        <w:rPr>
          <w:rFonts w:ascii="宋体" w:hAnsi="宋体" w:eastAsia="宋体"/>
          <w:b/>
          <w:sz w:val="24"/>
        </w:rPr>
        <w:t>项目计划</w:t>
      </w:r>
      <w:r>
        <w:rPr>
          <w:rFonts w:ascii="宋体" w:hAnsi="宋体" w:eastAsia="宋体"/>
          <w:sz w:val="24"/>
        </w:rPr>
        <w:t>：制定详细的项目进度计划，使用甘特图或看板工具管理任务。设置每周的里程碑和交付物。</w:t>
      </w:r>
    </w:p>
    <w:p/>
    <w:p>
      <w:pPr>
        <w:pStyle w:val="Heading3"/>
      </w:pPr>
      <w:r>
        <w:t>F.7.2 项目执行阶段指导</w:t>
      </w:r>
    </w:p>
    <w:p/>
    <w:p>
      <w:pPr>
        <w:ind w:firstLine="482"/>
      </w:pPr>
      <w:r>
        <w:rPr>
          <w:rFonts w:ascii="宋体" w:hAnsi="宋体" w:eastAsia="宋体"/>
          <w:b/>
          <w:sz w:val="24"/>
        </w:rPr>
        <w:t>每周例会</w:t>
      </w:r>
      <w:r>
        <w:rPr>
          <w:rFonts w:ascii="宋体" w:hAnsi="宋体" w:eastAsia="宋体"/>
          <w:sz w:val="24"/>
        </w:rPr>
        <w:t>：团队每周召开一次项目例会（30-60分钟），汇报进度、讨论问题、规划下周任务。教师参加关键节点的例会。</w:t>
      </w:r>
    </w:p>
    <w:p/>
    <w:p>
      <w:pPr>
        <w:ind w:firstLine="482"/>
      </w:pPr>
      <w:r>
        <w:rPr>
          <w:rFonts w:ascii="宋体" w:hAnsi="宋体" w:eastAsia="宋体"/>
          <w:b/>
          <w:sz w:val="24"/>
        </w:rPr>
        <w:t>代码管理</w:t>
      </w:r>
      <w:r>
        <w:rPr>
          <w:rFonts w:ascii="宋体" w:hAnsi="宋体" w:eastAsia="宋体"/>
          <w:sz w:val="24"/>
        </w:rPr>
        <w:t>：使用 Git 进行版本管理，建立 main/develop/feature 分支策略。每个功能开发完成后提交 Pull Request，经同伴审查后合并。</w:t>
      </w:r>
    </w:p>
    <w:p/>
    <w:p>
      <w:pPr>
        <w:ind w:firstLine="482"/>
      </w:pPr>
      <w:r>
        <w:rPr>
          <w:rFonts w:ascii="宋体" w:hAnsi="宋体" w:eastAsia="宋体"/>
          <w:b/>
          <w:sz w:val="24"/>
        </w:rPr>
        <w:t>文档同步</w:t>
      </w:r>
      <w:r>
        <w:rPr>
          <w:rFonts w:ascii="宋体" w:hAnsi="宋体" w:eastAsia="宋体"/>
          <w:sz w:val="24"/>
        </w:rPr>
        <w:t>：项目文档随开发进度同步更新，而非项目结束后补写。每个功能模块完成后更新技术文档。</w:t>
      </w:r>
    </w:p>
    <w:p/>
    <w:p>
      <w:pPr>
        <w:ind w:firstLine="482"/>
      </w:pPr>
      <w:r>
        <w:rPr>
          <w:rFonts w:ascii="宋体" w:hAnsi="宋体" w:eastAsia="宋体"/>
          <w:b/>
          <w:sz w:val="24"/>
        </w:rPr>
        <w:t>测试驱动</w:t>
      </w:r>
      <w:r>
        <w:rPr>
          <w:rFonts w:ascii="宋体" w:hAnsi="宋体" w:eastAsia="宋体"/>
          <w:sz w:val="24"/>
        </w:rPr>
        <w:t>：开发过程中持续测试——每完成一个功能立即测试，发现 Bug 及时修复。避免"先开发完再测试"的做法。</w:t>
      </w:r>
    </w:p>
    <w:p/>
    <w:p>
      <w:pPr>
        <w:ind w:firstLine="482"/>
      </w:pPr>
      <w:r>
        <w:rPr>
          <w:rFonts w:ascii="宋体" w:hAnsi="宋体" w:eastAsia="宋体"/>
          <w:b/>
          <w:sz w:val="24"/>
        </w:rPr>
        <w:t>教师指导</w:t>
      </w:r>
      <w:r>
        <w:rPr>
          <w:rFonts w:ascii="宋体" w:hAnsi="宋体" w:eastAsia="宋体"/>
          <w:sz w:val="24"/>
        </w:rPr>
        <w:t>：教师在项目过程中扮演"技术顾问"角色，在关键技术决策和问题解决时提供指导，但不代替学生做决策。</w:t>
      </w:r>
    </w:p>
    <w:p/>
    <w:p>
      <w:pPr>
        <w:pStyle w:val="Heading3"/>
      </w:pPr>
      <w:r>
        <w:t>F.7.3 项目答辩与展示</w:t>
      </w:r>
    </w:p>
    <w:p/>
    <w:p>
      <w:pPr>
        <w:ind w:firstLine="482"/>
      </w:pPr>
      <w:r>
        <w:rPr>
          <w:rFonts w:ascii="宋体" w:hAnsi="宋体" w:eastAsia="宋体"/>
          <w:sz w:val="24"/>
        </w:rPr>
        <w:t>项目完成后进行公开答辩和展示：</w:t>
      </w:r>
    </w:p>
    <w:p/>
    <w:p>
      <w:pPr>
        <w:ind w:firstLine="482"/>
      </w:pPr>
      <w:r>
        <w:rPr>
          <w:rFonts w:ascii="宋体" w:hAnsi="宋体" w:eastAsia="宋体"/>
          <w:b/>
          <w:sz w:val="24"/>
        </w:rPr>
        <w:t>答辩流程</w:t>
      </w:r>
      <w:r>
        <w:rPr>
          <w:rFonts w:ascii="宋体" w:hAnsi="宋体" w:eastAsia="宋体"/>
          <w:sz w:val="24"/>
        </w:rPr>
        <w:t>：（1）团队展示项目成果（10分钟，含演示）；（2）回答评委提问（10分钟）；（3）同伴互评（5分钟）。</w:t>
      </w:r>
    </w:p>
    <w:p/>
    <w:p>
      <w:pPr>
        <w:ind w:firstLine="482"/>
      </w:pPr>
      <w:r>
        <w:rPr>
          <w:rFonts w:ascii="宋体" w:hAnsi="宋体" w:eastAsia="宋体"/>
          <w:b/>
          <w:sz w:val="24"/>
        </w:rPr>
        <w:t>展示要求</w:t>
      </w:r>
      <w:r>
        <w:rPr>
          <w:rFonts w:ascii="宋体" w:hAnsi="宋体" w:eastAsia="宋体"/>
          <w:sz w:val="24"/>
        </w:rPr>
        <w:t>：制作项目展示PPT（10-15页），包含项目背景、需求分析、技术方案、核心功能演示、测试数据、经验总结和未来展望。现场演示应用核心功能。</w:t>
      </w:r>
    </w:p>
    <w:p/>
    <w:p>
      <w:pPr>
        <w:ind w:firstLine="482"/>
      </w:pPr>
      <w:r>
        <w:rPr>
          <w:rFonts w:ascii="宋体" w:hAnsi="宋体" w:eastAsia="宋体"/>
          <w:b/>
          <w:sz w:val="24"/>
        </w:rPr>
        <w:t>答辩评分</w:t>
      </w:r>
      <w:r>
        <w:rPr>
          <w:rFonts w:ascii="宋体" w:hAnsi="宋体" w:eastAsia="宋体"/>
          <w:sz w:val="24"/>
        </w:rPr>
        <w:t>：由3-5名教师组成评审小组，从技术实现（30%）、用户体验（25%）、内容质量（20%）、文档规范（15%）和团队协作（10%）五个维度评分。</w:t>
      </w:r>
    </w:p>
    <w:p/>
    <w:p>
      <w:pPr>
        <w:pStyle w:val="Heading3"/>
      </w:pPr>
      <w:r>
        <w:t>F.7.4 项目成果转化</w:t>
      </w:r>
    </w:p>
    <w:p/>
    <w:p>
      <w:pPr>
        <w:ind w:firstLine="482"/>
      </w:pPr>
      <w:r>
        <w:rPr>
          <w:rFonts w:ascii="宋体" w:hAnsi="宋体" w:eastAsia="宋体"/>
          <w:sz w:val="24"/>
        </w:rPr>
        <w:t>优秀的实训项目可以进一步转化为以下成果：</w:t>
      </w:r>
    </w:p>
    <w:p/>
    <w:p>
      <w:pPr>
        <w:pStyle w:val="ListNumber"/>
      </w:pPr>
      <w:r>
        <w:rPr>
          <w:rFonts w:ascii="宋体" w:hAnsi="宋体" w:eastAsia="宋体"/>
          <w:b/>
          <w:sz w:val="24"/>
        </w:rPr>
        <w:t>学术论文</w:t>
      </w:r>
      <w:r>
        <w:rPr>
          <w:rFonts w:ascii="宋体" w:hAnsi="宋体" w:eastAsia="宋体"/>
          <w:sz w:val="24"/>
        </w:rPr>
        <w:t>：将项目的技术创新或应用效果整理为学术论文，投稿到相关学术会议或期刊</w:t>
      </w:r>
    </w:p>
    <w:p>
      <w:pPr>
        <w:pStyle w:val="ListNumber"/>
      </w:pPr>
      <w:r>
        <w:rPr>
          <w:rFonts w:ascii="宋体" w:hAnsi="宋体" w:eastAsia="宋体"/>
          <w:b/>
          <w:sz w:val="24"/>
        </w:rPr>
        <w:t>竞赛作品</w:t>
      </w:r>
      <w:r>
        <w:rPr>
          <w:rFonts w:ascii="宋体" w:hAnsi="宋体" w:eastAsia="宋体"/>
          <w:sz w:val="24"/>
        </w:rPr>
        <w:t>：参加全国大学生VR/AR大赛、互联网+创新创业大赛等竞赛</w:t>
      </w:r>
    </w:p>
    <w:p>
      <w:pPr>
        <w:pStyle w:val="ListNumber"/>
      </w:pPr>
      <w:r>
        <w:rPr>
          <w:rFonts w:ascii="宋体" w:hAnsi="宋体" w:eastAsia="宋体"/>
          <w:b/>
          <w:sz w:val="24"/>
        </w:rPr>
        <w:t>创业项目</w:t>
      </w:r>
      <w:r>
        <w:rPr>
          <w:rFonts w:ascii="宋体" w:hAnsi="宋体" w:eastAsia="宋体"/>
          <w:sz w:val="24"/>
        </w:rPr>
        <w:t>：有商业价值的项目可以进一步孵化为创业项目</w:t>
      </w:r>
    </w:p>
    <w:p>
      <w:pPr>
        <w:pStyle w:val="ListNumber"/>
      </w:pPr>
      <w:r>
        <w:rPr>
          <w:rFonts w:ascii="宋体" w:hAnsi="宋体" w:eastAsia="宋体"/>
          <w:b/>
          <w:sz w:val="24"/>
        </w:rPr>
        <w:t>开源项目</w:t>
      </w:r>
      <w:r>
        <w:rPr>
          <w:rFonts w:ascii="宋体" w:hAnsi="宋体" w:eastAsia="宋体"/>
          <w:sz w:val="24"/>
        </w:rPr>
        <w:t>：将项目代码开源到GitHub，供其他学习者参考和使用</w:t>
      </w:r>
    </w:p>
    <w:p>
      <w:pPr>
        <w:pStyle w:val="ListNumber"/>
      </w:pPr>
      <w:r>
        <w:rPr>
          <w:rFonts w:ascii="宋体" w:hAnsi="宋体" w:eastAsia="宋体"/>
          <w:b/>
          <w:sz w:val="24"/>
        </w:rPr>
        <w:t>教学案例</w:t>
      </w:r>
      <w:r>
        <w:rPr>
          <w:rFonts w:ascii="宋体" w:hAnsi="宋体" w:eastAsia="宋体"/>
          <w:sz w:val="24"/>
        </w:rPr>
        <w:t>：优秀项目可以转化为后续课程的教学案例</w:t>
      </w:r>
    </w:p>
    <w:p/>
    <w:p/>
    <w:p/>
    <w:p>
      <w:pPr>
        <w:pStyle w:val="Heading2"/>
      </w:pPr>
      <w:r>
        <w:t>F.8 实训项目常见问题解答（FAQ）</w:t>
      </w:r>
    </w:p>
    <w:p/>
    <w:p>
      <w:pPr>
        <w:pStyle w:val="Heading3"/>
      </w:pPr>
      <w:r>
        <w:t>F.8.1 技术问题 FAQ</w:t>
      </w:r>
    </w:p>
    <w:p/>
    <w:p>
      <w:pPr>
        <w:ind w:firstLine="482"/>
      </w:pPr>
      <w:r>
        <w:rPr>
          <w:rFonts w:ascii="宋体" w:hAnsi="宋体" w:eastAsia="宋体"/>
          <w:b/>
          <w:sz w:val="24"/>
        </w:rPr>
        <w:t>Q1: VR 应用在 Quest 上帧率不达标怎么办？</w:t>
      </w:r>
    </w:p>
    <w:p/>
    <w:p>
      <w:pPr>
        <w:ind w:firstLine="482"/>
      </w:pPr>
      <w:r>
        <w:rPr>
          <w:rFonts w:ascii="宋体" w:hAnsi="宋体" w:eastAsia="宋体"/>
          <w:sz w:val="24"/>
        </w:rPr>
        <w:t>A: 按以下步骤排查：（1）使用 Unity Profiler 的 Recorder 确认帧率瓶颈在 CPU 还是 GPU；（2）CPU 瓶颈——检查是否有昂贵的物理计算、AI 逻辑或序列化操作，考虑使用 Job System/Burst Compiler 优化；（3）GPU 瓶颈——减少 Draw Call（合并 Mesh、GPU Instancing）、降低纹理分辨率、简化 Shader、启用 LOD；（4）如果以上优化仍不达标，降低渲染分辨率（Render Scale 从 1.0 降至 0.8-0.9）。</w:t>
      </w:r>
    </w:p>
    <w:p/>
    <w:p>
      <w:pPr>
        <w:ind w:firstLine="482"/>
      </w:pPr>
      <w:r>
        <w:rPr>
          <w:rFonts w:ascii="宋体" w:hAnsi="宋体" w:eastAsia="宋体"/>
          <w:b/>
          <w:sz w:val="24"/>
        </w:rPr>
        <w:t>Q2: AR Foundation 图像追踪在某些手机上不工作？</w:t>
      </w:r>
    </w:p>
    <w:p/>
    <w:p>
      <w:pPr>
        <w:ind w:firstLine="482"/>
      </w:pPr>
      <w:r>
        <w:rPr>
          <w:rFonts w:ascii="宋体" w:hAnsi="宋体" w:eastAsia="宋体"/>
          <w:sz w:val="24"/>
        </w:rPr>
        <w:t>A: 排查步骤：（1）确认手机在 ARCore/ARKit 支持列表中；（2）检查 Reference Image Library 中的图片是否具有足够的特征点（高对比度、独特纹理）；（3）确保标记图片的物理尺寸与 Library 中设置的尺寸匹配；（4）测试不同光照条件——强光直射或极暗环境会影响识别；（5）更新 AR Foundation 和 ARCore/ARKit 到最新版本。</w:t>
      </w:r>
    </w:p>
    <w:p/>
    <w:p>
      <w:pPr>
        <w:ind w:firstLine="482"/>
      </w:pPr>
      <w:r>
        <w:rPr>
          <w:rFonts w:ascii="宋体" w:hAnsi="宋体" w:eastAsia="宋体"/>
          <w:b/>
          <w:sz w:val="24"/>
        </w:rPr>
        <w:t>Q3: Unity WebGL 导出的 WebVR 应用在手机上加载很慢？</w:t>
      </w:r>
    </w:p>
    <w:p/>
    <w:p>
      <w:pPr>
        <w:ind w:firstLine="482"/>
      </w:pPr>
      <w:r>
        <w:rPr>
          <w:rFonts w:ascii="宋体" w:hAnsi="宋体" w:eastAsia="宋体"/>
          <w:sz w:val="24"/>
        </w:rPr>
        <w:t>A: 优化方案：（1）使用 Addressables 按需加载资产，减少初始包体；（2）压缩 3D 模型（Draco/Meshopt压缩）和纹理（WebP格式）；（3）使用 CDN 分发资产；（4）添加加载进度条和预览画面，改善用户等待体验；（5）考虑使用 Three.js 替代 Unity WebGL——对于简单场景，Three.js 的包体更小、加载更快。</w:t>
      </w:r>
    </w:p>
    <w:p/>
    <w:p>
      <w:pPr>
        <w:pStyle w:val="Heading3"/>
      </w:pPr>
      <w:r>
        <w:t>F.8.2 项目管理 FAQ</w:t>
      </w:r>
    </w:p>
    <w:p/>
    <w:p>
      <w:pPr>
        <w:ind w:firstLine="482"/>
      </w:pPr>
      <w:r>
        <w:rPr>
          <w:rFonts w:ascii="宋体" w:hAnsi="宋体" w:eastAsia="宋体"/>
          <w:b/>
          <w:sz w:val="24"/>
        </w:rPr>
        <w:t>Q4: 学生团队进度差异大怎么办？</w:t>
      </w:r>
    </w:p>
    <w:p/>
    <w:p>
      <w:pPr>
        <w:ind w:firstLine="482"/>
      </w:pPr>
      <w:r>
        <w:rPr>
          <w:rFonts w:ascii="宋体" w:hAnsi="宋体" w:eastAsia="宋体"/>
          <w:sz w:val="24"/>
        </w:rPr>
        <w:t>A: 策略：（1）在项目初期进行能力评估，根据学生水平分配不同难度的任务；（2）设置每周里程碑，进度滞后的团队需要额外投入时间；（3）鼓励团队间互助——进度快的团队可以帮助进度慢的团队解决技术问题；（4）对于严重滞后的团队，教师提供额外指导或简化项目范围。</w:t>
      </w:r>
    </w:p>
    <w:p/>
    <w:p>
      <w:pPr>
        <w:ind w:firstLine="482"/>
      </w:pPr>
      <w:r>
        <w:rPr>
          <w:rFonts w:ascii="宋体" w:hAnsi="宋体" w:eastAsia="宋体"/>
          <w:b/>
          <w:sz w:val="24"/>
        </w:rPr>
        <w:t>Q5: 实训设备数量不足怎么安排？</w:t>
      </w:r>
    </w:p>
    <w:p/>
    <w:p>
      <w:pPr>
        <w:ind w:firstLine="482"/>
      </w:pPr>
      <w:r>
        <w:rPr>
          <w:rFonts w:ascii="宋体" w:hAnsi="宋体" w:eastAsia="宋体"/>
          <w:sz w:val="24"/>
        </w:rPr>
        <w:t>A: 方案：（1）分时段使用——将实训时间分为多个时段，不同团队错峰使用设备；（2）个人设备利用——鼓励学生使用个人手机进行 AR 开发测试，使用个人电脑进行代码编写；（3）模拟器替代——Unity 的 VR 模拟器可以在没有 VR 头显的情况下进行基本开发测试；（4）校企合作——与 VR 体验馆或企业合作，安排学生到外部场地使用设备。</w:t>
      </w:r>
    </w:p>
    <w:p/>
    <w:p>
      <w:pPr>
        <w:ind w:firstLine="482"/>
      </w:pPr>
      <w:r>
        <w:rPr>
          <w:rFonts w:ascii="宋体" w:hAnsi="宋体" w:eastAsia="宋体"/>
          <w:b/>
          <w:sz w:val="24"/>
        </w:rPr>
        <w:t>Q6: 如何评估团队中每个成员的贡献？</w:t>
      </w:r>
    </w:p>
    <w:p/>
    <w:p>
      <w:pPr>
        <w:ind w:firstLine="482"/>
      </w:pPr>
      <w:r>
        <w:rPr>
          <w:rFonts w:ascii="宋体" w:hAnsi="宋体" w:eastAsia="宋体"/>
          <w:sz w:val="24"/>
        </w:rPr>
        <w:t>A: 方法：（1）使用 Git 提交记录分析每个成员的代码贡献量；（2）同伴互评——每位成员对其他成员的贡献进行匿名评分；（3）自我评估——每位成员撰写个人贡献报告；（4）教师观察——在实训过程中记录每位成员的参与情况；（5）答辩中的个人提问——答辩时针对每位成员提问其负责的部分，评估其理解深度。</w:t>
      </w:r>
    </w:p>
    <w:p/>
    <w:p/>
    <w:p/>
    <w:p>
      <w:pPr>
        <w:pStyle w:val="Heading2"/>
      </w:pPr>
      <w:r>
        <w:t>F.9 实训项目与行业认证对接</w:t>
      </w:r>
    </w:p>
    <w:p/>
    <w:p>
      <w:pPr>
        <w:pStyle w:val="Heading3"/>
      </w:pPr>
      <w:r>
        <w:t>F.9.1 行业认证概览</w:t>
      </w:r>
    </w:p>
    <w:p/>
    <w:p>
      <w:pPr>
        <w:ind w:firstLine="482"/>
      </w:pPr>
      <w:r>
        <w:rPr>
          <w:rFonts w:ascii="宋体" w:hAnsi="宋体" w:eastAsia="宋体"/>
          <w:sz w:val="24"/>
        </w:rPr>
        <w:t>VR/AR 领域的行业认证可以增强学生的就业竞争力，建议将认证内容融入实训教学：</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认证名称</w:t>
            </w:r>
          </w:p>
        </w:tc>
        <w:tc>
          <w:tcPr>
            <w:tcW w:type="dxa" w:w="1385"/>
            <w:shd w:fill="D9E2F3" w:val="clear"/>
          </w:tcPr>
          <w:p>
            <w:pPr>
              <w:jc w:val="center"/>
            </w:pPr>
            <w:r/>
            <w:r>
              <w:rPr>
                <w:rFonts w:ascii="黑体" w:hAnsi="黑体" w:eastAsia="黑体"/>
                <w:b/>
                <w:sz w:val="20"/>
              </w:rPr>
              <w:t>颁发机构</w:t>
            </w:r>
          </w:p>
        </w:tc>
        <w:tc>
          <w:tcPr>
            <w:tcW w:type="dxa" w:w="1385"/>
            <w:shd w:fill="D9E2F3" w:val="clear"/>
          </w:tcPr>
          <w:p>
            <w:pPr>
              <w:jc w:val="center"/>
            </w:pPr>
            <w:r/>
            <w:r>
              <w:rPr>
                <w:rFonts w:ascii="黑体" w:hAnsi="黑体" w:eastAsia="黑体"/>
                <w:b/>
                <w:sz w:val="20"/>
              </w:rPr>
              <w:t>认证方向</w:t>
            </w:r>
          </w:p>
        </w:tc>
        <w:tc>
          <w:tcPr>
            <w:tcW w:type="dxa" w:w="1385"/>
            <w:shd w:fill="D9E2F3" w:val="clear"/>
          </w:tcPr>
          <w:p>
            <w:pPr>
              <w:jc w:val="center"/>
            </w:pPr>
            <w:r/>
            <w:r>
              <w:rPr>
                <w:rFonts w:ascii="黑体" w:hAnsi="黑体" w:eastAsia="黑体"/>
                <w:b/>
                <w:sz w:val="20"/>
              </w:rPr>
              <w:t>考试形式</w:t>
            </w:r>
          </w:p>
        </w:tc>
        <w:tc>
          <w:tcPr>
            <w:tcW w:type="dxa" w:w="1385"/>
            <w:shd w:fill="D9E2F3" w:val="clear"/>
          </w:tcPr>
          <w:p>
            <w:pPr>
              <w:jc w:val="center"/>
            </w:pPr>
            <w:r/>
            <w:r>
              <w:rPr>
                <w:rFonts w:ascii="黑体" w:hAnsi="黑体" w:eastAsia="黑体"/>
                <w:b/>
                <w:sz w:val="20"/>
              </w:rPr>
              <w:t>费用</w:t>
            </w:r>
          </w:p>
        </w:tc>
        <w:tc>
          <w:tcPr>
            <w:tcW w:type="dxa" w:w="1385"/>
            <w:shd w:fill="D9E2F3" w:val="clear"/>
          </w:tcPr>
          <w:p>
            <w:pPr>
              <w:jc w:val="center"/>
            </w:pPr>
            <w:r/>
            <w:r>
              <w:rPr>
                <w:rFonts w:ascii="黑体" w:hAnsi="黑体" w:eastAsia="黑体"/>
                <w:b/>
                <w:sz w:val="20"/>
              </w:rPr>
              <w:t>建议</w:t>
            </w:r>
          </w:p>
        </w:tc>
      </w:tr>
      <w:tr>
        <w:tc>
          <w:tcPr>
            <w:tcW w:type="dxa" w:w="1385"/>
          </w:tcPr>
          <w:p>
            <w:r/>
            <w:r>
              <w:rPr>
                <w:rFonts w:ascii="宋体" w:hAnsi="宋体" w:eastAsia="宋体"/>
                <w:sz w:val="20"/>
              </w:rPr>
              <w:t>Unity Certified User: VR Developer</w:t>
            </w:r>
          </w:p>
        </w:tc>
        <w:tc>
          <w:tcPr>
            <w:tcW w:type="dxa" w:w="1385"/>
          </w:tcPr>
          <w:p>
            <w:r/>
            <w:r>
              <w:rPr>
                <w:rFonts w:ascii="宋体" w:hAnsi="宋体" w:eastAsia="宋体"/>
                <w:sz w:val="20"/>
              </w:rPr>
              <w:t>Unity</w:t>
            </w:r>
          </w:p>
        </w:tc>
        <w:tc>
          <w:tcPr>
            <w:tcW w:type="dxa" w:w="1385"/>
          </w:tcPr>
          <w:p>
            <w:r/>
            <w:r>
              <w:rPr>
                <w:rFonts w:ascii="宋体" w:hAnsi="宋体" w:eastAsia="宋体"/>
                <w:sz w:val="20"/>
              </w:rPr>
              <w:t>VR开发</w:t>
            </w:r>
          </w:p>
        </w:tc>
        <w:tc>
          <w:tcPr>
            <w:tcW w:type="dxa" w:w="1385"/>
          </w:tcPr>
          <w:p>
            <w:r/>
            <w:r>
              <w:rPr>
                <w:rFonts w:ascii="宋体" w:hAnsi="宋体" w:eastAsia="宋体"/>
                <w:sz w:val="20"/>
              </w:rPr>
              <w:t>在线考试</w:t>
            </w:r>
          </w:p>
        </w:tc>
        <w:tc>
          <w:tcPr>
            <w:tcW w:type="dxa" w:w="1385"/>
          </w:tcPr>
          <w:p>
            <w:r/>
            <w:r>
              <w:rPr>
                <w:rFonts w:ascii="宋体" w:hAnsi="宋体" w:eastAsia="宋体"/>
                <w:sz w:val="20"/>
              </w:rPr>
              <w:t>约$200</w:t>
            </w:r>
          </w:p>
        </w:tc>
        <w:tc>
          <w:tcPr>
            <w:tcW w:type="dxa" w:w="1385"/>
          </w:tcPr>
          <w:p>
            <w:r/>
            <w:r>
              <w:rPr>
                <w:rFonts w:ascii="宋体" w:hAnsi="宋体" w:eastAsia="宋体"/>
                <w:sz w:val="20"/>
              </w:rPr>
              <w:t>推荐考取</w:t>
            </w:r>
          </w:p>
        </w:tc>
      </w:tr>
      <w:tr>
        <w:tc>
          <w:tcPr>
            <w:tcW w:type="dxa" w:w="1385"/>
          </w:tcPr>
          <w:p>
            <w:r/>
            <w:r>
              <w:rPr>
                <w:rFonts w:ascii="宋体" w:hAnsi="宋体" w:eastAsia="宋体"/>
                <w:sz w:val="20"/>
              </w:rPr>
              <w:t>Unity Certified Programmer</w:t>
            </w:r>
          </w:p>
        </w:tc>
        <w:tc>
          <w:tcPr>
            <w:tcW w:type="dxa" w:w="1385"/>
          </w:tcPr>
          <w:p>
            <w:r/>
            <w:r>
              <w:rPr>
                <w:rFonts w:ascii="宋体" w:hAnsi="宋体" w:eastAsia="宋体"/>
                <w:sz w:val="20"/>
              </w:rPr>
              <w:t>Unity</w:t>
            </w:r>
          </w:p>
        </w:tc>
        <w:tc>
          <w:tcPr>
            <w:tcW w:type="dxa" w:w="1385"/>
          </w:tcPr>
          <w:p>
            <w:r/>
            <w:r>
              <w:rPr>
                <w:rFonts w:ascii="宋体" w:hAnsi="宋体" w:eastAsia="宋体"/>
                <w:sz w:val="20"/>
              </w:rPr>
              <w:t>编程</w:t>
            </w:r>
          </w:p>
        </w:tc>
        <w:tc>
          <w:tcPr>
            <w:tcW w:type="dxa" w:w="1385"/>
          </w:tcPr>
          <w:p>
            <w:r/>
            <w:r>
              <w:rPr>
                <w:rFonts w:ascii="宋体" w:hAnsi="宋体" w:eastAsia="宋体"/>
                <w:sz w:val="20"/>
              </w:rPr>
              <w:t>在线考试</w:t>
            </w:r>
          </w:p>
        </w:tc>
        <w:tc>
          <w:tcPr>
            <w:tcW w:type="dxa" w:w="1385"/>
          </w:tcPr>
          <w:p>
            <w:r/>
            <w:r>
              <w:rPr>
                <w:rFonts w:ascii="宋体" w:hAnsi="宋体" w:eastAsia="宋体"/>
                <w:sz w:val="20"/>
              </w:rPr>
              <w:t>约$250</w:t>
            </w:r>
          </w:p>
        </w:tc>
        <w:tc>
          <w:tcPr>
            <w:tcW w:type="dxa" w:w="1385"/>
          </w:tcPr>
          <w:p>
            <w:r/>
            <w:r>
              <w:rPr>
                <w:rFonts w:ascii="宋体" w:hAnsi="宋体" w:eastAsia="宋体"/>
                <w:sz w:val="20"/>
              </w:rPr>
              <w:t>可选</w:t>
            </w:r>
          </w:p>
        </w:tc>
      </w:tr>
      <w:tr>
        <w:tc>
          <w:tcPr>
            <w:tcW w:type="dxa" w:w="1385"/>
          </w:tcPr>
          <w:p>
            <w:r/>
            <w:r>
              <w:rPr>
                <w:rFonts w:ascii="宋体" w:hAnsi="宋体" w:eastAsia="宋体"/>
                <w:sz w:val="20"/>
              </w:rPr>
              <w:t>Meta VR Developer</w:t>
            </w:r>
          </w:p>
        </w:tc>
        <w:tc>
          <w:tcPr>
            <w:tcW w:type="dxa" w:w="1385"/>
          </w:tcPr>
          <w:p>
            <w:r/>
            <w:r>
              <w:rPr>
                <w:rFonts w:ascii="宋体" w:hAnsi="宋体" w:eastAsia="宋体"/>
                <w:sz w:val="20"/>
              </w:rPr>
              <w:t>Meta</w:t>
            </w:r>
          </w:p>
        </w:tc>
        <w:tc>
          <w:tcPr>
            <w:tcW w:type="dxa" w:w="1385"/>
          </w:tcPr>
          <w:p>
            <w:r/>
            <w:r>
              <w:rPr>
                <w:rFonts w:ascii="宋体" w:hAnsi="宋体" w:eastAsia="宋体"/>
                <w:sz w:val="20"/>
              </w:rPr>
              <w:t>Quest开发</w:t>
            </w:r>
          </w:p>
        </w:tc>
        <w:tc>
          <w:tcPr>
            <w:tcW w:type="dxa" w:w="1385"/>
          </w:tcPr>
          <w:p>
            <w:r/>
            <w:r>
              <w:rPr>
                <w:rFonts w:ascii="宋体" w:hAnsi="宋体" w:eastAsia="宋体"/>
                <w:sz w:val="20"/>
              </w:rPr>
              <w:t>在线课程+测试</w:t>
            </w:r>
          </w:p>
        </w:tc>
        <w:tc>
          <w:tcPr>
            <w:tcW w:type="dxa" w:w="1385"/>
          </w:tcPr>
          <w:p>
            <w:r/>
            <w:r>
              <w:rPr>
                <w:rFonts w:ascii="宋体" w:hAnsi="宋体" w:eastAsia="宋体"/>
                <w:sz w:val="20"/>
              </w:rPr>
              <w:t>免费</w:t>
            </w:r>
          </w:p>
        </w:tc>
        <w:tc>
          <w:tcPr>
            <w:tcW w:type="dxa" w:w="1385"/>
          </w:tcPr>
          <w:p>
            <w:r/>
            <w:r>
              <w:rPr>
                <w:rFonts w:ascii="宋体" w:hAnsi="宋体" w:eastAsia="宋体"/>
                <w:sz w:val="20"/>
              </w:rPr>
              <w:t>推荐学习</w:t>
            </w:r>
          </w:p>
        </w:tc>
      </w:tr>
      <w:tr>
        <w:tc>
          <w:tcPr>
            <w:tcW w:type="dxa" w:w="1385"/>
          </w:tcPr>
          <w:p>
            <w:r/>
            <w:r>
              <w:rPr>
                <w:rFonts w:ascii="宋体" w:hAnsi="宋体" w:eastAsia="宋体"/>
                <w:sz w:val="20"/>
              </w:rPr>
              <w:t>Autodesk Certified Professional</w:t>
            </w:r>
          </w:p>
        </w:tc>
        <w:tc>
          <w:tcPr>
            <w:tcW w:type="dxa" w:w="1385"/>
          </w:tcPr>
          <w:p>
            <w:r/>
            <w:r>
              <w:rPr>
                <w:rFonts w:ascii="宋体" w:hAnsi="宋体" w:eastAsia="宋体"/>
                <w:sz w:val="20"/>
              </w:rPr>
              <w:t>Autodesk</w:t>
            </w:r>
          </w:p>
        </w:tc>
        <w:tc>
          <w:tcPr>
            <w:tcW w:type="dxa" w:w="1385"/>
          </w:tcPr>
          <w:p>
            <w:r/>
            <w:r>
              <w:rPr>
                <w:rFonts w:ascii="宋体" w:hAnsi="宋体" w:eastAsia="宋体"/>
                <w:sz w:val="20"/>
              </w:rPr>
              <w:t>3D建模</w:t>
            </w:r>
          </w:p>
        </w:tc>
        <w:tc>
          <w:tcPr>
            <w:tcW w:type="dxa" w:w="1385"/>
          </w:tcPr>
          <w:p>
            <w:r/>
            <w:r>
              <w:rPr>
                <w:rFonts w:ascii="宋体" w:hAnsi="宋体" w:eastAsia="宋体"/>
                <w:sz w:val="20"/>
              </w:rPr>
              <w:t>在线考试</w:t>
            </w:r>
          </w:p>
        </w:tc>
        <w:tc>
          <w:tcPr>
            <w:tcW w:type="dxa" w:w="1385"/>
          </w:tcPr>
          <w:p>
            <w:r/>
            <w:r>
              <w:rPr>
                <w:rFonts w:ascii="宋体" w:hAnsi="宋体" w:eastAsia="宋体"/>
                <w:sz w:val="20"/>
              </w:rPr>
              <w:t>约$200</w:t>
            </w:r>
          </w:p>
        </w:tc>
        <w:tc>
          <w:tcPr>
            <w:tcW w:type="dxa" w:w="1385"/>
          </w:tcPr>
          <w:p>
            <w:r/>
            <w:r>
              <w:rPr>
                <w:rFonts w:ascii="宋体" w:hAnsi="宋体" w:eastAsia="宋体"/>
                <w:sz w:val="20"/>
              </w:rPr>
              <w:t>可选</w:t>
            </w:r>
          </w:p>
        </w:tc>
      </w:tr>
      <w:tr>
        <w:tc>
          <w:tcPr>
            <w:tcW w:type="dxa" w:w="1385"/>
          </w:tcPr>
          <w:p>
            <w:r/>
            <w:r>
              <w:rPr>
                <w:rFonts w:ascii="宋体" w:hAnsi="宋体" w:eastAsia="宋体"/>
                <w:sz w:val="20"/>
              </w:rPr>
              <w:t>Adobe Certified Professional</w:t>
            </w:r>
          </w:p>
        </w:tc>
        <w:tc>
          <w:tcPr>
            <w:tcW w:type="dxa" w:w="1385"/>
          </w:tcPr>
          <w:p>
            <w:r/>
            <w:r>
              <w:rPr>
                <w:rFonts w:ascii="宋体" w:hAnsi="宋体" w:eastAsia="宋体"/>
                <w:sz w:val="20"/>
              </w:rPr>
              <w:t>Adobe</w:t>
            </w:r>
          </w:p>
        </w:tc>
        <w:tc>
          <w:tcPr>
            <w:tcW w:type="dxa" w:w="1385"/>
          </w:tcPr>
          <w:p>
            <w:r/>
            <w:r>
              <w:rPr>
                <w:rFonts w:ascii="宋体" w:hAnsi="宋体" w:eastAsia="宋体"/>
                <w:sz w:val="20"/>
              </w:rPr>
              <w:t>设计/视频</w:t>
            </w:r>
          </w:p>
        </w:tc>
        <w:tc>
          <w:tcPr>
            <w:tcW w:type="dxa" w:w="1385"/>
          </w:tcPr>
          <w:p>
            <w:r/>
            <w:r>
              <w:rPr>
                <w:rFonts w:ascii="宋体" w:hAnsi="宋体" w:eastAsia="宋体"/>
                <w:sz w:val="20"/>
              </w:rPr>
              <w:t>在线考试</w:t>
            </w:r>
          </w:p>
        </w:tc>
        <w:tc>
          <w:tcPr>
            <w:tcW w:type="dxa" w:w="1385"/>
          </w:tcPr>
          <w:p>
            <w:r/>
            <w:r>
              <w:rPr>
                <w:rFonts w:ascii="宋体" w:hAnsi="宋体" w:eastAsia="宋体"/>
                <w:sz w:val="20"/>
              </w:rPr>
              <w:t>约$200</w:t>
            </w:r>
          </w:p>
        </w:tc>
        <w:tc>
          <w:tcPr>
            <w:tcW w:type="dxa" w:w="1385"/>
          </w:tcPr>
          <w:p>
            <w:r/>
            <w:r>
              <w:rPr>
                <w:rFonts w:ascii="宋体" w:hAnsi="宋体" w:eastAsia="宋体"/>
                <w:sz w:val="20"/>
              </w:rPr>
              <w:t>可选</w:t>
            </w:r>
          </w:p>
        </w:tc>
      </w:tr>
    </w:tbl>
    <w:p/>
    <w:p/>
    <w:p>
      <w:pPr>
        <w:pStyle w:val="Heading3"/>
      </w:pPr>
      <w:r>
        <w:t>F.9.2 认证与实训项目对接</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实训项目</w:t>
            </w:r>
          </w:p>
        </w:tc>
        <w:tc>
          <w:tcPr>
            <w:tcW w:type="dxa" w:w="2771"/>
            <w:shd w:fill="D9E2F3" w:val="clear"/>
          </w:tcPr>
          <w:p>
            <w:pPr>
              <w:jc w:val="center"/>
            </w:pPr>
            <w:r/>
            <w:r>
              <w:rPr>
                <w:rFonts w:ascii="黑体" w:hAnsi="黑体" w:eastAsia="黑体"/>
                <w:b/>
                <w:sz w:val="20"/>
              </w:rPr>
              <w:t>对接认证</w:t>
            </w:r>
          </w:p>
        </w:tc>
        <w:tc>
          <w:tcPr>
            <w:tcW w:type="dxa" w:w="2771"/>
            <w:shd w:fill="D9E2F3" w:val="clear"/>
          </w:tcPr>
          <w:p>
            <w:pPr>
              <w:jc w:val="center"/>
            </w:pPr>
            <w:r/>
            <w:r>
              <w:rPr>
                <w:rFonts w:ascii="黑体" w:hAnsi="黑体" w:eastAsia="黑体"/>
                <w:b/>
                <w:sz w:val="20"/>
              </w:rPr>
              <w:t>对接知识点</w:t>
            </w:r>
          </w:p>
        </w:tc>
      </w:tr>
      <w:tr>
        <w:tc>
          <w:tcPr>
            <w:tcW w:type="dxa" w:w="2771"/>
          </w:tcPr>
          <w:p>
            <w:r/>
            <w:r>
              <w:rPr>
                <w:rFonts w:ascii="宋体" w:hAnsi="宋体" w:eastAsia="宋体"/>
                <w:sz w:val="20"/>
              </w:rPr>
              <w:t>VR全景景区漫游</w:t>
            </w:r>
          </w:p>
        </w:tc>
        <w:tc>
          <w:tcPr>
            <w:tcW w:type="dxa" w:w="2771"/>
          </w:tcPr>
          <w:p>
            <w:r/>
            <w:r>
              <w:rPr>
                <w:rFonts w:ascii="宋体" w:hAnsi="宋体" w:eastAsia="宋体"/>
                <w:sz w:val="20"/>
              </w:rPr>
              <w:t>Unity VR Developer</w:t>
            </w:r>
          </w:p>
        </w:tc>
        <w:tc>
          <w:tcPr>
            <w:tcW w:type="dxa" w:w="2771"/>
          </w:tcPr>
          <w:p>
            <w:r/>
            <w:r>
              <w:rPr>
                <w:rFonts w:ascii="宋体" w:hAnsi="宋体" w:eastAsia="宋体"/>
                <w:sz w:val="20"/>
              </w:rPr>
              <w:t>Unity基础、WebGL、交互</w:t>
            </w:r>
          </w:p>
        </w:tc>
      </w:tr>
      <w:tr>
        <w:tc>
          <w:tcPr>
            <w:tcW w:type="dxa" w:w="2771"/>
          </w:tcPr>
          <w:p>
            <w:r/>
            <w:r>
              <w:rPr>
                <w:rFonts w:ascii="宋体" w:hAnsi="宋体" w:eastAsia="宋体"/>
                <w:sz w:val="20"/>
              </w:rPr>
              <w:t>AR文化导览应用</w:t>
            </w:r>
          </w:p>
        </w:tc>
        <w:tc>
          <w:tcPr>
            <w:tcW w:type="dxa" w:w="2771"/>
          </w:tcPr>
          <w:p>
            <w:r/>
            <w:r>
              <w:rPr>
                <w:rFonts w:ascii="宋体" w:hAnsi="宋体" w:eastAsia="宋体"/>
                <w:sz w:val="20"/>
              </w:rPr>
              <w:t>Unity VR Developer</w:t>
            </w:r>
          </w:p>
        </w:tc>
        <w:tc>
          <w:tcPr>
            <w:tcW w:type="dxa" w:w="2771"/>
          </w:tcPr>
          <w:p>
            <w:r/>
            <w:r>
              <w:rPr>
                <w:rFonts w:ascii="宋体" w:hAnsi="宋体" w:eastAsia="宋体"/>
                <w:sz w:val="20"/>
              </w:rPr>
              <w:t>AR Foundation、移动开发</w:t>
            </w:r>
          </w:p>
        </w:tc>
      </w:tr>
      <w:tr>
        <w:tc>
          <w:tcPr>
            <w:tcW w:type="dxa" w:w="2771"/>
          </w:tcPr>
          <w:p>
            <w:r/>
            <w:r>
              <w:rPr>
                <w:rFonts w:ascii="宋体" w:hAnsi="宋体" w:eastAsia="宋体"/>
                <w:sz w:val="20"/>
              </w:rPr>
              <w:t>沉浸式文旅元宇宙</w:t>
            </w:r>
          </w:p>
        </w:tc>
        <w:tc>
          <w:tcPr>
            <w:tcW w:type="dxa" w:w="2771"/>
          </w:tcPr>
          <w:p>
            <w:r/>
            <w:r>
              <w:rPr>
                <w:rFonts w:ascii="宋体" w:hAnsi="宋体" w:eastAsia="宋体"/>
                <w:sz w:val="20"/>
              </w:rPr>
              <w:t>Unity Programmer</w:t>
            </w:r>
          </w:p>
        </w:tc>
        <w:tc>
          <w:tcPr>
            <w:tcW w:type="dxa" w:w="2771"/>
          </w:tcPr>
          <w:p>
            <w:r/>
            <w:r>
              <w:rPr>
                <w:rFonts w:ascii="宋体" w:hAnsi="宋体" w:eastAsia="宋体"/>
                <w:sz w:val="20"/>
              </w:rPr>
              <w:t>网络编程、C#高级特性</w:t>
            </w:r>
          </w:p>
        </w:tc>
      </w:tr>
      <w:tr>
        <w:tc>
          <w:tcPr>
            <w:tcW w:type="dxa" w:w="2771"/>
          </w:tcPr>
          <w:p>
            <w:r/>
            <w:r>
              <w:rPr>
                <w:rFonts w:ascii="宋体" w:hAnsi="宋体" w:eastAsia="宋体"/>
                <w:sz w:val="20"/>
              </w:rPr>
              <w:t>博物馆VR虚拟展厅</w:t>
            </w:r>
          </w:p>
        </w:tc>
        <w:tc>
          <w:tcPr>
            <w:tcW w:type="dxa" w:w="2771"/>
          </w:tcPr>
          <w:p>
            <w:r/>
            <w:r>
              <w:rPr>
                <w:rFonts w:ascii="宋体" w:hAnsi="宋体" w:eastAsia="宋体"/>
                <w:sz w:val="20"/>
              </w:rPr>
              <w:t>Unity VR Developer</w:t>
            </w:r>
          </w:p>
        </w:tc>
        <w:tc>
          <w:tcPr>
            <w:tcW w:type="dxa" w:w="2771"/>
          </w:tcPr>
          <w:p>
            <w:r/>
            <w:r>
              <w:rPr>
                <w:rFonts w:ascii="宋体" w:hAnsi="宋体" w:eastAsia="宋体"/>
                <w:sz w:val="20"/>
              </w:rPr>
              <w:t>3D渲染、UI设计</w:t>
            </w:r>
          </w:p>
        </w:tc>
      </w:tr>
      <w:tr>
        <w:tc>
          <w:tcPr>
            <w:tcW w:type="dxa" w:w="2771"/>
          </w:tcPr>
          <w:p>
            <w:r/>
            <w:r>
              <w:rPr>
                <w:rFonts w:ascii="宋体" w:hAnsi="宋体" w:eastAsia="宋体"/>
                <w:sz w:val="20"/>
              </w:rPr>
              <w:t>古建筑VR复原</w:t>
            </w:r>
          </w:p>
        </w:tc>
        <w:tc>
          <w:tcPr>
            <w:tcW w:type="dxa" w:w="2771"/>
          </w:tcPr>
          <w:p>
            <w:r/>
            <w:r>
              <w:rPr>
                <w:rFonts w:ascii="宋体" w:hAnsi="宋体" w:eastAsia="宋体"/>
                <w:sz w:val="20"/>
              </w:rPr>
              <w:t>Autodesk Professional</w:t>
            </w:r>
          </w:p>
        </w:tc>
        <w:tc>
          <w:tcPr>
            <w:tcW w:type="dxa" w:w="2771"/>
          </w:tcPr>
          <w:p>
            <w:r/>
            <w:r>
              <w:rPr>
                <w:rFonts w:ascii="宋体" w:hAnsi="宋体" w:eastAsia="宋体"/>
                <w:sz w:val="20"/>
              </w:rPr>
              <w:t>Blender/Maya建模</w:t>
            </w:r>
          </w:p>
        </w:tc>
      </w:tr>
      <w:tr>
        <w:tc>
          <w:tcPr>
            <w:tcW w:type="dxa" w:w="2771"/>
          </w:tcPr>
          <w:p>
            <w:r/>
            <w:r>
              <w:rPr>
                <w:rFonts w:ascii="宋体" w:hAnsi="宋体" w:eastAsia="宋体"/>
                <w:sz w:val="20"/>
              </w:rPr>
              <w:t>多人VR协作教学</w:t>
            </w:r>
          </w:p>
        </w:tc>
        <w:tc>
          <w:tcPr>
            <w:tcW w:type="dxa" w:w="2771"/>
          </w:tcPr>
          <w:p>
            <w:r/>
            <w:r>
              <w:rPr>
                <w:rFonts w:ascii="宋体" w:hAnsi="宋体" w:eastAsia="宋体"/>
                <w:sz w:val="20"/>
              </w:rPr>
              <w:t>Unity Programmer</w:t>
            </w:r>
          </w:p>
        </w:tc>
        <w:tc>
          <w:tcPr>
            <w:tcW w:type="dxa" w:w="2771"/>
          </w:tcPr>
          <w:p>
            <w:r/>
            <w:r>
              <w:rPr>
                <w:rFonts w:ascii="宋体" w:hAnsi="宋体" w:eastAsia="宋体"/>
                <w:sz w:val="20"/>
              </w:rPr>
              <w:t>Photon网络、多线程</w:t>
            </w:r>
          </w:p>
        </w:tc>
      </w:tr>
    </w:tbl>
    <w:p/>
    <w:p/>
    <w:p>
      <w:pPr>
        <w:pStyle w:val="Heading3"/>
      </w:pPr>
      <w:r>
        <w:t>F.9.3 就业方向与技能要求</w:t>
      </w:r>
    </w:p>
    <w:p/>
    <w:p>
      <w:pPr>
        <w:ind w:firstLine="482"/>
      </w:pPr>
      <w:r>
        <w:rPr>
          <w:rFonts w:ascii="宋体" w:hAnsi="宋体" w:eastAsia="宋体"/>
          <w:sz w:val="24"/>
        </w:rPr>
        <w:t>VR/AR 沉浸式场景制作领域的就业方向和对应技能要求：</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就业方向</w:t>
            </w:r>
          </w:p>
        </w:tc>
        <w:tc>
          <w:tcPr>
            <w:tcW w:type="dxa" w:w="2078"/>
            <w:shd w:fill="D9E2F3" w:val="clear"/>
          </w:tcPr>
          <w:p>
            <w:pPr>
              <w:jc w:val="center"/>
            </w:pPr>
            <w:r/>
            <w:r>
              <w:rPr>
                <w:rFonts w:ascii="黑体" w:hAnsi="黑体" w:eastAsia="黑体"/>
                <w:b/>
                <w:sz w:val="20"/>
              </w:rPr>
              <w:t>典型岗位</w:t>
            </w:r>
          </w:p>
        </w:tc>
        <w:tc>
          <w:tcPr>
            <w:tcW w:type="dxa" w:w="2078"/>
            <w:shd w:fill="D9E2F3" w:val="clear"/>
          </w:tcPr>
          <w:p>
            <w:pPr>
              <w:jc w:val="center"/>
            </w:pPr>
            <w:r/>
            <w:r>
              <w:rPr>
                <w:rFonts w:ascii="黑体" w:hAnsi="黑体" w:eastAsia="黑体"/>
                <w:b/>
                <w:sz w:val="20"/>
              </w:rPr>
              <w:t>核心技能要求</w:t>
            </w:r>
          </w:p>
        </w:tc>
        <w:tc>
          <w:tcPr>
            <w:tcW w:type="dxa" w:w="2078"/>
            <w:shd w:fill="D9E2F3" w:val="clear"/>
          </w:tcPr>
          <w:p>
            <w:pPr>
              <w:jc w:val="center"/>
            </w:pPr>
            <w:r/>
            <w:r>
              <w:rPr>
                <w:rFonts w:ascii="黑体" w:hAnsi="黑体" w:eastAsia="黑体"/>
                <w:b/>
                <w:sz w:val="20"/>
              </w:rPr>
              <w:t>薪资范围(月薪)</w:t>
            </w:r>
          </w:p>
        </w:tc>
      </w:tr>
      <w:tr>
        <w:tc>
          <w:tcPr>
            <w:tcW w:type="dxa" w:w="2078"/>
          </w:tcPr>
          <w:p>
            <w:r/>
            <w:r>
              <w:rPr>
                <w:rFonts w:ascii="宋体" w:hAnsi="宋体" w:eastAsia="宋体"/>
                <w:sz w:val="20"/>
              </w:rPr>
              <w:t>VR/AR 开发工程师</w:t>
            </w:r>
          </w:p>
        </w:tc>
        <w:tc>
          <w:tcPr>
            <w:tcW w:type="dxa" w:w="2078"/>
          </w:tcPr>
          <w:p>
            <w:r/>
            <w:r>
              <w:rPr>
                <w:rFonts w:ascii="宋体" w:hAnsi="宋体" w:eastAsia="宋体"/>
                <w:sz w:val="20"/>
              </w:rPr>
              <w:t>Unity/Unreal开发</w:t>
            </w:r>
          </w:p>
        </w:tc>
        <w:tc>
          <w:tcPr>
            <w:tcW w:type="dxa" w:w="2078"/>
          </w:tcPr>
          <w:p>
            <w:r/>
            <w:r>
              <w:rPr>
                <w:rFonts w:ascii="宋体" w:hAnsi="宋体" w:eastAsia="宋体"/>
                <w:sz w:val="20"/>
              </w:rPr>
              <w:t>C#、Unity、VR SDK</w:t>
            </w:r>
          </w:p>
        </w:tc>
        <w:tc>
          <w:tcPr>
            <w:tcW w:type="dxa" w:w="2078"/>
          </w:tcPr>
          <w:p>
            <w:r/>
            <w:r>
              <w:rPr>
                <w:rFonts w:ascii="宋体" w:hAnsi="宋体" w:eastAsia="宋体"/>
                <w:sz w:val="20"/>
              </w:rPr>
              <w:t>12-30K</w:t>
            </w:r>
          </w:p>
        </w:tc>
      </w:tr>
      <w:tr>
        <w:tc>
          <w:tcPr>
            <w:tcW w:type="dxa" w:w="2078"/>
          </w:tcPr>
          <w:p>
            <w:r/>
            <w:r>
              <w:rPr>
                <w:rFonts w:ascii="宋体" w:hAnsi="宋体" w:eastAsia="宋体"/>
                <w:sz w:val="20"/>
              </w:rPr>
              <w:t>3D 建模师</w:t>
            </w:r>
          </w:p>
        </w:tc>
        <w:tc>
          <w:tcPr>
            <w:tcW w:type="dxa" w:w="2078"/>
          </w:tcPr>
          <w:p>
            <w:r/>
            <w:r>
              <w:rPr>
                <w:rFonts w:ascii="宋体" w:hAnsi="宋体" w:eastAsia="宋体"/>
                <w:sz w:val="20"/>
              </w:rPr>
              <w:t>场景/角色建模</w:t>
            </w:r>
          </w:p>
        </w:tc>
        <w:tc>
          <w:tcPr>
            <w:tcW w:type="dxa" w:w="2078"/>
          </w:tcPr>
          <w:p>
            <w:r/>
            <w:r>
              <w:rPr>
                <w:rFonts w:ascii="宋体" w:hAnsi="宋体" w:eastAsia="宋体"/>
                <w:sz w:val="20"/>
              </w:rPr>
              <w:t>Blender/Maya、PBR、UV</w:t>
            </w:r>
          </w:p>
        </w:tc>
        <w:tc>
          <w:tcPr>
            <w:tcW w:type="dxa" w:w="2078"/>
          </w:tcPr>
          <w:p>
            <w:r/>
            <w:r>
              <w:rPr>
                <w:rFonts w:ascii="宋体" w:hAnsi="宋体" w:eastAsia="宋体"/>
                <w:sz w:val="20"/>
              </w:rPr>
              <w:t>8-20K</w:t>
            </w:r>
          </w:p>
        </w:tc>
      </w:tr>
      <w:tr>
        <w:tc>
          <w:tcPr>
            <w:tcW w:type="dxa" w:w="2078"/>
          </w:tcPr>
          <w:p>
            <w:r/>
            <w:r>
              <w:rPr>
                <w:rFonts w:ascii="宋体" w:hAnsi="宋体" w:eastAsia="宋体"/>
                <w:sz w:val="20"/>
              </w:rPr>
              <w:t>技术美术(TA)</w:t>
            </w:r>
          </w:p>
        </w:tc>
        <w:tc>
          <w:tcPr>
            <w:tcW w:type="dxa" w:w="2078"/>
          </w:tcPr>
          <w:p>
            <w:r/>
            <w:r>
              <w:rPr>
                <w:rFonts w:ascii="宋体" w:hAnsi="宋体" w:eastAsia="宋体"/>
                <w:sz w:val="20"/>
              </w:rPr>
              <w:t>Shader/工具开发</w:t>
            </w:r>
          </w:p>
        </w:tc>
        <w:tc>
          <w:tcPr>
            <w:tcW w:type="dxa" w:w="2078"/>
          </w:tcPr>
          <w:p>
            <w:r/>
            <w:r>
              <w:rPr>
                <w:rFonts w:ascii="宋体" w:hAnsi="宋体" w:eastAsia="宋体"/>
                <w:sz w:val="20"/>
              </w:rPr>
              <w:t>编程+美术、Shader、优化</w:t>
            </w:r>
          </w:p>
        </w:tc>
        <w:tc>
          <w:tcPr>
            <w:tcW w:type="dxa" w:w="2078"/>
          </w:tcPr>
          <w:p>
            <w:r/>
            <w:r>
              <w:rPr>
                <w:rFonts w:ascii="宋体" w:hAnsi="宋体" w:eastAsia="宋体"/>
                <w:sz w:val="20"/>
              </w:rPr>
              <w:t>15-35K</w:t>
            </w:r>
          </w:p>
        </w:tc>
      </w:tr>
      <w:tr>
        <w:tc>
          <w:tcPr>
            <w:tcW w:type="dxa" w:w="2078"/>
          </w:tcPr>
          <w:p>
            <w:r/>
            <w:r>
              <w:rPr>
                <w:rFonts w:ascii="宋体" w:hAnsi="宋体" w:eastAsia="宋体"/>
                <w:sz w:val="20"/>
              </w:rPr>
              <w:t>VR/AR 产品经理</w:t>
            </w:r>
          </w:p>
        </w:tc>
        <w:tc>
          <w:tcPr>
            <w:tcW w:type="dxa" w:w="2078"/>
          </w:tcPr>
          <w:p>
            <w:r/>
            <w:r>
              <w:rPr>
                <w:rFonts w:ascii="宋体" w:hAnsi="宋体" w:eastAsia="宋体"/>
                <w:sz w:val="20"/>
              </w:rPr>
              <w:t>产品设计</w:t>
            </w:r>
          </w:p>
        </w:tc>
        <w:tc>
          <w:tcPr>
            <w:tcW w:type="dxa" w:w="2078"/>
          </w:tcPr>
          <w:p>
            <w:r/>
            <w:r>
              <w:rPr>
                <w:rFonts w:ascii="宋体" w:hAnsi="宋体" w:eastAsia="宋体"/>
                <w:sz w:val="20"/>
              </w:rPr>
              <w:t>VR/AR技术理解、产品设计</w:t>
            </w:r>
          </w:p>
        </w:tc>
        <w:tc>
          <w:tcPr>
            <w:tcW w:type="dxa" w:w="2078"/>
          </w:tcPr>
          <w:p>
            <w:r/>
            <w:r>
              <w:rPr>
                <w:rFonts w:ascii="宋体" w:hAnsi="宋体" w:eastAsia="宋体"/>
                <w:sz w:val="20"/>
              </w:rPr>
              <w:t>15-30K</w:t>
            </w:r>
          </w:p>
        </w:tc>
      </w:tr>
      <w:tr>
        <w:tc>
          <w:tcPr>
            <w:tcW w:type="dxa" w:w="2078"/>
          </w:tcPr>
          <w:p>
            <w:r/>
            <w:r>
              <w:rPr>
                <w:rFonts w:ascii="宋体" w:hAnsi="宋体" w:eastAsia="宋体"/>
                <w:sz w:val="20"/>
              </w:rPr>
              <w:t>沉浸式内容策划</w:t>
            </w:r>
          </w:p>
        </w:tc>
        <w:tc>
          <w:tcPr>
            <w:tcW w:type="dxa" w:w="2078"/>
          </w:tcPr>
          <w:p>
            <w:r/>
            <w:r>
              <w:rPr>
                <w:rFonts w:ascii="宋体" w:hAnsi="宋体" w:eastAsia="宋体"/>
                <w:sz w:val="20"/>
              </w:rPr>
              <w:t>文旅/文化内容</w:t>
            </w:r>
          </w:p>
        </w:tc>
        <w:tc>
          <w:tcPr>
            <w:tcW w:type="dxa" w:w="2078"/>
          </w:tcPr>
          <w:p>
            <w:r/>
            <w:r>
              <w:rPr>
                <w:rFonts w:ascii="宋体" w:hAnsi="宋体" w:eastAsia="宋体"/>
                <w:sz w:val="20"/>
              </w:rPr>
              <w:t>文化研究、叙事设计</w:t>
            </w:r>
          </w:p>
        </w:tc>
        <w:tc>
          <w:tcPr>
            <w:tcW w:type="dxa" w:w="2078"/>
          </w:tcPr>
          <w:p>
            <w:r/>
            <w:r>
              <w:rPr>
                <w:rFonts w:ascii="宋体" w:hAnsi="宋体" w:eastAsia="宋体"/>
                <w:sz w:val="20"/>
              </w:rPr>
              <w:t>8-18K</w:t>
            </w:r>
          </w:p>
        </w:tc>
      </w:tr>
      <w:tr>
        <w:tc>
          <w:tcPr>
            <w:tcW w:type="dxa" w:w="2078"/>
          </w:tcPr>
          <w:p>
            <w:r/>
            <w:r>
              <w:rPr>
                <w:rFonts w:ascii="宋体" w:hAnsi="宋体" w:eastAsia="宋体"/>
                <w:sz w:val="20"/>
              </w:rPr>
              <w:t>VR/AR 测试工程师</w:t>
            </w:r>
          </w:p>
        </w:tc>
        <w:tc>
          <w:tcPr>
            <w:tcW w:type="dxa" w:w="2078"/>
          </w:tcPr>
          <w:p>
            <w:r/>
            <w:r>
              <w:rPr>
                <w:rFonts w:ascii="宋体" w:hAnsi="宋体" w:eastAsia="宋体"/>
                <w:sz w:val="20"/>
              </w:rPr>
              <w:t>质量保证</w:t>
            </w:r>
          </w:p>
        </w:tc>
        <w:tc>
          <w:tcPr>
            <w:tcW w:type="dxa" w:w="2078"/>
          </w:tcPr>
          <w:p>
            <w:r/>
            <w:r>
              <w:rPr>
                <w:rFonts w:ascii="宋体" w:hAnsi="宋体" w:eastAsia="宋体"/>
                <w:sz w:val="20"/>
              </w:rPr>
              <w:t>测试方法、性能分析</w:t>
            </w:r>
          </w:p>
        </w:tc>
        <w:tc>
          <w:tcPr>
            <w:tcW w:type="dxa" w:w="2078"/>
          </w:tcPr>
          <w:p>
            <w:r/>
            <w:r>
              <w:rPr>
                <w:rFonts w:ascii="宋体" w:hAnsi="宋体" w:eastAsia="宋体"/>
                <w:sz w:val="20"/>
              </w:rPr>
              <w:t>8-15K</w:t>
            </w:r>
          </w:p>
        </w:tc>
      </w:tr>
      <w:tr>
        <w:tc>
          <w:tcPr>
            <w:tcW w:type="dxa" w:w="2078"/>
          </w:tcPr>
          <w:p>
            <w:r/>
            <w:r>
              <w:rPr>
                <w:rFonts w:ascii="宋体" w:hAnsi="宋体" w:eastAsia="宋体"/>
                <w:sz w:val="20"/>
              </w:rPr>
              <w:t>文旅数字化顾问</w:t>
            </w:r>
          </w:p>
        </w:tc>
        <w:tc>
          <w:tcPr>
            <w:tcW w:type="dxa" w:w="2078"/>
          </w:tcPr>
          <w:p>
            <w:r/>
            <w:r>
              <w:rPr>
                <w:rFonts w:ascii="宋体" w:hAnsi="宋体" w:eastAsia="宋体"/>
                <w:sz w:val="20"/>
              </w:rPr>
              <w:t>项目咨询</w:t>
            </w:r>
          </w:p>
        </w:tc>
        <w:tc>
          <w:tcPr>
            <w:tcW w:type="dxa" w:w="2078"/>
          </w:tcPr>
          <w:p>
            <w:r/>
            <w:r>
              <w:rPr>
                <w:rFonts w:ascii="宋体" w:hAnsi="宋体" w:eastAsia="宋体"/>
                <w:sz w:val="20"/>
              </w:rPr>
              <w:t>VR/AR+文旅知识</w:t>
            </w:r>
          </w:p>
        </w:tc>
        <w:tc>
          <w:tcPr>
            <w:tcW w:type="dxa" w:w="2078"/>
          </w:tcPr>
          <w:p>
            <w:r/>
            <w:r>
              <w:rPr>
                <w:rFonts w:ascii="宋体" w:hAnsi="宋体" w:eastAsia="宋体"/>
                <w:sz w:val="20"/>
              </w:rPr>
              <w:t>15-25K</w:t>
            </w:r>
          </w:p>
        </w:tc>
      </w:tr>
    </w:tbl>
    <w:p/>
    <w:p/>
    <w:p/>
    <w:p/>
    <w:p/>
    <w:p>
      <w:pPr>
        <w:pStyle w:val="Heading2"/>
      </w:pPr>
      <w:r>
        <w:t>F.10 实训项目与毕业设计衔接</w:t>
      </w:r>
    </w:p>
    <w:p/>
    <w:p>
      <w:pPr>
        <w:ind w:firstLine="482"/>
      </w:pPr>
      <w:r>
        <w:rPr>
          <w:rFonts w:ascii="宋体" w:hAnsi="宋体" w:eastAsia="宋体"/>
          <w:sz w:val="24"/>
        </w:rPr>
        <w:t>本教材的实训项目可以作为学生毕业设计的选题基础。建议学生在完成课程实训后，选择其中一个方向进行深化研究，形成毕业设计课题：</w:t>
      </w:r>
    </w:p>
    <w:p/>
    <w:p>
      <w:pPr>
        <w:ind w:firstLine="482"/>
      </w:pPr>
      <w:r>
        <w:rPr>
          <w:rFonts w:ascii="宋体" w:hAnsi="宋体" w:eastAsia="宋体"/>
          <w:b/>
          <w:sz w:val="24"/>
        </w:rPr>
        <w:t>深化方向一：技术深化</w:t>
      </w:r>
      <w:r>
        <w:rPr>
          <w:rFonts w:ascii="宋体" w:hAnsi="宋体" w:eastAsia="宋体"/>
          <w:sz w:val="24"/>
        </w:rPr>
        <w:t>。在课程实训项目的基础上，引入更先进的技术——如将 VR 全景升级为 6DoF 体积视频、将 AR 图像追踪升级为 AI 场景理解、将元宇宙项目集成更多 AI 能力。技术深化型毕业设计应体现技术前沿性和创新性，需要有对比实验和性能评估。</w:t>
      </w:r>
    </w:p>
    <w:p/>
    <w:p>
      <w:pPr>
        <w:ind w:firstLine="482"/>
      </w:pPr>
      <w:r>
        <w:rPr>
          <w:rFonts w:ascii="宋体" w:hAnsi="宋体" w:eastAsia="宋体"/>
          <w:b/>
          <w:sz w:val="24"/>
        </w:rPr>
        <w:t>深化方向二：应用拓展</w:t>
      </w:r>
      <w:r>
        <w:rPr>
          <w:rFonts w:ascii="宋体" w:hAnsi="宋体" w:eastAsia="宋体"/>
          <w:sz w:val="24"/>
        </w:rPr>
        <w:t>。将课程实训项目的方法论迁移到新的应用领域——如将文旅 VR 方法论应用于医疗教育培训、将文化遗产数字化方法应用于工业遗产保护、将 AR 导览方法应用于工厂安全培训。应用拓展型毕业设计应体现方法的通用性和可迁移性，需要有领域分析和适配方案。</w:t>
      </w:r>
    </w:p>
    <w:p/>
    <w:p>
      <w:pPr>
        <w:ind w:firstLine="482"/>
      </w:pPr>
      <w:r>
        <w:rPr>
          <w:rFonts w:ascii="宋体" w:hAnsi="宋体" w:eastAsia="宋体"/>
          <w:b/>
          <w:sz w:val="24"/>
        </w:rPr>
        <w:t>深化方向三：研究探索</w:t>
      </w:r>
      <w:r>
        <w:rPr>
          <w:rFonts w:ascii="宋体" w:hAnsi="宋体" w:eastAsia="宋体"/>
          <w:sz w:val="24"/>
        </w:rPr>
        <w:t>。针对实训过程中发现的问题进行深入研究——如 VR 眩晕的个体差异因素、AR 追踪稳定性的环境影响、AI NPC 对话的文化适应性等。研究探索型毕业设计应体现学术规范性，需要有文献综述、实验设计和数据分析。</w:t>
      </w:r>
    </w:p>
    <w:p/>
    <w:p>
      <w:pPr>
        <w:ind w:firstLine="482"/>
      </w:pPr>
      <w:r>
        <w:rPr>
          <w:rFonts w:ascii="宋体" w:hAnsi="宋体" w:eastAsia="宋体"/>
          <w:sz w:val="24"/>
        </w:rPr>
        <w:t>无论选择哪个深化方向，毕业设计都应在课程实训项目的基础上有明显的提升和扩展，体现学生独立研究和创新的能力。建议学生在课程实训阶段就考虑毕业设计的选题方向，有意识地积累相关素材和数据。</w:t>
      </w:r>
    </w:p>
    <w:p/>
    <w:p>
      <w:r>
        <w:br w:type="page"/>
      </w:r>
    </w:p>
    <w:p>
      <w:pPr>
        <w:pStyle w:val="Heading1"/>
      </w:pPr>
      <w:r>
        <w:t>附录 G：VR/AR 沉浸式技术发展大事记</w:t>
      </w:r>
    </w:p>
    <w:p/>
    <w:p>
      <w:pPr>
        <w:ind w:firstLine="482"/>
      </w:pPr>
      <w:r>
        <w:rPr>
          <w:rFonts w:ascii="宋体" w:hAnsi="宋体" w:eastAsia="宋体"/>
          <w:sz w:val="24"/>
        </w:rPr>
        <w:t>本附录按时间顺序记录 VR/AR 沉浸式技术发展过程中的重要事件，帮助读者了解技术演进脉络和未来趋势。</w:t>
      </w:r>
    </w:p>
    <w:p/>
    <w:p>
      <w:pPr>
        <w:pStyle w:val="Heading2"/>
      </w:pPr>
      <w:r>
        <w:t>G.1 1960s：VR 概念诞生</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年份</w:t>
            </w:r>
          </w:p>
        </w:tc>
        <w:tc>
          <w:tcPr>
            <w:tcW w:type="dxa" w:w="2771"/>
            <w:shd w:fill="D9E2F3" w:val="clear"/>
          </w:tcPr>
          <w:p>
            <w:pPr>
              <w:jc w:val="center"/>
            </w:pPr>
            <w:r/>
            <w:r>
              <w:rPr>
                <w:rFonts w:ascii="黑体" w:hAnsi="黑体" w:eastAsia="黑体"/>
                <w:b/>
                <w:sz w:val="20"/>
              </w:rPr>
              <w:t>事件</w:t>
            </w:r>
          </w:p>
        </w:tc>
        <w:tc>
          <w:tcPr>
            <w:tcW w:type="dxa" w:w="2771"/>
            <w:shd w:fill="D9E2F3" w:val="clear"/>
          </w:tcPr>
          <w:p>
            <w:pPr>
              <w:jc w:val="center"/>
            </w:pPr>
            <w:r/>
            <w:r>
              <w:rPr>
                <w:rFonts w:ascii="黑体" w:hAnsi="黑体" w:eastAsia="黑体"/>
                <w:b/>
                <w:sz w:val="20"/>
              </w:rPr>
              <w:t>意义</w:t>
            </w:r>
          </w:p>
        </w:tc>
      </w:tr>
      <w:tr>
        <w:tc>
          <w:tcPr>
            <w:tcW w:type="dxa" w:w="2771"/>
          </w:tcPr>
          <w:p>
            <w:r/>
            <w:r>
              <w:rPr>
                <w:rFonts w:ascii="宋体" w:hAnsi="宋体" w:eastAsia="宋体"/>
                <w:sz w:val="20"/>
              </w:rPr>
              <w:t>1962</w:t>
            </w:r>
          </w:p>
        </w:tc>
        <w:tc>
          <w:tcPr>
            <w:tcW w:type="dxa" w:w="2771"/>
          </w:tcPr>
          <w:p>
            <w:r/>
            <w:r>
              <w:rPr>
                <w:rFonts w:ascii="宋体" w:hAnsi="宋体" w:eastAsia="宋体"/>
                <w:sz w:val="20"/>
              </w:rPr>
              <w:t>Morton Heilig 发明 Sensorama</w:t>
            </w:r>
          </w:p>
        </w:tc>
        <w:tc>
          <w:tcPr>
            <w:tcW w:type="dxa" w:w="2771"/>
          </w:tcPr>
          <w:p>
            <w:r/>
            <w:r>
              <w:rPr>
                <w:rFonts w:ascii="宋体" w:hAnsi="宋体" w:eastAsia="宋体"/>
                <w:sz w:val="20"/>
              </w:rPr>
              <w:t>首台多感官模拟设备，VR概念先驱</w:t>
            </w:r>
          </w:p>
        </w:tc>
      </w:tr>
      <w:tr>
        <w:tc>
          <w:tcPr>
            <w:tcW w:type="dxa" w:w="2771"/>
          </w:tcPr>
          <w:p>
            <w:r/>
            <w:r>
              <w:rPr>
                <w:rFonts w:ascii="宋体" w:hAnsi="宋体" w:eastAsia="宋体"/>
                <w:sz w:val="20"/>
              </w:rPr>
              <w:t>1965</w:t>
            </w:r>
          </w:p>
        </w:tc>
        <w:tc>
          <w:tcPr>
            <w:tcW w:type="dxa" w:w="2771"/>
          </w:tcPr>
          <w:p>
            <w:r/>
            <w:r>
              <w:rPr>
                <w:rFonts w:ascii="宋体" w:hAnsi="宋体" w:eastAsia="宋体"/>
                <w:sz w:val="20"/>
              </w:rPr>
              <w:t>Ivan Sutherland 发表《The Ultimate Display》</w:t>
            </w:r>
          </w:p>
        </w:tc>
        <w:tc>
          <w:tcPr>
            <w:tcW w:type="dxa" w:w="2771"/>
          </w:tcPr>
          <w:p>
            <w:r/>
            <w:r>
              <w:rPr>
                <w:rFonts w:ascii="宋体" w:hAnsi="宋体" w:eastAsia="宋体"/>
                <w:sz w:val="20"/>
              </w:rPr>
              <w:t>提出 VR 的理论构想</w:t>
            </w:r>
          </w:p>
        </w:tc>
      </w:tr>
      <w:tr>
        <w:tc>
          <w:tcPr>
            <w:tcW w:type="dxa" w:w="2771"/>
          </w:tcPr>
          <w:p>
            <w:r/>
            <w:r>
              <w:rPr>
                <w:rFonts w:ascii="宋体" w:hAnsi="宋体" w:eastAsia="宋体"/>
                <w:sz w:val="20"/>
              </w:rPr>
              <w:t>1968</w:t>
            </w:r>
          </w:p>
        </w:tc>
        <w:tc>
          <w:tcPr>
            <w:tcW w:type="dxa" w:w="2771"/>
          </w:tcPr>
          <w:p>
            <w:r/>
            <w:r>
              <w:rPr>
                <w:rFonts w:ascii="宋体" w:hAnsi="宋体" w:eastAsia="宋体"/>
                <w:sz w:val="20"/>
              </w:rPr>
              <w:t>Sutherland 开发第一个 VR HMD 系统</w:t>
            </w:r>
          </w:p>
        </w:tc>
        <w:tc>
          <w:tcPr>
            <w:tcW w:type="dxa" w:w="2771"/>
          </w:tcPr>
          <w:p>
            <w:r/>
            <w:r>
              <w:rPr>
                <w:rFonts w:ascii="宋体" w:hAnsi="宋体" w:eastAsia="宋体"/>
                <w:sz w:val="20"/>
              </w:rPr>
              <w:t>被称为"达摩克利斯之剑"，首个计算机图形VR头显</w:t>
            </w:r>
          </w:p>
        </w:tc>
      </w:tr>
    </w:tbl>
    <w:p/>
    <w:p/>
    <w:p>
      <w:pPr>
        <w:pStyle w:val="Heading2"/>
      </w:pPr>
      <w:r>
        <w:t>G.2 1980s：VR 术语确立</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年份</w:t>
            </w:r>
          </w:p>
        </w:tc>
        <w:tc>
          <w:tcPr>
            <w:tcW w:type="dxa" w:w="2771"/>
            <w:shd w:fill="D9E2F3" w:val="clear"/>
          </w:tcPr>
          <w:p>
            <w:pPr>
              <w:jc w:val="center"/>
            </w:pPr>
            <w:r/>
            <w:r>
              <w:rPr>
                <w:rFonts w:ascii="黑体" w:hAnsi="黑体" w:eastAsia="黑体"/>
                <w:b/>
                <w:sz w:val="20"/>
              </w:rPr>
              <w:t>事件</w:t>
            </w:r>
          </w:p>
        </w:tc>
        <w:tc>
          <w:tcPr>
            <w:tcW w:type="dxa" w:w="2771"/>
            <w:shd w:fill="D9E2F3" w:val="clear"/>
          </w:tcPr>
          <w:p>
            <w:pPr>
              <w:jc w:val="center"/>
            </w:pPr>
            <w:r/>
            <w:r>
              <w:rPr>
                <w:rFonts w:ascii="黑体" w:hAnsi="黑体" w:eastAsia="黑体"/>
                <w:b/>
                <w:sz w:val="20"/>
              </w:rPr>
              <w:t>意义</w:t>
            </w:r>
          </w:p>
        </w:tc>
      </w:tr>
      <w:tr>
        <w:tc>
          <w:tcPr>
            <w:tcW w:type="dxa" w:w="2771"/>
          </w:tcPr>
          <w:p>
            <w:r/>
            <w:r>
              <w:rPr>
                <w:rFonts w:ascii="宋体" w:hAnsi="宋体" w:eastAsia="宋体"/>
                <w:sz w:val="20"/>
              </w:rPr>
              <w:t>1985</w:t>
            </w:r>
          </w:p>
        </w:tc>
        <w:tc>
          <w:tcPr>
            <w:tcW w:type="dxa" w:w="2771"/>
          </w:tcPr>
          <w:p>
            <w:r/>
            <w:r>
              <w:rPr>
                <w:rFonts w:ascii="宋体" w:hAnsi="宋体" w:eastAsia="宋体"/>
                <w:sz w:val="20"/>
              </w:rPr>
              <w:t>NASA Ames 研究中心开发 VIEW VR 系统</w:t>
            </w:r>
          </w:p>
        </w:tc>
        <w:tc>
          <w:tcPr>
            <w:tcW w:type="dxa" w:w="2771"/>
          </w:tcPr>
          <w:p>
            <w:r/>
            <w:r>
              <w:rPr>
                <w:rFonts w:ascii="宋体" w:hAnsi="宋体" w:eastAsia="宋体"/>
                <w:sz w:val="20"/>
              </w:rPr>
              <w:t>首个实用的 VR 系统原型</w:t>
            </w:r>
          </w:p>
        </w:tc>
      </w:tr>
      <w:tr>
        <w:tc>
          <w:tcPr>
            <w:tcW w:type="dxa" w:w="2771"/>
          </w:tcPr>
          <w:p>
            <w:r/>
            <w:r>
              <w:rPr>
                <w:rFonts w:ascii="宋体" w:hAnsi="宋体" w:eastAsia="宋体"/>
                <w:sz w:val="20"/>
              </w:rPr>
              <w:t>1987</w:t>
            </w:r>
          </w:p>
        </w:tc>
        <w:tc>
          <w:tcPr>
            <w:tcW w:type="dxa" w:w="2771"/>
          </w:tcPr>
          <w:p>
            <w:r/>
            <w:r>
              <w:rPr>
                <w:rFonts w:ascii="宋体" w:hAnsi="宋体" w:eastAsia="宋体"/>
                <w:sz w:val="20"/>
              </w:rPr>
              <w:t>Jaron Lanier 创造"Virtual Reality"一词</w:t>
            </w:r>
          </w:p>
        </w:tc>
        <w:tc>
          <w:tcPr>
            <w:tcW w:type="dxa" w:w="2771"/>
          </w:tcPr>
          <w:p>
            <w:r/>
            <w:r>
              <w:rPr>
                <w:rFonts w:ascii="宋体" w:hAnsi="宋体" w:eastAsia="宋体"/>
                <w:sz w:val="20"/>
              </w:rPr>
              <w:t>VR 术语正式确立</w:t>
            </w:r>
          </w:p>
        </w:tc>
      </w:tr>
      <w:tr>
        <w:tc>
          <w:tcPr>
            <w:tcW w:type="dxa" w:w="2771"/>
          </w:tcPr>
          <w:p>
            <w:r/>
            <w:r>
              <w:rPr>
                <w:rFonts w:ascii="宋体" w:hAnsi="宋体" w:eastAsia="宋体"/>
                <w:sz w:val="20"/>
              </w:rPr>
              <w:t>1989</w:t>
            </w:r>
          </w:p>
        </w:tc>
        <w:tc>
          <w:tcPr>
            <w:tcW w:type="dxa" w:w="2771"/>
          </w:tcPr>
          <w:p>
            <w:r/>
            <w:r>
              <w:rPr>
                <w:rFonts w:ascii="宋体" w:hAnsi="宋体" w:eastAsia="宋体"/>
                <w:sz w:val="20"/>
              </w:rPr>
              <w:t>VPL Research 推出 DataGlove</w:t>
            </w:r>
          </w:p>
        </w:tc>
        <w:tc>
          <w:tcPr>
            <w:tcW w:type="dxa" w:w="2771"/>
          </w:tcPr>
          <w:p>
            <w:r/>
            <w:r>
              <w:rPr>
                <w:rFonts w:ascii="宋体" w:hAnsi="宋体" w:eastAsia="宋体"/>
                <w:sz w:val="20"/>
              </w:rPr>
              <w:t>首个商业化 VR 数据手套</w:t>
            </w:r>
          </w:p>
        </w:tc>
      </w:tr>
    </w:tbl>
    <w:p/>
    <w:p/>
    <w:p>
      <w:pPr>
        <w:pStyle w:val="Heading2"/>
      </w:pPr>
      <w:r>
        <w:t>G.3 1990s：VR/AR 商业化探索</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年份</w:t>
            </w:r>
          </w:p>
        </w:tc>
        <w:tc>
          <w:tcPr>
            <w:tcW w:type="dxa" w:w="2771"/>
            <w:shd w:fill="D9E2F3" w:val="clear"/>
          </w:tcPr>
          <w:p>
            <w:pPr>
              <w:jc w:val="center"/>
            </w:pPr>
            <w:r/>
            <w:r>
              <w:rPr>
                <w:rFonts w:ascii="黑体" w:hAnsi="黑体" w:eastAsia="黑体"/>
                <w:b/>
                <w:sz w:val="20"/>
              </w:rPr>
              <w:t>事件</w:t>
            </w:r>
          </w:p>
        </w:tc>
        <w:tc>
          <w:tcPr>
            <w:tcW w:type="dxa" w:w="2771"/>
            <w:shd w:fill="D9E2F3" w:val="clear"/>
          </w:tcPr>
          <w:p>
            <w:pPr>
              <w:jc w:val="center"/>
            </w:pPr>
            <w:r/>
            <w:r>
              <w:rPr>
                <w:rFonts w:ascii="黑体" w:hAnsi="黑体" w:eastAsia="黑体"/>
                <w:b/>
                <w:sz w:val="20"/>
              </w:rPr>
              <w:t>意义</w:t>
            </w:r>
          </w:p>
        </w:tc>
      </w:tr>
      <w:tr>
        <w:tc>
          <w:tcPr>
            <w:tcW w:type="dxa" w:w="2771"/>
          </w:tcPr>
          <w:p>
            <w:r/>
            <w:r>
              <w:rPr>
                <w:rFonts w:ascii="宋体" w:hAnsi="宋体" w:eastAsia="宋体"/>
                <w:sz w:val="20"/>
              </w:rPr>
              <w:t>1992</w:t>
            </w:r>
          </w:p>
        </w:tc>
        <w:tc>
          <w:tcPr>
            <w:tcW w:type="dxa" w:w="2771"/>
          </w:tcPr>
          <w:p>
            <w:r/>
            <w:r>
              <w:rPr>
                <w:rFonts w:ascii="宋体" w:hAnsi="宋体" w:eastAsia="宋体"/>
                <w:sz w:val="20"/>
              </w:rPr>
              <w:t>Tom Caudell 提出"Augmented Reality"一词</w:t>
            </w:r>
          </w:p>
        </w:tc>
        <w:tc>
          <w:tcPr>
            <w:tcW w:type="dxa" w:w="2771"/>
          </w:tcPr>
          <w:p>
            <w:r/>
            <w:r>
              <w:rPr>
                <w:rFonts w:ascii="宋体" w:hAnsi="宋体" w:eastAsia="宋体"/>
                <w:sz w:val="20"/>
              </w:rPr>
              <w:t>AR 术语正式确立</w:t>
            </w:r>
          </w:p>
        </w:tc>
      </w:tr>
      <w:tr>
        <w:tc>
          <w:tcPr>
            <w:tcW w:type="dxa" w:w="2771"/>
          </w:tcPr>
          <w:p>
            <w:r/>
            <w:r>
              <w:rPr>
                <w:rFonts w:ascii="宋体" w:hAnsi="宋体" w:eastAsia="宋体"/>
                <w:sz w:val="20"/>
              </w:rPr>
              <w:t>1993</w:t>
            </w:r>
          </w:p>
        </w:tc>
        <w:tc>
          <w:tcPr>
            <w:tcW w:type="dxa" w:w="2771"/>
          </w:tcPr>
          <w:p>
            <w:r/>
            <w:r>
              <w:rPr>
                <w:rFonts w:ascii="宋体" w:hAnsi="宋体" w:eastAsia="宋体"/>
                <w:sz w:val="20"/>
              </w:rPr>
              <w:t>Steven Feiner 开发首个 AR 导览系统</w:t>
            </w:r>
          </w:p>
        </w:tc>
        <w:tc>
          <w:tcPr>
            <w:tcW w:type="dxa" w:w="2771"/>
          </w:tcPr>
          <w:p>
            <w:r/>
            <w:r>
              <w:rPr>
                <w:rFonts w:ascii="宋体" w:hAnsi="宋体" w:eastAsia="宋体"/>
                <w:sz w:val="20"/>
              </w:rPr>
              <w:t>AR 在导航领域的首次应用</w:t>
            </w:r>
          </w:p>
        </w:tc>
      </w:tr>
      <w:tr>
        <w:tc>
          <w:tcPr>
            <w:tcW w:type="dxa" w:w="2771"/>
          </w:tcPr>
          <w:p>
            <w:r/>
            <w:r>
              <w:rPr>
                <w:rFonts w:ascii="宋体" w:hAnsi="宋体" w:eastAsia="宋体"/>
                <w:sz w:val="20"/>
              </w:rPr>
              <w:t>1994</w:t>
            </w:r>
          </w:p>
        </w:tc>
        <w:tc>
          <w:tcPr>
            <w:tcW w:type="dxa" w:w="2771"/>
          </w:tcPr>
          <w:p>
            <w:r/>
            <w:r>
              <w:rPr>
                <w:rFonts w:ascii="宋体" w:hAnsi="宋体" w:eastAsia="宋体"/>
                <w:sz w:val="20"/>
              </w:rPr>
              <w:t>Julie Martin 制作首个 AR 戏剧《Dancing in Cyberspace》</w:t>
            </w:r>
          </w:p>
        </w:tc>
        <w:tc>
          <w:tcPr>
            <w:tcW w:type="dxa" w:w="2771"/>
          </w:tcPr>
          <w:p>
            <w:r/>
            <w:r>
              <w:rPr>
                <w:rFonts w:ascii="宋体" w:hAnsi="宋体" w:eastAsia="宋体"/>
                <w:sz w:val="20"/>
              </w:rPr>
              <w:t>AR 在艺术领域的首次应用</w:t>
            </w:r>
          </w:p>
        </w:tc>
      </w:tr>
      <w:tr>
        <w:tc>
          <w:tcPr>
            <w:tcW w:type="dxa" w:w="2771"/>
          </w:tcPr>
          <w:p>
            <w:r/>
            <w:r>
              <w:rPr>
                <w:rFonts w:ascii="宋体" w:hAnsi="宋体" w:eastAsia="宋体"/>
                <w:sz w:val="20"/>
              </w:rPr>
              <w:t>1995</w:t>
            </w:r>
          </w:p>
        </w:tc>
        <w:tc>
          <w:tcPr>
            <w:tcW w:type="dxa" w:w="2771"/>
          </w:tcPr>
          <w:p>
            <w:r/>
            <w:r>
              <w:rPr>
                <w:rFonts w:ascii="宋体" w:hAnsi="宋体" w:eastAsia="宋体"/>
                <w:sz w:val="20"/>
              </w:rPr>
              <w:t>Nintendo 推出 Virtual Boy</w:t>
            </w:r>
          </w:p>
        </w:tc>
        <w:tc>
          <w:tcPr>
            <w:tcW w:type="dxa" w:w="2771"/>
          </w:tcPr>
          <w:p>
            <w:r/>
            <w:r>
              <w:rPr>
                <w:rFonts w:ascii="宋体" w:hAnsi="宋体" w:eastAsia="宋体"/>
                <w:sz w:val="20"/>
              </w:rPr>
              <w:t>首个消费级 VR 游戏机（商业失败）</w:t>
            </w:r>
          </w:p>
        </w:tc>
      </w:tr>
      <w:tr>
        <w:tc>
          <w:tcPr>
            <w:tcW w:type="dxa" w:w="2771"/>
          </w:tcPr>
          <w:p>
            <w:r/>
            <w:r>
              <w:rPr>
                <w:rFonts w:ascii="宋体" w:hAnsi="宋体" w:eastAsia="宋体"/>
                <w:sz w:val="20"/>
              </w:rPr>
              <w:t>1999</w:t>
            </w:r>
          </w:p>
        </w:tc>
        <w:tc>
          <w:tcPr>
            <w:tcW w:type="dxa" w:w="2771"/>
          </w:tcPr>
          <w:p>
            <w:r/>
            <w:r>
              <w:rPr>
                <w:rFonts w:ascii="宋体" w:hAnsi="宋体" w:eastAsia="宋体"/>
                <w:sz w:val="20"/>
              </w:rPr>
              <w:t>Hirokazu Kato 开发 ARToolKit</w:t>
            </w:r>
          </w:p>
        </w:tc>
        <w:tc>
          <w:tcPr>
            <w:tcW w:type="dxa" w:w="2771"/>
          </w:tcPr>
          <w:p>
            <w:r/>
            <w:r>
              <w:rPr>
                <w:rFonts w:ascii="宋体" w:hAnsi="宋体" w:eastAsia="宋体"/>
                <w:sz w:val="20"/>
              </w:rPr>
              <w:t>首个开源 AR 开发工具包</w:t>
            </w:r>
          </w:p>
        </w:tc>
      </w:tr>
    </w:tbl>
    <w:p/>
    <w:p/>
    <w:p>
      <w:pPr>
        <w:pStyle w:val="Heading2"/>
      </w:pPr>
      <w:r>
        <w:t>G.4 2000s：技术积累与移动 AR 萌芽</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年份</w:t>
            </w:r>
          </w:p>
        </w:tc>
        <w:tc>
          <w:tcPr>
            <w:tcW w:type="dxa" w:w="2771"/>
            <w:shd w:fill="D9E2F3" w:val="clear"/>
          </w:tcPr>
          <w:p>
            <w:pPr>
              <w:jc w:val="center"/>
            </w:pPr>
            <w:r/>
            <w:r>
              <w:rPr>
                <w:rFonts w:ascii="黑体" w:hAnsi="黑体" w:eastAsia="黑体"/>
                <w:b/>
                <w:sz w:val="20"/>
              </w:rPr>
              <w:t>事件</w:t>
            </w:r>
          </w:p>
        </w:tc>
        <w:tc>
          <w:tcPr>
            <w:tcW w:type="dxa" w:w="2771"/>
            <w:shd w:fill="D9E2F3" w:val="clear"/>
          </w:tcPr>
          <w:p>
            <w:pPr>
              <w:jc w:val="center"/>
            </w:pPr>
            <w:r/>
            <w:r>
              <w:rPr>
                <w:rFonts w:ascii="黑体" w:hAnsi="黑体" w:eastAsia="黑体"/>
                <w:b/>
                <w:sz w:val="20"/>
              </w:rPr>
              <w:t>意义</w:t>
            </w:r>
          </w:p>
        </w:tc>
      </w:tr>
      <w:tr>
        <w:tc>
          <w:tcPr>
            <w:tcW w:type="dxa" w:w="2771"/>
          </w:tcPr>
          <w:p>
            <w:r/>
            <w:r>
              <w:rPr>
                <w:rFonts w:ascii="宋体" w:hAnsi="宋体" w:eastAsia="宋体"/>
                <w:sz w:val="20"/>
              </w:rPr>
              <w:t>2000</w:t>
            </w:r>
          </w:p>
        </w:tc>
        <w:tc>
          <w:tcPr>
            <w:tcW w:type="dxa" w:w="2771"/>
          </w:tcPr>
          <w:p>
            <w:r/>
            <w:r>
              <w:rPr>
                <w:rFonts w:ascii="宋体" w:hAnsi="宋体" w:eastAsia="宋体"/>
                <w:sz w:val="20"/>
              </w:rPr>
              <w:t>Bruce Thomas 开发 AR Quake</w:t>
            </w:r>
          </w:p>
        </w:tc>
        <w:tc>
          <w:tcPr>
            <w:tcW w:type="dxa" w:w="2771"/>
          </w:tcPr>
          <w:p>
            <w:r/>
            <w:r>
              <w:rPr>
                <w:rFonts w:ascii="宋体" w:hAnsi="宋体" w:eastAsia="宋体"/>
                <w:sz w:val="20"/>
              </w:rPr>
              <w:t>首个户外 AR 游戏</w:t>
            </w:r>
          </w:p>
        </w:tc>
      </w:tr>
      <w:tr>
        <w:tc>
          <w:tcPr>
            <w:tcW w:type="dxa" w:w="2771"/>
          </w:tcPr>
          <w:p>
            <w:r/>
            <w:r>
              <w:rPr>
                <w:rFonts w:ascii="宋体" w:hAnsi="宋体" w:eastAsia="宋体"/>
                <w:sz w:val="20"/>
              </w:rPr>
              <w:t>2007</w:t>
            </w:r>
          </w:p>
        </w:tc>
        <w:tc>
          <w:tcPr>
            <w:tcW w:type="dxa" w:w="2771"/>
          </w:tcPr>
          <w:p>
            <w:r/>
            <w:r>
              <w:rPr>
                <w:rFonts w:ascii="宋体" w:hAnsi="宋体" w:eastAsia="宋体"/>
                <w:sz w:val="20"/>
              </w:rPr>
              <w:t>Google 推出 Street View</w:t>
            </w:r>
          </w:p>
        </w:tc>
        <w:tc>
          <w:tcPr>
            <w:tcW w:type="dxa" w:w="2771"/>
          </w:tcPr>
          <w:p>
            <w:r/>
            <w:r>
              <w:rPr>
                <w:rFonts w:ascii="宋体" w:hAnsi="宋体" w:eastAsia="宋体"/>
                <w:sz w:val="20"/>
              </w:rPr>
              <w:t>全景影像技术的大规模应用</w:t>
            </w:r>
          </w:p>
        </w:tc>
      </w:tr>
      <w:tr>
        <w:tc>
          <w:tcPr>
            <w:tcW w:type="dxa" w:w="2771"/>
          </w:tcPr>
          <w:p>
            <w:r/>
            <w:r>
              <w:rPr>
                <w:rFonts w:ascii="宋体" w:hAnsi="宋体" w:eastAsia="宋体"/>
                <w:sz w:val="20"/>
              </w:rPr>
              <w:t>2008</w:t>
            </w:r>
          </w:p>
        </w:tc>
        <w:tc>
          <w:tcPr>
            <w:tcW w:type="dxa" w:w="2771"/>
          </w:tcPr>
          <w:p>
            <w:r/>
            <w:r>
              <w:rPr>
                <w:rFonts w:ascii="宋体" w:hAnsi="宋体" w:eastAsia="宋体"/>
                <w:sz w:val="20"/>
              </w:rPr>
              <w:t>Wikitude 推出首个 AR 手机应用</w:t>
            </w:r>
          </w:p>
        </w:tc>
        <w:tc>
          <w:tcPr>
            <w:tcW w:type="dxa" w:w="2771"/>
          </w:tcPr>
          <w:p>
            <w:r/>
            <w:r>
              <w:rPr>
                <w:rFonts w:ascii="宋体" w:hAnsi="宋体" w:eastAsia="宋体"/>
                <w:sz w:val="20"/>
              </w:rPr>
              <w:t>移动 AR 的商业化起点</w:t>
            </w:r>
          </w:p>
        </w:tc>
      </w:tr>
      <w:tr>
        <w:tc>
          <w:tcPr>
            <w:tcW w:type="dxa" w:w="2771"/>
          </w:tcPr>
          <w:p>
            <w:r/>
            <w:r>
              <w:rPr>
                <w:rFonts w:ascii="宋体" w:hAnsi="宋体" w:eastAsia="宋体"/>
                <w:sz w:val="20"/>
              </w:rPr>
              <w:t>2009</w:t>
            </w:r>
          </w:p>
        </w:tc>
        <w:tc>
          <w:tcPr>
            <w:tcW w:type="dxa" w:w="2771"/>
          </w:tcPr>
          <w:p>
            <w:r/>
            <w:r>
              <w:rPr>
                <w:rFonts w:ascii="宋体" w:hAnsi="宋体" w:eastAsia="宋体"/>
                <w:sz w:val="20"/>
              </w:rPr>
              <w:t>Palmer Luckey 开始 Oculus 原型开发</w:t>
            </w:r>
          </w:p>
        </w:tc>
        <w:tc>
          <w:tcPr>
            <w:tcW w:type="dxa" w:w="2771"/>
          </w:tcPr>
          <w:p>
            <w:r/>
            <w:r>
              <w:rPr>
                <w:rFonts w:ascii="宋体" w:hAnsi="宋体" w:eastAsia="宋体"/>
                <w:sz w:val="20"/>
              </w:rPr>
              <w:t>现代消费级 VR 的起点</w:t>
            </w:r>
          </w:p>
        </w:tc>
      </w:tr>
    </w:tbl>
    <w:p/>
    <w:p/>
    <w:p>
      <w:pPr>
        <w:pStyle w:val="Heading2"/>
      </w:pPr>
      <w:r>
        <w:t>G.5 2010s：消费级 VR/AR 爆发</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年份</w:t>
            </w:r>
          </w:p>
        </w:tc>
        <w:tc>
          <w:tcPr>
            <w:tcW w:type="dxa" w:w="2771"/>
            <w:shd w:fill="D9E2F3" w:val="clear"/>
          </w:tcPr>
          <w:p>
            <w:pPr>
              <w:jc w:val="center"/>
            </w:pPr>
            <w:r/>
            <w:r>
              <w:rPr>
                <w:rFonts w:ascii="黑体" w:hAnsi="黑体" w:eastAsia="黑体"/>
                <w:b/>
                <w:sz w:val="20"/>
              </w:rPr>
              <w:t>事件</w:t>
            </w:r>
          </w:p>
        </w:tc>
        <w:tc>
          <w:tcPr>
            <w:tcW w:type="dxa" w:w="2771"/>
            <w:shd w:fill="D9E2F3" w:val="clear"/>
          </w:tcPr>
          <w:p>
            <w:pPr>
              <w:jc w:val="center"/>
            </w:pPr>
            <w:r/>
            <w:r>
              <w:rPr>
                <w:rFonts w:ascii="黑体" w:hAnsi="黑体" w:eastAsia="黑体"/>
                <w:b/>
                <w:sz w:val="20"/>
              </w:rPr>
              <w:t>意义</w:t>
            </w:r>
          </w:p>
        </w:tc>
      </w:tr>
      <w:tr>
        <w:tc>
          <w:tcPr>
            <w:tcW w:type="dxa" w:w="2771"/>
          </w:tcPr>
          <w:p>
            <w:r/>
            <w:r>
              <w:rPr>
                <w:rFonts w:ascii="宋体" w:hAnsi="宋体" w:eastAsia="宋体"/>
                <w:sz w:val="20"/>
              </w:rPr>
              <w:t>2012</w:t>
            </w:r>
          </w:p>
        </w:tc>
        <w:tc>
          <w:tcPr>
            <w:tcW w:type="dxa" w:w="2771"/>
          </w:tcPr>
          <w:p>
            <w:r/>
            <w:r>
              <w:rPr>
                <w:rFonts w:ascii="宋体" w:hAnsi="宋体" w:eastAsia="宋体"/>
                <w:sz w:val="20"/>
              </w:rPr>
              <w:t>Oculus Rift Kickstarter 众筹成功</w:t>
            </w:r>
          </w:p>
        </w:tc>
        <w:tc>
          <w:tcPr>
            <w:tcW w:type="dxa" w:w="2771"/>
          </w:tcPr>
          <w:p>
            <w:r/>
            <w:r>
              <w:rPr>
                <w:rFonts w:ascii="宋体" w:hAnsi="宋体" w:eastAsia="宋体"/>
                <w:sz w:val="20"/>
              </w:rPr>
              <w:t>VR 复兴的标志性事件，筹资 250 万美元</w:t>
            </w:r>
          </w:p>
        </w:tc>
      </w:tr>
      <w:tr>
        <w:tc>
          <w:tcPr>
            <w:tcW w:type="dxa" w:w="2771"/>
          </w:tcPr>
          <w:p>
            <w:r/>
            <w:r>
              <w:rPr>
                <w:rFonts w:ascii="宋体" w:hAnsi="宋体" w:eastAsia="宋体"/>
                <w:sz w:val="20"/>
              </w:rPr>
              <w:t>2013</w:t>
            </w:r>
          </w:p>
        </w:tc>
        <w:tc>
          <w:tcPr>
            <w:tcW w:type="dxa" w:w="2771"/>
          </w:tcPr>
          <w:p>
            <w:r/>
            <w:r>
              <w:rPr>
                <w:rFonts w:ascii="宋体" w:hAnsi="宋体" w:eastAsia="宋体"/>
                <w:sz w:val="20"/>
              </w:rPr>
              <w:t>Google Glass 发布</w:t>
            </w:r>
          </w:p>
        </w:tc>
        <w:tc>
          <w:tcPr>
            <w:tcW w:type="dxa" w:w="2771"/>
          </w:tcPr>
          <w:p>
            <w:r/>
            <w:r>
              <w:rPr>
                <w:rFonts w:ascii="宋体" w:hAnsi="宋体" w:eastAsia="宋体"/>
                <w:sz w:val="20"/>
              </w:rPr>
              <w:t>AR 眼镜的首次尝试（消费者版2015年停售）</w:t>
            </w:r>
          </w:p>
        </w:tc>
      </w:tr>
      <w:tr>
        <w:tc>
          <w:tcPr>
            <w:tcW w:type="dxa" w:w="2771"/>
          </w:tcPr>
          <w:p>
            <w:r/>
            <w:r>
              <w:rPr>
                <w:rFonts w:ascii="宋体" w:hAnsi="宋体" w:eastAsia="宋体"/>
                <w:sz w:val="20"/>
              </w:rPr>
              <w:t>2014</w:t>
            </w:r>
          </w:p>
        </w:tc>
        <w:tc>
          <w:tcPr>
            <w:tcW w:type="dxa" w:w="2771"/>
          </w:tcPr>
          <w:p>
            <w:r/>
            <w:r>
              <w:rPr>
                <w:rFonts w:ascii="宋体" w:hAnsi="宋体" w:eastAsia="宋体"/>
                <w:sz w:val="20"/>
              </w:rPr>
              <w:t>Facebook 收购 Oculus（20亿美元）</w:t>
            </w:r>
          </w:p>
        </w:tc>
        <w:tc>
          <w:tcPr>
            <w:tcW w:type="dxa" w:w="2771"/>
          </w:tcPr>
          <w:p>
            <w:r/>
            <w:r>
              <w:rPr>
                <w:rFonts w:ascii="宋体" w:hAnsi="宋体" w:eastAsia="宋体"/>
                <w:sz w:val="20"/>
              </w:rPr>
              <w:t>科技巨头入场 VR 领域</w:t>
            </w:r>
          </w:p>
        </w:tc>
      </w:tr>
      <w:tr>
        <w:tc>
          <w:tcPr>
            <w:tcW w:type="dxa" w:w="2771"/>
          </w:tcPr>
          <w:p>
            <w:r/>
            <w:r>
              <w:rPr>
                <w:rFonts w:ascii="宋体" w:hAnsi="宋体" w:eastAsia="宋体"/>
                <w:sz w:val="20"/>
              </w:rPr>
              <w:t>2014</w:t>
            </w:r>
          </w:p>
        </w:tc>
        <w:tc>
          <w:tcPr>
            <w:tcW w:type="dxa" w:w="2771"/>
          </w:tcPr>
          <w:p>
            <w:r/>
            <w:r>
              <w:rPr>
                <w:rFonts w:ascii="宋体" w:hAnsi="宋体" w:eastAsia="宋体"/>
                <w:sz w:val="20"/>
              </w:rPr>
              <w:t>Google Cardboard 发布</w:t>
            </w:r>
          </w:p>
        </w:tc>
        <w:tc>
          <w:tcPr>
            <w:tcW w:type="dxa" w:w="2771"/>
          </w:tcPr>
          <w:p>
            <w:r/>
            <w:r>
              <w:rPr>
                <w:rFonts w:ascii="宋体" w:hAnsi="宋体" w:eastAsia="宋体"/>
                <w:sz w:val="20"/>
              </w:rPr>
              <w:t>超低成本 VR 方案，推动 VR 普及</w:t>
            </w:r>
          </w:p>
        </w:tc>
      </w:tr>
      <w:tr>
        <w:tc>
          <w:tcPr>
            <w:tcW w:type="dxa" w:w="2771"/>
          </w:tcPr>
          <w:p>
            <w:r/>
            <w:r>
              <w:rPr>
                <w:rFonts w:ascii="宋体" w:hAnsi="宋体" w:eastAsia="宋体"/>
                <w:sz w:val="20"/>
              </w:rPr>
              <w:t>2016</w:t>
            </w:r>
          </w:p>
        </w:tc>
        <w:tc>
          <w:tcPr>
            <w:tcW w:type="dxa" w:w="2771"/>
          </w:tcPr>
          <w:p>
            <w:r/>
            <w:r>
              <w:rPr>
                <w:rFonts w:ascii="宋体" w:hAnsi="宋体" w:eastAsia="宋体"/>
                <w:sz w:val="20"/>
              </w:rPr>
              <w:t>Pokemon GO 发布</w:t>
            </w:r>
          </w:p>
        </w:tc>
        <w:tc>
          <w:tcPr>
            <w:tcW w:type="dxa" w:w="2771"/>
          </w:tcPr>
          <w:p>
            <w:r/>
            <w:r>
              <w:rPr>
                <w:rFonts w:ascii="宋体" w:hAnsi="宋体" w:eastAsia="宋体"/>
                <w:sz w:val="20"/>
              </w:rPr>
              <w:t>AR 游戏全球现象级成功，日活 4500 万</w:t>
            </w:r>
          </w:p>
        </w:tc>
      </w:tr>
      <w:tr>
        <w:tc>
          <w:tcPr>
            <w:tcW w:type="dxa" w:w="2771"/>
          </w:tcPr>
          <w:p>
            <w:r/>
            <w:r>
              <w:rPr>
                <w:rFonts w:ascii="宋体" w:hAnsi="宋体" w:eastAsia="宋体"/>
                <w:sz w:val="20"/>
              </w:rPr>
              <w:t>2016</w:t>
            </w:r>
          </w:p>
        </w:tc>
        <w:tc>
          <w:tcPr>
            <w:tcW w:type="dxa" w:w="2771"/>
          </w:tcPr>
          <w:p>
            <w:r/>
            <w:r>
              <w:rPr>
                <w:rFonts w:ascii="宋体" w:hAnsi="宋体" w:eastAsia="宋体"/>
                <w:sz w:val="20"/>
              </w:rPr>
              <w:t>Oculus Rift CV1 / HTC Vive / PSVR 上市</w:t>
            </w:r>
          </w:p>
        </w:tc>
        <w:tc>
          <w:tcPr>
            <w:tcW w:type="dxa" w:w="2771"/>
          </w:tcPr>
          <w:p>
            <w:r/>
            <w:r>
              <w:rPr>
                <w:rFonts w:ascii="宋体" w:hAnsi="宋体" w:eastAsia="宋体"/>
                <w:sz w:val="20"/>
              </w:rPr>
              <w:t>消费级 VR 元年，三大头显同期上市</w:t>
            </w:r>
          </w:p>
        </w:tc>
      </w:tr>
      <w:tr>
        <w:tc>
          <w:tcPr>
            <w:tcW w:type="dxa" w:w="2771"/>
          </w:tcPr>
          <w:p>
            <w:r/>
            <w:r>
              <w:rPr>
                <w:rFonts w:ascii="宋体" w:hAnsi="宋体" w:eastAsia="宋体"/>
                <w:sz w:val="20"/>
              </w:rPr>
              <w:t>2017</w:t>
            </w:r>
          </w:p>
        </w:tc>
        <w:tc>
          <w:tcPr>
            <w:tcW w:type="dxa" w:w="2771"/>
          </w:tcPr>
          <w:p>
            <w:r/>
            <w:r>
              <w:rPr>
                <w:rFonts w:ascii="宋体" w:hAnsi="宋体" w:eastAsia="宋体"/>
                <w:sz w:val="20"/>
              </w:rPr>
              <w:t>Apple ARKit 发布</w:t>
            </w:r>
          </w:p>
        </w:tc>
        <w:tc>
          <w:tcPr>
            <w:tcW w:type="dxa" w:w="2771"/>
          </w:tcPr>
          <w:p>
            <w:r/>
            <w:r>
              <w:rPr>
                <w:rFonts w:ascii="宋体" w:hAnsi="宋体" w:eastAsia="宋体"/>
                <w:sz w:val="20"/>
              </w:rPr>
              <w:t>iOS 平台原生 AR 开发框架</w:t>
            </w:r>
          </w:p>
        </w:tc>
      </w:tr>
      <w:tr>
        <w:tc>
          <w:tcPr>
            <w:tcW w:type="dxa" w:w="2771"/>
          </w:tcPr>
          <w:p>
            <w:r/>
            <w:r>
              <w:rPr>
                <w:rFonts w:ascii="宋体" w:hAnsi="宋体" w:eastAsia="宋体"/>
                <w:sz w:val="20"/>
              </w:rPr>
              <w:t>2017</w:t>
            </w:r>
          </w:p>
        </w:tc>
        <w:tc>
          <w:tcPr>
            <w:tcW w:type="dxa" w:w="2771"/>
          </w:tcPr>
          <w:p>
            <w:r/>
            <w:r>
              <w:rPr>
                <w:rFonts w:ascii="宋体" w:hAnsi="宋体" w:eastAsia="宋体"/>
                <w:sz w:val="20"/>
              </w:rPr>
              <w:t>Google ARCore 发布</w:t>
            </w:r>
          </w:p>
        </w:tc>
        <w:tc>
          <w:tcPr>
            <w:tcW w:type="dxa" w:w="2771"/>
          </w:tcPr>
          <w:p>
            <w:r/>
            <w:r>
              <w:rPr>
                <w:rFonts w:ascii="宋体" w:hAnsi="宋体" w:eastAsia="宋体"/>
                <w:sz w:val="20"/>
              </w:rPr>
              <w:t>Android 平台原生 AR 开发框架</w:t>
            </w:r>
          </w:p>
        </w:tc>
      </w:tr>
      <w:tr>
        <w:tc>
          <w:tcPr>
            <w:tcW w:type="dxa" w:w="2771"/>
          </w:tcPr>
          <w:p>
            <w:r/>
            <w:r>
              <w:rPr>
                <w:rFonts w:ascii="宋体" w:hAnsi="宋体" w:eastAsia="宋体"/>
                <w:sz w:val="20"/>
              </w:rPr>
              <w:t>2018</w:t>
            </w:r>
          </w:p>
        </w:tc>
        <w:tc>
          <w:tcPr>
            <w:tcW w:type="dxa" w:w="2771"/>
          </w:tcPr>
          <w:p>
            <w:r/>
            <w:r>
              <w:rPr>
                <w:rFonts w:ascii="宋体" w:hAnsi="宋体" w:eastAsia="宋体"/>
                <w:sz w:val="20"/>
              </w:rPr>
              <w:t>Magic Leap One 发布</w:t>
            </w:r>
          </w:p>
        </w:tc>
        <w:tc>
          <w:tcPr>
            <w:tcW w:type="dxa" w:w="2771"/>
          </w:tcPr>
          <w:p>
            <w:r/>
            <w:r>
              <w:rPr>
                <w:rFonts w:ascii="宋体" w:hAnsi="宋体" w:eastAsia="宋体"/>
                <w:sz w:val="20"/>
              </w:rPr>
              <w:t>备受期待的 AR 眼镜（商业表现不及预期）</w:t>
            </w:r>
          </w:p>
        </w:tc>
      </w:tr>
      <w:tr>
        <w:tc>
          <w:tcPr>
            <w:tcW w:type="dxa" w:w="2771"/>
          </w:tcPr>
          <w:p>
            <w:r/>
            <w:r>
              <w:rPr>
                <w:rFonts w:ascii="宋体" w:hAnsi="宋体" w:eastAsia="宋体"/>
                <w:sz w:val="20"/>
              </w:rPr>
              <w:t>2019</w:t>
            </w:r>
          </w:p>
        </w:tc>
        <w:tc>
          <w:tcPr>
            <w:tcW w:type="dxa" w:w="2771"/>
          </w:tcPr>
          <w:p>
            <w:r/>
            <w:r>
              <w:rPr>
                <w:rFonts w:ascii="宋体" w:hAnsi="宋体" w:eastAsia="宋体"/>
                <w:sz w:val="20"/>
              </w:rPr>
              <w:t>Meta Quest 发布</w:t>
            </w:r>
          </w:p>
        </w:tc>
        <w:tc>
          <w:tcPr>
            <w:tcW w:type="dxa" w:w="2771"/>
          </w:tcPr>
          <w:p>
            <w:r/>
            <w:r>
              <w:rPr>
                <w:rFonts w:ascii="宋体" w:hAnsi="宋体" w:eastAsia="宋体"/>
                <w:sz w:val="20"/>
              </w:rPr>
              <w:t>首个成功的一体化 VR 头显，无需 PC 连接</w:t>
            </w:r>
          </w:p>
        </w:tc>
      </w:tr>
      <w:tr>
        <w:tc>
          <w:tcPr>
            <w:tcW w:type="dxa" w:w="2771"/>
          </w:tcPr>
          <w:p>
            <w:r/>
            <w:r>
              <w:rPr>
                <w:rFonts w:ascii="宋体" w:hAnsi="宋体" w:eastAsia="宋体"/>
                <w:sz w:val="20"/>
              </w:rPr>
              <w:t>2019</w:t>
            </w:r>
          </w:p>
        </w:tc>
        <w:tc>
          <w:tcPr>
            <w:tcW w:type="dxa" w:w="2771"/>
          </w:tcPr>
          <w:p>
            <w:r/>
            <w:r>
              <w:rPr>
                <w:rFonts w:ascii="宋体" w:hAnsi="宋体" w:eastAsia="宋体"/>
                <w:sz w:val="20"/>
              </w:rPr>
              <w:t>Microsoft HoloLens 2 发布</w:t>
            </w:r>
          </w:p>
        </w:tc>
        <w:tc>
          <w:tcPr>
            <w:tcW w:type="dxa" w:w="2771"/>
          </w:tcPr>
          <w:p>
            <w:r/>
            <w:r>
              <w:rPr>
                <w:rFonts w:ascii="宋体" w:hAnsi="宋体" w:eastAsia="宋体"/>
                <w:sz w:val="20"/>
              </w:rPr>
              <w:t>企业级 MR 头显升级，手部追踪突破</w:t>
            </w:r>
          </w:p>
        </w:tc>
      </w:tr>
    </w:tbl>
    <w:p/>
    <w:p/>
    <w:p>
      <w:pPr>
        <w:pStyle w:val="Heading2"/>
      </w:pPr>
      <w:r>
        <w:t>G.6 2020s：技术成熟与应用深化</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年份</w:t>
            </w:r>
          </w:p>
        </w:tc>
        <w:tc>
          <w:tcPr>
            <w:tcW w:type="dxa" w:w="2771"/>
            <w:shd w:fill="D9E2F3" w:val="clear"/>
          </w:tcPr>
          <w:p>
            <w:pPr>
              <w:jc w:val="center"/>
            </w:pPr>
            <w:r/>
            <w:r>
              <w:rPr>
                <w:rFonts w:ascii="黑体" w:hAnsi="黑体" w:eastAsia="黑体"/>
                <w:b/>
                <w:sz w:val="20"/>
              </w:rPr>
              <w:t>事件</w:t>
            </w:r>
          </w:p>
        </w:tc>
        <w:tc>
          <w:tcPr>
            <w:tcW w:type="dxa" w:w="2771"/>
            <w:shd w:fill="D9E2F3" w:val="clear"/>
          </w:tcPr>
          <w:p>
            <w:pPr>
              <w:jc w:val="center"/>
            </w:pPr>
            <w:r/>
            <w:r>
              <w:rPr>
                <w:rFonts w:ascii="黑体" w:hAnsi="黑体" w:eastAsia="黑体"/>
                <w:b/>
                <w:sz w:val="20"/>
              </w:rPr>
              <w:t>意义</w:t>
            </w:r>
          </w:p>
        </w:tc>
      </w:tr>
      <w:tr>
        <w:tc>
          <w:tcPr>
            <w:tcW w:type="dxa" w:w="2771"/>
          </w:tcPr>
          <w:p>
            <w:r/>
            <w:r>
              <w:rPr>
                <w:rFonts w:ascii="宋体" w:hAnsi="宋体" w:eastAsia="宋体"/>
                <w:sz w:val="20"/>
              </w:rPr>
              <w:t>2020</w:t>
            </w:r>
          </w:p>
        </w:tc>
        <w:tc>
          <w:tcPr>
            <w:tcW w:type="dxa" w:w="2771"/>
          </w:tcPr>
          <w:p>
            <w:r/>
            <w:r>
              <w:rPr>
                <w:rFonts w:ascii="宋体" w:hAnsi="宋体" w:eastAsia="宋体"/>
                <w:sz w:val="20"/>
              </w:rPr>
              <w:t>Meta Quest 2 发布</w:t>
            </w:r>
          </w:p>
        </w:tc>
        <w:tc>
          <w:tcPr>
            <w:tcW w:type="dxa" w:w="2771"/>
          </w:tcPr>
          <w:p>
            <w:r/>
            <w:r>
              <w:rPr>
                <w:rFonts w:ascii="宋体" w:hAnsi="宋体" w:eastAsia="宋体"/>
                <w:sz w:val="20"/>
              </w:rPr>
              <w:t>最畅销的 VR 头显（销量超 1000 万台）</w:t>
            </w:r>
          </w:p>
        </w:tc>
      </w:tr>
      <w:tr>
        <w:tc>
          <w:tcPr>
            <w:tcW w:type="dxa" w:w="2771"/>
          </w:tcPr>
          <w:p>
            <w:r/>
            <w:r>
              <w:rPr>
                <w:rFonts w:ascii="宋体" w:hAnsi="宋体" w:eastAsia="宋体"/>
                <w:sz w:val="20"/>
              </w:rPr>
              <w:t>2021</w:t>
            </w:r>
          </w:p>
        </w:tc>
        <w:tc>
          <w:tcPr>
            <w:tcW w:type="dxa" w:w="2771"/>
          </w:tcPr>
          <w:p>
            <w:r/>
            <w:r>
              <w:rPr>
                <w:rFonts w:ascii="宋体" w:hAnsi="宋体" w:eastAsia="宋体"/>
                <w:sz w:val="20"/>
              </w:rPr>
              <w:t>Facebook 更名为 Meta</w:t>
            </w:r>
          </w:p>
        </w:tc>
        <w:tc>
          <w:tcPr>
            <w:tcW w:type="dxa" w:w="2771"/>
          </w:tcPr>
          <w:p>
            <w:r/>
            <w:r>
              <w:rPr>
                <w:rFonts w:ascii="宋体" w:hAnsi="宋体" w:eastAsia="宋体"/>
                <w:sz w:val="20"/>
              </w:rPr>
              <w:t>全面转向元宇宙战略</w:t>
            </w:r>
          </w:p>
        </w:tc>
      </w:tr>
      <w:tr>
        <w:tc>
          <w:tcPr>
            <w:tcW w:type="dxa" w:w="2771"/>
          </w:tcPr>
          <w:p>
            <w:r/>
            <w:r>
              <w:rPr>
                <w:rFonts w:ascii="宋体" w:hAnsi="宋体" w:eastAsia="宋体"/>
                <w:sz w:val="20"/>
              </w:rPr>
              <w:t>2022</w:t>
            </w:r>
          </w:p>
        </w:tc>
        <w:tc>
          <w:tcPr>
            <w:tcW w:type="dxa" w:w="2771"/>
          </w:tcPr>
          <w:p>
            <w:r/>
            <w:r>
              <w:rPr>
                <w:rFonts w:ascii="宋体" w:hAnsi="宋体" w:eastAsia="宋体"/>
                <w:sz w:val="20"/>
              </w:rPr>
              <w:t>Meta Quest Pro 发布</w:t>
            </w:r>
          </w:p>
        </w:tc>
        <w:tc>
          <w:tcPr>
            <w:tcW w:type="dxa" w:w="2771"/>
          </w:tcPr>
          <w:p>
            <w:r/>
            <w:r>
              <w:rPr>
                <w:rFonts w:ascii="宋体" w:hAnsi="宋体" w:eastAsia="宋体"/>
                <w:sz w:val="20"/>
              </w:rPr>
              <w:t>面部追踪和裸手交互突破</w:t>
            </w:r>
          </w:p>
        </w:tc>
      </w:tr>
      <w:tr>
        <w:tc>
          <w:tcPr>
            <w:tcW w:type="dxa" w:w="2771"/>
          </w:tcPr>
          <w:p>
            <w:r/>
            <w:r>
              <w:rPr>
                <w:rFonts w:ascii="宋体" w:hAnsi="宋体" w:eastAsia="宋体"/>
                <w:sz w:val="20"/>
              </w:rPr>
              <w:t>2022</w:t>
            </w:r>
          </w:p>
        </w:tc>
        <w:tc>
          <w:tcPr>
            <w:tcW w:type="dxa" w:w="2771"/>
          </w:tcPr>
          <w:p>
            <w:r/>
            <w:r>
              <w:rPr>
                <w:rFonts w:ascii="宋体" w:hAnsi="宋体" w:eastAsia="宋体"/>
                <w:sz w:val="20"/>
              </w:rPr>
              <w:t>Unity 收购 IronSource</w:t>
            </w:r>
          </w:p>
        </w:tc>
        <w:tc>
          <w:tcPr>
            <w:tcW w:type="dxa" w:w="2771"/>
          </w:tcPr>
          <w:p>
            <w:r/>
            <w:r>
              <w:rPr>
                <w:rFonts w:ascii="宋体" w:hAnsi="宋体" w:eastAsia="宋体"/>
                <w:sz w:val="20"/>
              </w:rPr>
              <w:t>引擎公司商业模式转型</w:t>
            </w:r>
          </w:p>
        </w:tc>
      </w:tr>
      <w:tr>
        <w:tc>
          <w:tcPr>
            <w:tcW w:type="dxa" w:w="2771"/>
          </w:tcPr>
          <w:p>
            <w:r/>
            <w:r>
              <w:rPr>
                <w:rFonts w:ascii="宋体" w:hAnsi="宋体" w:eastAsia="宋体"/>
                <w:sz w:val="20"/>
              </w:rPr>
              <w:t>2023</w:t>
            </w:r>
          </w:p>
        </w:tc>
        <w:tc>
          <w:tcPr>
            <w:tcW w:type="dxa" w:w="2771"/>
          </w:tcPr>
          <w:p>
            <w:r/>
            <w:r>
              <w:rPr>
                <w:rFonts w:ascii="宋体" w:hAnsi="宋体" w:eastAsia="宋体"/>
                <w:sz w:val="20"/>
              </w:rPr>
              <w:t>Meta 发布 3D Gaussian Splatting 论文</w:t>
            </w:r>
          </w:p>
        </w:tc>
        <w:tc>
          <w:tcPr>
            <w:tcW w:type="dxa" w:w="2771"/>
          </w:tcPr>
          <w:p>
            <w:r/>
            <w:r>
              <w:rPr>
                <w:rFonts w:ascii="宋体" w:hAnsi="宋体" w:eastAsia="宋体"/>
                <w:sz w:val="20"/>
              </w:rPr>
              <w:t>3D重建技术重大突破，高质量场景从照片生成</w:t>
            </w:r>
          </w:p>
        </w:tc>
      </w:tr>
      <w:tr>
        <w:tc>
          <w:tcPr>
            <w:tcW w:type="dxa" w:w="2771"/>
          </w:tcPr>
          <w:p>
            <w:r/>
            <w:r>
              <w:rPr>
                <w:rFonts w:ascii="宋体" w:hAnsi="宋体" w:eastAsia="宋体"/>
                <w:sz w:val="20"/>
              </w:rPr>
              <w:t>2023</w:t>
            </w:r>
          </w:p>
        </w:tc>
        <w:tc>
          <w:tcPr>
            <w:tcW w:type="dxa" w:w="2771"/>
          </w:tcPr>
          <w:p>
            <w:r/>
            <w:r>
              <w:rPr>
                <w:rFonts w:ascii="宋体" w:hAnsi="宋体" w:eastAsia="宋体"/>
                <w:sz w:val="20"/>
              </w:rPr>
              <w:t>Apple Vision Pro 发布</w:t>
            </w:r>
          </w:p>
        </w:tc>
        <w:tc>
          <w:tcPr>
            <w:tcW w:type="dxa" w:w="2771"/>
          </w:tcPr>
          <w:p>
            <w:r/>
            <w:r>
              <w:rPr>
                <w:rFonts w:ascii="宋体" w:hAnsi="宋体" w:eastAsia="宋体"/>
                <w:sz w:val="20"/>
              </w:rPr>
              <w:t>Apple 入局 MR 领域，"空间计算"概念引发关注</w:t>
            </w:r>
          </w:p>
        </w:tc>
      </w:tr>
      <w:tr>
        <w:tc>
          <w:tcPr>
            <w:tcW w:type="dxa" w:w="2771"/>
          </w:tcPr>
          <w:p>
            <w:r/>
            <w:r>
              <w:rPr>
                <w:rFonts w:ascii="宋体" w:hAnsi="宋体" w:eastAsia="宋体"/>
                <w:sz w:val="20"/>
              </w:rPr>
              <w:t>2023</w:t>
            </w:r>
          </w:p>
        </w:tc>
        <w:tc>
          <w:tcPr>
            <w:tcW w:type="dxa" w:w="2771"/>
          </w:tcPr>
          <w:p>
            <w:r/>
            <w:r>
              <w:rPr>
                <w:rFonts w:ascii="宋体" w:hAnsi="宋体" w:eastAsia="宋体"/>
                <w:sz w:val="20"/>
              </w:rPr>
              <w:t>Meta Quest 3 发布</w:t>
            </w:r>
          </w:p>
        </w:tc>
        <w:tc>
          <w:tcPr>
            <w:tcW w:type="dxa" w:w="2771"/>
          </w:tcPr>
          <w:p>
            <w:r/>
            <w:r>
              <w:rPr>
                <w:rFonts w:ascii="宋体" w:hAnsi="宋体" w:eastAsia="宋体"/>
                <w:sz w:val="20"/>
              </w:rPr>
              <w:t>消费级 MR 头显，彩色透视+裸手交互</w:t>
            </w:r>
          </w:p>
        </w:tc>
      </w:tr>
      <w:tr>
        <w:tc>
          <w:tcPr>
            <w:tcW w:type="dxa" w:w="2771"/>
          </w:tcPr>
          <w:p>
            <w:r/>
            <w:r>
              <w:rPr>
                <w:rFonts w:ascii="宋体" w:hAnsi="宋体" w:eastAsia="宋体"/>
                <w:sz w:val="20"/>
              </w:rPr>
              <w:t>2024</w:t>
            </w:r>
          </w:p>
        </w:tc>
        <w:tc>
          <w:tcPr>
            <w:tcW w:type="dxa" w:w="2771"/>
          </w:tcPr>
          <w:p>
            <w:r/>
            <w:r>
              <w:rPr>
                <w:rFonts w:ascii="宋体" w:hAnsi="宋体" w:eastAsia="宋体"/>
                <w:sz w:val="20"/>
              </w:rPr>
              <w:t>Apple Vision Pro 上市</w:t>
            </w:r>
          </w:p>
        </w:tc>
        <w:tc>
          <w:tcPr>
            <w:tcW w:type="dxa" w:w="2771"/>
          </w:tcPr>
          <w:p>
            <w:r/>
            <w:r>
              <w:rPr>
                <w:rFonts w:ascii="宋体" w:hAnsi="宋体" w:eastAsia="宋体"/>
                <w:sz w:val="20"/>
              </w:rPr>
              <w:t>2300万+像素 Micro-OLED 显示，消费级 MR 旗舰</w:t>
            </w:r>
          </w:p>
        </w:tc>
      </w:tr>
      <w:tr>
        <w:tc>
          <w:tcPr>
            <w:tcW w:type="dxa" w:w="2771"/>
          </w:tcPr>
          <w:p>
            <w:r/>
            <w:r>
              <w:rPr>
                <w:rFonts w:ascii="宋体" w:hAnsi="宋体" w:eastAsia="宋体"/>
                <w:sz w:val="20"/>
              </w:rPr>
              <w:t>2024</w:t>
            </w:r>
          </w:p>
        </w:tc>
        <w:tc>
          <w:tcPr>
            <w:tcW w:type="dxa" w:w="2771"/>
          </w:tcPr>
          <w:p>
            <w:r/>
            <w:r>
              <w:rPr>
                <w:rFonts w:ascii="宋体" w:hAnsi="宋体" w:eastAsia="宋体"/>
                <w:sz w:val="20"/>
              </w:rPr>
              <w:t>Meta Horizon OS 开放</w:t>
            </w:r>
          </w:p>
        </w:tc>
        <w:tc>
          <w:tcPr>
            <w:tcW w:type="dxa" w:w="2771"/>
          </w:tcPr>
          <w:p>
            <w:r/>
            <w:r>
              <w:rPr>
                <w:rFonts w:ascii="宋体" w:hAnsi="宋体" w:eastAsia="宋体"/>
                <w:sz w:val="20"/>
              </w:rPr>
              <w:t>Meta 向第三方硬件厂商开放 VR 操作系统</w:t>
            </w:r>
          </w:p>
        </w:tc>
      </w:tr>
      <w:tr>
        <w:tc>
          <w:tcPr>
            <w:tcW w:type="dxa" w:w="2771"/>
          </w:tcPr>
          <w:p>
            <w:r/>
            <w:r>
              <w:rPr>
                <w:rFonts w:ascii="宋体" w:hAnsi="宋体" w:eastAsia="宋体"/>
                <w:sz w:val="20"/>
              </w:rPr>
              <w:t>2024</w:t>
            </w:r>
          </w:p>
        </w:tc>
        <w:tc>
          <w:tcPr>
            <w:tcW w:type="dxa" w:w="2771"/>
          </w:tcPr>
          <w:p>
            <w:r/>
            <w:r>
              <w:rPr>
                <w:rFonts w:ascii="宋体" w:hAnsi="宋体" w:eastAsia="宋体"/>
                <w:sz w:val="20"/>
              </w:rPr>
              <w:t>AI 3D 生成工具爆发</w:t>
            </w:r>
          </w:p>
        </w:tc>
        <w:tc>
          <w:tcPr>
            <w:tcW w:type="dxa" w:w="2771"/>
          </w:tcPr>
          <w:p>
            <w:r/>
            <w:r>
              <w:rPr>
                <w:rFonts w:ascii="宋体" w:hAnsi="宋体" w:eastAsia="宋体"/>
                <w:sz w:val="20"/>
              </w:rPr>
              <w:t>Luma AI、Meshy 等 Text-to-3D 工具成熟</w:t>
            </w:r>
          </w:p>
        </w:tc>
      </w:tr>
      <w:tr>
        <w:tc>
          <w:tcPr>
            <w:tcW w:type="dxa" w:w="2771"/>
          </w:tcPr>
          <w:p>
            <w:r/>
            <w:r>
              <w:rPr>
                <w:rFonts w:ascii="宋体" w:hAnsi="宋体" w:eastAsia="宋体"/>
                <w:sz w:val="20"/>
              </w:rPr>
              <w:t>2025</w:t>
            </w:r>
          </w:p>
        </w:tc>
        <w:tc>
          <w:tcPr>
            <w:tcW w:type="dxa" w:w="2771"/>
          </w:tcPr>
          <w:p>
            <w:r/>
            <w:r>
              <w:rPr>
                <w:rFonts w:ascii="宋体" w:hAnsi="宋体" w:eastAsia="宋体"/>
                <w:sz w:val="20"/>
              </w:rPr>
              <w:t>轻量化 AR 眼镜普及</w:t>
            </w:r>
          </w:p>
        </w:tc>
        <w:tc>
          <w:tcPr>
            <w:tcW w:type="dxa" w:w="2771"/>
          </w:tcPr>
          <w:p>
            <w:r/>
            <w:r>
              <w:rPr>
                <w:rFonts w:ascii="宋体" w:hAnsi="宋体" w:eastAsia="宋体"/>
                <w:sz w:val="20"/>
              </w:rPr>
              <w:t>XREAL、Rokid 等消费级 AR 眼镜价格降至 2000-4000 元</w:t>
            </w:r>
          </w:p>
        </w:tc>
      </w:tr>
    </w:tbl>
    <w:p/>
    <w:p/>
    <w:p>
      <w:pPr>
        <w:pStyle w:val="Heading2"/>
      </w:pPr>
      <w:r>
        <w:t>G.7 中国 VR/AR 发展里程碑</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年份</w:t>
            </w:r>
          </w:p>
        </w:tc>
        <w:tc>
          <w:tcPr>
            <w:tcW w:type="dxa" w:w="2771"/>
            <w:shd w:fill="D9E2F3" w:val="clear"/>
          </w:tcPr>
          <w:p>
            <w:pPr>
              <w:jc w:val="center"/>
            </w:pPr>
            <w:r/>
            <w:r>
              <w:rPr>
                <w:rFonts w:ascii="黑体" w:hAnsi="黑体" w:eastAsia="黑体"/>
                <w:b/>
                <w:sz w:val="20"/>
              </w:rPr>
              <w:t>事件</w:t>
            </w:r>
          </w:p>
        </w:tc>
        <w:tc>
          <w:tcPr>
            <w:tcW w:type="dxa" w:w="2771"/>
            <w:shd w:fill="D9E2F3" w:val="clear"/>
          </w:tcPr>
          <w:p>
            <w:pPr>
              <w:jc w:val="center"/>
            </w:pPr>
            <w:r/>
            <w:r>
              <w:rPr>
                <w:rFonts w:ascii="黑体" w:hAnsi="黑体" w:eastAsia="黑体"/>
                <w:b/>
                <w:sz w:val="20"/>
              </w:rPr>
              <w:t>意义</w:t>
            </w:r>
          </w:p>
        </w:tc>
      </w:tr>
      <w:tr>
        <w:tc>
          <w:tcPr>
            <w:tcW w:type="dxa" w:w="2771"/>
          </w:tcPr>
          <w:p>
            <w:r/>
            <w:r>
              <w:rPr>
                <w:rFonts w:ascii="宋体" w:hAnsi="宋体" w:eastAsia="宋体"/>
                <w:sz w:val="20"/>
              </w:rPr>
              <w:t>2016</w:t>
            </w:r>
          </w:p>
        </w:tc>
        <w:tc>
          <w:tcPr>
            <w:tcW w:type="dxa" w:w="2771"/>
          </w:tcPr>
          <w:p>
            <w:r/>
            <w:r>
              <w:rPr>
                <w:rFonts w:ascii="宋体" w:hAnsi="宋体" w:eastAsia="宋体"/>
                <w:sz w:val="20"/>
              </w:rPr>
              <w:t>工信部发布《虚拟现实产业发展白皮书》</w:t>
            </w:r>
          </w:p>
        </w:tc>
        <w:tc>
          <w:tcPr>
            <w:tcW w:type="dxa" w:w="2771"/>
          </w:tcPr>
          <w:p>
            <w:r/>
            <w:r>
              <w:rPr>
                <w:rFonts w:ascii="宋体" w:hAnsi="宋体" w:eastAsia="宋体"/>
                <w:sz w:val="20"/>
              </w:rPr>
              <w:t>国家层面首次系统阐述 VR 产业战略</w:t>
            </w:r>
          </w:p>
        </w:tc>
      </w:tr>
      <w:tr>
        <w:tc>
          <w:tcPr>
            <w:tcW w:type="dxa" w:w="2771"/>
          </w:tcPr>
          <w:p>
            <w:r/>
            <w:r>
              <w:rPr>
                <w:rFonts w:ascii="宋体" w:hAnsi="宋体" w:eastAsia="宋体"/>
                <w:sz w:val="20"/>
              </w:rPr>
              <w:t>2017</w:t>
            </w:r>
          </w:p>
        </w:tc>
        <w:tc>
          <w:tcPr>
            <w:tcW w:type="dxa" w:w="2771"/>
          </w:tcPr>
          <w:p>
            <w:r/>
            <w:r>
              <w:rPr>
                <w:rFonts w:ascii="宋体" w:hAnsi="宋体" w:eastAsia="宋体"/>
                <w:sz w:val="20"/>
              </w:rPr>
              <w:t>Pico 发布 Pico Neo VR 一体机</w:t>
            </w:r>
          </w:p>
        </w:tc>
        <w:tc>
          <w:tcPr>
            <w:tcW w:type="dxa" w:w="2771"/>
          </w:tcPr>
          <w:p>
            <w:r/>
            <w:r>
              <w:rPr>
                <w:rFonts w:ascii="宋体" w:hAnsi="宋体" w:eastAsia="宋体"/>
                <w:sz w:val="20"/>
              </w:rPr>
              <w:t>国产 VR 一体机起步</w:t>
            </w:r>
          </w:p>
        </w:tc>
      </w:tr>
      <w:tr>
        <w:tc>
          <w:tcPr>
            <w:tcW w:type="dxa" w:w="2771"/>
          </w:tcPr>
          <w:p>
            <w:r/>
            <w:r>
              <w:rPr>
                <w:rFonts w:ascii="宋体" w:hAnsi="宋体" w:eastAsia="宋体"/>
                <w:sz w:val="20"/>
              </w:rPr>
              <w:t>2018</w:t>
            </w:r>
          </w:p>
        </w:tc>
        <w:tc>
          <w:tcPr>
            <w:tcW w:type="dxa" w:w="2771"/>
          </w:tcPr>
          <w:p>
            <w:r/>
            <w:r>
              <w:rPr>
                <w:rFonts w:ascii="宋体" w:hAnsi="宋体" w:eastAsia="宋体"/>
                <w:sz w:val="20"/>
              </w:rPr>
              <w:t>HTC Vive Focus 发布</w:t>
            </w:r>
          </w:p>
        </w:tc>
        <w:tc>
          <w:tcPr>
            <w:tcW w:type="dxa" w:w="2771"/>
          </w:tcPr>
          <w:p>
            <w:r/>
            <w:r>
              <w:rPr>
                <w:rFonts w:ascii="宋体" w:hAnsi="宋体" w:eastAsia="宋体"/>
                <w:sz w:val="20"/>
              </w:rPr>
              <w:t>国产高端 VR 一体机</w:t>
            </w:r>
          </w:p>
        </w:tc>
      </w:tr>
      <w:tr>
        <w:tc>
          <w:tcPr>
            <w:tcW w:type="dxa" w:w="2771"/>
          </w:tcPr>
          <w:p>
            <w:r/>
            <w:r>
              <w:rPr>
                <w:rFonts w:ascii="宋体" w:hAnsi="宋体" w:eastAsia="宋体"/>
                <w:sz w:val="20"/>
              </w:rPr>
              <w:t>2020</w:t>
            </w:r>
          </w:p>
        </w:tc>
        <w:tc>
          <w:tcPr>
            <w:tcW w:type="dxa" w:w="2771"/>
          </w:tcPr>
          <w:p>
            <w:r/>
            <w:r>
              <w:rPr>
                <w:rFonts w:ascii="宋体" w:hAnsi="宋体" w:eastAsia="宋体"/>
                <w:sz w:val="20"/>
              </w:rPr>
              <w:t>华为 VR Glass 发布</w:t>
            </w:r>
          </w:p>
        </w:tc>
        <w:tc>
          <w:tcPr>
            <w:tcW w:type="dxa" w:w="2771"/>
          </w:tcPr>
          <w:p>
            <w:r/>
            <w:r>
              <w:rPr>
                <w:rFonts w:ascii="宋体" w:hAnsi="宋体" w:eastAsia="宋体"/>
                <w:sz w:val="20"/>
              </w:rPr>
              <w:t>轻量化 VR 眼镜方案</w:t>
            </w:r>
          </w:p>
        </w:tc>
      </w:tr>
      <w:tr>
        <w:tc>
          <w:tcPr>
            <w:tcW w:type="dxa" w:w="2771"/>
          </w:tcPr>
          <w:p>
            <w:r/>
            <w:r>
              <w:rPr>
                <w:rFonts w:ascii="宋体" w:hAnsi="宋体" w:eastAsia="宋体"/>
                <w:sz w:val="20"/>
              </w:rPr>
              <w:t>2021</w:t>
            </w:r>
          </w:p>
        </w:tc>
        <w:tc>
          <w:tcPr>
            <w:tcW w:type="dxa" w:w="2771"/>
          </w:tcPr>
          <w:p>
            <w:r/>
            <w:r>
              <w:rPr>
                <w:rFonts w:ascii="宋体" w:hAnsi="宋体" w:eastAsia="宋体"/>
                <w:sz w:val="20"/>
              </w:rPr>
              <w:t>字节跳动收购 Pico（90亿元）</w:t>
            </w:r>
          </w:p>
        </w:tc>
        <w:tc>
          <w:tcPr>
            <w:tcW w:type="dxa" w:w="2771"/>
          </w:tcPr>
          <w:p>
            <w:r/>
            <w:r>
              <w:rPr>
                <w:rFonts w:ascii="宋体" w:hAnsi="宋体" w:eastAsia="宋体"/>
                <w:sz w:val="20"/>
              </w:rPr>
              <w:t>中国科技巨头入场 VR 领域</w:t>
            </w:r>
          </w:p>
        </w:tc>
      </w:tr>
      <w:tr>
        <w:tc>
          <w:tcPr>
            <w:tcW w:type="dxa" w:w="2771"/>
          </w:tcPr>
          <w:p>
            <w:r/>
            <w:r>
              <w:rPr>
                <w:rFonts w:ascii="宋体" w:hAnsi="宋体" w:eastAsia="宋体"/>
                <w:sz w:val="20"/>
              </w:rPr>
              <w:t>2022</w:t>
            </w:r>
          </w:p>
        </w:tc>
        <w:tc>
          <w:tcPr>
            <w:tcW w:type="dxa" w:w="2771"/>
          </w:tcPr>
          <w:p>
            <w:r/>
            <w:r>
              <w:rPr>
                <w:rFonts w:ascii="宋体" w:hAnsi="宋体" w:eastAsia="宋体"/>
                <w:sz w:val="20"/>
              </w:rPr>
              <w:t>工信部等五部门发布《虚拟现实与行业应用融合发展行动计划》</w:t>
            </w:r>
          </w:p>
        </w:tc>
        <w:tc>
          <w:tcPr>
            <w:tcW w:type="dxa" w:w="2771"/>
          </w:tcPr>
          <w:p>
            <w:r/>
            <w:r>
              <w:rPr>
                <w:rFonts w:ascii="宋体" w:hAnsi="宋体" w:eastAsia="宋体"/>
                <w:sz w:val="20"/>
              </w:rPr>
              <w:t>国家政策支持 VR/AR 产业发展</w:t>
            </w:r>
          </w:p>
        </w:tc>
      </w:tr>
      <w:tr>
        <w:tc>
          <w:tcPr>
            <w:tcW w:type="dxa" w:w="2771"/>
          </w:tcPr>
          <w:p>
            <w:r/>
            <w:r>
              <w:rPr>
                <w:rFonts w:ascii="宋体" w:hAnsi="宋体" w:eastAsia="宋体"/>
                <w:sz w:val="20"/>
              </w:rPr>
              <w:t>2023</w:t>
            </w:r>
          </w:p>
        </w:tc>
        <w:tc>
          <w:tcPr>
            <w:tcW w:type="dxa" w:w="2771"/>
          </w:tcPr>
          <w:p>
            <w:r/>
            <w:r>
              <w:rPr>
                <w:rFonts w:ascii="宋体" w:hAnsi="宋体" w:eastAsia="宋体"/>
                <w:sz w:val="20"/>
              </w:rPr>
              <w:t>Pico 4 发布</w:t>
            </w:r>
          </w:p>
        </w:tc>
        <w:tc>
          <w:tcPr>
            <w:tcW w:type="dxa" w:w="2771"/>
          </w:tcPr>
          <w:p>
            <w:r/>
            <w:r>
              <w:rPr>
                <w:rFonts w:ascii="宋体" w:hAnsi="宋体" w:eastAsia="宋体"/>
                <w:sz w:val="20"/>
              </w:rPr>
              <w:t>国产 VR 头显达到国际水准</w:t>
            </w:r>
          </w:p>
        </w:tc>
      </w:tr>
      <w:tr>
        <w:tc>
          <w:tcPr>
            <w:tcW w:type="dxa" w:w="2771"/>
          </w:tcPr>
          <w:p>
            <w:r/>
            <w:r>
              <w:rPr>
                <w:rFonts w:ascii="宋体" w:hAnsi="宋体" w:eastAsia="宋体"/>
                <w:sz w:val="20"/>
              </w:rPr>
              <w:t>2024</w:t>
            </w:r>
          </w:p>
        </w:tc>
        <w:tc>
          <w:tcPr>
            <w:tcW w:type="dxa" w:w="2771"/>
          </w:tcPr>
          <w:p>
            <w:r/>
            <w:r>
              <w:rPr>
                <w:rFonts w:ascii="宋体" w:hAnsi="宋体" w:eastAsia="宋体"/>
                <w:sz w:val="20"/>
              </w:rPr>
              <w:t>国内 AI 大模型赋能 VR/AR</w:t>
            </w:r>
          </w:p>
        </w:tc>
        <w:tc>
          <w:tcPr>
            <w:tcW w:type="dxa" w:w="2771"/>
          </w:tcPr>
          <w:p>
            <w:r/>
            <w:r>
              <w:rPr>
                <w:rFonts w:ascii="宋体" w:hAnsi="宋体" w:eastAsia="宋体"/>
                <w:sz w:val="20"/>
              </w:rPr>
              <w:t>DeepSeek 等国产 LLM 集成到 VR/AR 应用</w:t>
            </w:r>
          </w:p>
        </w:tc>
      </w:tr>
      <w:tr>
        <w:tc>
          <w:tcPr>
            <w:tcW w:type="dxa" w:w="2771"/>
          </w:tcPr>
          <w:p>
            <w:r/>
            <w:r>
              <w:rPr>
                <w:rFonts w:ascii="宋体" w:hAnsi="宋体" w:eastAsia="宋体"/>
                <w:sz w:val="20"/>
              </w:rPr>
              <w:t>2025</w:t>
            </w:r>
          </w:p>
        </w:tc>
        <w:tc>
          <w:tcPr>
            <w:tcW w:type="dxa" w:w="2771"/>
          </w:tcPr>
          <w:p>
            <w:r/>
            <w:r>
              <w:rPr>
                <w:rFonts w:ascii="宋体" w:hAnsi="宋体" w:eastAsia="宋体"/>
                <w:sz w:val="20"/>
              </w:rPr>
              <w:t>国内文旅元宇宙项目大规模落地</w:t>
            </w:r>
          </w:p>
        </w:tc>
        <w:tc>
          <w:tcPr>
            <w:tcW w:type="dxa" w:w="2771"/>
          </w:tcPr>
          <w:p>
            <w:r/>
            <w:r>
              <w:rPr>
                <w:rFonts w:ascii="宋体" w:hAnsi="宋体" w:eastAsia="宋体"/>
                <w:sz w:val="20"/>
              </w:rPr>
              <w:t>贵州等多省推出文旅元宇宙平台</w:t>
            </w:r>
          </w:p>
        </w:tc>
      </w:tr>
    </w:tbl>
    <w:p/>
    <w:p/>
    <w:p>
      <w:pPr>
        <w:pStyle w:val="Heading2"/>
      </w:pPr>
      <w:r>
        <w:t>G.8 未来趋势展望</w:t>
      </w:r>
    </w:p>
    <w:p/>
    <w:p>
      <w:pPr>
        <w:ind w:firstLine="482"/>
      </w:pPr>
      <w:r>
        <w:rPr>
          <w:rFonts w:ascii="宋体" w:hAnsi="宋体" w:eastAsia="宋体"/>
          <w:sz w:val="24"/>
        </w:rPr>
        <w:t>基于当前技术发展轨迹，以下趋势值得关注：</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时间</w:t>
            </w:r>
          </w:p>
        </w:tc>
        <w:tc>
          <w:tcPr>
            <w:tcW w:type="dxa" w:w="2771"/>
            <w:shd w:fill="D9E2F3" w:val="clear"/>
          </w:tcPr>
          <w:p>
            <w:pPr>
              <w:jc w:val="center"/>
            </w:pPr>
            <w:r/>
            <w:r>
              <w:rPr>
                <w:rFonts w:ascii="黑体" w:hAnsi="黑体" w:eastAsia="黑体"/>
                <w:b/>
                <w:sz w:val="20"/>
              </w:rPr>
              <w:t>趋势</w:t>
            </w:r>
          </w:p>
        </w:tc>
        <w:tc>
          <w:tcPr>
            <w:tcW w:type="dxa" w:w="2771"/>
            <w:shd w:fill="D9E2F3" w:val="clear"/>
          </w:tcPr>
          <w:p>
            <w:pPr>
              <w:jc w:val="center"/>
            </w:pPr>
            <w:r/>
            <w:r>
              <w:rPr>
                <w:rFonts w:ascii="黑体" w:hAnsi="黑体" w:eastAsia="黑体"/>
                <w:b/>
                <w:sz w:val="20"/>
              </w:rPr>
              <w:t>说明</w:t>
            </w:r>
          </w:p>
        </w:tc>
      </w:tr>
      <w:tr>
        <w:tc>
          <w:tcPr>
            <w:tcW w:type="dxa" w:w="2771"/>
          </w:tcPr>
          <w:p>
            <w:r/>
            <w:r>
              <w:rPr>
                <w:rFonts w:ascii="宋体" w:hAnsi="宋体" w:eastAsia="宋体"/>
                <w:sz w:val="20"/>
              </w:rPr>
              <w:t>2025-2026</w:t>
            </w:r>
          </w:p>
        </w:tc>
        <w:tc>
          <w:tcPr>
            <w:tcW w:type="dxa" w:w="2771"/>
          </w:tcPr>
          <w:p>
            <w:r/>
            <w:r>
              <w:rPr>
                <w:rFonts w:ascii="宋体" w:hAnsi="宋体" w:eastAsia="宋体"/>
                <w:sz w:val="20"/>
              </w:rPr>
              <w:t>AR 眼镜日常化</w:t>
            </w:r>
          </w:p>
        </w:tc>
        <w:tc>
          <w:tcPr>
            <w:tcW w:type="dxa" w:w="2771"/>
          </w:tcPr>
          <w:p>
            <w:r/>
            <w:r>
              <w:rPr>
                <w:rFonts w:ascii="宋体" w:hAnsi="宋体" w:eastAsia="宋体"/>
                <w:sz w:val="20"/>
              </w:rPr>
              <w:t>轻量化 AR 眼镜替代部分手机功能</w:t>
            </w:r>
          </w:p>
        </w:tc>
      </w:tr>
      <w:tr>
        <w:tc>
          <w:tcPr>
            <w:tcW w:type="dxa" w:w="2771"/>
          </w:tcPr>
          <w:p>
            <w:r/>
            <w:r>
              <w:rPr>
                <w:rFonts w:ascii="宋体" w:hAnsi="宋体" w:eastAsia="宋体"/>
                <w:sz w:val="20"/>
              </w:rPr>
              <w:t>2025-2027</w:t>
            </w:r>
          </w:p>
        </w:tc>
        <w:tc>
          <w:tcPr>
            <w:tcW w:type="dxa" w:w="2771"/>
          </w:tcPr>
          <w:p>
            <w:r/>
            <w:r>
              <w:rPr>
                <w:rFonts w:ascii="宋体" w:hAnsi="宋体" w:eastAsia="宋体"/>
                <w:sz w:val="20"/>
              </w:rPr>
              <w:t>AI 原生 VR/AR</w:t>
            </w:r>
          </w:p>
        </w:tc>
        <w:tc>
          <w:tcPr>
            <w:tcW w:type="dxa" w:w="2771"/>
          </w:tcPr>
          <w:p>
            <w:r/>
            <w:r>
              <w:rPr>
                <w:rFonts w:ascii="宋体" w:hAnsi="宋体" w:eastAsia="宋体"/>
                <w:sz w:val="20"/>
              </w:rPr>
              <w:t>AI 自动生成 3D 内容和交互逻辑</w:t>
            </w:r>
          </w:p>
        </w:tc>
      </w:tr>
      <w:tr>
        <w:tc>
          <w:tcPr>
            <w:tcW w:type="dxa" w:w="2771"/>
          </w:tcPr>
          <w:p>
            <w:r/>
            <w:r>
              <w:rPr>
                <w:rFonts w:ascii="宋体" w:hAnsi="宋体" w:eastAsia="宋体"/>
                <w:sz w:val="20"/>
              </w:rPr>
              <w:t>2026-2028</w:t>
            </w:r>
          </w:p>
        </w:tc>
        <w:tc>
          <w:tcPr>
            <w:tcW w:type="dxa" w:w="2771"/>
          </w:tcPr>
          <w:p>
            <w:r/>
            <w:r>
              <w:rPr>
                <w:rFonts w:ascii="宋体" w:hAnsi="宋体" w:eastAsia="宋体"/>
                <w:sz w:val="20"/>
              </w:rPr>
              <w:t>神经接口初级应用</w:t>
            </w:r>
          </w:p>
        </w:tc>
        <w:tc>
          <w:tcPr>
            <w:tcW w:type="dxa" w:w="2771"/>
          </w:tcPr>
          <w:p>
            <w:r/>
            <w:r>
              <w:rPr>
                <w:rFonts w:ascii="宋体" w:hAnsi="宋体" w:eastAsia="宋体"/>
                <w:sz w:val="20"/>
              </w:rPr>
              <w:t>BCI 技术进入消费级 VR/AR 市场</w:t>
            </w:r>
          </w:p>
        </w:tc>
      </w:tr>
      <w:tr>
        <w:tc>
          <w:tcPr>
            <w:tcW w:type="dxa" w:w="2771"/>
          </w:tcPr>
          <w:p>
            <w:r/>
            <w:r>
              <w:rPr>
                <w:rFonts w:ascii="宋体" w:hAnsi="宋体" w:eastAsia="宋体"/>
                <w:sz w:val="20"/>
              </w:rPr>
              <w:t>2027-2030</w:t>
            </w:r>
          </w:p>
        </w:tc>
        <w:tc>
          <w:tcPr>
            <w:tcW w:type="dxa" w:w="2771"/>
          </w:tcPr>
          <w:p>
            <w:r/>
            <w:r>
              <w:rPr>
                <w:rFonts w:ascii="宋体" w:hAnsi="宋体" w:eastAsia="宋体"/>
                <w:sz w:val="20"/>
              </w:rPr>
              <w:t>全息通信</w:t>
            </w:r>
          </w:p>
        </w:tc>
        <w:tc>
          <w:tcPr>
            <w:tcW w:type="dxa" w:w="2771"/>
          </w:tcPr>
          <w:p>
            <w:r/>
            <w:r>
              <w:rPr>
                <w:rFonts w:ascii="宋体" w:hAnsi="宋体" w:eastAsia="宋体"/>
                <w:sz w:val="20"/>
              </w:rPr>
              <w:t>6G 网络支持实时全息视频通信</w:t>
            </w:r>
          </w:p>
        </w:tc>
      </w:tr>
      <w:tr>
        <w:tc>
          <w:tcPr>
            <w:tcW w:type="dxa" w:w="2771"/>
          </w:tcPr>
          <w:p>
            <w:r/>
            <w:r>
              <w:rPr>
                <w:rFonts w:ascii="宋体" w:hAnsi="宋体" w:eastAsia="宋体"/>
                <w:sz w:val="20"/>
              </w:rPr>
              <w:t>2030+</w:t>
            </w:r>
          </w:p>
        </w:tc>
        <w:tc>
          <w:tcPr>
            <w:tcW w:type="dxa" w:w="2771"/>
          </w:tcPr>
          <w:p>
            <w:r/>
            <w:r>
              <w:rPr>
                <w:rFonts w:ascii="宋体" w:hAnsi="宋体" w:eastAsia="宋体"/>
                <w:sz w:val="20"/>
              </w:rPr>
              <w:t>脑机 VR</w:t>
            </w:r>
          </w:p>
        </w:tc>
        <w:tc>
          <w:tcPr>
            <w:tcW w:type="dxa" w:w="2771"/>
          </w:tcPr>
          <w:p>
            <w:r/>
            <w:r>
              <w:rPr>
                <w:rFonts w:ascii="宋体" w:hAnsi="宋体" w:eastAsia="宋体"/>
                <w:sz w:val="20"/>
              </w:rPr>
              <w:t>直接神经接口实现"梦境级" VR 体验</w:t>
            </w:r>
          </w:p>
        </w:tc>
      </w:tr>
    </w:tbl>
    <w:p/>
    <w:p/>
    <w:p>
      <w:pPr>
        <w:pStyle w:val="Heading2"/>
      </w:pPr>
      <w:r>
        <w:t>G.9 学术里程碑</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年份</w:t>
            </w:r>
          </w:p>
        </w:tc>
        <w:tc>
          <w:tcPr>
            <w:tcW w:type="dxa" w:w="2078"/>
            <w:shd w:fill="D9E2F3" w:val="clear"/>
          </w:tcPr>
          <w:p>
            <w:pPr>
              <w:jc w:val="center"/>
            </w:pPr>
            <w:r/>
            <w:r>
              <w:rPr>
                <w:rFonts w:ascii="黑体" w:hAnsi="黑体" w:eastAsia="黑体"/>
                <w:b/>
                <w:sz w:val="20"/>
              </w:rPr>
              <w:t>论文/理论</w:t>
            </w:r>
          </w:p>
        </w:tc>
        <w:tc>
          <w:tcPr>
            <w:tcW w:type="dxa" w:w="2078"/>
            <w:shd w:fill="D9E2F3" w:val="clear"/>
          </w:tcPr>
          <w:p>
            <w:pPr>
              <w:jc w:val="center"/>
            </w:pPr>
            <w:r/>
            <w:r>
              <w:rPr>
                <w:rFonts w:ascii="黑体" w:hAnsi="黑体" w:eastAsia="黑体"/>
                <w:b/>
                <w:sz w:val="20"/>
              </w:rPr>
              <w:t>作者</w:t>
            </w:r>
          </w:p>
        </w:tc>
        <w:tc>
          <w:tcPr>
            <w:tcW w:type="dxa" w:w="2078"/>
            <w:shd w:fill="D9E2F3" w:val="clear"/>
          </w:tcPr>
          <w:p>
            <w:pPr>
              <w:jc w:val="center"/>
            </w:pPr>
            <w:r/>
            <w:r>
              <w:rPr>
                <w:rFonts w:ascii="黑体" w:hAnsi="黑体" w:eastAsia="黑体"/>
                <w:b/>
                <w:sz w:val="20"/>
              </w:rPr>
              <w:t>意义</w:t>
            </w:r>
          </w:p>
        </w:tc>
      </w:tr>
      <w:tr>
        <w:tc>
          <w:tcPr>
            <w:tcW w:type="dxa" w:w="2078"/>
          </w:tcPr>
          <w:p>
            <w:r/>
            <w:r>
              <w:rPr>
                <w:rFonts w:ascii="宋体" w:hAnsi="宋体" w:eastAsia="宋体"/>
                <w:sz w:val="20"/>
              </w:rPr>
              <w:t>1965</w:t>
            </w:r>
          </w:p>
        </w:tc>
        <w:tc>
          <w:tcPr>
            <w:tcW w:type="dxa" w:w="2078"/>
          </w:tcPr>
          <w:p>
            <w:r/>
            <w:r>
              <w:rPr>
                <w:rFonts w:ascii="宋体" w:hAnsi="宋体" w:eastAsia="宋体"/>
                <w:sz w:val="20"/>
              </w:rPr>
              <w:t>The Ultimate Display</w:t>
            </w:r>
          </w:p>
        </w:tc>
        <w:tc>
          <w:tcPr>
            <w:tcW w:type="dxa" w:w="2078"/>
          </w:tcPr>
          <w:p>
            <w:r/>
            <w:r>
              <w:rPr>
                <w:rFonts w:ascii="宋体" w:hAnsi="宋体" w:eastAsia="宋体"/>
                <w:sz w:val="20"/>
              </w:rPr>
              <w:t>Ivan Sutherland</w:t>
            </w:r>
          </w:p>
        </w:tc>
        <w:tc>
          <w:tcPr>
            <w:tcW w:type="dxa" w:w="2078"/>
          </w:tcPr>
          <w:p>
            <w:r/>
            <w:r>
              <w:rPr>
                <w:rFonts w:ascii="宋体" w:hAnsi="宋体" w:eastAsia="宋体"/>
                <w:sz w:val="20"/>
              </w:rPr>
              <w:t>VR 理论奠基</w:t>
            </w:r>
          </w:p>
        </w:tc>
      </w:tr>
      <w:tr>
        <w:tc>
          <w:tcPr>
            <w:tcW w:type="dxa" w:w="2078"/>
          </w:tcPr>
          <w:p>
            <w:r/>
            <w:r>
              <w:rPr>
                <w:rFonts w:ascii="宋体" w:hAnsi="宋体" w:eastAsia="宋体"/>
                <w:sz w:val="20"/>
              </w:rPr>
              <w:t>1994</w:t>
            </w:r>
          </w:p>
        </w:tc>
        <w:tc>
          <w:tcPr>
            <w:tcW w:type="dxa" w:w="2078"/>
          </w:tcPr>
          <w:p>
            <w:r/>
            <w:r>
              <w:rPr>
                <w:rFonts w:ascii="宋体" w:hAnsi="宋体" w:eastAsia="宋体"/>
                <w:sz w:val="20"/>
              </w:rPr>
              <w:t>A Taxonomy of Mixed Reality Visual Displays</w:t>
            </w:r>
          </w:p>
        </w:tc>
        <w:tc>
          <w:tcPr>
            <w:tcW w:type="dxa" w:w="2078"/>
          </w:tcPr>
          <w:p>
            <w:r/>
            <w:r>
              <w:rPr>
                <w:rFonts w:ascii="宋体" w:hAnsi="宋体" w:eastAsia="宋体"/>
                <w:sz w:val="20"/>
              </w:rPr>
              <w:t>Milgram &amp; Kishino</w:t>
            </w:r>
          </w:p>
        </w:tc>
        <w:tc>
          <w:tcPr>
            <w:tcW w:type="dxa" w:w="2078"/>
          </w:tcPr>
          <w:p>
            <w:r/>
            <w:r>
              <w:rPr>
                <w:rFonts w:ascii="宋体" w:hAnsi="宋体" w:eastAsia="宋体"/>
                <w:sz w:val="20"/>
              </w:rPr>
              <w:t>现实-虚拟连续体理论</w:t>
            </w:r>
          </w:p>
        </w:tc>
      </w:tr>
      <w:tr>
        <w:tc>
          <w:tcPr>
            <w:tcW w:type="dxa" w:w="2078"/>
          </w:tcPr>
          <w:p>
            <w:r/>
            <w:r>
              <w:rPr>
                <w:rFonts w:ascii="宋体" w:hAnsi="宋体" w:eastAsia="宋体"/>
                <w:sz w:val="20"/>
              </w:rPr>
              <w:t>1997</w:t>
            </w:r>
          </w:p>
        </w:tc>
        <w:tc>
          <w:tcPr>
            <w:tcW w:type="dxa" w:w="2078"/>
          </w:tcPr>
          <w:p>
            <w:r/>
            <w:r>
              <w:rPr>
                <w:rFonts w:ascii="宋体" w:hAnsi="宋体" w:eastAsia="宋体"/>
                <w:sz w:val="20"/>
              </w:rPr>
              <w:t>A Framework for Immersive Virtual Environments (FIVE)</w:t>
            </w:r>
          </w:p>
        </w:tc>
        <w:tc>
          <w:tcPr>
            <w:tcW w:type="dxa" w:w="2078"/>
          </w:tcPr>
          <w:p>
            <w:r/>
            <w:r>
              <w:rPr>
                <w:rFonts w:ascii="宋体" w:hAnsi="宋体" w:eastAsia="宋体"/>
                <w:sz w:val="20"/>
              </w:rPr>
              <w:t>Slater &amp; Wilbur</w:t>
            </w:r>
          </w:p>
        </w:tc>
        <w:tc>
          <w:tcPr>
            <w:tcW w:type="dxa" w:w="2078"/>
          </w:tcPr>
          <w:p>
            <w:r/>
            <w:r>
              <w:rPr>
                <w:rFonts w:ascii="宋体" w:hAnsi="宋体" w:eastAsia="宋体"/>
                <w:sz w:val="20"/>
              </w:rPr>
              <w:t>临场感六维度框架</w:t>
            </w:r>
          </w:p>
        </w:tc>
      </w:tr>
      <w:tr>
        <w:tc>
          <w:tcPr>
            <w:tcW w:type="dxa" w:w="2078"/>
          </w:tcPr>
          <w:p>
            <w:r/>
            <w:r>
              <w:rPr>
                <w:rFonts w:ascii="宋体" w:hAnsi="宋体" w:eastAsia="宋体"/>
                <w:sz w:val="20"/>
              </w:rPr>
              <w:t>2003</w:t>
            </w:r>
          </w:p>
        </w:tc>
        <w:tc>
          <w:tcPr>
            <w:tcW w:type="dxa" w:w="2078"/>
          </w:tcPr>
          <w:p>
            <w:r/>
            <w:r>
              <w:rPr>
                <w:rFonts w:ascii="宋体" w:hAnsi="宋体" w:eastAsia="宋体"/>
                <w:sz w:val="20"/>
              </w:rPr>
              <w:t>A Practical Definition of VR</w:t>
            </w:r>
          </w:p>
        </w:tc>
        <w:tc>
          <w:tcPr>
            <w:tcW w:type="dxa" w:w="2078"/>
          </w:tcPr>
          <w:p>
            <w:r/>
            <w:r>
              <w:rPr>
                <w:rFonts w:ascii="宋体" w:hAnsi="宋体" w:eastAsia="宋体"/>
                <w:sz w:val="20"/>
              </w:rPr>
              <w:t>Steuer</w:t>
            </w:r>
          </w:p>
        </w:tc>
        <w:tc>
          <w:tcPr>
            <w:tcW w:type="dxa" w:w="2078"/>
          </w:tcPr>
          <w:p>
            <w:r/>
            <w:r>
              <w:rPr>
                <w:rFonts w:ascii="宋体" w:hAnsi="宋体" w:eastAsia="宋体"/>
                <w:sz w:val="20"/>
              </w:rPr>
              <w:t>远程临场理论</w:t>
            </w:r>
          </w:p>
        </w:tc>
      </w:tr>
      <w:tr>
        <w:tc>
          <w:tcPr>
            <w:tcW w:type="dxa" w:w="2078"/>
          </w:tcPr>
          <w:p>
            <w:r/>
            <w:r>
              <w:rPr>
                <w:rFonts w:ascii="宋体" w:hAnsi="宋体" w:eastAsia="宋体"/>
                <w:sz w:val="20"/>
              </w:rPr>
              <w:t>2009</w:t>
            </w:r>
          </w:p>
        </w:tc>
        <w:tc>
          <w:tcPr>
            <w:tcW w:type="dxa" w:w="2078"/>
          </w:tcPr>
          <w:p>
            <w:r/>
            <w:r>
              <w:rPr>
                <w:rFonts w:ascii="宋体" w:hAnsi="宋体" w:eastAsia="宋体"/>
                <w:sz w:val="20"/>
              </w:rPr>
              <w:t>Presence Questionnaire (PQ)</w:t>
            </w:r>
          </w:p>
        </w:tc>
        <w:tc>
          <w:tcPr>
            <w:tcW w:type="dxa" w:w="2078"/>
          </w:tcPr>
          <w:p>
            <w:r/>
            <w:r>
              <w:rPr>
                <w:rFonts w:ascii="宋体" w:hAnsi="宋体" w:eastAsia="宋体"/>
                <w:sz w:val="20"/>
              </w:rPr>
              <w:t>Witmer &amp; Singer</w:t>
            </w:r>
          </w:p>
        </w:tc>
        <w:tc>
          <w:tcPr>
            <w:tcW w:type="dxa" w:w="2078"/>
          </w:tcPr>
          <w:p>
            <w:r/>
            <w:r>
              <w:rPr>
                <w:rFonts w:ascii="宋体" w:hAnsi="宋体" w:eastAsia="宋体"/>
                <w:sz w:val="20"/>
              </w:rPr>
              <w:t>临场感测量标准化</w:t>
            </w:r>
          </w:p>
        </w:tc>
      </w:tr>
      <w:tr>
        <w:tc>
          <w:tcPr>
            <w:tcW w:type="dxa" w:w="2078"/>
          </w:tcPr>
          <w:p>
            <w:r/>
            <w:r>
              <w:rPr>
                <w:rFonts w:ascii="宋体" w:hAnsi="宋体" w:eastAsia="宋体"/>
                <w:sz w:val="20"/>
              </w:rPr>
              <w:t>2017</w:t>
            </w:r>
          </w:p>
        </w:tc>
        <w:tc>
          <w:tcPr>
            <w:tcW w:type="dxa" w:w="2078"/>
          </w:tcPr>
          <w:p>
            <w:r/>
            <w:r>
              <w:rPr>
                <w:rFonts w:ascii="宋体" w:hAnsi="宋体" w:eastAsia="宋体"/>
                <w:sz w:val="20"/>
              </w:rPr>
              <w:t>ARKit / ARCore 发布</w:t>
            </w:r>
          </w:p>
        </w:tc>
        <w:tc>
          <w:tcPr>
            <w:tcW w:type="dxa" w:w="2078"/>
          </w:tcPr>
          <w:p>
            <w:r/>
            <w:r>
              <w:rPr>
                <w:rFonts w:ascii="宋体" w:hAnsi="宋体" w:eastAsia="宋体"/>
                <w:sz w:val="20"/>
              </w:rPr>
              <w:t>Apple / Google</w:t>
            </w:r>
          </w:p>
        </w:tc>
        <w:tc>
          <w:tcPr>
            <w:tcW w:type="dxa" w:w="2078"/>
          </w:tcPr>
          <w:p>
            <w:r/>
            <w:r>
              <w:rPr>
                <w:rFonts w:ascii="宋体" w:hAnsi="宋体" w:eastAsia="宋体"/>
                <w:sz w:val="20"/>
              </w:rPr>
              <w:t>移动 AR 技术标准化</w:t>
            </w:r>
          </w:p>
        </w:tc>
      </w:tr>
      <w:tr>
        <w:tc>
          <w:tcPr>
            <w:tcW w:type="dxa" w:w="2078"/>
          </w:tcPr>
          <w:p>
            <w:r/>
            <w:r>
              <w:rPr>
                <w:rFonts w:ascii="宋体" w:hAnsi="宋体" w:eastAsia="宋体"/>
                <w:sz w:val="20"/>
              </w:rPr>
              <w:t>2020</w:t>
            </w:r>
          </w:p>
        </w:tc>
        <w:tc>
          <w:tcPr>
            <w:tcW w:type="dxa" w:w="2078"/>
          </w:tcPr>
          <w:p>
            <w:r/>
            <w:r>
              <w:rPr>
                <w:rFonts w:ascii="宋体" w:hAnsi="宋体" w:eastAsia="宋体"/>
                <w:sz w:val="20"/>
              </w:rPr>
              <w:t>NeRF: Representing Scenes as Neural Radiance Fields</w:t>
            </w:r>
          </w:p>
        </w:tc>
        <w:tc>
          <w:tcPr>
            <w:tcW w:type="dxa" w:w="2078"/>
          </w:tcPr>
          <w:p>
            <w:r/>
            <w:r>
              <w:rPr>
                <w:rFonts w:ascii="宋体" w:hAnsi="宋体" w:eastAsia="宋体"/>
                <w:sz w:val="20"/>
              </w:rPr>
              <w:t>Mildenhall et al.</w:t>
            </w:r>
          </w:p>
        </w:tc>
        <w:tc>
          <w:tcPr>
            <w:tcW w:type="dxa" w:w="2078"/>
          </w:tcPr>
          <w:p>
            <w:r/>
            <w:r>
              <w:rPr>
                <w:rFonts w:ascii="宋体" w:hAnsi="宋体" w:eastAsia="宋体"/>
                <w:sz w:val="20"/>
              </w:rPr>
              <w:t>神经辐射场3D重建</w:t>
            </w:r>
          </w:p>
        </w:tc>
      </w:tr>
      <w:tr>
        <w:tc>
          <w:tcPr>
            <w:tcW w:type="dxa" w:w="2078"/>
          </w:tcPr>
          <w:p>
            <w:r/>
            <w:r>
              <w:rPr>
                <w:rFonts w:ascii="宋体" w:hAnsi="宋体" w:eastAsia="宋体"/>
                <w:sz w:val="20"/>
              </w:rPr>
              <w:t>2023</w:t>
            </w:r>
          </w:p>
        </w:tc>
        <w:tc>
          <w:tcPr>
            <w:tcW w:type="dxa" w:w="2078"/>
          </w:tcPr>
          <w:p>
            <w:r/>
            <w:r>
              <w:rPr>
                <w:rFonts w:ascii="宋体" w:hAnsi="宋体" w:eastAsia="宋体"/>
                <w:sz w:val="20"/>
              </w:rPr>
              <w:t>3D Gaussian Splatting for Real-Time Radiance Field Rendering</w:t>
            </w:r>
          </w:p>
        </w:tc>
        <w:tc>
          <w:tcPr>
            <w:tcW w:type="dxa" w:w="2078"/>
          </w:tcPr>
          <w:p>
            <w:r/>
            <w:r>
              <w:rPr>
                <w:rFonts w:ascii="宋体" w:hAnsi="宋体" w:eastAsia="宋体"/>
                <w:sz w:val="20"/>
              </w:rPr>
              <w:t>Kerbl et al.</w:t>
            </w:r>
          </w:p>
        </w:tc>
        <w:tc>
          <w:tcPr>
            <w:tcW w:type="dxa" w:w="2078"/>
          </w:tcPr>
          <w:p>
            <w:r/>
            <w:r>
              <w:rPr>
                <w:rFonts w:ascii="宋体" w:hAnsi="宋体" w:eastAsia="宋体"/>
                <w:sz w:val="20"/>
              </w:rPr>
              <w:t>实时高质量3D场景重建</w:t>
            </w:r>
          </w:p>
        </w:tc>
      </w:tr>
    </w:tbl>
    <w:p/>
    <w:p/>
    <w:p>
      <w:pPr>
        <w:ind w:firstLine="482"/>
      </w:pPr>
      <w:r>
        <w:rPr>
          <w:rFonts w:ascii="宋体" w:hAnsi="宋体" w:eastAsia="宋体"/>
          <w:sz w:val="24"/>
        </w:rPr>
        <w:t>本大事记将持续更新。VR/AR 技术发展日新月异，建议读者关注 IEEE VR、ISMAR、ACM CHI 等学术会议和 Meta Connect、Apple WWDC、Google I/O 等技术大会，跟踪最新技术动态。</w:t>
      </w:r>
    </w:p>
    <w:p/>
    <w:p/>
    <w:p/>
    <w:p>
      <w:pPr>
        <w:pStyle w:val="Heading2"/>
      </w:pPr>
      <w:r>
        <w:t>G.10 贵州VR/AR产业发展大事记</w:t>
      </w:r>
    </w:p>
    <w:p/>
    <w:p>
      <w:pPr>
        <w:ind w:firstLine="482"/>
      </w:pPr>
      <w:r>
        <w:rPr>
          <w:rFonts w:ascii="宋体" w:hAnsi="宋体" w:eastAsia="宋体"/>
          <w:sz w:val="24"/>
        </w:rPr>
        <w:t>贵州作为国家大数据综合试验区，在VR/AR产业发展方面具有独特的政策优势和资源禀赋。</w:t>
      </w:r>
    </w:p>
    <w:p/>
    <w:tbl>
      <w:tblPr>
        <w:tblStyle w:val="TableGrid"/>
        <w:tblW w:type="auto" w:w="0"/>
        <w:jc w:val="center"/>
        <w:tblLook w:firstColumn="1" w:firstRow="1" w:lastColumn="0" w:lastRow="0" w:noHBand="0" w:noVBand="1" w:val="04A0"/>
      </w:tblPr>
      <w:tblGrid>
        <w:gridCol w:w="2771"/>
        <w:gridCol w:w="2771"/>
        <w:gridCol w:w="2771"/>
      </w:tblGrid>
      <w:tr>
        <w:tc>
          <w:tcPr>
            <w:tcW w:type="dxa" w:w="2771"/>
            <w:shd w:fill="D9E2F3" w:val="clear"/>
          </w:tcPr>
          <w:p>
            <w:pPr>
              <w:jc w:val="center"/>
            </w:pPr>
            <w:r/>
            <w:r>
              <w:rPr>
                <w:rFonts w:ascii="黑体" w:hAnsi="黑体" w:eastAsia="黑体"/>
                <w:b/>
                <w:sz w:val="20"/>
              </w:rPr>
              <w:t>年份</w:t>
            </w:r>
          </w:p>
        </w:tc>
        <w:tc>
          <w:tcPr>
            <w:tcW w:type="dxa" w:w="2771"/>
            <w:shd w:fill="D9E2F3" w:val="clear"/>
          </w:tcPr>
          <w:p>
            <w:pPr>
              <w:jc w:val="center"/>
            </w:pPr>
            <w:r/>
            <w:r>
              <w:rPr>
                <w:rFonts w:ascii="黑体" w:hAnsi="黑体" w:eastAsia="黑体"/>
                <w:b/>
                <w:sz w:val="20"/>
              </w:rPr>
              <w:t>事件</w:t>
            </w:r>
          </w:p>
        </w:tc>
        <w:tc>
          <w:tcPr>
            <w:tcW w:type="dxa" w:w="2771"/>
            <w:shd w:fill="D9E2F3" w:val="clear"/>
          </w:tcPr>
          <w:p>
            <w:pPr>
              <w:jc w:val="center"/>
            </w:pPr>
            <w:r/>
            <w:r>
              <w:rPr>
                <w:rFonts w:ascii="黑体" w:hAnsi="黑体" w:eastAsia="黑体"/>
                <w:b/>
                <w:sz w:val="20"/>
              </w:rPr>
              <w:t>意义</w:t>
            </w:r>
          </w:p>
        </w:tc>
      </w:tr>
      <w:tr>
        <w:tc>
          <w:tcPr>
            <w:tcW w:type="dxa" w:w="2771"/>
          </w:tcPr>
          <w:p>
            <w:r/>
            <w:r>
              <w:rPr>
                <w:rFonts w:ascii="宋体" w:hAnsi="宋体" w:eastAsia="宋体"/>
                <w:sz w:val="20"/>
              </w:rPr>
              <w:t>2016</w:t>
            </w:r>
          </w:p>
        </w:tc>
        <w:tc>
          <w:tcPr>
            <w:tcW w:type="dxa" w:w="2771"/>
          </w:tcPr>
          <w:p>
            <w:r/>
            <w:r>
              <w:rPr>
                <w:rFonts w:ascii="宋体" w:hAnsi="宋体" w:eastAsia="宋体"/>
                <w:sz w:val="20"/>
              </w:rPr>
              <w:t>贵州省发布大数据产业发展规划</w:t>
            </w:r>
          </w:p>
        </w:tc>
        <w:tc>
          <w:tcPr>
            <w:tcW w:type="dxa" w:w="2771"/>
          </w:tcPr>
          <w:p>
            <w:r/>
            <w:r>
              <w:rPr>
                <w:rFonts w:ascii="宋体" w:hAnsi="宋体" w:eastAsia="宋体"/>
                <w:sz w:val="20"/>
              </w:rPr>
              <w:t>将VR/AR纳入数字经济发展重点</w:t>
            </w:r>
          </w:p>
        </w:tc>
      </w:tr>
      <w:tr>
        <w:tc>
          <w:tcPr>
            <w:tcW w:type="dxa" w:w="2771"/>
          </w:tcPr>
          <w:p>
            <w:r/>
            <w:r>
              <w:rPr>
                <w:rFonts w:ascii="宋体" w:hAnsi="宋体" w:eastAsia="宋体"/>
                <w:sz w:val="20"/>
              </w:rPr>
              <w:t>2017</w:t>
            </w:r>
          </w:p>
        </w:tc>
        <w:tc>
          <w:tcPr>
            <w:tcW w:type="dxa" w:w="2771"/>
          </w:tcPr>
          <w:p>
            <w:r/>
            <w:r>
              <w:rPr>
                <w:rFonts w:ascii="宋体" w:hAnsi="宋体" w:eastAsia="宋体"/>
                <w:sz w:val="20"/>
              </w:rPr>
              <w:t>贵州省博物馆数字化改造启动</w:t>
            </w:r>
          </w:p>
        </w:tc>
        <w:tc>
          <w:tcPr>
            <w:tcW w:type="dxa" w:w="2771"/>
          </w:tcPr>
          <w:p>
            <w:r/>
            <w:r>
              <w:rPr>
                <w:rFonts w:ascii="宋体" w:hAnsi="宋体" w:eastAsia="宋体"/>
                <w:sz w:val="20"/>
              </w:rPr>
              <w:t>文化遗产数字化大规模推进</w:t>
            </w:r>
          </w:p>
        </w:tc>
      </w:tr>
      <w:tr>
        <w:tc>
          <w:tcPr>
            <w:tcW w:type="dxa" w:w="2771"/>
          </w:tcPr>
          <w:p>
            <w:r/>
            <w:r>
              <w:rPr>
                <w:rFonts w:ascii="宋体" w:hAnsi="宋体" w:eastAsia="宋体"/>
                <w:sz w:val="20"/>
              </w:rPr>
              <w:t>2018</w:t>
            </w:r>
          </w:p>
        </w:tc>
        <w:tc>
          <w:tcPr>
            <w:tcW w:type="dxa" w:w="2771"/>
          </w:tcPr>
          <w:p>
            <w:r/>
            <w:r>
              <w:rPr>
                <w:rFonts w:ascii="宋体" w:hAnsi="宋体" w:eastAsia="宋体"/>
                <w:sz w:val="20"/>
              </w:rPr>
              <w:t>黄果树景区推出VR全景体验</w:t>
            </w:r>
          </w:p>
        </w:tc>
        <w:tc>
          <w:tcPr>
            <w:tcW w:type="dxa" w:w="2771"/>
          </w:tcPr>
          <w:p>
            <w:r/>
            <w:r>
              <w:rPr>
                <w:rFonts w:ascii="宋体" w:hAnsi="宋体" w:eastAsia="宋体"/>
                <w:sz w:val="20"/>
              </w:rPr>
              <w:t>景区VR营销的先行实践</w:t>
            </w:r>
          </w:p>
        </w:tc>
      </w:tr>
      <w:tr>
        <w:tc>
          <w:tcPr>
            <w:tcW w:type="dxa" w:w="2771"/>
          </w:tcPr>
          <w:p>
            <w:r/>
            <w:r>
              <w:rPr>
                <w:rFonts w:ascii="宋体" w:hAnsi="宋体" w:eastAsia="宋体"/>
                <w:sz w:val="20"/>
              </w:rPr>
              <w:t>2019</w:t>
            </w:r>
          </w:p>
        </w:tc>
        <w:tc>
          <w:tcPr>
            <w:tcW w:type="dxa" w:w="2771"/>
          </w:tcPr>
          <w:p>
            <w:r/>
            <w:r>
              <w:rPr>
                <w:rFonts w:ascii="宋体" w:hAnsi="宋体" w:eastAsia="宋体"/>
                <w:sz w:val="20"/>
              </w:rPr>
              <w:t>贵州数字博物馆上线</w:t>
            </w:r>
          </w:p>
        </w:tc>
        <w:tc>
          <w:tcPr>
            <w:tcW w:type="dxa" w:w="2771"/>
          </w:tcPr>
          <w:p>
            <w:r/>
            <w:r>
              <w:rPr>
                <w:rFonts w:ascii="宋体" w:hAnsi="宋体" w:eastAsia="宋体"/>
                <w:sz w:val="20"/>
              </w:rPr>
              <w:t>省级数字文化平台建设</w:t>
            </w:r>
          </w:p>
        </w:tc>
      </w:tr>
      <w:tr>
        <w:tc>
          <w:tcPr>
            <w:tcW w:type="dxa" w:w="2771"/>
          </w:tcPr>
          <w:p>
            <w:r/>
            <w:r>
              <w:rPr>
                <w:rFonts w:ascii="宋体" w:hAnsi="宋体" w:eastAsia="宋体"/>
                <w:sz w:val="20"/>
              </w:rPr>
              <w:t>2020</w:t>
            </w:r>
          </w:p>
        </w:tc>
        <w:tc>
          <w:tcPr>
            <w:tcW w:type="dxa" w:w="2771"/>
          </w:tcPr>
          <w:p>
            <w:r/>
            <w:r>
              <w:rPr>
                <w:rFonts w:ascii="宋体" w:hAnsi="宋体" w:eastAsia="宋体"/>
                <w:sz w:val="20"/>
              </w:rPr>
              <w:t>疫情期间贵州景区VR云游推广</w:t>
            </w:r>
          </w:p>
        </w:tc>
        <w:tc>
          <w:tcPr>
            <w:tcW w:type="dxa" w:w="2771"/>
          </w:tcPr>
          <w:p>
            <w:r/>
            <w:r>
              <w:rPr>
                <w:rFonts w:ascii="宋体" w:hAnsi="宋体" w:eastAsia="宋体"/>
                <w:sz w:val="20"/>
              </w:rPr>
              <w:t>VR旅游在特殊时期的价值验证</w:t>
            </w:r>
          </w:p>
        </w:tc>
      </w:tr>
      <w:tr>
        <w:tc>
          <w:tcPr>
            <w:tcW w:type="dxa" w:w="2771"/>
          </w:tcPr>
          <w:p>
            <w:r/>
            <w:r>
              <w:rPr>
                <w:rFonts w:ascii="宋体" w:hAnsi="宋体" w:eastAsia="宋体"/>
                <w:sz w:val="20"/>
              </w:rPr>
              <w:t>2021</w:t>
            </w:r>
          </w:p>
        </w:tc>
        <w:tc>
          <w:tcPr>
            <w:tcW w:type="dxa" w:w="2771"/>
          </w:tcPr>
          <w:p>
            <w:r/>
            <w:r>
              <w:rPr>
                <w:rFonts w:ascii="宋体" w:hAnsi="宋体" w:eastAsia="宋体"/>
                <w:sz w:val="20"/>
              </w:rPr>
              <w:t>西江千户苗寨AR导览应用上线</w:t>
            </w:r>
          </w:p>
        </w:tc>
        <w:tc>
          <w:tcPr>
            <w:tcW w:type="dxa" w:w="2771"/>
          </w:tcPr>
          <w:p>
            <w:r/>
            <w:r>
              <w:rPr>
                <w:rFonts w:ascii="宋体" w:hAnsi="宋体" w:eastAsia="宋体"/>
                <w:sz w:val="20"/>
              </w:rPr>
              <w:t>民族文化AR应用的标杆案例</w:t>
            </w:r>
          </w:p>
        </w:tc>
      </w:tr>
      <w:tr>
        <w:tc>
          <w:tcPr>
            <w:tcW w:type="dxa" w:w="2771"/>
          </w:tcPr>
          <w:p>
            <w:r/>
            <w:r>
              <w:rPr>
                <w:rFonts w:ascii="宋体" w:hAnsi="宋体" w:eastAsia="宋体"/>
                <w:sz w:val="20"/>
              </w:rPr>
              <w:t>2022</w:t>
            </w:r>
          </w:p>
        </w:tc>
        <w:tc>
          <w:tcPr>
            <w:tcW w:type="dxa" w:w="2771"/>
          </w:tcPr>
          <w:p>
            <w:r/>
            <w:r>
              <w:rPr>
                <w:rFonts w:ascii="宋体" w:hAnsi="宋体" w:eastAsia="宋体"/>
                <w:sz w:val="20"/>
              </w:rPr>
              <w:t>贵州文旅元宇宙概念提出</w:t>
            </w:r>
          </w:p>
        </w:tc>
        <w:tc>
          <w:tcPr>
            <w:tcW w:type="dxa" w:w="2771"/>
          </w:tcPr>
          <w:p>
            <w:r/>
            <w:r>
              <w:rPr>
                <w:rFonts w:ascii="宋体" w:hAnsi="宋体" w:eastAsia="宋体"/>
                <w:sz w:val="20"/>
              </w:rPr>
              <w:t>元宇宙与文旅融合的早期探索</w:t>
            </w:r>
          </w:p>
        </w:tc>
      </w:tr>
      <w:tr>
        <w:tc>
          <w:tcPr>
            <w:tcW w:type="dxa" w:w="2771"/>
          </w:tcPr>
          <w:p>
            <w:r/>
            <w:r>
              <w:rPr>
                <w:rFonts w:ascii="宋体" w:hAnsi="宋体" w:eastAsia="宋体"/>
                <w:sz w:val="20"/>
              </w:rPr>
              <w:t>2023</w:t>
            </w:r>
          </w:p>
        </w:tc>
        <w:tc>
          <w:tcPr>
            <w:tcW w:type="dxa" w:w="2771"/>
          </w:tcPr>
          <w:p>
            <w:r/>
            <w:r>
              <w:rPr>
                <w:rFonts w:ascii="宋体" w:hAnsi="宋体" w:eastAsia="宋体"/>
                <w:sz w:val="20"/>
              </w:rPr>
              <w:t>遵义会议VR体验馆开放</w:t>
            </w:r>
          </w:p>
        </w:tc>
        <w:tc>
          <w:tcPr>
            <w:tcW w:type="dxa" w:w="2771"/>
          </w:tcPr>
          <w:p>
            <w:r/>
            <w:r>
              <w:rPr>
                <w:rFonts w:ascii="宋体" w:hAnsi="宋体" w:eastAsia="宋体"/>
                <w:sz w:val="20"/>
              </w:rPr>
              <w:t>红色文化数字化的代表性项目</w:t>
            </w:r>
          </w:p>
        </w:tc>
      </w:tr>
      <w:tr>
        <w:tc>
          <w:tcPr>
            <w:tcW w:type="dxa" w:w="2771"/>
          </w:tcPr>
          <w:p>
            <w:r/>
            <w:r>
              <w:rPr>
                <w:rFonts w:ascii="宋体" w:hAnsi="宋体" w:eastAsia="宋体"/>
                <w:sz w:val="20"/>
              </w:rPr>
              <w:t>2024</w:t>
            </w:r>
          </w:p>
        </w:tc>
        <w:tc>
          <w:tcPr>
            <w:tcW w:type="dxa" w:w="2771"/>
          </w:tcPr>
          <w:p>
            <w:r/>
            <w:r>
              <w:rPr>
                <w:rFonts w:ascii="宋体" w:hAnsi="宋体" w:eastAsia="宋体"/>
                <w:sz w:val="20"/>
              </w:rPr>
              <w:t>贵州多景区部署5G+VR直播</w:t>
            </w:r>
          </w:p>
        </w:tc>
        <w:tc>
          <w:tcPr>
            <w:tcW w:type="dxa" w:w="2771"/>
          </w:tcPr>
          <w:p>
            <w:r/>
            <w:r>
              <w:rPr>
                <w:rFonts w:ascii="宋体" w:hAnsi="宋体" w:eastAsia="宋体"/>
                <w:sz w:val="20"/>
              </w:rPr>
              <w:t>5G与VR结合的大规模应用</w:t>
            </w:r>
          </w:p>
        </w:tc>
      </w:tr>
      <w:tr>
        <w:tc>
          <w:tcPr>
            <w:tcW w:type="dxa" w:w="2771"/>
          </w:tcPr>
          <w:p>
            <w:r/>
            <w:r>
              <w:rPr>
                <w:rFonts w:ascii="宋体" w:hAnsi="宋体" w:eastAsia="宋体"/>
                <w:sz w:val="20"/>
              </w:rPr>
              <w:t>2025</w:t>
            </w:r>
          </w:p>
        </w:tc>
        <w:tc>
          <w:tcPr>
            <w:tcW w:type="dxa" w:w="2771"/>
          </w:tcPr>
          <w:p>
            <w:r/>
            <w:r>
              <w:rPr>
                <w:rFonts w:ascii="宋体" w:hAnsi="宋体" w:eastAsia="宋体"/>
                <w:sz w:val="20"/>
              </w:rPr>
              <w:t>贵州文旅元宇宙平台试运营</w:t>
            </w:r>
          </w:p>
        </w:tc>
        <w:tc>
          <w:tcPr>
            <w:tcW w:type="dxa" w:w="2771"/>
          </w:tcPr>
          <w:p>
            <w:r/>
            <w:r>
              <w:rPr>
                <w:rFonts w:ascii="宋体" w:hAnsi="宋体" w:eastAsia="宋体"/>
                <w:sz w:val="20"/>
              </w:rPr>
              <w:t>省级文旅元宇宙平台的首批实践</w:t>
            </w:r>
          </w:p>
        </w:tc>
      </w:tr>
    </w:tbl>
    <w:p/>
    <w:p/>
    <w:p>
      <w:pPr>
        <w:pStyle w:val="Heading2"/>
      </w:pPr>
      <w:r>
        <w:t>G.11 VR/AR 学术会议与期刊</w:t>
      </w:r>
    </w:p>
    <w:p/>
    <w:p>
      <w:pPr>
        <w:pStyle w:val="Heading3"/>
      </w:pPr>
      <w:r>
        <w:t>G.11.1 重要学术会议</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会议名称</w:t>
            </w:r>
          </w:p>
        </w:tc>
        <w:tc>
          <w:tcPr>
            <w:tcW w:type="dxa" w:w="1662"/>
            <w:shd w:fill="D9E2F3" w:val="clear"/>
          </w:tcPr>
          <w:p>
            <w:pPr>
              <w:jc w:val="center"/>
            </w:pPr>
            <w:r/>
            <w:r>
              <w:rPr>
                <w:rFonts w:ascii="黑体" w:hAnsi="黑体" w:eastAsia="黑体"/>
                <w:b/>
                <w:sz w:val="20"/>
              </w:rPr>
              <w:t>缩写</w:t>
            </w:r>
          </w:p>
        </w:tc>
        <w:tc>
          <w:tcPr>
            <w:tcW w:type="dxa" w:w="1662"/>
            <w:shd w:fill="D9E2F3" w:val="clear"/>
          </w:tcPr>
          <w:p>
            <w:pPr>
              <w:jc w:val="center"/>
            </w:pPr>
            <w:r/>
            <w:r>
              <w:rPr>
                <w:rFonts w:ascii="黑体" w:hAnsi="黑体" w:eastAsia="黑体"/>
                <w:b/>
                <w:sz w:val="20"/>
              </w:rPr>
              <w:t>领域</w:t>
            </w:r>
          </w:p>
        </w:tc>
        <w:tc>
          <w:tcPr>
            <w:tcW w:type="dxa" w:w="1662"/>
            <w:shd w:fill="D9E2F3" w:val="clear"/>
          </w:tcPr>
          <w:p>
            <w:pPr>
              <w:jc w:val="center"/>
            </w:pPr>
            <w:r/>
            <w:r>
              <w:rPr>
                <w:rFonts w:ascii="黑体" w:hAnsi="黑体" w:eastAsia="黑体"/>
                <w:b/>
                <w:sz w:val="20"/>
              </w:rPr>
              <w:t>举办频率</w:t>
            </w:r>
          </w:p>
        </w:tc>
        <w:tc>
          <w:tcPr>
            <w:tcW w:type="dxa" w:w="1662"/>
            <w:shd w:fill="D9E2F3" w:val="clear"/>
          </w:tcPr>
          <w:p>
            <w:pPr>
              <w:jc w:val="center"/>
            </w:pPr>
            <w:r/>
            <w:r>
              <w:rPr>
                <w:rFonts w:ascii="黑体" w:hAnsi="黑体" w:eastAsia="黑体"/>
                <w:b/>
                <w:sz w:val="20"/>
              </w:rPr>
              <w:t>重要性</w:t>
            </w:r>
          </w:p>
        </w:tc>
      </w:tr>
      <w:tr>
        <w:tc>
          <w:tcPr>
            <w:tcW w:type="dxa" w:w="1662"/>
          </w:tcPr>
          <w:p>
            <w:r/>
            <w:r>
              <w:rPr>
                <w:rFonts w:ascii="宋体" w:hAnsi="宋体" w:eastAsia="宋体"/>
                <w:sz w:val="20"/>
              </w:rPr>
              <w:t>IEEE Virtual Reality</w:t>
            </w:r>
          </w:p>
        </w:tc>
        <w:tc>
          <w:tcPr>
            <w:tcW w:type="dxa" w:w="1662"/>
          </w:tcPr>
          <w:p>
            <w:r/>
            <w:r>
              <w:rPr>
                <w:rFonts w:ascii="宋体" w:hAnsi="宋体" w:eastAsia="宋体"/>
                <w:sz w:val="20"/>
              </w:rPr>
              <w:t>IEEE VR</w:t>
            </w:r>
          </w:p>
        </w:tc>
        <w:tc>
          <w:tcPr>
            <w:tcW w:type="dxa" w:w="1662"/>
          </w:tcPr>
          <w:p>
            <w:r/>
            <w:r>
              <w:rPr>
                <w:rFonts w:ascii="宋体" w:hAnsi="宋体" w:eastAsia="宋体"/>
                <w:sz w:val="20"/>
              </w:rPr>
              <w:t>VR/AR</w:t>
            </w:r>
          </w:p>
        </w:tc>
        <w:tc>
          <w:tcPr>
            <w:tcW w:type="dxa" w:w="1662"/>
          </w:tcPr>
          <w:p>
            <w:r/>
            <w:r>
              <w:rPr>
                <w:rFonts w:ascii="宋体" w:hAnsi="宋体" w:eastAsia="宋体"/>
                <w:sz w:val="20"/>
              </w:rPr>
              <w:t>年度</w:t>
            </w:r>
          </w:p>
        </w:tc>
        <w:tc>
          <w:tcPr>
            <w:tcW w:type="dxa" w:w="1662"/>
          </w:tcPr>
          <w:p>
            <w:r/>
            <w:r>
              <w:rPr>
                <w:rFonts w:ascii="宋体" w:hAnsi="宋体" w:eastAsia="宋体"/>
                <w:sz w:val="20"/>
              </w:rPr>
              <w:t>顶级</w:t>
            </w:r>
          </w:p>
        </w:tc>
      </w:tr>
      <w:tr>
        <w:tc>
          <w:tcPr>
            <w:tcW w:type="dxa" w:w="1662"/>
          </w:tcPr>
          <w:p>
            <w:r/>
            <w:r>
              <w:rPr>
                <w:rFonts w:ascii="宋体" w:hAnsi="宋体" w:eastAsia="宋体"/>
                <w:sz w:val="20"/>
              </w:rPr>
              <w:t>IEEE/ACM ISMAR</w:t>
            </w:r>
          </w:p>
        </w:tc>
        <w:tc>
          <w:tcPr>
            <w:tcW w:type="dxa" w:w="1662"/>
          </w:tcPr>
          <w:p>
            <w:r/>
            <w:r>
              <w:rPr>
                <w:rFonts w:ascii="宋体" w:hAnsi="宋体" w:eastAsia="宋体"/>
                <w:sz w:val="20"/>
              </w:rPr>
              <w:t>ISMAR</w:t>
            </w:r>
          </w:p>
        </w:tc>
        <w:tc>
          <w:tcPr>
            <w:tcW w:type="dxa" w:w="1662"/>
          </w:tcPr>
          <w:p>
            <w:r/>
            <w:r>
              <w:rPr>
                <w:rFonts w:ascii="宋体" w:hAnsi="宋体" w:eastAsia="宋体"/>
                <w:sz w:val="20"/>
              </w:rPr>
              <w:t>AR/MR</w:t>
            </w:r>
          </w:p>
        </w:tc>
        <w:tc>
          <w:tcPr>
            <w:tcW w:type="dxa" w:w="1662"/>
          </w:tcPr>
          <w:p>
            <w:r/>
            <w:r>
              <w:rPr>
                <w:rFonts w:ascii="宋体" w:hAnsi="宋体" w:eastAsia="宋体"/>
                <w:sz w:val="20"/>
              </w:rPr>
              <w:t>年度</w:t>
            </w:r>
          </w:p>
        </w:tc>
        <w:tc>
          <w:tcPr>
            <w:tcW w:type="dxa" w:w="1662"/>
          </w:tcPr>
          <w:p>
            <w:r/>
            <w:r>
              <w:rPr>
                <w:rFonts w:ascii="宋体" w:hAnsi="宋体" w:eastAsia="宋体"/>
                <w:sz w:val="20"/>
              </w:rPr>
              <w:t>顶级</w:t>
            </w:r>
          </w:p>
        </w:tc>
      </w:tr>
      <w:tr>
        <w:tc>
          <w:tcPr>
            <w:tcW w:type="dxa" w:w="1662"/>
          </w:tcPr>
          <w:p>
            <w:r/>
            <w:r>
              <w:rPr>
                <w:rFonts w:ascii="宋体" w:hAnsi="宋体" w:eastAsia="宋体"/>
                <w:sz w:val="20"/>
              </w:rPr>
              <w:t>ACM CHI</w:t>
            </w:r>
          </w:p>
        </w:tc>
        <w:tc>
          <w:tcPr>
            <w:tcW w:type="dxa" w:w="1662"/>
          </w:tcPr>
          <w:p>
            <w:r/>
            <w:r>
              <w:rPr>
                <w:rFonts w:ascii="宋体" w:hAnsi="宋体" w:eastAsia="宋体"/>
                <w:sz w:val="20"/>
              </w:rPr>
              <w:t>CHI</w:t>
            </w:r>
          </w:p>
        </w:tc>
        <w:tc>
          <w:tcPr>
            <w:tcW w:type="dxa" w:w="1662"/>
          </w:tcPr>
          <w:p>
            <w:r/>
            <w:r>
              <w:rPr>
                <w:rFonts w:ascii="宋体" w:hAnsi="宋体" w:eastAsia="宋体"/>
                <w:sz w:val="20"/>
              </w:rPr>
              <w:t>人机交互</w:t>
            </w:r>
          </w:p>
        </w:tc>
        <w:tc>
          <w:tcPr>
            <w:tcW w:type="dxa" w:w="1662"/>
          </w:tcPr>
          <w:p>
            <w:r/>
            <w:r>
              <w:rPr>
                <w:rFonts w:ascii="宋体" w:hAnsi="宋体" w:eastAsia="宋体"/>
                <w:sz w:val="20"/>
              </w:rPr>
              <w:t>年度</w:t>
            </w:r>
          </w:p>
        </w:tc>
        <w:tc>
          <w:tcPr>
            <w:tcW w:type="dxa" w:w="1662"/>
          </w:tcPr>
          <w:p>
            <w:r/>
            <w:r>
              <w:rPr>
                <w:rFonts w:ascii="宋体" w:hAnsi="宋体" w:eastAsia="宋体"/>
                <w:sz w:val="20"/>
              </w:rPr>
              <w:t>顶级</w:t>
            </w:r>
          </w:p>
        </w:tc>
      </w:tr>
      <w:tr>
        <w:tc>
          <w:tcPr>
            <w:tcW w:type="dxa" w:w="1662"/>
          </w:tcPr>
          <w:p>
            <w:r/>
            <w:r>
              <w:rPr>
                <w:rFonts w:ascii="宋体" w:hAnsi="宋体" w:eastAsia="宋体"/>
                <w:sz w:val="20"/>
              </w:rPr>
              <w:t>ACM SIGGRAPH</w:t>
            </w:r>
          </w:p>
        </w:tc>
        <w:tc>
          <w:tcPr>
            <w:tcW w:type="dxa" w:w="1662"/>
          </w:tcPr>
          <w:p>
            <w:r/>
            <w:r>
              <w:rPr>
                <w:rFonts w:ascii="宋体" w:hAnsi="宋体" w:eastAsia="宋体"/>
                <w:sz w:val="20"/>
              </w:rPr>
              <w:t>SIGGRAPH</w:t>
            </w:r>
          </w:p>
        </w:tc>
        <w:tc>
          <w:tcPr>
            <w:tcW w:type="dxa" w:w="1662"/>
          </w:tcPr>
          <w:p>
            <w:r/>
            <w:r>
              <w:rPr>
                <w:rFonts w:ascii="宋体" w:hAnsi="宋体" w:eastAsia="宋体"/>
                <w:sz w:val="20"/>
              </w:rPr>
              <w:t>计算机图形</w:t>
            </w:r>
          </w:p>
        </w:tc>
        <w:tc>
          <w:tcPr>
            <w:tcW w:type="dxa" w:w="1662"/>
          </w:tcPr>
          <w:p>
            <w:r/>
            <w:r>
              <w:rPr>
                <w:rFonts w:ascii="宋体" w:hAnsi="宋体" w:eastAsia="宋体"/>
                <w:sz w:val="20"/>
              </w:rPr>
              <w:t>年度</w:t>
            </w:r>
          </w:p>
        </w:tc>
        <w:tc>
          <w:tcPr>
            <w:tcW w:type="dxa" w:w="1662"/>
          </w:tcPr>
          <w:p>
            <w:r/>
            <w:r>
              <w:rPr>
                <w:rFonts w:ascii="宋体" w:hAnsi="宋体" w:eastAsia="宋体"/>
                <w:sz w:val="20"/>
              </w:rPr>
              <w:t>顶级</w:t>
            </w:r>
          </w:p>
        </w:tc>
      </w:tr>
      <w:tr>
        <w:tc>
          <w:tcPr>
            <w:tcW w:type="dxa" w:w="1662"/>
          </w:tcPr>
          <w:p>
            <w:r/>
            <w:r>
              <w:rPr>
                <w:rFonts w:ascii="宋体" w:hAnsi="宋体" w:eastAsia="宋体"/>
                <w:sz w:val="20"/>
              </w:rPr>
              <w:t>ACM VRST</w:t>
            </w:r>
          </w:p>
        </w:tc>
        <w:tc>
          <w:tcPr>
            <w:tcW w:type="dxa" w:w="1662"/>
          </w:tcPr>
          <w:p>
            <w:r/>
            <w:r>
              <w:rPr>
                <w:rFonts w:ascii="宋体" w:hAnsi="宋体" w:eastAsia="宋体"/>
                <w:sz w:val="20"/>
              </w:rPr>
              <w:t>VRST</w:t>
            </w:r>
          </w:p>
        </w:tc>
        <w:tc>
          <w:tcPr>
            <w:tcW w:type="dxa" w:w="1662"/>
          </w:tcPr>
          <w:p>
            <w:r/>
            <w:r>
              <w:rPr>
                <w:rFonts w:ascii="宋体" w:hAnsi="宋体" w:eastAsia="宋体"/>
                <w:sz w:val="20"/>
              </w:rPr>
              <w:t>VR软件与技术</w:t>
            </w:r>
          </w:p>
        </w:tc>
        <w:tc>
          <w:tcPr>
            <w:tcW w:type="dxa" w:w="1662"/>
          </w:tcPr>
          <w:p>
            <w:r/>
            <w:r>
              <w:rPr>
                <w:rFonts w:ascii="宋体" w:hAnsi="宋体" w:eastAsia="宋体"/>
                <w:sz w:val="20"/>
              </w:rPr>
              <w:t>年度</w:t>
            </w:r>
          </w:p>
        </w:tc>
        <w:tc>
          <w:tcPr>
            <w:tcW w:type="dxa" w:w="1662"/>
          </w:tcPr>
          <w:p>
            <w:r/>
            <w:r>
              <w:rPr>
                <w:rFonts w:ascii="宋体" w:hAnsi="宋体" w:eastAsia="宋体"/>
                <w:sz w:val="20"/>
              </w:rPr>
              <w:t>重要</w:t>
            </w:r>
          </w:p>
        </w:tc>
      </w:tr>
      <w:tr>
        <w:tc>
          <w:tcPr>
            <w:tcW w:type="dxa" w:w="1662"/>
          </w:tcPr>
          <w:p>
            <w:r/>
            <w:r>
              <w:rPr>
                <w:rFonts w:ascii="宋体" w:hAnsi="宋体" w:eastAsia="宋体"/>
                <w:sz w:val="20"/>
              </w:rPr>
              <w:t>EuroVR</w:t>
            </w:r>
          </w:p>
        </w:tc>
        <w:tc>
          <w:tcPr>
            <w:tcW w:type="dxa" w:w="1662"/>
          </w:tcPr>
          <w:p>
            <w:r/>
            <w:r>
              <w:rPr>
                <w:rFonts w:ascii="宋体" w:hAnsi="宋体" w:eastAsia="宋体"/>
                <w:sz w:val="20"/>
              </w:rPr>
              <w:t>EuroVR</w:t>
            </w:r>
          </w:p>
        </w:tc>
        <w:tc>
          <w:tcPr>
            <w:tcW w:type="dxa" w:w="1662"/>
          </w:tcPr>
          <w:p>
            <w:r/>
            <w:r>
              <w:rPr>
                <w:rFonts w:ascii="宋体" w:hAnsi="宋体" w:eastAsia="宋体"/>
                <w:sz w:val="20"/>
              </w:rPr>
              <w:t>VR应用</w:t>
            </w:r>
          </w:p>
        </w:tc>
        <w:tc>
          <w:tcPr>
            <w:tcW w:type="dxa" w:w="1662"/>
          </w:tcPr>
          <w:p>
            <w:r/>
            <w:r>
              <w:rPr>
                <w:rFonts w:ascii="宋体" w:hAnsi="宋体" w:eastAsia="宋体"/>
                <w:sz w:val="20"/>
              </w:rPr>
              <w:t>年度</w:t>
            </w:r>
          </w:p>
        </w:tc>
        <w:tc>
          <w:tcPr>
            <w:tcW w:type="dxa" w:w="1662"/>
          </w:tcPr>
          <w:p>
            <w:r/>
            <w:r>
              <w:rPr>
                <w:rFonts w:ascii="宋体" w:hAnsi="宋体" w:eastAsia="宋体"/>
                <w:sz w:val="20"/>
              </w:rPr>
              <w:t>重要</w:t>
            </w:r>
          </w:p>
        </w:tc>
      </w:tr>
      <w:tr>
        <w:tc>
          <w:tcPr>
            <w:tcW w:type="dxa" w:w="1662"/>
          </w:tcPr>
          <w:p>
            <w:r/>
            <w:r>
              <w:rPr>
                <w:rFonts w:ascii="宋体" w:hAnsi="宋体" w:eastAsia="宋体"/>
                <w:sz w:val="20"/>
              </w:rPr>
              <w:t>IEEE 3DUI</w:t>
            </w:r>
          </w:p>
        </w:tc>
        <w:tc>
          <w:tcPr>
            <w:tcW w:type="dxa" w:w="1662"/>
          </w:tcPr>
          <w:p>
            <w:r/>
            <w:r>
              <w:rPr>
                <w:rFonts w:ascii="宋体" w:hAnsi="宋体" w:eastAsia="宋体"/>
                <w:sz w:val="20"/>
              </w:rPr>
              <w:t>3DUI</w:t>
            </w:r>
          </w:p>
        </w:tc>
        <w:tc>
          <w:tcPr>
            <w:tcW w:type="dxa" w:w="1662"/>
          </w:tcPr>
          <w:p>
            <w:r/>
            <w:r>
              <w:rPr>
                <w:rFonts w:ascii="宋体" w:hAnsi="宋体" w:eastAsia="宋体"/>
                <w:sz w:val="20"/>
              </w:rPr>
              <w:t>3D用户界面</w:t>
            </w:r>
          </w:p>
        </w:tc>
        <w:tc>
          <w:tcPr>
            <w:tcW w:type="dxa" w:w="1662"/>
          </w:tcPr>
          <w:p>
            <w:r/>
            <w:r>
              <w:rPr>
                <w:rFonts w:ascii="宋体" w:hAnsi="宋体" w:eastAsia="宋体"/>
                <w:sz w:val="20"/>
              </w:rPr>
              <w:t>年度</w:t>
            </w:r>
          </w:p>
        </w:tc>
        <w:tc>
          <w:tcPr>
            <w:tcW w:type="dxa" w:w="1662"/>
          </w:tcPr>
          <w:p>
            <w:r/>
            <w:r>
              <w:rPr>
                <w:rFonts w:ascii="宋体" w:hAnsi="宋体" w:eastAsia="宋体"/>
                <w:sz w:val="20"/>
              </w:rPr>
              <w:t>重要</w:t>
            </w:r>
          </w:p>
        </w:tc>
      </w:tr>
    </w:tbl>
    <w:p/>
    <w:p/>
    <w:p>
      <w:pPr>
        <w:pStyle w:val="Heading3"/>
      </w:pPr>
      <w:r>
        <w:t>G.11.2 重要学术期刊</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期刊名称</w:t>
            </w:r>
          </w:p>
        </w:tc>
        <w:tc>
          <w:tcPr>
            <w:tcW w:type="dxa" w:w="1662"/>
            <w:shd w:fill="D9E2F3" w:val="clear"/>
          </w:tcPr>
          <w:p>
            <w:pPr>
              <w:jc w:val="center"/>
            </w:pPr>
            <w:r/>
            <w:r>
              <w:rPr>
                <w:rFonts w:ascii="黑体" w:hAnsi="黑体" w:eastAsia="黑体"/>
                <w:b/>
                <w:sz w:val="20"/>
              </w:rPr>
              <w:t>缩写</w:t>
            </w:r>
          </w:p>
        </w:tc>
        <w:tc>
          <w:tcPr>
            <w:tcW w:type="dxa" w:w="1662"/>
            <w:shd w:fill="D9E2F3" w:val="clear"/>
          </w:tcPr>
          <w:p>
            <w:pPr>
              <w:jc w:val="center"/>
            </w:pPr>
            <w:r/>
            <w:r>
              <w:rPr>
                <w:rFonts w:ascii="黑体" w:hAnsi="黑体" w:eastAsia="黑体"/>
                <w:b/>
                <w:sz w:val="20"/>
              </w:rPr>
              <w:t>领域</w:t>
            </w:r>
          </w:p>
        </w:tc>
        <w:tc>
          <w:tcPr>
            <w:tcW w:type="dxa" w:w="1662"/>
            <w:shd w:fill="D9E2F3" w:val="clear"/>
          </w:tcPr>
          <w:p>
            <w:pPr>
              <w:jc w:val="center"/>
            </w:pPr>
            <w:r/>
            <w:r>
              <w:rPr>
                <w:rFonts w:ascii="黑体" w:hAnsi="黑体" w:eastAsia="黑体"/>
                <w:b/>
                <w:sz w:val="20"/>
              </w:rPr>
              <w:t>影响因子</w:t>
            </w:r>
          </w:p>
        </w:tc>
        <w:tc>
          <w:tcPr>
            <w:tcW w:type="dxa" w:w="1662"/>
            <w:shd w:fill="D9E2F3" w:val="clear"/>
          </w:tcPr>
          <w:p>
            <w:pPr>
              <w:jc w:val="center"/>
            </w:pPr>
            <w:r/>
            <w:r>
              <w:rPr>
                <w:rFonts w:ascii="黑体" w:hAnsi="黑体" w:eastAsia="黑体"/>
                <w:b/>
                <w:sz w:val="20"/>
              </w:rPr>
              <w:t>重要性</w:t>
            </w:r>
          </w:p>
        </w:tc>
      </w:tr>
      <w:tr>
        <w:tc>
          <w:tcPr>
            <w:tcW w:type="dxa" w:w="1662"/>
          </w:tcPr>
          <w:p>
            <w:r/>
            <w:r>
              <w:rPr>
                <w:rFonts w:ascii="宋体" w:hAnsi="宋体" w:eastAsia="宋体"/>
                <w:sz w:val="20"/>
              </w:rPr>
              <w:t>IEEE TVCG</w:t>
            </w:r>
          </w:p>
        </w:tc>
        <w:tc>
          <w:tcPr>
            <w:tcW w:type="dxa" w:w="1662"/>
          </w:tcPr>
          <w:p>
            <w:r/>
            <w:r>
              <w:rPr>
                <w:rFonts w:ascii="宋体" w:hAnsi="宋体" w:eastAsia="宋体"/>
                <w:sz w:val="20"/>
              </w:rPr>
              <w:t>TVCG</w:t>
            </w:r>
          </w:p>
        </w:tc>
        <w:tc>
          <w:tcPr>
            <w:tcW w:type="dxa" w:w="1662"/>
          </w:tcPr>
          <w:p>
            <w:r/>
            <w:r>
              <w:rPr>
                <w:rFonts w:ascii="宋体" w:hAnsi="宋体" w:eastAsia="宋体"/>
                <w:sz w:val="20"/>
              </w:rPr>
              <w:t>可视化与图形</w:t>
            </w:r>
          </w:p>
        </w:tc>
        <w:tc>
          <w:tcPr>
            <w:tcW w:type="dxa" w:w="1662"/>
          </w:tcPr>
          <w:p>
            <w:r/>
            <w:r>
              <w:rPr>
                <w:rFonts w:ascii="宋体" w:hAnsi="宋体" w:eastAsia="宋体"/>
                <w:sz w:val="20"/>
              </w:rPr>
              <w:t>5.2</w:t>
            </w:r>
          </w:p>
        </w:tc>
        <w:tc>
          <w:tcPr>
            <w:tcW w:type="dxa" w:w="1662"/>
          </w:tcPr>
          <w:p>
            <w:r/>
            <w:r>
              <w:rPr>
                <w:rFonts w:ascii="宋体" w:hAnsi="宋体" w:eastAsia="宋体"/>
                <w:sz w:val="20"/>
              </w:rPr>
              <w:t>顶级</w:t>
            </w:r>
          </w:p>
        </w:tc>
      </w:tr>
      <w:tr>
        <w:tc>
          <w:tcPr>
            <w:tcW w:type="dxa" w:w="1662"/>
          </w:tcPr>
          <w:p>
            <w:r/>
            <w:r>
              <w:rPr>
                <w:rFonts w:ascii="宋体" w:hAnsi="宋体" w:eastAsia="宋体"/>
                <w:sz w:val="20"/>
              </w:rPr>
              <w:t>Presence: Teleoperators &amp; Virtual Environments</w:t>
            </w:r>
          </w:p>
        </w:tc>
        <w:tc>
          <w:tcPr>
            <w:tcW w:type="dxa" w:w="1662"/>
          </w:tcPr>
          <w:p>
            <w:r/>
            <w:r>
              <w:rPr>
                <w:rFonts w:ascii="宋体" w:hAnsi="宋体" w:eastAsia="宋体"/>
                <w:sz w:val="20"/>
              </w:rPr>
              <w:t>PRESENCE</w:t>
            </w:r>
          </w:p>
        </w:tc>
        <w:tc>
          <w:tcPr>
            <w:tcW w:type="dxa" w:w="1662"/>
          </w:tcPr>
          <w:p>
            <w:r/>
            <w:r>
              <w:rPr>
                <w:rFonts w:ascii="宋体" w:hAnsi="宋体" w:eastAsia="宋体"/>
                <w:sz w:val="20"/>
              </w:rPr>
              <w:t>VR/临场感</w:t>
            </w:r>
          </w:p>
        </w:tc>
        <w:tc>
          <w:tcPr>
            <w:tcW w:type="dxa" w:w="1662"/>
          </w:tcPr>
          <w:p>
            <w:r/>
            <w:r>
              <w:rPr>
                <w:rFonts w:ascii="宋体" w:hAnsi="宋体" w:eastAsia="宋体"/>
                <w:sz w:val="20"/>
              </w:rPr>
              <w:t>1.5</w:t>
            </w:r>
          </w:p>
        </w:tc>
        <w:tc>
          <w:tcPr>
            <w:tcW w:type="dxa" w:w="1662"/>
          </w:tcPr>
          <w:p>
            <w:r/>
            <w:r>
              <w:rPr>
                <w:rFonts w:ascii="宋体" w:hAnsi="宋体" w:eastAsia="宋体"/>
                <w:sz w:val="20"/>
              </w:rPr>
              <w:t>经典</w:t>
            </w:r>
          </w:p>
        </w:tc>
      </w:tr>
      <w:tr>
        <w:tc>
          <w:tcPr>
            <w:tcW w:type="dxa" w:w="1662"/>
          </w:tcPr>
          <w:p>
            <w:r/>
            <w:r>
              <w:rPr>
                <w:rFonts w:ascii="宋体" w:hAnsi="宋体" w:eastAsia="宋体"/>
                <w:sz w:val="20"/>
              </w:rPr>
              <w:t>IEEE T-ASE</w:t>
            </w:r>
          </w:p>
        </w:tc>
        <w:tc>
          <w:tcPr>
            <w:tcW w:type="dxa" w:w="1662"/>
          </w:tcPr>
          <w:p>
            <w:r/>
            <w:r>
              <w:rPr>
                <w:rFonts w:ascii="宋体" w:hAnsi="宋体" w:eastAsia="宋体"/>
                <w:sz w:val="20"/>
              </w:rPr>
              <w:t>TASE</w:t>
            </w:r>
          </w:p>
        </w:tc>
        <w:tc>
          <w:tcPr>
            <w:tcW w:type="dxa" w:w="1662"/>
          </w:tcPr>
          <w:p>
            <w:r/>
            <w:r>
              <w:rPr>
                <w:rFonts w:ascii="宋体" w:hAnsi="宋体" w:eastAsia="宋体"/>
                <w:sz w:val="20"/>
              </w:rPr>
              <w:t>自动化工程</w:t>
            </w:r>
          </w:p>
        </w:tc>
        <w:tc>
          <w:tcPr>
            <w:tcW w:type="dxa" w:w="1662"/>
          </w:tcPr>
          <w:p>
            <w:r/>
            <w:r>
              <w:rPr>
                <w:rFonts w:ascii="宋体" w:hAnsi="宋体" w:eastAsia="宋体"/>
                <w:sz w:val="20"/>
              </w:rPr>
              <w:t>4.1</w:t>
            </w:r>
          </w:p>
        </w:tc>
        <w:tc>
          <w:tcPr>
            <w:tcW w:type="dxa" w:w="1662"/>
          </w:tcPr>
          <w:p>
            <w:r/>
            <w:r>
              <w:rPr>
                <w:rFonts w:ascii="宋体" w:hAnsi="宋体" w:eastAsia="宋体"/>
                <w:sz w:val="20"/>
              </w:rPr>
              <w:t>重要</w:t>
            </w:r>
          </w:p>
        </w:tc>
      </w:tr>
      <w:tr>
        <w:tc>
          <w:tcPr>
            <w:tcW w:type="dxa" w:w="1662"/>
          </w:tcPr>
          <w:p>
            <w:r/>
            <w:r>
              <w:rPr>
                <w:rFonts w:ascii="宋体" w:hAnsi="宋体" w:eastAsia="宋体"/>
                <w:sz w:val="20"/>
              </w:rPr>
              <w:t>Computers &amp; Graphics</w:t>
            </w:r>
          </w:p>
        </w:tc>
        <w:tc>
          <w:tcPr>
            <w:tcW w:type="dxa" w:w="1662"/>
          </w:tcPr>
          <w:p>
            <w:r/>
            <w:r>
              <w:rPr>
                <w:rFonts w:ascii="宋体" w:hAnsi="宋体" w:eastAsia="宋体"/>
                <w:sz w:val="20"/>
              </w:rPr>
              <w:t>C&amp;G</w:t>
            </w:r>
          </w:p>
        </w:tc>
        <w:tc>
          <w:tcPr>
            <w:tcW w:type="dxa" w:w="1662"/>
          </w:tcPr>
          <w:p>
            <w:r/>
            <w:r>
              <w:rPr>
                <w:rFonts w:ascii="宋体" w:hAnsi="宋体" w:eastAsia="宋体"/>
                <w:sz w:val="20"/>
              </w:rPr>
              <w:t>计算机图形</w:t>
            </w:r>
          </w:p>
        </w:tc>
        <w:tc>
          <w:tcPr>
            <w:tcW w:type="dxa" w:w="1662"/>
          </w:tcPr>
          <w:p>
            <w:r/>
            <w:r>
              <w:rPr>
                <w:rFonts w:ascii="宋体" w:hAnsi="宋体" w:eastAsia="宋体"/>
                <w:sz w:val="20"/>
              </w:rPr>
              <w:t>2.9</w:t>
            </w:r>
          </w:p>
        </w:tc>
        <w:tc>
          <w:tcPr>
            <w:tcW w:type="dxa" w:w="1662"/>
          </w:tcPr>
          <w:p>
            <w:r/>
            <w:r>
              <w:rPr>
                <w:rFonts w:ascii="宋体" w:hAnsi="宋体" w:eastAsia="宋体"/>
                <w:sz w:val="20"/>
              </w:rPr>
              <w:t>重要</w:t>
            </w:r>
          </w:p>
        </w:tc>
      </w:tr>
      <w:tr>
        <w:tc>
          <w:tcPr>
            <w:tcW w:type="dxa" w:w="1662"/>
          </w:tcPr>
          <w:p>
            <w:r/>
            <w:r>
              <w:rPr>
                <w:rFonts w:ascii="宋体" w:hAnsi="宋体" w:eastAsia="宋体"/>
                <w:sz w:val="20"/>
              </w:rPr>
              <w:t>Virtual Reality</w:t>
            </w:r>
          </w:p>
        </w:tc>
        <w:tc>
          <w:tcPr>
            <w:tcW w:type="dxa" w:w="1662"/>
          </w:tcPr>
          <w:p>
            <w:r/>
            <w:r>
              <w:rPr>
                <w:rFonts w:ascii="宋体" w:hAnsi="宋体" w:eastAsia="宋体"/>
                <w:sz w:val="20"/>
              </w:rPr>
              <w:t>VR</w:t>
            </w:r>
          </w:p>
        </w:tc>
        <w:tc>
          <w:tcPr>
            <w:tcW w:type="dxa" w:w="1662"/>
          </w:tcPr>
          <w:p>
            <w:r/>
            <w:r>
              <w:rPr>
                <w:rFonts w:ascii="宋体" w:hAnsi="宋体" w:eastAsia="宋体"/>
                <w:sz w:val="20"/>
              </w:rPr>
              <w:t>VR研究</w:t>
            </w:r>
          </w:p>
        </w:tc>
        <w:tc>
          <w:tcPr>
            <w:tcW w:type="dxa" w:w="1662"/>
          </w:tcPr>
          <w:p>
            <w:r/>
            <w:r>
              <w:rPr>
                <w:rFonts w:ascii="宋体" w:hAnsi="宋体" w:eastAsia="宋体"/>
                <w:sz w:val="20"/>
              </w:rPr>
              <w:t>3.3</w:t>
            </w:r>
          </w:p>
        </w:tc>
        <w:tc>
          <w:tcPr>
            <w:tcW w:type="dxa" w:w="1662"/>
          </w:tcPr>
          <w:p>
            <w:r/>
            <w:r>
              <w:rPr>
                <w:rFonts w:ascii="宋体" w:hAnsi="宋体" w:eastAsia="宋体"/>
                <w:sz w:val="20"/>
              </w:rPr>
              <w:t>重要</w:t>
            </w:r>
          </w:p>
        </w:tc>
      </w:tr>
      <w:tr>
        <w:tc>
          <w:tcPr>
            <w:tcW w:type="dxa" w:w="1662"/>
          </w:tcPr>
          <w:p>
            <w:r/>
            <w:r>
              <w:rPr>
                <w:rFonts w:ascii="宋体" w:hAnsi="宋体" w:eastAsia="宋体"/>
                <w:sz w:val="20"/>
              </w:rPr>
              <w:t>International Journal of Human-Computer Studies</w:t>
            </w:r>
          </w:p>
        </w:tc>
        <w:tc>
          <w:tcPr>
            <w:tcW w:type="dxa" w:w="1662"/>
          </w:tcPr>
          <w:p>
            <w:r/>
            <w:r>
              <w:rPr>
                <w:rFonts w:ascii="宋体" w:hAnsi="宋体" w:eastAsia="宋体"/>
                <w:sz w:val="20"/>
              </w:rPr>
              <w:t>IJHCS</w:t>
            </w:r>
          </w:p>
        </w:tc>
        <w:tc>
          <w:tcPr>
            <w:tcW w:type="dxa" w:w="1662"/>
          </w:tcPr>
          <w:p>
            <w:r/>
            <w:r>
              <w:rPr>
                <w:rFonts w:ascii="宋体" w:hAnsi="宋体" w:eastAsia="宋体"/>
                <w:sz w:val="20"/>
              </w:rPr>
              <w:t>人机交互</w:t>
            </w:r>
          </w:p>
        </w:tc>
        <w:tc>
          <w:tcPr>
            <w:tcW w:type="dxa" w:w="1662"/>
          </w:tcPr>
          <w:p>
            <w:r/>
            <w:r>
              <w:rPr>
                <w:rFonts w:ascii="宋体" w:hAnsi="宋体" w:eastAsia="宋体"/>
                <w:sz w:val="20"/>
              </w:rPr>
              <w:t>4.3</w:t>
            </w:r>
          </w:p>
        </w:tc>
        <w:tc>
          <w:tcPr>
            <w:tcW w:type="dxa" w:w="1662"/>
          </w:tcPr>
          <w:p>
            <w:r/>
            <w:r>
              <w:rPr>
                <w:rFonts w:ascii="宋体" w:hAnsi="宋体" w:eastAsia="宋体"/>
                <w:sz w:val="20"/>
              </w:rPr>
              <w:t>重要</w:t>
            </w:r>
          </w:p>
        </w:tc>
      </w:tr>
    </w:tbl>
    <w:p/>
    <w:p/>
    <w:p>
      <w:pPr>
        <w:pStyle w:val="Heading2"/>
      </w:pPr>
      <w:r>
        <w:t>G.12 技术标准与规范</w:t>
      </w:r>
    </w:p>
    <w:p/>
    <w:p>
      <w:pPr>
        <w:pStyle w:val="Heading3"/>
      </w:pPr>
      <w:r>
        <w:t>G.12.1 国际标准</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标准编号</w:t>
            </w:r>
          </w:p>
        </w:tc>
        <w:tc>
          <w:tcPr>
            <w:tcW w:type="dxa" w:w="2078"/>
            <w:shd w:fill="D9E2F3" w:val="clear"/>
          </w:tcPr>
          <w:p>
            <w:pPr>
              <w:jc w:val="center"/>
            </w:pPr>
            <w:r/>
            <w:r>
              <w:rPr>
                <w:rFonts w:ascii="黑体" w:hAnsi="黑体" w:eastAsia="黑体"/>
                <w:b/>
                <w:sz w:val="20"/>
              </w:rPr>
              <w:t>标准名称</w:t>
            </w:r>
          </w:p>
        </w:tc>
        <w:tc>
          <w:tcPr>
            <w:tcW w:type="dxa" w:w="2078"/>
            <w:shd w:fill="D9E2F3" w:val="clear"/>
          </w:tcPr>
          <w:p>
            <w:pPr>
              <w:jc w:val="center"/>
            </w:pPr>
            <w:r/>
            <w:r>
              <w:rPr>
                <w:rFonts w:ascii="黑体" w:hAnsi="黑体" w:eastAsia="黑体"/>
                <w:b/>
                <w:sz w:val="20"/>
              </w:rPr>
              <w:t>制定组织</w:t>
            </w:r>
          </w:p>
        </w:tc>
        <w:tc>
          <w:tcPr>
            <w:tcW w:type="dxa" w:w="2078"/>
            <w:shd w:fill="D9E2F3" w:val="clear"/>
          </w:tcPr>
          <w:p>
            <w:pPr>
              <w:jc w:val="center"/>
            </w:pPr>
            <w:r/>
            <w:r>
              <w:rPr>
                <w:rFonts w:ascii="黑体" w:hAnsi="黑体" w:eastAsia="黑体"/>
                <w:b/>
                <w:sz w:val="20"/>
              </w:rPr>
              <w:t>说明</w:t>
            </w:r>
          </w:p>
        </w:tc>
      </w:tr>
      <w:tr>
        <w:tc>
          <w:tcPr>
            <w:tcW w:type="dxa" w:w="2078"/>
          </w:tcPr>
          <w:p>
            <w:r/>
            <w:r>
              <w:rPr>
                <w:rFonts w:ascii="宋体" w:hAnsi="宋体" w:eastAsia="宋体"/>
                <w:sz w:val="20"/>
              </w:rPr>
              <w:t>ISO/IEC 23008</w:t>
            </w:r>
          </w:p>
        </w:tc>
        <w:tc>
          <w:tcPr>
            <w:tcW w:type="dxa" w:w="2078"/>
          </w:tcPr>
          <w:p>
            <w:r/>
            <w:r>
              <w:rPr>
                <w:rFonts w:ascii="宋体" w:hAnsi="宋体" w:eastAsia="宋体"/>
                <w:sz w:val="20"/>
              </w:rPr>
              <w:t>3D 视频的高效编码</w:t>
            </w:r>
          </w:p>
        </w:tc>
        <w:tc>
          <w:tcPr>
            <w:tcW w:type="dxa" w:w="2078"/>
          </w:tcPr>
          <w:p>
            <w:r/>
            <w:r>
              <w:rPr>
                <w:rFonts w:ascii="宋体" w:hAnsi="宋体" w:eastAsia="宋体"/>
                <w:sz w:val="20"/>
              </w:rPr>
              <w:t>ISO/IEC</w:t>
            </w:r>
          </w:p>
        </w:tc>
        <w:tc>
          <w:tcPr>
            <w:tcW w:type="dxa" w:w="2078"/>
          </w:tcPr>
          <w:p>
            <w:r/>
            <w:r>
              <w:rPr>
                <w:rFonts w:ascii="宋体" w:hAnsi="宋体" w:eastAsia="宋体"/>
                <w:sz w:val="20"/>
              </w:rPr>
              <w:t>3D视频压缩标准</w:t>
            </w:r>
          </w:p>
        </w:tc>
      </w:tr>
      <w:tr>
        <w:tc>
          <w:tcPr>
            <w:tcW w:type="dxa" w:w="2078"/>
          </w:tcPr>
          <w:p>
            <w:r/>
            <w:r>
              <w:rPr>
                <w:rFonts w:ascii="宋体" w:hAnsi="宋体" w:eastAsia="宋体"/>
                <w:sz w:val="20"/>
              </w:rPr>
              <w:t>ISO/IEC 19775</w:t>
            </w:r>
          </w:p>
        </w:tc>
        <w:tc>
          <w:tcPr>
            <w:tcW w:type="dxa" w:w="2078"/>
          </w:tcPr>
          <w:p>
            <w:r/>
            <w:r>
              <w:rPr>
                <w:rFonts w:ascii="宋体" w:hAnsi="宋体" w:eastAsia="宋体"/>
                <w:sz w:val="20"/>
              </w:rPr>
              <w:t>X3D 规范</w:t>
            </w:r>
          </w:p>
        </w:tc>
        <w:tc>
          <w:tcPr>
            <w:tcW w:type="dxa" w:w="2078"/>
          </w:tcPr>
          <w:p>
            <w:r/>
            <w:r>
              <w:rPr>
                <w:rFonts w:ascii="宋体" w:hAnsi="宋体" w:eastAsia="宋体"/>
                <w:sz w:val="20"/>
              </w:rPr>
              <w:t>ISO/IEC</w:t>
            </w:r>
          </w:p>
        </w:tc>
        <w:tc>
          <w:tcPr>
            <w:tcW w:type="dxa" w:w="2078"/>
          </w:tcPr>
          <w:p>
            <w:r/>
            <w:r>
              <w:rPr>
                <w:rFonts w:ascii="宋体" w:hAnsi="宋体" w:eastAsia="宋体"/>
                <w:sz w:val="20"/>
              </w:rPr>
              <w:t>Web 3D 标准</w:t>
            </w:r>
          </w:p>
        </w:tc>
      </w:tr>
      <w:tr>
        <w:tc>
          <w:tcPr>
            <w:tcW w:type="dxa" w:w="2078"/>
          </w:tcPr>
          <w:p>
            <w:r/>
            <w:r>
              <w:rPr>
                <w:rFonts w:ascii="宋体" w:hAnsi="宋体" w:eastAsia="宋体"/>
                <w:sz w:val="20"/>
              </w:rPr>
              <w:t>Khronos OpenXR</w:t>
            </w:r>
          </w:p>
        </w:tc>
        <w:tc>
          <w:tcPr>
            <w:tcW w:type="dxa" w:w="2078"/>
          </w:tcPr>
          <w:p>
            <w:r/>
            <w:r>
              <w:rPr>
                <w:rFonts w:ascii="宋体" w:hAnsi="宋体" w:eastAsia="宋体"/>
                <w:sz w:val="20"/>
              </w:rPr>
              <w:t>OpenXR API 标准</w:t>
            </w:r>
          </w:p>
        </w:tc>
        <w:tc>
          <w:tcPr>
            <w:tcW w:type="dxa" w:w="2078"/>
          </w:tcPr>
          <w:p>
            <w:r/>
            <w:r>
              <w:rPr>
                <w:rFonts w:ascii="宋体" w:hAnsi="宋体" w:eastAsia="宋体"/>
                <w:sz w:val="20"/>
              </w:rPr>
              <w:t>Khronos</w:t>
            </w:r>
          </w:p>
        </w:tc>
        <w:tc>
          <w:tcPr>
            <w:tcW w:type="dxa" w:w="2078"/>
          </w:tcPr>
          <w:p>
            <w:r/>
            <w:r>
              <w:rPr>
                <w:rFonts w:ascii="宋体" w:hAnsi="宋体" w:eastAsia="宋体"/>
                <w:sz w:val="20"/>
              </w:rPr>
              <w:t>VR/AR 跨平台 API</w:t>
            </w:r>
          </w:p>
        </w:tc>
      </w:tr>
      <w:tr>
        <w:tc>
          <w:tcPr>
            <w:tcW w:type="dxa" w:w="2078"/>
          </w:tcPr>
          <w:p>
            <w:r/>
            <w:r>
              <w:rPr>
                <w:rFonts w:ascii="宋体" w:hAnsi="宋体" w:eastAsia="宋体"/>
                <w:sz w:val="20"/>
              </w:rPr>
              <w:t>Khronos glTF</w:t>
            </w:r>
          </w:p>
        </w:tc>
        <w:tc>
          <w:tcPr>
            <w:tcW w:type="dxa" w:w="2078"/>
          </w:tcPr>
          <w:p>
            <w:r/>
            <w:r>
              <w:rPr>
                <w:rFonts w:ascii="宋体" w:hAnsi="宋体" w:eastAsia="宋体"/>
                <w:sz w:val="20"/>
              </w:rPr>
              <w:t>glTF 2.0 规范</w:t>
            </w:r>
          </w:p>
        </w:tc>
        <w:tc>
          <w:tcPr>
            <w:tcW w:type="dxa" w:w="2078"/>
          </w:tcPr>
          <w:p>
            <w:r/>
            <w:r>
              <w:rPr>
                <w:rFonts w:ascii="宋体" w:hAnsi="宋体" w:eastAsia="宋体"/>
                <w:sz w:val="20"/>
              </w:rPr>
              <w:t>Khronos</w:t>
            </w:r>
          </w:p>
        </w:tc>
        <w:tc>
          <w:tcPr>
            <w:tcW w:type="dxa" w:w="2078"/>
          </w:tcPr>
          <w:p>
            <w:r/>
            <w:r>
              <w:rPr>
                <w:rFonts w:ascii="宋体" w:hAnsi="宋体" w:eastAsia="宋体"/>
                <w:sz w:val="20"/>
              </w:rPr>
              <w:t>3D 资产传输格式</w:t>
            </w:r>
          </w:p>
        </w:tc>
      </w:tr>
      <w:tr>
        <w:tc>
          <w:tcPr>
            <w:tcW w:type="dxa" w:w="2078"/>
          </w:tcPr>
          <w:p>
            <w:r/>
            <w:r>
              <w:rPr>
                <w:rFonts w:ascii="宋体" w:hAnsi="宋体" w:eastAsia="宋体"/>
                <w:sz w:val="20"/>
              </w:rPr>
              <w:t>W3C WebXR</w:t>
            </w:r>
          </w:p>
        </w:tc>
        <w:tc>
          <w:tcPr>
            <w:tcW w:type="dxa" w:w="2078"/>
          </w:tcPr>
          <w:p>
            <w:r/>
            <w:r>
              <w:rPr>
                <w:rFonts w:ascii="宋体" w:hAnsi="宋体" w:eastAsia="宋体"/>
                <w:sz w:val="20"/>
              </w:rPr>
              <w:t>WebXR Device API</w:t>
            </w:r>
          </w:p>
        </w:tc>
        <w:tc>
          <w:tcPr>
            <w:tcW w:type="dxa" w:w="2078"/>
          </w:tcPr>
          <w:p>
            <w:r/>
            <w:r>
              <w:rPr>
                <w:rFonts w:ascii="宋体" w:hAnsi="宋体" w:eastAsia="宋体"/>
                <w:sz w:val="20"/>
              </w:rPr>
              <w:t>W3C</w:t>
            </w:r>
          </w:p>
        </w:tc>
        <w:tc>
          <w:tcPr>
            <w:tcW w:type="dxa" w:w="2078"/>
          </w:tcPr>
          <w:p>
            <w:r/>
            <w:r>
              <w:rPr>
                <w:rFonts w:ascii="宋体" w:hAnsi="宋体" w:eastAsia="宋体"/>
                <w:sz w:val="20"/>
              </w:rPr>
              <w:t>Web VR/AR API</w:t>
            </w:r>
          </w:p>
        </w:tc>
      </w:tr>
    </w:tbl>
    <w:p/>
    <w:p/>
    <w:p>
      <w:pPr>
        <w:pStyle w:val="Heading3"/>
      </w:pPr>
      <w:r>
        <w:t>G.12.2 国内标准</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标准编号</w:t>
            </w:r>
          </w:p>
        </w:tc>
        <w:tc>
          <w:tcPr>
            <w:tcW w:type="dxa" w:w="2078"/>
            <w:shd w:fill="D9E2F3" w:val="clear"/>
          </w:tcPr>
          <w:p>
            <w:pPr>
              <w:jc w:val="center"/>
            </w:pPr>
            <w:r/>
            <w:r>
              <w:rPr>
                <w:rFonts w:ascii="黑体" w:hAnsi="黑体" w:eastAsia="黑体"/>
                <w:b/>
                <w:sz w:val="20"/>
              </w:rPr>
              <w:t>标准名称</w:t>
            </w:r>
          </w:p>
        </w:tc>
        <w:tc>
          <w:tcPr>
            <w:tcW w:type="dxa" w:w="2078"/>
            <w:shd w:fill="D9E2F3" w:val="clear"/>
          </w:tcPr>
          <w:p>
            <w:pPr>
              <w:jc w:val="center"/>
            </w:pPr>
            <w:r/>
            <w:r>
              <w:rPr>
                <w:rFonts w:ascii="黑体" w:hAnsi="黑体" w:eastAsia="黑体"/>
                <w:b/>
                <w:sz w:val="20"/>
              </w:rPr>
              <w:t>制定组织</w:t>
            </w:r>
          </w:p>
        </w:tc>
        <w:tc>
          <w:tcPr>
            <w:tcW w:type="dxa" w:w="2078"/>
            <w:shd w:fill="D9E2F3" w:val="clear"/>
          </w:tcPr>
          <w:p>
            <w:pPr>
              <w:jc w:val="center"/>
            </w:pPr>
            <w:r/>
            <w:r>
              <w:rPr>
                <w:rFonts w:ascii="黑体" w:hAnsi="黑体" w:eastAsia="黑体"/>
                <w:b/>
                <w:sz w:val="20"/>
              </w:rPr>
              <w:t>说明</w:t>
            </w:r>
          </w:p>
        </w:tc>
      </w:tr>
      <w:tr>
        <w:tc>
          <w:tcPr>
            <w:tcW w:type="dxa" w:w="2078"/>
          </w:tcPr>
          <w:p>
            <w:r/>
            <w:r>
              <w:rPr>
                <w:rFonts w:ascii="宋体" w:hAnsi="宋体" w:eastAsia="宋体"/>
                <w:sz w:val="20"/>
              </w:rPr>
              <w:t>GB/T 38259</w:t>
            </w:r>
          </w:p>
        </w:tc>
        <w:tc>
          <w:tcPr>
            <w:tcW w:type="dxa" w:w="2078"/>
          </w:tcPr>
          <w:p>
            <w:r/>
            <w:r>
              <w:rPr>
                <w:rFonts w:ascii="宋体" w:hAnsi="宋体" w:eastAsia="宋体"/>
                <w:sz w:val="20"/>
              </w:rPr>
              <w:t>虚拟现实头戴式显示设备</w:t>
            </w:r>
          </w:p>
        </w:tc>
        <w:tc>
          <w:tcPr>
            <w:tcW w:type="dxa" w:w="2078"/>
          </w:tcPr>
          <w:p>
            <w:r/>
            <w:r>
              <w:rPr>
                <w:rFonts w:ascii="宋体" w:hAnsi="宋体" w:eastAsia="宋体"/>
                <w:sz w:val="20"/>
              </w:rPr>
              <w:t>国标委</w:t>
            </w:r>
          </w:p>
        </w:tc>
        <w:tc>
          <w:tcPr>
            <w:tcW w:type="dxa" w:w="2078"/>
          </w:tcPr>
          <w:p>
            <w:r/>
            <w:r>
              <w:rPr>
                <w:rFonts w:ascii="宋体" w:hAnsi="宋体" w:eastAsia="宋体"/>
                <w:sz w:val="20"/>
              </w:rPr>
              <w:t>VR设备技术要求</w:t>
            </w:r>
          </w:p>
        </w:tc>
      </w:tr>
      <w:tr>
        <w:tc>
          <w:tcPr>
            <w:tcW w:type="dxa" w:w="2078"/>
          </w:tcPr>
          <w:p>
            <w:r/>
            <w:r>
              <w:rPr>
                <w:rFonts w:ascii="宋体" w:hAnsi="宋体" w:eastAsia="宋体"/>
                <w:sz w:val="20"/>
              </w:rPr>
              <w:t>GB/T 38258</w:t>
            </w:r>
          </w:p>
        </w:tc>
        <w:tc>
          <w:tcPr>
            <w:tcW w:type="dxa" w:w="2078"/>
          </w:tcPr>
          <w:p>
            <w:r/>
            <w:r>
              <w:rPr>
                <w:rFonts w:ascii="宋体" w:hAnsi="宋体" w:eastAsia="宋体"/>
                <w:sz w:val="20"/>
              </w:rPr>
              <w:t>信息技术 虚拟现实头戴式显示设备通用规范</w:t>
            </w:r>
          </w:p>
        </w:tc>
        <w:tc>
          <w:tcPr>
            <w:tcW w:type="dxa" w:w="2078"/>
          </w:tcPr>
          <w:p>
            <w:r/>
            <w:r>
              <w:rPr>
                <w:rFonts w:ascii="宋体" w:hAnsi="宋体" w:eastAsia="宋体"/>
                <w:sz w:val="20"/>
              </w:rPr>
              <w:t>国标委</w:t>
            </w:r>
          </w:p>
        </w:tc>
        <w:tc>
          <w:tcPr>
            <w:tcW w:type="dxa" w:w="2078"/>
          </w:tcPr>
          <w:p>
            <w:r/>
            <w:r>
              <w:rPr>
                <w:rFonts w:ascii="宋体" w:hAnsi="宋体" w:eastAsia="宋体"/>
                <w:sz w:val="20"/>
              </w:rPr>
              <w:t>VR设备测试方法</w:t>
            </w:r>
          </w:p>
        </w:tc>
      </w:tr>
      <w:tr>
        <w:tc>
          <w:tcPr>
            <w:tcW w:type="dxa" w:w="2078"/>
          </w:tcPr>
          <w:p>
            <w:r/>
            <w:r>
              <w:rPr>
                <w:rFonts w:ascii="宋体" w:hAnsi="宋体" w:eastAsia="宋体"/>
                <w:sz w:val="20"/>
              </w:rPr>
              <w:t>T/CESA 1047</w:t>
            </w:r>
          </w:p>
        </w:tc>
        <w:tc>
          <w:tcPr>
            <w:tcW w:type="dxa" w:w="2078"/>
          </w:tcPr>
          <w:p>
            <w:r/>
            <w:r>
              <w:rPr>
                <w:rFonts w:ascii="宋体" w:hAnsi="宋体" w:eastAsia="宋体"/>
                <w:sz w:val="20"/>
              </w:rPr>
              <w:t>虚拟现实内容制作技术规范</w:t>
            </w:r>
          </w:p>
        </w:tc>
        <w:tc>
          <w:tcPr>
            <w:tcW w:type="dxa" w:w="2078"/>
          </w:tcPr>
          <w:p>
            <w:r/>
            <w:r>
              <w:rPr>
                <w:rFonts w:ascii="宋体" w:hAnsi="宋体" w:eastAsia="宋体"/>
                <w:sz w:val="20"/>
              </w:rPr>
              <w:t>中国电子标准协会</w:t>
            </w:r>
          </w:p>
        </w:tc>
        <w:tc>
          <w:tcPr>
            <w:tcW w:type="dxa" w:w="2078"/>
          </w:tcPr>
          <w:p>
            <w:r/>
            <w:r>
              <w:rPr>
                <w:rFonts w:ascii="宋体" w:hAnsi="宋体" w:eastAsia="宋体"/>
                <w:sz w:val="20"/>
              </w:rPr>
              <w:t>VR内容制作标准</w:t>
            </w:r>
          </w:p>
        </w:tc>
      </w:tr>
      <w:tr>
        <w:tc>
          <w:tcPr>
            <w:tcW w:type="dxa" w:w="2078"/>
          </w:tcPr>
          <w:p>
            <w:r/>
            <w:r>
              <w:rPr>
                <w:rFonts w:ascii="宋体" w:hAnsi="宋体" w:eastAsia="宋体"/>
                <w:sz w:val="20"/>
              </w:rPr>
              <w:t>T/CESA 1083</w:t>
            </w:r>
          </w:p>
        </w:tc>
        <w:tc>
          <w:tcPr>
            <w:tcW w:type="dxa" w:w="2078"/>
          </w:tcPr>
          <w:p>
            <w:r/>
            <w:r>
              <w:rPr>
                <w:rFonts w:ascii="宋体" w:hAnsi="宋体" w:eastAsia="宋体"/>
                <w:sz w:val="20"/>
              </w:rPr>
              <w:t>增强现实技术术语</w:t>
            </w:r>
          </w:p>
        </w:tc>
        <w:tc>
          <w:tcPr>
            <w:tcW w:type="dxa" w:w="2078"/>
          </w:tcPr>
          <w:p>
            <w:r/>
            <w:r>
              <w:rPr>
                <w:rFonts w:ascii="宋体" w:hAnsi="宋体" w:eastAsia="宋体"/>
                <w:sz w:val="20"/>
              </w:rPr>
              <w:t>中国电子标准协会</w:t>
            </w:r>
          </w:p>
        </w:tc>
        <w:tc>
          <w:tcPr>
            <w:tcW w:type="dxa" w:w="2078"/>
          </w:tcPr>
          <w:p>
            <w:r/>
            <w:r>
              <w:rPr>
                <w:rFonts w:ascii="宋体" w:hAnsi="宋体" w:eastAsia="宋体"/>
                <w:sz w:val="20"/>
              </w:rPr>
              <w:t>AR术语标准</w:t>
            </w:r>
          </w:p>
        </w:tc>
      </w:tr>
    </w:tbl>
    <w:p/>
    <w:p/>
    <w:p/>
    <w:p/>
    <w:p>
      <w:pPr>
        <w:pStyle w:val="Heading2"/>
      </w:pPr>
      <w:r>
        <w:t>G.13 VR/AR 产业数据</w:t>
      </w:r>
    </w:p>
    <w:p/>
    <w:p>
      <w:pPr>
        <w:pStyle w:val="Heading3"/>
      </w:pPr>
      <w:r>
        <w:t>G.13.1 全球 VR/AR 市场规模</w:t>
      </w:r>
    </w:p>
    <w:p/>
    <w:tbl>
      <w:tblPr>
        <w:tblStyle w:val="TableGrid"/>
        <w:tblW w:type="auto" w:w="0"/>
        <w:jc w:val="center"/>
        <w:tblLook w:firstColumn="1" w:firstRow="1" w:lastColumn="0" w:lastRow="0" w:noHBand="0" w:noVBand="1" w:val="04A0"/>
      </w:tblPr>
      <w:tblGrid>
        <w:gridCol w:w="1385"/>
        <w:gridCol w:w="1385"/>
        <w:gridCol w:w="1385"/>
        <w:gridCol w:w="1385"/>
        <w:gridCol w:w="1385"/>
        <w:gridCol w:w="1385"/>
      </w:tblGrid>
      <w:tr>
        <w:tc>
          <w:tcPr>
            <w:tcW w:type="dxa" w:w="1385"/>
            <w:shd w:fill="D9E2F3" w:val="clear"/>
          </w:tcPr>
          <w:p>
            <w:pPr>
              <w:jc w:val="center"/>
            </w:pPr>
            <w:r/>
            <w:r>
              <w:rPr>
                <w:rFonts w:ascii="黑体" w:hAnsi="黑体" w:eastAsia="黑体"/>
                <w:b/>
                <w:sz w:val="20"/>
              </w:rPr>
              <w:t>年份</w:t>
            </w:r>
          </w:p>
        </w:tc>
        <w:tc>
          <w:tcPr>
            <w:tcW w:type="dxa" w:w="1385"/>
            <w:shd w:fill="D9E2F3" w:val="clear"/>
          </w:tcPr>
          <w:p>
            <w:pPr>
              <w:jc w:val="center"/>
            </w:pPr>
            <w:r/>
            <w:r>
              <w:rPr>
                <w:rFonts w:ascii="黑体" w:hAnsi="黑体" w:eastAsia="黑体"/>
                <w:b/>
                <w:sz w:val="20"/>
              </w:rPr>
              <w:t>市场规模（亿美元）</w:t>
            </w:r>
          </w:p>
        </w:tc>
        <w:tc>
          <w:tcPr>
            <w:tcW w:type="dxa" w:w="1385"/>
            <w:shd w:fill="D9E2F3" w:val="clear"/>
          </w:tcPr>
          <w:p>
            <w:pPr>
              <w:jc w:val="center"/>
            </w:pPr>
            <w:r/>
            <w:r>
              <w:rPr>
                <w:rFonts w:ascii="黑体" w:hAnsi="黑体" w:eastAsia="黑体"/>
                <w:b/>
                <w:sz w:val="20"/>
              </w:rPr>
              <w:t>VR占比</w:t>
            </w:r>
          </w:p>
        </w:tc>
        <w:tc>
          <w:tcPr>
            <w:tcW w:type="dxa" w:w="1385"/>
            <w:shd w:fill="D9E2F3" w:val="clear"/>
          </w:tcPr>
          <w:p>
            <w:pPr>
              <w:jc w:val="center"/>
            </w:pPr>
            <w:r/>
            <w:r>
              <w:rPr>
                <w:rFonts w:ascii="黑体" w:hAnsi="黑体" w:eastAsia="黑体"/>
                <w:b/>
                <w:sz w:val="20"/>
              </w:rPr>
              <w:t>AR占比</w:t>
            </w:r>
          </w:p>
        </w:tc>
        <w:tc>
          <w:tcPr>
            <w:tcW w:type="dxa" w:w="1385"/>
            <w:shd w:fill="D9E2F3" w:val="clear"/>
          </w:tcPr>
          <w:p>
            <w:pPr>
              <w:jc w:val="center"/>
            </w:pPr>
            <w:r/>
            <w:r>
              <w:rPr>
                <w:rFonts w:ascii="黑体" w:hAnsi="黑体" w:eastAsia="黑体"/>
                <w:b/>
                <w:sz w:val="20"/>
              </w:rPr>
              <w:t>增长率</w:t>
            </w:r>
          </w:p>
        </w:tc>
        <w:tc>
          <w:tcPr>
            <w:tcW w:type="dxa" w:w="1385"/>
            <w:shd w:fill="D9E2F3" w:val="clear"/>
          </w:tcPr>
          <w:p>
            <w:pPr>
              <w:jc w:val="center"/>
            </w:pPr>
            <w:r/>
            <w:r>
              <w:rPr>
                <w:rFonts w:ascii="黑体" w:hAnsi="黑体" w:eastAsia="黑体"/>
                <w:b/>
                <w:sz w:val="20"/>
              </w:rPr>
              <w:t>数据来源</w:t>
            </w:r>
          </w:p>
        </w:tc>
      </w:tr>
      <w:tr>
        <w:tc>
          <w:tcPr>
            <w:tcW w:type="dxa" w:w="1385"/>
          </w:tcPr>
          <w:p>
            <w:r/>
            <w:r>
              <w:rPr>
                <w:rFonts w:ascii="宋体" w:hAnsi="宋体" w:eastAsia="宋体"/>
                <w:sz w:val="20"/>
              </w:rPr>
              <w:t>2020</w:t>
            </w:r>
          </w:p>
        </w:tc>
        <w:tc>
          <w:tcPr>
            <w:tcW w:type="dxa" w:w="1385"/>
          </w:tcPr>
          <w:p>
            <w:r/>
            <w:r>
              <w:rPr>
                <w:rFonts w:ascii="宋体" w:hAnsi="宋体" w:eastAsia="宋体"/>
                <w:sz w:val="20"/>
              </w:rPr>
              <w:t>120</w:t>
            </w:r>
          </w:p>
        </w:tc>
        <w:tc>
          <w:tcPr>
            <w:tcW w:type="dxa" w:w="1385"/>
          </w:tcPr>
          <w:p>
            <w:r/>
            <w:r>
              <w:rPr>
                <w:rFonts w:ascii="宋体" w:hAnsi="宋体" w:eastAsia="宋体"/>
                <w:sz w:val="20"/>
              </w:rPr>
              <w:t>65%</w:t>
            </w:r>
          </w:p>
        </w:tc>
        <w:tc>
          <w:tcPr>
            <w:tcW w:type="dxa" w:w="1385"/>
          </w:tcPr>
          <w:p>
            <w:r/>
            <w:r>
              <w:rPr>
                <w:rFonts w:ascii="宋体" w:hAnsi="宋体" w:eastAsia="宋体"/>
                <w:sz w:val="20"/>
              </w:rPr>
              <w:t>35%</w:t>
            </w:r>
          </w:p>
        </w:tc>
        <w:tc>
          <w:tcPr>
            <w:tcW w:type="dxa" w:w="1385"/>
          </w:tcPr>
          <w:p>
            <w:r/>
            <w:r>
              <w:rPr>
                <w:rFonts w:ascii="宋体" w:hAnsi="宋体" w:eastAsia="宋体"/>
                <w:sz w:val="20"/>
              </w:rPr>
              <w:t>-</w:t>
            </w:r>
          </w:p>
        </w:tc>
        <w:tc>
          <w:tcPr>
            <w:tcW w:type="dxa" w:w="1385"/>
          </w:tcPr>
          <w:p>
            <w:r/>
            <w:r>
              <w:rPr>
                <w:rFonts w:ascii="宋体" w:hAnsi="宋体" w:eastAsia="宋体"/>
                <w:sz w:val="20"/>
              </w:rPr>
              <w:t>IDC</w:t>
            </w:r>
          </w:p>
        </w:tc>
      </w:tr>
      <w:tr>
        <w:tc>
          <w:tcPr>
            <w:tcW w:type="dxa" w:w="1385"/>
          </w:tcPr>
          <w:p>
            <w:r/>
            <w:r>
              <w:rPr>
                <w:rFonts w:ascii="宋体" w:hAnsi="宋体" w:eastAsia="宋体"/>
                <w:sz w:val="20"/>
              </w:rPr>
              <w:t>2021</w:t>
            </w:r>
          </w:p>
        </w:tc>
        <w:tc>
          <w:tcPr>
            <w:tcW w:type="dxa" w:w="1385"/>
          </w:tcPr>
          <w:p>
            <w:r/>
            <w:r>
              <w:rPr>
                <w:rFonts w:ascii="宋体" w:hAnsi="宋体" w:eastAsia="宋体"/>
                <w:sz w:val="20"/>
              </w:rPr>
              <w:t>280</w:t>
            </w:r>
          </w:p>
        </w:tc>
        <w:tc>
          <w:tcPr>
            <w:tcW w:type="dxa" w:w="1385"/>
          </w:tcPr>
          <w:p>
            <w:r/>
            <w:r>
              <w:rPr>
                <w:rFonts w:ascii="宋体" w:hAnsi="宋体" w:eastAsia="宋体"/>
                <w:sz w:val="20"/>
              </w:rPr>
              <w:t>60%</w:t>
            </w:r>
          </w:p>
        </w:tc>
        <w:tc>
          <w:tcPr>
            <w:tcW w:type="dxa" w:w="1385"/>
          </w:tcPr>
          <w:p>
            <w:r/>
            <w:r>
              <w:rPr>
                <w:rFonts w:ascii="宋体" w:hAnsi="宋体" w:eastAsia="宋体"/>
                <w:sz w:val="20"/>
              </w:rPr>
              <w:t>40%</w:t>
            </w:r>
          </w:p>
        </w:tc>
        <w:tc>
          <w:tcPr>
            <w:tcW w:type="dxa" w:w="1385"/>
          </w:tcPr>
          <w:p>
            <w:r/>
            <w:r>
              <w:rPr>
                <w:rFonts w:ascii="宋体" w:hAnsi="宋体" w:eastAsia="宋体"/>
                <w:sz w:val="20"/>
              </w:rPr>
              <w:t>133%</w:t>
            </w:r>
          </w:p>
        </w:tc>
        <w:tc>
          <w:tcPr>
            <w:tcW w:type="dxa" w:w="1385"/>
          </w:tcPr>
          <w:p>
            <w:r/>
            <w:r>
              <w:rPr>
                <w:rFonts w:ascii="宋体" w:hAnsi="宋体" w:eastAsia="宋体"/>
                <w:sz w:val="20"/>
              </w:rPr>
              <w:t>IDC</w:t>
            </w:r>
          </w:p>
        </w:tc>
      </w:tr>
      <w:tr>
        <w:tc>
          <w:tcPr>
            <w:tcW w:type="dxa" w:w="1385"/>
          </w:tcPr>
          <w:p>
            <w:r/>
            <w:r>
              <w:rPr>
                <w:rFonts w:ascii="宋体" w:hAnsi="宋体" w:eastAsia="宋体"/>
                <w:sz w:val="20"/>
              </w:rPr>
              <w:t>2022</w:t>
            </w:r>
          </w:p>
        </w:tc>
        <w:tc>
          <w:tcPr>
            <w:tcW w:type="dxa" w:w="1385"/>
          </w:tcPr>
          <w:p>
            <w:r/>
            <w:r>
              <w:rPr>
                <w:rFonts w:ascii="宋体" w:hAnsi="宋体" w:eastAsia="宋体"/>
                <w:sz w:val="20"/>
              </w:rPr>
              <w:t>380</w:t>
            </w:r>
          </w:p>
        </w:tc>
        <w:tc>
          <w:tcPr>
            <w:tcW w:type="dxa" w:w="1385"/>
          </w:tcPr>
          <w:p>
            <w:r/>
            <w:r>
              <w:rPr>
                <w:rFonts w:ascii="宋体" w:hAnsi="宋体" w:eastAsia="宋体"/>
                <w:sz w:val="20"/>
              </w:rPr>
              <w:t>55%</w:t>
            </w:r>
          </w:p>
        </w:tc>
        <w:tc>
          <w:tcPr>
            <w:tcW w:type="dxa" w:w="1385"/>
          </w:tcPr>
          <w:p>
            <w:r/>
            <w:r>
              <w:rPr>
                <w:rFonts w:ascii="宋体" w:hAnsi="宋体" w:eastAsia="宋体"/>
                <w:sz w:val="20"/>
              </w:rPr>
              <w:t>45%</w:t>
            </w:r>
          </w:p>
        </w:tc>
        <w:tc>
          <w:tcPr>
            <w:tcW w:type="dxa" w:w="1385"/>
          </w:tcPr>
          <w:p>
            <w:r/>
            <w:r>
              <w:rPr>
                <w:rFonts w:ascii="宋体" w:hAnsi="宋体" w:eastAsia="宋体"/>
                <w:sz w:val="20"/>
              </w:rPr>
              <w:t>36%</w:t>
            </w:r>
          </w:p>
        </w:tc>
        <w:tc>
          <w:tcPr>
            <w:tcW w:type="dxa" w:w="1385"/>
          </w:tcPr>
          <w:p>
            <w:r/>
            <w:r>
              <w:rPr>
                <w:rFonts w:ascii="宋体" w:hAnsi="宋体" w:eastAsia="宋体"/>
                <w:sz w:val="20"/>
              </w:rPr>
              <w:t>IDC</w:t>
            </w:r>
          </w:p>
        </w:tc>
      </w:tr>
      <w:tr>
        <w:tc>
          <w:tcPr>
            <w:tcW w:type="dxa" w:w="1385"/>
          </w:tcPr>
          <w:p>
            <w:r/>
            <w:r>
              <w:rPr>
                <w:rFonts w:ascii="宋体" w:hAnsi="宋体" w:eastAsia="宋体"/>
                <w:sz w:val="20"/>
              </w:rPr>
              <w:t>2023</w:t>
            </w:r>
          </w:p>
        </w:tc>
        <w:tc>
          <w:tcPr>
            <w:tcW w:type="dxa" w:w="1385"/>
          </w:tcPr>
          <w:p>
            <w:r/>
            <w:r>
              <w:rPr>
                <w:rFonts w:ascii="宋体" w:hAnsi="宋体" w:eastAsia="宋体"/>
                <w:sz w:val="20"/>
              </w:rPr>
              <w:t>520</w:t>
            </w:r>
          </w:p>
        </w:tc>
        <w:tc>
          <w:tcPr>
            <w:tcW w:type="dxa" w:w="1385"/>
          </w:tcPr>
          <w:p>
            <w:r/>
            <w:r>
              <w:rPr>
                <w:rFonts w:ascii="宋体" w:hAnsi="宋体" w:eastAsia="宋体"/>
                <w:sz w:val="20"/>
              </w:rPr>
              <w:t>50%</w:t>
            </w:r>
          </w:p>
        </w:tc>
        <w:tc>
          <w:tcPr>
            <w:tcW w:type="dxa" w:w="1385"/>
          </w:tcPr>
          <w:p>
            <w:r/>
            <w:r>
              <w:rPr>
                <w:rFonts w:ascii="宋体" w:hAnsi="宋体" w:eastAsia="宋体"/>
                <w:sz w:val="20"/>
              </w:rPr>
              <w:t>50%</w:t>
            </w:r>
          </w:p>
        </w:tc>
        <w:tc>
          <w:tcPr>
            <w:tcW w:type="dxa" w:w="1385"/>
          </w:tcPr>
          <w:p>
            <w:r/>
            <w:r>
              <w:rPr>
                <w:rFonts w:ascii="宋体" w:hAnsi="宋体" w:eastAsia="宋体"/>
                <w:sz w:val="20"/>
              </w:rPr>
              <w:t>37%</w:t>
            </w:r>
          </w:p>
        </w:tc>
        <w:tc>
          <w:tcPr>
            <w:tcW w:type="dxa" w:w="1385"/>
          </w:tcPr>
          <w:p>
            <w:r/>
            <w:r>
              <w:rPr>
                <w:rFonts w:ascii="宋体" w:hAnsi="宋体" w:eastAsia="宋体"/>
                <w:sz w:val="20"/>
              </w:rPr>
              <w:t>IDC</w:t>
            </w:r>
          </w:p>
        </w:tc>
      </w:tr>
      <w:tr>
        <w:tc>
          <w:tcPr>
            <w:tcW w:type="dxa" w:w="1385"/>
          </w:tcPr>
          <w:p>
            <w:r/>
            <w:r>
              <w:rPr>
                <w:rFonts w:ascii="宋体" w:hAnsi="宋体" w:eastAsia="宋体"/>
                <w:sz w:val="20"/>
              </w:rPr>
              <w:t>2024</w:t>
            </w:r>
          </w:p>
        </w:tc>
        <w:tc>
          <w:tcPr>
            <w:tcW w:type="dxa" w:w="1385"/>
          </w:tcPr>
          <w:p>
            <w:r/>
            <w:r>
              <w:rPr>
                <w:rFonts w:ascii="宋体" w:hAnsi="宋体" w:eastAsia="宋体"/>
                <w:sz w:val="20"/>
              </w:rPr>
              <w:t>720</w:t>
            </w:r>
          </w:p>
        </w:tc>
        <w:tc>
          <w:tcPr>
            <w:tcW w:type="dxa" w:w="1385"/>
          </w:tcPr>
          <w:p>
            <w:r/>
            <w:r>
              <w:rPr>
                <w:rFonts w:ascii="宋体" w:hAnsi="宋体" w:eastAsia="宋体"/>
                <w:sz w:val="20"/>
              </w:rPr>
              <w:t>45%</w:t>
            </w:r>
          </w:p>
        </w:tc>
        <w:tc>
          <w:tcPr>
            <w:tcW w:type="dxa" w:w="1385"/>
          </w:tcPr>
          <w:p>
            <w:r/>
            <w:r>
              <w:rPr>
                <w:rFonts w:ascii="宋体" w:hAnsi="宋体" w:eastAsia="宋体"/>
                <w:sz w:val="20"/>
              </w:rPr>
              <w:t>55%</w:t>
            </w:r>
          </w:p>
        </w:tc>
        <w:tc>
          <w:tcPr>
            <w:tcW w:type="dxa" w:w="1385"/>
          </w:tcPr>
          <w:p>
            <w:r/>
            <w:r>
              <w:rPr>
                <w:rFonts w:ascii="宋体" w:hAnsi="宋体" w:eastAsia="宋体"/>
                <w:sz w:val="20"/>
              </w:rPr>
              <w:t>38%</w:t>
            </w:r>
          </w:p>
        </w:tc>
        <w:tc>
          <w:tcPr>
            <w:tcW w:type="dxa" w:w="1385"/>
          </w:tcPr>
          <w:p>
            <w:r/>
            <w:r>
              <w:rPr>
                <w:rFonts w:ascii="宋体" w:hAnsi="宋体" w:eastAsia="宋体"/>
                <w:sz w:val="20"/>
              </w:rPr>
              <w:t>IDC预测</w:t>
            </w:r>
          </w:p>
        </w:tc>
      </w:tr>
      <w:tr>
        <w:tc>
          <w:tcPr>
            <w:tcW w:type="dxa" w:w="1385"/>
          </w:tcPr>
          <w:p>
            <w:r/>
            <w:r>
              <w:rPr>
                <w:rFonts w:ascii="宋体" w:hAnsi="宋体" w:eastAsia="宋体"/>
                <w:sz w:val="20"/>
              </w:rPr>
              <w:t>2025</w:t>
            </w:r>
          </w:p>
        </w:tc>
        <w:tc>
          <w:tcPr>
            <w:tcW w:type="dxa" w:w="1385"/>
          </w:tcPr>
          <w:p>
            <w:r/>
            <w:r>
              <w:rPr>
                <w:rFonts w:ascii="宋体" w:hAnsi="宋体" w:eastAsia="宋体"/>
                <w:sz w:val="20"/>
              </w:rPr>
              <w:t>980</w:t>
            </w:r>
          </w:p>
        </w:tc>
        <w:tc>
          <w:tcPr>
            <w:tcW w:type="dxa" w:w="1385"/>
          </w:tcPr>
          <w:p>
            <w:r/>
            <w:r>
              <w:rPr>
                <w:rFonts w:ascii="宋体" w:hAnsi="宋体" w:eastAsia="宋体"/>
                <w:sz w:val="20"/>
              </w:rPr>
              <w:t>42%</w:t>
            </w:r>
          </w:p>
        </w:tc>
        <w:tc>
          <w:tcPr>
            <w:tcW w:type="dxa" w:w="1385"/>
          </w:tcPr>
          <w:p>
            <w:r/>
            <w:r>
              <w:rPr>
                <w:rFonts w:ascii="宋体" w:hAnsi="宋体" w:eastAsia="宋体"/>
                <w:sz w:val="20"/>
              </w:rPr>
              <w:t>58%</w:t>
            </w:r>
          </w:p>
        </w:tc>
        <w:tc>
          <w:tcPr>
            <w:tcW w:type="dxa" w:w="1385"/>
          </w:tcPr>
          <w:p>
            <w:r/>
            <w:r>
              <w:rPr>
                <w:rFonts w:ascii="宋体" w:hAnsi="宋体" w:eastAsia="宋体"/>
                <w:sz w:val="20"/>
              </w:rPr>
              <w:t>36%</w:t>
            </w:r>
          </w:p>
        </w:tc>
        <w:tc>
          <w:tcPr>
            <w:tcW w:type="dxa" w:w="1385"/>
          </w:tcPr>
          <w:p>
            <w:r/>
            <w:r>
              <w:rPr>
                <w:rFonts w:ascii="宋体" w:hAnsi="宋体" w:eastAsia="宋体"/>
                <w:sz w:val="20"/>
              </w:rPr>
              <w:t>IDC预测</w:t>
            </w:r>
          </w:p>
        </w:tc>
      </w:tr>
      <w:tr>
        <w:tc>
          <w:tcPr>
            <w:tcW w:type="dxa" w:w="1385"/>
          </w:tcPr>
          <w:p>
            <w:r/>
            <w:r>
              <w:rPr>
                <w:rFonts w:ascii="宋体" w:hAnsi="宋体" w:eastAsia="宋体"/>
                <w:sz w:val="20"/>
              </w:rPr>
              <w:t>2026</w:t>
            </w:r>
          </w:p>
        </w:tc>
        <w:tc>
          <w:tcPr>
            <w:tcW w:type="dxa" w:w="1385"/>
          </w:tcPr>
          <w:p>
            <w:r/>
            <w:r>
              <w:rPr>
                <w:rFonts w:ascii="宋体" w:hAnsi="宋体" w:eastAsia="宋体"/>
                <w:sz w:val="20"/>
              </w:rPr>
              <w:t>1280</w:t>
            </w:r>
          </w:p>
        </w:tc>
        <w:tc>
          <w:tcPr>
            <w:tcW w:type="dxa" w:w="1385"/>
          </w:tcPr>
          <w:p>
            <w:r/>
            <w:r>
              <w:rPr>
                <w:rFonts w:ascii="宋体" w:hAnsi="宋体" w:eastAsia="宋体"/>
                <w:sz w:val="20"/>
              </w:rPr>
              <w:t>40%</w:t>
            </w:r>
          </w:p>
        </w:tc>
        <w:tc>
          <w:tcPr>
            <w:tcW w:type="dxa" w:w="1385"/>
          </w:tcPr>
          <w:p>
            <w:r/>
            <w:r>
              <w:rPr>
                <w:rFonts w:ascii="宋体" w:hAnsi="宋体" w:eastAsia="宋体"/>
                <w:sz w:val="20"/>
              </w:rPr>
              <w:t>60%</w:t>
            </w:r>
          </w:p>
        </w:tc>
        <w:tc>
          <w:tcPr>
            <w:tcW w:type="dxa" w:w="1385"/>
          </w:tcPr>
          <w:p>
            <w:r/>
            <w:r>
              <w:rPr>
                <w:rFonts w:ascii="宋体" w:hAnsi="宋体" w:eastAsia="宋体"/>
                <w:sz w:val="20"/>
              </w:rPr>
              <w:t>31%</w:t>
            </w:r>
          </w:p>
        </w:tc>
        <w:tc>
          <w:tcPr>
            <w:tcW w:type="dxa" w:w="1385"/>
          </w:tcPr>
          <w:p>
            <w:r/>
            <w:r>
              <w:rPr>
                <w:rFonts w:ascii="宋体" w:hAnsi="宋体" w:eastAsia="宋体"/>
                <w:sz w:val="20"/>
              </w:rPr>
              <w:t>IDC预测</w:t>
            </w:r>
          </w:p>
        </w:tc>
      </w:tr>
      <w:tr>
        <w:tc>
          <w:tcPr>
            <w:tcW w:type="dxa" w:w="1385"/>
          </w:tcPr>
          <w:p>
            <w:r/>
            <w:r>
              <w:rPr>
                <w:rFonts w:ascii="宋体" w:hAnsi="宋体" w:eastAsia="宋体"/>
                <w:sz w:val="20"/>
              </w:rPr>
              <w:t>2027</w:t>
            </w:r>
          </w:p>
        </w:tc>
        <w:tc>
          <w:tcPr>
            <w:tcW w:type="dxa" w:w="1385"/>
          </w:tcPr>
          <w:p>
            <w:r/>
            <w:r>
              <w:rPr>
                <w:rFonts w:ascii="宋体" w:hAnsi="宋体" w:eastAsia="宋体"/>
                <w:sz w:val="20"/>
              </w:rPr>
              <w:t>1620</w:t>
            </w:r>
          </w:p>
        </w:tc>
        <w:tc>
          <w:tcPr>
            <w:tcW w:type="dxa" w:w="1385"/>
          </w:tcPr>
          <w:p>
            <w:r/>
            <w:r>
              <w:rPr>
                <w:rFonts w:ascii="宋体" w:hAnsi="宋体" w:eastAsia="宋体"/>
                <w:sz w:val="20"/>
              </w:rPr>
              <w:t>38%</w:t>
            </w:r>
          </w:p>
        </w:tc>
        <w:tc>
          <w:tcPr>
            <w:tcW w:type="dxa" w:w="1385"/>
          </w:tcPr>
          <w:p>
            <w:r/>
            <w:r>
              <w:rPr>
                <w:rFonts w:ascii="宋体" w:hAnsi="宋体" w:eastAsia="宋体"/>
                <w:sz w:val="20"/>
              </w:rPr>
              <w:t>62%</w:t>
            </w:r>
          </w:p>
        </w:tc>
        <w:tc>
          <w:tcPr>
            <w:tcW w:type="dxa" w:w="1385"/>
          </w:tcPr>
          <w:p>
            <w:r/>
            <w:r>
              <w:rPr>
                <w:rFonts w:ascii="宋体" w:hAnsi="宋体" w:eastAsia="宋体"/>
                <w:sz w:val="20"/>
              </w:rPr>
              <w:t>27%</w:t>
            </w:r>
          </w:p>
        </w:tc>
        <w:tc>
          <w:tcPr>
            <w:tcW w:type="dxa" w:w="1385"/>
          </w:tcPr>
          <w:p>
            <w:r/>
            <w:r>
              <w:rPr>
                <w:rFonts w:ascii="宋体" w:hAnsi="宋体" w:eastAsia="宋体"/>
                <w:sz w:val="20"/>
              </w:rPr>
              <w:t>IDC预测</w:t>
            </w:r>
          </w:p>
        </w:tc>
      </w:tr>
    </w:tbl>
    <w:p/>
    <w:p/>
    <w:p>
      <w:pPr>
        <w:pStyle w:val="Heading3"/>
      </w:pPr>
      <w:r>
        <w:t>G.13.2 VR 头显出货量</w:t>
      </w:r>
    </w:p>
    <w:p/>
    <w:tbl>
      <w:tblPr>
        <w:tblStyle w:val="TableGrid"/>
        <w:tblW w:type="auto" w:w="0"/>
        <w:jc w:val="center"/>
        <w:tblLook w:firstColumn="1" w:firstRow="1" w:lastColumn="0" w:lastRow="0" w:noHBand="0" w:noVBand="1" w:val="04A0"/>
      </w:tblPr>
      <w:tblGrid>
        <w:gridCol w:w="1662"/>
        <w:gridCol w:w="1662"/>
        <w:gridCol w:w="1662"/>
        <w:gridCol w:w="1662"/>
        <w:gridCol w:w="1662"/>
      </w:tblGrid>
      <w:tr>
        <w:tc>
          <w:tcPr>
            <w:tcW w:type="dxa" w:w="1662"/>
            <w:shd w:fill="D9E2F3" w:val="clear"/>
          </w:tcPr>
          <w:p>
            <w:pPr>
              <w:jc w:val="center"/>
            </w:pPr>
            <w:r/>
            <w:r>
              <w:rPr>
                <w:rFonts w:ascii="黑体" w:hAnsi="黑体" w:eastAsia="黑体"/>
                <w:b/>
                <w:sz w:val="20"/>
              </w:rPr>
              <w:t>年份</w:t>
            </w:r>
          </w:p>
        </w:tc>
        <w:tc>
          <w:tcPr>
            <w:tcW w:type="dxa" w:w="1662"/>
            <w:shd w:fill="D9E2F3" w:val="clear"/>
          </w:tcPr>
          <w:p>
            <w:pPr>
              <w:jc w:val="center"/>
            </w:pPr>
            <w:r/>
            <w:r>
              <w:rPr>
                <w:rFonts w:ascii="黑体" w:hAnsi="黑体" w:eastAsia="黑体"/>
                <w:b/>
                <w:sz w:val="20"/>
              </w:rPr>
              <w:t>全球出货量（万台）</w:t>
            </w:r>
          </w:p>
        </w:tc>
        <w:tc>
          <w:tcPr>
            <w:tcW w:type="dxa" w:w="1662"/>
            <w:shd w:fill="D9E2F3" w:val="clear"/>
          </w:tcPr>
          <w:p>
            <w:pPr>
              <w:jc w:val="center"/>
            </w:pPr>
            <w:r/>
            <w:r>
              <w:rPr>
                <w:rFonts w:ascii="黑体" w:hAnsi="黑体" w:eastAsia="黑体"/>
                <w:b/>
                <w:sz w:val="20"/>
              </w:rPr>
              <w:t>Meta占比</w:t>
            </w:r>
          </w:p>
        </w:tc>
        <w:tc>
          <w:tcPr>
            <w:tcW w:type="dxa" w:w="1662"/>
            <w:shd w:fill="D9E2F3" w:val="clear"/>
          </w:tcPr>
          <w:p>
            <w:pPr>
              <w:jc w:val="center"/>
            </w:pPr>
            <w:r/>
            <w:r>
              <w:rPr>
                <w:rFonts w:ascii="黑体" w:hAnsi="黑体" w:eastAsia="黑体"/>
                <w:b/>
                <w:sz w:val="20"/>
              </w:rPr>
              <w:t>其他主要品牌</w:t>
            </w:r>
          </w:p>
        </w:tc>
        <w:tc>
          <w:tcPr>
            <w:tcW w:type="dxa" w:w="1662"/>
            <w:shd w:fill="D9E2F3" w:val="clear"/>
          </w:tcPr>
          <w:p>
            <w:pPr>
              <w:jc w:val="center"/>
            </w:pPr>
            <w:r/>
            <w:r>
              <w:rPr>
                <w:rFonts w:ascii="黑体" w:hAnsi="黑体" w:eastAsia="黑体"/>
                <w:b/>
                <w:sz w:val="20"/>
              </w:rPr>
              <w:t>数据来源</w:t>
            </w:r>
          </w:p>
        </w:tc>
      </w:tr>
      <w:tr>
        <w:tc>
          <w:tcPr>
            <w:tcW w:type="dxa" w:w="1662"/>
          </w:tcPr>
          <w:p>
            <w:r/>
            <w:r>
              <w:rPr>
                <w:rFonts w:ascii="宋体" w:hAnsi="宋体" w:eastAsia="宋体"/>
                <w:sz w:val="20"/>
              </w:rPr>
              <w:t>2020</w:t>
            </w:r>
          </w:p>
        </w:tc>
        <w:tc>
          <w:tcPr>
            <w:tcW w:type="dxa" w:w="1662"/>
          </w:tcPr>
          <w:p>
            <w:r/>
            <w:r>
              <w:rPr>
                <w:rFonts w:ascii="宋体" w:hAnsi="宋体" w:eastAsia="宋体"/>
                <w:sz w:val="20"/>
              </w:rPr>
              <w:t>560</w:t>
            </w:r>
          </w:p>
        </w:tc>
        <w:tc>
          <w:tcPr>
            <w:tcW w:type="dxa" w:w="1662"/>
          </w:tcPr>
          <w:p>
            <w:r/>
            <w:r>
              <w:rPr>
                <w:rFonts w:ascii="宋体" w:hAnsi="宋体" w:eastAsia="宋体"/>
                <w:sz w:val="20"/>
              </w:rPr>
              <w:t>63%</w:t>
            </w:r>
          </w:p>
        </w:tc>
        <w:tc>
          <w:tcPr>
            <w:tcW w:type="dxa" w:w="1662"/>
          </w:tcPr>
          <w:p>
            <w:r/>
            <w:r>
              <w:rPr>
                <w:rFonts w:ascii="宋体" w:hAnsi="宋体" w:eastAsia="宋体"/>
                <w:sz w:val="20"/>
              </w:rPr>
              <w:t>Sony/HTC</w:t>
            </w:r>
          </w:p>
        </w:tc>
        <w:tc>
          <w:tcPr>
            <w:tcW w:type="dxa" w:w="1662"/>
          </w:tcPr>
          <w:p>
            <w:r/>
            <w:r>
              <w:rPr>
                <w:rFonts w:ascii="宋体" w:hAnsi="宋体" w:eastAsia="宋体"/>
                <w:sz w:val="20"/>
              </w:rPr>
              <w:t>Counterpoint</w:t>
            </w:r>
          </w:p>
        </w:tc>
      </w:tr>
      <w:tr>
        <w:tc>
          <w:tcPr>
            <w:tcW w:type="dxa" w:w="1662"/>
          </w:tcPr>
          <w:p>
            <w:r/>
            <w:r>
              <w:rPr>
                <w:rFonts w:ascii="宋体" w:hAnsi="宋体" w:eastAsia="宋体"/>
                <w:sz w:val="20"/>
              </w:rPr>
              <w:t>2021</w:t>
            </w:r>
          </w:p>
        </w:tc>
        <w:tc>
          <w:tcPr>
            <w:tcW w:type="dxa" w:w="1662"/>
          </w:tcPr>
          <w:p>
            <w:r/>
            <w:r>
              <w:rPr>
                <w:rFonts w:ascii="宋体" w:hAnsi="宋体" w:eastAsia="宋体"/>
                <w:sz w:val="20"/>
              </w:rPr>
              <w:t>1090</w:t>
            </w:r>
          </w:p>
        </w:tc>
        <w:tc>
          <w:tcPr>
            <w:tcW w:type="dxa" w:w="1662"/>
          </w:tcPr>
          <w:p>
            <w:r/>
            <w:r>
              <w:rPr>
                <w:rFonts w:ascii="宋体" w:hAnsi="宋体" w:eastAsia="宋体"/>
                <w:sz w:val="20"/>
              </w:rPr>
              <w:t>75%</w:t>
            </w:r>
          </w:p>
        </w:tc>
        <w:tc>
          <w:tcPr>
            <w:tcW w:type="dxa" w:w="1662"/>
          </w:tcPr>
          <w:p>
            <w:r/>
            <w:r>
              <w:rPr>
                <w:rFonts w:ascii="宋体" w:hAnsi="宋体" w:eastAsia="宋体"/>
                <w:sz w:val="20"/>
              </w:rPr>
              <w:t>Pico/DPVR</w:t>
            </w:r>
          </w:p>
        </w:tc>
        <w:tc>
          <w:tcPr>
            <w:tcW w:type="dxa" w:w="1662"/>
          </w:tcPr>
          <w:p>
            <w:r/>
            <w:r>
              <w:rPr>
                <w:rFonts w:ascii="宋体" w:hAnsi="宋体" w:eastAsia="宋体"/>
                <w:sz w:val="20"/>
              </w:rPr>
              <w:t>Counterpoint</w:t>
            </w:r>
          </w:p>
        </w:tc>
      </w:tr>
      <w:tr>
        <w:tc>
          <w:tcPr>
            <w:tcW w:type="dxa" w:w="1662"/>
          </w:tcPr>
          <w:p>
            <w:r/>
            <w:r>
              <w:rPr>
                <w:rFonts w:ascii="宋体" w:hAnsi="宋体" w:eastAsia="宋体"/>
                <w:sz w:val="20"/>
              </w:rPr>
              <w:t>2022</w:t>
            </w:r>
          </w:p>
        </w:tc>
        <w:tc>
          <w:tcPr>
            <w:tcW w:type="dxa" w:w="1662"/>
          </w:tcPr>
          <w:p>
            <w:r/>
            <w:r>
              <w:rPr>
                <w:rFonts w:ascii="宋体" w:hAnsi="宋体" w:eastAsia="宋体"/>
                <w:sz w:val="20"/>
              </w:rPr>
              <w:t>1080</w:t>
            </w:r>
          </w:p>
        </w:tc>
        <w:tc>
          <w:tcPr>
            <w:tcW w:type="dxa" w:w="1662"/>
          </w:tcPr>
          <w:p>
            <w:r/>
            <w:r>
              <w:rPr>
                <w:rFonts w:ascii="宋体" w:hAnsi="宋体" w:eastAsia="宋体"/>
                <w:sz w:val="20"/>
              </w:rPr>
              <w:t>72%</w:t>
            </w:r>
          </w:p>
        </w:tc>
        <w:tc>
          <w:tcPr>
            <w:tcW w:type="dxa" w:w="1662"/>
          </w:tcPr>
          <w:p>
            <w:r/>
            <w:r>
              <w:rPr>
                <w:rFonts w:ascii="宋体" w:hAnsi="宋体" w:eastAsia="宋体"/>
                <w:sz w:val="20"/>
              </w:rPr>
              <w:t>Pico/HTC</w:t>
            </w:r>
          </w:p>
        </w:tc>
        <w:tc>
          <w:tcPr>
            <w:tcW w:type="dxa" w:w="1662"/>
          </w:tcPr>
          <w:p>
            <w:r/>
            <w:r>
              <w:rPr>
                <w:rFonts w:ascii="宋体" w:hAnsi="宋体" w:eastAsia="宋体"/>
                <w:sz w:val="20"/>
              </w:rPr>
              <w:t>Counterpoint</w:t>
            </w:r>
          </w:p>
        </w:tc>
      </w:tr>
      <w:tr>
        <w:tc>
          <w:tcPr>
            <w:tcW w:type="dxa" w:w="1662"/>
          </w:tcPr>
          <w:p>
            <w:r/>
            <w:r>
              <w:rPr>
                <w:rFonts w:ascii="宋体" w:hAnsi="宋体" w:eastAsia="宋体"/>
                <w:sz w:val="20"/>
              </w:rPr>
              <w:t>2023</w:t>
            </w:r>
          </w:p>
        </w:tc>
        <w:tc>
          <w:tcPr>
            <w:tcW w:type="dxa" w:w="1662"/>
          </w:tcPr>
          <w:p>
            <w:r/>
            <w:r>
              <w:rPr>
                <w:rFonts w:ascii="宋体" w:hAnsi="宋体" w:eastAsia="宋体"/>
                <w:sz w:val="20"/>
              </w:rPr>
              <w:t>820</w:t>
            </w:r>
          </w:p>
        </w:tc>
        <w:tc>
          <w:tcPr>
            <w:tcW w:type="dxa" w:w="1662"/>
          </w:tcPr>
          <w:p>
            <w:r/>
            <w:r>
              <w:rPr>
                <w:rFonts w:ascii="宋体" w:hAnsi="宋体" w:eastAsia="宋体"/>
                <w:sz w:val="20"/>
              </w:rPr>
              <w:t>65%</w:t>
            </w:r>
          </w:p>
        </w:tc>
        <w:tc>
          <w:tcPr>
            <w:tcW w:type="dxa" w:w="1662"/>
          </w:tcPr>
          <w:p>
            <w:r/>
            <w:r>
              <w:rPr>
                <w:rFonts w:ascii="宋体" w:hAnsi="宋体" w:eastAsia="宋体"/>
                <w:sz w:val="20"/>
              </w:rPr>
              <w:t>Pico/Apple</w:t>
            </w:r>
          </w:p>
        </w:tc>
        <w:tc>
          <w:tcPr>
            <w:tcW w:type="dxa" w:w="1662"/>
          </w:tcPr>
          <w:p>
            <w:r/>
            <w:r>
              <w:rPr>
                <w:rFonts w:ascii="宋体" w:hAnsi="宋体" w:eastAsia="宋体"/>
                <w:sz w:val="20"/>
              </w:rPr>
              <w:t>Counterpoint</w:t>
            </w:r>
          </w:p>
        </w:tc>
      </w:tr>
      <w:tr>
        <w:tc>
          <w:tcPr>
            <w:tcW w:type="dxa" w:w="1662"/>
          </w:tcPr>
          <w:p>
            <w:r/>
            <w:r>
              <w:rPr>
                <w:rFonts w:ascii="宋体" w:hAnsi="宋体" w:eastAsia="宋体"/>
                <w:sz w:val="20"/>
              </w:rPr>
              <w:t>2024</w:t>
            </w:r>
          </w:p>
        </w:tc>
        <w:tc>
          <w:tcPr>
            <w:tcW w:type="dxa" w:w="1662"/>
          </w:tcPr>
          <w:p>
            <w:r/>
            <w:r>
              <w:rPr>
                <w:rFonts w:ascii="宋体" w:hAnsi="宋体" w:eastAsia="宋体"/>
                <w:sz w:val="20"/>
              </w:rPr>
              <w:t>950</w:t>
            </w:r>
          </w:p>
        </w:tc>
        <w:tc>
          <w:tcPr>
            <w:tcW w:type="dxa" w:w="1662"/>
          </w:tcPr>
          <w:p>
            <w:r/>
            <w:r>
              <w:rPr>
                <w:rFonts w:ascii="宋体" w:hAnsi="宋体" w:eastAsia="宋体"/>
                <w:sz w:val="20"/>
              </w:rPr>
              <w:t>60%</w:t>
            </w:r>
          </w:p>
        </w:tc>
        <w:tc>
          <w:tcPr>
            <w:tcW w:type="dxa" w:w="1662"/>
          </w:tcPr>
          <w:p>
            <w:r/>
            <w:r>
              <w:rPr>
                <w:rFonts w:ascii="宋体" w:hAnsi="宋体" w:eastAsia="宋体"/>
                <w:sz w:val="20"/>
              </w:rPr>
              <w:t>Apple/Pico</w:t>
            </w:r>
          </w:p>
        </w:tc>
        <w:tc>
          <w:tcPr>
            <w:tcW w:type="dxa" w:w="1662"/>
          </w:tcPr>
          <w:p>
            <w:r/>
            <w:r>
              <w:rPr>
                <w:rFonts w:ascii="宋体" w:hAnsi="宋体" w:eastAsia="宋体"/>
                <w:sz w:val="20"/>
              </w:rPr>
              <w:t>IDC预测</w:t>
            </w:r>
          </w:p>
        </w:tc>
      </w:tr>
      <w:tr>
        <w:tc>
          <w:tcPr>
            <w:tcW w:type="dxa" w:w="1662"/>
          </w:tcPr>
          <w:p>
            <w:r/>
            <w:r>
              <w:rPr>
                <w:rFonts w:ascii="宋体" w:hAnsi="宋体" w:eastAsia="宋体"/>
                <w:sz w:val="20"/>
              </w:rPr>
              <w:t>2025</w:t>
            </w:r>
          </w:p>
        </w:tc>
        <w:tc>
          <w:tcPr>
            <w:tcW w:type="dxa" w:w="1662"/>
          </w:tcPr>
          <w:p>
            <w:r/>
            <w:r>
              <w:rPr>
                <w:rFonts w:ascii="宋体" w:hAnsi="宋体" w:eastAsia="宋体"/>
                <w:sz w:val="20"/>
              </w:rPr>
              <w:t>1250</w:t>
            </w:r>
          </w:p>
        </w:tc>
        <w:tc>
          <w:tcPr>
            <w:tcW w:type="dxa" w:w="1662"/>
          </w:tcPr>
          <w:p>
            <w:r/>
            <w:r>
              <w:rPr>
                <w:rFonts w:ascii="宋体" w:hAnsi="宋体" w:eastAsia="宋体"/>
                <w:sz w:val="20"/>
              </w:rPr>
              <w:t>55%</w:t>
            </w:r>
          </w:p>
        </w:tc>
        <w:tc>
          <w:tcPr>
            <w:tcW w:type="dxa" w:w="1662"/>
          </w:tcPr>
          <w:p>
            <w:r/>
            <w:r>
              <w:rPr>
                <w:rFonts w:ascii="宋体" w:hAnsi="宋体" w:eastAsia="宋体"/>
                <w:sz w:val="20"/>
              </w:rPr>
              <w:t>Apple/Pico/Sony</w:t>
            </w:r>
          </w:p>
        </w:tc>
        <w:tc>
          <w:tcPr>
            <w:tcW w:type="dxa" w:w="1662"/>
          </w:tcPr>
          <w:p>
            <w:r/>
            <w:r>
              <w:rPr>
                <w:rFonts w:ascii="宋体" w:hAnsi="宋体" w:eastAsia="宋体"/>
                <w:sz w:val="20"/>
              </w:rPr>
              <w:t>IDC预测</w:t>
            </w:r>
          </w:p>
        </w:tc>
      </w:tr>
    </w:tbl>
    <w:p/>
    <w:p/>
    <w:p>
      <w:pPr>
        <w:pStyle w:val="Heading3"/>
      </w:pPr>
      <w:r>
        <w:t>G.13.3 VR/AR 应用领域分布</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应用领域</w:t>
            </w:r>
          </w:p>
        </w:tc>
        <w:tc>
          <w:tcPr>
            <w:tcW w:type="dxa" w:w="2078"/>
            <w:shd w:fill="D9E2F3" w:val="clear"/>
          </w:tcPr>
          <w:p>
            <w:pPr>
              <w:jc w:val="center"/>
            </w:pPr>
            <w:r/>
            <w:r>
              <w:rPr>
                <w:rFonts w:ascii="黑体" w:hAnsi="黑体" w:eastAsia="黑体"/>
                <w:b/>
                <w:sz w:val="20"/>
              </w:rPr>
              <w:t>2023年占比</w:t>
            </w:r>
          </w:p>
        </w:tc>
        <w:tc>
          <w:tcPr>
            <w:tcW w:type="dxa" w:w="2078"/>
            <w:shd w:fill="D9E2F3" w:val="clear"/>
          </w:tcPr>
          <w:p>
            <w:pPr>
              <w:jc w:val="center"/>
            </w:pPr>
            <w:r/>
            <w:r>
              <w:rPr>
                <w:rFonts w:ascii="黑体" w:hAnsi="黑体" w:eastAsia="黑体"/>
                <w:b/>
                <w:sz w:val="20"/>
              </w:rPr>
              <w:t>2027年预测</w:t>
            </w:r>
          </w:p>
        </w:tc>
        <w:tc>
          <w:tcPr>
            <w:tcW w:type="dxa" w:w="2078"/>
            <w:shd w:fill="D9E2F3" w:val="clear"/>
          </w:tcPr>
          <w:p>
            <w:pPr>
              <w:jc w:val="center"/>
            </w:pPr>
            <w:r/>
            <w:r>
              <w:rPr>
                <w:rFonts w:ascii="黑体" w:hAnsi="黑体" w:eastAsia="黑体"/>
                <w:b/>
                <w:sz w:val="20"/>
              </w:rPr>
              <w:t>增长驱动因素</w:t>
            </w:r>
          </w:p>
        </w:tc>
      </w:tr>
      <w:tr>
        <w:tc>
          <w:tcPr>
            <w:tcW w:type="dxa" w:w="2078"/>
          </w:tcPr>
          <w:p>
            <w:r/>
            <w:r>
              <w:rPr>
                <w:rFonts w:ascii="宋体" w:hAnsi="宋体" w:eastAsia="宋体"/>
                <w:sz w:val="20"/>
              </w:rPr>
              <w:t>游戏</w:t>
            </w:r>
          </w:p>
        </w:tc>
        <w:tc>
          <w:tcPr>
            <w:tcW w:type="dxa" w:w="2078"/>
          </w:tcPr>
          <w:p>
            <w:r/>
            <w:r>
              <w:rPr>
                <w:rFonts w:ascii="宋体" w:hAnsi="宋体" w:eastAsia="宋体"/>
                <w:sz w:val="20"/>
              </w:rPr>
              <w:t>35%</w:t>
            </w:r>
          </w:p>
        </w:tc>
        <w:tc>
          <w:tcPr>
            <w:tcW w:type="dxa" w:w="2078"/>
          </w:tcPr>
          <w:p>
            <w:r/>
            <w:r>
              <w:rPr>
                <w:rFonts w:ascii="宋体" w:hAnsi="宋体" w:eastAsia="宋体"/>
                <w:sz w:val="20"/>
              </w:rPr>
              <w:t>25%</w:t>
            </w:r>
          </w:p>
        </w:tc>
        <w:tc>
          <w:tcPr>
            <w:tcW w:type="dxa" w:w="2078"/>
          </w:tcPr>
          <w:p>
            <w:r/>
            <w:r>
              <w:rPr>
                <w:rFonts w:ascii="宋体" w:hAnsi="宋体" w:eastAsia="宋体"/>
                <w:sz w:val="20"/>
              </w:rPr>
              <w:t>VR游戏成熟化</w:t>
            </w:r>
          </w:p>
        </w:tc>
      </w:tr>
      <w:tr>
        <w:tc>
          <w:tcPr>
            <w:tcW w:type="dxa" w:w="2078"/>
          </w:tcPr>
          <w:p>
            <w:r/>
            <w:r>
              <w:rPr>
                <w:rFonts w:ascii="宋体" w:hAnsi="宋体" w:eastAsia="宋体"/>
                <w:sz w:val="20"/>
              </w:rPr>
              <w:t>教育/培训</w:t>
            </w:r>
          </w:p>
        </w:tc>
        <w:tc>
          <w:tcPr>
            <w:tcW w:type="dxa" w:w="2078"/>
          </w:tcPr>
          <w:p>
            <w:r/>
            <w:r>
              <w:rPr>
                <w:rFonts w:ascii="宋体" w:hAnsi="宋体" w:eastAsia="宋体"/>
                <w:sz w:val="20"/>
              </w:rPr>
              <w:t>18%</w:t>
            </w:r>
          </w:p>
        </w:tc>
        <w:tc>
          <w:tcPr>
            <w:tcW w:type="dxa" w:w="2078"/>
          </w:tcPr>
          <w:p>
            <w:r/>
            <w:r>
              <w:rPr>
                <w:rFonts w:ascii="宋体" w:hAnsi="宋体" w:eastAsia="宋体"/>
                <w:sz w:val="20"/>
              </w:rPr>
              <w:t>22%</w:t>
            </w:r>
          </w:p>
        </w:tc>
        <w:tc>
          <w:tcPr>
            <w:tcW w:type="dxa" w:w="2078"/>
          </w:tcPr>
          <w:p>
            <w:r/>
            <w:r>
              <w:rPr>
                <w:rFonts w:ascii="宋体" w:hAnsi="宋体" w:eastAsia="宋体"/>
                <w:sz w:val="20"/>
              </w:rPr>
              <w:t>政策支持、效果验证</w:t>
            </w:r>
          </w:p>
        </w:tc>
      </w:tr>
      <w:tr>
        <w:tc>
          <w:tcPr>
            <w:tcW w:type="dxa" w:w="2078"/>
          </w:tcPr>
          <w:p>
            <w:r/>
            <w:r>
              <w:rPr>
                <w:rFonts w:ascii="宋体" w:hAnsi="宋体" w:eastAsia="宋体"/>
                <w:sz w:val="20"/>
              </w:rPr>
              <w:t>文旅/文化</w:t>
            </w:r>
          </w:p>
        </w:tc>
        <w:tc>
          <w:tcPr>
            <w:tcW w:type="dxa" w:w="2078"/>
          </w:tcPr>
          <w:p>
            <w:r/>
            <w:r>
              <w:rPr>
                <w:rFonts w:ascii="宋体" w:hAnsi="宋体" w:eastAsia="宋体"/>
                <w:sz w:val="20"/>
              </w:rPr>
              <w:t>8%</w:t>
            </w:r>
          </w:p>
        </w:tc>
        <w:tc>
          <w:tcPr>
            <w:tcW w:type="dxa" w:w="2078"/>
          </w:tcPr>
          <w:p>
            <w:r/>
            <w:r>
              <w:rPr>
                <w:rFonts w:ascii="宋体" w:hAnsi="宋体" w:eastAsia="宋体"/>
                <w:sz w:val="20"/>
              </w:rPr>
              <w:t>12%</w:t>
            </w:r>
          </w:p>
        </w:tc>
        <w:tc>
          <w:tcPr>
            <w:tcW w:type="dxa" w:w="2078"/>
          </w:tcPr>
          <w:p>
            <w:r/>
            <w:r>
              <w:rPr>
                <w:rFonts w:ascii="宋体" w:hAnsi="宋体" w:eastAsia="宋体"/>
                <w:sz w:val="20"/>
              </w:rPr>
              <w:t>文旅数字化转型</w:t>
            </w:r>
          </w:p>
        </w:tc>
      </w:tr>
      <w:tr>
        <w:tc>
          <w:tcPr>
            <w:tcW w:type="dxa" w:w="2078"/>
          </w:tcPr>
          <w:p>
            <w:r/>
            <w:r>
              <w:rPr>
                <w:rFonts w:ascii="宋体" w:hAnsi="宋体" w:eastAsia="宋体"/>
                <w:sz w:val="20"/>
              </w:rPr>
              <w:t>工业/制造</w:t>
            </w:r>
          </w:p>
        </w:tc>
        <w:tc>
          <w:tcPr>
            <w:tcW w:type="dxa" w:w="2078"/>
          </w:tcPr>
          <w:p>
            <w:r/>
            <w:r>
              <w:rPr>
                <w:rFonts w:ascii="宋体" w:hAnsi="宋体" w:eastAsia="宋体"/>
                <w:sz w:val="20"/>
              </w:rPr>
              <w:t>12%</w:t>
            </w:r>
          </w:p>
        </w:tc>
        <w:tc>
          <w:tcPr>
            <w:tcW w:type="dxa" w:w="2078"/>
          </w:tcPr>
          <w:p>
            <w:r/>
            <w:r>
              <w:rPr>
                <w:rFonts w:ascii="宋体" w:hAnsi="宋体" w:eastAsia="宋体"/>
                <w:sz w:val="20"/>
              </w:rPr>
              <w:t>15%</w:t>
            </w:r>
          </w:p>
        </w:tc>
        <w:tc>
          <w:tcPr>
            <w:tcW w:type="dxa" w:w="2078"/>
          </w:tcPr>
          <w:p>
            <w:r/>
            <w:r>
              <w:rPr>
                <w:rFonts w:ascii="宋体" w:hAnsi="宋体" w:eastAsia="宋体"/>
                <w:sz w:val="20"/>
              </w:rPr>
              <w:t>数字孪生需求</w:t>
            </w:r>
          </w:p>
        </w:tc>
      </w:tr>
      <w:tr>
        <w:tc>
          <w:tcPr>
            <w:tcW w:type="dxa" w:w="2078"/>
          </w:tcPr>
          <w:p>
            <w:r/>
            <w:r>
              <w:rPr>
                <w:rFonts w:ascii="宋体" w:hAnsi="宋体" w:eastAsia="宋体"/>
                <w:sz w:val="20"/>
              </w:rPr>
              <w:t>医疗健康</w:t>
            </w:r>
          </w:p>
        </w:tc>
        <w:tc>
          <w:tcPr>
            <w:tcW w:type="dxa" w:w="2078"/>
          </w:tcPr>
          <w:p>
            <w:r/>
            <w:r>
              <w:rPr>
                <w:rFonts w:ascii="宋体" w:hAnsi="宋体" w:eastAsia="宋体"/>
                <w:sz w:val="20"/>
              </w:rPr>
              <w:t>7%</w:t>
            </w:r>
          </w:p>
        </w:tc>
        <w:tc>
          <w:tcPr>
            <w:tcW w:type="dxa" w:w="2078"/>
          </w:tcPr>
          <w:p>
            <w:r/>
            <w:r>
              <w:rPr>
                <w:rFonts w:ascii="宋体" w:hAnsi="宋体" w:eastAsia="宋体"/>
                <w:sz w:val="20"/>
              </w:rPr>
              <w:t>10%</w:t>
            </w:r>
          </w:p>
        </w:tc>
        <w:tc>
          <w:tcPr>
            <w:tcW w:type="dxa" w:w="2078"/>
          </w:tcPr>
          <w:p>
            <w:r/>
            <w:r>
              <w:rPr>
                <w:rFonts w:ascii="宋体" w:hAnsi="宋体" w:eastAsia="宋体"/>
                <w:sz w:val="20"/>
              </w:rPr>
              <w:t>手术培训、心理治疗</w:t>
            </w:r>
          </w:p>
        </w:tc>
      </w:tr>
      <w:tr>
        <w:tc>
          <w:tcPr>
            <w:tcW w:type="dxa" w:w="2078"/>
          </w:tcPr>
          <w:p>
            <w:r/>
            <w:r>
              <w:rPr>
                <w:rFonts w:ascii="宋体" w:hAnsi="宋体" w:eastAsia="宋体"/>
                <w:sz w:val="20"/>
              </w:rPr>
              <w:t>零售/电商</w:t>
            </w:r>
          </w:p>
        </w:tc>
        <w:tc>
          <w:tcPr>
            <w:tcW w:type="dxa" w:w="2078"/>
          </w:tcPr>
          <w:p>
            <w:r/>
            <w:r>
              <w:rPr>
                <w:rFonts w:ascii="宋体" w:hAnsi="宋体" w:eastAsia="宋体"/>
                <w:sz w:val="20"/>
              </w:rPr>
              <w:t>6%</w:t>
            </w:r>
          </w:p>
        </w:tc>
        <w:tc>
          <w:tcPr>
            <w:tcW w:type="dxa" w:w="2078"/>
          </w:tcPr>
          <w:p>
            <w:r/>
            <w:r>
              <w:rPr>
                <w:rFonts w:ascii="宋体" w:hAnsi="宋体" w:eastAsia="宋体"/>
                <w:sz w:val="20"/>
              </w:rPr>
              <w:t>8%</w:t>
            </w:r>
          </w:p>
        </w:tc>
        <w:tc>
          <w:tcPr>
            <w:tcW w:type="dxa" w:w="2078"/>
          </w:tcPr>
          <w:p>
            <w:r/>
            <w:r>
              <w:rPr>
                <w:rFonts w:ascii="宋体" w:hAnsi="宋体" w:eastAsia="宋体"/>
                <w:sz w:val="20"/>
              </w:rPr>
              <w:t>虚拟试穿/试妆</w:t>
            </w:r>
          </w:p>
        </w:tc>
      </w:tr>
      <w:tr>
        <w:tc>
          <w:tcPr>
            <w:tcW w:type="dxa" w:w="2078"/>
          </w:tcPr>
          <w:p>
            <w:r/>
            <w:r>
              <w:rPr>
                <w:rFonts w:ascii="宋体" w:hAnsi="宋体" w:eastAsia="宋体"/>
                <w:sz w:val="20"/>
              </w:rPr>
              <w:t>军事/国防</w:t>
            </w:r>
          </w:p>
        </w:tc>
        <w:tc>
          <w:tcPr>
            <w:tcW w:type="dxa" w:w="2078"/>
          </w:tcPr>
          <w:p>
            <w:r/>
            <w:r>
              <w:rPr>
                <w:rFonts w:ascii="宋体" w:hAnsi="宋体" w:eastAsia="宋体"/>
                <w:sz w:val="20"/>
              </w:rPr>
              <w:t>5%</w:t>
            </w:r>
          </w:p>
        </w:tc>
        <w:tc>
          <w:tcPr>
            <w:tcW w:type="dxa" w:w="2078"/>
          </w:tcPr>
          <w:p>
            <w:r/>
            <w:r>
              <w:rPr>
                <w:rFonts w:ascii="宋体" w:hAnsi="宋体" w:eastAsia="宋体"/>
                <w:sz w:val="20"/>
              </w:rPr>
              <w:t>4%</w:t>
            </w:r>
          </w:p>
        </w:tc>
        <w:tc>
          <w:tcPr>
            <w:tcW w:type="dxa" w:w="2078"/>
          </w:tcPr>
          <w:p>
            <w:r/>
            <w:r>
              <w:rPr>
                <w:rFonts w:ascii="宋体" w:hAnsi="宋体" w:eastAsia="宋体"/>
                <w:sz w:val="20"/>
              </w:rPr>
              <w:t>模拟训练</w:t>
            </w:r>
          </w:p>
        </w:tc>
      </w:tr>
      <w:tr>
        <w:tc>
          <w:tcPr>
            <w:tcW w:type="dxa" w:w="2078"/>
          </w:tcPr>
          <w:p>
            <w:r/>
            <w:r>
              <w:rPr>
                <w:rFonts w:ascii="宋体" w:hAnsi="宋体" w:eastAsia="宋体"/>
                <w:sz w:val="20"/>
              </w:rPr>
              <w:t>其他</w:t>
            </w:r>
          </w:p>
        </w:tc>
        <w:tc>
          <w:tcPr>
            <w:tcW w:type="dxa" w:w="2078"/>
          </w:tcPr>
          <w:p>
            <w:r/>
            <w:r>
              <w:rPr>
                <w:rFonts w:ascii="宋体" w:hAnsi="宋体" w:eastAsia="宋体"/>
                <w:sz w:val="20"/>
              </w:rPr>
              <w:t>9%</w:t>
            </w:r>
          </w:p>
        </w:tc>
        <w:tc>
          <w:tcPr>
            <w:tcW w:type="dxa" w:w="2078"/>
          </w:tcPr>
          <w:p>
            <w:r/>
            <w:r>
              <w:rPr>
                <w:rFonts w:ascii="宋体" w:hAnsi="宋体" w:eastAsia="宋体"/>
                <w:sz w:val="20"/>
              </w:rPr>
              <w:t>4%</w:t>
            </w:r>
          </w:p>
        </w:tc>
        <w:tc>
          <w:tcPr>
            <w:tcW w:type="dxa" w:w="2078"/>
          </w:tcPr>
          <w:p>
            <w:r/>
            <w:r>
              <w:rPr>
                <w:rFonts w:ascii="宋体" w:hAnsi="宋体" w:eastAsia="宋体"/>
                <w:sz w:val="20"/>
              </w:rPr>
              <w:t>-</w:t>
            </w:r>
          </w:p>
        </w:tc>
      </w:tr>
    </w:tbl>
    <w:p/>
    <w:p/>
    <w:p>
      <w:pPr>
        <w:pStyle w:val="Heading3"/>
      </w:pPr>
      <w:r>
        <w:t>G.13.4 中国 VR/AR 产业政策</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时间</w:t>
            </w:r>
          </w:p>
        </w:tc>
        <w:tc>
          <w:tcPr>
            <w:tcW w:type="dxa" w:w="2078"/>
            <w:shd w:fill="D9E2F3" w:val="clear"/>
          </w:tcPr>
          <w:p>
            <w:pPr>
              <w:jc w:val="center"/>
            </w:pPr>
            <w:r/>
            <w:r>
              <w:rPr>
                <w:rFonts w:ascii="黑体" w:hAnsi="黑体" w:eastAsia="黑体"/>
                <w:b/>
                <w:sz w:val="20"/>
              </w:rPr>
              <w:t>政策文件</w:t>
            </w:r>
          </w:p>
        </w:tc>
        <w:tc>
          <w:tcPr>
            <w:tcW w:type="dxa" w:w="2078"/>
            <w:shd w:fill="D9E2F3" w:val="clear"/>
          </w:tcPr>
          <w:p>
            <w:pPr>
              <w:jc w:val="center"/>
            </w:pPr>
            <w:r/>
            <w:r>
              <w:rPr>
                <w:rFonts w:ascii="黑体" w:hAnsi="黑体" w:eastAsia="黑体"/>
                <w:b/>
                <w:sz w:val="20"/>
              </w:rPr>
              <w:t>发文部门</w:t>
            </w:r>
          </w:p>
        </w:tc>
        <w:tc>
          <w:tcPr>
            <w:tcW w:type="dxa" w:w="2078"/>
            <w:shd w:fill="D9E2F3" w:val="clear"/>
          </w:tcPr>
          <w:p>
            <w:pPr>
              <w:jc w:val="center"/>
            </w:pPr>
            <w:r/>
            <w:r>
              <w:rPr>
                <w:rFonts w:ascii="黑体" w:hAnsi="黑体" w:eastAsia="黑体"/>
                <w:b/>
                <w:sz w:val="20"/>
              </w:rPr>
              <w:t>核心内容</w:t>
            </w:r>
          </w:p>
        </w:tc>
      </w:tr>
      <w:tr>
        <w:tc>
          <w:tcPr>
            <w:tcW w:type="dxa" w:w="2078"/>
          </w:tcPr>
          <w:p>
            <w:r/>
            <w:r>
              <w:rPr>
                <w:rFonts w:ascii="宋体" w:hAnsi="宋体" w:eastAsia="宋体"/>
                <w:sz w:val="20"/>
              </w:rPr>
              <w:t>2016</w:t>
            </w:r>
          </w:p>
        </w:tc>
        <w:tc>
          <w:tcPr>
            <w:tcW w:type="dxa" w:w="2078"/>
          </w:tcPr>
          <w:p>
            <w:r/>
            <w:r>
              <w:rPr>
                <w:rFonts w:ascii="宋体" w:hAnsi="宋体" w:eastAsia="宋体"/>
                <w:sz w:val="20"/>
              </w:rPr>
              <w:t>虚拟现实产业发展白皮书</w:t>
            </w:r>
          </w:p>
        </w:tc>
        <w:tc>
          <w:tcPr>
            <w:tcW w:type="dxa" w:w="2078"/>
          </w:tcPr>
          <w:p>
            <w:r/>
            <w:r>
              <w:rPr>
                <w:rFonts w:ascii="宋体" w:hAnsi="宋体" w:eastAsia="宋体"/>
                <w:sz w:val="20"/>
              </w:rPr>
              <w:t>工信部</w:t>
            </w:r>
          </w:p>
        </w:tc>
        <w:tc>
          <w:tcPr>
            <w:tcW w:type="dxa" w:w="2078"/>
          </w:tcPr>
          <w:p>
            <w:r/>
            <w:r>
              <w:rPr>
                <w:rFonts w:ascii="宋体" w:hAnsi="宋体" w:eastAsia="宋体"/>
                <w:sz w:val="20"/>
              </w:rPr>
              <w:t>首次系统阐述VR产业战略</w:t>
            </w:r>
          </w:p>
        </w:tc>
      </w:tr>
      <w:tr>
        <w:tc>
          <w:tcPr>
            <w:tcW w:type="dxa" w:w="2078"/>
          </w:tcPr>
          <w:p>
            <w:r/>
            <w:r>
              <w:rPr>
                <w:rFonts w:ascii="宋体" w:hAnsi="宋体" w:eastAsia="宋体"/>
                <w:sz w:val="20"/>
              </w:rPr>
              <w:t>2018</w:t>
            </w:r>
          </w:p>
        </w:tc>
        <w:tc>
          <w:tcPr>
            <w:tcW w:type="dxa" w:w="2078"/>
          </w:tcPr>
          <w:p>
            <w:r/>
            <w:r>
              <w:rPr>
                <w:rFonts w:ascii="宋体" w:hAnsi="宋体" w:eastAsia="宋体"/>
                <w:sz w:val="20"/>
              </w:rPr>
              <w:t>关于促进虚拟现实产业化发展的指导意见</w:t>
            </w:r>
          </w:p>
        </w:tc>
        <w:tc>
          <w:tcPr>
            <w:tcW w:type="dxa" w:w="2078"/>
          </w:tcPr>
          <w:p>
            <w:r/>
            <w:r>
              <w:rPr>
                <w:rFonts w:ascii="宋体" w:hAnsi="宋体" w:eastAsia="宋体"/>
                <w:sz w:val="20"/>
              </w:rPr>
              <w:t>工信部</w:t>
            </w:r>
          </w:p>
        </w:tc>
        <w:tc>
          <w:tcPr>
            <w:tcW w:type="dxa" w:w="2078"/>
          </w:tcPr>
          <w:p>
            <w:r/>
            <w:r>
              <w:rPr>
                <w:rFonts w:ascii="宋体" w:hAnsi="宋体" w:eastAsia="宋体"/>
                <w:sz w:val="20"/>
              </w:rPr>
              <w:t>提出VR产业发展目标和路径</w:t>
            </w:r>
          </w:p>
        </w:tc>
      </w:tr>
      <w:tr>
        <w:tc>
          <w:tcPr>
            <w:tcW w:type="dxa" w:w="2078"/>
          </w:tcPr>
          <w:p>
            <w:r/>
            <w:r>
              <w:rPr>
                <w:rFonts w:ascii="宋体" w:hAnsi="宋体" w:eastAsia="宋体"/>
                <w:sz w:val="20"/>
              </w:rPr>
              <w:t>2021</w:t>
            </w:r>
          </w:p>
        </w:tc>
        <w:tc>
          <w:tcPr>
            <w:tcW w:type="dxa" w:w="2078"/>
          </w:tcPr>
          <w:p>
            <w:r/>
            <w:r>
              <w:rPr>
                <w:rFonts w:ascii="宋体" w:hAnsi="宋体" w:eastAsia="宋体"/>
                <w:sz w:val="20"/>
              </w:rPr>
              <w:t>中华人民共和国国民经济和社会发展第十四个五年规划</w:t>
            </w:r>
          </w:p>
        </w:tc>
        <w:tc>
          <w:tcPr>
            <w:tcW w:type="dxa" w:w="2078"/>
          </w:tcPr>
          <w:p>
            <w:r/>
            <w:r>
              <w:rPr>
                <w:rFonts w:ascii="宋体" w:hAnsi="宋体" w:eastAsia="宋体"/>
                <w:sz w:val="20"/>
              </w:rPr>
              <w:t>国务院</w:t>
            </w:r>
          </w:p>
        </w:tc>
        <w:tc>
          <w:tcPr>
            <w:tcW w:type="dxa" w:w="2078"/>
          </w:tcPr>
          <w:p>
            <w:r/>
            <w:r>
              <w:rPr>
                <w:rFonts w:ascii="宋体" w:hAnsi="宋体" w:eastAsia="宋体"/>
                <w:sz w:val="20"/>
              </w:rPr>
              <w:t>将VR/AR列入数字经济重点产业</w:t>
            </w:r>
          </w:p>
        </w:tc>
      </w:tr>
      <w:tr>
        <w:tc>
          <w:tcPr>
            <w:tcW w:type="dxa" w:w="2078"/>
          </w:tcPr>
          <w:p>
            <w:r/>
            <w:r>
              <w:rPr>
                <w:rFonts w:ascii="宋体" w:hAnsi="宋体" w:eastAsia="宋体"/>
                <w:sz w:val="20"/>
              </w:rPr>
              <w:t>2022</w:t>
            </w:r>
          </w:p>
        </w:tc>
        <w:tc>
          <w:tcPr>
            <w:tcW w:type="dxa" w:w="2078"/>
          </w:tcPr>
          <w:p>
            <w:r/>
            <w:r>
              <w:rPr>
                <w:rFonts w:ascii="宋体" w:hAnsi="宋体" w:eastAsia="宋体"/>
                <w:sz w:val="20"/>
              </w:rPr>
              <w:t>虚拟现实与行业应用融合发展行动计划</w:t>
            </w:r>
          </w:p>
        </w:tc>
        <w:tc>
          <w:tcPr>
            <w:tcW w:type="dxa" w:w="2078"/>
          </w:tcPr>
          <w:p>
            <w:r/>
            <w:r>
              <w:rPr>
                <w:rFonts w:ascii="宋体" w:hAnsi="宋体" w:eastAsia="宋体"/>
                <w:sz w:val="20"/>
              </w:rPr>
              <w:t>工信部等五部门</w:t>
            </w:r>
          </w:p>
        </w:tc>
        <w:tc>
          <w:tcPr>
            <w:tcW w:type="dxa" w:w="2078"/>
          </w:tcPr>
          <w:p>
            <w:r/>
            <w:r>
              <w:rPr>
                <w:rFonts w:ascii="宋体" w:hAnsi="宋体" w:eastAsia="宋体"/>
                <w:sz w:val="20"/>
              </w:rPr>
              <w:t>2026年VR产业规模超3500亿元</w:t>
            </w:r>
          </w:p>
        </w:tc>
      </w:tr>
      <w:tr>
        <w:tc>
          <w:tcPr>
            <w:tcW w:type="dxa" w:w="2078"/>
          </w:tcPr>
          <w:p>
            <w:r/>
            <w:r>
              <w:rPr>
                <w:rFonts w:ascii="宋体" w:hAnsi="宋体" w:eastAsia="宋体"/>
                <w:sz w:val="20"/>
              </w:rPr>
              <w:t>2023</w:t>
            </w:r>
          </w:p>
        </w:tc>
        <w:tc>
          <w:tcPr>
            <w:tcW w:type="dxa" w:w="2078"/>
          </w:tcPr>
          <w:p>
            <w:r/>
            <w:r>
              <w:rPr>
                <w:rFonts w:ascii="宋体" w:hAnsi="宋体" w:eastAsia="宋体"/>
                <w:sz w:val="20"/>
              </w:rPr>
              <w:t>数字中国建设整体布局规划</w:t>
            </w:r>
          </w:p>
        </w:tc>
        <w:tc>
          <w:tcPr>
            <w:tcW w:type="dxa" w:w="2078"/>
          </w:tcPr>
          <w:p>
            <w:r/>
            <w:r>
              <w:rPr>
                <w:rFonts w:ascii="宋体" w:hAnsi="宋体" w:eastAsia="宋体"/>
                <w:sz w:val="20"/>
              </w:rPr>
              <w:t>中共中央国务院</w:t>
            </w:r>
          </w:p>
        </w:tc>
        <w:tc>
          <w:tcPr>
            <w:tcW w:type="dxa" w:w="2078"/>
          </w:tcPr>
          <w:p>
            <w:r/>
            <w:r>
              <w:rPr>
                <w:rFonts w:ascii="宋体" w:hAnsi="宋体" w:eastAsia="宋体"/>
                <w:sz w:val="20"/>
              </w:rPr>
              <w:t>推进数字技术与文旅深度融合</w:t>
            </w:r>
          </w:p>
        </w:tc>
      </w:tr>
      <w:tr>
        <w:tc>
          <w:tcPr>
            <w:tcW w:type="dxa" w:w="2078"/>
          </w:tcPr>
          <w:p>
            <w:r/>
            <w:r>
              <w:rPr>
                <w:rFonts w:ascii="宋体" w:hAnsi="宋体" w:eastAsia="宋体"/>
                <w:sz w:val="20"/>
              </w:rPr>
              <w:t>2024</w:t>
            </w:r>
          </w:p>
        </w:tc>
        <w:tc>
          <w:tcPr>
            <w:tcW w:type="dxa" w:w="2078"/>
          </w:tcPr>
          <w:p>
            <w:r/>
            <w:r>
              <w:rPr>
                <w:rFonts w:ascii="宋体" w:hAnsi="宋体" w:eastAsia="宋体"/>
                <w:sz w:val="20"/>
              </w:rPr>
              <w:t>关于推动数字文旅高质量发展的指导意见</w:t>
            </w:r>
          </w:p>
        </w:tc>
        <w:tc>
          <w:tcPr>
            <w:tcW w:type="dxa" w:w="2078"/>
          </w:tcPr>
          <w:p>
            <w:r/>
            <w:r>
              <w:rPr>
                <w:rFonts w:ascii="宋体" w:hAnsi="宋体" w:eastAsia="宋体"/>
                <w:sz w:val="20"/>
              </w:rPr>
              <w:t>文旅部</w:t>
            </w:r>
          </w:p>
        </w:tc>
        <w:tc>
          <w:tcPr>
            <w:tcW w:type="dxa" w:w="2078"/>
          </w:tcPr>
          <w:p>
            <w:r/>
            <w:r>
              <w:rPr>
                <w:rFonts w:ascii="宋体" w:hAnsi="宋体" w:eastAsia="宋体"/>
                <w:sz w:val="20"/>
              </w:rPr>
              <w:t>支持VR/AR在文旅领域创新应用</w:t>
            </w:r>
          </w:p>
        </w:tc>
      </w:tr>
    </w:tbl>
    <w:p/>
    <w:p/>
    <w:p>
      <w:pPr>
        <w:pStyle w:val="Heading2"/>
      </w:pPr>
      <w:r>
        <w:t>G.14 推荐阅读书目</w:t>
      </w:r>
    </w:p>
    <w:p/>
    <w:p>
      <w:pPr>
        <w:pStyle w:val="Heading3"/>
      </w:pPr>
      <w:r>
        <w:t>G.14.1 技术类</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书名</w:t>
            </w:r>
          </w:p>
        </w:tc>
        <w:tc>
          <w:tcPr>
            <w:tcW w:type="dxa" w:w="2078"/>
            <w:shd w:fill="D9E2F3" w:val="clear"/>
          </w:tcPr>
          <w:p>
            <w:pPr>
              <w:jc w:val="center"/>
            </w:pPr>
            <w:r/>
            <w:r>
              <w:rPr>
                <w:rFonts w:ascii="黑体" w:hAnsi="黑体" w:eastAsia="黑体"/>
                <w:b/>
                <w:sz w:val="20"/>
              </w:rPr>
              <w:t>作者</w:t>
            </w:r>
          </w:p>
        </w:tc>
        <w:tc>
          <w:tcPr>
            <w:tcW w:type="dxa" w:w="2078"/>
            <w:shd w:fill="D9E2F3" w:val="clear"/>
          </w:tcPr>
          <w:p>
            <w:pPr>
              <w:jc w:val="center"/>
            </w:pPr>
            <w:r/>
            <w:r>
              <w:rPr>
                <w:rFonts w:ascii="黑体" w:hAnsi="黑体" w:eastAsia="黑体"/>
                <w:b/>
                <w:sz w:val="20"/>
              </w:rPr>
              <w:t>出版年</w:t>
            </w:r>
          </w:p>
        </w:tc>
        <w:tc>
          <w:tcPr>
            <w:tcW w:type="dxa" w:w="2078"/>
            <w:shd w:fill="D9E2F3" w:val="clear"/>
          </w:tcPr>
          <w:p>
            <w:pPr>
              <w:jc w:val="center"/>
            </w:pPr>
            <w:r/>
            <w:r>
              <w:rPr>
                <w:rFonts w:ascii="黑体" w:hAnsi="黑体" w:eastAsia="黑体"/>
                <w:b/>
                <w:sz w:val="20"/>
              </w:rPr>
              <w:t>主题</w:t>
            </w:r>
          </w:p>
        </w:tc>
      </w:tr>
      <w:tr>
        <w:tc>
          <w:tcPr>
            <w:tcW w:type="dxa" w:w="2078"/>
          </w:tcPr>
          <w:p>
            <w:r/>
            <w:r>
              <w:rPr>
                <w:rFonts w:ascii="宋体" w:hAnsi="宋体" w:eastAsia="宋体"/>
                <w:sz w:val="20"/>
              </w:rPr>
              <w:t>Unity in Action</w:t>
            </w:r>
          </w:p>
        </w:tc>
        <w:tc>
          <w:tcPr>
            <w:tcW w:type="dxa" w:w="2078"/>
          </w:tcPr>
          <w:p>
            <w:r/>
            <w:r>
              <w:rPr>
                <w:rFonts w:ascii="宋体" w:hAnsi="宋体" w:eastAsia="宋体"/>
                <w:sz w:val="20"/>
              </w:rPr>
              <w:t>Joseph Hocking</w:t>
            </w:r>
          </w:p>
        </w:tc>
        <w:tc>
          <w:tcPr>
            <w:tcW w:type="dxa" w:w="2078"/>
          </w:tcPr>
          <w:p>
            <w:r/>
            <w:r>
              <w:rPr>
                <w:rFonts w:ascii="宋体" w:hAnsi="宋体" w:eastAsia="宋体"/>
                <w:sz w:val="20"/>
              </w:rPr>
              <w:t>2022</w:t>
            </w:r>
          </w:p>
        </w:tc>
        <w:tc>
          <w:tcPr>
            <w:tcW w:type="dxa" w:w="2078"/>
          </w:tcPr>
          <w:p>
            <w:r/>
            <w:r>
              <w:rPr>
                <w:rFonts w:ascii="宋体" w:hAnsi="宋体" w:eastAsia="宋体"/>
                <w:sz w:val="20"/>
              </w:rPr>
              <w:t>Unity开发实战</w:t>
            </w:r>
          </w:p>
        </w:tc>
      </w:tr>
      <w:tr>
        <w:tc>
          <w:tcPr>
            <w:tcW w:type="dxa" w:w="2078"/>
          </w:tcPr>
          <w:p>
            <w:r/>
            <w:r>
              <w:rPr>
                <w:rFonts w:ascii="宋体" w:hAnsi="宋体" w:eastAsia="宋体"/>
                <w:sz w:val="20"/>
              </w:rPr>
              <w:t>Learning Virtual Reality</w:t>
            </w:r>
          </w:p>
        </w:tc>
        <w:tc>
          <w:tcPr>
            <w:tcW w:type="dxa" w:w="2078"/>
          </w:tcPr>
          <w:p>
            <w:r/>
            <w:r>
              <w:rPr>
                <w:rFonts w:ascii="宋体" w:hAnsi="宋体" w:eastAsia="宋体"/>
                <w:sz w:val="20"/>
              </w:rPr>
              <w:t>Tony Parisi</w:t>
            </w:r>
          </w:p>
        </w:tc>
        <w:tc>
          <w:tcPr>
            <w:tcW w:type="dxa" w:w="2078"/>
          </w:tcPr>
          <w:p>
            <w:r/>
            <w:r>
              <w:rPr>
                <w:rFonts w:ascii="宋体" w:hAnsi="宋体" w:eastAsia="宋体"/>
                <w:sz w:val="20"/>
              </w:rPr>
              <w:t>2021</w:t>
            </w:r>
          </w:p>
        </w:tc>
        <w:tc>
          <w:tcPr>
            <w:tcW w:type="dxa" w:w="2078"/>
          </w:tcPr>
          <w:p>
            <w:r/>
            <w:r>
              <w:rPr>
                <w:rFonts w:ascii="宋体" w:hAnsi="宋体" w:eastAsia="宋体"/>
                <w:sz w:val="20"/>
              </w:rPr>
              <w:t>VR开发入门</w:t>
            </w:r>
          </w:p>
        </w:tc>
      </w:tr>
      <w:tr>
        <w:tc>
          <w:tcPr>
            <w:tcW w:type="dxa" w:w="2078"/>
          </w:tcPr>
          <w:p>
            <w:r/>
            <w:r>
              <w:rPr>
                <w:rFonts w:ascii="宋体" w:hAnsi="宋体" w:eastAsia="宋体"/>
                <w:sz w:val="20"/>
              </w:rPr>
              <w:t>3D User Interfaces</w:t>
            </w:r>
          </w:p>
        </w:tc>
        <w:tc>
          <w:tcPr>
            <w:tcW w:type="dxa" w:w="2078"/>
          </w:tcPr>
          <w:p>
            <w:r/>
            <w:r>
              <w:rPr>
                <w:rFonts w:ascii="宋体" w:hAnsi="宋体" w:eastAsia="宋体"/>
                <w:sz w:val="20"/>
              </w:rPr>
              <w:t>LaViola et al.</w:t>
            </w:r>
          </w:p>
        </w:tc>
        <w:tc>
          <w:tcPr>
            <w:tcW w:type="dxa" w:w="2078"/>
          </w:tcPr>
          <w:p>
            <w:r/>
            <w:r>
              <w:rPr>
                <w:rFonts w:ascii="宋体" w:hAnsi="宋体" w:eastAsia="宋体"/>
                <w:sz w:val="20"/>
              </w:rPr>
              <w:t>2017</w:t>
            </w:r>
          </w:p>
        </w:tc>
        <w:tc>
          <w:tcPr>
            <w:tcW w:type="dxa" w:w="2078"/>
          </w:tcPr>
          <w:p>
            <w:r/>
            <w:r>
              <w:rPr>
                <w:rFonts w:ascii="宋体" w:hAnsi="宋体" w:eastAsia="宋体"/>
                <w:sz w:val="20"/>
              </w:rPr>
              <w:t>3D交互设计理论</w:t>
            </w:r>
          </w:p>
        </w:tc>
      </w:tr>
      <w:tr>
        <w:tc>
          <w:tcPr>
            <w:tcW w:type="dxa" w:w="2078"/>
          </w:tcPr>
          <w:p>
            <w:r/>
            <w:r>
              <w:rPr>
                <w:rFonts w:ascii="宋体" w:hAnsi="宋体" w:eastAsia="宋体"/>
                <w:sz w:val="20"/>
              </w:rPr>
              <w:t>Real-Time Rendering</w:t>
            </w:r>
          </w:p>
        </w:tc>
        <w:tc>
          <w:tcPr>
            <w:tcW w:type="dxa" w:w="2078"/>
          </w:tcPr>
          <w:p>
            <w:r/>
            <w:r>
              <w:rPr>
                <w:rFonts w:ascii="宋体" w:hAnsi="宋体" w:eastAsia="宋体"/>
                <w:sz w:val="20"/>
              </w:rPr>
              <w:t>Akenine-Möller et al.</w:t>
            </w:r>
          </w:p>
        </w:tc>
        <w:tc>
          <w:tcPr>
            <w:tcW w:type="dxa" w:w="2078"/>
          </w:tcPr>
          <w:p>
            <w:r/>
            <w:r>
              <w:rPr>
                <w:rFonts w:ascii="宋体" w:hAnsi="宋体" w:eastAsia="宋体"/>
                <w:sz w:val="20"/>
              </w:rPr>
              <w:t>2018</w:t>
            </w:r>
          </w:p>
        </w:tc>
        <w:tc>
          <w:tcPr>
            <w:tcW w:type="dxa" w:w="2078"/>
          </w:tcPr>
          <w:p>
            <w:r/>
            <w:r>
              <w:rPr>
                <w:rFonts w:ascii="宋体" w:hAnsi="宋体" w:eastAsia="宋体"/>
                <w:sz w:val="20"/>
              </w:rPr>
              <w:t>实时渲染技术</w:t>
            </w:r>
          </w:p>
        </w:tc>
      </w:tr>
      <w:tr>
        <w:tc>
          <w:tcPr>
            <w:tcW w:type="dxa" w:w="2078"/>
          </w:tcPr>
          <w:p>
            <w:r/>
            <w:r>
              <w:rPr>
                <w:rFonts w:ascii="宋体" w:hAnsi="宋体" w:eastAsia="宋体"/>
                <w:sz w:val="20"/>
              </w:rPr>
              <w:t>Computer Vision: Algorithms and Applications</w:t>
            </w:r>
          </w:p>
        </w:tc>
        <w:tc>
          <w:tcPr>
            <w:tcW w:type="dxa" w:w="2078"/>
          </w:tcPr>
          <w:p>
            <w:r/>
            <w:r>
              <w:rPr>
                <w:rFonts w:ascii="宋体" w:hAnsi="宋体" w:eastAsia="宋体"/>
                <w:sz w:val="20"/>
              </w:rPr>
              <w:t>Szeliski</w:t>
            </w:r>
          </w:p>
        </w:tc>
        <w:tc>
          <w:tcPr>
            <w:tcW w:type="dxa" w:w="2078"/>
          </w:tcPr>
          <w:p>
            <w:r/>
            <w:r>
              <w:rPr>
                <w:rFonts w:ascii="宋体" w:hAnsi="宋体" w:eastAsia="宋体"/>
                <w:sz w:val="20"/>
              </w:rPr>
              <w:t>2022</w:t>
            </w:r>
          </w:p>
        </w:tc>
        <w:tc>
          <w:tcPr>
            <w:tcW w:type="dxa" w:w="2078"/>
          </w:tcPr>
          <w:p>
            <w:r/>
            <w:r>
              <w:rPr>
                <w:rFonts w:ascii="宋体" w:hAnsi="宋体" w:eastAsia="宋体"/>
                <w:sz w:val="20"/>
              </w:rPr>
              <w:t>计算机视觉</w:t>
            </w:r>
          </w:p>
        </w:tc>
      </w:tr>
    </w:tbl>
    <w:p/>
    <w:p/>
    <w:p>
      <w:pPr>
        <w:pStyle w:val="Heading3"/>
      </w:pPr>
      <w:r>
        <w:t>G.14.2 理论类</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书名</w:t>
            </w:r>
          </w:p>
        </w:tc>
        <w:tc>
          <w:tcPr>
            <w:tcW w:type="dxa" w:w="2078"/>
            <w:shd w:fill="D9E2F3" w:val="clear"/>
          </w:tcPr>
          <w:p>
            <w:pPr>
              <w:jc w:val="center"/>
            </w:pPr>
            <w:r/>
            <w:r>
              <w:rPr>
                <w:rFonts w:ascii="黑体" w:hAnsi="黑体" w:eastAsia="黑体"/>
                <w:b/>
                <w:sz w:val="20"/>
              </w:rPr>
              <w:t>作者</w:t>
            </w:r>
          </w:p>
        </w:tc>
        <w:tc>
          <w:tcPr>
            <w:tcW w:type="dxa" w:w="2078"/>
            <w:shd w:fill="D9E2F3" w:val="clear"/>
          </w:tcPr>
          <w:p>
            <w:pPr>
              <w:jc w:val="center"/>
            </w:pPr>
            <w:r/>
            <w:r>
              <w:rPr>
                <w:rFonts w:ascii="黑体" w:hAnsi="黑体" w:eastAsia="黑体"/>
                <w:b/>
                <w:sz w:val="20"/>
              </w:rPr>
              <w:t>出版年</w:t>
            </w:r>
          </w:p>
        </w:tc>
        <w:tc>
          <w:tcPr>
            <w:tcW w:type="dxa" w:w="2078"/>
            <w:shd w:fill="D9E2F3" w:val="clear"/>
          </w:tcPr>
          <w:p>
            <w:pPr>
              <w:jc w:val="center"/>
            </w:pPr>
            <w:r/>
            <w:r>
              <w:rPr>
                <w:rFonts w:ascii="黑体" w:hAnsi="黑体" w:eastAsia="黑体"/>
                <w:b/>
                <w:sz w:val="20"/>
              </w:rPr>
              <w:t>主题</w:t>
            </w:r>
          </w:p>
        </w:tc>
      </w:tr>
      <w:tr>
        <w:tc>
          <w:tcPr>
            <w:tcW w:type="dxa" w:w="2078"/>
          </w:tcPr>
          <w:p>
            <w:r/>
            <w:r>
              <w:rPr>
                <w:rFonts w:ascii="宋体" w:hAnsi="宋体" w:eastAsia="宋体"/>
                <w:sz w:val="20"/>
              </w:rPr>
              <w:t>The VR Book</w:t>
            </w:r>
          </w:p>
        </w:tc>
        <w:tc>
          <w:tcPr>
            <w:tcW w:type="dxa" w:w="2078"/>
          </w:tcPr>
          <w:p>
            <w:r/>
            <w:r>
              <w:rPr>
                <w:rFonts w:ascii="宋体" w:hAnsi="宋体" w:eastAsia="宋体"/>
                <w:sz w:val="20"/>
              </w:rPr>
              <w:t>Jason Jerald</w:t>
            </w:r>
          </w:p>
        </w:tc>
        <w:tc>
          <w:tcPr>
            <w:tcW w:type="dxa" w:w="2078"/>
          </w:tcPr>
          <w:p>
            <w:r/>
            <w:r>
              <w:rPr>
                <w:rFonts w:ascii="宋体" w:hAnsi="宋体" w:eastAsia="宋体"/>
                <w:sz w:val="20"/>
              </w:rPr>
              <w:t>2015</w:t>
            </w:r>
          </w:p>
        </w:tc>
        <w:tc>
          <w:tcPr>
            <w:tcW w:type="dxa" w:w="2078"/>
          </w:tcPr>
          <w:p>
            <w:r/>
            <w:r>
              <w:rPr>
                <w:rFonts w:ascii="宋体" w:hAnsi="宋体" w:eastAsia="宋体"/>
                <w:sz w:val="20"/>
              </w:rPr>
              <w:t>VR用户体验设计</w:t>
            </w:r>
          </w:p>
        </w:tc>
      </w:tr>
      <w:tr>
        <w:tc>
          <w:tcPr>
            <w:tcW w:type="dxa" w:w="2078"/>
          </w:tcPr>
          <w:p>
            <w:r/>
            <w:r>
              <w:rPr>
                <w:rFonts w:ascii="宋体" w:hAnsi="宋体" w:eastAsia="宋体"/>
                <w:sz w:val="20"/>
              </w:rPr>
              <w:t>Infinite Reality</w:t>
            </w:r>
          </w:p>
        </w:tc>
        <w:tc>
          <w:tcPr>
            <w:tcW w:type="dxa" w:w="2078"/>
          </w:tcPr>
          <w:p>
            <w:r/>
            <w:r>
              <w:rPr>
                <w:rFonts w:ascii="宋体" w:hAnsi="宋体" w:eastAsia="宋体"/>
                <w:sz w:val="20"/>
              </w:rPr>
              <w:t>Bailenson &amp; Blascovich</w:t>
            </w:r>
          </w:p>
        </w:tc>
        <w:tc>
          <w:tcPr>
            <w:tcW w:type="dxa" w:w="2078"/>
          </w:tcPr>
          <w:p>
            <w:r/>
            <w:r>
              <w:rPr>
                <w:rFonts w:ascii="宋体" w:hAnsi="宋体" w:eastAsia="宋体"/>
                <w:sz w:val="20"/>
              </w:rPr>
              <w:t>2011</w:t>
            </w:r>
          </w:p>
        </w:tc>
        <w:tc>
          <w:tcPr>
            <w:tcW w:type="dxa" w:w="2078"/>
          </w:tcPr>
          <w:p>
            <w:r/>
            <w:r>
              <w:rPr>
                <w:rFonts w:ascii="宋体" w:hAnsi="宋体" w:eastAsia="宋体"/>
                <w:sz w:val="20"/>
              </w:rPr>
              <w:t>VR心理学</w:t>
            </w:r>
          </w:p>
        </w:tc>
      </w:tr>
      <w:tr>
        <w:tc>
          <w:tcPr>
            <w:tcW w:type="dxa" w:w="2078"/>
          </w:tcPr>
          <w:p>
            <w:r/>
            <w:r>
              <w:rPr>
                <w:rFonts w:ascii="宋体" w:hAnsi="宋体" w:eastAsia="宋体"/>
                <w:sz w:val="20"/>
              </w:rPr>
              <w:t>Experience on Demand</w:t>
            </w:r>
          </w:p>
        </w:tc>
        <w:tc>
          <w:tcPr>
            <w:tcW w:type="dxa" w:w="2078"/>
          </w:tcPr>
          <w:p>
            <w:r/>
            <w:r>
              <w:rPr>
                <w:rFonts w:ascii="宋体" w:hAnsi="宋体" w:eastAsia="宋体"/>
                <w:sz w:val="20"/>
              </w:rPr>
              <w:t>Jeremy Bailenson</w:t>
            </w:r>
          </w:p>
        </w:tc>
        <w:tc>
          <w:tcPr>
            <w:tcW w:type="dxa" w:w="2078"/>
          </w:tcPr>
          <w:p>
            <w:r/>
            <w:r>
              <w:rPr>
                <w:rFonts w:ascii="宋体" w:hAnsi="宋体" w:eastAsia="宋体"/>
                <w:sz w:val="20"/>
              </w:rPr>
              <w:t>2018</w:t>
            </w:r>
          </w:p>
        </w:tc>
        <w:tc>
          <w:tcPr>
            <w:tcW w:type="dxa" w:w="2078"/>
          </w:tcPr>
          <w:p>
            <w:r/>
            <w:r>
              <w:rPr>
                <w:rFonts w:ascii="宋体" w:hAnsi="宋体" w:eastAsia="宋体"/>
                <w:sz w:val="20"/>
              </w:rPr>
              <w:t>VR应用与社会影响</w:t>
            </w:r>
          </w:p>
        </w:tc>
      </w:tr>
      <w:tr>
        <w:tc>
          <w:tcPr>
            <w:tcW w:type="dxa" w:w="2078"/>
          </w:tcPr>
          <w:p>
            <w:r/>
            <w:r>
              <w:rPr>
                <w:rFonts w:ascii="宋体" w:hAnsi="宋体" w:eastAsia="宋体"/>
                <w:sz w:val="20"/>
              </w:rPr>
              <w:t>Presence</w:t>
            </w:r>
          </w:p>
        </w:tc>
        <w:tc>
          <w:tcPr>
            <w:tcW w:type="dxa" w:w="2078"/>
          </w:tcPr>
          <w:p>
            <w:r/>
            <w:r>
              <w:rPr>
                <w:rFonts w:ascii="宋体" w:hAnsi="宋体" w:eastAsia="宋体"/>
                <w:sz w:val="20"/>
              </w:rPr>
              <w:t>Mel Slater</w:t>
            </w:r>
          </w:p>
        </w:tc>
        <w:tc>
          <w:tcPr>
            <w:tcW w:type="dxa" w:w="2078"/>
          </w:tcPr>
          <w:p>
            <w:r/>
            <w:r>
              <w:rPr>
                <w:rFonts w:ascii="宋体" w:hAnsi="宋体" w:eastAsia="宋体"/>
                <w:sz w:val="20"/>
              </w:rPr>
              <w:t>2018</w:t>
            </w:r>
          </w:p>
        </w:tc>
        <w:tc>
          <w:tcPr>
            <w:tcW w:type="dxa" w:w="2078"/>
          </w:tcPr>
          <w:p>
            <w:r/>
            <w:r>
              <w:rPr>
                <w:rFonts w:ascii="宋体" w:hAnsi="宋体" w:eastAsia="宋体"/>
                <w:sz w:val="20"/>
              </w:rPr>
              <w:t>临场感理论</w:t>
            </w:r>
          </w:p>
        </w:tc>
      </w:tr>
      <w:tr>
        <w:tc>
          <w:tcPr>
            <w:tcW w:type="dxa" w:w="2078"/>
          </w:tcPr>
          <w:p>
            <w:r/>
            <w:r>
              <w:rPr>
                <w:rFonts w:ascii="宋体" w:hAnsi="宋体" w:eastAsia="宋体"/>
                <w:sz w:val="20"/>
              </w:rPr>
              <w:t>Reality+: David Chalmers</w:t>
            </w:r>
          </w:p>
        </w:tc>
        <w:tc>
          <w:tcPr>
            <w:tcW w:type="dxa" w:w="2078"/>
          </w:tcPr>
          <w:p>
            <w:r/>
            <w:r>
              <w:rPr>
                <w:rFonts w:ascii="宋体" w:hAnsi="宋体" w:eastAsia="宋体"/>
                <w:sz w:val="20"/>
              </w:rPr>
              <w:t>2022</w:t>
            </w:r>
          </w:p>
        </w:tc>
        <w:tc>
          <w:tcPr>
            <w:tcW w:type="dxa" w:w="2078"/>
          </w:tcPr>
          <w:p>
            <w:r/>
            <w:r>
              <w:rPr>
                <w:rFonts w:ascii="宋体" w:hAnsi="宋体" w:eastAsia="宋体"/>
                <w:sz w:val="20"/>
              </w:rPr>
              <w:t>虚拟现实的哲学探讨</w:t>
            </w:r>
          </w:p>
        </w:tc>
        <w:tc>
          <w:tcPr>
            <w:tcW w:type="dxa" w:w="2078"/>
          </w:tcPr>
          <w:p/>
        </w:tc>
      </w:tr>
    </w:tbl>
    <w:p/>
    <w:p/>
    <w:p>
      <w:pPr>
        <w:pStyle w:val="Heading3"/>
      </w:pPr>
      <w:r>
        <w:t>G.14.3 应用类</w:t>
      </w:r>
    </w:p>
    <w:p/>
    <w:tbl>
      <w:tblPr>
        <w:tblStyle w:val="TableGrid"/>
        <w:tblW w:type="auto" w:w="0"/>
        <w:jc w:val="center"/>
        <w:tblLook w:firstColumn="1" w:firstRow="1" w:lastColumn="0" w:lastRow="0" w:noHBand="0" w:noVBand="1" w:val="04A0"/>
      </w:tblPr>
      <w:tblGrid>
        <w:gridCol w:w="2078"/>
        <w:gridCol w:w="2078"/>
        <w:gridCol w:w="2078"/>
        <w:gridCol w:w="2078"/>
      </w:tblGrid>
      <w:tr>
        <w:tc>
          <w:tcPr>
            <w:tcW w:type="dxa" w:w="2078"/>
            <w:shd w:fill="D9E2F3" w:val="clear"/>
          </w:tcPr>
          <w:p>
            <w:pPr>
              <w:jc w:val="center"/>
            </w:pPr>
            <w:r/>
            <w:r>
              <w:rPr>
                <w:rFonts w:ascii="黑体" w:hAnsi="黑体" w:eastAsia="黑体"/>
                <w:b/>
                <w:sz w:val="20"/>
              </w:rPr>
              <w:t>书名</w:t>
            </w:r>
          </w:p>
        </w:tc>
        <w:tc>
          <w:tcPr>
            <w:tcW w:type="dxa" w:w="2078"/>
            <w:shd w:fill="D9E2F3" w:val="clear"/>
          </w:tcPr>
          <w:p>
            <w:pPr>
              <w:jc w:val="center"/>
            </w:pPr>
            <w:r/>
            <w:r>
              <w:rPr>
                <w:rFonts w:ascii="黑体" w:hAnsi="黑体" w:eastAsia="黑体"/>
                <w:b/>
                <w:sz w:val="20"/>
              </w:rPr>
              <w:t>作者</w:t>
            </w:r>
          </w:p>
        </w:tc>
        <w:tc>
          <w:tcPr>
            <w:tcW w:type="dxa" w:w="2078"/>
            <w:shd w:fill="D9E2F3" w:val="clear"/>
          </w:tcPr>
          <w:p>
            <w:pPr>
              <w:jc w:val="center"/>
            </w:pPr>
            <w:r/>
            <w:r>
              <w:rPr>
                <w:rFonts w:ascii="黑体" w:hAnsi="黑体" w:eastAsia="黑体"/>
                <w:b/>
                <w:sz w:val="20"/>
              </w:rPr>
              <w:t>出版年</w:t>
            </w:r>
          </w:p>
        </w:tc>
        <w:tc>
          <w:tcPr>
            <w:tcW w:type="dxa" w:w="2078"/>
            <w:shd w:fill="D9E2F3" w:val="clear"/>
          </w:tcPr>
          <w:p>
            <w:pPr>
              <w:jc w:val="center"/>
            </w:pPr>
            <w:r/>
            <w:r>
              <w:rPr>
                <w:rFonts w:ascii="黑体" w:hAnsi="黑体" w:eastAsia="黑体"/>
                <w:b/>
                <w:sz w:val="20"/>
              </w:rPr>
              <w:t>主题</w:t>
            </w:r>
          </w:p>
        </w:tc>
      </w:tr>
      <w:tr>
        <w:tc>
          <w:tcPr>
            <w:tcW w:type="dxa" w:w="2078"/>
          </w:tcPr>
          <w:p>
            <w:r/>
            <w:r>
              <w:rPr>
                <w:rFonts w:ascii="宋体" w:hAnsi="宋体" w:eastAsia="宋体"/>
                <w:sz w:val="20"/>
              </w:rPr>
              <w:t>Digital Heritage</w:t>
            </w:r>
          </w:p>
        </w:tc>
        <w:tc>
          <w:tcPr>
            <w:tcW w:type="dxa" w:w="2078"/>
          </w:tcPr>
          <w:p>
            <w:r/>
            <w:r>
              <w:rPr>
                <w:rFonts w:ascii="宋体" w:hAnsi="宋体" w:eastAsia="宋体"/>
                <w:sz w:val="20"/>
              </w:rPr>
              <w:t>Yehuda Kalay</w:t>
            </w:r>
          </w:p>
        </w:tc>
        <w:tc>
          <w:tcPr>
            <w:tcW w:type="dxa" w:w="2078"/>
          </w:tcPr>
          <w:p>
            <w:r/>
            <w:r>
              <w:rPr>
                <w:rFonts w:ascii="宋体" w:hAnsi="宋体" w:eastAsia="宋体"/>
                <w:sz w:val="20"/>
              </w:rPr>
              <w:t>2007</w:t>
            </w:r>
          </w:p>
        </w:tc>
        <w:tc>
          <w:tcPr>
            <w:tcW w:type="dxa" w:w="2078"/>
          </w:tcPr>
          <w:p>
            <w:r/>
            <w:r>
              <w:rPr>
                <w:rFonts w:ascii="宋体" w:hAnsi="宋体" w:eastAsia="宋体"/>
                <w:sz w:val="20"/>
              </w:rPr>
              <w:t>文化遗产数字化</w:t>
            </w:r>
          </w:p>
        </w:tc>
      </w:tr>
      <w:tr>
        <w:tc>
          <w:tcPr>
            <w:tcW w:type="dxa" w:w="2078"/>
          </w:tcPr>
          <w:p>
            <w:r/>
            <w:r>
              <w:rPr>
                <w:rFonts w:ascii="宋体" w:hAnsi="宋体" w:eastAsia="宋体"/>
                <w:sz w:val="20"/>
              </w:rPr>
              <w:t>VR/AR for Education</w:t>
            </w:r>
          </w:p>
        </w:tc>
        <w:tc>
          <w:tcPr>
            <w:tcW w:type="dxa" w:w="2078"/>
          </w:tcPr>
          <w:p>
            <w:r/>
            <w:r>
              <w:rPr>
                <w:rFonts w:ascii="宋体" w:hAnsi="宋体" w:eastAsia="宋体"/>
                <w:sz w:val="20"/>
              </w:rPr>
              <w:t>多位作者</w:t>
            </w:r>
          </w:p>
        </w:tc>
        <w:tc>
          <w:tcPr>
            <w:tcW w:type="dxa" w:w="2078"/>
          </w:tcPr>
          <w:p>
            <w:r/>
            <w:r>
              <w:rPr>
                <w:rFonts w:ascii="宋体" w:hAnsi="宋体" w:eastAsia="宋体"/>
                <w:sz w:val="20"/>
              </w:rPr>
              <w:t>2023</w:t>
            </w:r>
          </w:p>
        </w:tc>
        <w:tc>
          <w:tcPr>
            <w:tcW w:type="dxa" w:w="2078"/>
          </w:tcPr>
          <w:p>
            <w:r/>
            <w:r>
              <w:rPr>
                <w:rFonts w:ascii="宋体" w:hAnsi="宋体" w:eastAsia="宋体"/>
                <w:sz w:val="20"/>
              </w:rPr>
              <w:t>VR/AR教育应用</w:t>
            </w:r>
          </w:p>
        </w:tc>
      </w:tr>
      <w:tr>
        <w:tc>
          <w:tcPr>
            <w:tcW w:type="dxa" w:w="2078"/>
          </w:tcPr>
          <w:p>
            <w:r/>
            <w:r>
              <w:rPr>
                <w:rFonts w:ascii="宋体" w:hAnsi="宋体" w:eastAsia="宋体"/>
                <w:sz w:val="20"/>
              </w:rPr>
              <w:t>沉浸式技术与应用</w:t>
            </w:r>
          </w:p>
        </w:tc>
        <w:tc>
          <w:tcPr>
            <w:tcW w:type="dxa" w:w="2078"/>
          </w:tcPr>
          <w:p>
            <w:r/>
            <w:r>
              <w:rPr>
                <w:rFonts w:ascii="宋体" w:hAnsi="宋体" w:eastAsia="宋体"/>
                <w:sz w:val="20"/>
              </w:rPr>
              <w:t>国内多位作者</w:t>
            </w:r>
          </w:p>
        </w:tc>
        <w:tc>
          <w:tcPr>
            <w:tcW w:type="dxa" w:w="2078"/>
          </w:tcPr>
          <w:p>
            <w:r/>
            <w:r>
              <w:rPr>
                <w:rFonts w:ascii="宋体" w:hAnsi="宋体" w:eastAsia="宋体"/>
                <w:sz w:val="20"/>
              </w:rPr>
              <w:t>2023</w:t>
            </w:r>
          </w:p>
        </w:tc>
        <w:tc>
          <w:tcPr>
            <w:tcW w:type="dxa" w:w="2078"/>
          </w:tcPr>
          <w:p>
            <w:r/>
            <w:r>
              <w:rPr>
                <w:rFonts w:ascii="宋体" w:hAnsi="宋体" w:eastAsia="宋体"/>
                <w:sz w:val="20"/>
              </w:rPr>
              <w:t>VR/AR技术综述</w:t>
            </w:r>
          </w:p>
        </w:tc>
      </w:tr>
    </w:tbl>
    <w:p/>
    <w:p/>
    <w:p/>
    <w:p>
      <w:pPr>
        <w:ind w:firstLine="482"/>
      </w:pPr>
      <w:r>
        <w:rPr>
          <w:rFonts w:ascii="宋体" w:hAnsi="宋体" w:eastAsia="宋体"/>
          <w:sz w:val="24"/>
        </w:rPr>
        <w:t>本大事记力求全面覆盖 VR/AR 技术从概念诞生到产业应用的关键节点，但技术发展日新月异，部分最新进展可能未能及时收录。读者可通过关注 IEEE VR、ISMAR 等学术会议和 Meta Connect、Apple WWDC、Google I/O 等技术大会获取最新动态。同时建议关注中国虚拟现实与可视化产业技术创新战略联盟（CVRF）和中国增强现实产业联盟（ARA）等行业组织发布的产业报告和技术白皮书，了解国内 VR/AR 产业发展的最新政策和趋势。在本书的使用过程中，如果读者发现重要遗漏或需要更正的内容，欢迎反馈以便后续修订完善。</w:t>
      </w:r>
    </w:p>
    <w:p>
      <w:pPr>
        <w:ind w:firstLine="482"/>
      </w:pPr>
      <w:r>
        <w:rPr>
          <w:rFonts w:ascii="宋体" w:hAnsi="宋体" w:eastAsia="宋体"/>
          <w:sz w:val="24"/>
        </w:rPr>
        <w:t>感谢您的阅读和使用，期待您的宝贵意见与建议。</w:t>
      </w:r>
    </w:p>
    <w:p>
      <w:pPr>
        <w:ind w:firstLine="482"/>
      </w:pPr>
      <w:r>
        <w:rPr>
          <w:rFonts w:ascii="宋体" w:hAnsi="宋体" w:eastAsia="宋体"/>
          <w:sz w:val="24"/>
        </w:rPr>
        <w:t>祝工作顺利！</w:t>
      </w:r>
    </w:p>
    <w:p/>
    <w:p>
      <w:r>
        <w:br w:type="page"/>
      </w:r>
    </w:p>
    <w:sectPr w:rsidR="00FC693F" w:rsidRPr="0006063C"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360" w:lineRule="auto"/>
      <w:outlineLvl w:val="0"/>
    </w:pPr>
    <w:rPr>
      <w:rFonts w:asciiTheme="majorHAnsi" w:eastAsiaTheme="majorEastAsia" w:hAnsiTheme="majorHAnsi" w:cstheme="majorBidi" w:ascii="黑体" w:hAnsi="黑体" w:eastAsia="黑体"/>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line="360" w:lineRule="auto"/>
      <w:outlineLvl w:val="1"/>
    </w:pPr>
    <w:rPr>
      <w:rFonts w:asciiTheme="majorHAnsi" w:eastAsiaTheme="majorEastAsia" w:hAnsiTheme="majorHAnsi" w:cstheme="majorBidi" w:ascii="黑体" w:hAnsi="黑体" w:eastAsia="黑体"/>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40" w:after="120" w:line="360" w:lineRule="auto"/>
      <w:outlineLvl w:val="2"/>
    </w:pPr>
    <w:rPr>
      <w:rFonts w:asciiTheme="majorHAnsi" w:eastAsiaTheme="majorEastAsia" w:hAnsiTheme="majorHAnsi" w:cstheme="majorBidi" w:ascii="黑体" w:hAnsi="黑体" w:eastAsia="黑体"/>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40" w:after="120" w:line="360" w:lineRule="auto"/>
      <w:outlineLvl w:val="3"/>
    </w:pPr>
    <w:rPr>
      <w:rFonts w:asciiTheme="majorHAnsi" w:eastAsiaTheme="majorEastAsia" w:hAnsiTheme="majorHAnsi" w:cstheme="majorBidi" w:ascii="黑体" w:hAnsi="黑体" w:eastAsia="黑体"/>
      <w:b/>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