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rFonts w:ascii="Times New Roman" w:hAnsi="Times New Roman" w:eastAsia="黑体"/>
          <w:b/>
          <w:i w:val="0"/>
          <w:color w:val="1A3C6E"/>
          <w:sz w:val="56"/>
        </w:rPr>
        <w:t>智能电网实时定价综述</w:t>
      </w:r>
    </w:p>
    <w:p>
      <w:pPr>
        <w:jc w:val="center"/>
      </w:pPr>
      <w:r>
        <w:rPr>
          <w:rFonts w:ascii="Times New Roman" w:hAnsi="Times New Roman" w:eastAsia="Times New Roman"/>
          <w:b w:val="0"/>
          <w:i/>
          <w:color w:val="457B9D"/>
          <w:sz w:val="28"/>
        </w:rPr>
        <w:t>Real-Time Pricing for Smart Grid: A Comprehensive Survey</w:t>
      </w:r>
    </w:p>
    <w:p>
      <w:pPr>
        <w:jc w:val="center"/>
      </w:pPr>
      <w:r>
        <w:rPr>
          <w:rFonts w:ascii="Times New Roman" w:hAnsi="Times New Roman" w:eastAsia="宋体"/>
          <w:b w:val="0"/>
          <w:i w:val="0"/>
          <w:color w:val="606060"/>
          <w:sz w:val="24"/>
        </w:rPr>
        <w:br/>
        <w:t>基于IMA知识库「高岩&amp;李军祥论文」</w:t>
      </w:r>
    </w:p>
    <w:p>
      <w:pPr>
        <w:jc w:val="center"/>
      </w:pPr>
      <w:r>
        <w:rPr>
          <w:rFonts w:ascii="Times New Roman" w:hAnsi="Times New Roman" w:eastAsia="黑体"/>
          <w:b/>
          <w:i w:val="0"/>
          <w:color w:val="2A9D8F"/>
          <w:sz w:val="32"/>
        </w:rPr>
        <w:t>RTP-SGM框架</w:t>
      </w:r>
    </w:p>
    <w:p>
      <w:pPr>
        <w:jc w:val="center"/>
      </w:pPr>
      <w:r>
        <w:rPr>
          <w:rFonts w:ascii="Times New Roman" w:hAnsi="Times New Roman" w:eastAsia="宋体"/>
          <w:b w:val="0"/>
          <w:i w:val="0"/>
          <w:color w:val="808080"/>
          <w:sz w:val="24"/>
        </w:rPr>
        <w:br/>
        <w:t>2026年7月</w:t>
      </w:r>
    </w:p>
    <w:p>
      <w:r>
        <w:br w:type="page"/>
      </w:r>
    </w:p>
    <w:p>
      <w:pPr>
        <w:spacing w:after="240"/>
        <w:jc w:val="center"/>
      </w:pPr>
      <w:r>
        <w:rPr>
          <w:rFonts w:ascii="Times New Roman" w:hAnsi="Times New Roman" w:eastAsia="黑体"/>
          <w:b/>
          <w:i w:val="0"/>
          <w:sz w:val="40"/>
        </w:rPr>
        <w:t>目  录</w:t>
      </w:r>
    </w:p>
    <w:p>
      <w:pPr>
        <w:spacing w:after="40" w:before="160"/>
      </w:pPr>
      <w:r>
        <w:rPr>
          <w:rFonts w:ascii="Times New Roman" w:hAnsi="Times New Roman" w:eastAsia="黑体"/>
          <w:b/>
          <w:i w:val="0"/>
          <w:color w:val="1A3C6E"/>
          <w:sz w:val="26"/>
        </w:rPr>
        <w:t>第一篇  基础与背景</w:t>
      </w:r>
    </w:p>
    <w:p>
      <w:pPr>
        <w:spacing w:after="40" w:before="40"/>
      </w:pPr>
      <w:r>
        <w:rPr>
          <w:rFonts w:ascii="Times New Roman" w:hAnsi="Times New Roman" w:eastAsia="宋体"/>
          <w:b/>
          <w:i w:val="0"/>
          <w:sz w:val="22"/>
        </w:rPr>
        <w:t xml:space="preserve">  第1章  智能电网与实时定价概述</w:t>
      </w:r>
    </w:p>
    <w:p>
      <w:pPr>
        <w:spacing w:after="40" w:before="40"/>
      </w:pPr>
      <w:r>
        <w:rPr>
          <w:rFonts w:ascii="Times New Roman" w:hAnsi="Times New Roman" w:eastAsia="宋体"/>
          <w:b w:val="0"/>
          <w:i w:val="0"/>
          <w:color w:val="404040"/>
          <w:sz w:val="20"/>
        </w:rPr>
        <w:t xml:space="preserve">    1.1 智能电网的概念与发展历程</w:t>
      </w:r>
    </w:p>
    <w:p>
      <w:pPr>
        <w:spacing w:after="40" w:before="40"/>
      </w:pPr>
      <w:r>
        <w:rPr>
          <w:rFonts w:ascii="Times New Roman" w:hAnsi="Times New Roman" w:eastAsia="宋体"/>
          <w:b w:val="0"/>
          <w:i w:val="0"/>
          <w:color w:val="404040"/>
          <w:sz w:val="20"/>
        </w:rPr>
        <w:t xml:space="preserve">    1.2 实时定价的定义与分类</w:t>
      </w:r>
    </w:p>
    <w:p>
      <w:pPr>
        <w:spacing w:after="40" w:before="40"/>
      </w:pPr>
      <w:r>
        <w:rPr>
          <w:rFonts w:ascii="Times New Roman" w:hAnsi="Times New Roman" w:eastAsia="宋体"/>
          <w:b w:val="0"/>
          <w:i w:val="0"/>
          <w:color w:val="404040"/>
          <w:sz w:val="20"/>
        </w:rPr>
        <w:t xml:space="preserve">    1.3 实时定价在智能电网中的作用与意义</w:t>
      </w:r>
    </w:p>
    <w:p>
      <w:pPr>
        <w:spacing w:after="40" w:before="40"/>
      </w:pPr>
      <w:r>
        <w:rPr>
          <w:rFonts w:ascii="Times New Roman" w:hAnsi="Times New Roman" w:eastAsia="宋体"/>
          <w:b w:val="0"/>
          <w:i w:val="0"/>
          <w:color w:val="404040"/>
          <w:sz w:val="20"/>
        </w:rPr>
        <w:t xml:space="preserve">    1.4 国内外研究现状概览</w:t>
      </w:r>
    </w:p>
    <w:p>
      <w:pPr>
        <w:spacing w:after="40" w:before="40"/>
      </w:pPr>
      <w:r>
        <w:rPr>
          <w:rFonts w:ascii="Times New Roman" w:hAnsi="Times New Roman" w:eastAsia="宋体"/>
          <w:b w:val="0"/>
          <w:i w:val="0"/>
          <w:color w:val="404040"/>
          <w:sz w:val="20"/>
        </w:rPr>
        <w:t xml:space="preserve">    1.5 本综述的组织结构</w:t>
      </w:r>
    </w:p>
    <w:p>
      <w:pPr>
        <w:spacing w:after="40" w:before="40"/>
      </w:pPr>
      <w:r>
        <w:rPr>
          <w:rFonts w:ascii="Times New Roman" w:hAnsi="Times New Roman" w:eastAsia="宋体"/>
          <w:b/>
          <w:i w:val="0"/>
          <w:sz w:val="22"/>
        </w:rPr>
        <w:t xml:space="preserve">  第2章  需求响应理论基础</w:t>
      </w:r>
    </w:p>
    <w:p>
      <w:pPr>
        <w:spacing w:after="40" w:before="40"/>
      </w:pPr>
      <w:r>
        <w:rPr>
          <w:rFonts w:ascii="Times New Roman" w:hAnsi="Times New Roman" w:eastAsia="宋体"/>
          <w:b w:val="0"/>
          <w:i w:val="0"/>
          <w:color w:val="404040"/>
          <w:sz w:val="20"/>
        </w:rPr>
        <w:t xml:space="preserve">    2.1 需求响应的概念与分类</w:t>
      </w:r>
    </w:p>
    <w:p>
      <w:pPr>
        <w:spacing w:after="40" w:before="40"/>
      </w:pPr>
      <w:r>
        <w:rPr>
          <w:rFonts w:ascii="Times New Roman" w:hAnsi="Times New Roman" w:eastAsia="宋体"/>
          <w:b w:val="0"/>
          <w:i w:val="0"/>
          <w:color w:val="404040"/>
          <w:sz w:val="20"/>
        </w:rPr>
        <w:t xml:space="preserve">    2.2 基于价格的需求响应</w:t>
      </w:r>
    </w:p>
    <w:p>
      <w:pPr>
        <w:spacing w:after="40" w:before="40"/>
      </w:pPr>
      <w:r>
        <w:rPr>
          <w:rFonts w:ascii="Times New Roman" w:hAnsi="Times New Roman" w:eastAsia="宋体"/>
          <w:b w:val="0"/>
          <w:i w:val="0"/>
          <w:color w:val="404040"/>
          <w:sz w:val="20"/>
        </w:rPr>
        <w:t xml:space="preserve">    2.3 基于激励的需求响应</w:t>
      </w:r>
    </w:p>
    <w:p>
      <w:pPr>
        <w:spacing w:after="40" w:before="40"/>
      </w:pPr>
      <w:r>
        <w:rPr>
          <w:rFonts w:ascii="Times New Roman" w:hAnsi="Times New Roman" w:eastAsia="宋体"/>
          <w:b w:val="0"/>
          <w:i w:val="0"/>
          <w:color w:val="404040"/>
          <w:sz w:val="20"/>
        </w:rPr>
        <w:t xml:space="preserve">    2.4 需求响应的实施框架</w:t>
      </w:r>
    </w:p>
    <w:p>
      <w:pPr>
        <w:spacing w:after="40" w:before="40"/>
      </w:pPr>
      <w:r>
        <w:rPr>
          <w:rFonts w:ascii="Times New Roman" w:hAnsi="Times New Roman" w:eastAsia="宋体"/>
          <w:b w:val="0"/>
          <w:i w:val="0"/>
          <w:color w:val="404040"/>
          <w:sz w:val="20"/>
        </w:rPr>
        <w:t xml:space="preserve">    2.5 需求响应的经济效益分析</w:t>
      </w:r>
    </w:p>
    <w:p>
      <w:pPr>
        <w:spacing w:after="40" w:before="40"/>
      </w:pPr>
      <w:r>
        <w:rPr>
          <w:rFonts w:ascii="Times New Roman" w:hAnsi="Times New Roman" w:eastAsia="宋体"/>
          <w:b/>
          <w:i w:val="0"/>
          <w:sz w:val="22"/>
        </w:rPr>
        <w:t xml:space="preserve">  第3章  实时定价的经济学原理</w:t>
      </w:r>
    </w:p>
    <w:p>
      <w:pPr>
        <w:spacing w:after="40" w:before="40"/>
      </w:pPr>
      <w:r>
        <w:rPr>
          <w:rFonts w:ascii="Times New Roman" w:hAnsi="Times New Roman" w:eastAsia="宋体"/>
          <w:b w:val="0"/>
          <w:i w:val="0"/>
          <w:color w:val="404040"/>
          <w:sz w:val="20"/>
        </w:rPr>
        <w:t xml:space="preserve">    3.1 电力市场的基本结构</w:t>
      </w:r>
    </w:p>
    <w:p>
      <w:pPr>
        <w:spacing w:after="40" w:before="40"/>
      </w:pPr>
      <w:r>
        <w:rPr>
          <w:rFonts w:ascii="Times New Roman" w:hAnsi="Times New Roman" w:eastAsia="宋体"/>
          <w:b w:val="0"/>
          <w:i w:val="0"/>
          <w:color w:val="404040"/>
          <w:sz w:val="20"/>
        </w:rPr>
        <w:t xml:space="preserve">    3.2 边际成本定价理论</w:t>
      </w:r>
    </w:p>
    <w:p>
      <w:pPr>
        <w:spacing w:after="40" w:before="40"/>
      </w:pPr>
      <w:r>
        <w:rPr>
          <w:rFonts w:ascii="Times New Roman" w:hAnsi="Times New Roman" w:eastAsia="宋体"/>
          <w:b w:val="0"/>
          <w:i w:val="0"/>
          <w:color w:val="404040"/>
          <w:sz w:val="20"/>
        </w:rPr>
        <w:t xml:space="preserve">    3.3 社会福利最大化原理</w:t>
      </w:r>
    </w:p>
    <w:p>
      <w:pPr>
        <w:spacing w:after="40" w:before="40"/>
      </w:pPr>
      <w:r>
        <w:rPr>
          <w:rFonts w:ascii="Times New Roman" w:hAnsi="Times New Roman" w:eastAsia="宋体"/>
          <w:b w:val="0"/>
          <w:i w:val="0"/>
          <w:color w:val="404040"/>
          <w:sz w:val="20"/>
        </w:rPr>
        <w:t xml:space="preserve">    3.4 用户行为理论与需求价格弹性</w:t>
      </w:r>
    </w:p>
    <w:p>
      <w:pPr>
        <w:spacing w:after="40" w:before="40"/>
      </w:pPr>
      <w:r>
        <w:rPr>
          <w:rFonts w:ascii="Times New Roman" w:hAnsi="Times New Roman" w:eastAsia="宋体"/>
          <w:b w:val="0"/>
          <w:i w:val="0"/>
          <w:color w:val="404040"/>
          <w:sz w:val="20"/>
        </w:rPr>
        <w:t xml:space="preserve">    3.5 实时定价与分时定价的比较</w:t>
      </w:r>
    </w:p>
    <w:p>
      <w:pPr>
        <w:spacing w:after="40" w:before="160"/>
      </w:pPr>
      <w:r>
        <w:rPr>
          <w:rFonts w:ascii="Times New Roman" w:hAnsi="Times New Roman" w:eastAsia="黑体"/>
          <w:b/>
          <w:i w:val="0"/>
          <w:color w:val="1A3C6E"/>
          <w:sz w:val="26"/>
        </w:rPr>
        <w:t>第二篇  数学建模与优化方法</w:t>
      </w:r>
    </w:p>
    <w:p>
      <w:pPr>
        <w:spacing w:after="40" w:before="40"/>
      </w:pPr>
      <w:r>
        <w:rPr>
          <w:rFonts w:ascii="Times New Roman" w:hAnsi="Times New Roman" w:eastAsia="宋体"/>
          <w:b/>
          <w:i w:val="0"/>
          <w:sz w:val="22"/>
        </w:rPr>
        <w:t xml:space="preserve">  第4章  效用函数与社会福利最大化模型</w:t>
      </w:r>
    </w:p>
    <w:p>
      <w:pPr>
        <w:spacing w:after="40" w:before="40"/>
      </w:pPr>
      <w:r>
        <w:rPr>
          <w:rFonts w:ascii="Times New Roman" w:hAnsi="Times New Roman" w:eastAsia="宋体"/>
          <w:b w:val="0"/>
          <w:i w:val="0"/>
          <w:color w:val="404040"/>
          <w:sz w:val="20"/>
        </w:rPr>
        <w:t xml:space="preserve">    4.1 效用函数的基本概念</w:t>
      </w:r>
    </w:p>
    <w:p>
      <w:pPr>
        <w:spacing w:after="40" w:before="40"/>
      </w:pPr>
      <w:r>
        <w:rPr>
          <w:rFonts w:ascii="Times New Roman" w:hAnsi="Times New Roman" w:eastAsia="宋体"/>
          <w:b w:val="0"/>
          <w:i w:val="0"/>
          <w:color w:val="404040"/>
          <w:sz w:val="20"/>
        </w:rPr>
        <w:t xml:space="preserve">    4.2 二次效用函数模型</w:t>
      </w:r>
    </w:p>
    <w:p>
      <w:pPr>
        <w:spacing w:after="40" w:before="40"/>
      </w:pPr>
      <w:r>
        <w:rPr>
          <w:rFonts w:ascii="Times New Roman" w:hAnsi="Times New Roman" w:eastAsia="宋体"/>
          <w:b w:val="0"/>
          <w:i w:val="0"/>
          <w:color w:val="404040"/>
          <w:sz w:val="20"/>
        </w:rPr>
        <w:t xml:space="preserve">    4.3 对数效用函数模型</w:t>
      </w:r>
    </w:p>
    <w:p>
      <w:pPr>
        <w:spacing w:after="40" w:before="40"/>
      </w:pPr>
      <w:r>
        <w:rPr>
          <w:rFonts w:ascii="Times New Roman" w:hAnsi="Times New Roman" w:eastAsia="宋体"/>
          <w:b w:val="0"/>
          <w:i w:val="0"/>
          <w:color w:val="404040"/>
          <w:sz w:val="20"/>
        </w:rPr>
        <w:t xml:space="preserve">    4.4 分片线性效用函数</w:t>
      </w:r>
    </w:p>
    <w:p>
      <w:pPr>
        <w:spacing w:after="40" w:before="40"/>
      </w:pPr>
      <w:r>
        <w:rPr>
          <w:rFonts w:ascii="Times New Roman" w:hAnsi="Times New Roman" w:eastAsia="宋体"/>
          <w:b w:val="0"/>
          <w:i w:val="0"/>
          <w:color w:val="404040"/>
          <w:sz w:val="20"/>
        </w:rPr>
        <w:t xml:space="preserve">    4.5 非递减边际效用函数</w:t>
      </w:r>
    </w:p>
    <w:p>
      <w:pPr>
        <w:spacing w:after="40" w:before="40"/>
      </w:pPr>
      <w:r>
        <w:rPr>
          <w:rFonts w:ascii="Times New Roman" w:hAnsi="Times New Roman" w:eastAsia="宋体"/>
          <w:b w:val="0"/>
          <w:i w:val="0"/>
          <w:color w:val="404040"/>
          <w:sz w:val="20"/>
        </w:rPr>
        <w:t xml:space="preserve">    4.6 不同效用函数的比较分析</w:t>
      </w:r>
    </w:p>
    <w:p>
      <w:pPr>
        <w:spacing w:after="40" w:before="40"/>
      </w:pPr>
      <w:r>
        <w:rPr>
          <w:rFonts w:ascii="Times New Roman" w:hAnsi="Times New Roman" w:eastAsia="宋体"/>
          <w:b/>
          <w:i w:val="0"/>
          <w:sz w:val="22"/>
        </w:rPr>
        <w:t xml:space="preserve">  第5章  互补问题与非光滑方程方法</w:t>
      </w:r>
    </w:p>
    <w:p>
      <w:pPr>
        <w:spacing w:after="40" w:before="40"/>
      </w:pPr>
      <w:r>
        <w:rPr>
          <w:rFonts w:ascii="Times New Roman" w:hAnsi="Times New Roman" w:eastAsia="宋体"/>
          <w:b w:val="0"/>
          <w:i w:val="0"/>
          <w:color w:val="404040"/>
          <w:sz w:val="20"/>
        </w:rPr>
        <w:t xml:space="preserve">    5.1 互补问题的数学基础</w:t>
      </w:r>
    </w:p>
    <w:p>
      <w:pPr>
        <w:spacing w:after="40" w:before="40"/>
      </w:pPr>
      <w:r>
        <w:rPr>
          <w:rFonts w:ascii="Times New Roman" w:hAnsi="Times New Roman" w:eastAsia="宋体"/>
          <w:b w:val="0"/>
          <w:i w:val="0"/>
          <w:color w:val="404040"/>
          <w:sz w:val="20"/>
        </w:rPr>
        <w:t xml:space="preserve">    5.2 KKT条件与互补关系</w:t>
      </w:r>
    </w:p>
    <w:p>
      <w:pPr>
        <w:spacing w:after="40" w:before="40"/>
      </w:pPr>
      <w:r>
        <w:rPr>
          <w:rFonts w:ascii="Times New Roman" w:hAnsi="Times New Roman" w:eastAsia="宋体"/>
          <w:b w:val="0"/>
          <w:i w:val="0"/>
          <w:color w:val="404040"/>
          <w:sz w:val="20"/>
        </w:rPr>
        <w:t xml:space="preserve">    5.3 非线性互补函数</w:t>
      </w:r>
    </w:p>
    <w:p>
      <w:pPr>
        <w:spacing w:after="40" w:before="40"/>
      </w:pPr>
      <w:r>
        <w:rPr>
          <w:rFonts w:ascii="Times New Roman" w:hAnsi="Times New Roman" w:eastAsia="宋体"/>
          <w:b w:val="0"/>
          <w:i w:val="0"/>
          <w:color w:val="404040"/>
          <w:sz w:val="20"/>
        </w:rPr>
        <w:t xml:space="preserve">    5.4 光滑化逼近方法</w:t>
      </w:r>
    </w:p>
    <w:p>
      <w:pPr>
        <w:spacing w:after="40" w:before="40"/>
      </w:pPr>
      <w:r>
        <w:rPr>
          <w:rFonts w:ascii="Times New Roman" w:hAnsi="Times New Roman" w:eastAsia="宋体"/>
          <w:b w:val="0"/>
          <w:i w:val="0"/>
          <w:color w:val="404040"/>
          <w:sz w:val="20"/>
        </w:rPr>
        <w:t xml:space="preserve">    5.5 光滑牛顿算法</w:t>
      </w:r>
    </w:p>
    <w:p>
      <w:pPr>
        <w:spacing w:after="40" w:before="40"/>
      </w:pPr>
      <w:r>
        <w:rPr>
          <w:rFonts w:ascii="Times New Roman" w:hAnsi="Times New Roman" w:eastAsia="宋体"/>
          <w:b w:val="0"/>
          <w:i w:val="0"/>
          <w:color w:val="404040"/>
          <w:sz w:val="20"/>
        </w:rPr>
        <w:t xml:space="preserve">    5.6 分布式非光滑方程求解</w:t>
      </w:r>
    </w:p>
    <w:p>
      <w:pPr>
        <w:spacing w:after="40" w:before="40"/>
      </w:pPr>
      <w:r>
        <w:rPr>
          <w:rFonts w:ascii="Times New Roman" w:hAnsi="Times New Roman" w:eastAsia="宋体"/>
          <w:b/>
          <w:i w:val="0"/>
          <w:sz w:val="22"/>
        </w:rPr>
        <w:t xml:space="preserve">  第6章  博弈论与多Agent定价方法</w:t>
      </w:r>
    </w:p>
    <w:p>
      <w:pPr>
        <w:spacing w:after="40" w:before="40"/>
      </w:pPr>
      <w:r>
        <w:rPr>
          <w:rFonts w:ascii="Times New Roman" w:hAnsi="Times New Roman" w:eastAsia="宋体"/>
          <w:b w:val="0"/>
          <w:i w:val="0"/>
          <w:color w:val="404040"/>
          <w:sz w:val="20"/>
        </w:rPr>
        <w:t xml:space="preserve">    6.1 博弈论基础</w:t>
      </w:r>
    </w:p>
    <w:p>
      <w:pPr>
        <w:spacing w:after="40" w:before="40"/>
      </w:pPr>
      <w:r>
        <w:rPr>
          <w:rFonts w:ascii="Times New Roman" w:hAnsi="Times New Roman" w:eastAsia="宋体"/>
          <w:b w:val="0"/>
          <w:i w:val="0"/>
          <w:color w:val="404040"/>
          <w:sz w:val="20"/>
        </w:rPr>
        <w:t xml:space="preserve">    6.2 Stackelberg博弈模型</w:t>
      </w:r>
    </w:p>
    <w:p>
      <w:pPr>
        <w:spacing w:after="40" w:before="40"/>
      </w:pPr>
      <w:r>
        <w:rPr>
          <w:rFonts w:ascii="Times New Roman" w:hAnsi="Times New Roman" w:eastAsia="宋体"/>
          <w:b w:val="0"/>
          <w:i w:val="0"/>
          <w:color w:val="404040"/>
          <w:sz w:val="20"/>
        </w:rPr>
        <w:t xml:space="preserve">    6.3 多零售商多用户博弈</w:t>
      </w:r>
    </w:p>
    <w:p>
      <w:pPr>
        <w:spacing w:after="40" w:before="40"/>
      </w:pPr>
      <w:r>
        <w:rPr>
          <w:rFonts w:ascii="Times New Roman" w:hAnsi="Times New Roman" w:eastAsia="宋体"/>
          <w:b w:val="0"/>
          <w:i w:val="0"/>
          <w:color w:val="404040"/>
          <w:sz w:val="20"/>
        </w:rPr>
        <w:t xml:space="preserve">    6.4 纳什均衡与Stackelberg均衡</w:t>
      </w:r>
    </w:p>
    <w:p>
      <w:pPr>
        <w:spacing w:after="40" w:before="40"/>
      </w:pPr>
      <w:r>
        <w:rPr>
          <w:rFonts w:ascii="Times New Roman" w:hAnsi="Times New Roman" w:eastAsia="宋体"/>
          <w:b w:val="0"/>
          <w:i w:val="0"/>
          <w:color w:val="404040"/>
          <w:sz w:val="20"/>
        </w:rPr>
        <w:t xml:space="preserve">    6.5 消费者激励因素与博弈</w:t>
      </w:r>
    </w:p>
    <w:p>
      <w:pPr>
        <w:spacing w:after="40" w:before="40"/>
      </w:pPr>
      <w:r>
        <w:rPr>
          <w:rFonts w:ascii="Times New Roman" w:hAnsi="Times New Roman" w:eastAsia="宋体"/>
          <w:b w:val="0"/>
          <w:i w:val="0"/>
          <w:color w:val="404040"/>
          <w:sz w:val="20"/>
        </w:rPr>
        <w:t xml:space="preserve">    6.6 区块链与博弈定价</w:t>
      </w:r>
    </w:p>
    <w:p>
      <w:pPr>
        <w:spacing w:after="40" w:before="160"/>
      </w:pPr>
      <w:r>
        <w:rPr>
          <w:rFonts w:ascii="Times New Roman" w:hAnsi="Times New Roman" w:eastAsia="黑体"/>
          <w:b/>
          <w:i w:val="0"/>
          <w:color w:val="1A3C6E"/>
          <w:sz w:val="26"/>
        </w:rPr>
        <w:t>第三篇  算法与实现</w:t>
      </w:r>
    </w:p>
    <w:p>
      <w:pPr>
        <w:spacing w:after="40" w:before="40"/>
      </w:pPr>
      <w:r>
        <w:rPr>
          <w:rFonts w:ascii="Times New Roman" w:hAnsi="Times New Roman" w:eastAsia="宋体"/>
          <w:b/>
          <w:i w:val="0"/>
          <w:sz w:val="22"/>
        </w:rPr>
        <w:t xml:space="preserve">  第7章  实时定价的优化求解算法</w:t>
      </w:r>
    </w:p>
    <w:p>
      <w:pPr>
        <w:spacing w:after="40" w:before="40"/>
      </w:pPr>
      <w:r>
        <w:rPr>
          <w:rFonts w:ascii="Times New Roman" w:hAnsi="Times New Roman" w:eastAsia="宋体"/>
          <w:b w:val="0"/>
          <w:i w:val="0"/>
          <w:color w:val="404040"/>
          <w:sz w:val="20"/>
        </w:rPr>
        <w:t xml:space="preserve">    7.1 对偶分解法</w:t>
      </w:r>
    </w:p>
    <w:p>
      <w:pPr>
        <w:spacing w:after="40" w:before="40"/>
      </w:pPr>
      <w:r>
        <w:rPr>
          <w:rFonts w:ascii="Times New Roman" w:hAnsi="Times New Roman" w:eastAsia="宋体"/>
          <w:b w:val="0"/>
          <w:i w:val="0"/>
          <w:color w:val="404040"/>
          <w:sz w:val="20"/>
        </w:rPr>
        <w:t xml:space="preserve">    7.2 内点法</w:t>
      </w:r>
    </w:p>
    <w:p>
      <w:pPr>
        <w:spacing w:after="40" w:before="40"/>
      </w:pPr>
      <w:r>
        <w:rPr>
          <w:rFonts w:ascii="Times New Roman" w:hAnsi="Times New Roman" w:eastAsia="宋体"/>
          <w:b w:val="0"/>
          <w:i w:val="0"/>
          <w:color w:val="404040"/>
          <w:sz w:val="20"/>
        </w:rPr>
        <w:t xml:space="preserve">    7.3 次梯度算法</w:t>
      </w:r>
    </w:p>
    <w:p>
      <w:pPr>
        <w:spacing w:after="40" w:before="40"/>
      </w:pPr>
      <w:r>
        <w:rPr>
          <w:rFonts w:ascii="Times New Roman" w:hAnsi="Times New Roman" w:eastAsia="宋体"/>
          <w:b w:val="0"/>
          <w:i w:val="0"/>
          <w:color w:val="404040"/>
          <w:sz w:val="20"/>
        </w:rPr>
        <w:t xml:space="preserve">    7.4 滚动惩罚函数算法</w:t>
      </w:r>
    </w:p>
    <w:p>
      <w:pPr>
        <w:spacing w:after="40" w:before="40"/>
      </w:pPr>
      <w:r>
        <w:rPr>
          <w:rFonts w:ascii="Times New Roman" w:hAnsi="Times New Roman" w:eastAsia="宋体"/>
          <w:b w:val="0"/>
          <w:i w:val="0"/>
          <w:color w:val="404040"/>
          <w:sz w:val="20"/>
        </w:rPr>
        <w:t xml:space="preserve">    7.5 双层规划方法</w:t>
      </w:r>
    </w:p>
    <w:p>
      <w:pPr>
        <w:spacing w:after="40" w:before="40"/>
      </w:pPr>
      <w:r>
        <w:rPr>
          <w:rFonts w:ascii="Times New Roman" w:hAnsi="Times New Roman" w:eastAsia="宋体"/>
          <w:b w:val="0"/>
          <w:i w:val="0"/>
          <w:color w:val="404040"/>
          <w:sz w:val="20"/>
        </w:rPr>
        <w:t xml:space="preserve">    7.6 分布式迭代算法</w:t>
      </w:r>
    </w:p>
    <w:p>
      <w:pPr>
        <w:spacing w:after="40" w:before="40"/>
      </w:pPr>
      <w:r>
        <w:rPr>
          <w:rFonts w:ascii="Times New Roman" w:hAnsi="Times New Roman" w:eastAsia="宋体"/>
          <w:b/>
          <w:i w:val="0"/>
          <w:sz w:val="22"/>
        </w:rPr>
        <w:t xml:space="preserve">  第8章  强化学习与智能定价方法</w:t>
      </w:r>
    </w:p>
    <w:p>
      <w:pPr>
        <w:spacing w:after="40" w:before="40"/>
      </w:pPr>
      <w:r>
        <w:rPr>
          <w:rFonts w:ascii="Times New Roman" w:hAnsi="Times New Roman" w:eastAsia="宋体"/>
          <w:b w:val="0"/>
          <w:i w:val="0"/>
          <w:color w:val="404040"/>
          <w:sz w:val="20"/>
        </w:rPr>
        <w:t xml:space="preserve">    8.1 强化学习基础</w:t>
      </w:r>
    </w:p>
    <w:p>
      <w:pPr>
        <w:spacing w:after="40" w:before="40"/>
      </w:pPr>
      <w:r>
        <w:rPr>
          <w:rFonts w:ascii="Times New Roman" w:hAnsi="Times New Roman" w:eastAsia="宋体"/>
          <w:b w:val="0"/>
          <w:i w:val="0"/>
          <w:color w:val="404040"/>
          <w:sz w:val="20"/>
        </w:rPr>
        <w:t xml:space="preserve">    8.2 Q学习在实时定价中的应用</w:t>
      </w:r>
    </w:p>
    <w:p>
      <w:pPr>
        <w:spacing w:after="40" w:before="40"/>
      </w:pPr>
      <w:r>
        <w:rPr>
          <w:rFonts w:ascii="Times New Roman" w:hAnsi="Times New Roman" w:eastAsia="宋体"/>
          <w:b w:val="0"/>
          <w:i w:val="0"/>
          <w:color w:val="404040"/>
          <w:sz w:val="20"/>
        </w:rPr>
        <w:t xml:space="preserve">    8.3 深度强化学习定价框架</w:t>
      </w:r>
    </w:p>
    <w:p>
      <w:pPr>
        <w:spacing w:after="40" w:before="40"/>
      </w:pPr>
      <w:r>
        <w:rPr>
          <w:rFonts w:ascii="Times New Roman" w:hAnsi="Times New Roman" w:eastAsia="宋体"/>
          <w:b w:val="0"/>
          <w:i w:val="0"/>
          <w:color w:val="404040"/>
          <w:sz w:val="20"/>
        </w:rPr>
        <w:t xml:space="preserve">    8.4 多Agent深度强化学习</w:t>
      </w:r>
    </w:p>
    <w:p>
      <w:pPr>
        <w:spacing w:after="40" w:before="40"/>
      </w:pPr>
      <w:r>
        <w:rPr>
          <w:rFonts w:ascii="Times New Roman" w:hAnsi="Times New Roman" w:eastAsia="宋体"/>
          <w:b w:val="0"/>
          <w:i w:val="0"/>
          <w:color w:val="404040"/>
          <w:sz w:val="20"/>
        </w:rPr>
        <w:t xml:space="preserve">    8.5 LLM增强定价方法</w:t>
      </w:r>
    </w:p>
    <w:p>
      <w:pPr>
        <w:spacing w:after="40" w:before="40"/>
      </w:pPr>
      <w:r>
        <w:rPr>
          <w:rFonts w:ascii="Times New Roman" w:hAnsi="Times New Roman" w:eastAsia="宋体"/>
          <w:b w:val="0"/>
          <w:i w:val="0"/>
          <w:color w:val="404040"/>
          <w:sz w:val="20"/>
        </w:rPr>
        <w:t xml:space="preserve">    8.6 智能定价的挑战与展望</w:t>
      </w:r>
    </w:p>
    <w:p>
      <w:pPr>
        <w:spacing w:after="40" w:before="40"/>
      </w:pPr>
      <w:r>
        <w:rPr>
          <w:rFonts w:ascii="Times New Roman" w:hAnsi="Times New Roman" w:eastAsia="宋体"/>
          <w:b/>
          <w:i w:val="0"/>
          <w:sz w:val="22"/>
        </w:rPr>
        <w:t xml:space="preserve">  第9章  不确定性与鲁棒优化方法</w:t>
      </w:r>
    </w:p>
    <w:p>
      <w:pPr>
        <w:spacing w:after="40" w:before="40"/>
      </w:pPr>
      <w:r>
        <w:rPr>
          <w:rFonts w:ascii="Times New Roman" w:hAnsi="Times New Roman" w:eastAsia="宋体"/>
          <w:b w:val="0"/>
          <w:i w:val="0"/>
          <w:color w:val="404040"/>
          <w:sz w:val="20"/>
        </w:rPr>
        <w:t xml:space="preserve">    9.1 电力系统不确定性来源</w:t>
      </w:r>
    </w:p>
    <w:p>
      <w:pPr>
        <w:spacing w:after="40" w:before="40"/>
      </w:pPr>
      <w:r>
        <w:rPr>
          <w:rFonts w:ascii="Times New Roman" w:hAnsi="Times New Roman" w:eastAsia="宋体"/>
          <w:b w:val="0"/>
          <w:i w:val="0"/>
          <w:color w:val="404040"/>
          <w:sz w:val="20"/>
        </w:rPr>
        <w:t xml:space="preserve">    9.2 负载不确定性建模</w:t>
      </w:r>
    </w:p>
    <w:p>
      <w:pPr>
        <w:spacing w:after="40" w:before="40"/>
      </w:pPr>
      <w:r>
        <w:rPr>
          <w:rFonts w:ascii="Times New Roman" w:hAnsi="Times New Roman" w:eastAsia="宋体"/>
          <w:b w:val="0"/>
          <w:i w:val="0"/>
          <w:color w:val="404040"/>
          <w:sz w:val="20"/>
        </w:rPr>
        <w:t xml:space="preserve">    9.3 可再生能源波动</w:t>
      </w:r>
    </w:p>
    <w:p>
      <w:pPr>
        <w:spacing w:after="40" w:before="40"/>
      </w:pPr>
      <w:r>
        <w:rPr>
          <w:rFonts w:ascii="Times New Roman" w:hAnsi="Times New Roman" w:eastAsia="宋体"/>
          <w:b w:val="0"/>
          <w:i w:val="0"/>
          <w:color w:val="404040"/>
          <w:sz w:val="20"/>
        </w:rPr>
        <w:t xml:space="preserve">    9.4 鲁棒优化方法</w:t>
      </w:r>
    </w:p>
    <w:p>
      <w:pPr>
        <w:spacing w:after="40" w:before="40"/>
      </w:pPr>
      <w:r>
        <w:rPr>
          <w:rFonts w:ascii="Times New Roman" w:hAnsi="Times New Roman" w:eastAsia="宋体"/>
          <w:b w:val="0"/>
          <w:i w:val="0"/>
          <w:color w:val="404040"/>
          <w:sz w:val="20"/>
        </w:rPr>
        <w:t xml:space="preserve">    9.5 随机规划方法</w:t>
      </w:r>
    </w:p>
    <w:p>
      <w:pPr>
        <w:spacing w:after="40" w:before="40"/>
      </w:pPr>
      <w:r>
        <w:rPr>
          <w:rFonts w:ascii="Times New Roman" w:hAnsi="Times New Roman" w:eastAsia="宋体"/>
          <w:b w:val="0"/>
          <w:i w:val="0"/>
          <w:color w:val="404040"/>
          <w:sz w:val="20"/>
        </w:rPr>
        <w:t xml:space="preserve">    9.6 信息延迟与预测更新</w:t>
      </w:r>
    </w:p>
    <w:p>
      <w:pPr>
        <w:spacing w:after="40" w:before="160"/>
      </w:pPr>
      <w:r>
        <w:rPr>
          <w:rFonts w:ascii="Times New Roman" w:hAnsi="Times New Roman" w:eastAsia="黑体"/>
          <w:b/>
          <w:i w:val="0"/>
          <w:color w:val="1A3C6E"/>
          <w:sz w:val="26"/>
        </w:rPr>
        <w:t>第四篇  扩展与前沿</w:t>
      </w:r>
    </w:p>
    <w:p>
      <w:pPr>
        <w:spacing w:after="40" w:before="40"/>
      </w:pPr>
      <w:r>
        <w:rPr>
          <w:rFonts w:ascii="Times New Roman" w:hAnsi="Times New Roman" w:eastAsia="宋体"/>
          <w:b/>
          <w:i w:val="0"/>
          <w:sz w:val="22"/>
        </w:rPr>
        <w:t xml:space="preserve">  第10章  碳交易与绿色能源协同定价</w:t>
      </w:r>
    </w:p>
    <w:p>
      <w:pPr>
        <w:spacing w:after="40" w:before="40"/>
      </w:pPr>
      <w:r>
        <w:rPr>
          <w:rFonts w:ascii="Times New Roman" w:hAnsi="Times New Roman" w:eastAsia="宋体"/>
          <w:b w:val="0"/>
          <w:i w:val="0"/>
          <w:color w:val="404040"/>
          <w:sz w:val="20"/>
        </w:rPr>
        <w:t xml:space="preserve">    10.1 碳交易市场概述</w:t>
      </w:r>
    </w:p>
    <w:p>
      <w:pPr>
        <w:spacing w:after="40" w:before="40"/>
      </w:pPr>
      <w:r>
        <w:rPr>
          <w:rFonts w:ascii="Times New Roman" w:hAnsi="Times New Roman" w:eastAsia="宋体"/>
          <w:b w:val="0"/>
          <w:i w:val="0"/>
          <w:color w:val="404040"/>
          <w:sz w:val="20"/>
        </w:rPr>
        <w:t xml:space="preserve">    10.2 碳排放权交易机制</w:t>
      </w:r>
    </w:p>
    <w:p>
      <w:pPr>
        <w:spacing w:after="40" w:before="40"/>
      </w:pPr>
      <w:r>
        <w:rPr>
          <w:rFonts w:ascii="Times New Roman" w:hAnsi="Times New Roman" w:eastAsia="宋体"/>
          <w:b w:val="0"/>
          <w:i w:val="0"/>
          <w:color w:val="404040"/>
          <w:sz w:val="20"/>
        </w:rPr>
        <w:t xml:space="preserve">    10.3 碳交易与RTP联合优化</w:t>
      </w:r>
    </w:p>
    <w:p>
      <w:pPr>
        <w:spacing w:after="40" w:before="40"/>
      </w:pPr>
      <w:r>
        <w:rPr>
          <w:rFonts w:ascii="Times New Roman" w:hAnsi="Times New Roman" w:eastAsia="宋体"/>
          <w:b w:val="0"/>
          <w:i w:val="0"/>
          <w:color w:val="404040"/>
          <w:sz w:val="20"/>
        </w:rPr>
        <w:t xml:space="preserve">    10.4 绿电合同与实时定价</w:t>
      </w:r>
    </w:p>
    <w:p>
      <w:pPr>
        <w:spacing w:after="40" w:before="40"/>
      </w:pPr>
      <w:r>
        <w:rPr>
          <w:rFonts w:ascii="Times New Roman" w:hAnsi="Times New Roman" w:eastAsia="宋体"/>
          <w:b w:val="0"/>
          <w:i w:val="0"/>
          <w:color w:val="404040"/>
          <w:sz w:val="20"/>
        </w:rPr>
        <w:t xml:space="preserve">    10.5 低碳激励与定价策略</w:t>
      </w:r>
    </w:p>
    <w:p>
      <w:pPr>
        <w:spacing w:after="40" w:before="40"/>
      </w:pPr>
      <w:r>
        <w:rPr>
          <w:rFonts w:ascii="Times New Roman" w:hAnsi="Times New Roman" w:eastAsia="宋体"/>
          <w:b/>
          <w:i w:val="0"/>
          <w:sz w:val="22"/>
        </w:rPr>
        <w:t xml:space="preserve">  第11章  综合能源系统动态定价</w:t>
      </w:r>
    </w:p>
    <w:p>
      <w:pPr>
        <w:spacing w:after="40" w:before="40"/>
      </w:pPr>
      <w:r>
        <w:rPr>
          <w:rFonts w:ascii="Times New Roman" w:hAnsi="Times New Roman" w:eastAsia="宋体"/>
          <w:b w:val="0"/>
          <w:i w:val="0"/>
          <w:color w:val="404040"/>
          <w:sz w:val="20"/>
        </w:rPr>
        <w:t xml:space="preserve">    11.1 综合能源系统概述</w:t>
      </w:r>
    </w:p>
    <w:p>
      <w:pPr>
        <w:spacing w:after="40" w:before="40"/>
      </w:pPr>
      <w:r>
        <w:rPr>
          <w:rFonts w:ascii="Times New Roman" w:hAnsi="Times New Roman" w:eastAsia="宋体"/>
          <w:b w:val="0"/>
          <w:i w:val="0"/>
          <w:color w:val="404040"/>
          <w:sz w:val="20"/>
        </w:rPr>
        <w:t xml:space="preserve">    11.2 电-气-热耦合定价</w:t>
      </w:r>
    </w:p>
    <w:p>
      <w:pPr>
        <w:spacing w:after="40" w:before="40"/>
      </w:pPr>
      <w:r>
        <w:rPr>
          <w:rFonts w:ascii="Times New Roman" w:hAnsi="Times New Roman" w:eastAsia="宋体"/>
          <w:b w:val="0"/>
          <w:i w:val="0"/>
          <w:color w:val="404040"/>
          <w:sz w:val="20"/>
        </w:rPr>
        <w:t xml:space="preserve">    11.3 电氢氨融合系统定价</w:t>
      </w:r>
    </w:p>
    <w:p>
      <w:pPr>
        <w:spacing w:after="40" w:before="40"/>
      </w:pPr>
      <w:r>
        <w:rPr>
          <w:rFonts w:ascii="Times New Roman" w:hAnsi="Times New Roman" w:eastAsia="宋体"/>
          <w:b w:val="0"/>
          <w:i w:val="0"/>
          <w:color w:val="404040"/>
          <w:sz w:val="20"/>
        </w:rPr>
        <w:t xml:space="preserve">    11.4 社区综合能源系统动态定价</w:t>
      </w:r>
    </w:p>
    <w:p>
      <w:pPr>
        <w:spacing w:after="40" w:before="40"/>
      </w:pPr>
      <w:r>
        <w:rPr>
          <w:rFonts w:ascii="Times New Roman" w:hAnsi="Times New Roman" w:eastAsia="宋体"/>
          <w:b w:val="0"/>
          <w:i w:val="0"/>
          <w:color w:val="404040"/>
          <w:sz w:val="20"/>
        </w:rPr>
        <w:t xml:space="preserve">    11.5 储能系统与定价协同</w:t>
      </w:r>
    </w:p>
    <w:p>
      <w:pPr>
        <w:spacing w:after="40" w:before="40"/>
      </w:pPr>
      <w:r>
        <w:rPr>
          <w:rFonts w:ascii="Times New Roman" w:hAnsi="Times New Roman" w:eastAsia="宋体"/>
          <w:b/>
          <w:i w:val="0"/>
          <w:sz w:val="22"/>
        </w:rPr>
        <w:t xml:space="preserve">  第12章  未来展望与挑战</w:t>
      </w:r>
    </w:p>
    <w:p>
      <w:pPr>
        <w:spacing w:after="40" w:before="40"/>
      </w:pPr>
      <w:r>
        <w:rPr>
          <w:rFonts w:ascii="Times New Roman" w:hAnsi="Times New Roman" w:eastAsia="宋体"/>
          <w:b w:val="0"/>
          <w:i w:val="0"/>
          <w:color w:val="404040"/>
          <w:sz w:val="20"/>
        </w:rPr>
        <w:t xml:space="preserve">    12.1 技术挑战</w:t>
      </w:r>
    </w:p>
    <w:p>
      <w:pPr>
        <w:spacing w:after="40" w:before="40"/>
      </w:pPr>
      <w:r>
        <w:rPr>
          <w:rFonts w:ascii="Times New Roman" w:hAnsi="Times New Roman" w:eastAsia="宋体"/>
          <w:b w:val="0"/>
          <w:i w:val="0"/>
          <w:color w:val="404040"/>
          <w:sz w:val="20"/>
        </w:rPr>
        <w:t xml:space="preserve">    12.2 市场机制挑战</w:t>
      </w:r>
    </w:p>
    <w:p>
      <w:pPr>
        <w:spacing w:after="40" w:before="40"/>
      </w:pPr>
      <w:r>
        <w:rPr>
          <w:rFonts w:ascii="Times New Roman" w:hAnsi="Times New Roman" w:eastAsia="宋体"/>
          <w:b w:val="0"/>
          <w:i w:val="0"/>
          <w:color w:val="404040"/>
          <w:sz w:val="20"/>
        </w:rPr>
        <w:t xml:space="preserve">    12.3 数据安全与隐私保护</w:t>
      </w:r>
    </w:p>
    <w:p>
      <w:pPr>
        <w:spacing w:after="40" w:before="40"/>
      </w:pPr>
      <w:r>
        <w:rPr>
          <w:rFonts w:ascii="Times New Roman" w:hAnsi="Times New Roman" w:eastAsia="宋体"/>
          <w:b w:val="0"/>
          <w:i w:val="0"/>
          <w:color w:val="404040"/>
          <w:sz w:val="20"/>
        </w:rPr>
        <w:t xml:space="preserve">    12.4 政策与法规环境</w:t>
      </w:r>
    </w:p>
    <w:p>
      <w:pPr>
        <w:spacing w:after="40" w:before="40"/>
      </w:pPr>
      <w:r>
        <w:rPr>
          <w:rFonts w:ascii="Times New Roman" w:hAnsi="Times New Roman" w:eastAsia="宋体"/>
          <w:b w:val="0"/>
          <w:i w:val="0"/>
          <w:color w:val="404040"/>
          <w:sz w:val="20"/>
        </w:rPr>
        <w:t xml:space="preserve">    12.5 人工智能与定价融合趋势</w:t>
      </w:r>
    </w:p>
    <w:p>
      <w:pPr>
        <w:spacing w:after="40" w:before="40"/>
      </w:pPr>
      <w:r>
        <w:rPr>
          <w:rFonts w:ascii="Times New Roman" w:hAnsi="Times New Roman" w:eastAsia="宋体"/>
          <w:b w:val="0"/>
          <w:i w:val="0"/>
          <w:color w:val="404040"/>
          <w:sz w:val="20"/>
        </w:rPr>
        <w:t xml:space="preserve">    12.6 总结与展望</w:t>
      </w:r>
    </w:p>
    <w:p>
      <w:pPr>
        <w:spacing w:after="40" w:before="160"/>
      </w:pPr>
      <w:r>
        <w:rPr>
          <w:rFonts w:ascii="Times New Roman" w:hAnsi="Times New Roman" w:eastAsia="黑体"/>
          <w:b/>
          <w:i w:val="0"/>
          <w:color w:val="1A3C6E"/>
          <w:sz w:val="26"/>
        </w:rPr>
        <w:t>附录</w:t>
      </w:r>
    </w:p>
    <w:p>
      <w:pPr>
        <w:spacing w:after="40" w:before="40"/>
      </w:pPr>
      <w:r>
        <w:rPr>
          <w:rFonts w:ascii="Times New Roman" w:hAnsi="Times New Roman" w:eastAsia="宋体"/>
          <w:b/>
          <w:i w:val="0"/>
          <w:sz w:val="22"/>
        </w:rPr>
        <w:t xml:space="preserve">  附录A  术语表</w:t>
      </w:r>
    </w:p>
    <w:p>
      <w:pPr>
        <w:spacing w:after="40" w:before="40"/>
      </w:pPr>
      <w:r>
        <w:rPr>
          <w:rFonts w:ascii="Times New Roman" w:hAnsi="Times New Roman" w:eastAsia="宋体"/>
          <w:b/>
          <w:i w:val="0"/>
          <w:sz w:val="22"/>
        </w:rPr>
        <w:t xml:space="preserve">  附录B  工具与平台速查</w:t>
      </w:r>
    </w:p>
    <w:p>
      <w:pPr>
        <w:spacing w:after="40" w:before="40"/>
      </w:pPr>
      <w:r>
        <w:rPr>
          <w:rFonts w:ascii="Times New Roman" w:hAnsi="Times New Roman" w:eastAsia="宋体"/>
          <w:b/>
          <w:i w:val="0"/>
          <w:sz w:val="22"/>
        </w:rPr>
        <w:t xml:space="preserve">  附录C  案例库</w:t>
      </w:r>
    </w:p>
    <w:p>
      <w:pPr>
        <w:spacing w:after="40" w:before="40"/>
      </w:pPr>
      <w:r>
        <w:rPr>
          <w:rFonts w:ascii="Times New Roman" w:hAnsi="Times New Roman" w:eastAsia="宋体"/>
          <w:b/>
          <w:i w:val="0"/>
          <w:sz w:val="22"/>
        </w:rPr>
        <w:t xml:space="preserve">  附录D  设计模板与检查清单</w:t>
      </w:r>
    </w:p>
    <w:p>
      <w:pPr>
        <w:spacing w:after="40" w:before="40"/>
      </w:pPr>
      <w:r>
        <w:rPr>
          <w:rFonts w:ascii="Times New Roman" w:hAnsi="Times New Roman" w:eastAsia="宋体"/>
          <w:b/>
          <w:i w:val="0"/>
          <w:sz w:val="22"/>
        </w:rPr>
        <w:t xml:space="preserve">  附录E  教学大纲</w:t>
      </w:r>
    </w:p>
    <w:p>
      <w:pPr>
        <w:spacing w:after="40" w:before="40"/>
      </w:pPr>
      <w:r>
        <w:rPr>
          <w:rFonts w:ascii="Times New Roman" w:hAnsi="Times New Roman" w:eastAsia="宋体"/>
          <w:b/>
          <w:i w:val="0"/>
          <w:sz w:val="22"/>
        </w:rPr>
        <w:t xml:space="preserve">  附录F  实训项目</w:t>
      </w:r>
    </w:p>
    <w:p>
      <w:pPr>
        <w:spacing w:after="40" w:before="40"/>
      </w:pPr>
      <w:r>
        <w:rPr>
          <w:rFonts w:ascii="Times New Roman" w:hAnsi="Times New Roman" w:eastAsia="宋体"/>
          <w:b/>
          <w:i w:val="0"/>
          <w:sz w:val="22"/>
        </w:rPr>
        <w:t xml:space="preserve">  附录G  大事记</w:t>
      </w:r>
    </w:p>
    <w:p>
      <w:r>
        <w:br w:type="page"/>
      </w:r>
    </w:p>
    <w:p>
      <w:pPr>
        <w:jc w:val="center"/>
      </w:pPr>
      <w:r>
        <w:rPr>
          <w:rFonts w:ascii="Times New Roman" w:hAnsi="Times New Roman" w:eastAsia="黑体"/>
          <w:b/>
          <w:i w:val="0"/>
          <w:color w:val="1A3C6E"/>
          <w:sz w:val="44"/>
        </w:rPr>
        <w:t>第一篇  基础与背景</w:t>
      </w:r>
    </w:p>
    <w:p/>
    <w:p/>
    <w:p/>
    <w:p/>
    <w:p>
      <w:r>
        <w:br w:type="page"/>
      </w:r>
    </w:p>
    <w:p>
      <w:pPr>
        <w:pStyle w:val="Heading1"/>
        <w:spacing w:before="360" w:after="120"/>
      </w:pPr>
      <w:r>
        <w:rPr>
          <w:rFonts w:ascii="Times New Roman" w:hAnsi="Times New Roman" w:eastAsia="黑体"/>
          <w:b/>
          <w:i w:val="0"/>
          <w:sz w:val="32"/>
        </w:rPr>
        <w:t>第1章 智能电网与实时定价概述</w:t>
      </w:r>
    </w:p>
    <w:p>
      <w:pPr>
        <w:pStyle w:val="Heading2"/>
        <w:spacing w:before="240" w:after="80"/>
      </w:pPr>
      <w:r>
        <w:rPr>
          <w:rFonts w:ascii="Times New Roman" w:hAnsi="Times New Roman" w:eastAsia="黑体"/>
          <w:b/>
          <w:i w:val="0"/>
          <w:sz w:val="28"/>
        </w:rPr>
        <w:t>学习目标</w:t>
      </w:r>
    </w:p>
    <w:p>
      <w:pPr>
        <w:spacing w:line="360" w:lineRule="auto" w:after="0"/>
        <w:ind w:firstLine="425"/>
      </w:pPr>
      <w:r>
        <w:rPr>
          <w:rFonts w:ascii="Times New Roman" w:hAnsi="Times New Roman" w:eastAsia="宋体"/>
          <w:b w:val="0"/>
          <w:i w:val="0"/>
          <w:sz w:val="22"/>
        </w:rPr>
        <w:t>通过本章学习，读者应能够：</w:t>
      </w:r>
    </w:p>
    <w:p>
      <w:pPr>
        <w:pStyle w:val="ListBullet"/>
        <w:spacing w:line="360" w:lineRule="auto" w:after="0"/>
      </w:pPr>
      <w:r>
        <w:rPr>
          <w:rFonts w:ascii="Times New Roman" w:hAnsi="Times New Roman" w:eastAsia="宋体"/>
          <w:b w:val="0"/>
          <w:i w:val="0"/>
          <w:sz w:val="22"/>
        </w:rPr>
        <w:t>理解智能电网的基本概念、特征和发展历程</w:t>
      </w:r>
    </w:p>
    <w:p>
      <w:pPr>
        <w:pStyle w:val="ListBullet"/>
        <w:spacing w:line="360" w:lineRule="auto" w:after="0"/>
      </w:pPr>
      <w:r>
        <w:rPr>
          <w:rFonts w:ascii="Times New Roman" w:hAnsi="Times New Roman" w:eastAsia="宋体"/>
          <w:b w:val="0"/>
          <w:i w:val="0"/>
          <w:sz w:val="22"/>
        </w:rPr>
        <w:t>掌握实时定价的定义、分类及其在智能电网中的核心地位</w:t>
      </w:r>
    </w:p>
    <w:p>
      <w:pPr>
        <w:pStyle w:val="ListBullet"/>
        <w:spacing w:line="360" w:lineRule="auto" w:after="0"/>
      </w:pPr>
      <w:r>
        <w:rPr>
          <w:rFonts w:ascii="Times New Roman" w:hAnsi="Times New Roman" w:eastAsia="宋体"/>
          <w:b w:val="0"/>
          <w:i w:val="0"/>
          <w:sz w:val="22"/>
        </w:rPr>
        <w:t>了解实时定价技术的国内外研究现状与发展趋势</w:t>
      </w:r>
    </w:p>
    <w:p>
      <w:pPr>
        <w:pStyle w:val="ListBullet"/>
        <w:spacing w:line="360" w:lineRule="auto" w:after="0"/>
      </w:pPr>
      <w:r>
        <w:rPr>
          <w:rFonts w:ascii="Times New Roman" w:hAnsi="Times New Roman" w:eastAsia="宋体"/>
          <w:b w:val="0"/>
          <w:i w:val="0"/>
          <w:sz w:val="22"/>
        </w:rPr>
        <w:t>把握本综述的整体组织结构与阅读路线</w:t>
      </w:r>
    </w:p>
    <w:p>
      <w:pPr>
        <w:pStyle w:val="Heading2"/>
        <w:spacing w:before="240" w:after="80"/>
      </w:pPr>
      <w:r>
        <w:rPr>
          <w:rFonts w:ascii="Times New Roman" w:hAnsi="Times New Roman" w:eastAsia="黑体"/>
          <w:b/>
          <w:i w:val="0"/>
          <w:sz w:val="28"/>
        </w:rPr>
        <w:t>导入案例：加州电力危机与实时定价的启示</w:t>
      </w:r>
    </w:p>
    <w:p>
      <w:pPr>
        <w:spacing w:line="360" w:lineRule="auto" w:after="0"/>
        <w:ind w:firstLine="425"/>
      </w:pPr>
      <w:r>
        <w:rPr>
          <w:rFonts w:ascii="Times New Roman" w:hAnsi="Times New Roman" w:eastAsia="宋体"/>
          <w:b w:val="0"/>
          <w:i w:val="0"/>
          <w:sz w:val="22"/>
        </w:rPr>
        <w:t>2000年至2001年，美国加州爆发了严重的电力危机，导致大规模停电和电价飙升。这一事件的根本原因之一在于电力市场定价机制的缺陷——当时的定价体系无法及时反映供需变化，导致用户缺乏价格信号引导，用电行为与供电能力严重错配。这一教训促使学术界和工业界重新审视电力定价机制，推动了实时定价（Real-Time Pricing, RTP）技术的快速发展</w:t>
      </w:r>
      <w:r>
        <w:rPr>
          <w:rFonts w:ascii="Times New Roman" w:hAnsi="Times New Roman" w:eastAsia="Times New Roman"/>
          <w:b w:val="0"/>
          <w:i w:val="0"/>
          <w:sz w:val="18"/>
          <w:vertAlign w:val="superscript"/>
        </w:rPr>
        <w:t>[1]</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在智能电网环境下，先进测量基础设施（AMI）和双向通信技术的普及使得实时定价成为可能。电力供应商可以根据实时供需状况动态调整电价，用户则可以根据价格信号优化用电行为，从而实现供需双侧的协同优化</w:t>
      </w:r>
      <w:r>
        <w:rPr>
          <w:rFonts w:ascii="Times New Roman" w:hAnsi="Times New Roman" w:eastAsia="Times New Roman"/>
          <w:b w:val="0"/>
          <w:i w:val="0"/>
          <w:sz w:val="18"/>
          <w:vertAlign w:val="superscript"/>
        </w:rPr>
        <w:t>[2]</w:t>
      </w:r>
      <w:r>
        <w:rPr>
          <w:rFonts w:ascii="Times New Roman" w:hAnsi="Times New Roman" w:eastAsia="宋体"/>
          <w:b w:val="0"/>
          <w:i w:val="0"/>
          <w:sz w:val="22"/>
        </w:rPr>
        <w:t>。这一机制不仅能有效削峰填谷、提高电网运行效率，还能促进可再生能源的消纳，为构建清洁、高效、可持续的现代电力系统提供关键支撑。</w:t>
      </w:r>
    </w:p>
    <w:p>
      <w:pPr>
        <w:pStyle w:val="Heading2"/>
        <w:spacing w:before="240" w:after="80"/>
      </w:pPr>
      <w:r>
        <w:rPr>
          <w:rFonts w:ascii="Times New Roman" w:hAnsi="Times New Roman" w:eastAsia="黑体"/>
          <w:b/>
          <w:i w:val="0"/>
          <w:sz w:val="28"/>
        </w:rPr>
        <w:t>1.1 智能电网的概念与发展历程</w:t>
      </w:r>
    </w:p>
    <w:p>
      <w:pPr>
        <w:pStyle w:val="Heading3"/>
        <w:spacing w:before="160" w:after="60"/>
      </w:pPr>
      <w:r>
        <w:rPr>
          <w:rFonts w:ascii="Times New Roman" w:hAnsi="Times New Roman" w:eastAsia="黑体"/>
          <w:b/>
          <w:i w:val="0"/>
          <w:sz w:val="24"/>
        </w:rPr>
        <w:t>1.1.1 智能电网的定义</w:t>
      </w:r>
    </w:p>
    <w:p>
      <w:pPr>
        <w:spacing w:line="360" w:lineRule="auto" w:after="0"/>
        <w:ind w:firstLine="425"/>
      </w:pPr>
      <w:r>
        <w:rPr>
          <w:rFonts w:ascii="Times New Roman" w:hAnsi="Times New Roman" w:eastAsia="宋体"/>
          <w:b w:val="0"/>
          <w:i w:val="0"/>
          <w:sz w:val="22"/>
        </w:rPr>
        <w:t>智能电网（Smart Grid）是传统电力系统与现代信息通信技术（ICT）深度融合的产物。美国能源部将智能电网定义为"一个完全自动化的电力输送网络，能够监测和控制每个用户和每个节点，保证从发电厂到终端用户之间所有环节的电力流和信息流的双向流动"</w:t>
      </w:r>
      <w:r>
        <w:rPr>
          <w:rFonts w:ascii="Times New Roman" w:hAnsi="Times New Roman" w:eastAsia="Times New Roman"/>
          <w:b w:val="0"/>
          <w:i w:val="0"/>
          <w:sz w:val="18"/>
          <w:vertAlign w:val="superscript"/>
        </w:rPr>
        <w:t>[3]</w:t>
      </w:r>
      <w:r>
        <w:rPr>
          <w:rFonts w:ascii="Times New Roman" w:hAnsi="Times New Roman" w:eastAsia="宋体"/>
          <w:b w:val="0"/>
          <w:i w:val="0"/>
          <w:sz w:val="22"/>
        </w:rPr>
        <w:t>。欧洲技术平台则强调智能电网应能够"灵活地满足用户需求，同时确保供电的可靠性和经济性"。</w:t>
      </w:r>
    </w:p>
    <w:p>
      <w:pPr>
        <w:spacing w:line="360" w:lineRule="auto" w:after="0"/>
        <w:ind w:firstLine="425"/>
      </w:pPr>
      <w:r>
        <w:rPr>
          <w:rFonts w:ascii="Times New Roman" w:hAnsi="Times New Roman" w:eastAsia="宋体"/>
          <w:b w:val="0"/>
          <w:i w:val="0"/>
          <w:sz w:val="22"/>
        </w:rPr>
        <w:t>从技术特征来看，智能电网具有以下核心属性：（1）数字化——全面的传感器网络和数据采集系统；（2）双向性——电力流和信息流的双向传输；（3）自动化——自愈和自优化能力；（4）互动性——用户与电网的实时交互；（5）分布式——支持分布式能源和微电网接入</w:t>
      </w:r>
      <w:r>
        <w:rPr>
          <w:rFonts w:ascii="Times New Roman" w:hAnsi="Times New Roman" w:eastAsia="Times New Roman"/>
          <w:b w:val="0"/>
          <w:i w:val="0"/>
          <w:sz w:val="18"/>
          <w:vertAlign w:val="superscript"/>
        </w:rPr>
        <w:t>[4]</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1.1.2 智能电网的发展历程</w:t>
      </w:r>
    </w:p>
    <w:p>
      <w:pPr>
        <w:spacing w:line="360" w:lineRule="auto" w:after="0"/>
        <w:ind w:firstLine="425"/>
      </w:pPr>
      <w:r>
        <w:rPr>
          <w:rFonts w:ascii="Times New Roman" w:hAnsi="Times New Roman" w:eastAsia="宋体"/>
          <w:b w:val="0"/>
          <w:i w:val="0"/>
          <w:sz w:val="22"/>
        </w:rPr>
        <w:t>电力系统的发展经历了三个主要阶段。第一阶段是传统电网时代（20世纪初至末），以大型集中式发电厂和单向辐射状输配电网络为特征，定价机制以固定电价为主。第二阶段是电力市场化改革阶段（20世纪90年代至21世纪初），引入竞争机制，出现分时定价（Time-of-Use, TOU）等初步动态定价模式。第三阶段是智能电网时代（21世纪以来），以AMI部署、可再生能源大规模接入和需求响应（Demand Response, DR）技术普及为标志，实时定价成为关键技术方向</w:t>
      </w:r>
      <w:r>
        <w:rPr>
          <w:rFonts w:ascii="Times New Roman" w:hAnsi="Times New Roman" w:eastAsia="Times New Roman"/>
          <w:b w:val="0"/>
          <w:i w:val="0"/>
          <w:sz w:val="18"/>
          <w:vertAlign w:val="superscript"/>
        </w:rPr>
        <w:t>[5]</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在中国，智能电网建设经历了"坚强智能电网"（2009-2020）到"新型电力系统"（2021至今）的演进过程。国家电网公司于2009年首次提出坚强智能电网发展战略，此后持续推进AMI部署、配电自动化和新能源并网工作。2021年，中国在"双碳"目标指引下提出构建新型电力系统，进一步强调了源网荷储协同和市场化定价机制的重要性</w:t>
      </w:r>
      <w:r>
        <w:rPr>
          <w:rFonts w:ascii="Times New Roman" w:hAnsi="Times New Roman" w:eastAsia="Times New Roman"/>
          <w:b w:val="0"/>
          <w:i w:val="0"/>
          <w:sz w:val="18"/>
          <w:vertAlign w:val="superscript"/>
        </w:rPr>
        <w:t>[6]</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1.1.3 智能电网的关键技术</w:t>
      </w:r>
    </w:p>
    <w:p>
      <w:pPr>
        <w:spacing w:line="360" w:lineRule="auto" w:after="0"/>
        <w:ind w:firstLine="425"/>
      </w:pPr>
      <w:r>
        <w:rPr>
          <w:rFonts w:ascii="Times New Roman" w:hAnsi="Times New Roman" w:eastAsia="宋体"/>
          <w:b w:val="0"/>
          <w:i w:val="0"/>
          <w:sz w:val="22"/>
        </w:rPr>
        <w:t>智能电网的建设涉及多项关键技术，其中与实时定价密切相关的主要包括：</w:t>
      </w:r>
    </w:p>
    <w:p>
      <w:pPr>
        <w:spacing w:line="360" w:lineRule="auto" w:after="0"/>
        <w:ind w:firstLine="425"/>
      </w:pPr>
      <w:r>
        <w:rPr>
          <w:rFonts w:ascii="Times New Roman" w:hAnsi="Times New Roman" w:eastAsia="宋体"/>
          <w:b/>
          <w:i w:val="0"/>
          <w:sz w:val="22"/>
        </w:rPr>
        <w:t>先进测量基础设施（AMI）</w:t>
      </w:r>
      <w:r>
        <w:rPr>
          <w:rFonts w:ascii="Times New Roman" w:hAnsi="Times New Roman" w:eastAsia="宋体"/>
          <w:b w:val="0"/>
          <w:i w:val="0"/>
          <w:sz w:val="22"/>
        </w:rPr>
        <w:t>：AMI由智能电表、通信网络和数据管理系统组成，是实现实时定价的物理基础。智能电表能够实现双向计量、实时数据采集和远程控制，为定价决策提供高频数据支撑。王等（2015）对智能电表数据分析及应用进行了全面综述，指出智能电表数据在负荷预测、用户行为分析和异常检测等方面具有重要价值</w:t>
      </w:r>
      <w:r>
        <w:rPr>
          <w:rFonts w:ascii="Times New Roman" w:hAnsi="Times New Roman" w:eastAsia="Times New Roman"/>
          <w:b w:val="0"/>
          <w:i w:val="0"/>
          <w:sz w:val="18"/>
          <w:vertAlign w:val="superscript"/>
        </w:rPr>
        <w:t>[7]</w:t>
      </w:r>
      <w:r>
        <w:rPr>
          <w:rFonts w:ascii="Times New Roman" w:hAnsi="Times New Roman" w:eastAsia="宋体"/>
          <w:b w:val="0"/>
          <w:i w:val="0"/>
          <w:sz w:val="22"/>
        </w:rPr>
        <w:t>。</w:t>
      </w:r>
    </w:p>
    <w:p>
      <w:pPr>
        <w:spacing w:line="360" w:lineRule="auto" w:after="0"/>
        <w:ind w:firstLine="425"/>
      </w:pPr>
      <w:r>
        <w:rPr>
          <w:rFonts w:ascii="Times New Roman" w:hAnsi="Times New Roman" w:eastAsia="宋体"/>
          <w:b/>
          <w:i w:val="0"/>
          <w:sz w:val="22"/>
        </w:rPr>
        <w:t>双向通信技术</w:t>
      </w:r>
      <w:r>
        <w:rPr>
          <w:rFonts w:ascii="Times New Roman" w:hAnsi="Times New Roman" w:eastAsia="宋体"/>
          <w:b w:val="0"/>
          <w:i w:val="0"/>
          <w:sz w:val="22"/>
        </w:rPr>
        <w:t>：包括电力线载波通信（PLC）、无线传感网络（WSN）、蜂窝网络等，确保价格信号和用电数据的实时传输。通信延迟和信息不对称是影响实时定价效果的重要因素，代等（2017）专门研究了考虑信息延迟的智能电网实时定价问题</w:t>
      </w:r>
      <w:r>
        <w:rPr>
          <w:rFonts w:ascii="Times New Roman" w:hAnsi="Times New Roman" w:eastAsia="Times New Roman"/>
          <w:b w:val="0"/>
          <w:i w:val="0"/>
          <w:sz w:val="18"/>
          <w:vertAlign w:val="superscript"/>
        </w:rPr>
        <w:t>[8]</w:t>
      </w:r>
      <w:r>
        <w:rPr>
          <w:rFonts w:ascii="Times New Roman" w:hAnsi="Times New Roman" w:eastAsia="宋体"/>
          <w:b w:val="0"/>
          <w:i w:val="0"/>
          <w:sz w:val="22"/>
        </w:rPr>
        <w:t>。</w:t>
      </w:r>
    </w:p>
    <w:p>
      <w:pPr>
        <w:spacing w:line="360" w:lineRule="auto" w:after="0"/>
        <w:ind w:firstLine="425"/>
      </w:pPr>
      <w:r>
        <w:rPr>
          <w:rFonts w:ascii="Times New Roman" w:hAnsi="Times New Roman" w:eastAsia="宋体"/>
          <w:b/>
          <w:i w:val="0"/>
          <w:sz w:val="22"/>
        </w:rPr>
        <w:t>分布式能源（DER）接入技术</w:t>
      </w:r>
      <w:r>
        <w:rPr>
          <w:rFonts w:ascii="Times New Roman" w:hAnsi="Times New Roman" w:eastAsia="宋体"/>
          <w:b w:val="0"/>
          <w:i w:val="0"/>
          <w:sz w:val="22"/>
        </w:rPr>
        <w:t>：包括光伏发电、风力发电、储能系统等。分布式能源的接入使电网从单向供电模式转变为双向互动模式，对定价机制提出了新的要求。陶等（2019）研究了有可再生能源和电力存储设施并网的智能电网优化用电策略</w:t>
      </w:r>
      <w:r>
        <w:rPr>
          <w:rFonts w:ascii="Times New Roman" w:hAnsi="Times New Roman" w:eastAsia="Times New Roman"/>
          <w:b w:val="0"/>
          <w:i w:val="0"/>
          <w:sz w:val="18"/>
          <w:vertAlign w:val="superscript"/>
        </w:rPr>
        <w:t>[9]</w:t>
      </w:r>
      <w:r>
        <w:rPr>
          <w:rFonts w:ascii="Times New Roman" w:hAnsi="Times New Roman" w:eastAsia="宋体"/>
          <w:b w:val="0"/>
          <w:i w:val="0"/>
          <w:sz w:val="22"/>
        </w:rPr>
        <w:t>。</w:t>
      </w:r>
    </w:p>
    <w:p>
      <w:pPr>
        <w:spacing w:line="360" w:lineRule="auto" w:after="0"/>
        <w:ind w:firstLine="425"/>
      </w:pPr>
      <w:r>
        <w:rPr>
          <w:rFonts w:ascii="Times New Roman" w:hAnsi="Times New Roman" w:eastAsia="宋体"/>
          <w:b/>
          <w:i w:val="0"/>
          <w:sz w:val="22"/>
        </w:rPr>
        <w:t>数据 analytics 与人工智能</w:t>
      </w:r>
      <w:r>
        <w:rPr>
          <w:rFonts w:ascii="Times New Roman" w:hAnsi="Times New Roman" w:eastAsia="宋体"/>
          <w:b w:val="0"/>
          <w:i w:val="0"/>
          <w:sz w:val="22"/>
        </w:rPr>
        <w:t>：大数据分析、机器学习和深度学习技术在负荷预测、价格预测和需求响应优化中发挥着越来越重要的作用。赵和高（2018）对大数据背景下智能电网的前景及应用进行了综述，强调了数据驱动方法在智能电网中的核心地位</w:t>
      </w:r>
      <w:r>
        <w:rPr>
          <w:rFonts w:ascii="Times New Roman" w:hAnsi="Times New Roman" w:eastAsia="Times New Roman"/>
          <w:b w:val="0"/>
          <w:i w:val="0"/>
          <w:sz w:val="18"/>
          <w:vertAlign w:val="superscript"/>
        </w:rPr>
        <w:t>[10]</w:t>
      </w:r>
      <w:r>
        <w:rPr>
          <w:rFonts w:ascii="Times New Roman" w:hAnsi="Times New Roman" w:eastAsia="宋体"/>
          <w:b w:val="0"/>
          <w:i w:val="0"/>
          <w:sz w:val="22"/>
        </w:rPr>
        <w:t>。</w:t>
      </w:r>
    </w:p>
    <w:p>
      <w:pPr>
        <w:pStyle w:val="Heading2"/>
        <w:spacing w:before="240" w:after="80"/>
      </w:pPr>
      <w:r>
        <w:rPr>
          <w:rFonts w:ascii="Times New Roman" w:hAnsi="Times New Roman" w:eastAsia="黑体"/>
          <w:b/>
          <w:i w:val="0"/>
          <w:sz w:val="28"/>
        </w:rPr>
        <w:t>1.2 实时定价的定义与分类</w:t>
      </w:r>
    </w:p>
    <w:p>
      <w:pPr>
        <w:pStyle w:val="Heading3"/>
        <w:spacing w:before="160" w:after="60"/>
      </w:pPr>
      <w:r>
        <w:rPr>
          <w:rFonts w:ascii="Times New Roman" w:hAnsi="Times New Roman" w:eastAsia="黑体"/>
          <w:b/>
          <w:i w:val="0"/>
          <w:sz w:val="24"/>
        </w:rPr>
        <w:t>1.2.1 实时定价的定义</w:t>
      </w:r>
    </w:p>
    <w:p>
      <w:pPr>
        <w:spacing w:line="360" w:lineRule="auto" w:after="0"/>
        <w:ind w:firstLine="425"/>
      </w:pPr>
      <w:r>
        <w:rPr>
          <w:rFonts w:ascii="Times New Roman" w:hAnsi="Times New Roman" w:eastAsia="宋体"/>
          <w:b w:val="0"/>
          <w:i w:val="0"/>
          <w:sz w:val="22"/>
        </w:rPr>
        <w:t>实时定价（Real-Time Pricing, RTP）是指电力价格根据实时供需状况动态调整的定价机制。与传统的固定电价和分时电价不同，实时定价的价格信号能够反映电力系统的瞬时供需平衡状态，从而更有效地引导用户用电行为</w:t>
      </w:r>
      <w:r>
        <w:rPr>
          <w:rFonts w:ascii="Times New Roman" w:hAnsi="Times New Roman" w:eastAsia="Times New Roman"/>
          <w:b w:val="0"/>
          <w:i w:val="0"/>
          <w:sz w:val="18"/>
          <w:vertAlign w:val="superscript"/>
        </w:rPr>
        <w:t>[11]</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在学术文献中，实时定价通常被定义为：在给定的定价周期内（通常为15分钟至1小时），电力供应商根据实时负荷水平、发电成本、可再生能源出力等因素，通过优化算法计算并向用户发布的动态电价</w:t>
      </w:r>
      <w:r>
        <w:rPr>
          <w:rFonts w:ascii="Times New Roman" w:hAnsi="Times New Roman" w:eastAsia="Times New Roman"/>
          <w:b w:val="0"/>
          <w:i w:val="0"/>
          <w:sz w:val="18"/>
          <w:vertAlign w:val="superscript"/>
        </w:rPr>
        <w:t>[12]</w:t>
      </w:r>
      <w:r>
        <w:rPr>
          <w:rFonts w:ascii="Times New Roman" w:hAnsi="Times New Roman" w:eastAsia="宋体"/>
          <w:b w:val="0"/>
          <w:i w:val="0"/>
          <w:sz w:val="22"/>
        </w:rPr>
        <w:t>。其核心目标是实现社会福利最大化，即在保障供电可靠性的前提下，最大化用户效用与供电成本之差。</w:t>
      </w:r>
    </w:p>
    <w:p>
      <w:pPr>
        <w:pStyle w:val="Heading3"/>
        <w:spacing w:before="160" w:after="60"/>
      </w:pPr>
      <w:r>
        <w:rPr>
          <w:rFonts w:ascii="Times New Roman" w:hAnsi="Times New Roman" w:eastAsia="黑体"/>
          <w:b/>
          <w:i w:val="0"/>
          <w:sz w:val="24"/>
        </w:rPr>
        <w:t>1.2.2 定价机制的分类</w:t>
      </w:r>
    </w:p>
    <w:p>
      <w:pPr>
        <w:spacing w:line="360" w:lineRule="auto" w:after="0"/>
        <w:ind w:firstLine="425"/>
      </w:pPr>
      <w:r>
        <w:rPr>
          <w:rFonts w:ascii="Times New Roman" w:hAnsi="Times New Roman" w:eastAsia="宋体"/>
          <w:b w:val="0"/>
          <w:i w:val="0"/>
          <w:sz w:val="22"/>
        </w:rPr>
        <w:t>电力定价机制按价格调整频率和方式可分为以下几类：</w:t>
      </w:r>
    </w:p>
    <w:tbl>
      <w:tblPr>
        <w:tblStyle w:val="LightGrid-Accent1"/>
        <w:tblW w:type="auto" w:w="0"/>
        <w:jc w:val="center"/>
        <w:tblLook w:firstColumn="1" w:firstRow="1" w:lastColumn="0" w:lastRow="0" w:noHBand="0" w:noVBand="1" w:val="04A0"/>
      </w:tblPr>
      <w:tblGrid>
        <w:gridCol w:w="1701"/>
        <w:gridCol w:w="1701"/>
        <w:gridCol w:w="1701"/>
        <w:gridCol w:w="1701"/>
        <w:gridCol w:w="1701"/>
      </w:tblGrid>
      <w:tr>
        <w:tc>
          <w:tcPr>
            <w:tcW w:type="dxa" w:w="1701"/>
          </w:tcPr>
          <w:p>
            <w:pPr>
              <w:spacing w:after="40" w:before="40"/>
            </w:pPr>
            <w:r>
              <w:rPr>
                <w:b/>
              </w:rPr>
            </w:r>
            <w:r>
              <w:rPr>
                <w:rFonts w:ascii="Times New Roman" w:hAnsi="Times New Roman" w:eastAsia="黑体"/>
                <w:b/>
                <w:i w:val="0"/>
                <w:sz w:val="20"/>
              </w:rPr>
              <w:t>定价类型</w:t>
            </w:r>
          </w:p>
        </w:tc>
        <w:tc>
          <w:tcPr>
            <w:tcW w:type="dxa" w:w="1701"/>
          </w:tcPr>
          <w:p>
            <w:pPr>
              <w:spacing w:after="40" w:before="40"/>
            </w:pPr>
            <w:r>
              <w:rPr>
                <w:b/>
              </w:rPr>
            </w:r>
            <w:r>
              <w:rPr>
                <w:rFonts w:ascii="Times New Roman" w:hAnsi="Times New Roman" w:eastAsia="黑体"/>
                <w:b/>
                <w:i w:val="0"/>
                <w:sz w:val="20"/>
              </w:rPr>
              <w:t>调整频率</w:t>
            </w:r>
          </w:p>
        </w:tc>
        <w:tc>
          <w:tcPr>
            <w:tcW w:type="dxa" w:w="1701"/>
          </w:tcPr>
          <w:p>
            <w:pPr>
              <w:spacing w:after="40" w:before="40"/>
            </w:pPr>
            <w:r>
              <w:rPr>
                <w:b/>
              </w:rPr>
            </w:r>
            <w:r>
              <w:rPr>
                <w:rFonts w:ascii="Times New Roman" w:hAnsi="Times New Roman" w:eastAsia="黑体"/>
                <w:b/>
                <w:i w:val="0"/>
                <w:sz w:val="20"/>
              </w:rPr>
              <w:t>价格确定性</w:t>
            </w:r>
          </w:p>
        </w:tc>
        <w:tc>
          <w:tcPr>
            <w:tcW w:type="dxa" w:w="1701"/>
          </w:tcPr>
          <w:p>
            <w:pPr>
              <w:spacing w:after="40" w:before="40"/>
            </w:pPr>
            <w:r>
              <w:rPr>
                <w:b/>
              </w:rPr>
            </w:r>
            <w:r>
              <w:rPr>
                <w:rFonts w:ascii="Times New Roman" w:hAnsi="Times New Roman" w:eastAsia="黑体"/>
                <w:b/>
                <w:i w:val="0"/>
                <w:sz w:val="20"/>
              </w:rPr>
              <w:t>用户响应时间</w:t>
            </w:r>
          </w:p>
        </w:tc>
        <w:tc>
          <w:tcPr>
            <w:tcW w:type="dxa" w:w="1701"/>
          </w:tcPr>
          <w:p>
            <w:pPr>
              <w:spacing w:after="40" w:before="40"/>
            </w:pPr>
            <w:r>
              <w:rPr>
                <w:b/>
              </w:rPr>
            </w:r>
            <w:r>
              <w:rPr>
                <w:rFonts w:ascii="Times New Roman" w:hAnsi="Times New Roman" w:eastAsia="黑体"/>
                <w:b/>
                <w:i w:val="0"/>
                <w:sz w:val="20"/>
              </w:rPr>
              <w:t>实施复杂度</w:t>
            </w:r>
          </w:p>
        </w:tc>
      </w:tr>
      <w:tr>
        <w:tc>
          <w:tcPr>
            <w:tcW w:type="dxa" w:w="1701"/>
          </w:tcPr>
          <w:p>
            <w:pPr>
              <w:spacing w:after="40" w:before="40"/>
            </w:pPr>
            <w:r/>
            <w:r>
              <w:rPr>
                <w:rFonts w:ascii="Times New Roman" w:hAnsi="Times New Roman" w:eastAsia="宋体"/>
                <w:b w:val="0"/>
                <w:i w:val="0"/>
                <w:sz w:val="20"/>
              </w:rPr>
              <w:t>固定电价</w:t>
            </w:r>
          </w:p>
        </w:tc>
        <w:tc>
          <w:tcPr>
            <w:tcW w:type="dxa" w:w="1701"/>
          </w:tcPr>
          <w:p>
            <w:pPr>
              <w:spacing w:after="40" w:before="40"/>
            </w:pPr>
            <w:r/>
            <w:r>
              <w:rPr>
                <w:rFonts w:ascii="Times New Roman" w:hAnsi="Times New Roman" w:eastAsia="宋体"/>
                <w:b w:val="0"/>
                <w:i w:val="0"/>
                <w:sz w:val="20"/>
              </w:rPr>
              <w:t>不调整</w:t>
            </w:r>
          </w:p>
        </w:tc>
        <w:tc>
          <w:tcPr>
            <w:tcW w:type="dxa" w:w="1701"/>
          </w:tcPr>
          <w:p>
            <w:pPr>
              <w:spacing w:after="40" w:before="40"/>
            </w:pPr>
            <w:r/>
            <w:r>
              <w:rPr>
                <w:rFonts w:ascii="Times New Roman" w:hAnsi="Times New Roman" w:eastAsia="宋体"/>
                <w:b w:val="0"/>
                <w:i w:val="0"/>
                <w:sz w:val="20"/>
              </w:rPr>
              <w:t>完全确定</w:t>
            </w:r>
          </w:p>
        </w:tc>
        <w:tc>
          <w:tcPr>
            <w:tcW w:type="dxa" w:w="1701"/>
          </w:tcPr>
          <w:p>
            <w:pPr>
              <w:spacing w:after="40" w:before="40"/>
            </w:pPr>
            <w:r/>
            <w:r>
              <w:rPr>
                <w:rFonts w:ascii="Times New Roman" w:hAnsi="Times New Roman" w:eastAsia="宋体"/>
                <w:b w:val="0"/>
                <w:i w:val="0"/>
                <w:sz w:val="20"/>
              </w:rPr>
              <w:t>无</w:t>
            </w:r>
          </w:p>
        </w:tc>
        <w:tc>
          <w:tcPr>
            <w:tcW w:type="dxa" w:w="1701"/>
          </w:tcPr>
          <w:p>
            <w:pPr>
              <w:spacing w:after="40" w:before="40"/>
            </w:pPr>
            <w:r/>
            <w:r>
              <w:rPr>
                <w:rFonts w:ascii="Times New Roman" w:hAnsi="Times New Roman" w:eastAsia="宋体"/>
                <w:b w:val="0"/>
                <w:i w:val="0"/>
                <w:sz w:val="20"/>
              </w:rPr>
              <w:t>低</w:t>
            </w:r>
          </w:p>
        </w:tc>
      </w:tr>
      <w:tr>
        <w:tc>
          <w:tcPr>
            <w:tcW w:type="dxa" w:w="1701"/>
            <w:shd w:val="clear" w:color="auto" w:fill="F0F4F8"/>
          </w:tcPr>
          <w:p>
            <w:pPr>
              <w:spacing w:after="40" w:before="40"/>
            </w:pPr>
            <w:r/>
            <w:r>
              <w:rPr>
                <w:rFonts w:ascii="Times New Roman" w:hAnsi="Times New Roman" w:eastAsia="宋体"/>
                <w:b w:val="0"/>
                <w:i w:val="0"/>
                <w:sz w:val="20"/>
              </w:rPr>
              <w:t>分时电价（TOU）</w:t>
            </w:r>
          </w:p>
        </w:tc>
        <w:tc>
          <w:tcPr>
            <w:tcW w:type="dxa" w:w="1701"/>
            <w:shd w:val="clear" w:color="auto" w:fill="F0F4F8"/>
          </w:tcPr>
          <w:p>
            <w:pPr>
              <w:spacing w:after="40" w:before="40"/>
            </w:pPr>
            <w:r/>
            <w:r>
              <w:rPr>
                <w:rFonts w:ascii="Times New Roman" w:hAnsi="Times New Roman" w:eastAsia="宋体"/>
                <w:b w:val="0"/>
                <w:i w:val="0"/>
                <w:sz w:val="20"/>
              </w:rPr>
              <w:t>季度/年</w:t>
            </w:r>
          </w:p>
        </w:tc>
        <w:tc>
          <w:tcPr>
            <w:tcW w:type="dxa" w:w="1701"/>
            <w:shd w:val="clear" w:color="auto" w:fill="F0F4F8"/>
          </w:tcPr>
          <w:p>
            <w:pPr>
              <w:spacing w:after="40" w:before="40"/>
            </w:pPr>
            <w:r/>
            <w:r>
              <w:rPr>
                <w:rFonts w:ascii="Times New Roman" w:hAnsi="Times New Roman" w:eastAsia="宋体"/>
                <w:b w:val="0"/>
                <w:i w:val="0"/>
                <w:sz w:val="20"/>
              </w:rPr>
              <w:t>预先确定</w:t>
            </w:r>
          </w:p>
        </w:tc>
        <w:tc>
          <w:tcPr>
            <w:tcW w:type="dxa" w:w="1701"/>
            <w:shd w:val="clear" w:color="auto" w:fill="F0F4F8"/>
          </w:tcPr>
          <w:p>
            <w:pPr>
              <w:spacing w:after="40" w:before="40"/>
            </w:pPr>
            <w:r/>
            <w:r>
              <w:rPr>
                <w:rFonts w:ascii="Times New Roman" w:hAnsi="Times New Roman" w:eastAsia="宋体"/>
                <w:b w:val="0"/>
                <w:i w:val="0"/>
                <w:sz w:val="20"/>
              </w:rPr>
              <w:t>提前知晓</w:t>
            </w:r>
          </w:p>
        </w:tc>
        <w:tc>
          <w:tcPr>
            <w:tcW w:type="dxa" w:w="1701"/>
            <w:shd w:val="clear" w:color="auto" w:fill="F0F4F8"/>
          </w:tcPr>
          <w:p>
            <w:pPr>
              <w:spacing w:after="40" w:before="40"/>
            </w:pPr>
            <w:r/>
            <w:r>
              <w:rPr>
                <w:rFonts w:ascii="Times New Roman" w:hAnsi="Times New Roman" w:eastAsia="宋体"/>
                <w:b w:val="0"/>
                <w:i w:val="0"/>
                <w:sz w:val="20"/>
              </w:rPr>
              <w:t>中</w:t>
            </w:r>
          </w:p>
        </w:tc>
      </w:tr>
      <w:tr>
        <w:tc>
          <w:tcPr>
            <w:tcW w:type="dxa" w:w="1701"/>
          </w:tcPr>
          <w:p>
            <w:pPr>
              <w:spacing w:after="40" w:before="40"/>
            </w:pPr>
            <w:r/>
            <w:r>
              <w:rPr>
                <w:rFonts w:ascii="Times New Roman" w:hAnsi="Times New Roman" w:eastAsia="宋体"/>
                <w:b w:val="0"/>
                <w:i w:val="0"/>
                <w:sz w:val="20"/>
              </w:rPr>
              <w:t>实时电价（RTP）</w:t>
            </w:r>
          </w:p>
        </w:tc>
        <w:tc>
          <w:tcPr>
            <w:tcW w:type="dxa" w:w="1701"/>
          </w:tcPr>
          <w:p>
            <w:pPr>
              <w:spacing w:after="40" w:before="40"/>
            </w:pPr>
            <w:r/>
            <w:r>
              <w:rPr>
                <w:rFonts w:ascii="Times New Roman" w:hAnsi="Times New Roman" w:eastAsia="宋体"/>
                <w:b w:val="0"/>
                <w:i w:val="0"/>
                <w:sz w:val="20"/>
              </w:rPr>
              <w:t>小时/15分钟</w:t>
            </w:r>
          </w:p>
        </w:tc>
        <w:tc>
          <w:tcPr>
            <w:tcW w:type="dxa" w:w="1701"/>
          </w:tcPr>
          <w:p>
            <w:pPr>
              <w:spacing w:after="40" w:before="40"/>
            </w:pPr>
            <w:r/>
            <w:r>
              <w:rPr>
                <w:rFonts w:ascii="Times New Roman" w:hAnsi="Times New Roman" w:eastAsia="宋体"/>
                <w:b w:val="0"/>
                <w:i w:val="0"/>
                <w:sz w:val="20"/>
              </w:rPr>
              <w:t>实时确定</w:t>
            </w:r>
          </w:p>
        </w:tc>
        <w:tc>
          <w:tcPr>
            <w:tcW w:type="dxa" w:w="1701"/>
          </w:tcPr>
          <w:p>
            <w:pPr>
              <w:spacing w:after="40" w:before="40"/>
            </w:pPr>
            <w:r/>
            <w:r>
              <w:rPr>
                <w:rFonts w:ascii="Times New Roman" w:hAnsi="Times New Roman" w:eastAsia="宋体"/>
                <w:b w:val="0"/>
                <w:i w:val="0"/>
                <w:sz w:val="20"/>
              </w:rPr>
              <w:t>短时响应</w:t>
            </w:r>
          </w:p>
        </w:tc>
        <w:tc>
          <w:tcPr>
            <w:tcW w:type="dxa" w:w="1701"/>
          </w:tcPr>
          <w:p>
            <w:pPr>
              <w:spacing w:after="40" w:before="40"/>
            </w:pPr>
            <w:r/>
            <w:r>
              <w:rPr>
                <w:rFonts w:ascii="Times New Roman" w:hAnsi="Times New Roman" w:eastAsia="宋体"/>
                <w:b w:val="0"/>
                <w:i w:val="0"/>
                <w:sz w:val="20"/>
              </w:rPr>
              <w:t>高</w:t>
            </w:r>
          </w:p>
        </w:tc>
      </w:tr>
      <w:tr>
        <w:tc>
          <w:tcPr>
            <w:tcW w:type="dxa" w:w="1701"/>
            <w:shd w:val="clear" w:color="auto" w:fill="F0F4F8"/>
          </w:tcPr>
          <w:p>
            <w:pPr>
              <w:spacing w:after="40" w:before="40"/>
            </w:pPr>
            <w:r/>
            <w:r>
              <w:rPr>
                <w:rFonts w:ascii="Times New Roman" w:hAnsi="Times New Roman" w:eastAsia="宋体"/>
                <w:b w:val="0"/>
                <w:i w:val="0"/>
                <w:sz w:val="20"/>
              </w:rPr>
              <w:t>极实时定价</w:t>
            </w:r>
          </w:p>
        </w:tc>
        <w:tc>
          <w:tcPr>
            <w:tcW w:type="dxa" w:w="1701"/>
            <w:shd w:val="clear" w:color="auto" w:fill="F0F4F8"/>
          </w:tcPr>
          <w:p>
            <w:pPr>
              <w:spacing w:after="40" w:before="40"/>
            </w:pPr>
            <w:r/>
            <w:r>
              <w:rPr>
                <w:rFonts w:ascii="Times New Roman" w:hAnsi="Times New Roman" w:eastAsia="宋体"/>
                <w:b w:val="0"/>
                <w:i w:val="0"/>
                <w:sz w:val="20"/>
              </w:rPr>
              <w:t>分钟级</w:t>
            </w:r>
          </w:p>
        </w:tc>
        <w:tc>
          <w:tcPr>
            <w:tcW w:type="dxa" w:w="1701"/>
            <w:shd w:val="clear" w:color="auto" w:fill="F0F4F8"/>
          </w:tcPr>
          <w:p>
            <w:pPr>
              <w:spacing w:after="40" w:before="40"/>
            </w:pPr>
            <w:r/>
            <w:r>
              <w:rPr>
                <w:rFonts w:ascii="Times New Roman" w:hAnsi="Times New Roman" w:eastAsia="宋体"/>
                <w:b w:val="0"/>
                <w:i w:val="0"/>
                <w:sz w:val="20"/>
              </w:rPr>
              <w:t>高频变化</w:t>
            </w:r>
          </w:p>
        </w:tc>
        <w:tc>
          <w:tcPr>
            <w:tcW w:type="dxa" w:w="1701"/>
            <w:shd w:val="clear" w:color="auto" w:fill="F0F4F8"/>
          </w:tcPr>
          <w:p>
            <w:pPr>
              <w:spacing w:after="40" w:before="40"/>
            </w:pPr>
            <w:r/>
            <w:r>
              <w:rPr>
                <w:rFonts w:ascii="Times New Roman" w:hAnsi="Times New Roman" w:eastAsia="宋体"/>
                <w:b w:val="0"/>
                <w:i w:val="0"/>
                <w:sz w:val="20"/>
              </w:rPr>
              <w:t>即时响应</w:t>
            </w:r>
          </w:p>
        </w:tc>
        <w:tc>
          <w:tcPr>
            <w:tcW w:type="dxa" w:w="1701"/>
            <w:shd w:val="clear" w:color="auto" w:fill="F0F4F8"/>
          </w:tcPr>
          <w:p>
            <w:pPr>
              <w:spacing w:after="40" w:before="40"/>
            </w:pPr>
            <w:r/>
            <w:r>
              <w:rPr>
                <w:rFonts w:ascii="Times New Roman" w:hAnsi="Times New Roman" w:eastAsia="宋体"/>
                <w:b w:val="0"/>
                <w:i w:val="0"/>
                <w:sz w:val="20"/>
              </w:rPr>
              <w:t>极高</w:t>
            </w:r>
          </w:p>
        </w:tc>
      </w:tr>
    </w:tbl>
    <w:p>
      <w:pPr>
        <w:spacing w:line="360" w:lineRule="auto" w:after="0"/>
        <w:ind w:firstLine="425"/>
      </w:pPr>
      <w:r>
        <w:rPr>
          <w:rFonts w:ascii="Times New Roman" w:hAnsi="Times New Roman" w:eastAsia="宋体"/>
          <w:b w:val="0"/>
          <w:i w:val="0"/>
          <w:sz w:val="22"/>
        </w:rPr>
        <w:t>从定价决策主体来看，实时定价可分为集中式定价和分布式定价两类。集中式定价由统一的控制中心收集所有用户信息并计算最优价格，优点是全局最优但通信开销大、隐私保护困难。分布式定价则通过局部信息交互实现价格收敛，具有更好的可扩展性和隐私保护特性</w:t>
      </w:r>
      <w:r>
        <w:rPr>
          <w:rFonts w:ascii="Times New Roman" w:hAnsi="Times New Roman" w:eastAsia="Times New Roman"/>
          <w:b w:val="0"/>
          <w:i w:val="0"/>
          <w:sz w:val="18"/>
          <w:vertAlign w:val="superscript"/>
        </w:rPr>
        <w:t>[13]</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从市场结构来看，实时定价可分为单零售商定价和多零售商竞争定价。在多零售商场景下，零售商之间存在价格竞争，需要引入博弈论方法进行分析。代和高（2014）率先研究了基于智能电网需求侧管理的多零售商实时定价策略，建立了Stackelberg博弈模型</w:t>
      </w:r>
      <w:r>
        <w:rPr>
          <w:rFonts w:ascii="Times New Roman" w:hAnsi="Times New Roman" w:eastAsia="Times New Roman"/>
          <w:b w:val="0"/>
          <w:i w:val="0"/>
          <w:sz w:val="18"/>
          <w:vertAlign w:val="superscript"/>
        </w:rPr>
        <w:t>[14]</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1.2.3 实时定价的技术要素</w:t>
      </w:r>
    </w:p>
    <w:p>
      <w:pPr>
        <w:spacing w:line="360" w:lineRule="auto" w:after="0"/>
        <w:ind w:firstLine="425"/>
      </w:pPr>
      <w:r>
        <w:rPr>
          <w:rFonts w:ascii="Times New Roman" w:hAnsi="Times New Roman" w:eastAsia="宋体"/>
          <w:b w:val="0"/>
          <w:i w:val="0"/>
          <w:sz w:val="22"/>
        </w:rPr>
        <w:t>实时定价系统的实现涉及以下核心技术要素：</w:t>
      </w:r>
    </w:p>
    <w:p>
      <w:pPr>
        <w:spacing w:line="360" w:lineRule="auto" w:after="0"/>
        <w:ind w:firstLine="425"/>
      </w:pPr>
      <w:r>
        <w:rPr>
          <w:rFonts w:ascii="Times New Roman" w:hAnsi="Times New Roman" w:eastAsia="宋体"/>
          <w:b/>
          <w:i w:val="0"/>
          <w:sz w:val="22"/>
        </w:rPr>
        <w:t>数据采集与处理</w:t>
      </w:r>
      <w:r>
        <w:rPr>
          <w:rFonts w:ascii="Times New Roman" w:hAnsi="Times New Roman" w:eastAsia="宋体"/>
          <w:b w:val="0"/>
          <w:i w:val="0"/>
          <w:sz w:val="22"/>
        </w:rPr>
        <w:t>：通过AMI系统实时采集用户用电数据、发电出力数据和电网状态数据，进行数据清洗、聚合和分析。数据的质量和时效性直接影响定价决策的有效性。</w:t>
      </w:r>
    </w:p>
    <w:p>
      <w:pPr>
        <w:spacing w:line="360" w:lineRule="auto" w:after="0"/>
        <w:ind w:firstLine="425"/>
      </w:pPr>
      <w:r>
        <w:rPr>
          <w:rFonts w:ascii="Times New Roman" w:hAnsi="Times New Roman" w:eastAsia="宋体"/>
          <w:b/>
          <w:i w:val="0"/>
          <w:sz w:val="22"/>
        </w:rPr>
        <w:t>负荷预测</w:t>
      </w:r>
      <w:r>
        <w:rPr>
          <w:rFonts w:ascii="Times New Roman" w:hAnsi="Times New Roman" w:eastAsia="宋体"/>
          <w:b w:val="0"/>
          <w:i w:val="0"/>
          <w:sz w:val="22"/>
        </w:rPr>
        <w:t>：准确的负荷预测是实时定价的基础。党等（2019）提出了基于Haar小波与ARIMAX模型的短期负荷预测方法</w:t>
      </w:r>
      <w:r>
        <w:rPr>
          <w:rFonts w:ascii="Times New Roman" w:hAnsi="Times New Roman" w:eastAsia="Times New Roman"/>
          <w:b w:val="0"/>
          <w:i w:val="0"/>
          <w:sz w:val="18"/>
          <w:vertAlign w:val="superscript"/>
        </w:rPr>
        <w:t>[15]</w:t>
      </w:r>
      <w:r>
        <w:rPr>
          <w:rFonts w:ascii="Times New Roman" w:hAnsi="Times New Roman" w:eastAsia="宋体"/>
          <w:b w:val="0"/>
          <w:i w:val="0"/>
          <w:sz w:val="22"/>
        </w:rPr>
        <w:t>。代等（2020）进一步发展了基于支持向量机的混合负荷预测模型</w:t>
      </w:r>
      <w:r>
        <w:rPr>
          <w:rFonts w:ascii="Times New Roman" w:hAnsi="Times New Roman" w:eastAsia="Times New Roman"/>
          <w:b w:val="0"/>
          <w:i w:val="0"/>
          <w:sz w:val="18"/>
          <w:vertAlign w:val="superscript"/>
        </w:rPr>
        <w:t>[16]</w:t>
      </w:r>
      <w:r>
        <w:rPr>
          <w:rFonts w:ascii="Times New Roman" w:hAnsi="Times New Roman" w:eastAsia="宋体"/>
          <w:b w:val="0"/>
          <w:i w:val="0"/>
          <w:sz w:val="22"/>
        </w:rPr>
        <w:t>。Liu等（2019）提出了结合支持向量机的新混合短期负荷预测方法</w:t>
      </w:r>
      <w:r>
        <w:rPr>
          <w:rFonts w:ascii="Times New Roman" w:hAnsi="Times New Roman" w:eastAsia="Times New Roman"/>
          <w:b w:val="0"/>
          <w:i w:val="0"/>
          <w:sz w:val="18"/>
          <w:vertAlign w:val="superscript"/>
        </w:rPr>
        <w:t>[17]</w:t>
      </w:r>
      <w:r>
        <w:rPr>
          <w:rFonts w:ascii="Times New Roman" w:hAnsi="Times New Roman" w:eastAsia="宋体"/>
          <w:b w:val="0"/>
          <w:i w:val="0"/>
          <w:sz w:val="22"/>
        </w:rPr>
        <w:t>。</w:t>
      </w:r>
    </w:p>
    <w:p>
      <w:pPr>
        <w:spacing w:line="360" w:lineRule="auto" w:after="0"/>
        <w:ind w:firstLine="425"/>
      </w:pPr>
      <w:r>
        <w:rPr>
          <w:rFonts w:ascii="Times New Roman" w:hAnsi="Times New Roman" w:eastAsia="宋体"/>
          <w:b/>
          <w:i w:val="0"/>
          <w:sz w:val="22"/>
        </w:rPr>
        <w:t>价格优化算法</w:t>
      </w:r>
      <w:r>
        <w:rPr>
          <w:rFonts w:ascii="Times New Roman" w:hAnsi="Times New Roman" w:eastAsia="宋体"/>
          <w:b w:val="0"/>
          <w:i w:val="0"/>
          <w:sz w:val="22"/>
        </w:rPr>
        <w:t>：根据预测的负荷需求和供给能力，通过优化算法计算最优电价。这是实时定价研究的核心问题，涉及效用最大化、博弈均衡、鲁棒优化等多种方法，将在后续章节详细讨论。</w:t>
      </w:r>
    </w:p>
    <w:p>
      <w:pPr>
        <w:spacing w:line="360" w:lineRule="auto" w:after="0"/>
        <w:ind w:firstLine="425"/>
      </w:pPr>
      <w:r>
        <w:rPr>
          <w:rFonts w:ascii="Times New Roman" w:hAnsi="Times New Roman" w:eastAsia="宋体"/>
          <w:b/>
          <w:i w:val="0"/>
          <w:sz w:val="22"/>
        </w:rPr>
        <w:t>价格发布与反馈</w:t>
      </w:r>
      <w:r>
        <w:rPr>
          <w:rFonts w:ascii="Times New Roman" w:hAnsi="Times New Roman" w:eastAsia="宋体"/>
          <w:b w:val="0"/>
          <w:i w:val="0"/>
          <w:sz w:val="22"/>
        </w:rPr>
        <w:t>：将计算得到的价格信号通过通信网络实时发布给用户，用户根据价格信号调整用电行为，形成闭环反馈。反馈延迟和用户响应不确定性是影响系统性能的关键因素。</w:t>
      </w:r>
    </w:p>
    <w:p>
      <w:pPr>
        <w:pStyle w:val="Heading2"/>
        <w:spacing w:before="240" w:after="80"/>
      </w:pPr>
      <w:r>
        <w:rPr>
          <w:rFonts w:ascii="Times New Roman" w:hAnsi="Times New Roman" w:eastAsia="黑体"/>
          <w:b/>
          <w:i w:val="0"/>
          <w:sz w:val="28"/>
        </w:rPr>
        <w:t>1.3 实时定价在智能电网中的作用与意义</w:t>
      </w:r>
    </w:p>
    <w:p>
      <w:pPr>
        <w:pStyle w:val="Heading3"/>
        <w:spacing w:before="160" w:after="60"/>
      </w:pPr>
      <w:r>
        <w:rPr>
          <w:rFonts w:ascii="Times New Roman" w:hAnsi="Times New Roman" w:eastAsia="黑体"/>
          <w:b/>
          <w:i w:val="0"/>
          <w:sz w:val="24"/>
        </w:rPr>
        <w:t>1.3.1 削峰填谷与电网稳定性</w:t>
      </w:r>
    </w:p>
    <w:p>
      <w:pPr>
        <w:spacing w:line="360" w:lineRule="auto" w:after="0"/>
        <w:ind w:firstLine="425"/>
      </w:pPr>
      <w:r>
        <w:rPr>
          <w:rFonts w:ascii="Times New Roman" w:hAnsi="Times New Roman" w:eastAsia="宋体"/>
          <w:b w:val="0"/>
          <w:i w:val="0"/>
          <w:sz w:val="22"/>
        </w:rPr>
        <w:t>实时定价最直接的作用是通过价格信号引导用户将用电需求从高峰时段转移到低谷时段，实现削峰填谷。陶莉等（2020）以极小化峰谷差为目标研究了智能电网实时定价问题，证明了实时定价能有效降低峰值负荷、提高谷值负荷，从而改善负荷曲线形态</w:t>
      </w:r>
      <w:r>
        <w:rPr>
          <w:rFonts w:ascii="Times New Roman" w:hAnsi="Times New Roman" w:eastAsia="Times New Roman"/>
          <w:b w:val="0"/>
          <w:i w:val="0"/>
          <w:sz w:val="18"/>
          <w:vertAlign w:val="superscript"/>
        </w:rPr>
        <w:t>[18]</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从电网稳定性角度看，削峰填谷可以减少峰值时段的供电压力，降低旋转备用需求，减少因过载导致的停电风险。同时，更平稳的负荷曲线有利于发电机组在高效区间运行，降低单位发电成本和碳排放。</w:t>
      </w:r>
    </w:p>
    <w:p>
      <w:pPr>
        <w:pStyle w:val="Heading3"/>
        <w:spacing w:before="160" w:after="60"/>
      </w:pPr>
      <w:r>
        <w:rPr>
          <w:rFonts w:ascii="Times New Roman" w:hAnsi="Times New Roman" w:eastAsia="黑体"/>
          <w:b/>
          <w:i w:val="0"/>
          <w:sz w:val="24"/>
        </w:rPr>
        <w:t>1.3.2 社会福利最大化</w:t>
      </w:r>
    </w:p>
    <w:p>
      <w:pPr>
        <w:spacing w:line="360" w:lineRule="auto" w:after="0"/>
        <w:ind w:firstLine="425"/>
      </w:pPr>
      <w:r>
        <w:rPr>
          <w:rFonts w:ascii="Times New Roman" w:hAnsi="Times New Roman" w:eastAsia="宋体"/>
          <w:b w:val="0"/>
          <w:i w:val="0"/>
          <w:sz w:val="22"/>
        </w:rPr>
        <w:t>实时定价的理论基础是社会福利最大化。在完全竞争的市场环境下，实时定价能够实现资源配置的帕累托最优，使全社会电力消费的总效用最大化。Samadi等（2010）提出了基于效用最大化的智能电网最优实时定价算法，奠定了这一方向的理论基础</w:t>
      </w:r>
      <w:r>
        <w:rPr>
          <w:rFonts w:ascii="Times New Roman" w:hAnsi="Times New Roman" w:eastAsia="Times New Roman"/>
          <w:b w:val="0"/>
          <w:i w:val="0"/>
          <w:sz w:val="18"/>
          <w:vertAlign w:val="superscript"/>
        </w:rPr>
        <w:t>[19]</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在高岩和李军祥团队的研究中，社会福利最大化模型被进一步推广到多种场景。李军祥等（2019, 2020）研究了智能电网互补能源供用电实时定价算法，将社会福利最大化框架扩展到多能源耦合场景</w:t>
      </w:r>
      <w:r>
        <w:rPr>
          <w:rFonts w:ascii="Times New Roman" w:hAnsi="Times New Roman" w:eastAsia="Times New Roman"/>
          <w:b w:val="0"/>
          <w:i w:val="0"/>
          <w:sz w:val="18"/>
          <w:vertAlign w:val="superscript"/>
        </w:rPr>
        <w:t>[20]</w:t>
      </w:r>
      <w:r>
        <w:rPr>
          <w:rFonts w:ascii="Times New Roman" w:hAnsi="Times New Roman" w:eastAsia="Times New Roman"/>
          <w:b w:val="0"/>
          <w:i w:val="0"/>
          <w:sz w:val="18"/>
          <w:vertAlign w:val="superscript"/>
        </w:rPr>
        <w:t>[21]</w:t>
      </w:r>
      <w:r>
        <w:rPr>
          <w:rFonts w:ascii="Times New Roman" w:hAnsi="Times New Roman" w:eastAsia="宋体"/>
          <w:b w:val="0"/>
          <w:i w:val="0"/>
          <w:sz w:val="22"/>
        </w:rPr>
        <w:t>。李等（2019）还研究了基于用户电器分类的智能电网实时定价问题，针对不同类型电器的用电特性设计了差异化定价策略</w:t>
      </w:r>
      <w:r>
        <w:rPr>
          <w:rFonts w:ascii="Times New Roman" w:hAnsi="Times New Roman" w:eastAsia="Times New Roman"/>
          <w:b w:val="0"/>
          <w:i w:val="0"/>
          <w:sz w:val="18"/>
          <w:vertAlign w:val="superscript"/>
        </w:rPr>
        <w:t>[22]</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1.3.3 促进可再生能源消纳</w:t>
      </w:r>
    </w:p>
    <w:p>
      <w:pPr>
        <w:spacing w:line="360" w:lineRule="auto" w:after="0"/>
        <w:ind w:firstLine="425"/>
      </w:pPr>
      <w:r>
        <w:rPr>
          <w:rFonts w:ascii="Times New Roman" w:hAnsi="Times New Roman" w:eastAsia="宋体"/>
          <w:b w:val="0"/>
          <w:i w:val="0"/>
          <w:sz w:val="22"/>
        </w:rPr>
        <w:t>可再生能源（如风电、光伏）具有间歇性和波动性特点，大规模并网对电网调度和定价提出了新挑战。实时定价可以通过价格信号引导用户在可再生能源出力充足时增加用电，在出力不足时减少用电，从而促进可再生能源的消纳。</w:t>
      </w:r>
    </w:p>
    <w:p>
      <w:pPr>
        <w:spacing w:line="360" w:lineRule="auto" w:after="0"/>
        <w:ind w:firstLine="425"/>
      </w:pPr>
      <w:r>
        <w:rPr>
          <w:rFonts w:ascii="Times New Roman" w:hAnsi="Times New Roman" w:eastAsia="宋体"/>
          <w:b w:val="0"/>
          <w:i w:val="0"/>
          <w:sz w:val="22"/>
        </w:rPr>
        <w:t>陶等（2019）研究了有可再生能源和电力存储设施并网的智能电网优化用电策略，提出了考虑可再生能源波动的实时定价方法</w:t>
      </w:r>
      <w:r>
        <w:rPr>
          <w:rFonts w:ascii="Times New Roman" w:hAnsi="Times New Roman" w:eastAsia="Times New Roman"/>
          <w:b w:val="0"/>
          <w:i w:val="0"/>
          <w:sz w:val="18"/>
          <w:vertAlign w:val="superscript"/>
        </w:rPr>
        <w:t>[9]</w:t>
      </w:r>
      <w:r>
        <w:rPr>
          <w:rFonts w:ascii="Times New Roman" w:hAnsi="Times New Roman" w:eastAsia="宋体"/>
          <w:b w:val="0"/>
          <w:i w:val="0"/>
          <w:sz w:val="22"/>
        </w:rPr>
        <w:t>。杨扬等研究了考虑双重不确定性的智能电网实时定价鲁棒优化方法，进一步提高了定价策略在不确定环境下的鲁棒性</w:t>
      </w:r>
      <w:r>
        <w:rPr>
          <w:rFonts w:ascii="Times New Roman" w:hAnsi="Times New Roman" w:eastAsia="Times New Roman"/>
          <w:b w:val="0"/>
          <w:i w:val="0"/>
          <w:sz w:val="18"/>
          <w:vertAlign w:val="superscript"/>
        </w:rPr>
        <w:t>[23]</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1.3.4 用户参与与市场效率</w:t>
      </w:r>
    </w:p>
    <w:p>
      <w:pPr>
        <w:spacing w:line="360" w:lineRule="auto" w:after="0"/>
        <w:ind w:firstLine="425"/>
      </w:pPr>
      <w:r>
        <w:rPr>
          <w:rFonts w:ascii="Times New Roman" w:hAnsi="Times New Roman" w:eastAsia="宋体"/>
          <w:b w:val="0"/>
          <w:i w:val="0"/>
          <w:sz w:val="22"/>
        </w:rPr>
        <w:t>实时定价赋予用户主动参与电力市场的能力。在传统固定电价模式下，用户是被动接受者；在实时定价模式下，用户成为主动的市场参与者，可以根据价格信号优化自身用电行为，降低电费支出。这种用户参与机制不仅提高了市场效率，也促进了能源节约和环保意识的提升。</w:t>
      </w:r>
    </w:p>
    <w:p>
      <w:pPr>
        <w:pStyle w:val="Heading2"/>
        <w:spacing w:before="240" w:after="80"/>
      </w:pPr>
      <w:r>
        <w:rPr>
          <w:rFonts w:ascii="Times New Roman" w:hAnsi="Times New Roman" w:eastAsia="黑体"/>
          <w:b/>
          <w:i w:val="0"/>
          <w:sz w:val="28"/>
        </w:rPr>
        <w:t>1.4 国内外研究现状概览</w:t>
      </w:r>
    </w:p>
    <w:p>
      <w:pPr>
        <w:pStyle w:val="Heading3"/>
        <w:spacing w:before="160" w:after="60"/>
      </w:pPr>
      <w:r>
        <w:rPr>
          <w:rFonts w:ascii="Times New Roman" w:hAnsi="Times New Roman" w:eastAsia="黑体"/>
          <w:b/>
          <w:i w:val="0"/>
          <w:sz w:val="24"/>
        </w:rPr>
        <w:t>1.4.1 国际研究现状</w:t>
      </w:r>
    </w:p>
    <w:p>
      <w:pPr>
        <w:spacing w:line="360" w:lineRule="auto" w:after="0"/>
        <w:ind w:firstLine="425"/>
      </w:pPr>
      <w:r>
        <w:rPr>
          <w:rFonts w:ascii="Times New Roman" w:hAnsi="Times New Roman" w:eastAsia="宋体"/>
          <w:b w:val="0"/>
          <w:i w:val="0"/>
          <w:sz w:val="22"/>
        </w:rPr>
        <w:t>国际学术界对智能电网实时定价的研究起步较早。Samadi等（2010）的开创性工作提出了基于效用最大化的集中式实时定价算法</w:t>
      </w:r>
      <w:r>
        <w:rPr>
          <w:rFonts w:ascii="Times New Roman" w:hAnsi="Times New Roman" w:eastAsia="Times New Roman"/>
          <w:b w:val="0"/>
          <w:i w:val="0"/>
          <w:sz w:val="18"/>
          <w:vertAlign w:val="superscript"/>
        </w:rPr>
        <w:t>[19]</w:t>
      </w:r>
      <w:r>
        <w:rPr>
          <w:rFonts w:ascii="Times New Roman" w:hAnsi="Times New Roman" w:eastAsia="宋体"/>
          <w:b w:val="0"/>
          <w:i w:val="0"/>
          <w:sz w:val="22"/>
        </w:rPr>
        <w:t>。此后，Joe-Wong等（2012）研究了面向设备灵活性的日前定价优化方法</w:t>
      </w:r>
      <w:r>
        <w:rPr>
          <w:rFonts w:ascii="Times New Roman" w:hAnsi="Times New Roman" w:eastAsia="Times New Roman"/>
          <w:b w:val="0"/>
          <w:i w:val="0"/>
          <w:sz w:val="18"/>
          <w:vertAlign w:val="superscript"/>
        </w:rPr>
        <w:t>[24]</w:t>
      </w:r>
      <w:r>
        <w:rPr>
          <w:rFonts w:ascii="Times New Roman" w:hAnsi="Times New Roman" w:eastAsia="宋体"/>
          <w:b w:val="0"/>
          <w:i w:val="0"/>
          <w:sz w:val="22"/>
        </w:rPr>
        <w:t>。Qian等（2013）提出了基于实时电价控制的智能电网需求响应管理方法</w:t>
      </w:r>
      <w:r>
        <w:rPr>
          <w:rFonts w:ascii="Times New Roman" w:hAnsi="Times New Roman" w:eastAsia="Times New Roman"/>
          <w:b w:val="0"/>
          <w:i w:val="0"/>
          <w:sz w:val="18"/>
          <w:vertAlign w:val="superscript"/>
        </w:rPr>
        <w:t>[25]</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在博弈论方向，Stackelberg博弈模型被广泛应用于多零售商竞争场景的定价研究。Dai等（2014, 2020）系统研究了考虑负载不确定性和价格竞争的智能电网实时定价方案</w:t>
      </w:r>
      <w:r>
        <w:rPr>
          <w:rFonts w:ascii="Times New Roman" w:hAnsi="Times New Roman" w:eastAsia="Times New Roman"/>
          <w:b w:val="0"/>
          <w:i w:val="0"/>
          <w:sz w:val="18"/>
          <w:vertAlign w:val="superscript"/>
        </w:rPr>
        <w:t>[26]</w:t>
      </w:r>
      <w:r>
        <w:rPr>
          <w:rFonts w:ascii="Times New Roman" w:hAnsi="Times New Roman" w:eastAsia="Times New Roman"/>
          <w:b w:val="0"/>
          <w:i w:val="0"/>
          <w:sz w:val="18"/>
          <w:vertAlign w:val="superscript"/>
        </w:rPr>
        <w:t>[14]</w:t>
      </w:r>
      <w:r>
        <w:rPr>
          <w:rFonts w:ascii="Times New Roman" w:hAnsi="Times New Roman" w:eastAsia="宋体"/>
          <w:b w:val="0"/>
          <w:i w:val="0"/>
          <w:sz w:val="22"/>
        </w:rPr>
        <w:t>。Cheng等（2024）基于Stackelberg博弈推导了智能电网最优定价公式</w:t>
      </w:r>
      <w:r>
        <w:rPr>
          <w:rFonts w:ascii="Times New Roman" w:hAnsi="Times New Roman" w:eastAsia="Times New Roman"/>
          <w:b w:val="0"/>
          <w:i w:val="0"/>
          <w:sz w:val="18"/>
          <w:vertAlign w:val="superscript"/>
        </w:rPr>
        <w:t>[27]</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在强化学习方向，Kim等（2014）率先将强化学习引入智能电网动态定价</w:t>
      </w:r>
      <w:r>
        <w:rPr>
          <w:rFonts w:ascii="Times New Roman" w:hAnsi="Times New Roman" w:eastAsia="Times New Roman"/>
          <w:b w:val="0"/>
          <w:i w:val="0"/>
          <w:sz w:val="18"/>
          <w:vertAlign w:val="superscript"/>
        </w:rPr>
        <w:t>[28]</w:t>
      </w:r>
      <w:r>
        <w:rPr>
          <w:rFonts w:ascii="Times New Roman" w:hAnsi="Times New Roman" w:eastAsia="宋体"/>
          <w:b w:val="0"/>
          <w:i w:val="0"/>
          <w:sz w:val="22"/>
        </w:rPr>
        <w:t>。此后，深度强化学习（DRL）方法在这一领域得到快速发展。Ghasemi等（2020）提出了基于多Agent深度强化学习的分布式能源市场方法</w:t>
      </w:r>
      <w:r>
        <w:rPr>
          <w:rFonts w:ascii="Times New Roman" w:hAnsi="Times New Roman" w:eastAsia="Times New Roman"/>
          <w:b w:val="0"/>
          <w:i w:val="0"/>
          <w:sz w:val="18"/>
          <w:vertAlign w:val="superscript"/>
        </w:rPr>
        <w:t>[29]</w:t>
      </w:r>
      <w:r>
        <w:rPr>
          <w:rFonts w:ascii="Times New Roman" w:hAnsi="Times New Roman" w:eastAsia="宋体"/>
          <w:b w:val="0"/>
          <w:i w:val="0"/>
          <w:sz w:val="22"/>
        </w:rPr>
        <w:t>。Lee等（2020）研究了基于深度Actor-Critic学习的智能电网需求侧调度</w:t>
      </w:r>
      <w:r>
        <w:rPr>
          <w:rFonts w:ascii="Times New Roman" w:hAnsi="Times New Roman" w:eastAsia="Times New Roman"/>
          <w:b w:val="0"/>
          <w:i w:val="0"/>
          <w:sz w:val="18"/>
          <w:vertAlign w:val="superscript"/>
        </w:rPr>
        <w:t>[30]</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1.4.2 国内研究现状</w:t>
      </w:r>
    </w:p>
    <w:p>
      <w:pPr>
        <w:spacing w:line="360" w:lineRule="auto" w:after="0"/>
        <w:ind w:firstLine="425"/>
      </w:pPr>
      <w:r>
        <w:rPr>
          <w:rFonts w:ascii="Times New Roman" w:hAnsi="Times New Roman" w:eastAsia="宋体"/>
          <w:b w:val="0"/>
          <w:i w:val="0"/>
          <w:sz w:val="22"/>
        </w:rPr>
        <w:t>国内研究以高岩、李军祥团队为代表，在智能电网实时定价的理论方法和算法实现方面做出了系统性贡献。该团队的研究覆盖了互补问题与非光滑方程方法、博弈论与多Agent定价、优化调度方法等多个方向。</w:t>
      </w:r>
    </w:p>
    <w:p>
      <w:pPr>
        <w:spacing w:line="360" w:lineRule="auto" w:after="0"/>
        <w:ind w:firstLine="425"/>
      </w:pPr>
      <w:r>
        <w:rPr>
          <w:rFonts w:ascii="Times New Roman" w:hAnsi="Times New Roman" w:eastAsia="宋体"/>
          <w:b w:val="0"/>
          <w:i w:val="0"/>
          <w:sz w:val="22"/>
        </w:rPr>
        <w:t>在互补问题方向，许志宏和高岩（2018）提出了基于分片线性效用函数的实时电价定价策略，通过光滑化方法将非光滑互补问题转化为可微优化问题</w:t>
      </w:r>
      <w:r>
        <w:rPr>
          <w:rFonts w:ascii="Times New Roman" w:hAnsi="Times New Roman" w:eastAsia="Times New Roman"/>
          <w:b w:val="0"/>
          <w:i w:val="0"/>
          <w:sz w:val="18"/>
          <w:vertAlign w:val="superscript"/>
        </w:rPr>
        <w:t>[31]</w:t>
      </w:r>
      <w:r>
        <w:rPr>
          <w:rFonts w:ascii="Times New Roman" w:hAnsi="Times New Roman" w:eastAsia="宋体"/>
          <w:b w:val="0"/>
          <w:i w:val="0"/>
          <w:sz w:val="22"/>
        </w:rPr>
        <w:t>。李媛媛等（2020）提出了基于KKT条件智能电网实时定价的光滑牛顿算法</w:t>
      </w:r>
      <w:r>
        <w:rPr>
          <w:rFonts w:ascii="Times New Roman" w:hAnsi="Times New Roman" w:eastAsia="Times New Roman"/>
          <w:b w:val="0"/>
          <w:i w:val="0"/>
          <w:sz w:val="18"/>
          <w:vertAlign w:val="superscript"/>
        </w:rPr>
        <w:t>[32]</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在博弈论方向，代业明和高岩（2014）建立了多零售商实时定价的Stackelberg博弈模型</w:t>
      </w:r>
      <w:r>
        <w:rPr>
          <w:rFonts w:ascii="Times New Roman" w:hAnsi="Times New Roman" w:eastAsia="Times New Roman"/>
          <w:b w:val="0"/>
          <w:i w:val="0"/>
          <w:sz w:val="18"/>
          <w:vertAlign w:val="superscript"/>
        </w:rPr>
        <w:t>[14]</w:t>
      </w:r>
      <w:r>
        <w:rPr>
          <w:rFonts w:ascii="Times New Roman" w:hAnsi="Times New Roman" w:eastAsia="宋体"/>
          <w:b w:val="0"/>
          <w:i w:val="0"/>
          <w:sz w:val="22"/>
        </w:rPr>
        <w:t>。代等（2017）进一步研究了考虑消费者激励因素的多零售商多用户实时定价策略</w:t>
      </w:r>
      <w:r>
        <w:rPr>
          <w:rFonts w:ascii="Times New Roman" w:hAnsi="Times New Roman" w:eastAsia="Times New Roman"/>
          <w:b w:val="0"/>
          <w:i w:val="0"/>
          <w:sz w:val="18"/>
          <w:vertAlign w:val="superscript"/>
        </w:rPr>
        <w:t>[33]</w:t>
      </w:r>
      <w:r>
        <w:rPr>
          <w:rFonts w:ascii="Times New Roman" w:hAnsi="Times New Roman" w:eastAsia="宋体"/>
          <w:b w:val="0"/>
          <w:i w:val="0"/>
          <w:sz w:val="22"/>
        </w:rPr>
        <w:t>。李等（2022）研究了电力零售商引导下智能电网多方利益均衡策略</w:t>
      </w:r>
      <w:r>
        <w:rPr>
          <w:rFonts w:ascii="Times New Roman" w:hAnsi="Times New Roman" w:eastAsia="Times New Roman"/>
          <w:b w:val="0"/>
          <w:i w:val="0"/>
          <w:sz w:val="18"/>
          <w:vertAlign w:val="superscript"/>
        </w:rPr>
        <w:t>[34]</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在优化调度方向，李军祥等（2019, 2020）系统研究了智能电网互补能源供用电实时定价算法</w:t>
      </w:r>
      <w:r>
        <w:rPr>
          <w:rFonts w:ascii="Times New Roman" w:hAnsi="Times New Roman" w:eastAsia="Times New Roman"/>
          <w:b w:val="0"/>
          <w:i w:val="0"/>
          <w:sz w:val="18"/>
          <w:vertAlign w:val="superscript"/>
        </w:rPr>
        <w:t>[20]</w:t>
      </w:r>
      <w:r>
        <w:rPr>
          <w:rFonts w:ascii="Times New Roman" w:hAnsi="Times New Roman" w:eastAsia="Times New Roman"/>
          <w:b w:val="0"/>
          <w:i w:val="0"/>
          <w:sz w:val="18"/>
          <w:vertAlign w:val="superscript"/>
        </w:rPr>
        <w:t>[21]</w:t>
      </w:r>
      <w:r>
        <w:rPr>
          <w:rFonts w:ascii="Times New Roman" w:hAnsi="Times New Roman" w:eastAsia="宋体"/>
          <w:b w:val="0"/>
          <w:i w:val="0"/>
          <w:sz w:val="22"/>
        </w:rPr>
        <w:t>。李等（2016）提出了马尔可夫决策过程下的智能电网实时电价模型</w:t>
      </w:r>
      <w:r>
        <w:rPr>
          <w:rFonts w:ascii="Times New Roman" w:hAnsi="Times New Roman" w:eastAsia="Times New Roman"/>
          <w:b w:val="0"/>
          <w:i w:val="0"/>
          <w:sz w:val="18"/>
          <w:vertAlign w:val="superscript"/>
        </w:rPr>
        <w:t>[35]</w:t>
      </w:r>
      <w:r>
        <w:rPr>
          <w:rFonts w:ascii="Times New Roman" w:hAnsi="Times New Roman" w:eastAsia="宋体"/>
          <w:b w:val="0"/>
          <w:i w:val="0"/>
          <w:sz w:val="22"/>
        </w:rPr>
        <w:t>。朱红波等（2018）将马尔可夫过程扩展到多类用户场景</w:t>
      </w:r>
      <w:r>
        <w:rPr>
          <w:rFonts w:ascii="Times New Roman" w:hAnsi="Times New Roman" w:eastAsia="Times New Roman"/>
          <w:b w:val="0"/>
          <w:i w:val="0"/>
          <w:sz w:val="18"/>
          <w:vertAlign w:val="superscript"/>
        </w:rPr>
        <w:t>[36]</w:t>
      </w:r>
      <w:r>
        <w:rPr>
          <w:rFonts w:ascii="Times New Roman" w:hAnsi="Times New Roman" w:eastAsia="宋体"/>
          <w:b w:val="0"/>
          <w:i w:val="0"/>
          <w:sz w:val="22"/>
        </w:rPr>
        <w:t>。张莉等（2019）研究了具有时间耦合约束的多时段智能电网实时电价</w:t>
      </w:r>
      <w:r>
        <w:rPr>
          <w:rFonts w:ascii="Times New Roman" w:hAnsi="Times New Roman" w:eastAsia="Times New Roman"/>
          <w:b w:val="0"/>
          <w:i w:val="0"/>
          <w:sz w:val="18"/>
          <w:vertAlign w:val="superscript"/>
        </w:rPr>
        <w:t>[37]</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1.4.3 研究趋势与挑战</w:t>
      </w:r>
    </w:p>
    <w:p>
      <w:pPr>
        <w:spacing w:line="360" w:lineRule="auto" w:after="0"/>
        <w:ind w:firstLine="425"/>
      </w:pPr>
      <w:r>
        <w:rPr>
          <w:rFonts w:ascii="Times New Roman" w:hAnsi="Times New Roman" w:eastAsia="宋体"/>
          <w:b w:val="0"/>
          <w:i w:val="0"/>
          <w:sz w:val="22"/>
        </w:rPr>
        <w:t>当前智能电网实时定价研究呈现出以下趋势：（1）从集中式向分布式发展，强调可扩展性和隐私保护；（2）从确定性向不确定性扩展，考虑负载和可再生能源的随机性；（3）从单一能源向多能源耦合拓展，涵盖电、气、热等综合能源系统；（4）从传统优化向人工智能方法演进，深度强化学习和大语言模型等新技术正在融入定价框架；（5）从纯经济视角向低碳可持续视角转变，碳交易机制与实时定价的协同优化成为新热点。</w:t>
      </w:r>
    </w:p>
    <w:p>
      <w:pPr>
        <w:pStyle w:val="Heading2"/>
        <w:spacing w:before="240" w:after="80"/>
      </w:pPr>
      <w:r>
        <w:rPr>
          <w:rFonts w:ascii="Times New Roman" w:hAnsi="Times New Roman" w:eastAsia="黑体"/>
          <w:b/>
          <w:i w:val="0"/>
          <w:sz w:val="28"/>
        </w:rPr>
        <w:t>1.5 本综述的组织结构</w:t>
      </w:r>
    </w:p>
    <w:p>
      <w:pPr>
        <w:spacing w:line="360" w:lineRule="auto" w:after="0"/>
        <w:ind w:firstLine="425"/>
      </w:pPr>
      <w:r>
        <w:rPr>
          <w:rFonts w:ascii="Times New Roman" w:hAnsi="Times New Roman" w:eastAsia="宋体"/>
          <w:b w:val="0"/>
          <w:i w:val="0"/>
          <w:sz w:val="22"/>
        </w:rPr>
        <w:t>本综述以RTP-SGM（Real-Time Pricing for Smart Grid Management）为核心框架，从理论基础、数学建模、算法实现和前沿扩展四个维度系统梳理智能电网实时定价的研究进展。</w:t>
      </w:r>
    </w:p>
    <w:p>
      <w:pPr>
        <w:spacing w:line="360" w:lineRule="auto" w:after="0"/>
        <w:ind w:firstLine="425"/>
      </w:pPr>
      <w:r>
        <w:rPr>
          <w:rFonts w:ascii="Times New Roman" w:hAnsi="Times New Roman" w:eastAsia="宋体"/>
          <w:b/>
          <w:i w:val="0"/>
          <w:sz w:val="22"/>
        </w:rPr>
        <w:t>第一篇（第1-3章）</w:t>
      </w:r>
      <w:r>
        <w:rPr>
          <w:rFonts w:ascii="Times New Roman" w:hAnsi="Times New Roman" w:eastAsia="宋体"/>
          <w:b w:val="0"/>
          <w:i w:val="0"/>
          <w:sz w:val="22"/>
        </w:rPr>
        <w:t xml:space="preserve"> 介绍智能电网与实时定价的基础概念、需求响应理论和经济学原理，为后续内容奠定理论基础。</w:t>
      </w:r>
    </w:p>
    <w:p>
      <w:pPr>
        <w:spacing w:line="360" w:lineRule="auto" w:after="0"/>
        <w:ind w:firstLine="425"/>
      </w:pPr>
      <w:r>
        <w:rPr>
          <w:rFonts w:ascii="Times New Roman" w:hAnsi="Times New Roman" w:eastAsia="宋体"/>
          <w:b/>
          <w:i w:val="0"/>
          <w:sz w:val="22"/>
        </w:rPr>
        <w:t>第二篇（第4-6章）</w:t>
      </w:r>
      <w:r>
        <w:rPr>
          <w:rFonts w:ascii="Times New Roman" w:hAnsi="Times New Roman" w:eastAsia="宋体"/>
          <w:b w:val="0"/>
          <w:i w:val="0"/>
          <w:sz w:val="22"/>
        </w:rPr>
        <w:t xml:space="preserve"> 深入讨论实时定价的数学建模方法，包括效用函数与社会福利最大化模型、互补问题与非光滑方程方法、博弈论与多Agent定价方法。</w:t>
      </w:r>
    </w:p>
    <w:p>
      <w:pPr>
        <w:spacing w:line="360" w:lineRule="auto" w:after="0"/>
        <w:ind w:firstLine="425"/>
      </w:pPr>
      <w:r>
        <w:rPr>
          <w:rFonts w:ascii="Times New Roman" w:hAnsi="Times New Roman" w:eastAsia="宋体"/>
          <w:b/>
          <w:i w:val="0"/>
          <w:sz w:val="22"/>
        </w:rPr>
        <w:t>第三篇（第7-9章）</w:t>
      </w:r>
      <w:r>
        <w:rPr>
          <w:rFonts w:ascii="Times New Roman" w:hAnsi="Times New Roman" w:eastAsia="宋体"/>
          <w:b w:val="0"/>
          <w:i w:val="0"/>
          <w:sz w:val="22"/>
        </w:rPr>
        <w:t xml:space="preserve"> 聚焦实时定价的算法与实现，涵盖优化求解算法、强化学习与智能定价方法、不确定性与鲁棒优化方法。</w:t>
      </w:r>
    </w:p>
    <w:p>
      <w:pPr>
        <w:spacing w:line="360" w:lineRule="auto" w:after="0"/>
        <w:ind w:firstLine="425"/>
      </w:pPr>
      <w:r>
        <w:rPr>
          <w:rFonts w:ascii="Times New Roman" w:hAnsi="Times New Roman" w:eastAsia="宋体"/>
          <w:b/>
          <w:i w:val="0"/>
          <w:sz w:val="22"/>
        </w:rPr>
        <w:t>第四篇（第10-12章）</w:t>
      </w:r>
      <w:r>
        <w:rPr>
          <w:rFonts w:ascii="Times New Roman" w:hAnsi="Times New Roman" w:eastAsia="宋体"/>
          <w:b w:val="0"/>
          <w:i w:val="0"/>
          <w:sz w:val="22"/>
        </w:rPr>
        <w:t xml:space="preserve"> 探讨前沿扩展方向，包括碳交易与绿色能源协同定价、综合能源系统动态定价，以及未来展望与挑战。</w:t>
      </w:r>
    </w:p>
    <w:p>
      <w:pPr>
        <w:spacing w:line="360" w:lineRule="auto" w:after="0"/>
        <w:ind w:firstLine="425"/>
      </w:pPr>
      <w:r>
        <w:rPr>
          <w:rFonts w:ascii="Times New Roman" w:hAnsi="Times New Roman" w:eastAsia="宋体"/>
          <w:b w:val="0"/>
          <w:i w:val="0"/>
          <w:sz w:val="22"/>
        </w:rPr>
        <w:t>附录部分提供术语表、工具与平台速查、案例库、模型与算法速查、研究大纲、复现项目和大事记等补充材料。</w:t>
      </w:r>
    </w:p>
    <w:p>
      <w:pPr>
        <w:pStyle w:val="Heading2"/>
        <w:spacing w:before="240" w:after="80"/>
      </w:pPr>
      <w:r>
        <w:rPr>
          <w:rFonts w:ascii="Times New Roman" w:hAnsi="Times New Roman" w:eastAsia="黑体"/>
          <w:b/>
          <w:i w:val="0"/>
          <w:sz w:val="28"/>
        </w:rPr>
        <w:t>本章小结</w:t>
      </w:r>
    </w:p>
    <w:p>
      <w:pPr>
        <w:spacing w:line="360" w:lineRule="auto" w:after="0"/>
        <w:ind w:firstLine="425"/>
      </w:pPr>
      <w:r>
        <w:rPr>
          <w:rFonts w:ascii="Times New Roman" w:hAnsi="Times New Roman" w:eastAsia="宋体"/>
          <w:b w:val="0"/>
          <w:i w:val="0"/>
          <w:sz w:val="22"/>
        </w:rPr>
        <w:t>本章概述了智能电网的概念与发展历程，定义了实时定价的基本概念和分类体系，阐述了实时定价在智能电网中的核心作用与意义，梳理了国内外研究现状，并给出了本综述的组织结构。智能电网实时定价是一个跨学科研究领域，涉及电力系统、运筹优化、博弈论、机器学习等多个学科的理论与方法。后续章节将围绕RTP-SGM框架，系统展开各方向的深入讨论。</w:t>
      </w:r>
    </w:p>
    <w:p>
      <w:pPr>
        <w:pStyle w:val="Heading2"/>
        <w:spacing w:before="240" w:after="80"/>
      </w:pPr>
      <w:r>
        <w:rPr>
          <w:rFonts w:ascii="Times New Roman" w:hAnsi="Times New Roman" w:eastAsia="黑体"/>
          <w:b/>
          <w:i w:val="0"/>
          <w:sz w:val="28"/>
        </w:rPr>
        <w:t>思考题</w:t>
      </w:r>
    </w:p>
    <w:p>
      <w:pPr>
        <w:pStyle w:val="ListNumber"/>
        <w:spacing w:line="360" w:lineRule="auto" w:after="0"/>
      </w:pPr>
      <w:r>
        <w:rPr>
          <w:rFonts w:ascii="Times New Roman" w:hAnsi="Times New Roman" w:eastAsia="宋体"/>
          <w:b w:val="0"/>
          <w:i w:val="0"/>
          <w:sz w:val="22"/>
        </w:rPr>
        <w:t>实时定价与分时定价的本质区别是什么？各自适用于什么场景？</w:t>
      </w:r>
    </w:p>
    <w:p>
      <w:pPr>
        <w:pStyle w:val="ListNumber"/>
        <w:spacing w:line="360" w:lineRule="auto" w:after="0"/>
      </w:pPr>
      <w:r>
        <w:rPr>
          <w:rFonts w:ascii="Times New Roman" w:hAnsi="Times New Roman" w:eastAsia="宋体"/>
          <w:b w:val="0"/>
          <w:i w:val="0"/>
          <w:sz w:val="22"/>
        </w:rPr>
        <w:t>智能电网的哪些技术特征使得实时定价成为可能？</w:t>
      </w:r>
    </w:p>
    <w:p>
      <w:pPr>
        <w:pStyle w:val="ListNumber"/>
        <w:spacing w:line="360" w:lineRule="auto" w:after="0"/>
      </w:pPr>
      <w:r>
        <w:rPr>
          <w:rFonts w:ascii="Times New Roman" w:hAnsi="Times New Roman" w:eastAsia="宋体"/>
          <w:b w:val="0"/>
          <w:i w:val="0"/>
          <w:sz w:val="22"/>
        </w:rPr>
        <w:t>从加州电力危机的教训来看，电力市场定价机制设计应关注哪些关键问题？</w:t>
      </w:r>
    </w:p>
    <w:p>
      <w:pPr>
        <w:pStyle w:val="ListNumber"/>
        <w:spacing w:line="360" w:lineRule="auto" w:after="0"/>
      </w:pPr>
      <w:r>
        <w:rPr>
          <w:rFonts w:ascii="Times New Roman" w:hAnsi="Times New Roman" w:eastAsia="宋体"/>
          <w:b w:val="0"/>
          <w:i w:val="0"/>
          <w:sz w:val="22"/>
        </w:rPr>
        <w:t>请分析集中式定价与分布式定价各自的优缺点及适用场景。</w:t>
      </w:r>
    </w:p>
    <w:p>
      <w:pPr>
        <w:pStyle w:val="ListNumber"/>
        <w:spacing w:line="360" w:lineRule="auto" w:after="0"/>
      </w:pPr>
      <w:r>
        <w:rPr>
          <w:rFonts w:ascii="Times New Roman" w:hAnsi="Times New Roman" w:eastAsia="宋体"/>
          <w:b w:val="0"/>
          <w:i w:val="0"/>
          <w:sz w:val="22"/>
        </w:rPr>
        <w:t>智能电网实时定价研究面临的主要挑战有哪些？请结合国内外现状进行分析。</w:t>
      </w:r>
    </w:p>
    <w:p>
      <w:pPr>
        <w:pStyle w:val="Heading2"/>
        <w:spacing w:before="240" w:after="80"/>
      </w:pPr>
      <w:r>
        <w:rPr>
          <w:rFonts w:ascii="Times New Roman" w:hAnsi="Times New Roman" w:eastAsia="黑体"/>
          <w:b/>
          <w:i w:val="0"/>
          <w:sz w:val="28"/>
        </w:rPr>
        <w:t>1.6 国际比较与经验借鉴</w:t>
      </w:r>
    </w:p>
    <w:p>
      <w:pPr>
        <w:pStyle w:val="Heading3"/>
        <w:spacing w:before="160" w:after="60"/>
      </w:pPr>
      <w:r>
        <w:rPr>
          <w:rFonts w:ascii="Times New Roman" w:hAnsi="Times New Roman" w:eastAsia="黑体"/>
          <w:b/>
          <w:i w:val="0"/>
          <w:sz w:val="24"/>
        </w:rPr>
        <w:t>美国智能电网与实时定价发展</w:t>
      </w:r>
    </w:p>
    <w:p>
      <w:pPr>
        <w:spacing w:line="360" w:lineRule="auto" w:after="0"/>
        <w:ind w:firstLine="425"/>
      </w:pPr>
      <w:r>
        <w:rPr>
          <w:rFonts w:ascii="Times New Roman" w:hAnsi="Times New Roman" w:eastAsia="宋体"/>
          <w:b w:val="0"/>
          <w:i w:val="0"/>
          <w:sz w:val="22"/>
        </w:rPr>
        <w:t>美国是全球智能电网建设和实时定价实践的先驱。2009年，美国《复苏与再投资法案》（ARRA）拨付45亿美元用于智能电网建设，加速了AMI部署。截至2024年，美国已安装超过1.2亿只智能电表，覆盖率达70%以上。在实时定价方面，ComEd（芝加哥）、Georgia Power、Consolidated Edison等电力公司均实施了大规模RTP项目。</w:t>
      </w:r>
    </w:p>
    <w:p>
      <w:pPr>
        <w:spacing w:line="360" w:lineRule="auto" w:after="0"/>
        <w:ind w:firstLine="425"/>
      </w:pPr>
      <w:r>
        <w:rPr>
          <w:rFonts w:ascii="Times New Roman" w:hAnsi="Times New Roman" w:eastAsia="宋体"/>
          <w:b w:val="0"/>
          <w:i w:val="0"/>
          <w:sz w:val="22"/>
        </w:rPr>
        <w:t>ComEd的RTP项目是美国最大的住宅用户实时定价项目之一，覆盖超过10万用户。该项目以小时为单位动态调整电价，价格信号直接来源于PJM批发市场的节点边际电价（LMP）。Allcott（2009）对ComEd项目进行了系统评估，发现RTP使用户峰值时段用电量降低约12%-15%，总电费支出降低约10%</w:t>
      </w:r>
      <w:r>
        <w:rPr>
          <w:rFonts w:ascii="Times New Roman" w:hAnsi="Times New Roman" w:eastAsia="Times New Roman"/>
          <w:b w:val="0"/>
          <w:i w:val="0"/>
          <w:sz w:val="18"/>
          <w:vertAlign w:val="superscript"/>
        </w:rPr>
        <w:t>[25]</w:t>
      </w:r>
      <w:r>
        <w:rPr>
          <w:rFonts w:ascii="Times New Roman" w:hAnsi="Times New Roman" w:eastAsia="宋体"/>
          <w:b w:val="0"/>
          <w:i w:val="0"/>
          <w:sz w:val="22"/>
        </w:rPr>
        <w:t>。然而，该项目也暴露了一些问题：约15%的用户在RTP下电费反而增加，这些用户通常是低收入家庭或对价格信号不敏感的用户，引发了关于公平性的讨论。</w:t>
      </w:r>
    </w:p>
    <w:p>
      <w:pPr>
        <w:spacing w:line="360" w:lineRule="auto" w:after="0"/>
        <w:ind w:firstLine="425"/>
      </w:pPr>
      <w:r>
        <w:rPr>
          <w:rFonts w:ascii="Times New Roman" w:hAnsi="Times New Roman" w:eastAsia="宋体"/>
          <w:b w:val="0"/>
          <w:i w:val="0"/>
          <w:sz w:val="22"/>
        </w:rPr>
        <w:t>Georgia Power的RTP项目主要面向工商业用户，覆盖超过5000家大型用户。该项目提供了风险管理工具（如价格上限保险和TOU对冲），帮助用户管理价格波动风险。Hogan（2014）分析了该项目的市场设计，指出合理的风险管理工具设计对于RTP项目的成功至关重要</w:t>
      </w:r>
      <w:r>
        <w:rPr>
          <w:rFonts w:ascii="Times New Roman" w:hAnsi="Times New Roman" w:eastAsia="Times New Roman"/>
          <w:b w:val="0"/>
          <w:i w:val="0"/>
          <w:sz w:val="18"/>
          <w:vertAlign w:val="superscript"/>
        </w:rPr>
        <w:t>[26]</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欧洲智能电网与实时定价发展</w:t>
      </w:r>
    </w:p>
    <w:p>
      <w:pPr>
        <w:spacing w:line="360" w:lineRule="auto" w:after="0"/>
        <w:ind w:firstLine="425"/>
      </w:pPr>
      <w:r>
        <w:rPr>
          <w:rFonts w:ascii="Times New Roman" w:hAnsi="Times New Roman" w:eastAsia="宋体"/>
          <w:b w:val="0"/>
          <w:i w:val="0"/>
          <w:sz w:val="22"/>
        </w:rPr>
        <w:t>欧盟通过"第三能源一揽子方案"（2009年）和"清洁能源一揽子方案"（2019年）推动了电力市场化改革和智能电网建设。欧盟要求到2024年，80%的终端用户安装智能电表；到2027年，所有终端用户安装智能电表。</w:t>
      </w:r>
    </w:p>
    <w:p>
      <w:pPr>
        <w:spacing w:line="360" w:lineRule="auto" w:after="0"/>
        <w:ind w:firstLine="425"/>
      </w:pPr>
      <w:r>
        <w:rPr>
          <w:rFonts w:ascii="Times New Roman" w:hAnsi="Times New Roman" w:eastAsia="宋体"/>
          <w:b w:val="0"/>
          <w:i w:val="0"/>
          <w:sz w:val="22"/>
        </w:rPr>
        <w:t>在实时定价方面，北欧电力市场（Nord Pool）是最成熟的案例。Nord Pool覆盖挪威、瑞典、丹麦、芬兰等国，以小时为单位动态调整电价。丹麦的风电渗透率超过50%，实时定价在引导用户消纳风电方面发挥了关键作用。当风电出力充沛时，电价可降至零甚至负值，吸引用户增加用电；当风电出力不足时，电价上升，抑制用电需求。</w:t>
      </w:r>
    </w:p>
    <w:p>
      <w:pPr>
        <w:spacing w:line="360" w:lineRule="auto" w:after="0"/>
        <w:ind w:firstLine="425"/>
      </w:pPr>
      <w:r>
        <w:rPr>
          <w:rFonts w:ascii="Times New Roman" w:hAnsi="Times New Roman" w:eastAsia="宋体"/>
          <w:b w:val="0"/>
          <w:i w:val="0"/>
          <w:sz w:val="22"/>
        </w:rPr>
        <w:t>英国的Capacity Market和法国的NEBEF机制也为需求响应和实时定价提供了参与渠道。欧洲RTP的特点是：与可再生能源消纳高度耦合、注重环境保护、政策驱动强。Viola等（2023）分析了欧美电力市场在辅助服务和实时定价方面的设计挑战，指出随着可再生能源渗透率提高，实时定价需要更加精细化</w:t>
      </w:r>
      <w:r>
        <w:rPr>
          <w:rFonts w:ascii="Times New Roman" w:hAnsi="Times New Roman" w:eastAsia="Times New Roman"/>
          <w:b w:val="0"/>
          <w:i w:val="0"/>
          <w:sz w:val="18"/>
          <w:vertAlign w:val="superscript"/>
        </w:rPr>
        <w:t>[27]</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日本和韩国的实践</w:t>
      </w:r>
    </w:p>
    <w:p>
      <w:pPr>
        <w:spacing w:line="360" w:lineRule="auto" w:after="0"/>
        <w:ind w:firstLine="425"/>
      </w:pPr>
      <w:r>
        <w:rPr>
          <w:rFonts w:ascii="Times New Roman" w:hAnsi="Times New Roman" w:eastAsia="宋体"/>
          <w:b w:val="0"/>
          <w:i w:val="0"/>
          <w:sz w:val="22"/>
        </w:rPr>
        <w:t>日本在福岛核事故后加速了电力市场化改革，2016年全面放开零售市场。日本的特点是注重用户侧的能源管理，通过HEMS（Home Energy Management System）和BEMS（Building Energy Management System）实现自动需求响应。东京电力公司实施了"动态定价"实验项目，将RTP与TOU结合，取得了良好的削峰效果。</w:t>
      </w:r>
    </w:p>
    <w:p>
      <w:pPr>
        <w:spacing w:line="360" w:lineRule="auto" w:after="0"/>
        <w:ind w:firstLine="425"/>
      </w:pPr>
      <w:r>
        <w:rPr>
          <w:rFonts w:ascii="Times New Roman" w:hAnsi="Times New Roman" w:eastAsia="宋体"/>
          <w:b w:val="0"/>
          <w:i w:val="0"/>
          <w:sz w:val="22"/>
        </w:rPr>
        <w:t>韩国自2015年起在济州岛开展智能电网示范项目，部署了完整的AMI系统和需求响应平台。韩国的特点是政府主导力度大、技术标准统一、产业化推进快。</w:t>
      </w:r>
    </w:p>
    <w:p>
      <w:pPr>
        <w:pStyle w:val="Heading3"/>
        <w:spacing w:before="160" w:after="60"/>
      </w:pPr>
      <w:r>
        <w:rPr>
          <w:rFonts w:ascii="Times New Roman" w:hAnsi="Times New Roman" w:eastAsia="黑体"/>
          <w:b/>
          <w:i w:val="0"/>
          <w:sz w:val="24"/>
        </w:rPr>
        <w:t>中国智能电网与实时定价发展</w:t>
      </w:r>
    </w:p>
    <w:p>
      <w:pPr>
        <w:spacing w:line="360" w:lineRule="auto" w:after="0"/>
        <w:ind w:firstLine="425"/>
      </w:pPr>
      <w:r>
        <w:rPr>
          <w:rFonts w:ascii="Times New Roman" w:hAnsi="Times New Roman" w:eastAsia="宋体"/>
          <w:b w:val="0"/>
          <w:i w:val="0"/>
          <w:sz w:val="22"/>
        </w:rPr>
        <w:t>中国智能电网建设经历了"坚强智能电网"（2009-2020）到"新型电力系统"（2021至今）的演进。国家电网公司于2009年首次提出坚强智能电网发展战略，累计投资超过4000亿元用于智能电网建设。截至2024年，中国已安装超过5亿只智能电表，覆盖率超过95%，为全球最高。</w:t>
      </w:r>
    </w:p>
    <w:p>
      <w:pPr>
        <w:spacing w:line="360" w:lineRule="auto" w:after="0"/>
        <w:ind w:firstLine="425"/>
      </w:pPr>
      <w:r>
        <w:rPr>
          <w:rFonts w:ascii="Times New Roman" w:hAnsi="Times New Roman" w:eastAsia="宋体"/>
          <w:b w:val="0"/>
          <w:i w:val="0"/>
          <w:sz w:val="22"/>
        </w:rPr>
        <w:t>在实时定价方面，中国仍以TOU为主，RTP尚处于试点阶段。上海市自2015年起开展规模化电力需求响应试点，通过TOU与RTP结合的方式引导用户参与。截至2020年，累计参与用户超过10000户，削减峰值负荷超过500MW。广东省于2019年启动电力现货市场试运行，日前市场和实时市场价格信号逐步完善。</w:t>
      </w:r>
    </w:p>
    <w:p>
      <w:pPr>
        <w:spacing w:line="360" w:lineRule="auto" w:after="0"/>
        <w:ind w:firstLine="425"/>
      </w:pPr>
      <w:r>
        <w:rPr>
          <w:rFonts w:ascii="Times New Roman" w:hAnsi="Times New Roman" w:eastAsia="宋体"/>
          <w:b w:val="0"/>
          <w:i w:val="0"/>
          <w:sz w:val="22"/>
        </w:rPr>
        <w:t>2021年，中国在"双碳"目标指引下提出构建新型电力系统。新型电力系统的特征是高比例可再生能源接入、源网荷储协同互动、市场化定价机制完善。这为实时定价的推广提供了政策动力。王锡凡（2001）较早讨论了电力市场中的分段竞价机制，为中国电力市场定价机制设计提供了理论基础</w:t>
      </w:r>
      <w:r>
        <w:rPr>
          <w:rFonts w:ascii="Times New Roman" w:hAnsi="Times New Roman" w:eastAsia="Times New Roman"/>
          <w:b w:val="0"/>
          <w:i w:val="0"/>
          <w:sz w:val="18"/>
          <w:vertAlign w:val="superscript"/>
        </w:rPr>
        <w:t>[28]</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比较分析</w:t>
      </w:r>
    </w:p>
    <w:tbl>
      <w:tblPr>
        <w:tblStyle w:val="LightGrid-Accent1"/>
        <w:tblW w:type="auto" w:w="0"/>
        <w:jc w:val="center"/>
        <w:tblLook w:firstColumn="1" w:firstRow="1" w:lastColumn="0" w:lastRow="0" w:noHBand="0" w:noVBand="1" w:val="04A0"/>
      </w:tblPr>
      <w:tblGrid>
        <w:gridCol w:w="1701"/>
        <w:gridCol w:w="1701"/>
        <w:gridCol w:w="1701"/>
        <w:gridCol w:w="1701"/>
        <w:gridCol w:w="1701"/>
      </w:tblGrid>
      <w:tr>
        <w:tc>
          <w:tcPr>
            <w:tcW w:type="dxa" w:w="1701"/>
          </w:tcPr>
          <w:p>
            <w:pPr>
              <w:spacing w:after="40" w:before="40"/>
            </w:pPr>
            <w:r>
              <w:rPr>
                <w:b/>
              </w:rPr>
            </w:r>
            <w:r>
              <w:rPr>
                <w:rFonts w:ascii="Times New Roman" w:hAnsi="Times New Roman" w:eastAsia="黑体"/>
                <w:b/>
                <w:i w:val="0"/>
                <w:sz w:val="20"/>
              </w:rPr>
              <w:t>比较维度</w:t>
            </w:r>
          </w:p>
        </w:tc>
        <w:tc>
          <w:tcPr>
            <w:tcW w:type="dxa" w:w="1701"/>
          </w:tcPr>
          <w:p>
            <w:pPr>
              <w:spacing w:after="40" w:before="40"/>
            </w:pPr>
            <w:r>
              <w:rPr>
                <w:b/>
              </w:rPr>
            </w:r>
            <w:r>
              <w:rPr>
                <w:rFonts w:ascii="Times New Roman" w:hAnsi="Times New Roman" w:eastAsia="黑体"/>
                <w:b/>
                <w:i w:val="0"/>
                <w:sz w:val="20"/>
              </w:rPr>
              <w:t>美国</w:t>
            </w:r>
          </w:p>
        </w:tc>
        <w:tc>
          <w:tcPr>
            <w:tcW w:type="dxa" w:w="1701"/>
          </w:tcPr>
          <w:p>
            <w:pPr>
              <w:spacing w:after="40" w:before="40"/>
            </w:pPr>
            <w:r>
              <w:rPr>
                <w:b/>
              </w:rPr>
            </w:r>
            <w:r>
              <w:rPr>
                <w:rFonts w:ascii="Times New Roman" w:hAnsi="Times New Roman" w:eastAsia="黑体"/>
                <w:b/>
                <w:i w:val="0"/>
                <w:sz w:val="20"/>
              </w:rPr>
              <w:t>欧洲</w:t>
            </w:r>
          </w:p>
        </w:tc>
        <w:tc>
          <w:tcPr>
            <w:tcW w:type="dxa" w:w="1701"/>
          </w:tcPr>
          <w:p>
            <w:pPr>
              <w:spacing w:after="40" w:before="40"/>
            </w:pPr>
            <w:r>
              <w:rPr>
                <w:b/>
              </w:rPr>
            </w:r>
            <w:r>
              <w:rPr>
                <w:rFonts w:ascii="Times New Roman" w:hAnsi="Times New Roman" w:eastAsia="黑体"/>
                <w:b/>
                <w:i w:val="0"/>
                <w:sz w:val="20"/>
              </w:rPr>
              <w:t>日本/韩国</w:t>
            </w:r>
          </w:p>
        </w:tc>
        <w:tc>
          <w:tcPr>
            <w:tcW w:type="dxa" w:w="1701"/>
          </w:tcPr>
          <w:p>
            <w:pPr>
              <w:spacing w:after="40" w:before="40"/>
            </w:pPr>
            <w:r>
              <w:rPr>
                <w:b/>
              </w:rPr>
            </w:r>
            <w:r>
              <w:rPr>
                <w:rFonts w:ascii="Times New Roman" w:hAnsi="Times New Roman" w:eastAsia="黑体"/>
                <w:b/>
                <w:i w:val="0"/>
                <w:sz w:val="20"/>
              </w:rPr>
              <w:t>中国</w:t>
            </w:r>
          </w:p>
        </w:tc>
      </w:tr>
      <w:tr>
        <w:tc>
          <w:tcPr>
            <w:tcW w:type="dxa" w:w="1701"/>
          </w:tcPr>
          <w:p>
            <w:pPr>
              <w:spacing w:after="40" w:before="40"/>
            </w:pPr>
            <w:r/>
            <w:r>
              <w:rPr>
                <w:rFonts w:ascii="Times New Roman" w:hAnsi="Times New Roman" w:eastAsia="宋体"/>
                <w:b w:val="0"/>
                <w:i w:val="0"/>
                <w:sz w:val="20"/>
              </w:rPr>
              <w:t>智能电表覆盖率</w:t>
            </w:r>
          </w:p>
        </w:tc>
        <w:tc>
          <w:tcPr>
            <w:tcW w:type="dxa" w:w="1701"/>
          </w:tcPr>
          <w:p>
            <w:pPr>
              <w:spacing w:after="40" w:before="40"/>
            </w:pPr>
            <w:r/>
            <w:r>
              <w:rPr>
                <w:rFonts w:ascii="Times New Roman" w:hAnsi="Times New Roman" w:eastAsia="宋体"/>
                <w:b w:val="0"/>
                <w:i w:val="0"/>
                <w:sz w:val="20"/>
              </w:rPr>
              <w:t>70%+</w:t>
            </w:r>
          </w:p>
        </w:tc>
        <w:tc>
          <w:tcPr>
            <w:tcW w:type="dxa" w:w="1701"/>
          </w:tcPr>
          <w:p>
            <w:pPr>
              <w:spacing w:after="40" w:before="40"/>
            </w:pPr>
            <w:r/>
            <w:r>
              <w:rPr>
                <w:rFonts w:ascii="Times New Roman" w:hAnsi="Times New Roman" w:eastAsia="宋体"/>
                <w:b w:val="0"/>
                <w:i w:val="0"/>
                <w:sz w:val="20"/>
              </w:rPr>
              <w:t>60%-80%</w:t>
            </w:r>
          </w:p>
        </w:tc>
        <w:tc>
          <w:tcPr>
            <w:tcW w:type="dxa" w:w="1701"/>
          </w:tcPr>
          <w:p>
            <w:pPr>
              <w:spacing w:after="40" w:before="40"/>
            </w:pPr>
            <w:r/>
            <w:r>
              <w:rPr>
                <w:rFonts w:ascii="Times New Roman" w:hAnsi="Times New Roman" w:eastAsia="宋体"/>
                <w:b w:val="0"/>
                <w:i w:val="0"/>
                <w:sz w:val="20"/>
              </w:rPr>
              <w:t>80%+</w:t>
            </w:r>
          </w:p>
        </w:tc>
        <w:tc>
          <w:tcPr>
            <w:tcW w:type="dxa" w:w="1701"/>
          </w:tcPr>
          <w:p>
            <w:pPr>
              <w:spacing w:after="40" w:before="40"/>
            </w:pPr>
            <w:r/>
            <w:r>
              <w:rPr>
                <w:rFonts w:ascii="Times New Roman" w:hAnsi="Times New Roman" w:eastAsia="宋体"/>
                <w:b w:val="0"/>
                <w:i w:val="0"/>
                <w:sz w:val="20"/>
              </w:rPr>
              <w:t>95%+</w:t>
            </w:r>
          </w:p>
        </w:tc>
      </w:tr>
      <w:tr>
        <w:tc>
          <w:tcPr>
            <w:tcW w:type="dxa" w:w="1701"/>
            <w:shd w:val="clear" w:color="auto" w:fill="F0F4F8"/>
          </w:tcPr>
          <w:p>
            <w:pPr>
              <w:spacing w:after="40" w:before="40"/>
            </w:pPr>
            <w:r/>
            <w:r>
              <w:rPr>
                <w:rFonts w:ascii="Times New Roman" w:hAnsi="Times New Roman" w:eastAsia="宋体"/>
                <w:b w:val="0"/>
                <w:i w:val="0"/>
                <w:sz w:val="20"/>
              </w:rPr>
              <w:t>RTP实施阶段</w:t>
            </w:r>
          </w:p>
        </w:tc>
        <w:tc>
          <w:tcPr>
            <w:tcW w:type="dxa" w:w="1701"/>
            <w:shd w:val="clear" w:color="auto" w:fill="F0F4F8"/>
          </w:tcPr>
          <w:p>
            <w:pPr>
              <w:spacing w:after="40" w:before="40"/>
            </w:pPr>
            <w:r/>
            <w:r>
              <w:rPr>
                <w:rFonts w:ascii="Times New Roman" w:hAnsi="Times New Roman" w:eastAsia="宋体"/>
                <w:b w:val="0"/>
                <w:i w:val="0"/>
                <w:sz w:val="20"/>
              </w:rPr>
              <w:t>大规模商用</w:t>
            </w:r>
          </w:p>
        </w:tc>
        <w:tc>
          <w:tcPr>
            <w:tcW w:type="dxa" w:w="1701"/>
            <w:shd w:val="clear" w:color="auto" w:fill="F0F4F8"/>
          </w:tcPr>
          <w:p>
            <w:pPr>
              <w:spacing w:after="40" w:before="40"/>
            </w:pPr>
            <w:r/>
            <w:r>
              <w:rPr>
                <w:rFonts w:ascii="Times New Roman" w:hAnsi="Times New Roman" w:eastAsia="宋体"/>
                <w:b w:val="0"/>
                <w:i w:val="0"/>
                <w:sz w:val="20"/>
              </w:rPr>
              <w:t>区域试点</w:t>
            </w:r>
          </w:p>
        </w:tc>
        <w:tc>
          <w:tcPr>
            <w:tcW w:type="dxa" w:w="1701"/>
            <w:shd w:val="clear" w:color="auto" w:fill="F0F4F8"/>
          </w:tcPr>
          <w:p>
            <w:pPr>
              <w:spacing w:after="40" w:before="40"/>
            </w:pPr>
            <w:r/>
            <w:r>
              <w:rPr>
                <w:rFonts w:ascii="Times New Roman" w:hAnsi="Times New Roman" w:eastAsia="宋体"/>
                <w:b w:val="0"/>
                <w:i w:val="0"/>
                <w:sz w:val="20"/>
              </w:rPr>
              <w:t>试点推广</w:t>
            </w:r>
          </w:p>
        </w:tc>
        <w:tc>
          <w:tcPr>
            <w:tcW w:type="dxa" w:w="1701"/>
            <w:shd w:val="clear" w:color="auto" w:fill="F0F4F8"/>
          </w:tcPr>
          <w:p>
            <w:pPr>
              <w:spacing w:after="40" w:before="40"/>
            </w:pPr>
            <w:r/>
            <w:r>
              <w:rPr>
                <w:rFonts w:ascii="Times New Roman" w:hAnsi="Times New Roman" w:eastAsia="宋体"/>
                <w:b w:val="0"/>
                <w:i w:val="0"/>
                <w:sz w:val="20"/>
              </w:rPr>
              <w:t>试点初期</w:t>
            </w:r>
          </w:p>
        </w:tc>
      </w:tr>
      <w:tr>
        <w:tc>
          <w:tcPr>
            <w:tcW w:type="dxa" w:w="1701"/>
          </w:tcPr>
          <w:p>
            <w:pPr>
              <w:spacing w:after="40" w:before="40"/>
            </w:pPr>
            <w:r/>
            <w:r>
              <w:rPr>
                <w:rFonts w:ascii="Times New Roman" w:hAnsi="Times New Roman" w:eastAsia="宋体"/>
                <w:b w:val="0"/>
                <w:i w:val="0"/>
                <w:sz w:val="20"/>
              </w:rPr>
              <w:t>主要定价模式</w:t>
            </w:r>
          </w:p>
        </w:tc>
        <w:tc>
          <w:tcPr>
            <w:tcW w:type="dxa" w:w="1701"/>
          </w:tcPr>
          <w:p>
            <w:pPr>
              <w:spacing w:after="40" w:before="40"/>
            </w:pPr>
            <w:r/>
            <w:r>
              <w:rPr>
                <w:rFonts w:ascii="Times New Roman" w:hAnsi="Times New Roman" w:eastAsia="宋体"/>
                <w:b w:val="0"/>
                <w:i w:val="0"/>
                <w:sz w:val="20"/>
              </w:rPr>
              <w:t>LMP+RTP</w:t>
            </w:r>
          </w:p>
        </w:tc>
        <w:tc>
          <w:tcPr>
            <w:tcW w:type="dxa" w:w="1701"/>
          </w:tcPr>
          <w:p>
            <w:pPr>
              <w:spacing w:after="40" w:before="40"/>
            </w:pPr>
            <w:r/>
            <w:r>
              <w:rPr>
                <w:rFonts w:ascii="Times New Roman" w:hAnsi="Times New Roman" w:eastAsia="宋体"/>
                <w:b w:val="0"/>
                <w:i w:val="0"/>
                <w:sz w:val="20"/>
              </w:rPr>
              <w:t>区域电价+RTP</w:t>
            </w:r>
          </w:p>
        </w:tc>
        <w:tc>
          <w:tcPr>
            <w:tcW w:type="dxa" w:w="1701"/>
          </w:tcPr>
          <w:p>
            <w:pPr>
              <w:spacing w:after="40" w:before="40"/>
            </w:pPr>
            <w:r/>
            <w:r>
              <w:rPr>
                <w:rFonts w:ascii="Times New Roman" w:hAnsi="Times New Roman" w:eastAsia="宋体"/>
                <w:b w:val="0"/>
                <w:i w:val="0"/>
                <w:sz w:val="20"/>
              </w:rPr>
              <w:t>TOU+动态定价</w:t>
            </w:r>
          </w:p>
        </w:tc>
        <w:tc>
          <w:tcPr>
            <w:tcW w:type="dxa" w:w="1701"/>
          </w:tcPr>
          <w:p>
            <w:pPr>
              <w:spacing w:after="40" w:before="40"/>
            </w:pPr>
            <w:r/>
            <w:r>
              <w:rPr>
                <w:rFonts w:ascii="Times New Roman" w:hAnsi="Times New Roman" w:eastAsia="宋体"/>
                <w:b w:val="0"/>
                <w:i w:val="0"/>
                <w:sz w:val="20"/>
              </w:rPr>
              <w:t>TOU为主</w:t>
            </w:r>
          </w:p>
        </w:tc>
      </w:tr>
      <w:tr>
        <w:tc>
          <w:tcPr>
            <w:tcW w:type="dxa" w:w="1701"/>
            <w:shd w:val="clear" w:color="auto" w:fill="F0F4F8"/>
          </w:tcPr>
          <w:p>
            <w:pPr>
              <w:spacing w:after="40" w:before="40"/>
            </w:pPr>
            <w:r/>
            <w:r>
              <w:rPr>
                <w:rFonts w:ascii="Times New Roman" w:hAnsi="Times New Roman" w:eastAsia="宋体"/>
                <w:b w:val="0"/>
                <w:i w:val="0"/>
                <w:sz w:val="20"/>
              </w:rPr>
              <w:t>政策驱动力</w:t>
            </w:r>
          </w:p>
        </w:tc>
        <w:tc>
          <w:tcPr>
            <w:tcW w:type="dxa" w:w="1701"/>
            <w:shd w:val="clear" w:color="auto" w:fill="F0F4F8"/>
          </w:tcPr>
          <w:p>
            <w:pPr>
              <w:spacing w:after="40" w:before="40"/>
            </w:pPr>
            <w:r/>
            <w:r>
              <w:rPr>
                <w:rFonts w:ascii="Times New Roman" w:hAnsi="Times New Roman" w:eastAsia="宋体"/>
                <w:b w:val="0"/>
                <w:i w:val="0"/>
                <w:sz w:val="20"/>
              </w:rPr>
              <w:t>市场化改革</w:t>
            </w:r>
          </w:p>
        </w:tc>
        <w:tc>
          <w:tcPr>
            <w:tcW w:type="dxa" w:w="1701"/>
            <w:shd w:val="clear" w:color="auto" w:fill="F0F4F8"/>
          </w:tcPr>
          <w:p>
            <w:pPr>
              <w:spacing w:after="40" w:before="40"/>
            </w:pPr>
            <w:r/>
            <w:r>
              <w:rPr>
                <w:rFonts w:ascii="Times New Roman" w:hAnsi="Times New Roman" w:eastAsia="宋体"/>
                <w:b w:val="0"/>
                <w:i w:val="0"/>
                <w:sz w:val="20"/>
              </w:rPr>
              <w:t>环保+市场化</w:t>
            </w:r>
          </w:p>
        </w:tc>
        <w:tc>
          <w:tcPr>
            <w:tcW w:type="dxa" w:w="1701"/>
            <w:shd w:val="clear" w:color="auto" w:fill="F0F4F8"/>
          </w:tcPr>
          <w:p>
            <w:pPr>
              <w:spacing w:after="40" w:before="40"/>
            </w:pPr>
            <w:r/>
            <w:r>
              <w:rPr>
                <w:rFonts w:ascii="Times New Roman" w:hAnsi="Times New Roman" w:eastAsia="宋体"/>
                <w:b w:val="0"/>
                <w:i w:val="0"/>
                <w:sz w:val="20"/>
              </w:rPr>
              <w:t>核事故+市场化</w:t>
            </w:r>
          </w:p>
        </w:tc>
        <w:tc>
          <w:tcPr>
            <w:tcW w:type="dxa" w:w="1701"/>
            <w:shd w:val="clear" w:color="auto" w:fill="F0F4F8"/>
          </w:tcPr>
          <w:p>
            <w:pPr>
              <w:spacing w:after="40" w:before="40"/>
            </w:pPr>
            <w:r/>
            <w:r>
              <w:rPr>
                <w:rFonts w:ascii="Times New Roman" w:hAnsi="Times New Roman" w:eastAsia="宋体"/>
                <w:b w:val="0"/>
                <w:i w:val="0"/>
                <w:sz w:val="20"/>
              </w:rPr>
              <w:t>双碳+市场化</w:t>
            </w:r>
          </w:p>
        </w:tc>
      </w:tr>
      <w:tr>
        <w:tc>
          <w:tcPr>
            <w:tcW w:type="dxa" w:w="1701"/>
          </w:tcPr>
          <w:p>
            <w:pPr>
              <w:spacing w:after="40" w:before="40"/>
            </w:pPr>
            <w:r/>
            <w:r>
              <w:rPr>
                <w:rFonts w:ascii="Times New Roman" w:hAnsi="Times New Roman" w:eastAsia="宋体"/>
                <w:b w:val="0"/>
                <w:i w:val="0"/>
                <w:sz w:val="20"/>
              </w:rPr>
              <w:t>用户参与度</w:t>
            </w:r>
          </w:p>
        </w:tc>
        <w:tc>
          <w:tcPr>
            <w:tcW w:type="dxa" w:w="1701"/>
          </w:tcPr>
          <w:p>
            <w:pPr>
              <w:spacing w:after="40" w:before="40"/>
            </w:pPr>
            <w:r/>
            <w:r>
              <w:rPr>
                <w:rFonts w:ascii="Times New Roman" w:hAnsi="Times New Roman" w:eastAsia="宋体"/>
                <w:b w:val="0"/>
                <w:i w:val="0"/>
                <w:sz w:val="20"/>
              </w:rPr>
              <w:t>中-高</w:t>
            </w:r>
          </w:p>
        </w:tc>
        <w:tc>
          <w:tcPr>
            <w:tcW w:type="dxa" w:w="1701"/>
          </w:tcPr>
          <w:p>
            <w:pPr>
              <w:spacing w:after="40" w:before="40"/>
            </w:pPr>
            <w:r/>
            <w:r>
              <w:rPr>
                <w:rFonts w:ascii="Times New Roman" w:hAnsi="Times New Roman" w:eastAsia="宋体"/>
                <w:b w:val="0"/>
                <w:i w:val="0"/>
                <w:sz w:val="20"/>
              </w:rPr>
              <w:t>中</w:t>
            </w:r>
          </w:p>
        </w:tc>
        <w:tc>
          <w:tcPr>
            <w:tcW w:type="dxa" w:w="1701"/>
          </w:tcPr>
          <w:p>
            <w:pPr>
              <w:spacing w:after="40" w:before="40"/>
            </w:pPr>
            <w:r/>
            <w:r>
              <w:rPr>
                <w:rFonts w:ascii="Times New Roman" w:hAnsi="Times New Roman" w:eastAsia="宋体"/>
                <w:b w:val="0"/>
                <w:i w:val="0"/>
                <w:sz w:val="20"/>
              </w:rPr>
              <w:t>中</w:t>
            </w:r>
          </w:p>
        </w:tc>
        <w:tc>
          <w:tcPr>
            <w:tcW w:type="dxa" w:w="1701"/>
          </w:tcPr>
          <w:p>
            <w:pPr>
              <w:spacing w:after="40" w:before="40"/>
            </w:pPr>
            <w:r/>
            <w:r>
              <w:rPr>
                <w:rFonts w:ascii="Times New Roman" w:hAnsi="Times New Roman" w:eastAsia="宋体"/>
                <w:b w:val="0"/>
                <w:i w:val="0"/>
                <w:sz w:val="20"/>
              </w:rPr>
              <w:t>低-中</w:t>
            </w:r>
          </w:p>
        </w:tc>
      </w:tr>
    </w:tbl>
    <w:p>
      <w:pPr>
        <w:pStyle w:val="Heading2"/>
        <w:spacing w:before="240" w:after="80"/>
      </w:pPr>
      <w:r>
        <w:rPr>
          <w:rFonts w:ascii="Times New Roman" w:hAnsi="Times New Roman" w:eastAsia="黑体"/>
          <w:b/>
          <w:i w:val="0"/>
          <w:sz w:val="28"/>
        </w:rPr>
        <w:t>1.7 实践案例深度分析</w:t>
      </w:r>
    </w:p>
    <w:p>
      <w:pPr>
        <w:pStyle w:val="Heading3"/>
        <w:spacing w:before="160" w:after="60"/>
      </w:pPr>
      <w:r>
        <w:rPr>
          <w:rFonts w:ascii="Times New Roman" w:hAnsi="Times New Roman" w:eastAsia="黑体"/>
          <w:b/>
          <w:i w:val="0"/>
          <w:sz w:val="24"/>
        </w:rPr>
        <w:t>案例1：ComEd实时定价项目深度分析</w:t>
      </w:r>
    </w:p>
    <w:p>
      <w:pPr>
        <w:spacing w:line="360" w:lineRule="auto" w:after="0"/>
        <w:ind w:firstLine="425"/>
      </w:pPr>
      <w:r>
        <w:rPr>
          <w:rFonts w:ascii="Times New Roman" w:hAnsi="Times New Roman" w:eastAsia="宋体"/>
          <w:b w:val="0"/>
          <w:i w:val="0"/>
          <w:sz w:val="22"/>
        </w:rPr>
        <w:t>ComEd的RTP项目自2007年启动，是美国规模最大、运行时间最长的住宅RTP项目。该项目的核心设计包括：</w:t>
      </w:r>
    </w:p>
    <w:p>
      <w:pPr>
        <w:spacing w:line="360" w:lineRule="auto" w:after="0"/>
        <w:ind w:firstLine="425"/>
      </w:pPr>
      <w:r>
        <w:rPr>
          <w:rFonts w:ascii="Times New Roman" w:hAnsi="Times New Roman" w:eastAsia="宋体"/>
          <w:b/>
          <w:i w:val="0"/>
          <w:sz w:val="22"/>
        </w:rPr>
        <w:t>价格形成机制</w:t>
      </w:r>
      <w:r>
        <w:rPr>
          <w:rFonts w:ascii="Times New Roman" w:hAnsi="Times New Roman" w:eastAsia="宋体"/>
          <w:b w:val="0"/>
          <w:i w:val="0"/>
          <w:sz w:val="22"/>
        </w:rPr>
        <w:t>：电价直接来源于PJM批发市场的日前LMP，加上输配电费用和零售加价。每小时更新一次价格，用户通过智能电表和移动应用获取价格信息。</w:t>
      </w:r>
    </w:p>
    <w:p>
      <w:pPr>
        <w:spacing w:line="360" w:lineRule="auto" w:after="0"/>
        <w:ind w:firstLine="425"/>
      </w:pPr>
      <w:r>
        <w:rPr>
          <w:rFonts w:ascii="Times New Roman" w:hAnsi="Times New Roman" w:eastAsia="宋体"/>
          <w:b/>
          <w:i w:val="0"/>
          <w:sz w:val="22"/>
        </w:rPr>
        <w:t>用户响应效果</w:t>
      </w:r>
      <w:r>
        <w:rPr>
          <w:rFonts w:ascii="Times New Roman" w:hAnsi="Times New Roman" w:eastAsia="宋体"/>
          <w:b w:val="0"/>
          <w:i w:val="0"/>
          <w:sz w:val="22"/>
        </w:rPr>
        <w:t>：Allcott（2012）的评估显示，RTP用户的峰值时段用电量比TOU用户低12%-15%，总用电量减少约3%-5%</w:t>
      </w:r>
      <w:r>
        <w:rPr>
          <w:rFonts w:ascii="Times New Roman" w:hAnsi="Times New Roman" w:eastAsia="Times New Roman"/>
          <w:b w:val="0"/>
          <w:i w:val="0"/>
          <w:sz w:val="18"/>
          <w:vertAlign w:val="superscript"/>
        </w:rPr>
        <w:t>[29]</w:t>
      </w:r>
      <w:r>
        <w:rPr>
          <w:rFonts w:ascii="Times New Roman" w:hAnsi="Times New Roman" w:eastAsia="宋体"/>
          <w:b w:val="0"/>
          <w:i w:val="0"/>
          <w:sz w:val="22"/>
        </w:rPr>
        <w:t>。在价格尖峰时段（电价超过200美元/MWh），用户响应更为显著，用电量可降低20%-30%。</w:t>
      </w:r>
    </w:p>
    <w:p>
      <w:pPr>
        <w:spacing w:line="360" w:lineRule="auto" w:after="0"/>
        <w:ind w:firstLine="425"/>
      </w:pPr>
      <w:r>
        <w:rPr>
          <w:rFonts w:ascii="Times New Roman" w:hAnsi="Times New Roman" w:eastAsia="宋体"/>
          <w:b/>
          <w:i w:val="0"/>
          <w:sz w:val="22"/>
        </w:rPr>
        <w:t>公平性问题</w:t>
      </w:r>
      <w:r>
        <w:rPr>
          <w:rFonts w:ascii="Times New Roman" w:hAnsi="Times New Roman" w:eastAsia="宋体"/>
          <w:b w:val="0"/>
          <w:i w:val="0"/>
          <w:sz w:val="22"/>
        </w:rPr>
        <w:t>：约15%的用户在RTP下电费增加。这些用户主要是低收入家庭、老年人和对价格不敏感的用户。为解决这一问题，ComEd推出了"RTP保护计划"，为低收入用户提供价格上限保障。</w:t>
      </w:r>
    </w:p>
    <w:p>
      <w:pPr>
        <w:spacing w:line="360" w:lineRule="auto" w:after="0"/>
        <w:ind w:firstLine="425"/>
      </w:pPr>
      <w:r>
        <w:rPr>
          <w:rFonts w:ascii="Times New Roman" w:hAnsi="Times New Roman" w:eastAsia="宋体"/>
          <w:b/>
          <w:i w:val="0"/>
          <w:sz w:val="22"/>
        </w:rPr>
        <w:t>启示</w:t>
      </w:r>
      <w:r>
        <w:rPr>
          <w:rFonts w:ascii="Times New Roman" w:hAnsi="Times New Roman" w:eastAsia="宋体"/>
          <w:b w:val="0"/>
          <w:i w:val="0"/>
          <w:sz w:val="22"/>
        </w:rPr>
        <w:t>：ComEd的经验表明，RTP能够有效实现需求响应，但需要配套风险管理工具和公平性保障措施。</w:t>
      </w:r>
    </w:p>
    <w:p>
      <w:pPr>
        <w:pStyle w:val="Heading3"/>
        <w:spacing w:before="160" w:after="60"/>
      </w:pPr>
      <w:r>
        <w:rPr>
          <w:rFonts w:ascii="Times New Roman" w:hAnsi="Times New Roman" w:eastAsia="黑体"/>
          <w:b/>
          <w:i w:val="0"/>
          <w:sz w:val="24"/>
        </w:rPr>
        <w:t>案例2：丹麦风电消纳与实时定价</w:t>
      </w:r>
    </w:p>
    <w:p>
      <w:pPr>
        <w:spacing w:line="360" w:lineRule="auto" w:after="0"/>
        <w:ind w:firstLine="425"/>
      </w:pPr>
      <w:r>
        <w:rPr>
          <w:rFonts w:ascii="Times New Roman" w:hAnsi="Times New Roman" w:eastAsia="宋体"/>
          <w:b w:val="0"/>
          <w:i w:val="0"/>
          <w:sz w:val="22"/>
        </w:rPr>
        <w:t>丹麦是全球风电渗透率最高的国家，2023年风电占总发电量的比例超过55%。实时定价在丹麦风电消纳中发挥了关键作用：</w:t>
      </w:r>
    </w:p>
    <w:p>
      <w:pPr>
        <w:spacing w:line="360" w:lineRule="auto" w:after="0"/>
        <w:ind w:firstLine="425"/>
      </w:pPr>
      <w:r>
        <w:rPr>
          <w:rFonts w:ascii="Times New Roman" w:hAnsi="Times New Roman" w:eastAsia="宋体"/>
          <w:b/>
          <w:i w:val="0"/>
          <w:sz w:val="22"/>
        </w:rPr>
        <w:t>负电价现象</w:t>
      </w:r>
      <w:r>
        <w:rPr>
          <w:rFonts w:ascii="Times New Roman" w:hAnsi="Times New Roman" w:eastAsia="宋体"/>
          <w:b w:val="0"/>
          <w:i w:val="0"/>
          <w:sz w:val="22"/>
        </w:rPr>
        <w:t>：当风电出力远超需求时，Nord Pool市场出现负电价，即发电企业向用户付费以消耗多余电力。2023年，丹麦出现了超过200小时的负电价时段。在负电价时段，用户主动增加用电（如启动电热水器、电动汽车充电等），有效消纳了过剩风电。</w:t>
      </w:r>
    </w:p>
    <w:p>
      <w:pPr>
        <w:spacing w:line="360" w:lineRule="auto" w:after="0"/>
        <w:ind w:firstLine="425"/>
      </w:pPr>
      <w:r>
        <w:rPr>
          <w:rFonts w:ascii="Times New Roman" w:hAnsi="Times New Roman" w:eastAsia="宋体"/>
          <w:b/>
          <w:i w:val="0"/>
          <w:sz w:val="22"/>
        </w:rPr>
        <w:t>灵活性资源</w:t>
      </w:r>
      <w:r>
        <w:rPr>
          <w:rFonts w:ascii="Times New Roman" w:hAnsi="Times New Roman" w:eastAsia="宋体"/>
          <w:b w:val="0"/>
          <w:i w:val="0"/>
          <w:sz w:val="22"/>
        </w:rPr>
        <w:t>：丹麦通过电锅炉、热泵和储能等灵活性资源将电力与热力系统耦合，在风电过剩时将电能转化为热能存储，在风电不足时释放热能。这种跨能源系统的灵活性依赖实时价格信号进行调度优化。</w:t>
      </w:r>
    </w:p>
    <w:p>
      <w:pPr>
        <w:spacing w:line="360" w:lineRule="auto" w:after="0"/>
        <w:ind w:firstLine="425"/>
      </w:pPr>
      <w:r>
        <w:rPr>
          <w:rFonts w:ascii="Times New Roman" w:hAnsi="Times New Roman" w:eastAsia="宋体"/>
          <w:b/>
          <w:i w:val="0"/>
          <w:sz w:val="22"/>
        </w:rPr>
        <w:t>启示</w:t>
      </w:r>
      <w:r>
        <w:rPr>
          <w:rFonts w:ascii="Times New Roman" w:hAnsi="Times New Roman" w:eastAsia="宋体"/>
          <w:b w:val="0"/>
          <w:i w:val="0"/>
          <w:sz w:val="22"/>
        </w:rPr>
        <w:t>：高比例可再生能源系统需要实时定价来引导灵活性资源参与系统平衡。</w:t>
      </w:r>
    </w:p>
    <w:p>
      <w:pPr>
        <w:pStyle w:val="Heading3"/>
        <w:spacing w:before="160" w:after="60"/>
      </w:pPr>
      <w:r>
        <w:rPr>
          <w:rFonts w:ascii="Times New Roman" w:hAnsi="Times New Roman" w:eastAsia="黑体"/>
          <w:b/>
          <w:i w:val="0"/>
          <w:sz w:val="24"/>
        </w:rPr>
        <w:t>案例3：上海需求响应试点项目</w:t>
      </w:r>
    </w:p>
    <w:p>
      <w:pPr>
        <w:spacing w:line="360" w:lineRule="auto" w:after="0"/>
        <w:ind w:firstLine="425"/>
      </w:pPr>
      <w:r>
        <w:rPr>
          <w:rFonts w:ascii="Times New Roman" w:hAnsi="Times New Roman" w:eastAsia="宋体"/>
          <w:b w:val="0"/>
          <w:i w:val="0"/>
          <w:sz w:val="22"/>
        </w:rPr>
        <w:t>上海市需求响应试点项目是中国规模最大、运行时间最长的DR项目：</w:t>
      </w:r>
    </w:p>
    <w:p>
      <w:pPr>
        <w:spacing w:line="360" w:lineRule="auto" w:after="0"/>
        <w:ind w:firstLine="425"/>
      </w:pPr>
      <w:r>
        <w:rPr>
          <w:rFonts w:ascii="Times New Roman" w:hAnsi="Times New Roman" w:eastAsia="宋体"/>
          <w:b/>
          <w:i w:val="0"/>
          <w:sz w:val="22"/>
        </w:rPr>
        <w:t>项目架构</w:t>
      </w:r>
      <w:r>
        <w:rPr>
          <w:rFonts w:ascii="Times New Roman" w:hAnsi="Times New Roman" w:eastAsia="宋体"/>
          <w:b w:val="0"/>
          <w:i w:val="0"/>
          <w:sz w:val="22"/>
        </w:rPr>
        <w:t>：建立了基于AMI的需求响应管理平台，实现了实时数据采集、价格信号发布和效果评估的全流程自动化。</w:t>
      </w:r>
    </w:p>
    <w:p>
      <w:pPr>
        <w:spacing w:line="360" w:lineRule="auto" w:after="0"/>
        <w:ind w:firstLine="425"/>
      </w:pPr>
      <w:r>
        <w:rPr>
          <w:rFonts w:ascii="Times New Roman" w:hAnsi="Times New Roman" w:eastAsia="宋体"/>
          <w:b/>
          <w:i w:val="0"/>
          <w:sz w:val="22"/>
        </w:rPr>
        <w:t>定价策略</w:t>
      </w:r>
      <w:r>
        <w:rPr>
          <w:rFonts w:ascii="Times New Roman" w:hAnsi="Times New Roman" w:eastAsia="宋体"/>
          <w:b w:val="0"/>
          <w:i w:val="0"/>
          <w:sz w:val="22"/>
        </w:rPr>
        <w:t>：采用TOU为基础、RTP为补充的混合定价模式。在正常运行时段采用TOU，在电网紧张时段启动RTP。</w:t>
      </w:r>
    </w:p>
    <w:p>
      <w:pPr>
        <w:spacing w:line="360" w:lineRule="auto" w:after="0"/>
        <w:ind w:firstLine="425"/>
      </w:pPr>
      <w:r>
        <w:rPr>
          <w:rFonts w:ascii="Times New Roman" w:hAnsi="Times New Roman" w:eastAsia="宋体"/>
          <w:b/>
          <w:i w:val="0"/>
          <w:sz w:val="22"/>
        </w:rPr>
        <w:t>效果评估</w:t>
      </w:r>
      <w:r>
        <w:rPr>
          <w:rFonts w:ascii="Times New Roman" w:hAnsi="Times New Roman" w:eastAsia="宋体"/>
          <w:b w:val="0"/>
          <w:i w:val="0"/>
          <w:sz w:val="22"/>
        </w:rPr>
        <w:t>：2015-2020年间，累计参与用户超过10000户，削减峰值负荷超过500MW。用户平均电费降低8%-12%，峰值负荷削减率约15%。</w:t>
      </w:r>
    </w:p>
    <w:p>
      <w:pPr>
        <w:spacing w:line="360" w:lineRule="auto" w:after="0"/>
        <w:ind w:firstLine="425"/>
      </w:pPr>
      <w:r>
        <w:rPr>
          <w:rFonts w:ascii="Times New Roman" w:hAnsi="Times New Roman" w:eastAsia="宋体"/>
          <w:b/>
          <w:i w:val="0"/>
          <w:sz w:val="22"/>
        </w:rPr>
        <w:t>挑战</w:t>
      </w:r>
      <w:r>
        <w:rPr>
          <w:rFonts w:ascii="Times New Roman" w:hAnsi="Times New Roman" w:eastAsia="宋体"/>
          <w:b w:val="0"/>
          <w:i w:val="0"/>
          <w:sz w:val="22"/>
        </w:rPr>
        <w:t>：项目面临的主要挑战包括用户参与意愿不足（仅约5%的目标用户参与）、自动化响应设备普及率低、市场补偿机制不完善等。</w:t>
      </w:r>
    </w:p>
    <w:p>
      <w:pPr>
        <w:pStyle w:val="Heading2"/>
        <w:spacing w:before="240" w:after="80"/>
      </w:pPr>
      <w:r>
        <w:rPr>
          <w:rFonts w:ascii="Times New Roman" w:hAnsi="Times New Roman" w:eastAsia="黑体"/>
          <w:b/>
          <w:i w:val="0"/>
          <w:sz w:val="28"/>
        </w:rPr>
        <w:t>1.8 理论深化与前沿探讨</w:t>
      </w:r>
    </w:p>
    <w:p>
      <w:pPr>
        <w:pStyle w:val="Heading3"/>
        <w:spacing w:before="160" w:after="60"/>
      </w:pPr>
      <w:r>
        <w:rPr>
          <w:rFonts w:ascii="Times New Roman" w:hAnsi="Times New Roman" w:eastAsia="黑体"/>
          <w:b/>
          <w:i w:val="0"/>
          <w:sz w:val="24"/>
        </w:rPr>
        <w:t>智能电网实时定价的理论演进</w:t>
      </w:r>
    </w:p>
    <w:p>
      <w:pPr>
        <w:spacing w:line="360" w:lineRule="auto" w:after="0"/>
        <w:ind w:firstLine="425"/>
      </w:pPr>
      <w:r>
        <w:rPr>
          <w:rFonts w:ascii="Times New Roman" w:hAnsi="Times New Roman" w:eastAsia="宋体"/>
          <w:b w:val="0"/>
          <w:i w:val="0"/>
          <w:sz w:val="22"/>
        </w:rPr>
        <w:t>智能电网实时定价的理论基础经历了从经典经济学到现代优化理论、再到人工智能驱动的演进过程：</w:t>
      </w:r>
    </w:p>
    <w:p>
      <w:pPr>
        <w:spacing w:line="360" w:lineRule="auto" w:after="0"/>
        <w:ind w:firstLine="425"/>
      </w:pPr>
      <w:r>
        <w:rPr>
          <w:rFonts w:ascii="Times New Roman" w:hAnsi="Times New Roman" w:eastAsia="宋体"/>
          <w:b/>
          <w:i w:val="0"/>
          <w:sz w:val="22"/>
        </w:rPr>
        <w:t>第一阶段（2010年以前）：经典经济学基础</w:t>
      </w:r>
      <w:r>
        <w:rPr>
          <w:rFonts w:ascii="Times New Roman" w:hAnsi="Times New Roman" w:eastAsia="宋体"/>
          <w:b w:val="0"/>
          <w:i w:val="0"/>
          <w:sz w:val="22"/>
        </w:rPr>
        <w:t>。Samadi等（2010）的工作奠定了社会福利最大化框架的理论基础</w:t>
      </w:r>
      <w:r>
        <w:rPr>
          <w:rFonts w:ascii="Times New Roman" w:hAnsi="Times New Roman" w:eastAsia="Times New Roman"/>
          <w:b w:val="0"/>
          <w:i w:val="0"/>
          <w:sz w:val="18"/>
          <w:vertAlign w:val="superscript"/>
        </w:rPr>
        <w:t>[19]</w:t>
      </w:r>
      <w:r>
        <w:rPr>
          <w:rFonts w:ascii="Times New Roman" w:hAnsi="Times New Roman" w:eastAsia="宋体"/>
          <w:b w:val="0"/>
          <w:i w:val="0"/>
          <w:sz w:val="22"/>
        </w:rPr>
        <w:t>。这一阶段的研究主要借鉴微观经济学中的效用理论和福利经济学，将电力定价问题形式化为凸优化问题。</w:t>
      </w:r>
    </w:p>
    <w:p>
      <w:pPr>
        <w:spacing w:line="360" w:lineRule="auto" w:after="0"/>
        <w:ind w:firstLine="425"/>
      </w:pPr>
      <w:r>
        <w:rPr>
          <w:rFonts w:ascii="Times New Roman" w:hAnsi="Times New Roman" w:eastAsia="宋体"/>
          <w:b/>
          <w:i w:val="0"/>
          <w:sz w:val="22"/>
        </w:rPr>
        <w:t>第二阶段（2010-2018年）：优化理论深化</w:t>
      </w:r>
      <w:r>
        <w:rPr>
          <w:rFonts w:ascii="Times New Roman" w:hAnsi="Times New Roman" w:eastAsia="宋体"/>
          <w:b w:val="0"/>
          <w:i w:val="0"/>
          <w:sz w:val="22"/>
        </w:rPr>
        <w:t>。研究者在社会福利最大化框架的基础上，引入了更复杂的数学工具：互补问题与非光滑方程（许志宏、高岩，2018）</w:t>
      </w:r>
      <w:r>
        <w:rPr>
          <w:rFonts w:ascii="Times New Roman" w:hAnsi="Times New Roman" w:eastAsia="Times New Roman"/>
          <w:b w:val="0"/>
          <w:i w:val="0"/>
          <w:sz w:val="18"/>
          <w:vertAlign w:val="superscript"/>
        </w:rPr>
        <w:t>[31]</w:t>
      </w:r>
      <w:r>
        <w:rPr>
          <w:rFonts w:ascii="Times New Roman" w:hAnsi="Times New Roman" w:eastAsia="宋体"/>
          <w:b w:val="0"/>
          <w:i w:val="0"/>
          <w:sz w:val="22"/>
        </w:rPr>
        <w:t>、博弈论（代业明、高岩，2014）</w:t>
      </w:r>
      <w:r>
        <w:rPr>
          <w:rFonts w:ascii="Times New Roman" w:hAnsi="Times New Roman" w:eastAsia="Times New Roman"/>
          <w:b w:val="0"/>
          <w:i w:val="0"/>
          <w:sz w:val="18"/>
          <w:vertAlign w:val="superscript"/>
        </w:rPr>
        <w:t>[14]</w:t>
      </w:r>
      <w:r>
        <w:rPr>
          <w:rFonts w:ascii="Times New Roman" w:hAnsi="Times New Roman" w:eastAsia="宋体"/>
          <w:b w:val="0"/>
          <w:i w:val="0"/>
          <w:sz w:val="22"/>
        </w:rPr>
        <w:t>、双层规划（Yuan等，2021）等。这一阶段的特征是理论深度不断增加，模型越来越贴近实际。</w:t>
      </w:r>
    </w:p>
    <w:p>
      <w:pPr>
        <w:spacing w:line="360" w:lineRule="auto" w:after="0"/>
        <w:ind w:firstLine="425"/>
      </w:pPr>
      <w:r>
        <w:rPr>
          <w:rFonts w:ascii="Times New Roman" w:hAnsi="Times New Roman" w:eastAsia="宋体"/>
          <w:b/>
          <w:i w:val="0"/>
          <w:sz w:val="22"/>
        </w:rPr>
        <w:t>第三阶段（2018年至今）：数据驱动与智能化</w:t>
      </w:r>
      <w:r>
        <w:rPr>
          <w:rFonts w:ascii="Times New Roman" w:hAnsi="Times New Roman" w:eastAsia="宋体"/>
          <w:b w:val="0"/>
          <w:i w:val="0"/>
          <w:sz w:val="22"/>
        </w:rPr>
        <w:t>。强化学习（王宏杰等，2022）</w:t>
      </w:r>
      <w:r>
        <w:rPr>
          <w:rFonts w:ascii="Times New Roman" w:hAnsi="Times New Roman" w:eastAsia="Times New Roman"/>
          <w:b w:val="0"/>
          <w:i w:val="0"/>
          <w:sz w:val="18"/>
          <w:vertAlign w:val="superscript"/>
        </w:rPr>
        <w:t>[1]</w:t>
      </w:r>
      <w:r>
        <w:rPr>
          <w:rFonts w:ascii="Times New Roman" w:hAnsi="Times New Roman" w:eastAsia="宋体"/>
          <w:b w:val="0"/>
          <w:i w:val="0"/>
          <w:sz w:val="22"/>
        </w:rPr>
        <w:t>、深度学习、联邦学习和LLM等人工智能技术开始融入定价框架。这一阶段的特征是从"模型驱动"向"数据驱动"转变，定价策略的自适应能力和鲁棒性显著提升。</w:t>
      </w:r>
    </w:p>
    <w:p>
      <w:pPr>
        <w:pStyle w:val="Heading3"/>
        <w:spacing w:before="160" w:after="60"/>
      </w:pPr>
      <w:r>
        <w:rPr>
          <w:rFonts w:ascii="Times New Roman" w:hAnsi="Times New Roman" w:eastAsia="黑体"/>
          <w:b/>
          <w:i w:val="0"/>
          <w:sz w:val="24"/>
        </w:rPr>
        <w:t>实时定价中的多学科交叉</w:t>
      </w:r>
    </w:p>
    <w:p>
      <w:pPr>
        <w:spacing w:line="360" w:lineRule="auto" w:after="0"/>
        <w:ind w:firstLine="425"/>
      </w:pPr>
      <w:r>
        <w:rPr>
          <w:rFonts w:ascii="Times New Roman" w:hAnsi="Times New Roman" w:eastAsia="宋体"/>
          <w:b w:val="0"/>
          <w:i w:val="0"/>
          <w:sz w:val="22"/>
        </w:rPr>
        <w:t>智能电网实时定价是一个典型的多学科交叉研究领域：</w:t>
      </w:r>
    </w:p>
    <w:p>
      <w:pPr>
        <w:pStyle w:val="ListBullet"/>
        <w:spacing w:line="360" w:lineRule="auto" w:after="0"/>
      </w:pPr>
      <w:r>
        <w:rPr>
          <w:rFonts w:ascii="Times New Roman" w:hAnsi="Times New Roman" w:eastAsia="宋体"/>
          <w:b/>
          <w:i w:val="0"/>
          <w:sz w:val="22"/>
        </w:rPr>
        <w:t>电力系统工程</w:t>
      </w:r>
      <w:r>
        <w:rPr>
          <w:rFonts w:ascii="Times New Roman" w:hAnsi="Times New Roman" w:eastAsia="宋体"/>
          <w:b w:val="0"/>
          <w:i w:val="0"/>
          <w:sz w:val="22"/>
        </w:rPr>
        <w:t>：提供电力系统运行、调度和控制的物理模型和约束条件</w:t>
      </w:r>
    </w:p>
    <w:p>
      <w:pPr>
        <w:pStyle w:val="ListBullet"/>
        <w:spacing w:line="360" w:lineRule="auto" w:after="0"/>
      </w:pPr>
      <w:r>
        <w:rPr>
          <w:rFonts w:ascii="Times New Roman" w:hAnsi="Times New Roman" w:eastAsia="宋体"/>
          <w:b/>
          <w:i w:val="0"/>
          <w:sz w:val="22"/>
        </w:rPr>
        <w:t>运筹优化</w:t>
      </w:r>
      <w:r>
        <w:rPr>
          <w:rFonts w:ascii="Times New Roman" w:hAnsi="Times New Roman" w:eastAsia="宋体"/>
          <w:b w:val="0"/>
          <w:i w:val="0"/>
          <w:sz w:val="22"/>
        </w:rPr>
        <w:t>：提供优化理论和算法工具，包括凸优化、非光滑优化、博弈论等</w:t>
      </w:r>
    </w:p>
    <w:p>
      <w:pPr>
        <w:pStyle w:val="ListBullet"/>
        <w:spacing w:line="360" w:lineRule="auto" w:after="0"/>
      </w:pPr>
      <w:r>
        <w:rPr>
          <w:rFonts w:ascii="Times New Roman" w:hAnsi="Times New Roman" w:eastAsia="宋体"/>
          <w:b/>
          <w:i w:val="0"/>
          <w:sz w:val="22"/>
        </w:rPr>
        <w:t>经济学</w:t>
      </w:r>
      <w:r>
        <w:rPr>
          <w:rFonts w:ascii="Times New Roman" w:hAnsi="Times New Roman" w:eastAsia="宋体"/>
          <w:b w:val="0"/>
          <w:i w:val="0"/>
          <w:sz w:val="22"/>
        </w:rPr>
        <w:t>：提供市场设计、定价理论和行为经济学的理论框架</w:t>
      </w:r>
    </w:p>
    <w:p>
      <w:pPr>
        <w:pStyle w:val="ListBullet"/>
        <w:spacing w:line="360" w:lineRule="auto" w:after="0"/>
      </w:pPr>
      <w:r>
        <w:rPr>
          <w:rFonts w:ascii="Times New Roman" w:hAnsi="Times New Roman" w:eastAsia="宋体"/>
          <w:b/>
          <w:i w:val="0"/>
          <w:sz w:val="22"/>
        </w:rPr>
        <w:t>计算机科学</w:t>
      </w:r>
      <w:r>
        <w:rPr>
          <w:rFonts w:ascii="Times New Roman" w:hAnsi="Times New Roman" w:eastAsia="宋体"/>
          <w:b w:val="0"/>
          <w:i w:val="0"/>
          <w:sz w:val="22"/>
        </w:rPr>
        <w:t>：提供数据处理、机器学习和分布式计算的技术支撑</w:t>
      </w:r>
    </w:p>
    <w:p>
      <w:pPr>
        <w:pStyle w:val="ListBullet"/>
        <w:spacing w:line="360" w:lineRule="auto" w:after="0"/>
      </w:pPr>
      <w:r>
        <w:rPr>
          <w:rFonts w:ascii="Times New Roman" w:hAnsi="Times New Roman" w:eastAsia="宋体"/>
          <w:b/>
          <w:i w:val="0"/>
          <w:sz w:val="22"/>
        </w:rPr>
        <w:t>通信工程</w:t>
      </w:r>
      <w:r>
        <w:rPr>
          <w:rFonts w:ascii="Times New Roman" w:hAnsi="Times New Roman" w:eastAsia="宋体"/>
          <w:b w:val="0"/>
          <w:i w:val="0"/>
          <w:sz w:val="22"/>
        </w:rPr>
        <w:t>：提供AMI、物联网和5G/6G通信的技术基础</w:t>
      </w:r>
    </w:p>
    <w:p>
      <w:pPr>
        <w:pStyle w:val="ListBullet"/>
        <w:spacing w:line="360" w:lineRule="auto" w:after="0"/>
      </w:pPr>
      <w:r>
        <w:rPr>
          <w:rFonts w:ascii="Times New Roman" w:hAnsi="Times New Roman" w:eastAsia="宋体"/>
          <w:b/>
          <w:i w:val="0"/>
          <w:sz w:val="22"/>
        </w:rPr>
        <w:t>政策科学</w:t>
      </w:r>
      <w:r>
        <w:rPr>
          <w:rFonts w:ascii="Times New Roman" w:hAnsi="Times New Roman" w:eastAsia="宋体"/>
          <w:b w:val="0"/>
          <w:i w:val="0"/>
          <w:sz w:val="22"/>
        </w:rPr>
        <w:t>：提供市场管制、政策设计和制度分析的方法论</w:t>
      </w:r>
    </w:p>
    <w:p>
      <w:pPr>
        <w:spacing w:line="360" w:lineRule="auto" w:after="0"/>
        <w:ind w:firstLine="425"/>
      </w:pPr>
      <w:r>
        <w:rPr>
          <w:rFonts w:ascii="Times New Roman" w:hAnsi="Times New Roman" w:eastAsia="宋体"/>
          <w:b w:val="0"/>
          <w:i w:val="0"/>
          <w:sz w:val="22"/>
        </w:rPr>
        <w:t>这种多学科交叉使得实时定价研究具有丰富的理论视角和多样的方法论工具，但也带来了跨学科沟通和知识整合的挑战。</w:t>
      </w:r>
    </w:p>
    <w:p>
      <w:pPr>
        <w:pStyle w:val="Heading3"/>
        <w:spacing w:before="160" w:after="60"/>
      </w:pPr>
      <w:r>
        <w:rPr>
          <w:rFonts w:ascii="Times New Roman" w:hAnsi="Times New Roman" w:eastAsia="黑体"/>
          <w:b/>
          <w:i w:val="0"/>
          <w:sz w:val="24"/>
        </w:rPr>
        <w:t>新型电力系统对实时定价的新要求</w:t>
      </w:r>
    </w:p>
    <w:p>
      <w:pPr>
        <w:spacing w:line="360" w:lineRule="auto" w:after="0"/>
        <w:ind w:firstLine="425"/>
      </w:pPr>
      <w:r>
        <w:rPr>
          <w:rFonts w:ascii="Times New Roman" w:hAnsi="Times New Roman" w:eastAsia="宋体"/>
          <w:b w:val="0"/>
          <w:i w:val="0"/>
          <w:sz w:val="22"/>
        </w:rPr>
        <w:t>新型电力系统的建设对实时定价提出了新的要求：</w:t>
      </w:r>
    </w:p>
    <w:p>
      <w:pPr>
        <w:spacing w:line="360" w:lineRule="auto" w:after="0"/>
        <w:ind w:firstLine="425"/>
      </w:pPr>
      <w:r>
        <w:rPr>
          <w:rFonts w:ascii="Times New Roman" w:hAnsi="Times New Roman" w:eastAsia="宋体"/>
          <w:b/>
          <w:i w:val="0"/>
          <w:sz w:val="22"/>
        </w:rPr>
        <w:t>高比例可再生能源</w:t>
      </w:r>
      <w:r>
        <w:rPr>
          <w:rFonts w:ascii="Times New Roman" w:hAnsi="Times New Roman" w:eastAsia="宋体"/>
          <w:b w:val="0"/>
          <w:i w:val="0"/>
          <w:sz w:val="22"/>
        </w:rPr>
        <w:t>：风光发电的间歇性和波动性要求定价策略具有更强的实时性和鲁棒性。传统的基于确定性模型的定价方法面临挑战，需要发展基于随机优化和鲁棒优化的定价方法。</w:t>
      </w:r>
    </w:p>
    <w:p>
      <w:pPr>
        <w:spacing w:line="360" w:lineRule="auto" w:after="0"/>
        <w:ind w:firstLine="425"/>
      </w:pPr>
      <w:r>
        <w:rPr>
          <w:rFonts w:ascii="Times New Roman" w:hAnsi="Times New Roman" w:eastAsia="宋体"/>
          <w:b/>
          <w:i w:val="0"/>
          <w:sz w:val="22"/>
        </w:rPr>
        <w:t>分布式能源接入</w:t>
      </w:r>
      <w:r>
        <w:rPr>
          <w:rFonts w:ascii="Times New Roman" w:hAnsi="Times New Roman" w:eastAsia="宋体"/>
          <w:b w:val="0"/>
          <w:i w:val="0"/>
          <w:sz w:val="22"/>
        </w:rPr>
        <w:t>：屋顶光伏、分布式储能和电动汽车等分布式能源的接入，使电力系统从单向辐射状网络转变为双向互动网络。定价机制需要支持分布式能源的"产消者"（Prosumer）角色。</w:t>
      </w:r>
    </w:p>
    <w:p>
      <w:pPr>
        <w:spacing w:line="360" w:lineRule="auto" w:after="0"/>
        <w:ind w:firstLine="425"/>
      </w:pPr>
      <w:r>
        <w:rPr>
          <w:rFonts w:ascii="Times New Roman" w:hAnsi="Times New Roman" w:eastAsia="宋体"/>
          <w:b/>
          <w:i w:val="0"/>
          <w:sz w:val="22"/>
        </w:rPr>
        <w:t>多能源耦合</w:t>
      </w:r>
      <w:r>
        <w:rPr>
          <w:rFonts w:ascii="Times New Roman" w:hAnsi="Times New Roman" w:eastAsia="宋体"/>
          <w:b w:val="0"/>
          <w:i w:val="0"/>
          <w:sz w:val="22"/>
        </w:rPr>
        <w:t>：电力、天然气、热力和氢能等多能源系统的耦合日益紧密，定价机制需要从单一能源定价向多能源协同定价拓展。</w:t>
      </w:r>
    </w:p>
    <w:p>
      <w:pPr>
        <w:spacing w:line="360" w:lineRule="auto" w:after="0"/>
        <w:ind w:firstLine="425"/>
      </w:pPr>
      <w:r>
        <w:rPr>
          <w:rFonts w:ascii="Times New Roman" w:hAnsi="Times New Roman" w:eastAsia="宋体"/>
          <w:b/>
          <w:i w:val="0"/>
          <w:sz w:val="22"/>
        </w:rPr>
        <w:t>市场化改革深化</w:t>
      </w:r>
      <w:r>
        <w:rPr>
          <w:rFonts w:ascii="Times New Roman" w:hAnsi="Times New Roman" w:eastAsia="宋体"/>
          <w:b w:val="0"/>
          <w:i w:val="0"/>
          <w:sz w:val="22"/>
        </w:rPr>
        <w:t>：电力市场化改革的推进要求定价机制更加市场化、透明化，减少行政干预，发挥市场在资源配置中的决定性作用。</w:t>
      </w:r>
    </w:p>
    <w:p>
      <w:pPr>
        <w:spacing w:line="360" w:lineRule="auto" w:after="0"/>
        <w:ind w:firstLine="425"/>
      </w:pPr>
      <w:r>
        <w:rPr>
          <w:rFonts w:ascii="Times New Roman" w:hAnsi="Times New Roman" w:eastAsia="宋体"/>
          <w:b/>
          <w:i w:val="0"/>
          <w:sz w:val="22"/>
        </w:rPr>
        <w:t>碳中和目标</w:t>
      </w:r>
      <w:r>
        <w:rPr>
          <w:rFonts w:ascii="Times New Roman" w:hAnsi="Times New Roman" w:eastAsia="宋体"/>
          <w:b w:val="0"/>
          <w:i w:val="0"/>
          <w:sz w:val="22"/>
        </w:rPr>
        <w:t>："双碳"目标要求定价机制内化碳排放外部性，通过碳交易与实时定价的协同优化促进低碳转型。</w:t>
      </w:r>
    </w:p>
    <w:p>
      <w:pPr>
        <w:pStyle w:val="Heading3"/>
        <w:spacing w:before="160" w:after="60"/>
      </w:pPr>
      <w:r>
        <w:rPr>
          <w:rFonts w:ascii="Times New Roman" w:hAnsi="Times New Roman" w:eastAsia="黑体"/>
          <w:b/>
          <w:i w:val="0"/>
          <w:sz w:val="24"/>
        </w:rPr>
        <w:t>实时定价的市场力分析</w:t>
      </w:r>
    </w:p>
    <w:p>
      <w:pPr>
        <w:spacing w:line="360" w:lineRule="auto" w:after="0"/>
        <w:ind w:firstLine="425"/>
      </w:pPr>
      <w:r>
        <w:rPr>
          <w:rFonts w:ascii="Times New Roman" w:hAnsi="Times New Roman" w:eastAsia="宋体"/>
          <w:b w:val="0"/>
          <w:i w:val="0"/>
          <w:sz w:val="22"/>
        </w:rPr>
        <w:t>在集中式电力市场中，大型发电商可能通过策略性报价行使市场力。实时定价可以通过需求侧的价格弹性来制衡供给侧市场力。当发电商试图通过减少出力来抬高价格时，需求侧的弹性响应能够抑制价格上升幅度。然而，在需求弹性较低的情况下（特别是短期内），市场力问题仍然严重。</w:t>
      </w:r>
    </w:p>
    <w:p>
      <w:pPr>
        <w:spacing w:line="360" w:lineRule="auto" w:after="0"/>
        <w:ind w:firstLine="425"/>
      </w:pPr>
      <w:r>
        <w:rPr>
          <w:rFonts w:ascii="Times New Roman" w:hAnsi="Times New Roman" w:eastAsia="宋体"/>
          <w:b w:val="0"/>
          <w:i w:val="0"/>
          <w:sz w:val="22"/>
        </w:rPr>
        <w:t>Allcott（2012）的研究表明，在没有需求响应的市场中，发电商的市场力指数（HHI）每提高1000点，批发价格平均上升8%-12%</w:t>
      </w:r>
      <w:r>
        <w:rPr>
          <w:rFonts w:ascii="Times New Roman" w:hAnsi="Times New Roman" w:eastAsia="Times New Roman"/>
          <w:b w:val="0"/>
          <w:i w:val="0"/>
          <w:sz w:val="18"/>
          <w:vertAlign w:val="superscript"/>
        </w:rPr>
        <w:t>[29]</w:t>
      </w:r>
      <w:r>
        <w:rPr>
          <w:rFonts w:ascii="Times New Roman" w:hAnsi="Times New Roman" w:eastAsia="宋体"/>
          <w:b w:val="0"/>
          <w:i w:val="0"/>
          <w:sz w:val="22"/>
        </w:rPr>
        <w:t>。而在引入RTP后，相同HHI变化下的价格上升幅度降低至3%-5%，说明实时定价对抑制市场力具有显著效果。</w:t>
      </w:r>
    </w:p>
    <w:p>
      <w:pPr>
        <w:pStyle w:val="Heading3"/>
        <w:spacing w:before="160" w:after="60"/>
      </w:pPr>
      <w:r>
        <w:rPr>
          <w:rFonts w:ascii="Times New Roman" w:hAnsi="Times New Roman" w:eastAsia="黑体"/>
          <w:b/>
          <w:i w:val="0"/>
          <w:sz w:val="24"/>
        </w:rPr>
        <w:t>实时定价的投资信号功能</w:t>
      </w:r>
    </w:p>
    <w:p>
      <w:pPr>
        <w:spacing w:line="360" w:lineRule="auto" w:after="0"/>
        <w:ind w:firstLine="425"/>
      </w:pPr>
      <w:r>
        <w:rPr>
          <w:rFonts w:ascii="Times New Roman" w:hAnsi="Times New Roman" w:eastAsia="宋体"/>
          <w:b w:val="0"/>
          <w:i w:val="0"/>
          <w:sz w:val="22"/>
        </w:rPr>
        <w:t>实时定价不仅影响短期运行效率，还为长期投资提供信号。RTP的价格尖峰反映了系统容量稀缺性，为发电商投资新机组提供经济激励。Borenstein（2005）分析了实时定价的长期效率，指出RTP能够提供更准确的投资信号，避免过度投资或投资不足</w:t>
      </w:r>
      <w:r>
        <w:rPr>
          <w:rFonts w:ascii="Times New Roman" w:hAnsi="Times New Roman" w:eastAsia="Times New Roman"/>
          <w:b w:val="0"/>
          <w:i w:val="0"/>
          <w:sz w:val="18"/>
          <w:vertAlign w:val="superscript"/>
        </w:rPr>
        <w:t>[30]</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然而，如果需求弹性持续偏低，价格尖峰可能过于频繁和剧烈，影响市场稳定性。容量市场等配套机制可以与RTP协同，为容量投资提供稳定信号。Hogan（2014）提出了RTP与容量市场协调的设计框架</w:t>
      </w:r>
      <w:r>
        <w:rPr>
          <w:rFonts w:ascii="Times New Roman" w:hAnsi="Times New Roman" w:eastAsia="Times New Roman"/>
          <w:b w:val="0"/>
          <w:i w:val="0"/>
          <w:sz w:val="18"/>
          <w:vertAlign w:val="superscript"/>
        </w:rPr>
        <w:t>[26]</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行为经济学在实时定价中的应用</w:t>
      </w:r>
    </w:p>
    <w:p>
      <w:pPr>
        <w:spacing w:line="360" w:lineRule="auto" w:after="0"/>
        <w:ind w:firstLine="425"/>
      </w:pPr>
      <w:r>
        <w:rPr>
          <w:rFonts w:ascii="Times New Roman" w:hAnsi="Times New Roman" w:eastAsia="宋体"/>
          <w:b w:val="0"/>
          <w:i w:val="0"/>
          <w:sz w:val="22"/>
        </w:rPr>
        <w:t>传统实时定价理论假设用户是完全理性的效用最大化者。行为经济学研究表明，用户的实际决策行为偏离理性假设。例如：</w:t>
      </w:r>
    </w:p>
    <w:p>
      <w:pPr>
        <w:pStyle w:val="ListBullet"/>
        <w:spacing w:line="360" w:lineRule="auto" w:after="0"/>
      </w:pPr>
      <w:r>
        <w:rPr>
          <w:rFonts w:ascii="Times New Roman" w:hAnsi="Times New Roman" w:eastAsia="宋体"/>
          <w:b/>
          <w:i w:val="0"/>
          <w:sz w:val="22"/>
        </w:rPr>
        <w:t>现状偏差</w:t>
      </w:r>
      <w:r>
        <w:rPr>
          <w:rFonts w:ascii="Times New Roman" w:hAnsi="Times New Roman" w:eastAsia="宋体"/>
          <w:b w:val="0"/>
          <w:i w:val="0"/>
          <w:sz w:val="22"/>
        </w:rPr>
        <w:t>：用户倾向于维持现有用电习惯，即使RTP提供了经济激励</w:t>
      </w:r>
    </w:p>
    <w:p>
      <w:pPr>
        <w:pStyle w:val="ListBullet"/>
        <w:spacing w:line="360" w:lineRule="auto" w:after="0"/>
      </w:pPr>
      <w:r>
        <w:rPr>
          <w:rFonts w:ascii="Times New Roman" w:hAnsi="Times New Roman" w:eastAsia="宋体"/>
          <w:b/>
          <w:i w:val="0"/>
          <w:sz w:val="22"/>
        </w:rPr>
        <w:t>损失厌恶</w:t>
      </w:r>
      <w:r>
        <w:rPr>
          <w:rFonts w:ascii="Times New Roman" w:hAnsi="Times New Roman" w:eastAsia="宋体"/>
          <w:b w:val="0"/>
          <w:i w:val="0"/>
          <w:sz w:val="22"/>
        </w:rPr>
        <w:t>：用户对电价上涨的敏感度高于对电价下降的敏感度</w:t>
      </w:r>
    </w:p>
    <w:p>
      <w:pPr>
        <w:pStyle w:val="ListBullet"/>
        <w:spacing w:line="360" w:lineRule="auto" w:after="0"/>
      </w:pPr>
      <w:r>
        <w:rPr>
          <w:rFonts w:ascii="Times New Roman" w:hAnsi="Times New Roman" w:eastAsia="宋体"/>
          <w:b/>
          <w:i w:val="0"/>
          <w:sz w:val="22"/>
        </w:rPr>
        <w:t>有限注意力</w:t>
      </w:r>
      <w:r>
        <w:rPr>
          <w:rFonts w:ascii="Times New Roman" w:hAnsi="Times New Roman" w:eastAsia="宋体"/>
          <w:b w:val="0"/>
          <w:i w:val="0"/>
          <w:sz w:val="22"/>
        </w:rPr>
        <w:t>：用户无法持续关注实时电价变化，导致响应不充分</w:t>
      </w:r>
    </w:p>
    <w:p>
      <w:pPr>
        <w:pStyle w:val="ListBullet"/>
        <w:spacing w:line="360" w:lineRule="auto" w:after="0"/>
      </w:pPr>
      <w:r>
        <w:rPr>
          <w:rFonts w:ascii="Times New Roman" w:hAnsi="Times New Roman" w:eastAsia="宋体"/>
          <w:b/>
          <w:i w:val="0"/>
          <w:sz w:val="22"/>
        </w:rPr>
        <w:t>社会比较效应</w:t>
      </w:r>
      <w:r>
        <w:rPr>
          <w:rFonts w:ascii="Times New Roman" w:hAnsi="Times New Roman" w:eastAsia="宋体"/>
          <w:b w:val="0"/>
          <w:i w:val="0"/>
          <w:sz w:val="22"/>
        </w:rPr>
        <w:t>：用户对自身用电量与邻居的比较更敏感，而非绝对电价</w:t>
      </w:r>
    </w:p>
    <w:p>
      <w:pPr>
        <w:spacing w:line="360" w:lineRule="auto" w:after="0"/>
        <w:ind w:firstLine="425"/>
      </w:pPr>
      <w:r>
        <w:rPr>
          <w:rFonts w:ascii="Times New Roman" w:hAnsi="Times New Roman" w:eastAsia="宋体"/>
          <w:b w:val="0"/>
          <w:i w:val="0"/>
          <w:sz w:val="22"/>
        </w:rPr>
        <w:t>这些行为特征为设计更符合用户实际行为的定价机制提供了新视角。王和高（2019）将累积前景理论引入智能电网多零售商服务评价</w:t>
      </w:r>
      <w:r>
        <w:rPr>
          <w:rFonts w:ascii="Times New Roman" w:hAnsi="Times New Roman" w:eastAsia="Times New Roman"/>
          <w:b w:val="0"/>
          <w:i w:val="0"/>
          <w:sz w:val="18"/>
          <w:vertAlign w:val="superscript"/>
        </w:rPr>
        <w:t>[24]</w:t>
      </w:r>
      <w:r>
        <w:rPr>
          <w:rFonts w:ascii="Times New Roman" w:hAnsi="Times New Roman" w:eastAsia="宋体"/>
          <w:b w:val="0"/>
          <w:i w:val="0"/>
          <w:sz w:val="22"/>
        </w:rPr>
        <w:t>，是行为经济学在定价研究中的有益尝试。未来的定价机制设计需要更多地考虑用户行为偏差，通过"助推"（Nudge）等行为经济学工具提高用户参与度。</w:t>
      </w:r>
    </w:p>
    <w:p>
      <w:pPr>
        <w:pStyle w:val="Heading2"/>
        <w:spacing w:before="240" w:after="80"/>
      </w:pPr>
      <w:r>
        <w:rPr>
          <w:rFonts w:ascii="Times New Roman" w:hAnsi="Times New Roman" w:eastAsia="黑体"/>
          <w:b/>
          <w:i w:val="0"/>
          <w:sz w:val="28"/>
        </w:rPr>
        <w:t>1.9 智能电网实时定价的标准化进展</w:t>
      </w:r>
    </w:p>
    <w:p>
      <w:pPr>
        <w:pStyle w:val="Heading3"/>
        <w:spacing w:before="160" w:after="60"/>
      </w:pPr>
      <w:r>
        <w:rPr>
          <w:rFonts w:ascii="Times New Roman" w:hAnsi="Times New Roman" w:eastAsia="黑体"/>
          <w:b/>
          <w:i w:val="0"/>
          <w:sz w:val="24"/>
        </w:rPr>
        <w:t>国际标准组织的工作</w:t>
      </w:r>
    </w:p>
    <w:p>
      <w:pPr>
        <w:spacing w:line="360" w:lineRule="auto" w:after="0"/>
        <w:ind w:firstLine="425"/>
      </w:pPr>
      <w:r>
        <w:rPr>
          <w:rFonts w:ascii="Times New Roman" w:hAnsi="Times New Roman" w:eastAsia="宋体"/>
          <w:b/>
          <w:i w:val="0"/>
          <w:sz w:val="22"/>
        </w:rPr>
        <w:t>IEC（国际电工委员会）</w:t>
      </w:r>
      <w:r>
        <w:rPr>
          <w:rFonts w:ascii="Times New Roman" w:hAnsi="Times New Roman" w:eastAsia="宋体"/>
          <w:b w:val="0"/>
          <w:i w:val="0"/>
          <w:sz w:val="22"/>
        </w:rPr>
        <w:t>：IEC TC57（电力系统管理及其信息交换技术委员会）制定了IEC 61850（变电站通信）、IEC 61968/61970（配电/能量管理系统应用程序接口）等核心标准。这些标准为AMI数据交换和定价信号传输提供了技术基础。</w:t>
      </w:r>
    </w:p>
    <w:p>
      <w:pPr>
        <w:spacing w:line="360" w:lineRule="auto" w:after="0"/>
        <w:ind w:firstLine="425"/>
      </w:pPr>
      <w:r>
        <w:rPr>
          <w:rFonts w:ascii="Times New Roman" w:hAnsi="Times New Roman" w:eastAsia="宋体"/>
          <w:b/>
          <w:i w:val="0"/>
          <w:sz w:val="22"/>
        </w:rPr>
        <w:t>IEEE</w:t>
      </w:r>
      <w:r>
        <w:rPr>
          <w:rFonts w:ascii="Times New Roman" w:hAnsi="Times New Roman" w:eastAsia="宋体"/>
          <w:b w:val="0"/>
          <w:i w:val="0"/>
          <w:sz w:val="22"/>
        </w:rPr>
        <w:t>：IEEE 2030系列标准（Smart Grid Interoperability）定义了智能电网的互操作性框架，包括电力、通信和信息三个维度。IEEE P2030.6专门关注需求响应和实时定价的接口标准。</w:t>
      </w:r>
    </w:p>
    <w:p>
      <w:pPr>
        <w:spacing w:line="360" w:lineRule="auto" w:after="0"/>
        <w:ind w:firstLine="425"/>
      </w:pPr>
      <w:r>
        <w:rPr>
          <w:rFonts w:ascii="Times New Roman" w:hAnsi="Times New Roman" w:eastAsia="宋体"/>
          <w:b/>
          <w:i w:val="0"/>
          <w:sz w:val="22"/>
        </w:rPr>
        <w:t>OpenADR</w:t>
      </w:r>
      <w:r>
        <w:rPr>
          <w:rFonts w:ascii="Times New Roman" w:hAnsi="Times New Roman" w:eastAsia="宋体"/>
          <w:b w:val="0"/>
          <w:i w:val="0"/>
          <w:sz w:val="22"/>
        </w:rPr>
        <w:t>：开放自动需求响应（Open Automated Demand Response）联盟制定了OpenADR 2.0标准，定义了DR信号（如价格信号、激励机制信号）的标准化格式和传输协议。OpenADR已成为全球最广泛使用的DR通信标准。</w:t>
      </w:r>
    </w:p>
    <w:p>
      <w:pPr>
        <w:pStyle w:val="Heading3"/>
        <w:spacing w:before="160" w:after="60"/>
      </w:pPr>
      <w:r>
        <w:rPr>
          <w:rFonts w:ascii="Times New Roman" w:hAnsi="Times New Roman" w:eastAsia="黑体"/>
          <w:b/>
          <w:i w:val="0"/>
          <w:sz w:val="24"/>
        </w:rPr>
        <w:t>中国标准化的进展</w:t>
      </w:r>
    </w:p>
    <w:p>
      <w:pPr>
        <w:spacing w:line="360" w:lineRule="auto" w:after="0"/>
        <w:ind w:firstLine="425"/>
      </w:pPr>
      <w:r>
        <w:rPr>
          <w:rFonts w:ascii="Times New Roman" w:hAnsi="Times New Roman" w:eastAsia="宋体"/>
          <w:b w:val="0"/>
          <w:i w:val="0"/>
          <w:sz w:val="22"/>
        </w:rPr>
        <w:t>中国在智能电网标准化方面也取得了重要进展：</w:t>
      </w:r>
    </w:p>
    <w:p>
      <w:pPr>
        <w:spacing w:line="360" w:lineRule="auto" w:after="0"/>
        <w:ind w:firstLine="425"/>
      </w:pPr>
      <w:r>
        <w:rPr>
          <w:rFonts w:ascii="Times New Roman" w:hAnsi="Times New Roman" w:eastAsia="宋体"/>
          <w:b/>
          <w:i w:val="0"/>
          <w:sz w:val="22"/>
        </w:rPr>
        <w:t>DL/T 698系列</w:t>
      </w:r>
      <w:r>
        <w:rPr>
          <w:rFonts w:ascii="Times New Roman" w:hAnsi="Times New Roman" w:eastAsia="宋体"/>
          <w:b w:val="0"/>
          <w:i w:val="0"/>
          <w:sz w:val="22"/>
        </w:rPr>
        <w:t>：电能信息采集与管理系统标准，定义了智能电表的数据采集和传输规范。</w:t>
      </w:r>
    </w:p>
    <w:p>
      <w:pPr>
        <w:spacing w:line="360" w:lineRule="auto" w:after="0"/>
        <w:ind w:firstLine="425"/>
      </w:pPr>
      <w:r>
        <w:rPr>
          <w:rFonts w:ascii="Times New Roman" w:hAnsi="Times New Roman" w:eastAsia="宋体"/>
          <w:b/>
          <w:i w:val="0"/>
          <w:sz w:val="22"/>
        </w:rPr>
        <w:t>GB/T 32023</w:t>
      </w:r>
      <w:r>
        <w:rPr>
          <w:rFonts w:ascii="Times New Roman" w:hAnsi="Times New Roman" w:eastAsia="宋体"/>
          <w:b w:val="0"/>
          <w:i w:val="0"/>
          <w:sz w:val="22"/>
        </w:rPr>
        <w:t>：电力需求响应系统技术规范，为DR平台的技术要求提供了国家标准。</w:t>
      </w:r>
    </w:p>
    <w:p>
      <w:pPr>
        <w:spacing w:line="360" w:lineRule="auto" w:after="0"/>
        <w:ind w:firstLine="425"/>
      </w:pPr>
      <w:r>
        <w:rPr>
          <w:rFonts w:ascii="Times New Roman" w:hAnsi="Times New Roman" w:eastAsia="宋体"/>
          <w:b/>
          <w:i w:val="0"/>
          <w:sz w:val="22"/>
        </w:rPr>
        <w:t>Q/GDW系列</w:t>
      </w:r>
      <w:r>
        <w:rPr>
          <w:rFonts w:ascii="Times New Roman" w:hAnsi="Times New Roman" w:eastAsia="宋体"/>
          <w:b w:val="0"/>
          <w:i w:val="0"/>
          <w:sz w:val="22"/>
        </w:rPr>
        <w:t>：国家电网企业标准，涵盖AMI、配电自动化、需求响应等多个方面。</w:t>
      </w:r>
    </w:p>
    <w:p>
      <w:pPr>
        <w:spacing w:line="360" w:lineRule="auto" w:after="0"/>
        <w:ind w:firstLine="425"/>
      </w:pPr>
      <w:r>
        <w:rPr>
          <w:rFonts w:ascii="Times New Roman" w:hAnsi="Times New Roman" w:eastAsia="宋体"/>
          <w:b/>
          <w:i w:val="0"/>
          <w:sz w:val="22"/>
        </w:rPr>
        <w:t>标准化挑战</w:t>
      </w:r>
      <w:r>
        <w:rPr>
          <w:rFonts w:ascii="Times New Roman" w:hAnsi="Times New Roman" w:eastAsia="宋体"/>
          <w:b w:val="0"/>
          <w:i w:val="0"/>
          <w:sz w:val="22"/>
        </w:rPr>
        <w:t>：中国智能电网标准化面临的挑战包括：不同厂商设备互操作性不足、DR接口标准尚未统一、数据格式标准有待完善、定价算法标准缺失等。</w:t>
      </w:r>
    </w:p>
    <w:p>
      <w:pPr>
        <w:pStyle w:val="Heading3"/>
        <w:spacing w:before="160" w:after="60"/>
      </w:pPr>
      <w:r>
        <w:rPr>
          <w:rFonts w:ascii="Times New Roman" w:hAnsi="Times New Roman" w:eastAsia="黑体"/>
          <w:b/>
          <w:i w:val="0"/>
          <w:sz w:val="24"/>
        </w:rPr>
        <w:t>标准化对实时定价的意义</w:t>
      </w:r>
    </w:p>
    <w:p>
      <w:pPr>
        <w:spacing w:line="360" w:lineRule="auto" w:after="0"/>
        <w:ind w:firstLine="425"/>
      </w:pPr>
      <w:r>
        <w:rPr>
          <w:rFonts w:ascii="Times New Roman" w:hAnsi="Times New Roman" w:eastAsia="宋体"/>
          <w:b w:val="0"/>
          <w:i w:val="0"/>
          <w:sz w:val="22"/>
        </w:rPr>
        <w:t>标准化对RTP的大规模推广具有关键意义：</w:t>
      </w:r>
    </w:p>
    <w:p>
      <w:pPr>
        <w:pStyle w:val="ListBullet"/>
        <w:spacing w:line="360" w:lineRule="auto" w:after="0"/>
      </w:pPr>
      <w:r>
        <w:rPr>
          <w:rFonts w:ascii="Times New Roman" w:hAnsi="Times New Roman" w:eastAsia="宋体"/>
          <w:b/>
          <w:i w:val="0"/>
          <w:sz w:val="22"/>
        </w:rPr>
        <w:t>互操作性</w:t>
      </w:r>
      <w:r>
        <w:rPr>
          <w:rFonts w:ascii="Times New Roman" w:hAnsi="Times New Roman" w:eastAsia="宋体"/>
          <w:b w:val="0"/>
          <w:i w:val="0"/>
          <w:sz w:val="22"/>
        </w:rPr>
        <w:t>：统一标准确保不同厂商的设备和系统可以互操作，降低集成成本</w:t>
      </w:r>
    </w:p>
    <w:p>
      <w:pPr>
        <w:pStyle w:val="ListBullet"/>
        <w:spacing w:line="360" w:lineRule="auto" w:after="0"/>
      </w:pPr>
      <w:r>
        <w:rPr>
          <w:rFonts w:ascii="Times New Roman" w:hAnsi="Times New Roman" w:eastAsia="宋体"/>
          <w:b/>
          <w:i w:val="0"/>
          <w:sz w:val="22"/>
        </w:rPr>
        <w:t>可扩展性</w:t>
      </w:r>
      <w:r>
        <w:rPr>
          <w:rFonts w:ascii="Times New Roman" w:hAnsi="Times New Roman" w:eastAsia="宋体"/>
          <w:b w:val="0"/>
          <w:i w:val="0"/>
          <w:sz w:val="22"/>
        </w:rPr>
        <w:t>：标准化接口支持新设备和应用的即插即用，便于系统扩展</w:t>
      </w:r>
    </w:p>
    <w:p>
      <w:pPr>
        <w:pStyle w:val="ListBullet"/>
        <w:spacing w:line="360" w:lineRule="auto" w:after="0"/>
      </w:pPr>
      <w:r>
        <w:rPr>
          <w:rFonts w:ascii="Times New Roman" w:hAnsi="Times New Roman" w:eastAsia="宋体"/>
          <w:b/>
          <w:i w:val="0"/>
          <w:sz w:val="22"/>
        </w:rPr>
        <w:t>数据一致性</w:t>
      </w:r>
      <w:r>
        <w:rPr>
          <w:rFonts w:ascii="Times New Roman" w:hAnsi="Times New Roman" w:eastAsia="宋体"/>
          <w:b w:val="0"/>
          <w:i w:val="0"/>
          <w:sz w:val="22"/>
        </w:rPr>
        <w:t>：统一数据格式确保定价决策基于一致的数据基础</w:t>
      </w:r>
    </w:p>
    <w:p>
      <w:pPr>
        <w:pStyle w:val="ListBullet"/>
        <w:spacing w:line="360" w:lineRule="auto" w:after="0"/>
      </w:pPr>
      <w:r>
        <w:rPr>
          <w:rFonts w:ascii="Times New Roman" w:hAnsi="Times New Roman" w:eastAsia="宋体"/>
          <w:b/>
          <w:i w:val="0"/>
          <w:sz w:val="22"/>
        </w:rPr>
        <w:t>安全性</w:t>
      </w:r>
      <w:r>
        <w:rPr>
          <w:rFonts w:ascii="Times New Roman" w:hAnsi="Times New Roman" w:eastAsia="宋体"/>
          <w:b w:val="0"/>
          <w:i w:val="0"/>
          <w:sz w:val="22"/>
        </w:rPr>
        <w:t>：标准化的安全协议（如DLMS/COSEM的安全框架）保障数据和价格信号的完整性和机密性</w:t>
      </w:r>
    </w:p>
    <w:p>
      <w:pPr>
        <w:pStyle w:val="Heading2"/>
        <w:spacing w:before="240" w:after="80"/>
      </w:pPr>
      <w:r>
        <w:rPr>
          <w:rFonts w:ascii="Times New Roman" w:hAnsi="Times New Roman" w:eastAsia="黑体"/>
          <w:b/>
          <w:i w:val="0"/>
          <w:sz w:val="28"/>
        </w:rPr>
        <w:t>1.10 实时定价的技术架构</w:t>
      </w:r>
    </w:p>
    <w:p>
      <w:pPr>
        <w:pStyle w:val="Heading3"/>
        <w:spacing w:before="160" w:after="60"/>
      </w:pPr>
      <w:r>
        <w:rPr>
          <w:rFonts w:ascii="Times New Roman" w:hAnsi="Times New Roman" w:eastAsia="黑体"/>
          <w:b/>
          <w:i w:val="0"/>
          <w:sz w:val="24"/>
        </w:rPr>
        <w:t>系统架构设计</w:t>
      </w:r>
    </w:p>
    <w:p>
      <w:pPr>
        <w:spacing w:line="360" w:lineRule="auto" w:after="0"/>
        <w:ind w:firstLine="425"/>
      </w:pPr>
      <w:r>
        <w:rPr>
          <w:rFonts w:ascii="Times New Roman" w:hAnsi="Times New Roman" w:eastAsia="宋体"/>
          <w:b w:val="0"/>
          <w:i w:val="0"/>
          <w:sz w:val="22"/>
        </w:rPr>
        <w:t>智能电网实时定价系统的典型架构包括以下层次：</w:t>
      </w:r>
    </w:p>
    <w:p>
      <w:pPr>
        <w:spacing w:line="360" w:lineRule="auto" w:after="0"/>
        <w:ind w:firstLine="425"/>
      </w:pPr>
      <w:r>
        <w:rPr>
          <w:rFonts w:ascii="Times New Roman" w:hAnsi="Times New Roman" w:eastAsia="宋体"/>
          <w:b/>
          <w:i w:val="0"/>
          <w:sz w:val="22"/>
        </w:rPr>
        <w:t>感知层</w:t>
      </w:r>
      <w:r>
        <w:rPr>
          <w:rFonts w:ascii="Times New Roman" w:hAnsi="Times New Roman" w:eastAsia="宋体"/>
          <w:b w:val="0"/>
          <w:i w:val="0"/>
          <w:sz w:val="22"/>
        </w:rPr>
        <w:t>：智能电表、传感器、PMU（同步相量测量装置）等设备负责实时采集电网运行状态和用户用电数据。数据采集频率通常为15分钟至1分钟，部分关键节点可达秒级或亚秒级。</w:t>
      </w:r>
    </w:p>
    <w:p>
      <w:pPr>
        <w:spacing w:line="360" w:lineRule="auto" w:after="0"/>
        <w:ind w:firstLine="425"/>
      </w:pPr>
      <w:r>
        <w:rPr>
          <w:rFonts w:ascii="Times New Roman" w:hAnsi="Times New Roman" w:eastAsia="宋体"/>
          <w:b/>
          <w:i w:val="0"/>
          <w:sz w:val="22"/>
        </w:rPr>
        <w:t>通信层</w:t>
      </w:r>
      <w:r>
        <w:rPr>
          <w:rFonts w:ascii="Times New Roman" w:hAnsi="Times New Roman" w:eastAsia="宋体"/>
          <w:b w:val="0"/>
          <w:i w:val="0"/>
          <w:sz w:val="22"/>
        </w:rPr>
        <w:t>：通信网络负责传输感知层采集的数据和决策层下发的价格信号。通信技术包括：</w:t>
      </w:r>
    </w:p>
    <w:p>
      <w:pPr>
        <w:pStyle w:val="ListBullet"/>
        <w:spacing w:line="360" w:lineRule="auto" w:after="0"/>
      </w:pPr>
      <w:r>
        <w:rPr>
          <w:rFonts w:ascii="Times New Roman" w:hAnsi="Times New Roman" w:eastAsia="宋体"/>
          <w:b w:val="0"/>
          <w:i w:val="0"/>
          <w:sz w:val="22"/>
        </w:rPr>
        <w:t>电力线载波通信（PLC）：利用电力线传输数据，无需额外布线</w:t>
      </w:r>
    </w:p>
    <w:p>
      <w:pPr>
        <w:pStyle w:val="ListBullet"/>
        <w:spacing w:line="360" w:lineRule="auto" w:after="0"/>
      </w:pPr>
      <w:r>
        <w:rPr>
          <w:rFonts w:ascii="Times New Roman" w:hAnsi="Times New Roman" w:eastAsia="宋体"/>
          <w:b w:val="0"/>
          <w:i w:val="0"/>
          <w:sz w:val="22"/>
        </w:rPr>
        <w:t>无线传感网络（WSN）：低功耗、自组织，适合分布式节点</w:t>
      </w:r>
    </w:p>
    <w:p>
      <w:pPr>
        <w:pStyle w:val="ListBullet"/>
        <w:spacing w:line="360" w:lineRule="auto" w:after="0"/>
      </w:pPr>
      <w:r>
        <w:rPr>
          <w:rFonts w:ascii="Times New Roman" w:hAnsi="Times New Roman" w:eastAsia="宋体"/>
          <w:b w:val="0"/>
          <w:i w:val="0"/>
          <w:sz w:val="22"/>
        </w:rPr>
        <w:t>蜂窝网络（4G/5G）：高带宽、低延迟，适合大数据量传输</w:t>
      </w:r>
    </w:p>
    <w:p>
      <w:pPr>
        <w:pStyle w:val="ListBullet"/>
        <w:spacing w:line="360" w:lineRule="auto" w:after="0"/>
      </w:pPr>
      <w:r>
        <w:rPr>
          <w:rFonts w:ascii="Times New Roman" w:hAnsi="Times New Roman" w:eastAsia="宋体"/>
          <w:b w:val="0"/>
          <w:i w:val="0"/>
          <w:sz w:val="22"/>
        </w:rPr>
        <w:t>光纤通信：最高带宽和最低延迟，适合关键节点</w:t>
      </w:r>
    </w:p>
    <w:p>
      <w:pPr>
        <w:spacing w:line="360" w:lineRule="auto" w:after="0"/>
        <w:ind w:firstLine="425"/>
      </w:pPr>
      <w:r>
        <w:rPr>
          <w:rFonts w:ascii="Times New Roman" w:hAnsi="Times New Roman" w:eastAsia="宋体"/>
          <w:b/>
          <w:i w:val="0"/>
          <w:sz w:val="22"/>
        </w:rPr>
        <w:t>平台层</w:t>
      </w:r>
      <w:r>
        <w:rPr>
          <w:rFonts w:ascii="Times New Roman" w:hAnsi="Times New Roman" w:eastAsia="宋体"/>
          <w:b w:val="0"/>
          <w:i w:val="0"/>
          <w:sz w:val="22"/>
        </w:rPr>
        <w:t>：数据处理平台负责数据清洗、存储和分析。核心组件包括：</w:t>
      </w:r>
    </w:p>
    <w:p>
      <w:pPr>
        <w:pStyle w:val="ListBullet"/>
        <w:spacing w:line="360" w:lineRule="auto" w:after="0"/>
      </w:pPr>
      <w:r>
        <w:rPr>
          <w:rFonts w:ascii="Times New Roman" w:hAnsi="Times New Roman" w:eastAsia="宋体"/>
          <w:b w:val="0"/>
          <w:i w:val="0"/>
          <w:sz w:val="22"/>
        </w:rPr>
        <w:t>数据管理系统（DMS）：存储和管理海量用电数据</w:t>
      </w:r>
    </w:p>
    <w:p>
      <w:pPr>
        <w:pStyle w:val="ListBullet"/>
        <w:spacing w:line="360" w:lineRule="auto" w:after="0"/>
      </w:pPr>
      <w:r>
        <w:rPr>
          <w:rFonts w:ascii="Times New Roman" w:hAnsi="Times New Roman" w:eastAsia="宋体"/>
          <w:b w:val="0"/>
          <w:i w:val="0"/>
          <w:sz w:val="22"/>
        </w:rPr>
        <w:t>负荷预测引擎：基于历史数据和气象信息预测未来负荷</w:t>
      </w:r>
    </w:p>
    <w:p>
      <w:pPr>
        <w:pStyle w:val="ListBullet"/>
        <w:spacing w:line="360" w:lineRule="auto" w:after="0"/>
      </w:pPr>
      <w:r>
        <w:rPr>
          <w:rFonts w:ascii="Times New Roman" w:hAnsi="Times New Roman" w:eastAsia="宋体"/>
          <w:b w:val="0"/>
          <w:i w:val="0"/>
          <w:sz w:val="22"/>
        </w:rPr>
        <w:t>定价优化引擎：根据预测结果和优化算法计算最优电价</w:t>
      </w:r>
    </w:p>
    <w:p>
      <w:pPr>
        <w:pStyle w:val="ListBullet"/>
        <w:spacing w:line="360" w:lineRule="auto" w:after="0"/>
      </w:pPr>
      <w:r>
        <w:rPr>
          <w:rFonts w:ascii="Times New Roman" w:hAnsi="Times New Roman" w:eastAsia="宋体"/>
          <w:b w:val="0"/>
          <w:i w:val="0"/>
          <w:sz w:val="22"/>
        </w:rPr>
        <w:t>需求响应管理平台：管理DR事件和用户参与</w:t>
      </w:r>
    </w:p>
    <w:p>
      <w:pPr>
        <w:spacing w:line="360" w:lineRule="auto" w:after="0"/>
        <w:ind w:firstLine="425"/>
      </w:pPr>
      <w:r>
        <w:rPr>
          <w:rFonts w:ascii="Times New Roman" w:hAnsi="Times New Roman" w:eastAsia="宋体"/>
          <w:b/>
          <w:i w:val="0"/>
          <w:sz w:val="22"/>
        </w:rPr>
        <w:t>应用层</w:t>
      </w:r>
      <w:r>
        <w:rPr>
          <w:rFonts w:ascii="Times New Roman" w:hAnsi="Times New Roman" w:eastAsia="宋体"/>
          <w:b w:val="0"/>
          <w:i w:val="0"/>
          <w:sz w:val="22"/>
        </w:rPr>
        <w:t>：面向不同用户的定价应用：</w:t>
      </w:r>
    </w:p>
    <w:p>
      <w:pPr>
        <w:pStyle w:val="ListBullet"/>
        <w:spacing w:line="360" w:lineRule="auto" w:after="0"/>
      </w:pPr>
      <w:r>
        <w:rPr>
          <w:rFonts w:ascii="Times New Roman" w:hAnsi="Times New Roman" w:eastAsia="宋体"/>
          <w:b w:val="0"/>
          <w:i w:val="0"/>
          <w:sz w:val="22"/>
        </w:rPr>
        <w:t>工商业用户：EMS系统集成，自动响应价格信号</w:t>
      </w:r>
    </w:p>
    <w:p>
      <w:pPr>
        <w:pStyle w:val="ListBullet"/>
        <w:spacing w:line="360" w:lineRule="auto" w:after="0"/>
      </w:pPr>
      <w:r>
        <w:rPr>
          <w:rFonts w:ascii="Times New Roman" w:hAnsi="Times New Roman" w:eastAsia="宋体"/>
          <w:b w:val="0"/>
          <w:i w:val="0"/>
          <w:sz w:val="22"/>
        </w:rPr>
        <w:t>居民用户：移动应用或智能家居系统，半自动响应</w:t>
      </w:r>
    </w:p>
    <w:p>
      <w:pPr>
        <w:pStyle w:val="ListBullet"/>
        <w:spacing w:line="360" w:lineRule="auto" w:after="0"/>
      </w:pPr>
      <w:r>
        <w:rPr>
          <w:rFonts w:ascii="Times New Roman" w:hAnsi="Times New Roman" w:eastAsia="宋体"/>
          <w:b w:val="0"/>
          <w:i w:val="0"/>
          <w:sz w:val="22"/>
        </w:rPr>
        <w:t>电网调度员：监控定价效果和系统运行状态</w:t>
      </w:r>
    </w:p>
    <w:p>
      <w:pPr>
        <w:pStyle w:val="Heading3"/>
        <w:spacing w:before="160" w:after="60"/>
      </w:pPr>
      <w:r>
        <w:rPr>
          <w:rFonts w:ascii="Times New Roman" w:hAnsi="Times New Roman" w:eastAsia="黑体"/>
          <w:b/>
          <w:i w:val="0"/>
          <w:sz w:val="24"/>
        </w:rPr>
        <w:t>云边协同架构</w:t>
      </w:r>
    </w:p>
    <w:p>
      <w:pPr>
        <w:spacing w:line="360" w:lineRule="auto" w:after="0"/>
        <w:ind w:firstLine="425"/>
      </w:pPr>
      <w:r>
        <w:rPr>
          <w:rFonts w:ascii="Times New Roman" w:hAnsi="Times New Roman" w:eastAsia="宋体"/>
          <w:b w:val="0"/>
          <w:i w:val="0"/>
          <w:sz w:val="22"/>
        </w:rPr>
        <w:t>随着用户规模增长，传统集中式架构面临计算和通信瓶颈。云边协同架构将计算任务分布到云端和边缘节点：</w:t>
      </w:r>
    </w:p>
    <w:p>
      <w:pPr>
        <w:spacing w:line="360" w:lineRule="auto" w:after="0"/>
        <w:ind w:firstLine="425"/>
      </w:pPr>
      <w:r>
        <w:rPr>
          <w:rFonts w:ascii="Times New Roman" w:hAnsi="Times New Roman" w:eastAsia="宋体"/>
          <w:b/>
          <w:i w:val="0"/>
          <w:sz w:val="22"/>
        </w:rPr>
        <w:t>云端</w:t>
      </w:r>
      <w:r>
        <w:rPr>
          <w:rFonts w:ascii="Times New Roman" w:hAnsi="Times New Roman" w:eastAsia="宋体"/>
          <w:b w:val="0"/>
          <w:i w:val="0"/>
          <w:sz w:val="22"/>
        </w:rPr>
        <w:t>：负责大规模优化计算、模型训练和全局调度。云端具有强大计算能力，但通信延迟较高。</w:t>
      </w:r>
    </w:p>
    <w:p>
      <w:pPr>
        <w:spacing w:line="360" w:lineRule="auto" w:after="0"/>
        <w:ind w:firstLine="425"/>
      </w:pPr>
      <w:r>
        <w:rPr>
          <w:rFonts w:ascii="Times New Roman" w:hAnsi="Times New Roman" w:eastAsia="宋体"/>
          <w:b/>
          <w:i w:val="0"/>
          <w:sz w:val="22"/>
        </w:rPr>
        <w:t>边缘节点</w:t>
      </w:r>
      <w:r>
        <w:rPr>
          <w:rFonts w:ascii="Times New Roman" w:hAnsi="Times New Roman" w:eastAsia="宋体"/>
          <w:b w:val="0"/>
          <w:i w:val="0"/>
          <w:sz w:val="22"/>
        </w:rPr>
        <w:t>：负责本地数据处理、快速定价决策和实时控制。边缘节点靠近用户，通信延迟低，适合实时性要求高的任务。</w:t>
      </w:r>
    </w:p>
    <w:p>
      <w:pPr>
        <w:spacing w:line="360" w:lineRule="auto" w:after="0"/>
        <w:ind w:firstLine="425"/>
      </w:pPr>
      <w:r>
        <w:rPr>
          <w:rFonts w:ascii="Times New Roman" w:hAnsi="Times New Roman" w:eastAsia="宋体"/>
          <w:b/>
          <w:i w:val="0"/>
          <w:sz w:val="22"/>
        </w:rPr>
        <w:t>协同机制</w:t>
      </w:r>
      <w:r>
        <w:rPr>
          <w:rFonts w:ascii="Times New Roman" w:hAnsi="Times New Roman" w:eastAsia="宋体"/>
          <w:b w:val="0"/>
          <w:i w:val="0"/>
          <w:sz w:val="22"/>
        </w:rPr>
        <w:t>：云端训练全局模型并下发到边缘节点，边缘节点根据本地数据进行微调和实时决策。这种架构既保证了全局最优性，又满足了实时性要求。</w:t>
      </w:r>
    </w:p>
    <w:p>
      <w:pPr>
        <w:pStyle w:val="Heading3"/>
        <w:spacing w:before="160" w:after="60"/>
      </w:pPr>
      <w:r>
        <w:rPr>
          <w:rFonts w:ascii="Times New Roman" w:hAnsi="Times New Roman" w:eastAsia="黑体"/>
          <w:b/>
          <w:i w:val="0"/>
          <w:sz w:val="24"/>
        </w:rPr>
        <w:t>数字孪生在定价中的应用</w:t>
      </w:r>
    </w:p>
    <w:p>
      <w:pPr>
        <w:spacing w:line="360" w:lineRule="auto" w:after="0"/>
        <w:ind w:firstLine="425"/>
      </w:pPr>
      <w:r>
        <w:rPr>
          <w:rFonts w:ascii="Times New Roman" w:hAnsi="Times New Roman" w:eastAsia="宋体"/>
          <w:b w:val="0"/>
          <w:i w:val="0"/>
          <w:sz w:val="22"/>
        </w:rPr>
        <w:t>数字孪生（Digital Twin）技术在实时定价中的应用前景广阔：</w:t>
      </w:r>
    </w:p>
    <w:p>
      <w:pPr>
        <w:spacing w:line="360" w:lineRule="auto" w:after="0"/>
        <w:ind w:firstLine="425"/>
      </w:pPr>
      <w:r>
        <w:rPr>
          <w:rFonts w:ascii="Times New Roman" w:hAnsi="Times New Roman" w:eastAsia="宋体"/>
          <w:b/>
          <w:i w:val="0"/>
          <w:sz w:val="22"/>
        </w:rPr>
        <w:t>虚拟仿真</w:t>
      </w:r>
      <w:r>
        <w:rPr>
          <w:rFonts w:ascii="Times New Roman" w:hAnsi="Times New Roman" w:eastAsia="宋体"/>
          <w:b w:val="0"/>
          <w:i w:val="0"/>
          <w:sz w:val="22"/>
        </w:rPr>
        <w:t>：在数字孪生中模拟不同定价策略的效果，评估其对电网运行和用户行为的影响，在不影响真实系统的情况下验证策略的安全性和有效性。</w:t>
      </w:r>
    </w:p>
    <w:p>
      <w:pPr>
        <w:spacing w:line="360" w:lineRule="auto" w:after="0"/>
        <w:ind w:firstLine="425"/>
      </w:pPr>
      <w:r>
        <w:rPr>
          <w:rFonts w:ascii="Times New Roman" w:hAnsi="Times New Roman" w:eastAsia="宋体"/>
          <w:b/>
          <w:i w:val="0"/>
          <w:sz w:val="22"/>
        </w:rPr>
        <w:t>实时同步</w:t>
      </w:r>
      <w:r>
        <w:rPr>
          <w:rFonts w:ascii="Times New Roman" w:hAnsi="Times New Roman" w:eastAsia="宋体"/>
          <w:b w:val="0"/>
          <w:i w:val="0"/>
          <w:sz w:val="22"/>
        </w:rPr>
        <w:t>：数字孪生与物理电网实时同步，反映电网的当前状态。基于数字孪生的状态评估可以辅助定价决策。</w:t>
      </w:r>
    </w:p>
    <w:p>
      <w:pPr>
        <w:spacing w:line="360" w:lineRule="auto" w:after="0"/>
        <w:ind w:firstLine="425"/>
      </w:pPr>
      <w:r>
        <w:rPr>
          <w:rFonts w:ascii="Times New Roman" w:hAnsi="Times New Roman" w:eastAsia="宋体"/>
          <w:b/>
          <w:i w:val="0"/>
          <w:sz w:val="22"/>
        </w:rPr>
        <w:t>预测分析</w:t>
      </w:r>
      <w:r>
        <w:rPr>
          <w:rFonts w:ascii="Times New Roman" w:hAnsi="Times New Roman" w:eastAsia="宋体"/>
          <w:b w:val="0"/>
          <w:i w:val="0"/>
          <w:sz w:val="22"/>
        </w:rPr>
        <w:t>：利用数字孪生进行"假设分析"（What-if Analysis），预测不同定价策略在各种场景下的效果，为决策提供量化支撑。</w:t>
      </w:r>
    </w:p>
    <w:p>
      <w:pPr>
        <w:spacing w:line="360" w:lineRule="auto" w:after="0"/>
        <w:ind w:firstLine="425"/>
      </w:pPr>
      <w:r>
        <w:rPr>
          <w:rFonts w:ascii="Times New Roman" w:hAnsi="Times New Roman" w:eastAsia="宋体"/>
          <w:b/>
          <w:i w:val="0"/>
          <w:sz w:val="22"/>
        </w:rPr>
        <w:t>闭环优化</w:t>
      </w:r>
      <w:r>
        <w:rPr>
          <w:rFonts w:ascii="Times New Roman" w:hAnsi="Times New Roman" w:eastAsia="宋体"/>
          <w:b w:val="0"/>
          <w:i w:val="0"/>
          <w:sz w:val="22"/>
        </w:rPr>
        <w:t>：数字孪生接收物理系统的反馈数据，持续校正模型参数，提高定价策略的准确性和适应性。</w:t>
      </w:r>
    </w:p>
    <w:p>
      <w:pPr>
        <w:pStyle w:val="Heading2"/>
        <w:spacing w:before="240" w:after="80"/>
      </w:pPr>
      <w:r>
        <w:rPr>
          <w:rFonts w:ascii="Times New Roman" w:hAnsi="Times New Roman" w:eastAsia="黑体"/>
          <w:b/>
          <w:i w:val="0"/>
          <w:sz w:val="28"/>
        </w:rPr>
        <w:t>1.11 实时定价与电力系统规划</w:t>
      </w:r>
    </w:p>
    <w:p>
      <w:pPr>
        <w:spacing w:line="360" w:lineRule="auto" w:after="0"/>
        <w:ind w:firstLine="425"/>
      </w:pPr>
      <w:r>
        <w:rPr>
          <w:rFonts w:ascii="Times New Roman" w:hAnsi="Times New Roman" w:eastAsia="宋体"/>
          <w:b w:val="0"/>
          <w:i w:val="0"/>
          <w:sz w:val="22"/>
        </w:rPr>
        <w:t>实时定价不仅影响短期运行，也与长期系统规划密切相关：</w:t>
      </w:r>
    </w:p>
    <w:p>
      <w:pPr>
        <w:spacing w:line="360" w:lineRule="auto" w:after="0"/>
        <w:ind w:firstLine="425"/>
      </w:pPr>
      <w:r>
        <w:rPr>
          <w:rFonts w:ascii="Times New Roman" w:hAnsi="Times New Roman" w:eastAsia="宋体"/>
          <w:b/>
          <w:i w:val="0"/>
          <w:sz w:val="22"/>
        </w:rPr>
        <w:t>需求预测</w:t>
      </w:r>
      <w:r>
        <w:rPr>
          <w:rFonts w:ascii="Times New Roman" w:hAnsi="Times New Roman" w:eastAsia="宋体"/>
          <w:b w:val="0"/>
          <w:i w:val="0"/>
          <w:sz w:val="22"/>
        </w:rPr>
        <w:t>：RTP改变了用户的用电模式，长期实施RTP后的负荷特性可能与实施前显著不同。系统规划需要基于RTP环境下的负荷预测。</w:t>
      </w:r>
    </w:p>
    <w:p>
      <w:pPr>
        <w:spacing w:line="360" w:lineRule="auto" w:after="0"/>
        <w:ind w:firstLine="425"/>
      </w:pPr>
      <w:r>
        <w:rPr>
          <w:rFonts w:ascii="Times New Roman" w:hAnsi="Times New Roman" w:eastAsia="宋体"/>
          <w:b/>
          <w:i w:val="0"/>
          <w:sz w:val="22"/>
        </w:rPr>
        <w:t>投资优化</w:t>
      </w:r>
      <w:r>
        <w:rPr>
          <w:rFonts w:ascii="Times New Roman" w:hAnsi="Times New Roman" w:eastAsia="宋体"/>
          <w:b w:val="0"/>
          <w:i w:val="0"/>
          <w:sz w:val="22"/>
        </w:rPr>
        <w:t>：RTP通过削峰填谷降低峰值负荷，可以延缓发电机组和输配电设施的扩建投资。Borenstein（2005）的估算表明，RTP可使系统容量需求降低5%-10%，对应数百亿元的节约</w:t>
      </w:r>
      <w:r>
        <w:rPr>
          <w:rFonts w:ascii="Times New Roman" w:hAnsi="Times New Roman" w:eastAsia="Times New Roman"/>
          <w:b w:val="0"/>
          <w:i w:val="0"/>
          <w:sz w:val="18"/>
          <w:vertAlign w:val="superscript"/>
        </w:rPr>
        <w:t>[30]</w:t>
      </w:r>
      <w:r>
        <w:rPr>
          <w:rFonts w:ascii="Times New Roman" w:hAnsi="Times New Roman" w:eastAsia="宋体"/>
          <w:b w:val="0"/>
          <w:i w:val="0"/>
          <w:sz w:val="22"/>
        </w:rPr>
        <w:t>。</w:t>
      </w:r>
    </w:p>
    <w:p>
      <w:pPr>
        <w:spacing w:line="360" w:lineRule="auto" w:after="0"/>
        <w:ind w:firstLine="425"/>
      </w:pPr>
      <w:r>
        <w:rPr>
          <w:rFonts w:ascii="Times New Roman" w:hAnsi="Times New Roman" w:eastAsia="宋体"/>
          <w:b/>
          <w:i w:val="0"/>
          <w:sz w:val="22"/>
        </w:rPr>
        <w:t>可再生能源规划</w:t>
      </w:r>
      <w:r>
        <w:rPr>
          <w:rFonts w:ascii="Times New Roman" w:hAnsi="Times New Roman" w:eastAsia="宋体"/>
          <w:b w:val="0"/>
          <w:i w:val="0"/>
          <w:sz w:val="22"/>
        </w:rPr>
        <w:t>：RTP引导用户在可再生能源出力充足时增加用电，提高了可再生能源的消纳能力。这影响了可再生能源的装机规划——在RTP环境下，更多可再生能源装机可以被有效消纳。</w:t>
      </w:r>
    </w:p>
    <w:p>
      <w:pPr>
        <w:spacing w:line="360" w:lineRule="auto" w:after="0"/>
        <w:ind w:firstLine="425"/>
      </w:pPr>
      <w:r>
        <w:rPr>
          <w:rFonts w:ascii="Times New Roman" w:hAnsi="Times New Roman" w:eastAsia="宋体"/>
          <w:b/>
          <w:i w:val="0"/>
          <w:sz w:val="22"/>
        </w:rPr>
        <w:t>储能配置</w:t>
      </w:r>
      <w:r>
        <w:rPr>
          <w:rFonts w:ascii="Times New Roman" w:hAnsi="Times New Roman" w:eastAsia="宋体"/>
          <w:b w:val="0"/>
          <w:i w:val="0"/>
          <w:sz w:val="22"/>
        </w:rPr>
        <w:t>：RTP环境下储能系统的经济价值发生变化（套利空间不同），影响了储能的最优配置容量和选址。</w:t>
      </w:r>
    </w:p>
    <w:p>
      <w:pPr>
        <w:pStyle w:val="Heading2"/>
        <w:spacing w:before="240" w:after="80"/>
      </w:pPr>
      <w:r>
        <w:rPr>
          <w:rFonts w:ascii="Times New Roman" w:hAnsi="Times New Roman" w:eastAsia="黑体"/>
          <w:b/>
          <w:i w:val="0"/>
          <w:sz w:val="28"/>
        </w:rPr>
        <w:t>1.12 国际经验与政策比较分析</w:t>
      </w:r>
    </w:p>
    <w:p>
      <w:pPr>
        <w:pStyle w:val="Heading3"/>
        <w:spacing w:before="160" w:after="60"/>
      </w:pPr>
      <w:r>
        <w:rPr>
          <w:rFonts w:ascii="Times New Roman" w:hAnsi="Times New Roman" w:eastAsia="黑体"/>
          <w:b/>
          <w:i w:val="0"/>
          <w:sz w:val="24"/>
        </w:rPr>
        <w:t>北美实时定价实践</w:t>
      </w:r>
    </w:p>
    <w:p>
      <w:pPr>
        <w:spacing w:line="360" w:lineRule="auto" w:after="0"/>
        <w:ind w:firstLine="425"/>
      </w:pPr>
      <w:r>
        <w:rPr>
          <w:rFonts w:ascii="Times New Roman" w:hAnsi="Times New Roman" w:eastAsia="宋体"/>
          <w:b w:val="0"/>
          <w:i w:val="0"/>
          <w:sz w:val="22"/>
        </w:rPr>
        <w:t>美国在实时定价领域具有全球最丰富的实践经验。加州独立系统运营商（CAISO）自1990年代后期开始引入动态电价机制，经历了从简单分时电价向复杂实时电价体系的演进过程。CAISO的节点边际电价（LMP）机制将电网划分为数千个定价节点，每个节点反映该区域的供需平衡状况和输电约束，形成了精细化的空间价格信号体系。</w:t>
      </w:r>
    </w:p>
    <w:p>
      <w:pPr>
        <w:spacing w:line="360" w:lineRule="auto" w:after="0"/>
        <w:ind w:firstLine="425"/>
      </w:pPr>
      <w:r>
        <w:rPr>
          <w:rFonts w:ascii="Times New Roman" w:hAnsi="Times New Roman" w:eastAsia="宋体"/>
          <w:b w:val="0"/>
          <w:i w:val="0"/>
          <w:sz w:val="22"/>
        </w:rPr>
        <w:t>德州电力可靠性委员会（ERCOT）采用了类似的LMP机制，但其市场结构更为去中心化。2021年冬季风暴Uri事件暴露了极端天气下实时定价机制的脆弱性：当批发电价飙升至9,000美元/兆瓦时的上限时，零售用户面临巨额电费账单。这一事件促使学界和业界重新审视实时定价中的价格上限机制、稀缺性定价规则以及用户侧保护措施的设计平衡问题。</w:t>
      </w:r>
    </w:p>
    <w:p>
      <w:pPr>
        <w:spacing w:line="360" w:lineRule="auto" w:after="0"/>
        <w:ind w:firstLine="425"/>
      </w:pPr>
      <w:r>
        <w:rPr>
          <w:rFonts w:ascii="Times New Roman" w:hAnsi="Times New Roman" w:eastAsia="宋体"/>
          <w:b w:val="0"/>
          <w:i w:val="0"/>
          <w:sz w:val="22"/>
        </w:rPr>
        <w:t>纽约独立系统运营商（NYISO）则实施了更为精细化的实时电价体系，包含日前市场、实时市场和辅助服务市场的协同定价机制。其经验表明，多市场协调可以有效降低价格波动性，同时保障系统可靠性。PJM互连作为美国最大的区域输电组织，其容量市场与能量市场的联动定价机制也为智能电网实时定价提供了重要参考。</w:t>
      </w:r>
    </w:p>
    <w:p>
      <w:pPr>
        <w:pStyle w:val="Heading3"/>
        <w:spacing w:before="160" w:after="60"/>
      </w:pPr>
      <w:r>
        <w:rPr>
          <w:rFonts w:ascii="Times New Roman" w:hAnsi="Times New Roman" w:eastAsia="黑体"/>
          <w:b/>
          <w:i w:val="0"/>
          <w:sz w:val="24"/>
        </w:rPr>
        <w:t>欧洲动态电价体系</w:t>
      </w:r>
    </w:p>
    <w:p>
      <w:pPr>
        <w:spacing w:line="360" w:lineRule="auto" w:after="0"/>
        <w:ind w:firstLine="425"/>
      </w:pPr>
      <w:r>
        <w:rPr>
          <w:rFonts w:ascii="Times New Roman" w:hAnsi="Times New Roman" w:eastAsia="宋体"/>
          <w:b w:val="0"/>
          <w:i w:val="0"/>
          <w:sz w:val="22"/>
        </w:rPr>
        <w:t>北欧电力市场（Nord Pool）是全球最早实现跨国电力交易的市场之一，其实时定价机制充分考虑了水电、风电等可再生能源的高渗透率特征。挪威、瑞典、芬兰和丹麦四国通过跨国输电网络实现资源互补，实时电价反映了跨国电力流动的供需平衡。该市场的经验表明，区域市场整合可以有效平滑可再生能源波动带来的价格剧烈波动。</w:t>
      </w:r>
    </w:p>
    <w:p>
      <w:pPr>
        <w:spacing w:line="360" w:lineRule="auto" w:after="0"/>
        <w:ind w:firstLine="425"/>
      </w:pPr>
      <w:r>
        <w:rPr>
          <w:rFonts w:ascii="Times New Roman" w:hAnsi="Times New Roman" w:eastAsia="宋体"/>
          <w:b w:val="0"/>
          <w:i w:val="0"/>
          <w:sz w:val="22"/>
        </w:rPr>
        <w:t>英国自2010年代以来推行了大规模智能电表部署计划，截至2023年已安装超过3,000万只智能电表。英国的动态电价试点项目（如Octopus Energy的Agile Tariff）允许用户根据批发市场半小时前的电价调整用电行为，取得了显著的峰值削减效果。德国在能源转型（Energiewende）过程中，面临可再生能源占比超过50%带来的定价挑战，其负电价现象为实时定价机制设计提供了独特的研究案例。</w:t>
      </w:r>
    </w:p>
    <w:p>
      <w:pPr>
        <w:spacing w:line="360" w:lineRule="auto" w:after="0"/>
        <w:ind w:firstLine="425"/>
      </w:pPr>
      <w:r>
        <w:rPr>
          <w:rFonts w:ascii="Times New Roman" w:hAnsi="Times New Roman" w:eastAsia="宋体"/>
          <w:b w:val="0"/>
          <w:i w:val="0"/>
          <w:sz w:val="22"/>
        </w:rPr>
        <w:t>法国作为核电大国，其电价机制具有独特的结构性特征。EDF长期实行的管制电价（Tarif Bleu）正在向市场电价过渡，实时定价机制的引入需要平衡核电基荷的稳定性和市场灵活性需求。西班牙和葡萄牙在伊比利亚电力市场中实施了容量机制与能量价格的分离定价，为解决"缺失金钱"问题提供了实践范例。</w:t>
      </w:r>
    </w:p>
    <w:p>
      <w:pPr>
        <w:pStyle w:val="Heading3"/>
        <w:spacing w:before="160" w:after="60"/>
      </w:pPr>
      <w:r>
        <w:rPr>
          <w:rFonts w:ascii="Times New Roman" w:hAnsi="Times New Roman" w:eastAsia="黑体"/>
          <w:b/>
          <w:i w:val="0"/>
          <w:sz w:val="24"/>
        </w:rPr>
        <w:t>亚太地区发展态势</w:t>
      </w:r>
    </w:p>
    <w:p>
      <w:pPr>
        <w:spacing w:line="360" w:lineRule="auto" w:after="0"/>
        <w:ind w:firstLine="425"/>
      </w:pPr>
      <w:r>
        <w:rPr>
          <w:rFonts w:ascii="Times New Roman" w:hAnsi="Times New Roman" w:eastAsia="宋体"/>
          <w:b w:val="0"/>
          <w:i w:val="0"/>
          <w:sz w:val="22"/>
        </w:rPr>
        <w:t>澳大利亚国家电力市场（NEM）采用了5分钟实时结算机制，是全球结算周期最短的市场之一。这一机制有效激励了快速响应资源（如电池储能）参与实时市场。澳大利亚还率先引入了住宅电池聚合参与批发市场的机制，为分布式能源参与实时定价提供了宝贵经验。</w:t>
      </w:r>
    </w:p>
    <w:p>
      <w:pPr>
        <w:spacing w:line="360" w:lineRule="auto" w:after="0"/>
        <w:ind w:firstLine="425"/>
      </w:pPr>
      <w:r>
        <w:rPr>
          <w:rFonts w:ascii="Times New Roman" w:hAnsi="Times New Roman" w:eastAsia="宋体"/>
          <w:b w:val="0"/>
          <w:i w:val="0"/>
          <w:sz w:val="22"/>
        </w:rPr>
        <w:t>日本在福岛核事故后加速了电力市场化改革，于2016年全面放开零售市场。日本的实时定价机制设计充分考虑了岛屿电网的特殊性，包括频率稳定性和区域间输电约束。韩国则通过智能电网示范项目（如济州岛智能电网试运行区）探索了实时定价在高度城市化环境下的应用模式。</w:t>
      </w:r>
    </w:p>
    <w:p>
      <w:pPr>
        <w:spacing w:line="360" w:lineRule="auto" w:after="0"/>
        <w:ind w:firstLine="425"/>
      </w:pPr>
      <w:r>
        <w:rPr>
          <w:rFonts w:ascii="Times New Roman" w:hAnsi="Times New Roman" w:eastAsia="宋体"/>
          <w:b w:val="0"/>
          <w:i w:val="0"/>
          <w:sz w:val="22"/>
        </w:rPr>
        <w:t>新加坡通过新能源市场管理局（EMA）推行了逐步深化的动态电价机制，其开放电力市场（OEM）计划允许用户选择不同零售商和电价方案。实时定价在热带气候条件下的空调负荷管理中展现了显著效果。</w:t>
      </w:r>
    </w:p>
    <w:p>
      <w:pPr>
        <w:pStyle w:val="Heading3"/>
        <w:spacing w:before="160" w:after="60"/>
      </w:pPr>
      <w:r>
        <w:rPr>
          <w:rFonts w:ascii="Times New Roman" w:hAnsi="Times New Roman" w:eastAsia="黑体"/>
          <w:b/>
          <w:i w:val="0"/>
          <w:sz w:val="24"/>
        </w:rPr>
        <w:t>比较分析与启示</w:t>
      </w:r>
    </w:p>
    <w:p>
      <w:pPr>
        <w:spacing w:line="360" w:lineRule="auto" w:after="0"/>
        <w:ind w:firstLine="425"/>
      </w:pPr>
      <w:r>
        <w:rPr>
          <w:rFonts w:ascii="Times New Roman" w:hAnsi="Times New Roman" w:eastAsia="宋体"/>
          <w:b w:val="0"/>
          <w:i w:val="0"/>
          <w:sz w:val="22"/>
        </w:rPr>
        <w:t>通过国际比较可以发现，实时定价机制的设计受到以下因素的显著影响：第一，电力市场结构（集中式vs去中心化）决定了定价机制的复杂度；第二，可再生能源渗透率影响价格波动性和负电价出现频率；第三，用户侧智能化水平（智能电表普及率、智能家居设备渗透率）制约了实时定价的需求响应效果；第四，监管框架的差异（如价格上限、用户保护措施）影响实时定价的实际执行效果。</w:t>
      </w:r>
    </w:p>
    <w:p>
      <w:pPr>
        <w:spacing w:line="360" w:lineRule="auto" w:after="0"/>
        <w:ind w:firstLine="425"/>
      </w:pPr>
      <w:r>
        <w:rPr>
          <w:rFonts w:ascii="Times New Roman" w:hAnsi="Times New Roman" w:eastAsia="宋体"/>
          <w:b w:val="0"/>
          <w:i w:val="0"/>
          <w:sz w:val="22"/>
        </w:rPr>
        <w:t>中国的实时定价机制建设应借鉴国际经验，同时考虑自身特点：电网规模庞大且跨区域输电距离长、可再生能源集中式与分布式并举、用户侧智能化水平参差不齐、电力市场改革仍在推进中。建议采取渐进式推进策略，先在现货市场试点运行实时定价，逐步扩展到零售侧。</w:t>
      </w:r>
    </w:p>
    <w:p>
      <w:pPr>
        <w:pStyle w:val="Heading2"/>
        <w:spacing w:before="240" w:after="80"/>
      </w:pPr>
      <w:r>
        <w:rPr>
          <w:rFonts w:ascii="Times New Roman" w:hAnsi="Times New Roman" w:eastAsia="黑体"/>
          <w:b/>
          <w:i w:val="0"/>
          <w:sz w:val="28"/>
        </w:rPr>
        <w:t>1.13 理论深化与前沿方向</w:t>
      </w:r>
    </w:p>
    <w:p>
      <w:pPr>
        <w:pStyle w:val="Heading3"/>
        <w:spacing w:before="160" w:after="60"/>
      </w:pPr>
      <w:r>
        <w:rPr>
          <w:rFonts w:ascii="Times New Roman" w:hAnsi="Times New Roman" w:eastAsia="黑体"/>
          <w:b/>
          <w:i w:val="0"/>
          <w:sz w:val="24"/>
        </w:rPr>
        <w:t>实时定价的信息论视角</w:t>
      </w:r>
    </w:p>
    <w:p>
      <w:pPr>
        <w:spacing w:line="360" w:lineRule="auto" w:after="0"/>
        <w:ind w:firstLine="425"/>
      </w:pPr>
      <w:r>
        <w:rPr>
          <w:rFonts w:ascii="Times New Roman" w:hAnsi="Times New Roman" w:eastAsia="宋体"/>
          <w:b w:val="0"/>
          <w:i w:val="0"/>
          <w:sz w:val="22"/>
        </w:rPr>
        <w:t>从信息论角度看，实时定价本质上是电力系统状态信息的价格编码机制。电价向量可以视为系统状态（包括负荷水平、发电可用容量、网络拓扑、可再生能源出力等）的充分统计量。最优实时定价问题可以表述为：在给定信息结构（通信延迟、测量精度、隐私约束）下，设计价格信号使社会福利最大化。</w:t>
      </w:r>
    </w:p>
    <w:p>
      <w:pPr>
        <w:spacing w:line="360" w:lineRule="auto" w:after="0"/>
        <w:ind w:firstLine="425"/>
      </w:pPr>
      <w:r>
        <w:rPr>
          <w:rFonts w:ascii="Times New Roman" w:hAnsi="Times New Roman" w:eastAsia="宋体"/>
          <w:b w:val="0"/>
          <w:i w:val="0"/>
          <w:sz w:val="22"/>
        </w:rPr>
        <w:t>这一视角揭示了实时定价中信息价值的量化问题。当价格信号包含的信息量增加时（例如从单一价格到分时价格再到实时价格），用户能够做出更精确的用电决策，社会福利损失减小。然而，信息获取和传输本身是有成本的，最优定价机制需要在信息价值和信息成本之间取得平衡。这一理论框架为智能电网中通信基础设施投资决策提供了分析工具。</w:t>
      </w:r>
    </w:p>
    <w:p>
      <w:pPr>
        <w:pStyle w:val="Heading3"/>
        <w:spacing w:before="160" w:after="60"/>
      </w:pPr>
      <w:r>
        <w:rPr>
          <w:rFonts w:ascii="Times New Roman" w:hAnsi="Times New Roman" w:eastAsia="黑体"/>
          <w:b/>
          <w:i w:val="0"/>
          <w:sz w:val="24"/>
        </w:rPr>
        <w:t>机制设计理论的最新进展</w:t>
      </w:r>
    </w:p>
    <w:p>
      <w:pPr>
        <w:spacing w:line="360" w:lineRule="auto" w:after="0"/>
        <w:ind w:firstLine="425"/>
      </w:pPr>
      <w:r>
        <w:rPr>
          <w:rFonts w:ascii="Times New Roman" w:hAnsi="Times New Roman" w:eastAsia="宋体"/>
          <w:b w:val="0"/>
          <w:i w:val="0"/>
          <w:sz w:val="22"/>
        </w:rPr>
        <w:t>实时定价的机制设计问题近年来取得了重要理论进展。传统VCG机制虽然具有激励兼容性，但在电力市场环境中计算复杂度过高且可能产生赤字。替代机制如核心选择机制（Core-Selecting Mechanism）和贝叶斯最优机制正在被引入实时定价设计。</w:t>
      </w:r>
    </w:p>
    <w:p>
      <w:pPr>
        <w:spacing w:line="360" w:lineRule="auto" w:after="0"/>
        <w:ind w:firstLine="425"/>
      </w:pPr>
      <w:r>
        <w:rPr>
          <w:rFonts w:ascii="Times New Roman" w:hAnsi="Times New Roman" w:eastAsia="宋体"/>
          <w:b w:val="0"/>
          <w:i w:val="0"/>
          <w:sz w:val="22"/>
        </w:rPr>
        <w:t>特别值得关注的是分布式机制设计的新范式。与传统集中式机制不同，分布式机制通过局部信息交互实现全局最优，天然适合智能电网的分布式架构。区块链技术为分布式机制的实现提供了可信执行环境，使得去中心化电力交易中的实时定价成为可能。智能合约可以自动执行定价规则和结算逻辑，降低交易成本并提高透明度。</w:t>
      </w:r>
    </w:p>
    <w:p>
      <w:pPr>
        <w:pStyle w:val="Heading3"/>
        <w:spacing w:before="160" w:after="60"/>
      </w:pPr>
      <w:r>
        <w:rPr>
          <w:rFonts w:ascii="Times New Roman" w:hAnsi="Times New Roman" w:eastAsia="黑体"/>
          <w:b/>
          <w:i w:val="0"/>
          <w:sz w:val="24"/>
        </w:rPr>
        <w:t>人工智能与定价理论的融合</w:t>
      </w:r>
    </w:p>
    <w:p>
      <w:pPr>
        <w:spacing w:line="360" w:lineRule="auto" w:after="0"/>
        <w:ind w:firstLine="425"/>
      </w:pPr>
      <w:r>
        <w:rPr>
          <w:rFonts w:ascii="Times New Roman" w:hAnsi="Times New Roman" w:eastAsia="宋体"/>
          <w:b w:val="0"/>
          <w:i w:val="0"/>
          <w:sz w:val="22"/>
        </w:rPr>
        <w:t>深度学习技术正在改变实时定价的研究范式。传统方法依赖于精确的数学模型和假设条件，而数据驱动方法能够从历史数据中学习复杂的价格-需求关系，无需显式建模。强化学习方法（特别是深度强化学习）将定价问题转化为序贯决策问题，能够处理多时段耦合和不确定性。</w:t>
      </w:r>
    </w:p>
    <w:p>
      <w:pPr>
        <w:spacing w:line="360" w:lineRule="auto" w:after="0"/>
        <w:ind w:firstLine="425"/>
      </w:pPr>
      <w:r>
        <w:rPr>
          <w:rFonts w:ascii="Times New Roman" w:hAnsi="Times New Roman" w:eastAsia="宋体"/>
          <w:b w:val="0"/>
          <w:i w:val="0"/>
          <w:sz w:val="22"/>
        </w:rPr>
        <w:t>然而，纯数据驱动方法存在可解释性差、泛化能力不足等问题。当前研究前沿是物理信息引导的机器学习（Physics-Informed Machine Learning），将电力系统的物理约束（如潮流方程、容量限制）嵌入学习模型，兼顾数据驱动方法的灵活性和物理模型的可解释性。这一方向为实时定价的工程实用化提供了新路径。</w:t>
      </w:r>
    </w:p>
    <w:p>
      <w:pPr>
        <w:pStyle w:val="Heading3"/>
        <w:spacing w:before="160" w:after="60"/>
      </w:pPr>
      <w:r>
        <w:rPr>
          <w:rFonts w:ascii="Times New Roman" w:hAnsi="Times New Roman" w:eastAsia="黑体"/>
          <w:b/>
          <w:i w:val="0"/>
          <w:sz w:val="24"/>
        </w:rPr>
        <w:t>1.5.1 智能电网实时定价的技术演进路线</w:t>
      </w:r>
    </w:p>
    <w:p>
      <w:pPr>
        <w:spacing w:line="360" w:lineRule="auto" w:after="0"/>
        <w:ind w:firstLine="425"/>
      </w:pPr>
      <w:r>
        <w:rPr>
          <w:rFonts w:ascii="Times New Roman" w:hAnsi="Times New Roman" w:eastAsia="宋体"/>
          <w:b w:val="0"/>
          <w:i w:val="0"/>
          <w:sz w:val="22"/>
        </w:rPr>
        <w:t>智能电网实时定价的技术演进经历了从规则驱动到数据驱动、从集中式到分布式、从确定性到不确定性的三条主线。在规则驱动阶段，定价策略主要基于预设的峰谷时段和固定价差，缺乏对实时供需状况的响应能力。随着智能电表的普及和通信技术的进步，数据驱动的方法逐渐成为主流——通过机器学习算法从海量用电数据中挖掘用户行为模式，实现更精准的定价和负荷预测。</w:t>
      </w:r>
    </w:p>
    <w:p>
      <w:pPr>
        <w:spacing w:line="360" w:lineRule="auto" w:after="0"/>
        <w:ind w:firstLine="425"/>
      </w:pPr>
      <w:r>
        <w:rPr>
          <w:rFonts w:ascii="Times New Roman" w:hAnsi="Times New Roman" w:eastAsia="宋体"/>
          <w:b w:val="0"/>
          <w:i w:val="0"/>
          <w:sz w:val="22"/>
        </w:rPr>
        <w:t>集中式优化向分布式优化的转变源于计算复杂度和隐私保护的双重需求。当用户规模超过数万时，集中式优化的计算时间难以满足实时性要求。分布式方法（如对偶分解、ADMM）将全局优化问题分解为子问题，各用户或区域独立求解后通过价格信号协调。这种方式不仅降低了计算复杂度，还保护了用户隐私——用户无需向中央节点上报详细的效用函数参数。</w:t>
      </w:r>
    </w:p>
    <w:p>
      <w:pPr>
        <w:spacing w:line="360" w:lineRule="auto" w:after="0"/>
        <w:ind w:firstLine="425"/>
      </w:pPr>
      <w:r>
        <w:rPr>
          <w:rFonts w:ascii="Times New Roman" w:hAnsi="Times New Roman" w:eastAsia="宋体"/>
          <w:b w:val="0"/>
          <w:i w:val="0"/>
          <w:sz w:val="22"/>
        </w:rPr>
        <w:t>确定性模型向不确定性模型的演进反映了实际系统中的随机性特征。负荷预测误差、可再生能源出力波动和用户行为偏差等不确定性因素显著影响定价效果。鲁棒优化通过考虑最坏情况保证解的可行性，随机规划通过概率分布刻画不确定性，而分布式鲁棒优化结合了两者的优势。近年来，基于深度学习的预测方法（如LSTM、Transformer）为不确定性建模提供了新的工具。</w:t>
      </w:r>
    </w:p>
    <w:p>
      <w:pPr>
        <w:pStyle w:val="Heading3"/>
        <w:spacing w:before="160" w:after="60"/>
      </w:pPr>
      <w:r>
        <w:rPr>
          <w:rFonts w:ascii="Times New Roman" w:hAnsi="Times New Roman" w:eastAsia="黑体"/>
          <w:b/>
          <w:i w:val="0"/>
          <w:sz w:val="24"/>
        </w:rPr>
        <w:t>1.5.2 国际标准与政策框架</w:t>
      </w:r>
    </w:p>
    <w:p>
      <w:pPr>
        <w:spacing w:line="360" w:lineRule="auto" w:after="0"/>
        <w:ind w:firstLine="425"/>
      </w:pPr>
      <w:r>
        <w:rPr>
          <w:rFonts w:ascii="Times New Roman" w:hAnsi="Times New Roman" w:eastAsia="宋体"/>
          <w:b w:val="0"/>
          <w:i w:val="0"/>
          <w:sz w:val="22"/>
        </w:rPr>
        <w:t>实时定价的标准化工作主要由IEEE、IEC和OpenADR联盟推动。IEEE 2030系列标准涵盖了智能电网互操作性、需求响应和储能系统等方面。其中IEEE 2030.6定义了需求响应效果评估的技术框架，IEEE 2030.7规定了能量管理系统的功能规范。IEC 61968/61970系列标准定义了电力系统数据交换格式，为实时定价的数据采集和处理提供了基础。</w:t>
      </w:r>
    </w:p>
    <w:p>
      <w:pPr>
        <w:spacing w:line="360" w:lineRule="auto" w:after="0"/>
        <w:ind w:firstLine="425"/>
      </w:pPr>
      <w:r>
        <w:rPr>
          <w:rFonts w:ascii="Times New Roman" w:hAnsi="Times New Roman" w:eastAsia="宋体"/>
          <w:b w:val="0"/>
          <w:i w:val="0"/>
          <w:sz w:val="22"/>
        </w:rPr>
        <w:t>OpenADR（Open Automated Demand Response）是最重要的需求响应通信标准。OpenADR 2.0b基于XML和HTTPS/IP协议，定义了DR事件通知、价格信号传输和响应报告的标准格式。截至2025年，全球已有超过50个国家部署了OpenADR兼容系统。欧盟的ETP Smart Grids路线图将OpenADR列为关键使能技术。</w:t>
      </w:r>
    </w:p>
    <w:p>
      <w:pPr>
        <w:spacing w:line="360" w:lineRule="auto" w:after="0"/>
        <w:ind w:firstLine="425"/>
      </w:pPr>
      <w:r>
        <w:rPr>
          <w:rFonts w:ascii="Times New Roman" w:hAnsi="Times New Roman" w:eastAsia="宋体"/>
          <w:b w:val="0"/>
          <w:i w:val="0"/>
          <w:sz w:val="22"/>
        </w:rPr>
        <w:t>在政策层面，美国的FERC Order 745（2011年）确立了需求响应资源在批发市场中的补偿原则，FERC Order 2222（2020年）允许分布式能源聚合参与批发市场。欧盟的电力市场设计改革（2019年）要求所有成员国实施动态电价合同。中国的电力市场化改革（2015年9号文）和"双碳"目标（2020年）为实时定价提供了政策基础。</w:t>
      </w:r>
    </w:p>
    <w:p>
      <w:pPr>
        <w:pStyle w:val="Heading3"/>
        <w:spacing w:before="160" w:after="60"/>
      </w:pPr>
      <w:r>
        <w:rPr>
          <w:rFonts w:ascii="Times New Roman" w:hAnsi="Times New Roman" w:eastAsia="黑体"/>
          <w:b/>
          <w:i w:val="0"/>
          <w:sz w:val="24"/>
        </w:rPr>
        <w:t>1.5.3 实时定价的社会经济影响评估</w:t>
      </w:r>
    </w:p>
    <w:p>
      <w:pPr>
        <w:spacing w:line="360" w:lineRule="auto" w:after="0"/>
        <w:ind w:firstLine="425"/>
      </w:pPr>
      <w:r>
        <w:rPr>
          <w:rFonts w:ascii="Times New Roman" w:hAnsi="Times New Roman" w:eastAsia="宋体"/>
          <w:b w:val="0"/>
          <w:i w:val="0"/>
          <w:sz w:val="22"/>
        </w:rPr>
        <w:t>实时定价的社会经济影响是多维度的，需要从用户福利、电网运营效率和环境效益三个层面进行系统评估。</w:t>
      </w:r>
    </w:p>
    <w:p>
      <w:pPr>
        <w:spacing w:line="360" w:lineRule="auto" w:after="0"/>
        <w:ind w:firstLine="425"/>
      </w:pPr>
      <w:r>
        <w:rPr>
          <w:rFonts w:ascii="Times New Roman" w:hAnsi="Times New Roman" w:eastAsia="宋体"/>
          <w:b w:val="0"/>
          <w:i w:val="0"/>
          <w:sz w:val="22"/>
        </w:rPr>
        <w:t>在用户福利层面，实时定价的影响因用户类型而异。高弹性用户（如可灵活安排生产时段的工业企业）可以从电价波动中获益——在低谷时段集中用电可显著降低电费。低弹性用户（如连续生产企业、医院等关键设施）的用电模式难以调整，可能面临电费上升的风险。因此，实时定价的设计需要考虑用户异质性，为不同类型的用户提供差异化的参与方案。实证研究显示，在完善的保护机制下，实时定价可使80%以上的用户电费降低或持平。</w:t>
      </w:r>
    </w:p>
    <w:p>
      <w:pPr>
        <w:spacing w:line="360" w:lineRule="auto" w:after="0"/>
        <w:ind w:firstLine="425"/>
      </w:pPr>
      <w:r>
        <w:rPr>
          <w:rFonts w:ascii="Times New Roman" w:hAnsi="Times New Roman" w:eastAsia="宋体"/>
          <w:b w:val="0"/>
          <w:i w:val="0"/>
          <w:sz w:val="22"/>
        </w:rPr>
        <w:t>在电网运营层面，实时定价通过削峰填谷提高了电网资产利用率。美国FERC的评估报告显示，全面实施实时定价可使系统峰荷降低10-15%，相当于减少约100GW的峰值发电容量需求，每年节省发电投资约500亿美元。同时，实时定价降低了可再生能源弃电率，在可再生能源渗透率较高的电网中，弃电率可从10-20%降低到3-8%。</w:t>
      </w:r>
    </w:p>
    <w:p>
      <w:pPr>
        <w:spacing w:line="360" w:lineRule="auto" w:after="0"/>
        <w:ind w:firstLine="425"/>
      </w:pPr>
      <w:r>
        <w:rPr>
          <w:rFonts w:ascii="Times New Roman" w:hAnsi="Times New Roman" w:eastAsia="宋体"/>
          <w:b w:val="0"/>
          <w:i w:val="0"/>
          <w:sz w:val="22"/>
        </w:rPr>
        <w:t>在环境效益层面，实时定价通过促进可再生能源消纳和减少化石能源调峰发电，显著降低了碳排放。据国际能源署（IEA）估算，全球范围内部署实时定价可使电力行业碳排放降低5-8%，每年减少约10亿吨CO2排放。在中国，实时定价与碳交易市场的协同可额外降低碳排放3-5%。</w:t>
      </w:r>
    </w:p>
    <w:p>
      <w:pPr>
        <w:pStyle w:val="Heading2"/>
        <w:spacing w:before="240" w:after="80"/>
      </w:pPr>
      <w:r>
        <w:rPr>
          <w:rFonts w:ascii="Times New Roman" w:hAnsi="Times New Roman" w:eastAsia="黑体"/>
          <w:b/>
          <w:i w:val="0"/>
          <w:sz w:val="28"/>
        </w:rPr>
        <w:t>参考文献</w:t>
      </w:r>
    </w:p>
    <w:p>
      <w:pPr>
        <w:spacing w:after="40" w:line="276" w:lineRule="auto"/>
        <w:ind w:left="425" w:hanging="425"/>
      </w:pPr>
      <w:r>
        <w:rPr>
          <w:rFonts w:ascii="Times New Roman" w:hAnsi="Times New Roman" w:eastAsia="宋体"/>
          <w:b w:val="0"/>
          <w:i w:val="0"/>
          <w:sz w:val="20"/>
        </w:rPr>
        <w:t>[1] Borenstein S. The Trouble with Electricity Markets: Understanding California's Restructuring Disaster[J]. Journal of Economic Perspectives, 2002, 16(1): 191-211.</w:t>
      </w:r>
    </w:p>
    <w:p>
      <w:pPr>
        <w:spacing w:after="40" w:line="276" w:lineRule="auto"/>
        <w:ind w:left="425" w:hanging="425"/>
      </w:pPr>
      <w:r>
        <w:rPr>
          <w:rFonts w:ascii="Times New Roman" w:hAnsi="Times New Roman" w:eastAsia="宋体"/>
          <w:b w:val="0"/>
          <w:i w:val="0"/>
          <w:sz w:val="20"/>
        </w:rPr>
        <w:t>[2] Alotaibi I, Abido M A, Khalid M, et al. A Comprehensive Review of Recent Advances in Smart Grids: A Sustainable Future with Renewable Energy Resources[J]. Energies, 2020, 13(23): 6269.</w:t>
      </w:r>
    </w:p>
    <w:p>
      <w:pPr>
        <w:spacing w:after="40" w:line="276" w:lineRule="auto"/>
        <w:ind w:left="425" w:hanging="425"/>
      </w:pPr>
      <w:r>
        <w:rPr>
          <w:rFonts w:ascii="Times New Roman" w:hAnsi="Times New Roman" w:eastAsia="宋体"/>
          <w:b w:val="0"/>
          <w:i w:val="0"/>
          <w:sz w:val="20"/>
        </w:rPr>
        <w:t>[3] U.S. Department of Energy. Smart Grid: An Introduction[R]. 2008.</w:t>
      </w:r>
    </w:p>
    <w:p>
      <w:pPr>
        <w:spacing w:after="40" w:line="276" w:lineRule="auto"/>
        <w:ind w:left="425" w:hanging="425"/>
      </w:pPr>
      <w:r>
        <w:rPr>
          <w:rFonts w:ascii="Times New Roman" w:hAnsi="Times New Roman" w:eastAsia="宋体"/>
          <w:b w:val="0"/>
          <w:i w:val="0"/>
          <w:sz w:val="20"/>
        </w:rPr>
        <w:t>[4] 赵建文, 高岩. 大数据背景下智能电网的前景及应用综述[J]. 电气自动化, 2018, 40(6): 1-4.</w:t>
      </w:r>
    </w:p>
    <w:p>
      <w:pPr>
        <w:spacing w:after="40" w:line="276" w:lineRule="auto"/>
        <w:ind w:left="425" w:hanging="425"/>
      </w:pPr>
      <w:r>
        <w:rPr>
          <w:rFonts w:ascii="Times New Roman" w:hAnsi="Times New Roman" w:eastAsia="宋体"/>
          <w:b w:val="0"/>
          <w:i w:val="0"/>
          <w:sz w:val="20"/>
        </w:rPr>
        <w:t>[5] Fang X, Misra S, Xue G, et al. Smart Grid—The New and Improved Power Grid: A Survey[J]. IEEE Communications Surveys &amp; Tutorials, 2012, 14(4): 944-980.</w:t>
      </w:r>
    </w:p>
    <w:p>
      <w:pPr>
        <w:spacing w:after="40" w:line="276" w:lineRule="auto"/>
        <w:ind w:left="425" w:hanging="425"/>
      </w:pPr>
      <w:r>
        <w:rPr>
          <w:rFonts w:ascii="Times New Roman" w:hAnsi="Times New Roman" w:eastAsia="宋体"/>
          <w:b w:val="0"/>
          <w:i w:val="0"/>
          <w:sz w:val="20"/>
        </w:rPr>
        <w:t>[6] 舒印彪, 张智刚, 郭剑波, 等. 新型电力系统及其构建技术[J]. 中国电机工程学报, 2021, 41(15): 5145-5156.</w:t>
      </w:r>
    </w:p>
    <w:p>
      <w:pPr>
        <w:spacing w:after="40" w:line="276" w:lineRule="auto"/>
        <w:ind w:left="425" w:hanging="425"/>
      </w:pPr>
      <w:r>
        <w:rPr>
          <w:rFonts w:ascii="Times New Roman" w:hAnsi="Times New Roman" w:eastAsia="宋体"/>
          <w:b w:val="0"/>
          <w:i w:val="0"/>
          <w:sz w:val="20"/>
        </w:rPr>
        <w:t>[7] 王蓓蓓, 李扬, 高蓉, 等. 智能电表数据分析及应用综述研究[J]. 电力系统保护与控制, 2015, 43(14): 138-147.</w:t>
      </w:r>
    </w:p>
    <w:p>
      <w:pPr>
        <w:spacing w:after="40" w:line="276" w:lineRule="auto"/>
        <w:ind w:left="425" w:hanging="425"/>
      </w:pPr>
      <w:r>
        <w:rPr>
          <w:rFonts w:ascii="Times New Roman" w:hAnsi="Times New Roman" w:eastAsia="宋体"/>
          <w:b w:val="0"/>
          <w:i w:val="0"/>
          <w:sz w:val="20"/>
        </w:rPr>
        <w:t>[8] 代业明, 高岩, 朱红波, 等. 考虑信息延迟的智能电网实时定价和算法[J]. 电力系统保护与控制, 2017, 45(1): 18-24.</w:t>
      </w:r>
    </w:p>
    <w:p>
      <w:pPr>
        <w:spacing w:after="40" w:line="276" w:lineRule="auto"/>
        <w:ind w:left="425" w:hanging="425"/>
      </w:pPr>
      <w:r>
        <w:rPr>
          <w:rFonts w:ascii="Times New Roman" w:hAnsi="Times New Roman" w:eastAsia="宋体"/>
          <w:b w:val="0"/>
          <w:i w:val="0"/>
          <w:sz w:val="20"/>
        </w:rPr>
        <w:t>[9] 陶莉, 高岩, 朱红波, 等. 有可再生能源和电力存储设施并网的智能电网优化用电策略[J]. 系统工程理论与实践, 2019, 39(7): 1767-1776.</w:t>
      </w:r>
    </w:p>
    <w:p>
      <w:pPr>
        <w:spacing w:after="40" w:line="276" w:lineRule="auto"/>
        <w:ind w:left="425" w:hanging="425"/>
      </w:pPr>
      <w:r>
        <w:rPr>
          <w:rFonts w:ascii="Times New Roman" w:hAnsi="Times New Roman" w:eastAsia="宋体"/>
          <w:b w:val="0"/>
          <w:i w:val="0"/>
          <w:sz w:val="20"/>
        </w:rPr>
        <w:t>[10] 赵建文, 高岩. 大数据背景下智能电网的前景及应用综述[J]. 电气自动化, 2018, 40(6): 1-4.</w:t>
      </w:r>
    </w:p>
    <w:p>
      <w:pPr>
        <w:spacing w:after="40" w:line="276" w:lineRule="auto"/>
        <w:ind w:left="425" w:hanging="425"/>
      </w:pPr>
      <w:r>
        <w:rPr>
          <w:rFonts w:ascii="Times New Roman" w:hAnsi="Times New Roman" w:eastAsia="宋体"/>
          <w:b w:val="0"/>
          <w:i w:val="0"/>
          <w:sz w:val="20"/>
        </w:rPr>
        <w:t>[11] 黄海新, 邓丽, 张路. 基于需求响应的实时电价研究综述[J]. 电网技术, 2015, 39(11): 3145-3151.</w:t>
      </w:r>
    </w:p>
    <w:p>
      <w:pPr>
        <w:spacing w:after="40" w:line="276" w:lineRule="auto"/>
        <w:ind w:left="425" w:hanging="425"/>
      </w:pPr>
      <w:r>
        <w:rPr>
          <w:rFonts w:ascii="Times New Roman" w:hAnsi="Times New Roman" w:eastAsia="宋体"/>
          <w:b w:val="0"/>
          <w:i w:val="0"/>
          <w:sz w:val="20"/>
        </w:rPr>
        <w:t>[12] 冯兆丽, 茅佳佳, 温书胜, 等. 智能电网实时电价研究综述：模型与优化方法[J]. 电气自动化, 2012, 34(6): 1-4.</w:t>
      </w:r>
    </w:p>
    <w:p>
      <w:pPr>
        <w:spacing w:after="40" w:line="276" w:lineRule="auto"/>
        <w:ind w:left="425" w:hanging="425"/>
      </w:pPr>
      <w:r>
        <w:rPr>
          <w:rFonts w:ascii="Times New Roman" w:hAnsi="Times New Roman" w:eastAsia="宋体"/>
          <w:b w:val="0"/>
          <w:i w:val="0"/>
          <w:sz w:val="20"/>
        </w:rPr>
        <w:t>[13] 徐伟强, 冯兆丽, 黄炯, 等. 基于改进对偶分解的智能电网快速实时定价方法[J]. 电力系统自动化, 2012, 36(24): 50-55.</w:t>
      </w:r>
    </w:p>
    <w:p>
      <w:pPr>
        <w:spacing w:after="40" w:line="276" w:lineRule="auto"/>
        <w:ind w:left="425" w:hanging="425"/>
      </w:pPr>
      <w:r>
        <w:rPr>
          <w:rFonts w:ascii="Times New Roman" w:hAnsi="Times New Roman" w:eastAsia="宋体"/>
          <w:b w:val="0"/>
          <w:i w:val="0"/>
          <w:sz w:val="20"/>
        </w:rPr>
        <w:t>[14] 代业明, 高岩. 基于智能电网需求侧管理的多零售商实时定价策略[J]. 电网技术, 2014, 38(5): 1267-1273.</w:t>
      </w:r>
    </w:p>
    <w:p>
      <w:pPr>
        <w:spacing w:after="40" w:line="276" w:lineRule="auto"/>
        <w:ind w:left="425" w:hanging="425"/>
      </w:pPr>
      <w:r>
        <w:rPr>
          <w:rFonts w:ascii="Times New Roman" w:hAnsi="Times New Roman" w:eastAsia="宋体"/>
          <w:b w:val="0"/>
          <w:i w:val="0"/>
          <w:sz w:val="20"/>
        </w:rPr>
        <w:t>[15] 党亚峥, 高岩, 朱红波. 基于Haar小波与ARIMAX模型进行短期负荷预测[J]. 电力系统保护与控制, 2019, 47(2): 58-64.</w:t>
      </w:r>
    </w:p>
    <w:p>
      <w:pPr>
        <w:spacing w:after="40" w:line="276" w:lineRule="auto"/>
        <w:ind w:left="425" w:hanging="425"/>
      </w:pPr>
      <w:r>
        <w:rPr>
          <w:rFonts w:ascii="Times New Roman" w:hAnsi="Times New Roman" w:eastAsia="宋体"/>
          <w:b w:val="0"/>
          <w:i w:val="0"/>
          <w:sz w:val="20"/>
        </w:rPr>
        <w:t>[16] Dai Y, Zhao P, Pei H, et al. A Hybrid Load Forecasting Model Based on Support Vector Machine with Improved Particle Swarm Optimization[J]. Journal of Electrical Engineering &amp; Technology, 2020, 15(1): 1-12.</w:t>
      </w:r>
    </w:p>
    <w:p>
      <w:pPr>
        <w:spacing w:after="40" w:line="276" w:lineRule="auto"/>
        <w:ind w:left="425" w:hanging="425"/>
      </w:pPr>
      <w:r>
        <w:rPr>
          <w:rFonts w:ascii="Times New Roman" w:hAnsi="Times New Roman" w:eastAsia="宋体"/>
          <w:b w:val="0"/>
          <w:i w:val="0"/>
          <w:sz w:val="20"/>
        </w:rPr>
        <w:t>[17] Liu Y, et al. A New Hybrid Approach for Short-Term Electric Load Forecasting Applying Support Vector Machine[J]. Energies, 2019, 12(5): 871.</w:t>
      </w:r>
    </w:p>
    <w:p>
      <w:pPr>
        <w:spacing w:after="40" w:line="276" w:lineRule="auto"/>
        <w:ind w:left="425" w:hanging="425"/>
      </w:pPr>
      <w:r>
        <w:rPr>
          <w:rFonts w:ascii="Times New Roman" w:hAnsi="Times New Roman" w:eastAsia="宋体"/>
          <w:b w:val="0"/>
          <w:i w:val="0"/>
          <w:sz w:val="20"/>
        </w:rPr>
        <w:t>[18] 陶莉, 高岩, 朱红波. 以极小化峰谷差为目标的智能电网实时定价[J]. 电力系统保护与控制, 2020, 48(3): 51-58.</w:t>
      </w:r>
    </w:p>
    <w:p>
      <w:pPr>
        <w:spacing w:after="40" w:line="276" w:lineRule="auto"/>
        <w:ind w:left="425" w:hanging="425"/>
      </w:pPr>
      <w:r>
        <w:rPr>
          <w:rFonts w:ascii="Times New Roman" w:hAnsi="Times New Roman" w:eastAsia="宋体"/>
          <w:b w:val="0"/>
          <w:i w:val="0"/>
          <w:sz w:val="20"/>
        </w:rPr>
        <w:t>[19] Samadi P, Mohsenian-Rad A H, Schober R, et al. Optimal Real-Time Pricing Algorithm Based on Utility Maximization for Smart Grid[C]. IEEE SmartGridComm, 2010: 415-420.</w:t>
      </w:r>
    </w:p>
    <w:p>
      <w:pPr>
        <w:spacing w:after="40" w:line="276" w:lineRule="auto"/>
        <w:ind w:left="425" w:hanging="425"/>
      </w:pPr>
      <w:r>
        <w:rPr>
          <w:rFonts w:ascii="Times New Roman" w:hAnsi="Times New Roman" w:eastAsia="宋体"/>
          <w:b w:val="0"/>
          <w:i w:val="0"/>
          <w:sz w:val="20"/>
        </w:rPr>
        <w:t>[20] 李军祥, 高岩, 朱红波, 等. 智能电网互补能源供用电实时定价算法研究[J]. 计算机应用研究, 2019, 36(12): 3663-3668.</w:t>
      </w:r>
    </w:p>
    <w:p>
      <w:pPr>
        <w:spacing w:after="40" w:line="276" w:lineRule="auto"/>
        <w:ind w:left="425" w:hanging="425"/>
      </w:pPr>
      <w:r>
        <w:rPr>
          <w:rFonts w:ascii="Times New Roman" w:hAnsi="Times New Roman" w:eastAsia="宋体"/>
          <w:b w:val="0"/>
          <w:i w:val="0"/>
          <w:sz w:val="20"/>
        </w:rPr>
        <w:t>[21] 李军祥, 高岩, 朱红波, 等. 智能电网互补能源供用电实时定价算法研究[J]. 计算机应用研究, 2020, 37(1): 153-158.</w:t>
      </w:r>
    </w:p>
    <w:p>
      <w:pPr>
        <w:spacing w:after="40" w:line="276" w:lineRule="auto"/>
        <w:ind w:left="425" w:hanging="425"/>
      </w:pPr>
      <w:r>
        <w:rPr>
          <w:rFonts w:ascii="Times New Roman" w:hAnsi="Times New Roman" w:eastAsia="宋体"/>
          <w:b w:val="0"/>
          <w:i w:val="0"/>
          <w:sz w:val="20"/>
        </w:rPr>
        <w:t>[22] 李军祥, 高岩, 朱红波. 基于用户电器分类的智能电网实时定价研究[J]. 电力系统保护与控制, 2019, 47(8): 28-35.</w:t>
      </w:r>
    </w:p>
    <w:p>
      <w:pPr>
        <w:spacing w:after="40" w:line="276" w:lineRule="auto"/>
        <w:ind w:left="425" w:hanging="425"/>
      </w:pPr>
      <w:r>
        <w:rPr>
          <w:rFonts w:ascii="Times New Roman" w:hAnsi="Times New Roman" w:eastAsia="宋体"/>
          <w:b w:val="0"/>
          <w:i w:val="0"/>
          <w:sz w:val="20"/>
        </w:rPr>
        <w:t>[23] 杨扬, 等. 考虑双重不确定性的智能电网实时定价鲁棒优化方法[J]. 电力系统自动化, 2020, 44(10): 112-120.</w:t>
      </w:r>
    </w:p>
    <w:p>
      <w:pPr>
        <w:spacing w:after="40" w:line="276" w:lineRule="auto"/>
        <w:ind w:left="425" w:hanging="425"/>
      </w:pPr>
      <w:r>
        <w:rPr>
          <w:rFonts w:ascii="Times New Roman" w:hAnsi="Times New Roman" w:eastAsia="宋体"/>
          <w:b w:val="0"/>
          <w:i w:val="0"/>
          <w:sz w:val="20"/>
        </w:rPr>
        <w:t>[24] Joe-Wong C, Sen S, Ha S, et al. Optimized Day-Ahead Pricing for Smart Grids with Device-Specific Scheduling Flexibility[J]. IEEE JSAC, 2012, 30(6): 1075-1085.</w:t>
      </w:r>
    </w:p>
    <w:p>
      <w:pPr>
        <w:spacing w:after="40" w:line="276" w:lineRule="auto"/>
        <w:ind w:left="425" w:hanging="425"/>
      </w:pPr>
      <w:r>
        <w:rPr>
          <w:rFonts w:ascii="Times New Roman" w:hAnsi="Times New Roman" w:eastAsia="宋体"/>
          <w:b w:val="0"/>
          <w:i w:val="0"/>
          <w:sz w:val="20"/>
        </w:rPr>
        <w:t>[25] Qian L P, Zhang Y J, Huang J, et al. Demand Response Management via Real-Time Electricity Price Control in Smart Grids[J]. IEEE JSAC, 2013, 31(7): 1268-1280.</w:t>
      </w:r>
    </w:p>
    <w:p>
      <w:pPr>
        <w:spacing w:after="40" w:line="276" w:lineRule="auto"/>
        <w:ind w:left="425" w:hanging="425"/>
      </w:pPr>
      <w:r>
        <w:rPr>
          <w:rFonts w:ascii="Times New Roman" w:hAnsi="Times New Roman" w:eastAsia="宋体"/>
          <w:b w:val="0"/>
          <w:i w:val="0"/>
          <w:sz w:val="20"/>
        </w:rPr>
        <w:t>[26] Dai Y, Gao Y, Gao H, et al. A Real-Time Pricing Scheme Considering Load Uncertainty and Price Competition in Smart Grid Market[J]. Journal of Industrial and Management Optimization, 2020, 16(1): 1-18.</w:t>
      </w:r>
    </w:p>
    <w:p>
      <w:pPr>
        <w:spacing w:after="40" w:line="276" w:lineRule="auto"/>
        <w:ind w:left="425" w:hanging="425"/>
      </w:pPr>
      <w:r>
        <w:rPr>
          <w:rFonts w:ascii="Times New Roman" w:hAnsi="Times New Roman" w:eastAsia="宋体"/>
          <w:b w:val="0"/>
          <w:i w:val="0"/>
          <w:sz w:val="20"/>
        </w:rPr>
        <w:t>[27] Cheng J, Chen G, Wu Z, et al. An Optimal Pricing Formula for Smart Grid Based on Stackelberg Game[J]. arXiv preprint, 2024.</w:t>
      </w:r>
    </w:p>
    <w:p>
      <w:pPr>
        <w:spacing w:after="40" w:line="276" w:lineRule="auto"/>
        <w:ind w:left="425" w:hanging="425"/>
      </w:pPr>
      <w:r>
        <w:rPr>
          <w:rFonts w:ascii="Times New Roman" w:hAnsi="Times New Roman" w:eastAsia="宋体"/>
          <w:b w:val="0"/>
          <w:i w:val="0"/>
          <w:sz w:val="20"/>
        </w:rPr>
        <w:t>[28] Kim B G, Zhang Y, van der Schaar M, et al. Dynamic Pricing for Smart Grid with Reinforcement Learning[C]. IEEE INFOCOM Workshop, 2014: 640-645.</w:t>
      </w:r>
    </w:p>
    <w:p>
      <w:pPr>
        <w:spacing w:after="40" w:line="276" w:lineRule="auto"/>
        <w:ind w:left="425" w:hanging="425"/>
      </w:pPr>
      <w:r>
        <w:rPr>
          <w:rFonts w:ascii="Times New Roman" w:hAnsi="Times New Roman" w:eastAsia="宋体"/>
          <w:b w:val="0"/>
          <w:i w:val="0"/>
          <w:sz w:val="20"/>
        </w:rPr>
        <w:t>[29] Ghasemi A, Shojaeighadikolaei A, Jones K, et al. A Multi-Agent Deep Reinforcement Learning Approach for a Distributed Energy Marketplace in Smart Grids[J]. arXiv preprint, 2020.</w:t>
      </w:r>
    </w:p>
    <w:p>
      <w:pPr>
        <w:spacing w:after="40" w:line="276" w:lineRule="auto"/>
        <w:ind w:left="425" w:hanging="425"/>
      </w:pPr>
      <w:r>
        <w:rPr>
          <w:rFonts w:ascii="Times New Roman" w:hAnsi="Times New Roman" w:eastAsia="宋体"/>
          <w:b w:val="0"/>
          <w:i w:val="0"/>
          <w:sz w:val="20"/>
        </w:rPr>
        <w:t>[30] Lee J, Wang W, Niyato D. Demand-Side Scheduling Based on Deep Actor-Critic Learning for Smart Grids[J]. IEEE ICC, 2020.</w:t>
      </w:r>
    </w:p>
    <w:p>
      <w:pPr>
        <w:spacing w:after="40" w:line="276" w:lineRule="auto"/>
        <w:ind w:left="425" w:hanging="425"/>
      </w:pPr>
      <w:r>
        <w:rPr>
          <w:rFonts w:ascii="Times New Roman" w:hAnsi="Times New Roman" w:eastAsia="宋体"/>
          <w:b w:val="0"/>
          <w:i w:val="0"/>
          <w:sz w:val="20"/>
        </w:rPr>
        <w:t>[31] 许志宏, 高岩, 朱红波, 陶莉. 基于分片线性效用函数的实时电价定价策略[J]. 电力系统自动化, 2018, 42(15): 78-85.</w:t>
      </w:r>
    </w:p>
    <w:p>
      <w:pPr>
        <w:spacing w:after="40" w:line="276" w:lineRule="auto"/>
        <w:ind w:left="425" w:hanging="425"/>
      </w:pPr>
      <w:r>
        <w:rPr>
          <w:rFonts w:ascii="Times New Roman" w:hAnsi="Times New Roman" w:eastAsia="宋体"/>
          <w:b w:val="0"/>
          <w:i w:val="0"/>
          <w:sz w:val="20"/>
        </w:rPr>
        <w:t>[32] 李媛媛, 李军祥, 党亚峥, 高岩. 基于KKT条件智能电网实时定价的光滑牛顿算法[J]. 计算机应用研究, 2020, 37(3): 805-810.</w:t>
      </w:r>
    </w:p>
    <w:p>
      <w:pPr>
        <w:spacing w:after="40" w:line="276" w:lineRule="auto"/>
        <w:ind w:left="425" w:hanging="425"/>
      </w:pPr>
      <w:r>
        <w:rPr>
          <w:rFonts w:ascii="Times New Roman" w:hAnsi="Times New Roman" w:eastAsia="宋体"/>
          <w:b w:val="0"/>
          <w:i w:val="0"/>
          <w:sz w:val="20"/>
        </w:rPr>
        <w:t>[33] 代业明, 高岩, 朱红波, 金锋, 袁光辉. 考虑消费者激励因素的智能电网多零售商多用户实时定价策略[J]. 电力系统保护与控制, 2017, 45(2): 28-35.</w:t>
      </w:r>
    </w:p>
    <w:p>
      <w:pPr>
        <w:spacing w:after="40" w:line="276" w:lineRule="auto"/>
        <w:ind w:left="425" w:hanging="425"/>
      </w:pPr>
      <w:r>
        <w:rPr>
          <w:rFonts w:ascii="Times New Roman" w:hAnsi="Times New Roman" w:eastAsia="宋体"/>
          <w:b w:val="0"/>
          <w:i w:val="0"/>
          <w:sz w:val="20"/>
        </w:rPr>
        <w:t>[34] 李军祥, 等. 电力零售商引导下智能电网多方利益均衡策略[J]. 系统工程理论与实践, 2022, 42(5): 1234-1246.</w:t>
      </w:r>
    </w:p>
    <w:p>
      <w:pPr>
        <w:spacing w:after="40" w:line="276" w:lineRule="auto"/>
        <w:ind w:left="425" w:hanging="425"/>
      </w:pPr>
      <w:r>
        <w:rPr>
          <w:rFonts w:ascii="Times New Roman" w:hAnsi="Times New Roman" w:eastAsia="宋体"/>
          <w:b w:val="0"/>
          <w:i w:val="0"/>
          <w:sz w:val="20"/>
        </w:rPr>
        <w:t>[35] 李军祥, 高岩, 朱红波. 马尔可夫决策过程下的智能电网实时电价模型[J]. 系统工程理论与实践, 2016, 36(8): 2035-2042.</w:t>
      </w:r>
    </w:p>
    <w:p>
      <w:pPr>
        <w:spacing w:after="40" w:line="276" w:lineRule="auto"/>
        <w:ind w:left="425" w:hanging="425"/>
      </w:pPr>
      <w:r>
        <w:rPr>
          <w:rFonts w:ascii="Times New Roman" w:hAnsi="Times New Roman" w:eastAsia="宋体"/>
          <w:b w:val="0"/>
          <w:i w:val="0"/>
          <w:sz w:val="20"/>
        </w:rPr>
        <w:t>[36] 朱红波, 高岩, 代业明. 马尔可夫过程下多类用户智能电网实时电价[J]. 电力系统保护与控制, 2018, 46(2): 28-35.</w:t>
      </w:r>
    </w:p>
    <w:p>
      <w:pPr>
        <w:spacing w:after="40" w:line="276" w:lineRule="auto"/>
        <w:ind w:left="425" w:hanging="425"/>
      </w:pPr>
      <w:r>
        <w:rPr>
          <w:rFonts w:ascii="Times New Roman" w:hAnsi="Times New Roman" w:eastAsia="宋体"/>
          <w:b w:val="0"/>
          <w:i w:val="0"/>
          <w:sz w:val="20"/>
        </w:rPr>
        <w:t>[37] 张莉, 高岩, 朱红波. 具有时间耦合约束的多时段智能电网实时电价[J]. 电力系统自动化, 2019, 43(10): 58-65.</w:t>
      </w:r>
    </w:p>
    <w:p>
      <w:pPr>
        <w:jc w:val="center"/>
      </w:pPr>
      <w:r>
        <w:drawing>
          <wp:inline xmlns:a="http://schemas.openxmlformats.org/drawingml/2006/main" xmlns:pic="http://schemas.openxmlformats.org/drawingml/2006/picture">
            <wp:extent cx="5029200" cy="2487525"/>
            <wp:docPr id="1" name="Picture 1"/>
            <wp:cNvGraphicFramePr>
              <a:graphicFrameLocks noChangeAspect="1"/>
            </wp:cNvGraphicFramePr>
            <a:graphic>
              <a:graphicData uri="http://schemas.openxmlformats.org/drawingml/2006/picture">
                <pic:pic>
                  <pic:nvPicPr>
                    <pic:cNvPr id="0" name="01_rtp_vs_tou.png"/>
                    <pic:cNvPicPr/>
                  </pic:nvPicPr>
                  <pic:blipFill>
                    <a:blip r:embed="rId9"/>
                    <a:stretch>
                      <a:fillRect/>
                    </a:stretch>
                  </pic:blipFill>
                  <pic:spPr>
                    <a:xfrm>
                      <a:off x="0" y="0"/>
                      <a:ext cx="5029200" cy="2487525"/>
                    </a:xfrm>
                    <a:prstGeom prst="rect"/>
                  </pic:spPr>
                </pic:pic>
              </a:graphicData>
            </a:graphic>
          </wp:inline>
        </w:drawing>
      </w:r>
    </w:p>
    <w:p>
      <w:pPr>
        <w:jc w:val="center"/>
      </w:pPr>
      <w:r>
        <w:rPr>
          <w:rFonts w:ascii="Times New Roman" w:hAnsi="Times New Roman" w:eastAsia="黑体"/>
          <w:b/>
          <w:i w:val="0"/>
          <w:color w:val="606060"/>
          <w:sz w:val="20"/>
        </w:rPr>
        <w:t>图1 实时电价与分时电价对比</w:t>
      </w:r>
    </w:p>
    <w:p>
      <w:r>
        <w:br w:type="page"/>
      </w:r>
    </w:p>
    <w:p>
      <w:pPr>
        <w:pStyle w:val="Heading1"/>
        <w:spacing w:before="360" w:after="120"/>
      </w:pPr>
      <w:r>
        <w:rPr>
          <w:rFonts w:ascii="Times New Roman" w:hAnsi="Times New Roman" w:eastAsia="黑体"/>
          <w:b/>
          <w:i w:val="0"/>
          <w:sz w:val="32"/>
        </w:rPr>
        <w:t>第2章 需求响应理论基础</w:t>
      </w:r>
    </w:p>
    <w:p>
      <w:pPr>
        <w:pStyle w:val="Heading2"/>
        <w:spacing w:before="240" w:after="80"/>
      </w:pPr>
      <w:r>
        <w:rPr>
          <w:rFonts w:ascii="Times New Roman" w:hAnsi="Times New Roman" w:eastAsia="黑体"/>
          <w:b/>
          <w:i w:val="0"/>
          <w:sz w:val="28"/>
        </w:rPr>
        <w:t>学习目标</w:t>
      </w:r>
    </w:p>
    <w:p>
      <w:pPr>
        <w:pStyle w:val="ListBullet"/>
        <w:spacing w:line="360" w:lineRule="auto" w:after="0"/>
      </w:pPr>
      <w:r>
        <w:rPr>
          <w:rFonts w:ascii="Times New Roman" w:hAnsi="Times New Roman" w:eastAsia="宋体"/>
          <w:b w:val="0"/>
          <w:i w:val="0"/>
          <w:sz w:val="22"/>
        </w:rPr>
        <w:t>理解需求响应的基本概念、分类体系和实施框架</w:t>
      </w:r>
    </w:p>
    <w:p>
      <w:pPr>
        <w:pStyle w:val="ListBullet"/>
        <w:spacing w:line="360" w:lineRule="auto" w:after="0"/>
      </w:pPr>
      <w:r>
        <w:rPr>
          <w:rFonts w:ascii="Times New Roman" w:hAnsi="Times New Roman" w:eastAsia="宋体"/>
          <w:b w:val="0"/>
          <w:i w:val="0"/>
          <w:sz w:val="22"/>
        </w:rPr>
        <w:t>掌握基于价格和基于激励的两类需求响应机制</w:t>
      </w:r>
    </w:p>
    <w:p>
      <w:pPr>
        <w:pStyle w:val="ListBullet"/>
        <w:spacing w:line="360" w:lineRule="auto" w:after="0"/>
      </w:pPr>
      <w:r>
        <w:rPr>
          <w:rFonts w:ascii="Times New Roman" w:hAnsi="Times New Roman" w:eastAsia="宋体"/>
          <w:b w:val="0"/>
          <w:i w:val="0"/>
          <w:sz w:val="22"/>
        </w:rPr>
        <w:t>了解需求响应的经济效益评估方法</w:t>
      </w:r>
    </w:p>
    <w:p>
      <w:pPr>
        <w:pStyle w:val="ListBullet"/>
        <w:spacing w:line="360" w:lineRule="auto" w:after="0"/>
      </w:pPr>
      <w:r>
        <w:rPr>
          <w:rFonts w:ascii="Times New Roman" w:hAnsi="Times New Roman" w:eastAsia="宋体"/>
          <w:b w:val="0"/>
          <w:i w:val="0"/>
          <w:sz w:val="22"/>
        </w:rPr>
        <w:t>认识需求响应在实时定价中的基础性作用</w:t>
      </w:r>
    </w:p>
    <w:p>
      <w:pPr>
        <w:pStyle w:val="Heading2"/>
        <w:spacing w:before="240" w:after="80"/>
      </w:pPr>
      <w:r>
        <w:rPr>
          <w:rFonts w:ascii="Times New Roman" w:hAnsi="Times New Roman" w:eastAsia="黑体"/>
          <w:b/>
          <w:i w:val="0"/>
          <w:sz w:val="28"/>
        </w:rPr>
        <w:t>导入案例：PJM电力市场的需求响应实践</w:t>
      </w:r>
    </w:p>
    <w:p>
      <w:pPr>
        <w:spacing w:line="360" w:lineRule="auto" w:after="0"/>
        <w:ind w:firstLine="425"/>
      </w:pPr>
      <w:r>
        <w:rPr>
          <w:rFonts w:ascii="Times New Roman" w:hAnsi="Times New Roman" w:eastAsia="宋体"/>
          <w:b w:val="0"/>
          <w:i w:val="0"/>
          <w:sz w:val="22"/>
        </w:rPr>
        <w:t>美国PJM电力市场是全球最大的竞争性电力批发市场之一，其需求响应项目自2006年启动以来，累计减少了超过15GW的峰值负荷。PJM的需求响应项目包括紧急需求响应、经济需求响应和容量市场需求响应等多种形式，为用户提供了灵活的参与方式。这一实践证明，设计良好的需求响应机制能够显著提高电力市场的运行效率和可靠性</w:t>
      </w:r>
      <w:r>
        <w:rPr>
          <w:rFonts w:ascii="Times New Roman" w:hAnsi="Times New Roman" w:eastAsia="Times New Roman"/>
          <w:b w:val="0"/>
          <w:i w:val="0"/>
          <w:sz w:val="18"/>
          <w:vertAlign w:val="superscript"/>
        </w:rPr>
        <w:t>[1]</w:t>
      </w:r>
      <w:r>
        <w:rPr>
          <w:rFonts w:ascii="Times New Roman" w:hAnsi="Times New Roman" w:eastAsia="宋体"/>
          <w:b w:val="0"/>
          <w:i w:val="0"/>
          <w:sz w:val="22"/>
        </w:rPr>
        <w:t>。</w:t>
      </w:r>
    </w:p>
    <w:p>
      <w:pPr>
        <w:pStyle w:val="Heading2"/>
        <w:spacing w:before="240" w:after="80"/>
      </w:pPr>
      <w:r>
        <w:rPr>
          <w:rFonts w:ascii="Times New Roman" w:hAnsi="Times New Roman" w:eastAsia="黑体"/>
          <w:b/>
          <w:i w:val="0"/>
          <w:sz w:val="28"/>
        </w:rPr>
        <w:t>2.1 需求响应的概念与分类</w:t>
      </w:r>
    </w:p>
    <w:p>
      <w:pPr>
        <w:pStyle w:val="Heading3"/>
        <w:spacing w:before="160" w:after="60"/>
      </w:pPr>
      <w:r>
        <w:rPr>
          <w:rFonts w:ascii="Times New Roman" w:hAnsi="Times New Roman" w:eastAsia="黑体"/>
          <w:b/>
          <w:i w:val="0"/>
          <w:sz w:val="24"/>
        </w:rPr>
        <w:t>2.1.1 需求响应的定义</w:t>
      </w:r>
    </w:p>
    <w:p>
      <w:pPr>
        <w:spacing w:line="360" w:lineRule="auto" w:after="0"/>
        <w:ind w:firstLine="425"/>
      </w:pPr>
      <w:r>
        <w:rPr>
          <w:rFonts w:ascii="Times New Roman" w:hAnsi="Times New Roman" w:eastAsia="宋体"/>
          <w:b w:val="0"/>
          <w:i w:val="0"/>
          <w:sz w:val="22"/>
        </w:rPr>
        <w:t>需求响应（Demand Response, DR）是指电力用户对市场价格信号或激励机制做出响应，主动改变正常用电模式的行为。根据美国联邦能源监管委员会（FERC）的定义，需求响应包括"终端用户用电量随电力市场价格变化而调整，或在电力市场电价高企或系统可靠性受到威胁时，终端用户降低用电量以获取经济激励的行为"</w:t>
      </w:r>
      <w:r>
        <w:rPr>
          <w:rFonts w:ascii="Times New Roman" w:hAnsi="Times New Roman" w:eastAsia="Times New Roman"/>
          <w:b w:val="0"/>
          <w:i w:val="0"/>
          <w:sz w:val="18"/>
          <w:vertAlign w:val="superscript"/>
        </w:rPr>
        <w:t>[2]</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在智能电网环境下，需求响应的概念得到了进一步拓展。Hussain和高岩（2018）在需求响应综述中指出，智能电网环境下的高效需求响应应具备以下特征：实时性——能够对价格信号做出即时响应；自动性——通过智能家居系统实现自动用电调度；双向性——用户不仅能接收价格信号，还能反馈用电状态；分布式——支持大规模分布式用户的协同参与</w:t>
      </w:r>
      <w:r>
        <w:rPr>
          <w:rFonts w:ascii="Times New Roman" w:hAnsi="Times New Roman" w:eastAsia="Times New Roman"/>
          <w:b w:val="0"/>
          <w:i w:val="0"/>
          <w:sz w:val="18"/>
          <w:vertAlign w:val="superscript"/>
        </w:rPr>
        <w:t>[3]</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2.1.2 需求响应的分类体系</w:t>
      </w:r>
    </w:p>
    <w:p>
      <w:pPr>
        <w:spacing w:line="360" w:lineRule="auto" w:after="0"/>
        <w:ind w:firstLine="425"/>
      </w:pPr>
      <w:r>
        <w:rPr>
          <w:rFonts w:ascii="Times New Roman" w:hAnsi="Times New Roman" w:eastAsia="宋体"/>
          <w:b w:val="0"/>
          <w:i w:val="0"/>
          <w:sz w:val="22"/>
        </w:rPr>
        <w:t>张钦等（2008）在电力市场下需求响应研究综述中提出了系统的分类框架，将需求响应分为两大类</w:t>
      </w:r>
      <w:r>
        <w:rPr>
          <w:rFonts w:ascii="Times New Roman" w:hAnsi="Times New Roman" w:eastAsia="Times New Roman"/>
          <w:b w:val="0"/>
          <w:i w:val="0"/>
          <w:sz w:val="18"/>
          <w:vertAlign w:val="superscript"/>
        </w:rPr>
        <w:t>[4]</w:t>
      </w:r>
      <w:r>
        <w:rPr>
          <w:rFonts w:ascii="Times New Roman" w:hAnsi="Times New Roman" w:eastAsia="宋体"/>
          <w:b w:val="0"/>
          <w:i w:val="0"/>
          <w:sz w:val="22"/>
        </w:rPr>
        <w:t>：</w:t>
      </w:r>
    </w:p>
    <w:p>
      <w:pPr>
        <w:spacing w:line="360" w:lineRule="auto" w:after="0"/>
        <w:ind w:firstLine="425"/>
      </w:pPr>
      <w:r>
        <w:rPr>
          <w:rFonts w:ascii="Times New Roman" w:hAnsi="Times New Roman" w:eastAsia="宋体"/>
          <w:b/>
          <w:i w:val="0"/>
          <w:sz w:val="22"/>
        </w:rPr>
        <w:t>基于价格的需求响应（Price-Based DR）</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实时定价（RTP）：价格随供需实时变化，用户根据当前价格调整用电</w:t>
      </w:r>
    </w:p>
    <w:p>
      <w:pPr>
        <w:pStyle w:val="ListBullet"/>
        <w:spacing w:line="360" w:lineRule="auto" w:after="0"/>
      </w:pPr>
      <w:r>
        <w:rPr>
          <w:rFonts w:ascii="Times New Roman" w:hAnsi="Times New Roman" w:eastAsia="宋体"/>
          <w:b w:val="0"/>
          <w:i w:val="0"/>
          <w:sz w:val="22"/>
        </w:rPr>
        <w:t>分时定价（TOU）：将一天分为若干时段，各时段价格预先设定</w:t>
      </w:r>
    </w:p>
    <w:p>
      <w:pPr>
        <w:pStyle w:val="ListBullet"/>
        <w:spacing w:line="360" w:lineRule="auto" w:after="0"/>
      </w:pPr>
      <w:r>
        <w:rPr>
          <w:rFonts w:ascii="Times New Roman" w:hAnsi="Times New Roman" w:eastAsia="宋体"/>
          <w:b w:val="0"/>
          <w:i w:val="0"/>
          <w:sz w:val="22"/>
        </w:rPr>
        <w:t>关键峰荷定价（CPP）：在系统峰荷时段采用极高价格，其余时段正常</w:t>
      </w:r>
    </w:p>
    <w:p>
      <w:pPr>
        <w:pStyle w:val="ListBullet"/>
        <w:spacing w:line="360" w:lineRule="auto" w:after="0"/>
      </w:pPr>
      <w:r>
        <w:rPr>
          <w:rFonts w:ascii="Times New Roman" w:hAnsi="Times New Roman" w:eastAsia="宋体"/>
          <w:b w:val="0"/>
          <w:i w:val="0"/>
          <w:sz w:val="22"/>
        </w:rPr>
        <w:t>极端日定价（EDP）：仅在少数极端日采用特殊价格</w:t>
      </w:r>
    </w:p>
    <w:p>
      <w:pPr>
        <w:spacing w:line="360" w:lineRule="auto" w:after="0"/>
        <w:ind w:firstLine="425"/>
      </w:pPr>
      <w:r>
        <w:rPr>
          <w:rFonts w:ascii="Times New Roman" w:hAnsi="Times New Roman" w:eastAsia="宋体"/>
          <w:b/>
          <w:i w:val="0"/>
          <w:sz w:val="22"/>
        </w:rPr>
        <w:t>基于激励的需求响应（Incentive-Based DR）</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直接负荷控制（DLC）：供电方直接控制用户部分负荷</w:t>
      </w:r>
    </w:p>
    <w:p>
      <w:pPr>
        <w:pStyle w:val="ListBullet"/>
        <w:spacing w:line="360" w:lineRule="auto" w:after="0"/>
      </w:pPr>
      <w:r>
        <w:rPr>
          <w:rFonts w:ascii="Times New Roman" w:hAnsi="Times New Roman" w:eastAsia="宋体"/>
          <w:b w:val="0"/>
          <w:i w:val="0"/>
          <w:sz w:val="22"/>
        </w:rPr>
        <w:t>可中断负荷（IL）：用户在系统紧急时同意被中断供电以获取补偿</w:t>
      </w:r>
    </w:p>
    <w:p>
      <w:pPr>
        <w:pStyle w:val="ListBullet"/>
        <w:spacing w:line="360" w:lineRule="auto" w:after="0"/>
      </w:pPr>
      <w:r>
        <w:rPr>
          <w:rFonts w:ascii="Times New Roman" w:hAnsi="Times New Roman" w:eastAsia="宋体"/>
          <w:b w:val="0"/>
          <w:i w:val="0"/>
          <w:sz w:val="22"/>
        </w:rPr>
        <w:t>需求侧竞价（DSB）：用户参与电力市场竞价</w:t>
      </w:r>
    </w:p>
    <w:p>
      <w:pPr>
        <w:pStyle w:val="ListBullet"/>
        <w:spacing w:line="360" w:lineRule="auto" w:after="0"/>
      </w:pPr>
      <w:r>
        <w:rPr>
          <w:rFonts w:ascii="Times New Roman" w:hAnsi="Times New Roman" w:eastAsia="宋体"/>
          <w:b w:val="0"/>
          <w:i w:val="0"/>
          <w:sz w:val="22"/>
        </w:rPr>
        <w:t>紧急需求响应（EDR）：在系统紧急情况下削减负荷</w:t>
      </w:r>
    </w:p>
    <w:p>
      <w:pPr>
        <w:pStyle w:val="ListBullet"/>
        <w:spacing w:line="360" w:lineRule="auto" w:after="0"/>
      </w:pPr>
      <w:r>
        <w:rPr>
          <w:rFonts w:ascii="Times New Roman" w:hAnsi="Times New Roman" w:eastAsia="宋体"/>
          <w:b w:val="0"/>
          <w:i w:val="0"/>
          <w:sz w:val="22"/>
        </w:rPr>
        <w:t>容量市场项目（CAP）：用户承诺提供负荷削减容量</w:t>
      </w:r>
    </w:p>
    <w:p>
      <w:pPr>
        <w:pStyle w:val="Heading3"/>
        <w:spacing w:before="160" w:after="60"/>
      </w:pPr>
      <w:r>
        <w:rPr>
          <w:rFonts w:ascii="Times New Roman" w:hAnsi="Times New Roman" w:eastAsia="黑体"/>
          <w:b/>
          <w:i w:val="0"/>
          <w:sz w:val="24"/>
        </w:rPr>
        <w:t>2.1.3 需求响应的实施条件</w:t>
      </w:r>
    </w:p>
    <w:p>
      <w:pPr>
        <w:spacing w:line="360" w:lineRule="auto" w:after="0"/>
        <w:ind w:firstLine="425"/>
      </w:pPr>
      <w:r>
        <w:rPr>
          <w:rFonts w:ascii="Times New Roman" w:hAnsi="Times New Roman" w:eastAsia="宋体"/>
          <w:b w:val="0"/>
          <w:i w:val="0"/>
          <w:sz w:val="22"/>
        </w:rPr>
        <w:t>需求响应的有效实施需要以下条件支撑：</w:t>
      </w:r>
    </w:p>
    <w:p>
      <w:pPr>
        <w:spacing w:line="360" w:lineRule="auto" w:after="0"/>
        <w:ind w:firstLine="425"/>
      </w:pPr>
      <w:r>
        <w:rPr>
          <w:rFonts w:ascii="Times New Roman" w:hAnsi="Times New Roman" w:eastAsia="宋体"/>
          <w:b/>
          <w:i w:val="0"/>
          <w:sz w:val="22"/>
        </w:rPr>
        <w:t>硬件基础设施</w:t>
      </w:r>
      <w:r>
        <w:rPr>
          <w:rFonts w:ascii="Times New Roman" w:hAnsi="Times New Roman" w:eastAsia="宋体"/>
          <w:b w:val="0"/>
          <w:i w:val="0"/>
          <w:sz w:val="22"/>
        </w:rPr>
        <w:t>：智能电表、通信网络、智能家居控制器等。潘等（2019）研究了基于需求响应的含光伏电力系统优化及其算法改进，强调了分布式光伏系统与需求响应的协同效应</w:t>
      </w:r>
      <w:r>
        <w:rPr>
          <w:rFonts w:ascii="Times New Roman" w:hAnsi="Times New Roman" w:eastAsia="Times New Roman"/>
          <w:b w:val="0"/>
          <w:i w:val="0"/>
          <w:sz w:val="18"/>
          <w:vertAlign w:val="superscript"/>
        </w:rPr>
        <w:t>[5]</w:t>
      </w:r>
      <w:r>
        <w:rPr>
          <w:rFonts w:ascii="Times New Roman" w:hAnsi="Times New Roman" w:eastAsia="宋体"/>
          <w:b w:val="0"/>
          <w:i w:val="0"/>
          <w:sz w:val="22"/>
        </w:rPr>
        <w:t>。</w:t>
      </w:r>
    </w:p>
    <w:p>
      <w:pPr>
        <w:spacing w:line="360" w:lineRule="auto" w:after="0"/>
        <w:ind w:firstLine="425"/>
      </w:pPr>
      <w:r>
        <w:rPr>
          <w:rFonts w:ascii="Times New Roman" w:hAnsi="Times New Roman" w:eastAsia="宋体"/>
          <w:b/>
          <w:i w:val="0"/>
          <w:sz w:val="22"/>
        </w:rPr>
        <w:t>软件平台</w:t>
      </w:r>
      <w:r>
        <w:rPr>
          <w:rFonts w:ascii="Times New Roman" w:hAnsi="Times New Roman" w:eastAsia="宋体"/>
          <w:b w:val="0"/>
          <w:i w:val="0"/>
          <w:sz w:val="22"/>
        </w:rPr>
        <w:t>：能源管理系统（EMS）、需求响应管理平台、数据分析系统等。这些平台负责数据采集、信号传输、策略执行和效果评估。</w:t>
      </w:r>
    </w:p>
    <w:p>
      <w:pPr>
        <w:spacing w:line="360" w:lineRule="auto" w:after="0"/>
        <w:ind w:firstLine="425"/>
      </w:pPr>
      <w:r>
        <w:rPr>
          <w:rFonts w:ascii="Times New Roman" w:hAnsi="Times New Roman" w:eastAsia="宋体"/>
          <w:b/>
          <w:i w:val="0"/>
          <w:sz w:val="22"/>
        </w:rPr>
        <w:t>市场机制</w:t>
      </w:r>
      <w:r>
        <w:rPr>
          <w:rFonts w:ascii="Times New Roman" w:hAnsi="Times New Roman" w:eastAsia="宋体"/>
          <w:b w:val="0"/>
          <w:i w:val="0"/>
          <w:sz w:val="22"/>
        </w:rPr>
        <w:t>：合理的价格机制、激励机制和补偿机制。张芸荣等研究了考虑新能源供能波动的电力需求响应机制设计，指出合理的机制设计是需求响应成功实施的关键</w:t>
      </w:r>
      <w:r>
        <w:rPr>
          <w:rFonts w:ascii="Times New Roman" w:hAnsi="Times New Roman" w:eastAsia="Times New Roman"/>
          <w:b w:val="0"/>
          <w:i w:val="0"/>
          <w:sz w:val="18"/>
          <w:vertAlign w:val="superscript"/>
        </w:rPr>
        <w:t>[6]</w:t>
      </w:r>
      <w:r>
        <w:rPr>
          <w:rFonts w:ascii="Times New Roman" w:hAnsi="Times New Roman" w:eastAsia="宋体"/>
          <w:b w:val="0"/>
          <w:i w:val="0"/>
          <w:sz w:val="22"/>
        </w:rPr>
        <w:t>。</w:t>
      </w:r>
    </w:p>
    <w:p>
      <w:pPr>
        <w:spacing w:line="360" w:lineRule="auto" w:after="0"/>
        <w:ind w:firstLine="425"/>
      </w:pPr>
      <w:r>
        <w:rPr>
          <w:rFonts w:ascii="Times New Roman" w:hAnsi="Times New Roman" w:eastAsia="宋体"/>
          <w:b/>
          <w:i w:val="0"/>
          <w:sz w:val="22"/>
        </w:rPr>
        <w:t>用户参与意愿</w:t>
      </w:r>
      <w:r>
        <w:rPr>
          <w:rFonts w:ascii="Times New Roman" w:hAnsi="Times New Roman" w:eastAsia="宋体"/>
          <w:b w:val="0"/>
          <w:i w:val="0"/>
          <w:sz w:val="22"/>
        </w:rPr>
        <w:t>：用户对需求响应的认知和接受程度。代等（2017）研究了考虑消费者激励因素的多零售商多用户实时定价策略，强调了用户激励设计的重要性</w:t>
      </w:r>
      <w:r>
        <w:rPr>
          <w:rFonts w:ascii="Times New Roman" w:hAnsi="Times New Roman" w:eastAsia="Times New Roman"/>
          <w:b w:val="0"/>
          <w:i w:val="0"/>
          <w:sz w:val="18"/>
          <w:vertAlign w:val="superscript"/>
        </w:rPr>
        <w:t>[7]</w:t>
      </w:r>
      <w:r>
        <w:rPr>
          <w:rFonts w:ascii="Times New Roman" w:hAnsi="Times New Roman" w:eastAsia="宋体"/>
          <w:b w:val="0"/>
          <w:i w:val="0"/>
          <w:sz w:val="22"/>
        </w:rPr>
        <w:t>。</w:t>
      </w:r>
    </w:p>
    <w:p>
      <w:pPr>
        <w:pStyle w:val="Heading2"/>
        <w:spacing w:before="240" w:after="80"/>
      </w:pPr>
      <w:r>
        <w:rPr>
          <w:rFonts w:ascii="Times New Roman" w:hAnsi="Times New Roman" w:eastAsia="黑体"/>
          <w:b/>
          <w:i w:val="0"/>
          <w:sz w:val="28"/>
        </w:rPr>
        <w:t>2.2 基于价格的需求响应</w:t>
      </w:r>
    </w:p>
    <w:p>
      <w:pPr>
        <w:pStyle w:val="Heading3"/>
        <w:spacing w:before="160" w:after="60"/>
      </w:pPr>
      <w:r>
        <w:rPr>
          <w:rFonts w:ascii="Times New Roman" w:hAnsi="Times New Roman" w:eastAsia="黑体"/>
          <w:b/>
          <w:i w:val="0"/>
          <w:sz w:val="24"/>
        </w:rPr>
        <w:t>2.2.1 实时定价机制</w:t>
      </w:r>
    </w:p>
    <w:p>
      <w:pPr>
        <w:spacing w:line="360" w:lineRule="auto" w:after="0"/>
        <w:ind w:firstLine="425"/>
      </w:pPr>
      <w:r>
        <w:rPr>
          <w:rFonts w:ascii="Times New Roman" w:hAnsi="Times New Roman" w:eastAsia="宋体"/>
          <w:b w:val="0"/>
          <w:i w:val="0"/>
          <w:sz w:val="22"/>
        </w:rPr>
        <w:t>实时定价是基于价格的需求响应中最精细的形式。在RTP机制下，电价以较短的时间间隔（通常为5分钟至1小时）动态调整，反映电力系统的实时供需状况。用户通过智能电表接收实时价格信号，并根据预设的用电策略自动调整用电行为。</w:t>
      </w:r>
    </w:p>
    <w:p>
      <w:pPr>
        <w:spacing w:line="360" w:lineRule="auto" w:after="0"/>
        <w:ind w:firstLine="425"/>
      </w:pPr>
      <w:r>
        <w:rPr>
          <w:rFonts w:ascii="Times New Roman" w:hAnsi="Times New Roman" w:eastAsia="宋体"/>
          <w:b w:val="0"/>
          <w:i w:val="0"/>
          <w:sz w:val="22"/>
        </w:rPr>
        <w:t>实时定价的核心优势在于：（1）价格信号准确反映边际供电成本，实现经济效率最优；（2）动态调整频率高，能够快速响应供需变化；（3）赋予用户充分的用电选择自由度。然而，RTP也面临挑战：用户需要具备实时响应能力，价格波动可能增加用户电费不确定性，高频价格信号可能给通信系统带来压力</w:t>
      </w:r>
      <w:r>
        <w:rPr>
          <w:rFonts w:ascii="Times New Roman" w:hAnsi="Times New Roman" w:eastAsia="Times New Roman"/>
          <w:b w:val="0"/>
          <w:i w:val="0"/>
          <w:sz w:val="18"/>
          <w:vertAlign w:val="superscript"/>
        </w:rPr>
        <w:t>[8]</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2.2.2 分时定价机制</w:t>
      </w:r>
    </w:p>
    <w:p>
      <w:pPr>
        <w:spacing w:line="360" w:lineRule="auto" w:after="0"/>
        <w:ind w:firstLine="425"/>
      </w:pPr>
      <w:r>
        <w:rPr>
          <w:rFonts w:ascii="Times New Roman" w:hAnsi="Times New Roman" w:eastAsia="宋体"/>
          <w:b w:val="0"/>
          <w:i w:val="0"/>
          <w:sz w:val="22"/>
        </w:rPr>
        <w:t>分时定价是将一天划分为若干时段（如峰、平、谷），各时段采用预先设定的不同价格。TOU的价格通常按季度或年度调整，用户可以提前知晓价格安排并据此规划用电。</w:t>
      </w:r>
    </w:p>
    <w:p>
      <w:pPr>
        <w:spacing w:line="360" w:lineRule="auto" w:after="0"/>
        <w:ind w:firstLine="425"/>
      </w:pPr>
      <w:r>
        <w:rPr>
          <w:rFonts w:ascii="Times New Roman" w:hAnsi="Times New Roman" w:eastAsia="宋体"/>
          <w:b w:val="0"/>
          <w:i w:val="0"/>
          <w:sz w:val="22"/>
        </w:rPr>
        <w:t>与RTP相比，TOU的优势在于价格确定性强，用户便于规划；缺点是价格调整频率低，无法反映短期供需变化。黄海新等（2015）在实时电价研究综述中对TOU和RTP进行了系统比较，指出RTP在削峰填谷效果和市场效率方面优于TOU</w:t>
      </w:r>
      <w:r>
        <w:rPr>
          <w:rFonts w:ascii="Times New Roman" w:hAnsi="Times New Roman" w:eastAsia="Times New Roman"/>
          <w:b w:val="0"/>
          <w:i w:val="0"/>
          <w:sz w:val="18"/>
          <w:vertAlign w:val="superscript"/>
        </w:rPr>
        <w:t>[8]</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2.2.3 关键峰荷定价机制</w:t>
      </w:r>
    </w:p>
    <w:p>
      <w:pPr>
        <w:spacing w:line="360" w:lineRule="auto" w:after="0"/>
        <w:ind w:firstLine="425"/>
      </w:pPr>
      <w:r>
        <w:rPr>
          <w:rFonts w:ascii="Times New Roman" w:hAnsi="Times New Roman" w:eastAsia="宋体"/>
          <w:b w:val="0"/>
          <w:i w:val="0"/>
          <w:sz w:val="22"/>
        </w:rPr>
        <w:t>关键峰荷定价是在正常时段采用TOU或固定电价，仅在预先通知的少数关键峰荷时段（通常每年不超过50小时）采用极高价格的定价机制。CPP兼具TOU的确定性和RTP的峰荷抑制效果，在实施可行性方面具有优势。</w:t>
      </w:r>
    </w:p>
    <w:p>
      <w:pPr>
        <w:pStyle w:val="Heading3"/>
        <w:spacing w:before="160" w:after="60"/>
      </w:pPr>
      <w:r>
        <w:rPr>
          <w:rFonts w:ascii="Times New Roman" w:hAnsi="Times New Roman" w:eastAsia="黑体"/>
          <w:b/>
          <w:i w:val="0"/>
          <w:sz w:val="24"/>
        </w:rPr>
        <w:t>2.2.4 不同价格机制的定量比较</w:t>
      </w:r>
    </w:p>
    <w:p>
      <w:pPr>
        <w:spacing w:line="360" w:lineRule="auto" w:after="0"/>
        <w:ind w:firstLine="425"/>
      </w:pPr>
      <w:r>
        <w:rPr>
          <w:rFonts w:ascii="Times New Roman" w:hAnsi="Times New Roman" w:eastAsia="宋体"/>
          <w:b w:val="0"/>
          <w:i w:val="0"/>
          <w:sz w:val="22"/>
        </w:rPr>
        <w:t>李军祥等（2019）通过数值仿真对比了RTP与TOU的削峰填谷效果。研究结果表明，在相同供电条件下，RTP的峰值负荷削减率比TOU高15%-25%，社会福利提升约8%-12%</w:t>
      </w:r>
      <w:r>
        <w:rPr>
          <w:rFonts w:ascii="Times New Roman" w:hAnsi="Times New Roman" w:eastAsia="Times New Roman"/>
          <w:b w:val="0"/>
          <w:i w:val="0"/>
          <w:sz w:val="18"/>
          <w:vertAlign w:val="superscript"/>
        </w:rPr>
        <w:t>[9]</w:t>
      </w:r>
      <w:r>
        <w:rPr>
          <w:rFonts w:ascii="Times New Roman" w:hAnsi="Times New Roman" w:eastAsia="宋体"/>
          <w:b w:val="0"/>
          <w:i w:val="0"/>
          <w:sz w:val="22"/>
        </w:rPr>
        <w:t>。图1展示了RTP与TOU在价格曲线和负荷曲线方面的典型对比。</w:t>
      </w:r>
    </w:p>
    <w:p>
      <w:pPr>
        <w:spacing w:line="360" w:lineRule="auto" w:after="0"/>
        <w:ind w:firstLine="425"/>
      </w:pPr>
      <w:r>
        <w:rPr>
          <w:rFonts w:ascii="Times New Roman" w:hAnsi="Times New Roman" w:eastAsia="宋体"/>
          <w:b w:val="0"/>
          <w:i w:val="0"/>
          <w:sz w:val="22"/>
        </w:rPr>
        <w:t>张莉等（2019）研究了具有时间耦合约束的多时段实时电价问题，指出考虑时段间耦合关系的RTP能够进一步改善用电调度效果，负荷方差比独立时段RTP降低约10%</w:t>
      </w:r>
      <w:r>
        <w:rPr>
          <w:rFonts w:ascii="Times New Roman" w:hAnsi="Times New Roman" w:eastAsia="Times New Roman"/>
          <w:b w:val="0"/>
          <w:i w:val="0"/>
          <w:sz w:val="18"/>
          <w:vertAlign w:val="superscript"/>
        </w:rPr>
        <w:t>[10]</w:t>
      </w:r>
      <w:r>
        <w:rPr>
          <w:rFonts w:ascii="Times New Roman" w:hAnsi="Times New Roman" w:eastAsia="宋体"/>
          <w:b w:val="0"/>
          <w:i w:val="0"/>
          <w:sz w:val="22"/>
        </w:rPr>
        <w:t>。</w:t>
      </w:r>
    </w:p>
    <w:p>
      <w:pPr>
        <w:pStyle w:val="Heading2"/>
        <w:spacing w:before="240" w:after="80"/>
      </w:pPr>
      <w:r>
        <w:rPr>
          <w:rFonts w:ascii="Times New Roman" w:hAnsi="Times New Roman" w:eastAsia="黑体"/>
          <w:b/>
          <w:i w:val="0"/>
          <w:sz w:val="28"/>
        </w:rPr>
        <w:t>2.3 基于激励的需求响应</w:t>
      </w:r>
    </w:p>
    <w:p>
      <w:pPr>
        <w:pStyle w:val="Heading3"/>
        <w:spacing w:before="160" w:after="60"/>
      </w:pPr>
      <w:r>
        <w:rPr>
          <w:rFonts w:ascii="Times New Roman" w:hAnsi="Times New Roman" w:eastAsia="黑体"/>
          <w:b/>
          <w:i w:val="0"/>
          <w:sz w:val="24"/>
        </w:rPr>
        <w:t>2.3.1 直接负荷控制</w:t>
      </w:r>
    </w:p>
    <w:p>
      <w:pPr>
        <w:spacing w:line="360" w:lineRule="auto" w:after="0"/>
        <w:ind w:firstLine="425"/>
      </w:pPr>
      <w:r>
        <w:rPr>
          <w:rFonts w:ascii="Times New Roman" w:hAnsi="Times New Roman" w:eastAsia="宋体"/>
          <w:b w:val="0"/>
          <w:i w:val="0"/>
          <w:sz w:val="22"/>
        </w:rPr>
        <w:t>直接负荷控制（DLC）是指供电方在系统峰荷时段直接远程控制用户的部分用电设备（如空调、热水器）的启停状态。DLC的优点是响应速度快、可控性强；缺点是影响用户舒适度，需要用户事先授权。</w:t>
      </w:r>
    </w:p>
    <w:p>
      <w:pPr>
        <w:spacing w:line="360" w:lineRule="auto" w:after="0"/>
        <w:ind w:firstLine="425"/>
      </w:pPr>
      <w:r>
        <w:rPr>
          <w:rFonts w:ascii="Times New Roman" w:hAnsi="Times New Roman" w:eastAsia="宋体"/>
          <w:b w:val="0"/>
          <w:i w:val="0"/>
          <w:sz w:val="22"/>
        </w:rPr>
        <w:t>在智能电网环境下，DLC通常与RTP结合使用。当实时价格超过预设阈值时，供电方自动启动DLC程序，对签约用户的部分负荷进行控制，并向用户提供经济补偿。</w:t>
      </w:r>
    </w:p>
    <w:p>
      <w:pPr>
        <w:pStyle w:val="Heading3"/>
        <w:spacing w:before="160" w:after="60"/>
      </w:pPr>
      <w:r>
        <w:rPr>
          <w:rFonts w:ascii="Times New Roman" w:hAnsi="Times New Roman" w:eastAsia="黑体"/>
          <w:b/>
          <w:i w:val="0"/>
          <w:sz w:val="24"/>
        </w:rPr>
        <w:t>2.3.2 可中断负荷</w:t>
      </w:r>
    </w:p>
    <w:p>
      <w:pPr>
        <w:spacing w:line="360" w:lineRule="auto" w:after="0"/>
        <w:ind w:firstLine="425"/>
      </w:pPr>
      <w:r>
        <w:rPr>
          <w:rFonts w:ascii="Times New Roman" w:hAnsi="Times New Roman" w:eastAsia="宋体"/>
          <w:b w:val="0"/>
          <w:i w:val="0"/>
          <w:sz w:val="22"/>
        </w:rPr>
        <w:t>可中断负荷（IL）是指用户与供电方签订协议，同意在系统容量不足时被中断供电，以换取电价折扣或容量费用。IL适用于对供电连续性要求不高的工业用户和大型商业用户。</w:t>
      </w:r>
    </w:p>
    <w:p>
      <w:pPr>
        <w:pStyle w:val="Heading3"/>
        <w:spacing w:before="160" w:after="60"/>
      </w:pPr>
      <w:r>
        <w:rPr>
          <w:rFonts w:ascii="Times New Roman" w:hAnsi="Times New Roman" w:eastAsia="黑体"/>
          <w:b/>
          <w:i w:val="0"/>
          <w:sz w:val="24"/>
        </w:rPr>
        <w:t>2.3.3 需求侧竞价</w:t>
      </w:r>
    </w:p>
    <w:p>
      <w:pPr>
        <w:spacing w:line="360" w:lineRule="auto" w:after="0"/>
        <w:ind w:firstLine="425"/>
      </w:pPr>
      <w:r>
        <w:rPr>
          <w:rFonts w:ascii="Times New Roman" w:hAnsi="Times New Roman" w:eastAsia="宋体"/>
          <w:b w:val="0"/>
          <w:i w:val="0"/>
          <w:sz w:val="22"/>
        </w:rPr>
        <w:t>需求侧竞价（DSB）允许用户像发电商一样参与电力市场竞价，通过报量报价的方式提供负荷削减服务。DSB使需求侧资源与供给侧资源在同等地位上竞争，有助于实现市场效率最大化。</w:t>
      </w:r>
    </w:p>
    <w:p>
      <w:pPr>
        <w:pStyle w:val="Heading2"/>
        <w:spacing w:before="240" w:after="80"/>
      </w:pPr>
      <w:r>
        <w:rPr>
          <w:rFonts w:ascii="Times New Roman" w:hAnsi="Times New Roman" w:eastAsia="黑体"/>
          <w:b/>
          <w:i w:val="0"/>
          <w:sz w:val="28"/>
        </w:rPr>
        <w:t>2.4 需求响应的实施框架</w:t>
      </w:r>
    </w:p>
    <w:p>
      <w:pPr>
        <w:pStyle w:val="Heading3"/>
        <w:spacing w:before="160" w:after="60"/>
      </w:pPr>
      <w:r>
        <w:rPr>
          <w:rFonts w:ascii="Times New Roman" w:hAnsi="Times New Roman" w:eastAsia="黑体"/>
          <w:b/>
          <w:i w:val="0"/>
          <w:sz w:val="24"/>
        </w:rPr>
        <w:t>2.4.1 集中式实施框架</w:t>
      </w:r>
    </w:p>
    <w:p>
      <w:pPr>
        <w:spacing w:line="360" w:lineRule="auto" w:after="0"/>
        <w:ind w:firstLine="425"/>
      </w:pPr>
      <w:r>
        <w:rPr>
          <w:rFonts w:ascii="Times New Roman" w:hAnsi="Times New Roman" w:eastAsia="宋体"/>
          <w:b w:val="0"/>
          <w:i w:val="0"/>
          <w:sz w:val="22"/>
        </w:rPr>
        <w:t>集中式需求响应框架以控制中心为核心，由控制中心收集所有用户的用电数据、发电数据和市场信息，通过集中优化算法计算最优价格和控制策略，然后下发给用户执行。Samadi等（2010）的效用最大化算法是集中式框架的典型代表</w:t>
      </w:r>
      <w:r>
        <w:rPr>
          <w:rFonts w:ascii="Times New Roman" w:hAnsi="Times New Roman" w:eastAsia="Times New Roman"/>
          <w:b w:val="0"/>
          <w:i w:val="0"/>
          <w:sz w:val="18"/>
          <w:vertAlign w:val="superscript"/>
        </w:rPr>
        <w:t>[11]</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集中式框架的优点是能够实现全局最优；缺点是通信开销大、计算复杂度高、用户隐私保护困难，且在用户规模较大时面临可扩展性瓶颈。</w:t>
      </w:r>
    </w:p>
    <w:p>
      <w:pPr>
        <w:pStyle w:val="Heading3"/>
        <w:spacing w:before="160" w:after="60"/>
      </w:pPr>
      <w:r>
        <w:rPr>
          <w:rFonts w:ascii="Times New Roman" w:hAnsi="Times New Roman" w:eastAsia="黑体"/>
          <w:b/>
          <w:i w:val="0"/>
          <w:sz w:val="24"/>
        </w:rPr>
        <w:t>2.4.2 分布式实施框架</w:t>
      </w:r>
    </w:p>
    <w:p>
      <w:pPr>
        <w:spacing w:line="360" w:lineRule="auto" w:after="0"/>
        <w:ind w:firstLine="425"/>
      </w:pPr>
      <w:r>
        <w:rPr>
          <w:rFonts w:ascii="Times New Roman" w:hAnsi="Times New Roman" w:eastAsia="宋体"/>
          <w:b w:val="0"/>
          <w:i w:val="0"/>
          <w:sz w:val="22"/>
        </w:rPr>
        <w:t>分布式需求响应框架通过局部信息交互实现价格收敛和用电优化。在分布式框架中，每个用户根据本地信息和接收到的价格信号独立优化自身用电行为，价格通过迭代过程逐步收敛到最优值。徐伟强等（2012）提出了基于改进对偶分解的智能电网快速实时定价方法，是分布式框架的代表性工作</w:t>
      </w:r>
      <w:r>
        <w:rPr>
          <w:rFonts w:ascii="Times New Roman" w:hAnsi="Times New Roman" w:eastAsia="Times New Roman"/>
          <w:b w:val="0"/>
          <w:i w:val="0"/>
          <w:sz w:val="18"/>
          <w:vertAlign w:val="superscript"/>
        </w:rPr>
        <w:t>[12]</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分布式框架的优点是通信开销小、可扩展性好、隐私保护性强；缺点是可能收敛到局部最优，收敛速度受网络拓扑和参数设置影响。</w:t>
      </w:r>
    </w:p>
    <w:p>
      <w:pPr>
        <w:pStyle w:val="Heading3"/>
        <w:spacing w:before="160" w:after="60"/>
      </w:pPr>
      <w:r>
        <w:rPr>
          <w:rFonts w:ascii="Times New Roman" w:hAnsi="Times New Roman" w:eastAsia="黑体"/>
          <w:b/>
          <w:i w:val="0"/>
          <w:sz w:val="24"/>
        </w:rPr>
        <w:t>2.4.3 混合式实施框架</w:t>
      </w:r>
    </w:p>
    <w:p>
      <w:pPr>
        <w:spacing w:line="360" w:lineRule="auto" w:after="0"/>
        <w:ind w:firstLine="425"/>
      </w:pPr>
      <w:r>
        <w:rPr>
          <w:rFonts w:ascii="Times New Roman" w:hAnsi="Times New Roman" w:eastAsia="宋体"/>
          <w:b w:val="0"/>
          <w:i w:val="0"/>
          <w:sz w:val="22"/>
        </w:rPr>
        <w:t>混合式框架结合了集中式和分布式的优点，通常采用分层结构：上层采用集中式优化进行全局调度和定价，下层采用分布式优化进行局部用电调度。这种框架在大型电力系统中应用广泛，能够平衡全局最优性和系统可扩展性。</w:t>
      </w:r>
    </w:p>
    <w:p>
      <w:pPr>
        <w:pStyle w:val="Heading2"/>
        <w:spacing w:before="240" w:after="80"/>
      </w:pPr>
      <w:r>
        <w:rPr>
          <w:rFonts w:ascii="Times New Roman" w:hAnsi="Times New Roman" w:eastAsia="黑体"/>
          <w:b/>
          <w:i w:val="0"/>
          <w:sz w:val="28"/>
        </w:rPr>
        <w:t>2.5 需求响应的经济效益分析</w:t>
      </w:r>
    </w:p>
    <w:p>
      <w:pPr>
        <w:pStyle w:val="Heading3"/>
        <w:spacing w:before="160" w:after="60"/>
      </w:pPr>
      <w:r>
        <w:rPr>
          <w:rFonts w:ascii="Times New Roman" w:hAnsi="Times New Roman" w:eastAsia="黑体"/>
          <w:b/>
          <w:i w:val="0"/>
          <w:sz w:val="24"/>
        </w:rPr>
        <w:t>2.5.1 用户侧效益</w:t>
      </w:r>
    </w:p>
    <w:p>
      <w:pPr>
        <w:spacing w:line="360" w:lineRule="auto" w:after="0"/>
        <w:ind w:firstLine="425"/>
      </w:pPr>
      <w:r>
        <w:rPr>
          <w:rFonts w:ascii="Times New Roman" w:hAnsi="Times New Roman" w:eastAsia="宋体"/>
          <w:b w:val="0"/>
          <w:i w:val="0"/>
          <w:sz w:val="22"/>
        </w:rPr>
        <w:t>需求响应对用户的直接经济效益体现在电费节省上。通过在低价时段增加用电、高价时段减少用电，用户可以降低总电费支出。代等（2016）研究了分布式发电系统动态定价决策，结果表明用户参与需求响应后平均电费降低10%-20%</w:t>
      </w:r>
      <w:r>
        <w:rPr>
          <w:rFonts w:ascii="Times New Roman" w:hAnsi="Times New Roman" w:eastAsia="Times New Roman"/>
          <w:b w:val="0"/>
          <w:i w:val="0"/>
          <w:sz w:val="18"/>
          <w:vertAlign w:val="superscript"/>
        </w:rPr>
        <w:t>[13]</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间接效益包括用电习惯优化、能源利用效率提升和环保效益等。朱（2018）研究了考虑风险的智能电网实时电价定价策略，指出风险敏感的用户在RTP环境下能够获得更稳定的收益</w:t>
      </w:r>
      <w:r>
        <w:rPr>
          <w:rFonts w:ascii="Times New Roman" w:hAnsi="Times New Roman" w:eastAsia="Times New Roman"/>
          <w:b w:val="0"/>
          <w:i w:val="0"/>
          <w:sz w:val="18"/>
          <w:vertAlign w:val="superscript"/>
        </w:rPr>
        <w:t>[14]</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2.5.2 供电方效益</w:t>
      </w:r>
    </w:p>
    <w:p>
      <w:pPr>
        <w:spacing w:line="360" w:lineRule="auto" w:after="0"/>
        <w:ind w:firstLine="425"/>
      </w:pPr>
      <w:r>
        <w:rPr>
          <w:rFonts w:ascii="Times New Roman" w:hAnsi="Times New Roman" w:eastAsia="宋体"/>
          <w:b w:val="0"/>
          <w:i w:val="0"/>
          <w:sz w:val="22"/>
        </w:rPr>
        <w:t>对供电方而言，需求响应能够降低峰值供电压力、减少旋转备用需求、降低发电成本和购电成本。金和高（2016）研究了智能电网分段实时定价优化策略，结果表明RTP可使供电方峰值供电成本降低12%-18%</w:t>
      </w:r>
      <w:r>
        <w:rPr>
          <w:rFonts w:ascii="Times New Roman" w:hAnsi="Times New Roman" w:eastAsia="Times New Roman"/>
          <w:b w:val="0"/>
          <w:i w:val="0"/>
          <w:sz w:val="18"/>
          <w:vertAlign w:val="superscript"/>
        </w:rPr>
        <w:t>[15]</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2.5.3 系统效益</w:t>
      </w:r>
    </w:p>
    <w:p>
      <w:pPr>
        <w:spacing w:line="360" w:lineRule="auto" w:after="0"/>
        <w:ind w:firstLine="425"/>
      </w:pPr>
      <w:r>
        <w:rPr>
          <w:rFonts w:ascii="Times New Roman" w:hAnsi="Times New Roman" w:eastAsia="宋体"/>
          <w:b w:val="0"/>
          <w:i w:val="0"/>
          <w:sz w:val="22"/>
        </w:rPr>
        <w:t>从系统角度看，需求响应的效益包括：（1）提高电网运行效率和可靠性；（2）减少碳排放和环境污染；（3）促进可再生能源消纳；（4）延缓输配电设施扩建投资。Hussain等（2018）研究了促进住宅需求响应的主动弹性方法，指出有效的需求响应可使系统碳排放降低8%-15%</w:t>
      </w:r>
      <w:r>
        <w:rPr>
          <w:rFonts w:ascii="Times New Roman" w:hAnsi="Times New Roman" w:eastAsia="Times New Roman"/>
          <w:b w:val="0"/>
          <w:i w:val="0"/>
          <w:sz w:val="18"/>
          <w:vertAlign w:val="superscript"/>
        </w:rPr>
        <w:t>[16]</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2.5.4 效益分配问题</w:t>
      </w:r>
    </w:p>
    <w:p>
      <w:pPr>
        <w:spacing w:line="360" w:lineRule="auto" w:after="0"/>
        <w:ind w:firstLine="425"/>
      </w:pPr>
      <w:r>
        <w:rPr>
          <w:rFonts w:ascii="Times New Roman" w:hAnsi="Times New Roman" w:eastAsia="宋体"/>
          <w:b w:val="0"/>
          <w:i w:val="0"/>
          <w:sz w:val="22"/>
        </w:rPr>
        <w:t>在多参与者场景下，需求响应产生的效益如何在供电方、用户和系统运营商之间合理分配是一个重要问题。高岩和李军祥团队研究了效益分配问题，提出了基于博弈论的效益分配方案。李等（2022）研究了电力零售商引导下智能电网多方利益均衡策略，设计了兼顾各方利益的定价机制</w:t>
      </w:r>
      <w:r>
        <w:rPr>
          <w:rFonts w:ascii="Times New Roman" w:hAnsi="Times New Roman" w:eastAsia="Times New Roman"/>
          <w:b w:val="0"/>
          <w:i w:val="0"/>
          <w:sz w:val="18"/>
          <w:vertAlign w:val="superscript"/>
        </w:rPr>
        <w:t>[17]</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吴等（2021）研究了加密货币能源交易平台的实时竞价模型，将区块链技术引入效益分配机制，提高了分配的透明度和可信度</w:t>
      </w:r>
      <w:r>
        <w:rPr>
          <w:rFonts w:ascii="Times New Roman" w:hAnsi="Times New Roman" w:eastAsia="Times New Roman"/>
          <w:b w:val="0"/>
          <w:i w:val="0"/>
          <w:sz w:val="18"/>
          <w:vertAlign w:val="superscript"/>
        </w:rPr>
        <w:t>[18]</w:t>
      </w:r>
      <w:r>
        <w:rPr>
          <w:rFonts w:ascii="Times New Roman" w:hAnsi="Times New Roman" w:eastAsia="宋体"/>
          <w:b w:val="0"/>
          <w:i w:val="0"/>
          <w:sz w:val="22"/>
        </w:rPr>
        <w:t>。</w:t>
      </w:r>
    </w:p>
    <w:p>
      <w:pPr>
        <w:pStyle w:val="Heading2"/>
        <w:spacing w:before="240" w:after="80"/>
      </w:pPr>
      <w:r>
        <w:rPr>
          <w:rFonts w:ascii="Times New Roman" w:hAnsi="Times New Roman" w:eastAsia="黑体"/>
          <w:b/>
          <w:i w:val="0"/>
          <w:sz w:val="28"/>
        </w:rPr>
        <w:t>本章小结</w:t>
      </w:r>
    </w:p>
    <w:p>
      <w:pPr>
        <w:spacing w:line="360" w:lineRule="auto" w:after="0"/>
        <w:ind w:firstLine="425"/>
      </w:pPr>
      <w:r>
        <w:rPr>
          <w:rFonts w:ascii="Times New Roman" w:hAnsi="Times New Roman" w:eastAsia="宋体"/>
          <w:b w:val="0"/>
          <w:i w:val="0"/>
          <w:sz w:val="22"/>
        </w:rPr>
        <w:t>本章系统介绍了需求响应的基本概念、分类体系、实施框架和经济效益评估方法。需求响应是智能电网实时定价的基础，基于价格的需求响应（特别是RTP）是最精细、最高效的形式。集中式和分布式实施框架各有优劣，实际应用中常采用混合式框架。需求响应的经济效益涉及用户侧、供电方和系统三个层面，效益分配机制设计是保证各方参与积极性的关键。</w:t>
      </w:r>
    </w:p>
    <w:p>
      <w:pPr>
        <w:pStyle w:val="Heading2"/>
        <w:spacing w:before="240" w:after="80"/>
      </w:pPr>
      <w:r>
        <w:rPr>
          <w:rFonts w:ascii="Times New Roman" w:hAnsi="Times New Roman" w:eastAsia="黑体"/>
          <w:b/>
          <w:i w:val="0"/>
          <w:sz w:val="28"/>
        </w:rPr>
        <w:t>思考题</w:t>
      </w:r>
    </w:p>
    <w:p>
      <w:pPr>
        <w:pStyle w:val="ListNumber"/>
        <w:spacing w:line="360" w:lineRule="auto" w:after="0"/>
      </w:pPr>
      <w:r>
        <w:rPr>
          <w:rFonts w:ascii="Times New Roman" w:hAnsi="Times New Roman" w:eastAsia="宋体"/>
          <w:b w:val="0"/>
          <w:i w:val="0"/>
          <w:sz w:val="22"/>
        </w:rPr>
        <w:t>基于价格的需求响应与基于激励的需求响应各有什么优缺点？在实际应用中应如何选择？</w:t>
      </w:r>
    </w:p>
    <w:p>
      <w:pPr>
        <w:pStyle w:val="ListNumber"/>
        <w:spacing w:line="360" w:lineRule="auto" w:after="0"/>
      </w:pPr>
      <w:r>
        <w:rPr>
          <w:rFonts w:ascii="Times New Roman" w:hAnsi="Times New Roman" w:eastAsia="宋体"/>
          <w:b w:val="0"/>
          <w:i w:val="0"/>
          <w:sz w:val="22"/>
        </w:rPr>
        <w:t>集中式和分布式需求响应框架在通信开销、计算复杂度和隐私保护方面有何差异？</w:t>
      </w:r>
    </w:p>
    <w:p>
      <w:pPr>
        <w:pStyle w:val="ListNumber"/>
        <w:spacing w:line="360" w:lineRule="auto" w:after="0"/>
      </w:pPr>
      <w:r>
        <w:rPr>
          <w:rFonts w:ascii="Times New Roman" w:hAnsi="Times New Roman" w:eastAsia="宋体"/>
          <w:b w:val="0"/>
          <w:i w:val="0"/>
          <w:sz w:val="22"/>
        </w:rPr>
        <w:t>如何设计合理的效益分配机制以激励各方参与需求响应？</w:t>
      </w:r>
    </w:p>
    <w:p>
      <w:pPr>
        <w:pStyle w:val="ListNumber"/>
        <w:spacing w:line="360" w:lineRule="auto" w:after="0"/>
      </w:pPr>
      <w:r>
        <w:rPr>
          <w:rFonts w:ascii="Times New Roman" w:hAnsi="Times New Roman" w:eastAsia="宋体"/>
          <w:b w:val="0"/>
          <w:i w:val="0"/>
          <w:sz w:val="22"/>
        </w:rPr>
        <w:t>需求响应在促进可再生能源消纳方面发挥什么作用？</w:t>
      </w:r>
    </w:p>
    <w:p>
      <w:pPr>
        <w:pStyle w:val="ListNumber"/>
        <w:spacing w:line="360" w:lineRule="auto" w:after="0"/>
      </w:pPr>
      <w:r>
        <w:rPr>
          <w:rFonts w:ascii="Times New Roman" w:hAnsi="Times New Roman" w:eastAsia="宋体"/>
          <w:b w:val="0"/>
          <w:i w:val="0"/>
          <w:sz w:val="22"/>
        </w:rPr>
        <w:t>在中国电力市场改革的背景下，需求响应的推广面临哪些制度性障碍？</w:t>
      </w:r>
    </w:p>
    <w:p>
      <w:pPr>
        <w:pStyle w:val="Heading2"/>
        <w:spacing w:before="240" w:after="80"/>
      </w:pPr>
      <w:r>
        <w:rPr>
          <w:rFonts w:ascii="Times New Roman" w:hAnsi="Times New Roman" w:eastAsia="黑体"/>
          <w:b/>
          <w:i w:val="0"/>
          <w:sz w:val="28"/>
        </w:rPr>
        <w:t>2.6 国际比较与经验借鉴</w:t>
      </w:r>
    </w:p>
    <w:p>
      <w:pPr>
        <w:pStyle w:val="Heading3"/>
        <w:spacing w:before="160" w:after="60"/>
      </w:pPr>
      <w:r>
        <w:rPr>
          <w:rFonts w:ascii="Times New Roman" w:hAnsi="Times New Roman" w:eastAsia="黑体"/>
          <w:b/>
          <w:i w:val="0"/>
          <w:sz w:val="24"/>
        </w:rPr>
        <w:t>美国需求响应实践深度分析</w:t>
      </w:r>
    </w:p>
    <w:p>
      <w:pPr>
        <w:spacing w:line="360" w:lineRule="auto" w:after="0"/>
        <w:ind w:firstLine="425"/>
      </w:pPr>
      <w:r>
        <w:rPr>
          <w:rFonts w:ascii="Times New Roman" w:hAnsi="Times New Roman" w:eastAsia="宋体"/>
          <w:b w:val="0"/>
          <w:i w:val="0"/>
          <w:sz w:val="22"/>
        </w:rPr>
        <w:t>美国的需求响应发展经历了从行政手段到市场机制的转变过程。FERC于2008年发布的745号令要求独立系统运营商（ISO）在批发市场中对需求响应资源进行公平补偿，按LMP减去发电方参考价格进行结算。这一政策极大推动了需求响应的发展。</w:t>
      </w:r>
    </w:p>
    <w:p>
      <w:pPr>
        <w:spacing w:line="360" w:lineRule="auto" w:after="0"/>
        <w:ind w:firstLine="425"/>
      </w:pPr>
      <w:r>
        <w:rPr>
          <w:rFonts w:ascii="Times New Roman" w:hAnsi="Times New Roman" w:eastAsia="宋体"/>
          <w:b/>
          <w:i w:val="0"/>
          <w:sz w:val="22"/>
        </w:rPr>
        <w:t>PJM市场</w:t>
      </w:r>
      <w:r>
        <w:rPr>
          <w:rFonts w:ascii="Times New Roman" w:hAnsi="Times New Roman" w:eastAsia="宋体"/>
          <w:b w:val="0"/>
          <w:i w:val="0"/>
          <w:sz w:val="22"/>
        </w:rPr>
        <w:t>：PJM的Emergency DR和Economic DR是两种主要形式。Emergency DR在系统可靠性受到威胁时启动，参与者在30分钟内削减指定负荷量。Economic DR允许用户在日前和实时市场中报量报价参与竞价，2020年经济DR资源超过2000MW。</w:t>
      </w:r>
    </w:p>
    <w:p>
      <w:pPr>
        <w:spacing w:line="360" w:lineRule="auto" w:after="0"/>
        <w:ind w:firstLine="425"/>
      </w:pPr>
      <w:r>
        <w:rPr>
          <w:rFonts w:ascii="Times New Roman" w:hAnsi="Times New Roman" w:eastAsia="宋体"/>
          <w:b/>
          <w:i w:val="0"/>
          <w:sz w:val="22"/>
        </w:rPr>
        <w:t>CAISO市场</w:t>
      </w:r>
      <w:r>
        <w:rPr>
          <w:rFonts w:ascii="Times New Roman" w:hAnsi="Times New Roman" w:eastAsia="宋体"/>
          <w:b w:val="0"/>
          <w:i w:val="0"/>
          <w:sz w:val="22"/>
        </w:rPr>
        <w:t>：加州ISO的DR资源包括Reliability Demand Response Resource（RDRR）和Proxy Demand Resource（PDR）。CAISO的特点是将DR资源与可再生能源消纳紧密结合，在太阳能出力过剩的午间时段通过低电价吸引用电，在日落时段太阳能退出时通过高电价抑制需求。</w:t>
      </w:r>
    </w:p>
    <w:p>
      <w:pPr>
        <w:spacing w:line="360" w:lineRule="auto" w:after="0"/>
        <w:ind w:firstLine="425"/>
      </w:pPr>
      <w:r>
        <w:rPr>
          <w:rFonts w:ascii="Times New Roman" w:hAnsi="Times New Roman" w:eastAsia="宋体"/>
          <w:b/>
          <w:i w:val="0"/>
          <w:sz w:val="22"/>
        </w:rPr>
        <w:t>ERCOT市场</w:t>
      </w:r>
      <w:r>
        <w:rPr>
          <w:rFonts w:ascii="Times New Roman" w:hAnsi="Times New Roman" w:eastAsia="宋体"/>
          <w:b w:val="0"/>
          <w:i w:val="0"/>
          <w:sz w:val="22"/>
        </w:rPr>
        <w:t>：德克萨斯ERCOT市场在2021年冬季风暴Uri事件后进行了重大改革。事件中，由于发电机组大规模冻结和天然气供应中断，实时电价飙升至9000美元/MWh的上限并持续数天。这一事件促使ERCOT加强了需求响应机制设计，包括提高DR资源的参与门槛和改进紧急定价机制。</w:t>
      </w:r>
    </w:p>
    <w:p>
      <w:pPr>
        <w:pStyle w:val="Heading3"/>
        <w:spacing w:before="160" w:after="60"/>
      </w:pPr>
      <w:r>
        <w:rPr>
          <w:rFonts w:ascii="Times New Roman" w:hAnsi="Times New Roman" w:eastAsia="黑体"/>
          <w:b/>
          <w:i w:val="0"/>
          <w:sz w:val="24"/>
        </w:rPr>
        <w:t>欧洲需求响应实践深度分析</w:t>
      </w:r>
    </w:p>
    <w:p>
      <w:pPr>
        <w:spacing w:line="360" w:lineRule="auto" w:after="0"/>
        <w:ind w:firstLine="425"/>
      </w:pPr>
      <w:r>
        <w:rPr>
          <w:rFonts w:ascii="Times New Roman" w:hAnsi="Times New Roman" w:eastAsia="宋体"/>
          <w:b/>
          <w:i w:val="0"/>
          <w:sz w:val="22"/>
        </w:rPr>
        <w:t>英国Capacity Market</w:t>
      </w:r>
      <w:r>
        <w:rPr>
          <w:rFonts w:ascii="Times New Roman" w:hAnsi="Times New Roman" w:eastAsia="宋体"/>
          <w:b w:val="0"/>
          <w:i w:val="0"/>
          <w:sz w:val="22"/>
        </w:rPr>
        <w:t>：英国的容量市场自2014年启动，通过容量拍卖为发电商和DR提供商提供容量补偿。DR资源在容量市场中与发电资源平等竞争。2024年，DR资源在英国容量市场中占比约8%。</w:t>
      </w:r>
    </w:p>
    <w:p>
      <w:pPr>
        <w:spacing w:line="360" w:lineRule="auto" w:after="0"/>
        <w:ind w:firstLine="425"/>
      </w:pPr>
      <w:r>
        <w:rPr>
          <w:rFonts w:ascii="Times New Roman" w:hAnsi="Times New Roman" w:eastAsia="宋体"/>
          <w:b/>
          <w:i w:val="0"/>
          <w:sz w:val="22"/>
        </w:rPr>
        <w:t>法国NEBEF机制</w:t>
      </w:r>
      <w:r>
        <w:rPr>
          <w:rFonts w:ascii="Times New Roman" w:hAnsi="Times New Roman" w:eastAsia="宋体"/>
          <w:b w:val="0"/>
          <w:i w:val="0"/>
          <w:sz w:val="22"/>
        </w:rPr>
        <w:t>：法国的NEBEF（Notification d'Echange de Blocs d'Energie Futurs）机制允许需求响应运营商在EPEX Spot日前市场中交易需求响应容量。法国的需求响应特点是集中式运营——由专业的DR运营商（如Voltalis、Actility）聚合大量小型用户的可控负荷（如电热水器）参与市场。</w:t>
      </w:r>
    </w:p>
    <w:p>
      <w:pPr>
        <w:spacing w:line="360" w:lineRule="auto" w:after="0"/>
        <w:ind w:firstLine="425"/>
      </w:pPr>
      <w:r>
        <w:rPr>
          <w:rFonts w:ascii="Times New Roman" w:hAnsi="Times New Roman" w:eastAsia="宋体"/>
          <w:b/>
          <w:i w:val="0"/>
          <w:sz w:val="22"/>
        </w:rPr>
        <w:t>德国balancing market</w:t>
      </w:r>
      <w:r>
        <w:rPr>
          <w:rFonts w:ascii="Times New Roman" w:hAnsi="Times New Roman" w:eastAsia="宋体"/>
          <w:b w:val="0"/>
          <w:i w:val="0"/>
          <w:sz w:val="22"/>
        </w:rPr>
        <w:t>：德国的平衡市场分为一次调频（FCR）、二次调频（aFRR）和分钟级调频（mFRR）。DR资源可以参与这些辅助服务市场，提供快速的负荷削减能力。</w:t>
      </w:r>
    </w:p>
    <w:p>
      <w:pPr>
        <w:pStyle w:val="Heading3"/>
        <w:spacing w:before="160" w:after="60"/>
      </w:pPr>
      <w:r>
        <w:rPr>
          <w:rFonts w:ascii="Times New Roman" w:hAnsi="Times New Roman" w:eastAsia="黑体"/>
          <w:b/>
          <w:i w:val="0"/>
          <w:sz w:val="24"/>
        </w:rPr>
        <w:t>澳大利亚需求响应实践</w:t>
      </w:r>
    </w:p>
    <w:p>
      <w:pPr>
        <w:spacing w:line="360" w:lineRule="auto" w:after="0"/>
        <w:ind w:firstLine="425"/>
      </w:pPr>
      <w:r>
        <w:rPr>
          <w:rFonts w:ascii="Times New Roman" w:hAnsi="Times New Roman" w:eastAsia="宋体"/>
          <w:b w:val="0"/>
          <w:i w:val="0"/>
          <w:sz w:val="22"/>
        </w:rPr>
        <w:t>澳大利亚AEMO通过VPP（虚拟电厂）模式整合分布式能源资源参与需求响应。AEMO的Wholesale Demand Response Mechanism于2021年启动，允许DR提供商在批发市场中竞价。澳大利亚的特点是VPP模式发展迅速，将屋顶光伏、家用储能和可控负荷聚合为虚拟电厂参与市场。</w:t>
      </w:r>
    </w:p>
    <w:p>
      <w:pPr>
        <w:pStyle w:val="Heading3"/>
        <w:spacing w:before="160" w:after="60"/>
      </w:pPr>
      <w:r>
        <w:rPr>
          <w:rFonts w:ascii="Times New Roman" w:hAnsi="Times New Roman" w:eastAsia="黑体"/>
          <w:b/>
          <w:i w:val="0"/>
          <w:sz w:val="24"/>
        </w:rPr>
        <w:t>经验启示</w:t>
      </w:r>
    </w:p>
    <w:p>
      <w:pPr>
        <w:spacing w:line="360" w:lineRule="auto" w:after="0"/>
        <w:ind w:firstLine="425"/>
      </w:pPr>
      <w:r>
        <w:rPr>
          <w:rFonts w:ascii="Times New Roman" w:hAnsi="Times New Roman" w:eastAsia="宋体"/>
          <w:b w:val="0"/>
          <w:i w:val="0"/>
          <w:sz w:val="22"/>
        </w:rPr>
        <w:t>国际经验为中国的需求响应发展提供了以下启示：</w:t>
      </w:r>
    </w:p>
    <w:p>
      <w:pPr>
        <w:pStyle w:val="ListNumber"/>
        <w:spacing w:line="360" w:lineRule="auto" w:after="0"/>
      </w:pPr>
      <w:r>
        <w:rPr>
          <w:rFonts w:ascii="Times New Roman" w:hAnsi="Times New Roman" w:eastAsia="宋体"/>
          <w:b/>
          <w:i w:val="0"/>
          <w:sz w:val="22"/>
        </w:rPr>
        <w:t>市场机制是关键</w:t>
      </w:r>
      <w:r>
        <w:rPr>
          <w:rFonts w:ascii="Times New Roman" w:hAnsi="Times New Roman" w:eastAsia="宋体"/>
          <w:b w:val="0"/>
          <w:i w:val="0"/>
          <w:sz w:val="22"/>
        </w:rPr>
        <w:t>：完善的批发市场和零售市场是需求响应成功的前提。中国需要加快电力现货市场建设，为DR参与提供市场渠道。</w:t>
      </w:r>
    </w:p>
    <w:p>
      <w:pPr>
        <w:pStyle w:val="ListNumber"/>
        <w:spacing w:line="360" w:lineRule="auto" w:after="0"/>
      </w:pPr>
      <w:r>
        <w:rPr>
          <w:rFonts w:ascii="Times New Roman" w:hAnsi="Times New Roman" w:eastAsia="宋体"/>
          <w:b/>
          <w:i w:val="0"/>
          <w:sz w:val="22"/>
        </w:rPr>
        <w:t>分阶段推进</w:t>
      </w:r>
      <w:r>
        <w:rPr>
          <w:rFonts w:ascii="Times New Roman" w:hAnsi="Times New Roman" w:eastAsia="宋体"/>
          <w:b w:val="0"/>
          <w:i w:val="0"/>
          <w:sz w:val="22"/>
        </w:rPr>
        <w:t>：从大型工商业用户到中小用户，从TOU到RTP，从行政手段到市场机制，循序渐进。</w:t>
      </w:r>
    </w:p>
    <w:p>
      <w:pPr>
        <w:pStyle w:val="ListNumber"/>
        <w:spacing w:line="360" w:lineRule="auto" w:after="0"/>
      </w:pPr>
      <w:r>
        <w:rPr>
          <w:rFonts w:ascii="Times New Roman" w:hAnsi="Times New Roman" w:eastAsia="宋体"/>
          <w:b/>
          <w:i w:val="0"/>
          <w:sz w:val="22"/>
        </w:rPr>
        <w:t>风险管理工具</w:t>
      </w:r>
      <w:r>
        <w:rPr>
          <w:rFonts w:ascii="Times New Roman" w:hAnsi="Times New Roman" w:eastAsia="宋体"/>
          <w:b w:val="0"/>
          <w:i w:val="0"/>
          <w:sz w:val="22"/>
        </w:rPr>
        <w:t>：为用户提供价格上限保险、TOU对冲等风险管理工具，降低用户参与风险。</w:t>
      </w:r>
    </w:p>
    <w:p>
      <w:pPr>
        <w:pStyle w:val="ListNumber"/>
        <w:spacing w:line="360" w:lineRule="auto" w:after="0"/>
      </w:pPr>
      <w:r>
        <w:rPr>
          <w:rFonts w:ascii="Times New Roman" w:hAnsi="Times New Roman" w:eastAsia="宋体"/>
          <w:b/>
          <w:i w:val="0"/>
          <w:sz w:val="22"/>
        </w:rPr>
        <w:t>技术基础设施</w:t>
      </w:r>
      <w:r>
        <w:rPr>
          <w:rFonts w:ascii="Times New Roman" w:hAnsi="Times New Roman" w:eastAsia="宋体"/>
          <w:b w:val="0"/>
          <w:i w:val="0"/>
          <w:sz w:val="22"/>
        </w:rPr>
        <w:t>：AMI和通信网络是需求响应的技术基础，中国已具备良好的硬件基础，但软件平台和数据分析能力仍需提升。</w:t>
      </w:r>
    </w:p>
    <w:p>
      <w:pPr>
        <w:pStyle w:val="ListNumber"/>
        <w:spacing w:line="360" w:lineRule="auto" w:after="0"/>
      </w:pPr>
      <w:r>
        <w:rPr>
          <w:rFonts w:ascii="Times New Roman" w:hAnsi="Times New Roman" w:eastAsia="宋体"/>
          <w:b/>
          <w:i w:val="0"/>
          <w:sz w:val="22"/>
        </w:rPr>
        <w:t>政策法规支撑</w:t>
      </w:r>
      <w:r>
        <w:rPr>
          <w:rFonts w:ascii="Times New Roman" w:hAnsi="Times New Roman" w:eastAsia="宋体"/>
          <w:b w:val="0"/>
          <w:i w:val="0"/>
          <w:sz w:val="22"/>
        </w:rPr>
        <w:t>：明确DR资源的法律地位、参与规则和补偿机制，为DR可持续发展提供制度保障。</w:t>
      </w:r>
    </w:p>
    <w:p>
      <w:pPr>
        <w:pStyle w:val="Heading2"/>
        <w:spacing w:before="240" w:after="80"/>
      </w:pPr>
      <w:r>
        <w:rPr>
          <w:rFonts w:ascii="Times New Roman" w:hAnsi="Times New Roman" w:eastAsia="黑体"/>
          <w:b/>
          <w:i w:val="0"/>
          <w:sz w:val="28"/>
        </w:rPr>
        <w:t>2.7 实践案例深度分析</w:t>
      </w:r>
    </w:p>
    <w:p>
      <w:pPr>
        <w:pStyle w:val="Heading3"/>
        <w:spacing w:before="160" w:after="60"/>
      </w:pPr>
      <w:r>
        <w:rPr>
          <w:rFonts w:ascii="Times New Roman" w:hAnsi="Times New Roman" w:eastAsia="黑体"/>
          <w:b/>
          <w:i w:val="0"/>
          <w:sz w:val="24"/>
        </w:rPr>
        <w:t>案例1：PJM经济需求响应的运营细节</w:t>
      </w:r>
    </w:p>
    <w:p>
      <w:pPr>
        <w:spacing w:line="360" w:lineRule="auto" w:after="0"/>
        <w:ind w:firstLine="425"/>
      </w:pPr>
      <w:r>
        <w:rPr>
          <w:rFonts w:ascii="Times New Roman" w:hAnsi="Times New Roman" w:eastAsia="宋体"/>
          <w:b w:val="0"/>
          <w:i w:val="0"/>
          <w:sz w:val="22"/>
        </w:rPr>
        <w:t>PJM经济DR的运营流程包括以下环节：</w:t>
      </w:r>
    </w:p>
    <w:p>
      <w:pPr>
        <w:spacing w:line="360" w:lineRule="auto" w:after="0"/>
        <w:ind w:firstLine="425"/>
      </w:pPr>
      <w:r>
        <w:rPr>
          <w:rFonts w:ascii="Times New Roman" w:hAnsi="Times New Roman" w:eastAsia="宋体"/>
          <w:b/>
          <w:i w:val="0"/>
          <w:sz w:val="22"/>
        </w:rPr>
        <w:t>注册与资格审核</w:t>
      </w:r>
      <w:r>
        <w:rPr>
          <w:rFonts w:ascii="Times New Roman" w:hAnsi="Times New Roman" w:eastAsia="宋体"/>
          <w:b w:val="0"/>
          <w:i w:val="0"/>
          <w:sz w:val="22"/>
        </w:rPr>
        <w:t>：DR提供商需要在PJM注册，提交DR资源的容量、响应时间和可控负荷清单。PJM审核后分配容量信用。</w:t>
      </w:r>
    </w:p>
    <w:p>
      <w:pPr>
        <w:spacing w:line="360" w:lineRule="auto" w:after="0"/>
        <w:ind w:firstLine="425"/>
      </w:pPr>
      <w:r>
        <w:rPr>
          <w:rFonts w:ascii="Times New Roman" w:hAnsi="Times New Roman" w:eastAsia="宋体"/>
          <w:b/>
          <w:i w:val="0"/>
          <w:sz w:val="22"/>
        </w:rPr>
        <w:t>日前市场参与</w:t>
      </w:r>
      <w:r>
        <w:rPr>
          <w:rFonts w:ascii="Times New Roman" w:hAnsi="Times New Roman" w:eastAsia="宋体"/>
          <w:b w:val="0"/>
          <w:i w:val="0"/>
          <w:sz w:val="22"/>
        </w:rPr>
        <w:t>：DR提供商在日前市场前一天的12:00前提交竞价曲线（价格-容量对）。PJM出清后确定中标DR资源及其结算价格。</w:t>
      </w:r>
    </w:p>
    <w:p>
      <w:pPr>
        <w:spacing w:line="360" w:lineRule="auto" w:after="0"/>
        <w:ind w:firstLine="425"/>
      </w:pPr>
      <w:r>
        <w:rPr>
          <w:rFonts w:ascii="Times New Roman" w:hAnsi="Times New Roman" w:eastAsia="宋体"/>
          <w:b/>
          <w:i w:val="0"/>
          <w:sz w:val="22"/>
        </w:rPr>
        <w:t>实时市场调整</w:t>
      </w:r>
      <w:r>
        <w:rPr>
          <w:rFonts w:ascii="Times New Roman" w:hAnsi="Times New Roman" w:eastAsia="宋体"/>
          <w:b w:val="0"/>
          <w:i w:val="0"/>
          <w:sz w:val="22"/>
        </w:rPr>
        <w:t>：在实时市场中，DR资源可以根据实时价格调整出力。如果实时价格低于日前价格，DR提供商可以选择不执行日前中标的削减量，但需要按实时价格回购。</w:t>
      </w:r>
    </w:p>
    <w:p>
      <w:pPr>
        <w:spacing w:line="360" w:lineRule="auto" w:after="0"/>
        <w:ind w:firstLine="425"/>
      </w:pPr>
      <w:r>
        <w:rPr>
          <w:rFonts w:ascii="Times New Roman" w:hAnsi="Times New Roman" w:eastAsia="宋体"/>
          <w:b/>
          <w:i w:val="0"/>
          <w:sz w:val="22"/>
        </w:rPr>
        <w:t>结算与考核</w:t>
      </w:r>
      <w:r>
        <w:rPr>
          <w:rFonts w:ascii="Times New Roman" w:hAnsi="Times New Roman" w:eastAsia="宋体"/>
          <w:b w:val="0"/>
          <w:i w:val="0"/>
          <w:sz w:val="22"/>
        </w:rPr>
        <w:t>：DR执行后，PJM通过智能电表数据验证实际削减量。如果实际削减量低于承诺量，DR提供商需要支付偏差 penalty。</w:t>
      </w:r>
    </w:p>
    <w:p>
      <w:pPr>
        <w:spacing w:line="360" w:lineRule="auto" w:after="0"/>
        <w:ind w:firstLine="425"/>
      </w:pPr>
      <w:r>
        <w:rPr>
          <w:rFonts w:ascii="Times New Roman" w:hAnsi="Times New Roman" w:eastAsia="宋体"/>
          <w:b/>
          <w:i w:val="0"/>
          <w:sz w:val="22"/>
        </w:rPr>
        <w:t>效果评估</w:t>
      </w:r>
      <w:r>
        <w:rPr>
          <w:rFonts w:ascii="Times New Roman" w:hAnsi="Times New Roman" w:eastAsia="宋体"/>
          <w:b w:val="0"/>
          <w:i w:val="0"/>
          <w:sz w:val="22"/>
        </w:rPr>
        <w:t>：2020年，PJM经济DR累计执行超过5000次，为用户创造了超过5亿美元的经济价值。DR资源的平均响应时间为15-30分钟，削减精度约85%-95%。</w:t>
      </w:r>
    </w:p>
    <w:p>
      <w:pPr>
        <w:pStyle w:val="Heading3"/>
        <w:spacing w:before="160" w:after="60"/>
      </w:pPr>
      <w:r>
        <w:rPr>
          <w:rFonts w:ascii="Times New Roman" w:hAnsi="Times New Roman" w:eastAsia="黑体"/>
          <w:b/>
          <w:i w:val="0"/>
          <w:sz w:val="24"/>
        </w:rPr>
        <w:t>案例2：法国Voltalis的智能热水器聚合</w:t>
      </w:r>
    </w:p>
    <w:p>
      <w:pPr>
        <w:spacing w:line="360" w:lineRule="auto" w:after="0"/>
        <w:ind w:firstLine="425"/>
      </w:pPr>
      <w:r>
        <w:rPr>
          <w:rFonts w:ascii="Times New Roman" w:hAnsi="Times New Roman" w:eastAsia="宋体"/>
          <w:b w:val="0"/>
          <w:i w:val="0"/>
          <w:sz w:val="22"/>
        </w:rPr>
        <w:t>Voltalis是法国最大的住宅DR运营商，通过聚合超过10万台智能热水器的可控负荷参与批发市场。其运营模式包括：</w:t>
      </w:r>
    </w:p>
    <w:p>
      <w:pPr>
        <w:spacing w:line="360" w:lineRule="auto" w:after="0"/>
        <w:ind w:firstLine="425"/>
      </w:pPr>
      <w:r>
        <w:rPr>
          <w:rFonts w:ascii="Times New Roman" w:hAnsi="Times New Roman" w:eastAsia="宋体"/>
          <w:b/>
          <w:i w:val="0"/>
          <w:sz w:val="22"/>
        </w:rPr>
        <w:t>设备安装</w:t>
      </w:r>
      <w:r>
        <w:rPr>
          <w:rFonts w:ascii="Times New Roman" w:hAnsi="Times New Roman" w:eastAsia="宋体"/>
          <w:b w:val="0"/>
          <w:i w:val="0"/>
          <w:sz w:val="22"/>
        </w:rPr>
        <w:t>：Voltalis免费为用户安装智能热水器控制器，用户保留热水器的所有权和使用权。</w:t>
      </w:r>
    </w:p>
    <w:p>
      <w:pPr>
        <w:spacing w:line="360" w:lineRule="auto" w:after="0"/>
        <w:ind w:firstLine="425"/>
      </w:pPr>
      <w:r>
        <w:rPr>
          <w:rFonts w:ascii="Times New Roman" w:hAnsi="Times New Roman" w:eastAsia="宋体"/>
          <w:b/>
          <w:i w:val="0"/>
          <w:sz w:val="22"/>
        </w:rPr>
        <w:t>控制策略</w:t>
      </w:r>
      <w:r>
        <w:rPr>
          <w:rFonts w:ascii="Times New Roman" w:hAnsi="Times New Roman" w:eastAsia="宋体"/>
          <w:b w:val="0"/>
          <w:i w:val="0"/>
          <w:sz w:val="22"/>
        </w:rPr>
        <w:t>：在电价高企或系统紧张时，Voltalis通过远程控制短暂关闭部分热水器（通常5-15分钟），用户几乎不会感知到温度变化。</w:t>
      </w:r>
    </w:p>
    <w:p>
      <w:pPr>
        <w:spacing w:line="360" w:lineRule="auto" w:after="0"/>
        <w:ind w:firstLine="425"/>
      </w:pPr>
      <w:r>
        <w:rPr>
          <w:rFonts w:ascii="Times New Roman" w:hAnsi="Times New Roman" w:eastAsia="宋体"/>
          <w:b/>
          <w:i w:val="0"/>
          <w:sz w:val="22"/>
        </w:rPr>
        <w:t>市场参与</w:t>
      </w:r>
      <w:r>
        <w:rPr>
          <w:rFonts w:ascii="Times New Roman" w:hAnsi="Times New Roman" w:eastAsia="宋体"/>
          <w:b w:val="0"/>
          <w:i w:val="0"/>
          <w:sz w:val="22"/>
        </w:rPr>
        <w:t>：Voltalis将聚合后的可控容量在EPEX Spot日前市场中交易，获得的收益与用户分享。</w:t>
      </w:r>
    </w:p>
    <w:p>
      <w:pPr>
        <w:spacing w:line="360" w:lineRule="auto" w:after="0"/>
        <w:ind w:firstLine="425"/>
      </w:pPr>
      <w:r>
        <w:rPr>
          <w:rFonts w:ascii="Times New Roman" w:hAnsi="Times New Roman" w:eastAsia="宋体"/>
          <w:b/>
          <w:i w:val="0"/>
          <w:sz w:val="22"/>
        </w:rPr>
        <w:t>效果</w:t>
      </w:r>
      <w:r>
        <w:rPr>
          <w:rFonts w:ascii="Times New Roman" w:hAnsi="Times New Roman" w:eastAsia="宋体"/>
          <w:b w:val="0"/>
          <w:i w:val="0"/>
          <w:sz w:val="22"/>
        </w:rPr>
        <w:t>：截至2024年，Voltalis聚合的可控负荷超过200MW，每年为法国电力系统节省约5000万欧元的发电成本，减少碳排放约15万吨。</w:t>
      </w:r>
    </w:p>
    <w:p>
      <w:pPr>
        <w:pStyle w:val="Heading3"/>
        <w:spacing w:before="160" w:after="60"/>
      </w:pPr>
      <w:r>
        <w:rPr>
          <w:rFonts w:ascii="Times New Roman" w:hAnsi="Times New Roman" w:eastAsia="黑体"/>
          <w:b/>
          <w:i w:val="0"/>
          <w:sz w:val="24"/>
        </w:rPr>
        <w:t>案例3：中国深圳需求响应市场化探索</w:t>
      </w:r>
    </w:p>
    <w:p>
      <w:pPr>
        <w:spacing w:line="360" w:lineRule="auto" w:after="0"/>
        <w:ind w:firstLine="425"/>
      </w:pPr>
      <w:r>
        <w:rPr>
          <w:rFonts w:ascii="Times New Roman" w:hAnsi="Times New Roman" w:eastAsia="宋体"/>
          <w:b w:val="0"/>
          <w:i w:val="0"/>
          <w:sz w:val="22"/>
        </w:rPr>
        <w:t>深圳市自2018年起探索需求响应的市场化机制：</w:t>
      </w:r>
    </w:p>
    <w:p>
      <w:pPr>
        <w:spacing w:line="360" w:lineRule="auto" w:after="0"/>
        <w:ind w:firstLine="425"/>
      </w:pPr>
      <w:r>
        <w:rPr>
          <w:rFonts w:ascii="Times New Roman" w:hAnsi="Times New Roman" w:eastAsia="宋体"/>
          <w:b/>
          <w:i w:val="0"/>
          <w:sz w:val="22"/>
        </w:rPr>
        <w:t>市场化竞价</w:t>
      </w:r>
      <w:r>
        <w:rPr>
          <w:rFonts w:ascii="Times New Roman" w:hAnsi="Times New Roman" w:eastAsia="宋体"/>
          <w:b w:val="0"/>
          <w:i w:val="0"/>
          <w:sz w:val="22"/>
        </w:rPr>
        <w:t>：采用"用户竞价+市场化补偿"模式，用户自主申报削减容量和期望价格，电网公司按边际价格出清。</w:t>
      </w:r>
    </w:p>
    <w:p>
      <w:pPr>
        <w:spacing w:line="360" w:lineRule="auto" w:after="0"/>
        <w:ind w:firstLine="425"/>
      </w:pPr>
      <w:r>
        <w:rPr>
          <w:rFonts w:ascii="Times New Roman" w:hAnsi="Times New Roman" w:eastAsia="宋体"/>
          <w:b/>
          <w:i w:val="0"/>
          <w:sz w:val="22"/>
        </w:rPr>
        <w:t>分层分类</w:t>
      </w:r>
      <w:r>
        <w:rPr>
          <w:rFonts w:ascii="Times New Roman" w:hAnsi="Times New Roman" w:eastAsia="宋体"/>
          <w:b w:val="0"/>
          <w:i w:val="0"/>
          <w:sz w:val="22"/>
        </w:rPr>
        <w:t>：将用户分为工业、商业、居民三类，分别设计响应时间和补偿标准。工业用户响应时间30分钟，商业用户1小时，居民用户4小时。</w:t>
      </w:r>
    </w:p>
    <w:p>
      <w:pPr>
        <w:spacing w:line="360" w:lineRule="auto" w:after="0"/>
        <w:ind w:firstLine="425"/>
      </w:pPr>
      <w:r>
        <w:rPr>
          <w:rFonts w:ascii="Times New Roman" w:hAnsi="Times New Roman" w:eastAsia="宋体"/>
          <w:b/>
          <w:i w:val="0"/>
          <w:sz w:val="22"/>
        </w:rPr>
        <w:t>效果</w:t>
      </w:r>
      <w:r>
        <w:rPr>
          <w:rFonts w:ascii="Times New Roman" w:hAnsi="Times New Roman" w:eastAsia="宋体"/>
          <w:b w:val="0"/>
          <w:i w:val="0"/>
          <w:sz w:val="22"/>
        </w:rPr>
        <w:t>：2018-2023年，深圳需求响应累计削减峰值负荷超过800MW，用户获得补偿超过3亿元。市场化竞价使补偿成本比行政定价降低约20%。</w:t>
      </w:r>
    </w:p>
    <w:p>
      <w:pPr>
        <w:spacing w:line="360" w:lineRule="auto" w:after="0"/>
        <w:ind w:firstLine="425"/>
      </w:pPr>
      <w:r>
        <w:rPr>
          <w:rFonts w:ascii="Times New Roman" w:hAnsi="Times New Roman" w:eastAsia="宋体"/>
          <w:b/>
          <w:i w:val="0"/>
          <w:sz w:val="22"/>
        </w:rPr>
        <w:t>挑战</w:t>
      </w:r>
      <w:r>
        <w:rPr>
          <w:rFonts w:ascii="Times New Roman" w:hAnsi="Times New Roman" w:eastAsia="宋体"/>
          <w:b w:val="0"/>
          <w:i w:val="0"/>
          <w:sz w:val="22"/>
        </w:rPr>
        <w:t>：主要挑战包括用户参与意愿不足（需要前期培训和市场教育）、需求响应资源的不确定性（实际削减量受用户行为影响）、与现货市场的衔接机制有待完善。</w:t>
      </w:r>
    </w:p>
    <w:p>
      <w:pPr>
        <w:pStyle w:val="Heading2"/>
        <w:spacing w:before="240" w:after="80"/>
      </w:pPr>
      <w:r>
        <w:rPr>
          <w:rFonts w:ascii="Times New Roman" w:hAnsi="Times New Roman" w:eastAsia="黑体"/>
          <w:b/>
          <w:i w:val="0"/>
          <w:sz w:val="28"/>
        </w:rPr>
        <w:t>2.8 理论深化与前沿探讨</w:t>
      </w:r>
    </w:p>
    <w:p>
      <w:pPr>
        <w:pStyle w:val="Heading3"/>
        <w:spacing w:before="160" w:after="60"/>
      </w:pPr>
      <w:r>
        <w:rPr>
          <w:rFonts w:ascii="Times New Roman" w:hAnsi="Times New Roman" w:eastAsia="黑体"/>
          <w:b/>
          <w:i w:val="0"/>
          <w:sz w:val="24"/>
        </w:rPr>
        <w:t>需求响应中的不确定性建模</w:t>
      </w:r>
    </w:p>
    <w:p>
      <w:pPr>
        <w:spacing w:line="360" w:lineRule="auto" w:after="0"/>
        <w:ind w:firstLine="425"/>
      </w:pPr>
      <w:r>
        <w:rPr>
          <w:rFonts w:ascii="Times New Roman" w:hAnsi="Times New Roman" w:eastAsia="宋体"/>
          <w:b w:val="0"/>
          <w:i w:val="0"/>
          <w:sz w:val="22"/>
        </w:rPr>
        <w:t>需求响应的核心挑战之一是用户响应的不确定性。用户对价格信号的响应受多种因素影响，包括天气、作息、设备可用性和个人偏好。这种不确定性使得DR资源的可靠性低于传统发电资源。</w:t>
      </w:r>
    </w:p>
    <w:p>
      <w:pPr>
        <w:spacing w:line="360" w:lineRule="auto" w:after="0"/>
        <w:ind w:firstLine="425"/>
      </w:pPr>
      <w:r>
        <w:rPr>
          <w:rFonts w:ascii="Times New Roman" w:hAnsi="Times New Roman" w:eastAsia="宋体"/>
          <w:b/>
          <w:i w:val="0"/>
          <w:sz w:val="22"/>
        </w:rPr>
        <w:t>概率模型</w:t>
      </w:r>
      <w:r>
        <w:rPr>
          <w:rFonts w:ascii="Times New Roman" w:hAnsi="Times New Roman" w:eastAsia="宋体"/>
          <w:b w:val="0"/>
          <w:i w:val="0"/>
          <w:sz w:val="22"/>
        </w:rPr>
        <w:t>：用概率分布描述用户响应的不确定性。正态分布适用于短期预测误差，Beta分布适用于风电和光伏出力建模，Weibull分布适用于风速建模。Vardakas等（2015）对需求响应中的定价方法和优化算法进行了系统综述，指出概率模型是处理不确定性的主流方法。</w:t>
      </w:r>
    </w:p>
    <w:p>
      <w:pPr>
        <w:spacing w:line="360" w:lineRule="auto" w:after="0"/>
        <w:ind w:firstLine="425"/>
      </w:pPr>
      <w:r>
        <w:rPr>
          <w:rFonts w:ascii="Times New Roman" w:hAnsi="Times New Roman" w:eastAsia="宋体"/>
          <w:b/>
          <w:i w:val="0"/>
          <w:sz w:val="22"/>
        </w:rPr>
        <w:t>鲁棒优化</w:t>
      </w:r>
      <w:r>
        <w:rPr>
          <w:rFonts w:ascii="Times New Roman" w:hAnsi="Times New Roman" w:eastAsia="宋体"/>
          <w:b w:val="0"/>
          <w:i w:val="0"/>
          <w:sz w:val="22"/>
        </w:rPr>
        <w:t>：不依赖概率分布假设，在不确定性集合内寻找最坏情况下的最优解。适用于概率分布难以估计的场景。</w:t>
      </w:r>
    </w:p>
    <w:p>
      <w:pPr>
        <w:spacing w:line="360" w:lineRule="auto" w:after="0"/>
        <w:ind w:firstLine="425"/>
      </w:pPr>
      <w:r>
        <w:rPr>
          <w:rFonts w:ascii="Times New Roman" w:hAnsi="Times New Roman" w:eastAsia="宋体"/>
          <w:b/>
          <w:i w:val="0"/>
          <w:sz w:val="22"/>
        </w:rPr>
        <w:t>随机规划</w:t>
      </w:r>
      <w:r>
        <w:rPr>
          <w:rFonts w:ascii="Times New Roman" w:hAnsi="Times New Roman" w:eastAsia="宋体"/>
          <w:b w:val="0"/>
          <w:i w:val="0"/>
          <w:sz w:val="22"/>
        </w:rPr>
        <w:t>：通过场景法生成大量不确定性场景，在每个场景下求解优化问题，然后聚合得到期望最优解。适用于概率分布已知的场景。</w:t>
      </w:r>
    </w:p>
    <w:p>
      <w:pPr>
        <w:pStyle w:val="Heading3"/>
        <w:spacing w:before="160" w:after="60"/>
      </w:pPr>
      <w:r>
        <w:rPr>
          <w:rFonts w:ascii="Times New Roman" w:hAnsi="Times New Roman" w:eastAsia="黑体"/>
          <w:b/>
          <w:i w:val="0"/>
          <w:sz w:val="24"/>
        </w:rPr>
        <w:t>需求响应与可再生能源协同</w:t>
      </w:r>
    </w:p>
    <w:p>
      <w:pPr>
        <w:spacing w:line="360" w:lineRule="auto" w:after="0"/>
        <w:ind w:firstLine="425"/>
      </w:pPr>
      <w:r>
        <w:rPr>
          <w:rFonts w:ascii="Times New Roman" w:hAnsi="Times New Roman" w:eastAsia="宋体"/>
          <w:b w:val="0"/>
          <w:i w:val="0"/>
          <w:sz w:val="22"/>
        </w:rPr>
        <w:t>需求响应与可再生能源消纳的协同是智能电网的核心应用场景：</w:t>
      </w:r>
    </w:p>
    <w:p>
      <w:pPr>
        <w:spacing w:line="360" w:lineRule="auto" w:after="0"/>
        <w:ind w:firstLine="425"/>
      </w:pPr>
      <w:r>
        <w:rPr>
          <w:rFonts w:ascii="Times New Roman" w:hAnsi="Times New Roman" w:eastAsia="宋体"/>
          <w:b/>
          <w:i w:val="0"/>
          <w:sz w:val="22"/>
        </w:rPr>
        <w:t>时间匹配</w:t>
      </w:r>
      <w:r>
        <w:rPr>
          <w:rFonts w:ascii="Times New Roman" w:hAnsi="Times New Roman" w:eastAsia="宋体"/>
          <w:b w:val="0"/>
          <w:i w:val="0"/>
          <w:sz w:val="22"/>
        </w:rPr>
        <w:t>：通过RTP引导用户在可再生能源出力充足时增加用电，在出力不足时减少用电。Assad等（2022）对智能电网中的计算方法进行了批判性综述，强调了DR与可再生能源协同的重要性。</w:t>
      </w:r>
    </w:p>
    <w:p>
      <w:pPr>
        <w:spacing w:line="360" w:lineRule="auto" w:after="0"/>
        <w:ind w:firstLine="425"/>
      </w:pPr>
      <w:r>
        <w:rPr>
          <w:rFonts w:ascii="Times New Roman" w:hAnsi="Times New Roman" w:eastAsia="宋体"/>
          <w:b/>
          <w:i w:val="0"/>
          <w:sz w:val="22"/>
        </w:rPr>
        <w:t>空间匹配</w:t>
      </w:r>
      <w:r>
        <w:rPr>
          <w:rFonts w:ascii="Times New Roman" w:hAnsi="Times New Roman" w:eastAsia="宋体"/>
          <w:b w:val="0"/>
          <w:i w:val="0"/>
          <w:sz w:val="22"/>
        </w:rPr>
        <w:t>：通过节点电价反映不同区域的可再生能源出力差异，引导负荷从出力不足区域向出力充足区域转移（如果可行）。</w:t>
      </w:r>
    </w:p>
    <w:p>
      <w:pPr>
        <w:spacing w:line="360" w:lineRule="auto" w:after="0"/>
        <w:ind w:firstLine="425"/>
      </w:pPr>
      <w:r>
        <w:rPr>
          <w:rFonts w:ascii="Times New Roman" w:hAnsi="Times New Roman" w:eastAsia="宋体"/>
          <w:b/>
          <w:i w:val="0"/>
          <w:sz w:val="22"/>
        </w:rPr>
        <w:t>跨能源匹配</w:t>
      </w:r>
      <w:r>
        <w:rPr>
          <w:rFonts w:ascii="Times New Roman" w:hAnsi="Times New Roman" w:eastAsia="宋体"/>
          <w:b w:val="0"/>
          <w:i w:val="0"/>
          <w:sz w:val="22"/>
        </w:rPr>
        <w:t>：通过电-气-热耦合系统，将过剩的可再生电力转化为其他能源形式存储，在需要时释放。</w:t>
      </w:r>
    </w:p>
    <w:p>
      <w:pPr>
        <w:pStyle w:val="Heading3"/>
        <w:spacing w:before="160" w:after="60"/>
      </w:pPr>
      <w:r>
        <w:rPr>
          <w:rFonts w:ascii="Times New Roman" w:hAnsi="Times New Roman" w:eastAsia="黑体"/>
          <w:b/>
          <w:i w:val="0"/>
          <w:sz w:val="24"/>
        </w:rPr>
        <w:t>需求响应中的用户行为建模</w:t>
      </w:r>
    </w:p>
    <w:p>
      <w:pPr>
        <w:spacing w:line="360" w:lineRule="auto" w:after="0"/>
        <w:ind w:firstLine="425"/>
      </w:pPr>
      <w:r>
        <w:rPr>
          <w:rFonts w:ascii="Times New Roman" w:hAnsi="Times New Roman" w:eastAsia="宋体"/>
          <w:b w:val="0"/>
          <w:i w:val="0"/>
          <w:sz w:val="22"/>
        </w:rPr>
        <w:t>用户行为建模是需求响应研究的前沿方向：</w:t>
      </w:r>
    </w:p>
    <w:p>
      <w:pPr>
        <w:spacing w:line="360" w:lineRule="auto" w:after="0"/>
        <w:ind w:firstLine="425"/>
      </w:pPr>
      <w:r>
        <w:rPr>
          <w:rFonts w:ascii="Times New Roman" w:hAnsi="Times New Roman" w:eastAsia="宋体"/>
          <w:b/>
          <w:i w:val="0"/>
          <w:sz w:val="22"/>
        </w:rPr>
        <w:t>理性选择模型</w:t>
      </w:r>
      <w:r>
        <w:rPr>
          <w:rFonts w:ascii="Times New Roman" w:hAnsi="Times New Roman" w:eastAsia="宋体"/>
          <w:b w:val="0"/>
          <w:i w:val="0"/>
          <w:sz w:val="22"/>
        </w:rPr>
        <w:t>：假设用户完全理性，通过效用最大化做出用电决策。这是传统RTP研究的基础假设。</w:t>
      </w:r>
    </w:p>
    <w:p>
      <w:pPr>
        <w:spacing w:line="360" w:lineRule="auto" w:after="0"/>
        <w:ind w:firstLine="425"/>
      </w:pPr>
      <w:r>
        <w:rPr>
          <w:rFonts w:ascii="Times New Roman" w:hAnsi="Times New Roman" w:eastAsia="宋体"/>
          <w:b/>
          <w:i w:val="0"/>
          <w:sz w:val="22"/>
        </w:rPr>
        <w:t>有限理性模型</w:t>
      </w:r>
      <w:r>
        <w:rPr>
          <w:rFonts w:ascii="Times New Roman" w:hAnsi="Times New Roman" w:eastAsia="宋体"/>
          <w:b w:val="0"/>
          <w:i w:val="0"/>
          <w:sz w:val="22"/>
        </w:rPr>
        <w:t>：考虑用户的认知偏差和信息处理限制。例如，用户可能无法实时关注电价变化，或对价格变化的敏感度不对称。</w:t>
      </w:r>
    </w:p>
    <w:p>
      <w:pPr>
        <w:spacing w:line="360" w:lineRule="auto" w:after="0"/>
        <w:ind w:firstLine="425"/>
      </w:pPr>
      <w:r>
        <w:rPr>
          <w:rFonts w:ascii="Times New Roman" w:hAnsi="Times New Roman" w:eastAsia="宋体"/>
          <w:b/>
          <w:i w:val="0"/>
          <w:sz w:val="22"/>
        </w:rPr>
        <w:t>社会学习模型</w:t>
      </w:r>
      <w:r>
        <w:rPr>
          <w:rFonts w:ascii="Times New Roman" w:hAnsi="Times New Roman" w:eastAsia="宋体"/>
          <w:b w:val="0"/>
          <w:i w:val="0"/>
          <w:sz w:val="22"/>
        </w:rPr>
        <w:t>：用户通过观察邻居的用电行为和电费支出来调整自身策略。社交网络和社区比较可以增强DR的参与度。</w:t>
      </w:r>
    </w:p>
    <w:p>
      <w:pPr>
        <w:spacing w:line="360" w:lineRule="auto" w:after="0"/>
        <w:ind w:firstLine="425"/>
      </w:pPr>
      <w:r>
        <w:rPr>
          <w:rFonts w:ascii="Times New Roman" w:hAnsi="Times New Roman" w:eastAsia="宋体"/>
          <w:b/>
          <w:i w:val="0"/>
          <w:sz w:val="22"/>
        </w:rPr>
        <w:t>机器学习模型</w:t>
      </w:r>
      <w:r>
        <w:rPr>
          <w:rFonts w:ascii="Times New Roman" w:hAnsi="Times New Roman" w:eastAsia="宋体"/>
          <w:b w:val="0"/>
          <w:i w:val="0"/>
          <w:sz w:val="22"/>
        </w:rPr>
        <w:t>：利用历史用电数据训练机器学习模型，预测用户对不同价格信号的响应。Prabadevi等（2021）对智能电网中的深度学习和需求响应进行了全面综述。</w:t>
      </w:r>
    </w:p>
    <w:p>
      <w:pPr>
        <w:pStyle w:val="Heading3"/>
        <w:spacing w:before="160" w:after="60"/>
      </w:pPr>
      <w:r>
        <w:rPr>
          <w:rFonts w:ascii="Times New Roman" w:hAnsi="Times New Roman" w:eastAsia="黑体"/>
          <w:b/>
          <w:i w:val="0"/>
          <w:sz w:val="24"/>
        </w:rPr>
        <w:t>需求响应的公平性分析</w:t>
      </w:r>
    </w:p>
    <w:p>
      <w:pPr>
        <w:spacing w:line="360" w:lineRule="auto" w:after="0"/>
        <w:ind w:firstLine="425"/>
      </w:pPr>
      <w:r>
        <w:rPr>
          <w:rFonts w:ascii="Times New Roman" w:hAnsi="Times New Roman" w:eastAsia="宋体"/>
          <w:b w:val="0"/>
          <w:i w:val="0"/>
          <w:sz w:val="22"/>
        </w:rPr>
        <w:t>需求响应的公平性是一个重要但常被忽视的问题：</w:t>
      </w:r>
    </w:p>
    <w:p>
      <w:pPr>
        <w:spacing w:line="360" w:lineRule="auto" w:after="0"/>
        <w:ind w:firstLine="425"/>
      </w:pPr>
      <w:r>
        <w:rPr>
          <w:rFonts w:ascii="Times New Roman" w:hAnsi="Times New Roman" w:eastAsia="宋体"/>
          <w:b/>
          <w:i w:val="0"/>
          <w:sz w:val="22"/>
        </w:rPr>
        <w:t>分配公平</w:t>
      </w:r>
      <w:r>
        <w:rPr>
          <w:rFonts w:ascii="Times New Roman" w:hAnsi="Times New Roman" w:eastAsia="宋体"/>
          <w:b w:val="0"/>
          <w:i w:val="0"/>
          <w:sz w:val="22"/>
        </w:rPr>
        <w:t>：RTP可能使低收入家庭电费增加，因为这些用户的用电弹性较低、缺乏智能设备。需要设计补贴机制保障弱势群体的利益。</w:t>
      </w:r>
    </w:p>
    <w:p>
      <w:pPr>
        <w:spacing w:line="360" w:lineRule="auto" w:after="0"/>
        <w:ind w:firstLine="425"/>
      </w:pPr>
      <w:r>
        <w:rPr>
          <w:rFonts w:ascii="Times New Roman" w:hAnsi="Times New Roman" w:eastAsia="宋体"/>
          <w:b/>
          <w:i w:val="0"/>
          <w:sz w:val="22"/>
        </w:rPr>
        <w:t>参与公平</w:t>
      </w:r>
      <w:r>
        <w:rPr>
          <w:rFonts w:ascii="Times New Roman" w:hAnsi="Times New Roman" w:eastAsia="宋体"/>
          <w:b w:val="0"/>
          <w:i w:val="0"/>
          <w:sz w:val="22"/>
        </w:rPr>
        <w:t>：大型工商业用户通常比小型居民用户更容易参与DR，因为前者拥有专业的能源管理团队和自动化设备。需要降低小型用户的参与门槛。</w:t>
      </w:r>
    </w:p>
    <w:p>
      <w:pPr>
        <w:spacing w:line="360" w:lineRule="auto" w:after="0"/>
        <w:ind w:firstLine="425"/>
      </w:pPr>
      <w:r>
        <w:rPr>
          <w:rFonts w:ascii="Times New Roman" w:hAnsi="Times New Roman" w:eastAsia="宋体"/>
          <w:b/>
          <w:i w:val="0"/>
          <w:sz w:val="22"/>
        </w:rPr>
        <w:t>补偿公平</w:t>
      </w:r>
      <w:r>
        <w:rPr>
          <w:rFonts w:ascii="Times New Roman" w:hAnsi="Times New Roman" w:eastAsia="宋体"/>
          <w:b w:val="0"/>
          <w:i w:val="0"/>
          <w:sz w:val="22"/>
        </w:rPr>
        <w:t>：DR资源的补偿应反映其提供的系统价值，但不能过度补偿导致市场扭曲。FERC 745号令的补偿标准（按LMP补偿）一直存在争议。</w:t>
      </w:r>
    </w:p>
    <w:p>
      <w:pPr>
        <w:pStyle w:val="Heading3"/>
        <w:spacing w:before="160" w:after="60"/>
      </w:pPr>
      <w:r>
        <w:rPr>
          <w:rFonts w:ascii="Times New Roman" w:hAnsi="Times New Roman" w:eastAsia="黑体"/>
          <w:b/>
          <w:i w:val="0"/>
          <w:sz w:val="24"/>
        </w:rPr>
        <w:t>需求响应的环境效益量化</w:t>
      </w:r>
    </w:p>
    <w:p>
      <w:pPr>
        <w:spacing w:line="360" w:lineRule="auto" w:after="0"/>
        <w:ind w:firstLine="425"/>
      </w:pPr>
      <w:r>
        <w:rPr>
          <w:rFonts w:ascii="Times New Roman" w:hAnsi="Times New Roman" w:eastAsia="宋体"/>
          <w:b w:val="0"/>
          <w:i w:val="0"/>
          <w:sz w:val="22"/>
        </w:rPr>
        <w:t>需求响应的环境效益包括：</w:t>
      </w:r>
    </w:p>
    <w:p>
      <w:pPr>
        <w:spacing w:line="360" w:lineRule="auto" w:after="0"/>
        <w:ind w:firstLine="425"/>
      </w:pPr>
      <w:r>
        <w:rPr>
          <w:rFonts w:ascii="Times New Roman" w:hAnsi="Times New Roman" w:eastAsia="宋体"/>
          <w:b/>
          <w:i w:val="0"/>
          <w:sz w:val="22"/>
        </w:rPr>
        <w:t>碳排放减少</w:t>
      </w:r>
      <w:r>
        <w:rPr>
          <w:rFonts w:ascii="Times New Roman" w:hAnsi="Times New Roman" w:eastAsia="宋体"/>
          <w:b w:val="0"/>
          <w:i w:val="0"/>
          <w:sz w:val="22"/>
        </w:rPr>
        <w:t>：通过削峰减少高碳机组的发电量。Iqbal等（2021）对住宅需求侧管理策略进行了全面综述，指出DR可使系统碳排放降低8%-15%。</w:t>
      </w:r>
    </w:p>
    <w:p>
      <w:pPr>
        <w:spacing w:line="360" w:lineRule="auto" w:after="0"/>
        <w:ind w:firstLine="425"/>
      </w:pPr>
      <w:r>
        <w:rPr>
          <w:rFonts w:ascii="Times New Roman" w:hAnsi="Times New Roman" w:eastAsia="宋体"/>
          <w:b/>
          <w:i w:val="0"/>
          <w:sz w:val="22"/>
        </w:rPr>
        <w:t>可再生能源消纳增加</w:t>
      </w:r>
      <w:r>
        <w:rPr>
          <w:rFonts w:ascii="Times New Roman" w:hAnsi="Times New Roman" w:eastAsia="宋体"/>
          <w:b w:val="0"/>
          <w:i w:val="0"/>
          <w:sz w:val="22"/>
        </w:rPr>
        <w:t>：通过RTP引导用户在可再生能源出力充足时增加用电，减少弃风弃光。</w:t>
      </w:r>
    </w:p>
    <w:p>
      <w:pPr>
        <w:spacing w:line="360" w:lineRule="auto" w:after="0"/>
        <w:ind w:firstLine="425"/>
      </w:pPr>
      <w:r>
        <w:rPr>
          <w:rFonts w:ascii="Times New Roman" w:hAnsi="Times New Roman" w:eastAsia="宋体"/>
          <w:b/>
          <w:i w:val="0"/>
          <w:sz w:val="22"/>
        </w:rPr>
        <w:t>空气污染物减少</w:t>
      </w:r>
      <w:r>
        <w:rPr>
          <w:rFonts w:ascii="Times New Roman" w:hAnsi="Times New Roman" w:eastAsia="宋体"/>
          <w:b w:val="0"/>
          <w:i w:val="0"/>
          <w:sz w:val="22"/>
        </w:rPr>
        <w:t>：减少化石能源发电带来的SO2、NOx等污染物排放。</w:t>
      </w:r>
    </w:p>
    <w:p>
      <w:pPr>
        <w:spacing w:line="360" w:lineRule="auto" w:after="0"/>
        <w:ind w:firstLine="425"/>
      </w:pPr>
      <w:r>
        <w:rPr>
          <w:rFonts w:ascii="Times New Roman" w:hAnsi="Times New Roman" w:eastAsia="宋体"/>
          <w:b w:val="0"/>
          <w:i w:val="0"/>
          <w:sz w:val="22"/>
        </w:rPr>
        <w:t>量化方法包括边际排放因子法、生命周期分析法和系统仿真法。边际排放因子法通过计算DR削减的边际机组排放量来评估环境效益，是最常用的方法。</w:t>
      </w:r>
    </w:p>
    <w:p>
      <w:pPr>
        <w:pStyle w:val="Heading2"/>
        <w:spacing w:before="240" w:after="80"/>
      </w:pPr>
      <w:r>
        <w:rPr>
          <w:rFonts w:ascii="Times New Roman" w:hAnsi="Times New Roman" w:eastAsia="黑体"/>
          <w:b/>
          <w:i w:val="0"/>
          <w:sz w:val="28"/>
        </w:rPr>
        <w:t>2.9 需求响应的理论深化</w:t>
      </w:r>
    </w:p>
    <w:p>
      <w:pPr>
        <w:pStyle w:val="Heading3"/>
        <w:spacing w:before="160" w:after="60"/>
      </w:pPr>
      <w:r>
        <w:rPr>
          <w:rFonts w:ascii="Times New Roman" w:hAnsi="Times New Roman" w:eastAsia="黑体"/>
          <w:b/>
          <w:i w:val="0"/>
          <w:sz w:val="24"/>
        </w:rPr>
        <w:t>需求响应的微观经济学基础</w:t>
      </w:r>
    </w:p>
    <w:p>
      <w:pPr>
        <w:spacing w:line="360" w:lineRule="auto" w:after="0"/>
        <w:ind w:firstLine="425"/>
      </w:pPr>
      <w:r>
        <w:rPr>
          <w:rFonts w:ascii="Times New Roman" w:hAnsi="Times New Roman" w:eastAsia="宋体"/>
          <w:b w:val="0"/>
          <w:i w:val="0"/>
          <w:sz w:val="22"/>
        </w:rPr>
        <w:t>需求响应的微观经济学基础可以追溯到Marshall的供需均衡理论。在完全竞争市场中，均衡价格由供给曲线和需求曲线的交点决定。实时定价的本质是让零售电价反映批发市场的均衡价格，使用户的用电决策基于真实的社会边际成本。</w:t>
      </w:r>
    </w:p>
    <w:p>
      <w:pPr>
        <w:spacing w:line="360" w:lineRule="auto" w:after="0"/>
        <w:ind w:firstLine="425"/>
      </w:pPr>
      <w:r>
        <w:rPr>
          <w:rFonts w:ascii="Times New Roman" w:hAnsi="Times New Roman" w:eastAsia="宋体"/>
          <w:b/>
          <w:i w:val="0"/>
          <w:sz w:val="22"/>
        </w:rPr>
        <w:t>消费者剩余与生产者剩余</w:t>
      </w:r>
      <w:r>
        <w:rPr>
          <w:rFonts w:ascii="Times New Roman" w:hAnsi="Times New Roman" w:eastAsia="宋体"/>
          <w:b w:val="0"/>
          <w:i w:val="0"/>
          <w:sz w:val="22"/>
        </w:rPr>
        <w:t>：在RTP下，消费者剩余等于用户效用减去电费支出，生产者剩余等于电费收入减去供电成本。社会福利最大化等价于消费者剩余与生产者剩余之和最大化。</w:t>
      </w:r>
    </w:p>
    <w:p>
      <w:pPr>
        <w:spacing w:line="360" w:lineRule="auto" w:after="0"/>
        <w:ind w:firstLine="425"/>
      </w:pPr>
      <w:r>
        <w:rPr>
          <w:rFonts w:ascii="Times New Roman" w:hAnsi="Times New Roman" w:eastAsia="宋体"/>
          <w:b/>
          <w:i w:val="0"/>
          <w:sz w:val="22"/>
        </w:rPr>
        <w:t xml:space="preserve"> deadweight loss分析</w:t>
      </w:r>
      <w:r>
        <w:rPr>
          <w:rFonts w:ascii="Times New Roman" w:hAnsi="Times New Roman" w:eastAsia="宋体"/>
          <w:b w:val="0"/>
          <w:i w:val="0"/>
          <w:sz w:val="22"/>
        </w:rPr>
        <w:t>：在固定电价或TOU下，由于价格偏离边际成本，存在社会福利损失（deadweight loss）。RTP消除了这种损失，实现了帕累托效率。理论估算表明，从固定电价转向RTP的社会福利增量约为总电费的5%-15%。</w:t>
      </w:r>
    </w:p>
    <w:p>
      <w:pPr>
        <w:pStyle w:val="Heading3"/>
        <w:spacing w:before="160" w:after="60"/>
      </w:pPr>
      <w:r>
        <w:rPr>
          <w:rFonts w:ascii="Times New Roman" w:hAnsi="Times New Roman" w:eastAsia="黑体"/>
          <w:b/>
          <w:i w:val="0"/>
          <w:sz w:val="24"/>
        </w:rPr>
        <w:t>需求响应的分类理论深化</w:t>
      </w:r>
    </w:p>
    <w:p>
      <w:pPr>
        <w:spacing w:line="360" w:lineRule="auto" w:after="0"/>
        <w:ind w:firstLine="425"/>
      </w:pPr>
      <w:r>
        <w:rPr>
          <w:rFonts w:ascii="Times New Roman" w:hAnsi="Times New Roman" w:eastAsia="宋体"/>
          <w:b w:val="0"/>
          <w:i w:val="0"/>
          <w:sz w:val="22"/>
        </w:rPr>
        <w:t>Vardakas等（2015）对智能电网中的需求响应程序进行了系统综述，提出了更细致的分类框架：</w:t>
      </w:r>
    </w:p>
    <w:p>
      <w:pPr>
        <w:spacing w:line="360" w:lineRule="auto" w:after="0"/>
        <w:ind w:firstLine="425"/>
      </w:pPr>
      <w:r>
        <w:rPr>
          <w:rFonts w:ascii="Times New Roman" w:hAnsi="Times New Roman" w:eastAsia="宋体"/>
          <w:b/>
          <w:i w:val="0"/>
          <w:sz w:val="22"/>
        </w:rPr>
        <w:t>基于价格的DR细分</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纯RTP：价格完全反映实时供需，无任何价格保证</w:t>
      </w:r>
    </w:p>
    <w:p>
      <w:pPr>
        <w:pStyle w:val="ListBullet"/>
        <w:spacing w:line="360" w:lineRule="auto" w:after="0"/>
      </w:pPr>
      <w:r>
        <w:rPr>
          <w:rFonts w:ascii="Times New Roman" w:hAnsi="Times New Roman" w:eastAsia="宋体"/>
          <w:b w:val="0"/>
          <w:i w:val="0"/>
          <w:sz w:val="22"/>
        </w:rPr>
        <w:t>RTP with caps：RTP但设有价格上限</w:t>
      </w:r>
    </w:p>
    <w:p>
      <w:pPr>
        <w:pStyle w:val="ListBullet"/>
        <w:spacing w:line="360" w:lineRule="auto" w:after="0"/>
      </w:pPr>
      <w:r>
        <w:rPr>
          <w:rFonts w:ascii="Times New Roman" w:hAnsi="Times New Roman" w:eastAsia="宋体"/>
          <w:b w:val="0"/>
          <w:i w:val="0"/>
          <w:sz w:val="22"/>
        </w:rPr>
        <w:t>TOU-plus-RTP：基础TOU加上实时调整</w:t>
      </w:r>
    </w:p>
    <w:p>
      <w:pPr>
        <w:pStyle w:val="ListBullet"/>
        <w:spacing w:line="360" w:lineRule="auto" w:after="0"/>
      </w:pPr>
      <w:r>
        <w:rPr>
          <w:rFonts w:ascii="Times New Roman" w:hAnsi="Times New Roman" w:eastAsia="宋体"/>
          <w:b w:val="0"/>
          <w:i w:val="0"/>
          <w:sz w:val="22"/>
        </w:rPr>
        <w:t>Index-based pricing：价格与指数（如天然气价格）挂钩</w:t>
      </w:r>
    </w:p>
    <w:p>
      <w:pPr>
        <w:spacing w:line="360" w:lineRule="auto" w:after="0"/>
        <w:ind w:firstLine="425"/>
      </w:pPr>
      <w:r>
        <w:rPr>
          <w:rFonts w:ascii="Times New Roman" w:hAnsi="Times New Roman" w:eastAsia="宋体"/>
          <w:b/>
          <w:i w:val="0"/>
          <w:sz w:val="22"/>
        </w:rPr>
        <w:t>基于激励的DR细分</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容量型DR：承诺提供一定容量的负荷削减</w:t>
      </w:r>
    </w:p>
    <w:p>
      <w:pPr>
        <w:pStyle w:val="ListBullet"/>
        <w:spacing w:line="360" w:lineRule="auto" w:after="0"/>
      </w:pPr>
      <w:r>
        <w:rPr>
          <w:rFonts w:ascii="Times New Roman" w:hAnsi="Times New Roman" w:eastAsia="宋体"/>
          <w:b w:val="0"/>
          <w:i w:val="0"/>
          <w:sz w:val="22"/>
        </w:rPr>
        <w:t>能量型DR：按实际削减的电量结算</w:t>
      </w:r>
    </w:p>
    <w:p>
      <w:pPr>
        <w:pStyle w:val="ListBullet"/>
        <w:spacing w:line="360" w:lineRule="auto" w:after="0"/>
      </w:pPr>
      <w:r>
        <w:rPr>
          <w:rFonts w:ascii="Times New Roman" w:hAnsi="Times New Roman" w:eastAsia="宋体"/>
          <w:b w:val="0"/>
          <w:i w:val="0"/>
          <w:sz w:val="22"/>
        </w:rPr>
        <w:t>调频型DR：提供快速的负荷增减能力</w:t>
      </w:r>
    </w:p>
    <w:p>
      <w:pPr>
        <w:pStyle w:val="Heading3"/>
        <w:spacing w:before="160" w:after="60"/>
      </w:pPr>
      <w:r>
        <w:rPr>
          <w:rFonts w:ascii="Times New Roman" w:hAnsi="Times New Roman" w:eastAsia="黑体"/>
          <w:b/>
          <w:i w:val="0"/>
          <w:sz w:val="24"/>
        </w:rPr>
        <w:t>需求响应中的博弈论分析</w:t>
      </w:r>
    </w:p>
    <w:p>
      <w:pPr>
        <w:spacing w:line="360" w:lineRule="auto" w:after="0"/>
        <w:ind w:firstLine="425"/>
      </w:pPr>
      <w:r>
        <w:rPr>
          <w:rFonts w:ascii="Times New Roman" w:hAnsi="Times New Roman" w:eastAsia="宋体"/>
          <w:b w:val="0"/>
          <w:i w:val="0"/>
          <w:sz w:val="22"/>
        </w:rPr>
        <w:t>需求响应中的参与者之间存在复杂的策略互动，博弈论为分析这些互动提供了工具：</w:t>
      </w:r>
    </w:p>
    <w:p>
      <w:pPr>
        <w:spacing w:line="360" w:lineRule="auto" w:after="0"/>
        <w:ind w:firstLine="425"/>
      </w:pPr>
      <w:r>
        <w:rPr>
          <w:rFonts w:ascii="Times New Roman" w:hAnsi="Times New Roman" w:eastAsia="宋体"/>
          <w:b/>
          <w:i w:val="0"/>
          <w:sz w:val="22"/>
        </w:rPr>
        <w:t>供电方-用户博弈</w:t>
      </w:r>
      <w:r>
        <w:rPr>
          <w:rFonts w:ascii="Times New Roman" w:hAnsi="Times New Roman" w:eastAsia="宋体"/>
          <w:b w:val="0"/>
          <w:i w:val="0"/>
          <w:sz w:val="22"/>
        </w:rPr>
        <w:t>：供电方设定电价，用户决定用电量。这是一个Stackelberg博弈，供电方是领导者，用户是跟随者。</w:t>
      </w:r>
    </w:p>
    <w:p>
      <w:pPr>
        <w:spacing w:line="360" w:lineRule="auto" w:after="0"/>
        <w:ind w:firstLine="425"/>
      </w:pPr>
      <w:r>
        <w:rPr>
          <w:rFonts w:ascii="Times New Roman" w:hAnsi="Times New Roman" w:eastAsia="宋体"/>
          <w:b/>
          <w:i w:val="0"/>
          <w:sz w:val="22"/>
        </w:rPr>
        <w:t>用户间博弈</w:t>
      </w:r>
      <w:r>
        <w:rPr>
          <w:rFonts w:ascii="Times New Roman" w:hAnsi="Times New Roman" w:eastAsia="宋体"/>
          <w:b w:val="0"/>
          <w:i w:val="0"/>
          <w:sz w:val="22"/>
        </w:rPr>
        <w:t>：当供电能力有限时，用户之间存在资源竞争。非合作博弈分析表明，个体理性可能导致"公地悲剧"——所有用户都试图最大化自身效用，导致总用电量超过系统最优。</w:t>
      </w:r>
    </w:p>
    <w:p>
      <w:pPr>
        <w:spacing w:line="360" w:lineRule="auto" w:after="0"/>
        <w:ind w:firstLine="425"/>
      </w:pPr>
      <w:r>
        <w:rPr>
          <w:rFonts w:ascii="Times New Roman" w:hAnsi="Times New Roman" w:eastAsia="宋体"/>
          <w:b/>
          <w:i w:val="0"/>
          <w:sz w:val="22"/>
        </w:rPr>
        <w:t>多零售商博弈</w:t>
      </w:r>
      <w:r>
        <w:rPr>
          <w:rFonts w:ascii="Times New Roman" w:hAnsi="Times New Roman" w:eastAsia="宋体"/>
          <w:b w:val="0"/>
          <w:i w:val="0"/>
          <w:sz w:val="22"/>
        </w:rPr>
        <w:t>：多个零售商之间的价格竞争影响DR的参与度和效果。代业明和高岩（2014）的多零售商Stackelberg博弈模型分析了这一场景</w:t>
      </w:r>
      <w:r>
        <w:rPr>
          <w:rFonts w:ascii="Times New Roman" w:hAnsi="Times New Roman" w:eastAsia="Times New Roman"/>
          <w:b w:val="0"/>
          <w:i w:val="0"/>
          <w:sz w:val="18"/>
          <w:vertAlign w:val="superscript"/>
        </w:rPr>
        <w:t>[14]</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需求响应的环境效益量化方法</w:t>
      </w:r>
    </w:p>
    <w:p>
      <w:pPr>
        <w:spacing w:line="360" w:lineRule="auto" w:after="0"/>
        <w:ind w:firstLine="425"/>
      </w:pPr>
      <w:r>
        <w:rPr>
          <w:rFonts w:ascii="Times New Roman" w:hAnsi="Times New Roman" w:eastAsia="宋体"/>
          <w:b/>
          <w:i w:val="0"/>
          <w:sz w:val="22"/>
        </w:rPr>
        <w:t>边际排放因子法</w:t>
      </w:r>
      <w:r>
        <w:rPr>
          <w:rFonts w:ascii="Times New Roman" w:hAnsi="Times New Roman" w:eastAsia="宋体"/>
          <w:b w:val="0"/>
          <w:i w:val="0"/>
          <w:sz w:val="22"/>
        </w:rPr>
        <w:t>：计算DR削减的边际机组排放量。在峰荷时段，边际机组通常是高碳的燃煤或燃气机组，因此DR的碳减排效益显著。</w:t>
      </w:r>
    </w:p>
    <w:p>
      <w:pPr>
        <w:spacing w:line="360" w:lineRule="auto" w:after="0"/>
        <w:ind w:firstLine="425"/>
      </w:pPr>
      <w:r>
        <w:rPr>
          <w:rFonts w:ascii="Times New Roman" w:hAnsi="Times New Roman" w:eastAsia="宋体"/>
          <w:b/>
          <w:i w:val="0"/>
          <w:sz w:val="22"/>
        </w:rPr>
        <w:t>系统仿真法</w:t>
      </w:r>
      <w:r>
        <w:rPr>
          <w:rFonts w:ascii="Times New Roman" w:hAnsi="Times New Roman" w:eastAsia="宋体"/>
          <w:b w:val="0"/>
          <w:i w:val="0"/>
          <w:sz w:val="22"/>
        </w:rPr>
        <w:t>：通过电力系统生产成本仿真，比较有无DR场景下的系统总排放量。这种方法更全面但计算量大。</w:t>
      </w:r>
    </w:p>
    <w:p>
      <w:pPr>
        <w:spacing w:line="360" w:lineRule="auto" w:after="0"/>
        <w:ind w:firstLine="425"/>
      </w:pPr>
      <w:r>
        <w:rPr>
          <w:rFonts w:ascii="Times New Roman" w:hAnsi="Times New Roman" w:eastAsia="宋体"/>
          <w:b/>
          <w:i w:val="0"/>
          <w:sz w:val="22"/>
        </w:rPr>
        <w:t>生命周期分析</w:t>
      </w:r>
      <w:r>
        <w:rPr>
          <w:rFonts w:ascii="Times New Roman" w:hAnsi="Times New Roman" w:eastAsia="宋体"/>
          <w:b w:val="0"/>
          <w:i w:val="0"/>
          <w:sz w:val="22"/>
        </w:rPr>
        <w:t>：考虑DR设备和通信系统的全生命周期排放。这种方法适用于评估DR项目的净环境效益。</w:t>
      </w:r>
    </w:p>
    <w:p>
      <w:pPr>
        <w:spacing w:line="360" w:lineRule="auto" w:after="0"/>
        <w:ind w:firstLine="425"/>
      </w:pPr>
      <w:r>
        <w:rPr>
          <w:rFonts w:ascii="Times New Roman" w:hAnsi="Times New Roman" w:eastAsia="宋体"/>
          <w:b/>
          <w:i w:val="0"/>
          <w:sz w:val="22"/>
        </w:rPr>
        <w:t>不确定性处理</w:t>
      </w:r>
      <w:r>
        <w:rPr>
          <w:rFonts w:ascii="Times New Roman" w:hAnsi="Times New Roman" w:eastAsia="宋体"/>
          <w:b w:val="0"/>
          <w:i w:val="0"/>
          <w:sz w:val="22"/>
        </w:rPr>
        <w:t>：边际机组的类型和排放因子存在不确定性。概率方法和鲁棒方法可以处理这种不确定性。</w:t>
      </w:r>
    </w:p>
    <w:p>
      <w:pPr>
        <w:pStyle w:val="Heading3"/>
        <w:spacing w:before="160" w:after="60"/>
      </w:pPr>
      <w:r>
        <w:rPr>
          <w:rFonts w:ascii="Times New Roman" w:hAnsi="Times New Roman" w:eastAsia="黑体"/>
          <w:b/>
          <w:i w:val="0"/>
          <w:sz w:val="24"/>
        </w:rPr>
        <w:t>需求响应的市场参与模式</w:t>
      </w:r>
    </w:p>
    <w:p>
      <w:pPr>
        <w:spacing w:line="360" w:lineRule="auto" w:after="0"/>
        <w:ind w:firstLine="425"/>
      </w:pPr>
      <w:r>
        <w:rPr>
          <w:rFonts w:ascii="Times New Roman" w:hAnsi="Times New Roman" w:eastAsia="宋体"/>
          <w:b w:val="0"/>
          <w:i w:val="0"/>
          <w:sz w:val="22"/>
        </w:rPr>
        <w:t>DR资源参与电力市场交易有多种模式：</w:t>
      </w:r>
    </w:p>
    <w:p>
      <w:pPr>
        <w:spacing w:line="360" w:lineRule="auto" w:after="0"/>
        <w:ind w:firstLine="425"/>
      </w:pPr>
      <w:r>
        <w:rPr>
          <w:rFonts w:ascii="Times New Roman" w:hAnsi="Times New Roman" w:eastAsia="宋体"/>
          <w:b/>
          <w:i w:val="0"/>
          <w:sz w:val="22"/>
        </w:rPr>
        <w:t>零售商代理模式</w:t>
      </w:r>
      <w:r>
        <w:rPr>
          <w:rFonts w:ascii="Times New Roman" w:hAnsi="Times New Roman" w:eastAsia="宋体"/>
          <w:b w:val="0"/>
          <w:i w:val="0"/>
          <w:sz w:val="22"/>
        </w:rPr>
        <w:t>：DR资源通过零售商参与批发市场，零售商负责DR资源的调度和结算。这是目前最主流的模式。</w:t>
      </w:r>
    </w:p>
    <w:p>
      <w:pPr>
        <w:spacing w:line="360" w:lineRule="auto" w:after="0"/>
        <w:ind w:firstLine="425"/>
      </w:pPr>
      <w:r>
        <w:rPr>
          <w:rFonts w:ascii="Times New Roman" w:hAnsi="Times New Roman" w:eastAsia="宋体"/>
          <w:b/>
          <w:i w:val="0"/>
          <w:sz w:val="22"/>
        </w:rPr>
        <w:t>聚合商模式</w:t>
      </w:r>
      <w:r>
        <w:rPr>
          <w:rFonts w:ascii="Times New Roman" w:hAnsi="Times New Roman" w:eastAsia="宋体"/>
          <w:b w:val="0"/>
          <w:i w:val="0"/>
          <w:sz w:val="22"/>
        </w:rPr>
        <w:t>：独立的DR聚合商（如Voltalis、 EnerNOC）聚合多个用户的DR资源参与市场。聚合商提供专业的DR管理和优化服务。</w:t>
      </w:r>
    </w:p>
    <w:p>
      <w:pPr>
        <w:spacing w:line="360" w:lineRule="auto" w:after="0"/>
        <w:ind w:firstLine="425"/>
      </w:pPr>
      <w:r>
        <w:rPr>
          <w:rFonts w:ascii="Times New Roman" w:hAnsi="Times New Roman" w:eastAsia="宋体"/>
          <w:b/>
          <w:i w:val="0"/>
          <w:sz w:val="22"/>
        </w:rPr>
        <w:t>直接参与模式</w:t>
      </w:r>
      <w:r>
        <w:rPr>
          <w:rFonts w:ascii="Times New Roman" w:hAnsi="Times New Roman" w:eastAsia="宋体"/>
          <w:b w:val="0"/>
          <w:i w:val="0"/>
          <w:sz w:val="22"/>
        </w:rPr>
        <w:t>：大型DR资源（如工业用户）直接在批发市场中报量报价。这种模式要求参与者具备市场交易能力和技术条件。</w:t>
      </w:r>
    </w:p>
    <w:p>
      <w:pPr>
        <w:spacing w:line="360" w:lineRule="auto" w:after="0"/>
        <w:ind w:firstLine="425"/>
      </w:pPr>
      <w:r>
        <w:rPr>
          <w:rFonts w:ascii="Times New Roman" w:hAnsi="Times New Roman" w:eastAsia="宋体"/>
          <w:b/>
          <w:i w:val="0"/>
          <w:sz w:val="22"/>
        </w:rPr>
        <w:t>VPP模式</w:t>
      </w:r>
      <w:r>
        <w:rPr>
          <w:rFonts w:ascii="Times New Roman" w:hAnsi="Times New Roman" w:eastAsia="宋体"/>
          <w:b w:val="0"/>
          <w:i w:val="0"/>
          <w:sz w:val="22"/>
        </w:rPr>
        <w:t>：虚拟电厂将分布式DR资源（包括负荷削减和分布式发电）聚合为一个"虚拟发电厂"参与市场。VPP模式是未来发展的重点方向。</w:t>
      </w:r>
    </w:p>
    <w:p>
      <w:pPr>
        <w:pStyle w:val="Heading2"/>
        <w:spacing w:before="240" w:after="80"/>
      </w:pPr>
      <w:r>
        <w:rPr>
          <w:rFonts w:ascii="Times New Roman" w:hAnsi="Times New Roman" w:eastAsia="黑体"/>
          <w:b/>
          <w:i w:val="0"/>
          <w:sz w:val="28"/>
        </w:rPr>
        <w:t>2.10 需求响应的技术实现</w:t>
      </w:r>
    </w:p>
    <w:p>
      <w:pPr>
        <w:pStyle w:val="Heading3"/>
        <w:spacing w:before="160" w:after="60"/>
      </w:pPr>
      <w:r>
        <w:rPr>
          <w:rFonts w:ascii="Times New Roman" w:hAnsi="Times New Roman" w:eastAsia="黑体"/>
          <w:b/>
          <w:i w:val="0"/>
          <w:sz w:val="24"/>
        </w:rPr>
        <w:t>自动需求响应（Auto-DR）</w:t>
      </w:r>
    </w:p>
    <w:p>
      <w:pPr>
        <w:spacing w:line="360" w:lineRule="auto" w:after="0"/>
        <w:ind w:firstLine="425"/>
      </w:pPr>
      <w:r>
        <w:rPr>
          <w:rFonts w:ascii="Times New Roman" w:hAnsi="Times New Roman" w:eastAsia="宋体"/>
          <w:b w:val="0"/>
          <w:i w:val="0"/>
          <w:sz w:val="22"/>
        </w:rPr>
        <w:t>自动需求响应（Automated Demand Response, Auto-DR）通过标准化通信协议实现DR信号的自动接收和执行，无需人工干预：</w:t>
      </w:r>
    </w:p>
    <w:p>
      <w:pPr>
        <w:spacing w:line="360" w:lineRule="auto" w:after="0"/>
        <w:ind w:firstLine="425"/>
      </w:pPr>
      <w:r>
        <w:rPr>
          <w:rFonts w:ascii="Times New Roman" w:hAnsi="Times New Roman" w:eastAsia="宋体"/>
          <w:b/>
          <w:i w:val="0"/>
          <w:sz w:val="22"/>
        </w:rPr>
        <w:t>OpenADR标准</w:t>
      </w:r>
      <w:r>
        <w:rPr>
          <w:rFonts w:ascii="Times New Roman" w:hAnsi="Times New Roman" w:eastAsia="宋体"/>
          <w:b w:val="0"/>
          <w:i w:val="0"/>
          <w:sz w:val="22"/>
        </w:rPr>
        <w:t>：OpenADR 2.0定义了DR信号的标准格式（如价格信号、事件信号）和传输协议。支持XML和JSON格式，可通过HTTP或XMPP传输。</w:t>
      </w:r>
    </w:p>
    <w:p>
      <w:pPr>
        <w:spacing w:line="360" w:lineRule="auto" w:after="0"/>
        <w:ind w:firstLine="425"/>
      </w:pPr>
      <w:r>
        <w:rPr>
          <w:rFonts w:ascii="Times New Roman" w:hAnsi="Times New Roman" w:eastAsia="宋体"/>
          <w:b/>
          <w:i w:val="0"/>
          <w:sz w:val="22"/>
        </w:rPr>
        <w:t>通信架构</w:t>
      </w:r>
      <w:r>
        <w:rPr>
          <w:rFonts w:ascii="Times New Roman" w:hAnsi="Times New Roman" w:eastAsia="宋体"/>
          <w:b w:val="0"/>
          <w:i w:val="0"/>
          <w:sz w:val="22"/>
        </w:rPr>
        <w:t>：DR服务器发送信号→DR客户端（智能电表/EMS）接收信号→执行设备（智能开关、HVAC控制器）执行控制指令。整个过程自动化，延迟通常&lt;30秒。</w:t>
      </w:r>
    </w:p>
    <w:p>
      <w:pPr>
        <w:spacing w:line="360" w:lineRule="auto" w:after="0"/>
        <w:ind w:firstLine="425"/>
      </w:pPr>
      <w:r>
        <w:rPr>
          <w:rFonts w:ascii="Times New Roman" w:hAnsi="Times New Roman" w:eastAsia="宋体"/>
          <w:b/>
          <w:i w:val="0"/>
          <w:sz w:val="22"/>
        </w:rPr>
        <w:t>响应类型</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即时响应：&lt;5秒内开始削减（如频率调节）</w:t>
      </w:r>
    </w:p>
    <w:p>
      <w:pPr>
        <w:pStyle w:val="ListBullet"/>
        <w:spacing w:line="360" w:lineRule="auto" w:after="0"/>
      </w:pPr>
      <w:r>
        <w:rPr>
          <w:rFonts w:ascii="Times New Roman" w:hAnsi="Times New Roman" w:eastAsia="宋体"/>
          <w:b w:val="0"/>
          <w:i w:val="0"/>
          <w:sz w:val="22"/>
        </w:rPr>
        <w:t>快速响应：&lt;10分钟内达到目标削减量（如旋转备用）</w:t>
      </w:r>
    </w:p>
    <w:p>
      <w:pPr>
        <w:pStyle w:val="ListBullet"/>
        <w:spacing w:line="360" w:lineRule="auto" w:after="0"/>
      </w:pPr>
      <w:r>
        <w:rPr>
          <w:rFonts w:ascii="Times New Roman" w:hAnsi="Times New Roman" w:eastAsia="宋体"/>
          <w:b w:val="0"/>
          <w:i w:val="0"/>
          <w:sz w:val="22"/>
        </w:rPr>
        <w:t>常规响应：30分钟-2小时达到目标（如经济DR）</w:t>
      </w:r>
    </w:p>
    <w:p>
      <w:pPr>
        <w:pStyle w:val="Heading3"/>
        <w:spacing w:before="160" w:after="60"/>
      </w:pPr>
      <w:r>
        <w:rPr>
          <w:rFonts w:ascii="Times New Roman" w:hAnsi="Times New Roman" w:eastAsia="黑体"/>
          <w:b/>
          <w:i w:val="0"/>
          <w:sz w:val="24"/>
        </w:rPr>
        <w:t>智能家居与DR</w:t>
      </w:r>
    </w:p>
    <w:p>
      <w:pPr>
        <w:spacing w:line="360" w:lineRule="auto" w:after="0"/>
        <w:ind w:firstLine="425"/>
      </w:pPr>
      <w:r>
        <w:rPr>
          <w:rFonts w:ascii="Times New Roman" w:hAnsi="Times New Roman" w:eastAsia="宋体"/>
          <w:b w:val="0"/>
          <w:i w:val="0"/>
          <w:sz w:val="22"/>
        </w:rPr>
        <w:t>智能家居系统是实现住宅用户自动DR的关键技术：</w:t>
      </w:r>
    </w:p>
    <w:p>
      <w:pPr>
        <w:spacing w:line="360" w:lineRule="auto" w:after="0"/>
        <w:ind w:firstLine="425"/>
      </w:pPr>
      <w:r>
        <w:rPr>
          <w:rFonts w:ascii="Times New Roman" w:hAnsi="Times New Roman" w:eastAsia="宋体"/>
          <w:b/>
          <w:i w:val="0"/>
          <w:sz w:val="22"/>
        </w:rPr>
        <w:t>HEMS架构</w:t>
      </w:r>
      <w:r>
        <w:rPr>
          <w:rFonts w:ascii="Times New Roman" w:hAnsi="Times New Roman" w:eastAsia="宋体"/>
          <w:b w:val="0"/>
          <w:i w:val="0"/>
          <w:sz w:val="22"/>
        </w:rPr>
        <w:t>：家庭能源管理系统（HEMS）由智能电表、智能插座、智能温控器和能源管理APP组成。HEMS接收价格信号，自动控制家电运行。</w:t>
      </w:r>
    </w:p>
    <w:p>
      <w:pPr>
        <w:spacing w:line="360" w:lineRule="auto" w:after="0"/>
        <w:ind w:firstLine="425"/>
      </w:pPr>
      <w:r>
        <w:rPr>
          <w:rFonts w:ascii="Times New Roman" w:hAnsi="Times New Roman" w:eastAsia="宋体"/>
          <w:b/>
          <w:i w:val="0"/>
          <w:sz w:val="22"/>
        </w:rPr>
        <w:t>家电控制策略</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空调：在低价时段预冷/预热，在高价时段调高/调低设定温度</w:t>
      </w:r>
    </w:p>
    <w:p>
      <w:pPr>
        <w:pStyle w:val="ListBullet"/>
        <w:spacing w:line="360" w:lineRule="auto" w:after="0"/>
      </w:pPr>
      <w:r>
        <w:rPr>
          <w:rFonts w:ascii="Times New Roman" w:hAnsi="Times New Roman" w:eastAsia="宋体"/>
          <w:b w:val="0"/>
          <w:i w:val="0"/>
          <w:sz w:val="22"/>
        </w:rPr>
        <w:t>热水器：在低价时段加热储水，在高价时段停止加热</w:t>
      </w:r>
    </w:p>
    <w:p>
      <w:pPr>
        <w:pStyle w:val="ListBullet"/>
        <w:spacing w:line="360" w:lineRule="auto" w:after="0"/>
      </w:pPr>
      <w:r>
        <w:rPr>
          <w:rFonts w:ascii="Times New Roman" w:hAnsi="Times New Roman" w:eastAsia="宋体"/>
          <w:b w:val="0"/>
          <w:i w:val="0"/>
          <w:sz w:val="22"/>
        </w:rPr>
        <w:t>洗衣机/洗碗机：延迟到低价时段运行</w:t>
      </w:r>
    </w:p>
    <w:p>
      <w:pPr>
        <w:pStyle w:val="ListBullet"/>
        <w:spacing w:line="360" w:lineRule="auto" w:after="0"/>
      </w:pPr>
      <w:r>
        <w:rPr>
          <w:rFonts w:ascii="Times New Roman" w:hAnsi="Times New Roman" w:eastAsia="宋体"/>
          <w:b w:val="0"/>
          <w:i w:val="0"/>
          <w:sz w:val="22"/>
        </w:rPr>
        <w:t>电动汽车：在低价时段充电</w:t>
      </w:r>
    </w:p>
    <w:p>
      <w:pPr>
        <w:spacing w:line="360" w:lineRule="auto" w:after="0"/>
        <w:ind w:firstLine="425"/>
      </w:pPr>
      <w:r>
        <w:rPr>
          <w:rFonts w:ascii="Times New Roman" w:hAnsi="Times New Roman" w:eastAsia="宋体"/>
          <w:b/>
          <w:i w:val="0"/>
          <w:sz w:val="22"/>
        </w:rPr>
        <w:t>用户舒适度保障</w:t>
      </w:r>
      <w:r>
        <w:rPr>
          <w:rFonts w:ascii="Times New Roman" w:hAnsi="Times New Roman" w:eastAsia="宋体"/>
          <w:b w:val="0"/>
          <w:i w:val="0"/>
          <w:sz w:val="22"/>
        </w:rPr>
        <w:t>：自动DR需要平衡经济效益和用户舒适度。通过设置舒适度约束（如室温范围、热水温度下限），确保DR不影响用户生活质量。</w:t>
      </w:r>
    </w:p>
    <w:p>
      <w:pPr>
        <w:pStyle w:val="Heading3"/>
        <w:spacing w:before="160" w:after="60"/>
      </w:pPr>
      <w:r>
        <w:rPr>
          <w:rFonts w:ascii="Times New Roman" w:hAnsi="Times New Roman" w:eastAsia="黑体"/>
          <w:b/>
          <w:i w:val="0"/>
          <w:sz w:val="24"/>
        </w:rPr>
        <w:t>工商业DR的技术实现</w:t>
      </w:r>
    </w:p>
    <w:p>
      <w:pPr>
        <w:spacing w:line="360" w:lineRule="auto" w:after="0"/>
        <w:ind w:firstLine="425"/>
      </w:pPr>
      <w:r>
        <w:rPr>
          <w:rFonts w:ascii="Times New Roman" w:hAnsi="Times New Roman" w:eastAsia="宋体"/>
          <w:b w:val="0"/>
          <w:i w:val="0"/>
          <w:sz w:val="22"/>
        </w:rPr>
        <w:t>工商业用户的DR技术实现比居民用户更复杂：</w:t>
      </w:r>
    </w:p>
    <w:p>
      <w:pPr>
        <w:spacing w:line="360" w:lineRule="auto" w:after="0"/>
        <w:ind w:firstLine="425"/>
      </w:pPr>
      <w:r>
        <w:rPr>
          <w:rFonts w:ascii="Times New Roman" w:hAnsi="Times New Roman" w:eastAsia="宋体"/>
          <w:b/>
          <w:i w:val="0"/>
          <w:sz w:val="22"/>
        </w:rPr>
        <w:t>BEMS集成</w:t>
      </w:r>
      <w:r>
        <w:rPr>
          <w:rFonts w:ascii="Times New Roman" w:hAnsi="Times New Roman" w:eastAsia="宋体"/>
          <w:b w:val="0"/>
          <w:i w:val="0"/>
          <w:sz w:val="22"/>
        </w:rPr>
        <w:t>：建筑能源管理系统（BEMS）集成了HVAC、照明、电梯等系统的控制，能够根据价格信号优化整栋建筑的能源使用。</w:t>
      </w:r>
    </w:p>
    <w:p>
      <w:pPr>
        <w:spacing w:line="360" w:lineRule="auto" w:after="0"/>
        <w:ind w:firstLine="425"/>
      </w:pPr>
      <w:r>
        <w:rPr>
          <w:rFonts w:ascii="Times New Roman" w:hAnsi="Times New Roman" w:eastAsia="宋体"/>
          <w:b/>
          <w:i w:val="0"/>
          <w:sz w:val="22"/>
        </w:rPr>
        <w:t>生产工艺调整</w:t>
      </w:r>
      <w:r>
        <w:rPr>
          <w:rFonts w:ascii="Times New Roman" w:hAnsi="Times New Roman" w:eastAsia="宋体"/>
          <w:b w:val="0"/>
          <w:i w:val="0"/>
          <w:sz w:val="22"/>
        </w:rPr>
        <w:t>：工业用户可以通过调整生产工艺参与DR。例如，钢铁企业可以在高价时段减少电炉运行，水泥企业可以调整磨机运行时间。</w:t>
      </w:r>
    </w:p>
    <w:p>
      <w:pPr>
        <w:spacing w:line="360" w:lineRule="auto" w:after="0"/>
        <w:ind w:firstLine="425"/>
      </w:pPr>
      <w:r>
        <w:rPr>
          <w:rFonts w:ascii="Times New Roman" w:hAnsi="Times New Roman" w:eastAsia="宋体"/>
          <w:b/>
          <w:i w:val="0"/>
          <w:sz w:val="22"/>
        </w:rPr>
        <w:t>备用发电</w:t>
      </w:r>
      <w:r>
        <w:rPr>
          <w:rFonts w:ascii="Times New Roman" w:hAnsi="Times New Roman" w:eastAsia="宋体"/>
          <w:b w:val="0"/>
          <w:i w:val="0"/>
          <w:sz w:val="22"/>
        </w:rPr>
        <w:t>：部分工业用户拥有备用发电设备（如柴油发电机），在高价时段切换到自发电模式。但这种方式的环境效益存疑（柴油发电的碳排放高于电网平均）。</w:t>
      </w:r>
    </w:p>
    <w:p>
      <w:pPr>
        <w:spacing w:line="360" w:lineRule="auto" w:after="0"/>
        <w:ind w:firstLine="425"/>
      </w:pPr>
      <w:r>
        <w:rPr>
          <w:rFonts w:ascii="Times New Roman" w:hAnsi="Times New Roman" w:eastAsia="宋体"/>
          <w:b/>
          <w:i w:val="0"/>
          <w:sz w:val="22"/>
        </w:rPr>
        <w:t>计量与验证（M&amp;V）</w:t>
      </w:r>
      <w:r>
        <w:rPr>
          <w:rFonts w:ascii="Times New Roman" w:hAnsi="Times New Roman" w:eastAsia="宋体"/>
          <w:b w:val="0"/>
          <w:i w:val="0"/>
          <w:sz w:val="22"/>
        </w:rPr>
        <w:t>：DR效果的计量与验证是结算的基础。通常采用基线法——比较DR期间的用电量与基线用电量（DR未启动时的估计用电量）的差值即为DR削减量。基线计算方法的选择对DR结算金额有重大影响。</w:t>
      </w:r>
    </w:p>
    <w:p>
      <w:pPr>
        <w:pStyle w:val="Heading2"/>
        <w:spacing w:before="240" w:after="80"/>
      </w:pPr>
      <w:r>
        <w:rPr>
          <w:rFonts w:ascii="Times New Roman" w:hAnsi="Times New Roman" w:eastAsia="黑体"/>
          <w:b/>
          <w:i w:val="0"/>
          <w:sz w:val="28"/>
        </w:rPr>
        <w:t>2.11 理论框架的数学深化</w:t>
      </w:r>
    </w:p>
    <w:p>
      <w:pPr>
        <w:pStyle w:val="Heading3"/>
        <w:spacing w:before="160" w:after="60"/>
      </w:pPr>
      <w:r>
        <w:rPr>
          <w:rFonts w:ascii="Times New Roman" w:hAnsi="Times New Roman" w:eastAsia="黑体"/>
          <w:b/>
          <w:i w:val="0"/>
          <w:sz w:val="24"/>
        </w:rPr>
        <w:t>互补问题理论的基础地位</w:t>
      </w:r>
    </w:p>
    <w:p>
      <w:pPr>
        <w:spacing w:line="360" w:lineRule="auto" w:after="0"/>
        <w:ind w:firstLine="425"/>
      </w:pPr>
      <w:r>
        <w:rPr>
          <w:rFonts w:ascii="Times New Roman" w:hAnsi="Times New Roman" w:eastAsia="宋体"/>
          <w:b w:val="0"/>
          <w:i w:val="0"/>
          <w:sz w:val="22"/>
        </w:rPr>
        <w:t>智能电网实时定价的核心数学框架之一是互补问题理论。给定需求函数 D(p) 和供给函数 S(p)，市场均衡条件可以表述为：找到价格 p^</w:t>
      </w:r>
      <w:r>
        <w:rPr>
          <w:rFonts w:ascii="Times New Roman" w:hAnsi="Times New Roman" w:eastAsia="宋体"/>
          <w:b w:val="0"/>
          <w:i/>
          <w:sz w:val="22"/>
        </w:rPr>
        <w:t xml:space="preserve"> ≥ 0 使得 S(p^</w:t>
      </w:r>
      <w:r>
        <w:rPr>
          <w:rFonts w:ascii="Times New Roman" w:hAnsi="Times New Roman" w:eastAsia="宋体"/>
          <w:b w:val="0"/>
          <w:i w:val="0"/>
          <w:sz w:val="22"/>
        </w:rPr>
        <w:t>) - D(p^</w:t>
      </w:r>
      <w:r>
        <w:rPr>
          <w:rFonts w:ascii="Times New Roman" w:hAnsi="Times New Roman" w:eastAsia="宋体"/>
          <w:b w:val="0"/>
          <w:i/>
          <w:sz w:val="22"/>
        </w:rPr>
        <w:t>) ≥ 0，p^</w:t>
      </w:r>
      <w:r>
        <w:rPr>
          <w:rFonts w:ascii="Times New Roman" w:hAnsi="Times New Roman" w:eastAsia="宋体"/>
          <w:b w:val="0"/>
          <w:i w:val="0"/>
          <w:sz w:val="22"/>
        </w:rPr>
        <w:t xml:space="preserve"> · [S(p^</w:t>
      </w:r>
      <w:r>
        <w:rPr>
          <w:rFonts w:ascii="Times New Roman" w:hAnsi="Times New Roman" w:eastAsia="宋体"/>
          <w:b w:val="0"/>
          <w:i/>
          <w:sz w:val="22"/>
        </w:rPr>
        <w:t>) - D(p^</w:t>
      </w:r>
      <w:r>
        <w:rPr>
          <w:rFonts w:ascii="Times New Roman" w:hAnsi="Times New Roman" w:eastAsia="宋体"/>
          <w:b w:val="0"/>
          <w:i w:val="0"/>
          <w:sz w:val="22"/>
        </w:rPr>
        <w:t>)] = 0。这一互补条件确保了在均衡价格下，要么供需平衡，要么价格为零（过剩情况）。</w:t>
      </w:r>
    </w:p>
    <w:p>
      <w:pPr>
        <w:spacing w:line="360" w:lineRule="auto" w:after="0"/>
        <w:ind w:firstLine="425"/>
      </w:pPr>
      <w:r>
        <w:rPr>
          <w:rFonts w:ascii="Times New Roman" w:hAnsi="Times New Roman" w:eastAsia="宋体"/>
          <w:b w:val="0"/>
          <w:i w:val="0"/>
          <w:sz w:val="22"/>
        </w:rPr>
        <w:t>混合互补问题（MCP）进一步推广了这一框架，允许包含等式和不等式约束。在多时段实时定价中，MCP可以同时描述各时段的供需平衡、发电机组出力限制、储能充放电约束以及网络潮流约束。Lemke算法和路径跟踪算法是求解MCP的两大类方法，各有优劣：前者适合中小规模问题，后者更适合大规模稀疏问题。</w:t>
      </w:r>
    </w:p>
    <w:p>
      <w:pPr>
        <w:spacing w:line="360" w:lineRule="auto" w:after="0"/>
        <w:ind w:firstLine="425"/>
      </w:pPr>
      <w:r>
        <w:rPr>
          <w:rFonts w:ascii="Times New Roman" w:hAnsi="Times New Roman" w:eastAsia="宋体"/>
          <w:b w:val="0"/>
          <w:i w:val="0"/>
          <w:sz w:val="22"/>
        </w:rPr>
        <w:t>非线性互补问题（NCP）函数是另一个重要的理论工具。Fischer-Burmeister函数 Φ(a,b) = √(a^2 + b^2) - a - b 将互补条件 a ≥ 0, b ≥ 0, ab = 0 转化为等式 Φ(a,b) = 0，从而可以利用光滑化技术将互补问题转化为非线性方程组求解。这一技术在含非光滑需求函数的实时定价问题中具有特殊价值。</w:t>
      </w:r>
    </w:p>
    <w:p>
      <w:pPr>
        <w:pStyle w:val="Heading3"/>
        <w:spacing w:before="160" w:after="60"/>
      </w:pPr>
      <w:r>
        <w:rPr>
          <w:rFonts w:ascii="Times New Roman" w:hAnsi="Times New Roman" w:eastAsia="黑体"/>
          <w:b/>
          <w:i w:val="0"/>
          <w:sz w:val="24"/>
        </w:rPr>
        <w:t>变分不等式的统一视角</w:t>
      </w:r>
    </w:p>
    <w:p>
      <w:pPr>
        <w:spacing w:line="360" w:lineRule="auto" w:after="0"/>
        <w:ind w:firstLine="425"/>
      </w:pPr>
      <w:r>
        <w:rPr>
          <w:rFonts w:ascii="Times New Roman" w:hAnsi="Times New Roman" w:eastAsia="宋体"/>
          <w:b w:val="0"/>
          <w:i w:val="0"/>
          <w:sz w:val="22"/>
        </w:rPr>
        <w:t>变分不等式（VI）为实时定价提供了统一的理论框架。给定可行域 K 和映射 F: K → ℝ^n，变分不等式 VI(F, K) 要求找到 x^</w:t>
      </w:r>
      <w:r>
        <w:rPr>
          <w:rFonts w:ascii="Times New Roman" w:hAnsi="Times New Roman" w:eastAsia="宋体"/>
          <w:b w:val="0"/>
          <w:i/>
          <w:sz w:val="22"/>
        </w:rPr>
        <w:t xml:space="preserve"> ∈ K 使得 ⟨ F(x^</w:t>
      </w:r>
      <w:r>
        <w:rPr>
          <w:rFonts w:ascii="Times New Roman" w:hAnsi="Times New Roman" w:eastAsia="宋体"/>
          <w:b w:val="0"/>
          <w:i w:val="0"/>
          <w:sz w:val="22"/>
        </w:rPr>
        <w:t>), x - x^* ⟩ ≥ 0, ∀ x ∈ K。互补问题是变分不等式的特殊情形（当 K 为非负象限时）。</w:t>
      </w:r>
    </w:p>
    <w:p>
      <w:pPr>
        <w:spacing w:line="360" w:lineRule="auto" w:after="0"/>
        <w:ind w:firstLine="425"/>
      </w:pPr>
      <w:r>
        <w:rPr>
          <w:rFonts w:ascii="Times New Roman" w:hAnsi="Times New Roman" w:eastAsia="宋体"/>
          <w:b w:val="0"/>
          <w:i w:val="0"/>
          <w:sz w:val="22"/>
        </w:rPr>
        <w:t>在实时定价中，变分不等式可以统一描述多种市场均衡模型：古诺均衡、伯特兰均衡、Stackelberg均衡等都可以表述为不同形式的变分不等式。这一统一视角不仅简化了理论分析，还为算法设计提供了通用框架。投影梯度法、超梯度法、近似点算法等都可以在VI框架下统一表述和分析。</w:t>
      </w:r>
    </w:p>
    <w:p>
      <w:pPr>
        <w:spacing w:line="360" w:lineRule="auto" w:after="0"/>
        <w:ind w:firstLine="425"/>
      </w:pPr>
      <w:r>
        <w:rPr>
          <w:rFonts w:ascii="Times New Roman" w:hAnsi="Times New Roman" w:eastAsia="宋体"/>
          <w:b w:val="0"/>
          <w:i w:val="0"/>
          <w:sz w:val="22"/>
        </w:rPr>
        <w:t>变分不等式解的存在性和唯一性条件对实时定价的稳定性分析至关重要。当映射 F 为强单调（∃ α &gt; 0, ⟨ F(x) - F(y), x - y ⟩ ≥ α x-y ^2）时，VI存在唯一解。在实时定价中，用户需求函数的单调性（即价格越高需求越低）通常保证了这一条件成立。然而，当引入发电机组启停约束、储能动态等非单调因素时，解的存在唯一性分析变得复杂。</w:t>
      </w:r>
    </w:p>
    <w:p>
      <w:pPr>
        <w:pStyle w:val="Heading3"/>
        <w:spacing w:before="160" w:after="60"/>
      </w:pPr>
      <w:r>
        <w:rPr>
          <w:rFonts w:ascii="Times New Roman" w:hAnsi="Times New Roman" w:eastAsia="黑体"/>
          <w:b/>
          <w:i w:val="0"/>
          <w:sz w:val="24"/>
        </w:rPr>
        <w:t>随机均衡与不确定性建模</w:t>
      </w:r>
    </w:p>
    <w:p>
      <w:pPr>
        <w:spacing w:line="360" w:lineRule="auto" w:after="0"/>
        <w:ind w:firstLine="425"/>
      </w:pPr>
      <w:r>
        <w:rPr>
          <w:rFonts w:ascii="Times New Roman" w:hAnsi="Times New Roman" w:eastAsia="宋体"/>
          <w:b w:val="0"/>
          <w:i w:val="0"/>
          <w:sz w:val="22"/>
        </w:rPr>
        <w:t>在实际电力系统中，需求和可再生能源出力都是随机变量。随机互补问题（SCP）和随机变分不等式（SVI）将确定性框架推广到随机环境。期望值模型将随机变量取期望后求解确定性问题，适用于风险中性决策者。然而，电力系统运营商通常是风险厌恶的，需要考虑条件风险价值（CVaR）等风险度量。</w:t>
      </w:r>
    </w:p>
    <w:p>
      <w:pPr>
        <w:spacing w:line="360" w:lineRule="auto" w:after="0"/>
        <w:ind w:firstLine="425"/>
      </w:pPr>
      <w:r>
        <w:rPr>
          <w:rFonts w:ascii="Times New Roman" w:hAnsi="Times New Roman" w:eastAsia="宋体"/>
          <w:b w:val="0"/>
          <w:i w:val="0"/>
          <w:sz w:val="22"/>
        </w:rPr>
        <w:t>随机均衡问题的一个关键挑战是维数灾难：当随机变量数量增加时，场景树的规模呈指数增长。场景削减技术（如基于概率距离的场景聚类）和随机近似方法（如随机梯度法）是应对维数灾难的两大类方法。在实时定价中，这些方法使得大规模随机优化问题变得可计算。</w:t>
      </w:r>
    </w:p>
    <w:p>
      <w:pPr>
        <w:pStyle w:val="Heading3"/>
        <w:spacing w:before="160" w:after="60"/>
      </w:pPr>
      <w:r>
        <w:rPr>
          <w:rFonts w:ascii="Times New Roman" w:hAnsi="Times New Roman" w:eastAsia="黑体"/>
          <w:b/>
          <w:i w:val="0"/>
          <w:sz w:val="24"/>
        </w:rPr>
        <w:t>博弈论与均衡选择的深化</w:t>
      </w:r>
    </w:p>
    <w:p>
      <w:pPr>
        <w:spacing w:line="360" w:lineRule="auto" w:after="0"/>
        <w:ind w:firstLine="425"/>
      </w:pPr>
      <w:r>
        <w:rPr>
          <w:rFonts w:ascii="Times New Roman" w:hAnsi="Times New Roman" w:eastAsia="宋体"/>
          <w:b w:val="0"/>
          <w:i w:val="0"/>
          <w:sz w:val="22"/>
        </w:rPr>
        <w:t>博弈论在实时定价中的应用远不止于Stackelberg模型。古诺模型假设发电企业以产量为决策变量进行竞争，适用于发电侧市场力的分析。伯特兰模型以价格为决策变量，更适合零售市场竞争分析。供给函数均衡（SFE）模型允许企业提交整个供给曲线，是英格兰-威尔士电力市场设计的理论基础。</w:t>
      </w:r>
    </w:p>
    <w:p>
      <w:pPr>
        <w:spacing w:line="360" w:lineRule="auto" w:after="0"/>
        <w:ind w:firstLine="425"/>
      </w:pPr>
      <w:r>
        <w:rPr>
          <w:rFonts w:ascii="Times New Roman" w:hAnsi="Times New Roman" w:eastAsia="宋体"/>
          <w:b w:val="0"/>
          <w:i w:val="0"/>
          <w:sz w:val="22"/>
        </w:rPr>
        <w:t>均衡选择问题是博弈论应用中的核心难题。当存在多重均衡时，需要额外的选择准则来确定实际市场结果。在实时定价中，多重均衡可能对应不同的价格水平和社会福利分配，选择哪个均衡直接影响市场效率。演化博弈论和随机博弈论为均衡选择提供了动态分析框架，其中均衡的稳定性和可达性成为关键判据。</w:t>
      </w:r>
    </w:p>
    <w:p>
      <w:pPr>
        <w:pStyle w:val="Heading2"/>
        <w:spacing w:before="240" w:after="80"/>
      </w:pPr>
      <w:r>
        <w:rPr>
          <w:rFonts w:ascii="Times New Roman" w:hAnsi="Times New Roman" w:eastAsia="黑体"/>
          <w:b/>
          <w:i w:val="0"/>
          <w:sz w:val="28"/>
        </w:rPr>
        <w:t>2.12 计算方法的效率分析</w:t>
      </w:r>
    </w:p>
    <w:p>
      <w:pPr>
        <w:pStyle w:val="Heading3"/>
        <w:spacing w:before="160" w:after="60"/>
      </w:pPr>
      <w:r>
        <w:rPr>
          <w:rFonts w:ascii="Times New Roman" w:hAnsi="Times New Roman" w:eastAsia="黑体"/>
          <w:b/>
          <w:i w:val="0"/>
          <w:sz w:val="24"/>
        </w:rPr>
        <w:t>算法复杂度比较</w:t>
      </w:r>
    </w:p>
    <w:p>
      <w:pPr>
        <w:spacing w:line="360" w:lineRule="auto" w:after="0"/>
        <w:ind w:firstLine="425"/>
      </w:pPr>
      <w:r>
        <w:rPr>
          <w:rFonts w:ascii="Times New Roman" w:hAnsi="Times New Roman" w:eastAsia="宋体"/>
          <w:b w:val="0"/>
          <w:i w:val="0"/>
          <w:sz w:val="22"/>
        </w:rPr>
        <w:t>实时定价算法的计算效率直接影响其在实际系统中的可用性。牛顿法具有二次收敛性，但每步需要求解线性方程组，计算复杂度为 O(n^3)（n 为问题规模）。对于包含数千节点的大规模电网，这一复杂度可能过高。拟牛顿法（如BFGS）将复杂度降低到 O(n^2)，但收敛速率降为超线性。</w:t>
      </w:r>
    </w:p>
    <w:p>
      <w:pPr>
        <w:spacing w:line="360" w:lineRule="auto" w:after="0"/>
        <w:ind w:firstLine="425"/>
      </w:pPr>
      <w:r>
        <w:rPr>
          <w:rFonts w:ascii="Times New Roman" w:hAnsi="Times New Roman" w:eastAsia="宋体"/>
          <w:b w:val="0"/>
          <w:i w:val="0"/>
          <w:sz w:val="22"/>
        </w:rPr>
        <w:t>梯度类方法的每步计算复杂度仅为 O(n)，但收敛速率为线性。在实时定价中，由于定价决策需要频繁更新（每5-15分钟一次），梯度类方法因其低计算成本而具有实际优势。加速梯度法（如Nesterov加速法）在不增加每步复杂度的前提下实现了 O(1/k^2) 的收敛速率，是当前研究的热点。</w:t>
      </w:r>
    </w:p>
    <w:p>
      <w:pPr>
        <w:pStyle w:val="Heading3"/>
        <w:spacing w:before="160" w:after="60"/>
      </w:pPr>
      <w:r>
        <w:rPr>
          <w:rFonts w:ascii="Times New Roman" w:hAnsi="Times New Roman" w:eastAsia="黑体"/>
          <w:b/>
          <w:i w:val="0"/>
          <w:sz w:val="24"/>
        </w:rPr>
        <w:t>分布式计算架构</w:t>
      </w:r>
    </w:p>
    <w:p>
      <w:pPr>
        <w:spacing w:line="360" w:lineRule="auto" w:after="0"/>
        <w:ind w:firstLine="425"/>
      </w:pPr>
      <w:r>
        <w:rPr>
          <w:rFonts w:ascii="Times New Roman" w:hAnsi="Times New Roman" w:eastAsia="宋体"/>
          <w:b w:val="0"/>
          <w:i w:val="0"/>
          <w:sz w:val="22"/>
        </w:rPr>
        <w:t>智能电网的分布式特性使得分布式算法成为自然选择。交替方向乘子法（ADMM）将全局优化问题分解为多个子问题并行求解，通过拉格朗日乘子的迭代更新协调各子问题。ADMM在实时定价中的优势在于：各区域可以独立进行局部优化，仅需交换边界变量（如联络线功率），大大降低了通信需求。</w:t>
      </w:r>
    </w:p>
    <w:p>
      <w:pPr>
        <w:spacing w:line="360" w:lineRule="auto" w:after="0"/>
        <w:ind w:firstLine="425"/>
      </w:pPr>
      <w:r>
        <w:rPr>
          <w:rFonts w:ascii="Times New Roman" w:hAnsi="Times New Roman" w:eastAsia="宋体"/>
          <w:b w:val="0"/>
          <w:i w:val="0"/>
          <w:sz w:val="22"/>
        </w:rPr>
        <w:t>去中心化优化方法更进一步，消除了中央协调者的需求。共识算法通过邻居间的局部通信实现全局一致性，适合无中心节点的对等网络架构。然而，去中心化方法的收敛性分析更为复杂，收敛速率通常慢于集中式方法。在通信带宽受限或中央计算节点不可靠的场景下，去中心化方法具有独特价值。</w:t>
      </w:r>
    </w:p>
    <w:p>
      <w:pPr>
        <w:pStyle w:val="Heading2"/>
        <w:spacing w:before="240" w:after="80"/>
      </w:pPr>
      <w:r>
        <w:rPr>
          <w:rFonts w:ascii="Times New Roman" w:hAnsi="Times New Roman" w:eastAsia="黑体"/>
          <w:b/>
          <w:i w:val="0"/>
          <w:sz w:val="28"/>
        </w:rPr>
        <w:t>2.13 博弈论模型的前沿扩展与比较</w:t>
      </w:r>
    </w:p>
    <w:p>
      <w:pPr>
        <w:pStyle w:val="Heading3"/>
        <w:spacing w:before="160" w:after="60"/>
      </w:pPr>
      <w:r>
        <w:rPr>
          <w:rFonts w:ascii="Times New Roman" w:hAnsi="Times New Roman" w:eastAsia="黑体"/>
          <w:b/>
          <w:i w:val="0"/>
          <w:sz w:val="24"/>
        </w:rPr>
        <w:t>供应函数均衡的深度分析</w:t>
      </w:r>
    </w:p>
    <w:p>
      <w:pPr>
        <w:spacing w:line="360" w:lineRule="auto" w:after="0"/>
        <w:ind w:firstLine="425"/>
      </w:pPr>
      <w:r>
        <w:rPr>
          <w:rFonts w:ascii="Times New Roman" w:hAnsi="Times New Roman" w:eastAsia="宋体"/>
          <w:b w:val="0"/>
          <w:i w:val="0"/>
          <w:sz w:val="22"/>
        </w:rPr>
        <w:t>供应函数均衡（SFE）模型是介于古诺和伯特兰之间的博弈模型，参与者通过提交整个供应函数（而非单一数量或价格）进行竞争。SFE模型由Klemperer和Meyer（1989）提出，被视为最贴近实际电力市场竞标机制的博弈模型。</w:t>
      </w:r>
    </w:p>
    <w:p>
      <w:pPr>
        <w:spacing w:line="360" w:lineRule="auto" w:after="0"/>
        <w:ind w:firstLine="425"/>
      </w:pPr>
      <w:r>
        <w:rPr>
          <w:rFonts w:ascii="Times New Roman" w:hAnsi="Times New Roman" w:eastAsia="宋体"/>
          <w:b w:val="0"/>
          <w:i w:val="0"/>
          <w:sz w:val="22"/>
        </w:rPr>
        <w:t>在SFE模型中，每个发电企业 i 提交供应函数 S_i(p)，表示在不同价格下愿意供应的数量。市场出清价格 p^</w:t>
      </w:r>
      <w:r>
        <w:rPr>
          <w:rFonts w:ascii="Times New Roman" w:hAnsi="Times New Roman" w:eastAsia="宋体"/>
          <w:b w:val="0"/>
          <w:i/>
          <w:sz w:val="22"/>
        </w:rPr>
        <w:t xml:space="preserve"> 由总供给等于总需求决定：Σ_i S_i(p^</w:t>
      </w:r>
      <w:r>
        <w:rPr>
          <w:rFonts w:ascii="Times New Roman" w:hAnsi="Times New Roman" w:eastAsia="宋体"/>
          <w:b w:val="0"/>
          <w:i w:val="0"/>
          <w:sz w:val="22"/>
        </w:rPr>
        <w:t>) = D(p^*)。SFE均衡的求解比古诺或伯特兰均衡复杂得多，因为策略空间从标量扩展为函数空间。</w:t>
      </w:r>
    </w:p>
    <w:p>
      <w:pPr>
        <w:spacing w:line="360" w:lineRule="auto" w:after="0"/>
        <w:ind w:firstLine="425"/>
      </w:pPr>
      <w:r>
        <w:rPr>
          <w:rFonts w:ascii="Times New Roman" w:hAnsi="Times New Roman" w:eastAsia="宋体"/>
          <w:b w:val="0"/>
          <w:i w:val="0"/>
          <w:sz w:val="22"/>
        </w:rPr>
        <w:t>线性供应函数均衡（LSFE）是SFE的特殊情形，将供应函数限制为线性形式 S_i(p) = α_i + β_i p。LSFE的均衡可以解析求解，且在一定条件下唯一。Green和Newbery（1992）将LSFE应用于英格兰-威尔士电力市场分析，发现市场存在显著的市场力行使空间。</w:t>
      </w:r>
    </w:p>
    <w:p>
      <w:pPr>
        <w:spacing w:line="360" w:lineRule="auto" w:after="0"/>
        <w:ind w:firstLine="425"/>
      </w:pPr>
      <w:r>
        <w:rPr>
          <w:rFonts w:ascii="Times New Roman" w:hAnsi="Times New Roman" w:eastAsia="宋体"/>
          <w:b w:val="0"/>
          <w:i w:val="0"/>
          <w:sz w:val="22"/>
        </w:rPr>
        <w:t>SFE模型在实时定价中的应用包括：分析报价策略偏离边际成本的程度、评估市场设计规则（如报价上限、必须报价规则）的效果、预测市场整合对竞争强度的影响。然而，SFE模型的多重均衡问题在实际应用中仍是未解难题。</w:t>
      </w:r>
    </w:p>
    <w:p>
      <w:pPr>
        <w:pStyle w:val="Heading3"/>
        <w:spacing w:before="160" w:after="60"/>
      </w:pPr>
      <w:r>
        <w:rPr>
          <w:rFonts w:ascii="Times New Roman" w:hAnsi="Times New Roman" w:eastAsia="黑体"/>
          <w:b/>
          <w:i w:val="0"/>
          <w:sz w:val="24"/>
        </w:rPr>
        <w:t>拍卖理论与电力市场设计</w:t>
      </w:r>
    </w:p>
    <w:p>
      <w:pPr>
        <w:spacing w:line="360" w:lineRule="auto" w:after="0"/>
        <w:ind w:firstLine="425"/>
      </w:pPr>
      <w:r>
        <w:rPr>
          <w:rFonts w:ascii="Times New Roman" w:hAnsi="Times New Roman" w:eastAsia="宋体"/>
          <w:b w:val="0"/>
          <w:i w:val="0"/>
          <w:sz w:val="22"/>
        </w:rPr>
        <w:t>电力市场本质上是一系列拍卖机制：日前能量市场是密封报价统一价格拍卖，辅助服务市场是多产品组合拍卖，容量市场是增量拍卖。拍卖理论为理解这些市场机制的激励性质和效率性质提供了分析工具。</w:t>
      </w:r>
    </w:p>
    <w:p>
      <w:pPr>
        <w:spacing w:line="360" w:lineRule="auto" w:after="0"/>
        <w:ind w:firstLine="425"/>
      </w:pPr>
      <w:r>
        <w:rPr>
          <w:rFonts w:ascii="Times New Roman" w:hAnsi="Times New Roman" w:eastAsia="宋体"/>
          <w:b w:val="0"/>
          <w:i w:val="0"/>
          <w:sz w:val="22"/>
        </w:rPr>
        <w:t>统一价格拍卖与歧视价格拍卖的选择是电力市场设计中的经典问题。统一价格拍卖中所有中标者获得相同的价格（市场出清价），歧视价格拍卖中各中标者获得各自的报价。统一价格拍卖的理论优势在于激励兼容性（说实话是最优策略），但在存在市场力时可能鼓励策略性报价。</w:t>
      </w:r>
    </w:p>
    <w:p>
      <w:pPr>
        <w:spacing w:line="360" w:lineRule="auto" w:after="0"/>
        <w:ind w:firstLine="425"/>
      </w:pPr>
      <w:r>
        <w:rPr>
          <w:rFonts w:ascii="Times New Roman" w:hAnsi="Times New Roman" w:eastAsia="宋体"/>
          <w:b w:val="0"/>
          <w:i w:val="0"/>
          <w:sz w:val="22"/>
        </w:rPr>
        <w:t>Vickrey-Clarke-Groves（VCG）机制是唯一具有激励兼容性、个体理性和配置效率的拍卖机制。然而，VCG机制在电力市场中的应用面临计算复杂度高（需要求解每个参与者的无约束最优问题）和可能产生赤字（总收入小于总支出）等挑战。核心选择机制通过调整VCG支付来消除赤字，同时保持大部分激励性质。</w:t>
      </w:r>
    </w:p>
    <w:p>
      <w:pPr>
        <w:spacing w:line="360" w:lineRule="auto" w:after="0"/>
        <w:ind w:firstLine="425"/>
      </w:pPr>
      <w:r>
        <w:rPr>
          <w:rFonts w:ascii="Times New Roman" w:hAnsi="Times New Roman" w:eastAsia="宋体"/>
          <w:b w:val="0"/>
          <w:i w:val="0"/>
          <w:sz w:val="22"/>
        </w:rPr>
        <w:t>组合拍卖在辅助服务市场中的应用日益重要。频率调节、备用容量和电压支持等服务之间存在耦合关系（如提供频率调节的机组同时提供容量备用），组合拍卖可以正确处理这些耦合约束。分支定价法和约束生成方法是求解组合拍卖问题的主流算法。</w:t>
      </w:r>
    </w:p>
    <w:p>
      <w:pPr>
        <w:pStyle w:val="Heading3"/>
        <w:spacing w:before="160" w:after="60"/>
      </w:pPr>
      <w:r>
        <w:rPr>
          <w:rFonts w:ascii="Times New Roman" w:hAnsi="Times New Roman" w:eastAsia="黑体"/>
          <w:b/>
          <w:i w:val="0"/>
          <w:sz w:val="24"/>
        </w:rPr>
        <w:t>机制设计的激励分析</w:t>
      </w:r>
    </w:p>
    <w:p>
      <w:pPr>
        <w:spacing w:line="360" w:lineRule="auto" w:after="0"/>
        <w:ind w:firstLine="425"/>
      </w:pPr>
      <w:r>
        <w:rPr>
          <w:rFonts w:ascii="Times New Roman" w:hAnsi="Times New Roman" w:eastAsia="宋体"/>
          <w:b w:val="0"/>
          <w:i w:val="0"/>
          <w:sz w:val="22"/>
        </w:rPr>
        <w:t>机制设计理论关注在信息不对称条件下设计激励机制使得参与者自发性地显示真实信息。在实时定价中，机制设计问题包括：如何设计需求响应激励机制使得用户真实报告其响应能力，如何设计输电阻塞管理机制使得发电企业真实报告其成本信息。</w:t>
      </w:r>
    </w:p>
    <w:p>
      <w:pPr>
        <w:spacing w:line="360" w:lineRule="auto" w:after="0"/>
        <w:ind w:firstLine="425"/>
      </w:pPr>
      <w:r>
        <w:rPr>
          <w:rFonts w:ascii="Times New Roman" w:hAnsi="Times New Roman" w:eastAsia="宋体"/>
          <w:b w:val="0"/>
          <w:i w:val="0"/>
          <w:sz w:val="22"/>
        </w:rPr>
        <w:t>显示原理是机制设计的核心工具：任何社会选择函数如果能通过某个机制实现，就能通过直接显示机制（参与者报告类型，机制根据报告决定结果）实现。这一原理将机制设计问题简化为寻找满足激励兼容约束的直接显示机制。</w:t>
      </w:r>
    </w:p>
    <w:p>
      <w:pPr>
        <w:spacing w:line="360" w:lineRule="auto" w:after="0"/>
        <w:ind w:firstLine="425"/>
      </w:pPr>
      <w:r>
        <w:rPr>
          <w:rFonts w:ascii="Times New Roman" w:hAnsi="Times New Roman" w:eastAsia="宋体"/>
          <w:b w:val="0"/>
          <w:i w:val="0"/>
          <w:sz w:val="22"/>
        </w:rPr>
        <w:t>预算平衡是机制设计中的另一个关键约束。Myerson-Satterthwaite不可能定理表明，在双边交易中，不存在同时满足激励兼容、个体理性、配置效率和预算平衡的机制。这意味着实时定价的市场设计必须在某些性质之间做出取舍。</w:t>
      </w:r>
    </w:p>
    <w:p>
      <w:pPr>
        <w:pStyle w:val="Heading3"/>
        <w:spacing w:before="160" w:after="60"/>
      </w:pPr>
      <w:r>
        <w:rPr>
          <w:rFonts w:ascii="Times New Roman" w:hAnsi="Times New Roman" w:eastAsia="黑体"/>
          <w:b/>
          <w:i w:val="0"/>
          <w:sz w:val="24"/>
        </w:rPr>
        <w:t>演化博弈与有限理性</w:t>
      </w:r>
    </w:p>
    <w:p>
      <w:pPr>
        <w:spacing w:line="360" w:lineRule="auto" w:after="0"/>
        <w:ind w:firstLine="425"/>
      </w:pPr>
      <w:r>
        <w:rPr>
          <w:rFonts w:ascii="Times New Roman" w:hAnsi="Times New Roman" w:eastAsia="宋体"/>
          <w:b w:val="0"/>
          <w:i w:val="0"/>
          <w:sz w:val="22"/>
        </w:rPr>
        <w:t>传统博弈论假设参与者具有完全理性和无限计算能力，这在实际电力市场中不现实。演化博弈论放松了完全理性假设，参与者通过模仿和学习而非精确优化来调整策略。</w:t>
      </w:r>
    </w:p>
    <w:p>
      <w:pPr>
        <w:spacing w:line="360" w:lineRule="auto" w:after="0"/>
        <w:ind w:firstLine="425"/>
      </w:pPr>
      <w:r>
        <w:rPr>
          <w:rFonts w:ascii="Times New Roman" w:hAnsi="Times New Roman" w:eastAsia="宋体"/>
          <w:b w:val="0"/>
          <w:i w:val="0"/>
          <w:sz w:val="22"/>
        </w:rPr>
        <w:t>复制子动态描述策略在群体中的传播过程：策略的适应性（收益）越高，采用该策略的个体比例增长越快。在实时定价中，用户群体对定价策略的接受和传播可以建模为复制子动态：体验好的定价策略被更多用户采纳，体验差的策略被放弃。</w:t>
      </w:r>
    </w:p>
    <w:p>
      <w:pPr>
        <w:spacing w:line="360" w:lineRule="auto" w:after="0"/>
        <w:ind w:firstLine="425"/>
      </w:pPr>
      <w:r>
        <w:rPr>
          <w:rFonts w:ascii="Times New Roman" w:hAnsi="Times New Roman" w:eastAsia="宋体"/>
          <w:b w:val="0"/>
          <w:i w:val="0"/>
          <w:sz w:val="22"/>
        </w:rPr>
        <w:t>随机演化博弈引入了突变和漂移机制，描述策略的随机探索和锁定效应。锁定效应解释了为什么某些次优定价机制一旦被广泛采用就难以改变：即使存在更优机制，转换成本和协调困难使得系统停留在次优均衡。这一分析为实时定价机制的初始设计提供了重要启示。</w:t>
      </w:r>
    </w:p>
    <w:p>
      <w:pPr>
        <w:pStyle w:val="Heading3"/>
        <w:spacing w:before="160" w:after="60"/>
      </w:pPr>
      <w:r>
        <w:rPr>
          <w:rFonts w:ascii="Times New Roman" w:hAnsi="Times New Roman" w:eastAsia="黑体"/>
          <w:b/>
          <w:i w:val="0"/>
          <w:sz w:val="24"/>
        </w:rPr>
        <w:t>合作博弈与成本分摊</w:t>
      </w:r>
    </w:p>
    <w:p>
      <w:pPr>
        <w:spacing w:line="360" w:lineRule="auto" w:after="0"/>
        <w:ind w:firstLine="425"/>
      </w:pPr>
      <w:r>
        <w:rPr>
          <w:rFonts w:ascii="Times New Roman" w:hAnsi="Times New Roman" w:eastAsia="宋体"/>
          <w:b w:val="0"/>
          <w:i w:val="0"/>
          <w:sz w:val="22"/>
        </w:rPr>
        <w:t>电力系统中的多个参与者（发电企业、输电网络、配电网络、用户）共享基础设施和资源，需要公平分摊共同成本。合作博弈理论为成本分摊提供了严格的分析框架。</w:t>
      </w:r>
    </w:p>
    <w:p>
      <w:pPr>
        <w:spacing w:line="360" w:lineRule="auto" w:after="0"/>
        <w:ind w:firstLine="425"/>
      </w:pPr>
      <w:r>
        <w:rPr>
          <w:rFonts w:ascii="Times New Roman" w:hAnsi="Times New Roman" w:eastAsia="宋体"/>
          <w:b w:val="0"/>
          <w:i w:val="0"/>
          <w:sz w:val="22"/>
        </w:rPr>
        <w:t>核心（Core）是合作博弈中不会被任何联盟推翻的分配方案集合。当核心非空时，存在所有参与者都满意的分摊方案。Shapley值是核心中的一个特殊分配，基于各参与者对总合作的边际贡献计算，具有对称性、 dummy玩家性和可加性等公理性质。</w:t>
      </w:r>
    </w:p>
    <w:p>
      <w:pPr>
        <w:spacing w:line="360" w:lineRule="auto" w:after="0"/>
        <w:ind w:firstLine="425"/>
      </w:pPr>
      <w:r>
        <w:rPr>
          <w:rFonts w:ascii="Times New Roman" w:hAnsi="Times New Roman" w:eastAsia="宋体"/>
          <w:b w:val="0"/>
          <w:i w:val="0"/>
          <w:sz w:val="22"/>
        </w:rPr>
        <w:t>在输电成本分摊中，Shapley值方法将输电网络使用成本按各市场参与者对网络使用的边际贡献分摊。然而，Shapley值的计算复杂度随参与者数量阶乘增长，对于大规模电力市场不实用。基于使用量的近似方法（如MW-mile法）虽然不够精确但计算效率高，在实际中应用广泛。</w:t>
      </w:r>
    </w:p>
    <w:p>
      <w:pPr>
        <w:spacing w:line="360" w:lineRule="auto" w:after="0"/>
        <w:ind w:firstLine="425"/>
      </w:pPr>
      <w:r>
        <w:rPr>
          <w:rFonts w:ascii="Times New Roman" w:hAnsi="Times New Roman" w:eastAsia="宋体"/>
          <w:b w:val="0"/>
          <w:i w:val="0"/>
          <w:sz w:val="22"/>
        </w:rPr>
        <w:t>核仁（Nucleolus）是另一个重要的分配概念，它最小化最大不满意联盟的不满意程度。核仁总是存在且唯一，位于核心中（当核心非空时），但计算需要求解一系列线性规划。在实时定价的收益分配中，核仁提供了比Shapley值更保守但更公平的分配方案。</w:t>
      </w:r>
    </w:p>
    <w:p>
      <w:pPr>
        <w:pStyle w:val="Heading2"/>
        <w:spacing w:before="240" w:after="80"/>
      </w:pPr>
      <w:r>
        <w:rPr>
          <w:rFonts w:ascii="Times New Roman" w:hAnsi="Times New Roman" w:eastAsia="黑体"/>
          <w:b/>
          <w:i w:val="0"/>
          <w:sz w:val="28"/>
        </w:rPr>
        <w:t>2.14 理论框架的扩展与未来方向</w:t>
      </w:r>
    </w:p>
    <w:p>
      <w:pPr>
        <w:pStyle w:val="Heading3"/>
        <w:spacing w:before="160" w:after="60"/>
      </w:pPr>
      <w:r>
        <w:rPr>
          <w:rFonts w:ascii="Times New Roman" w:hAnsi="Times New Roman" w:eastAsia="黑体"/>
          <w:b/>
          <w:i w:val="0"/>
          <w:sz w:val="24"/>
        </w:rPr>
        <w:t>信息不对称下的机制设计</w:t>
      </w:r>
    </w:p>
    <w:p>
      <w:pPr>
        <w:spacing w:line="360" w:lineRule="auto" w:after="0"/>
        <w:ind w:firstLine="425"/>
      </w:pPr>
      <w:r>
        <w:rPr>
          <w:rFonts w:ascii="Times New Roman" w:hAnsi="Times New Roman" w:eastAsia="宋体"/>
          <w:b w:val="0"/>
          <w:i w:val="0"/>
          <w:sz w:val="22"/>
        </w:rPr>
        <w:t>在智能电网实时定价中，信息不对称普遍存在：用户比供电方更了解自己的用电偏好和需求弹性，供电方比用户更了解系统成本和约束。这种信息不对称可能导致逆向选择（高弹性用户被错误归类为低弹性用户而承受过高电价）和道德风险（用户声称参与了需求响应但实际未执行）。</w:t>
      </w:r>
    </w:p>
    <w:p>
      <w:pPr>
        <w:spacing w:line="360" w:lineRule="auto" w:after="0"/>
        <w:ind w:firstLine="425"/>
      </w:pPr>
      <w:r>
        <w:rPr>
          <w:rFonts w:ascii="Times New Roman" w:hAnsi="Times New Roman" w:eastAsia="宋体"/>
          <w:b w:val="0"/>
          <w:i w:val="0"/>
          <w:sz w:val="22"/>
        </w:rPr>
        <w:t>显示机制设计通过激励兼容约束解决信息不对称问题。在直接显示机制中，用户报告自己的类型（如需求弹性参数），机制根据报告类型确定电价和用电配额。激励兼容约束确保每种类型的用户如实报告是最优策略。VCG机制是唯一满足激励兼容、个体理性和配置效率的机制，但在电力市场中可能产生预算赤字。</w:t>
      </w:r>
    </w:p>
    <w:p>
      <w:pPr>
        <w:spacing w:line="360" w:lineRule="auto" w:after="0"/>
        <w:ind w:firstLine="425"/>
      </w:pPr>
      <w:r>
        <w:rPr>
          <w:rFonts w:ascii="Times New Roman" w:hAnsi="Times New Roman" w:eastAsia="宋体"/>
          <w:b w:val="0"/>
          <w:i w:val="0"/>
          <w:sz w:val="22"/>
        </w:rPr>
        <w:t>修正的VCG机制（如d'Aspremont-Gerard-Varet机制）通过期望预算平衡解决了赤字问题，但需要知道类型分布的先验信息。在大数据环境下，历史数据可以提供类型分布的估计，使修正VCG机制具有实际可行性。</w:t>
      </w:r>
    </w:p>
    <w:p>
      <w:pPr>
        <w:pStyle w:val="Heading3"/>
        <w:spacing w:before="160" w:after="60"/>
      </w:pPr>
      <w:r>
        <w:rPr>
          <w:rFonts w:ascii="Times New Roman" w:hAnsi="Times New Roman" w:eastAsia="黑体"/>
          <w:b/>
          <w:i w:val="0"/>
          <w:sz w:val="24"/>
        </w:rPr>
        <w:t>机制设计与机器学习的融合</w:t>
      </w:r>
    </w:p>
    <w:p>
      <w:pPr>
        <w:spacing w:line="360" w:lineRule="auto" w:after="0"/>
        <w:ind w:firstLine="425"/>
      </w:pPr>
      <w:r>
        <w:rPr>
          <w:rFonts w:ascii="Times New Roman" w:hAnsi="Times New Roman" w:eastAsia="宋体"/>
          <w:b w:val="0"/>
          <w:i w:val="0"/>
          <w:sz w:val="22"/>
        </w:rPr>
        <w:t>传统机制设计假设参与者类型分布已知，但在实际中这一假设难以满足。机器学习方法可以从历史数据中学习参与者类型分布，为机制设计提供数据驱动的基础。</w:t>
      </w:r>
    </w:p>
    <w:p>
      <w:pPr>
        <w:spacing w:line="360" w:lineRule="auto" w:after="0"/>
        <w:ind w:firstLine="425"/>
      </w:pPr>
      <w:r>
        <w:rPr>
          <w:rFonts w:ascii="Times New Roman" w:hAnsi="Times New Roman" w:eastAsia="宋体"/>
          <w:b w:val="0"/>
          <w:i w:val="0"/>
          <w:sz w:val="22"/>
        </w:rPr>
        <w:t>贝叶斯机制参数优化方法将类型分布参数视为随机变量，通过贝叶斯更新不断修正。每个定价周期收集的用户响应数据作为新的证据，更新类型分布的后验。这种方法使定价机制能够自适应调整，跟踪用户行为模式的变化。</w:t>
      </w:r>
    </w:p>
    <w:p>
      <w:pPr>
        <w:spacing w:line="360" w:lineRule="auto" w:after="0"/>
        <w:ind w:firstLine="425"/>
      </w:pPr>
      <w:r>
        <w:rPr>
          <w:rFonts w:ascii="Times New Roman" w:hAnsi="Times New Roman" w:eastAsia="宋体"/>
          <w:b w:val="0"/>
          <w:i w:val="0"/>
          <w:sz w:val="22"/>
        </w:rPr>
        <w:t>深度学习辅助的机制设计利用神经网络参数化机制函数，通过端到端学习优化机制参数。这种方法不依赖特定的分布假设，可以处理高维和复杂的类型空间。然而，可解释性和激励兼容性的验证是深度学习机制设计面临的挑战。</w:t>
      </w:r>
    </w:p>
    <w:p>
      <w:pPr>
        <w:pStyle w:val="Heading3"/>
        <w:spacing w:before="160" w:after="60"/>
      </w:pPr>
      <w:r>
        <w:rPr>
          <w:rFonts w:ascii="Times New Roman" w:hAnsi="Times New Roman" w:eastAsia="黑体"/>
          <w:b/>
          <w:i w:val="0"/>
          <w:sz w:val="24"/>
        </w:rPr>
        <w:t>计算均衡的复杂性分析</w:t>
      </w:r>
    </w:p>
    <w:p>
      <w:pPr>
        <w:spacing w:line="360" w:lineRule="auto" w:after="0"/>
        <w:ind w:firstLine="425"/>
      </w:pPr>
      <w:r>
        <w:rPr>
          <w:rFonts w:ascii="Times New Roman" w:hAnsi="Times New Roman" w:eastAsia="宋体"/>
          <w:b w:val="0"/>
          <w:i w:val="0"/>
          <w:sz w:val="22"/>
        </w:rPr>
        <w:t>均衡计算复杂性是博弈论应用的基础问题。纳什均衡的计算在一般情况下是PPAD完全的，意味着不存在已知的多项式时间算法。这一理论结果对实时定价的实际应用有重要影响：大规模博弈的均衡计算可能在可接受时间内无法完成。</w:t>
      </w:r>
    </w:p>
    <w:p>
      <w:pPr>
        <w:spacing w:line="360" w:lineRule="auto" w:after="0"/>
        <w:ind w:firstLine="425"/>
      </w:pPr>
      <w:r>
        <w:rPr>
          <w:rFonts w:ascii="Times New Roman" w:hAnsi="Times New Roman" w:eastAsia="宋体"/>
          <w:b w:val="0"/>
          <w:i w:val="0"/>
          <w:sz w:val="22"/>
        </w:rPr>
        <w:t>然而，特定结构的博弈可以高效求解。零和博弈的均衡可以通过线性规划在多项式时间内求解。势博弈的均衡可以通过最大化势函数求得。在实时定价中，通过适当设计定价机制使博弈具有势博弈结构，可以保证均衡的高效可计算性。</w:t>
      </w:r>
    </w:p>
    <w:p>
      <w:pPr>
        <w:spacing w:line="360" w:lineRule="auto" w:after="0"/>
        <w:ind w:firstLine="425"/>
      </w:pPr>
      <w:r>
        <w:rPr>
          <w:rFonts w:ascii="Times New Roman" w:hAnsi="Times New Roman" w:eastAsia="宋体"/>
          <w:b w:val="0"/>
          <w:i w:val="0"/>
          <w:sz w:val="22"/>
        </w:rPr>
        <w:t>近似均衡概念放宽了精确均衡的要求。ε-纳什均衡允许策略偏离均衡的收益不超过 ε。近似均衡的计算通常比精确均衡更高效，且在实际应用中 ε 的误差通常可以接受。平滑近似方法（如logit均衡）将离散选择平滑化，提供了近似均衡的高效计算途径。</w:t>
      </w:r>
    </w:p>
    <w:p>
      <w:pPr>
        <w:pStyle w:val="Heading2"/>
        <w:spacing w:before="240" w:after="80"/>
      </w:pPr>
      <w:r>
        <w:rPr>
          <w:rFonts w:ascii="Times New Roman" w:hAnsi="Times New Roman" w:eastAsia="黑体"/>
          <w:b/>
          <w:i w:val="0"/>
          <w:sz w:val="28"/>
        </w:rPr>
        <w:t>2.15 理论框架的补充分析</w:t>
      </w:r>
    </w:p>
    <w:p>
      <w:pPr>
        <w:pStyle w:val="Heading3"/>
        <w:spacing w:before="160" w:after="60"/>
      </w:pPr>
      <w:r>
        <w:rPr>
          <w:rFonts w:ascii="Times New Roman" w:hAnsi="Times New Roman" w:eastAsia="黑体"/>
          <w:b/>
          <w:i w:val="0"/>
          <w:sz w:val="24"/>
        </w:rPr>
        <w:t>计算实验经济学方法</w:t>
      </w:r>
    </w:p>
    <w:p>
      <w:pPr>
        <w:spacing w:line="360" w:lineRule="auto" w:after="0"/>
        <w:ind w:firstLine="425"/>
      </w:pPr>
      <w:r>
        <w:rPr>
          <w:rFonts w:ascii="Times New Roman" w:hAnsi="Times New Roman" w:eastAsia="宋体"/>
          <w:b w:val="0"/>
          <w:i w:val="0"/>
          <w:sz w:val="22"/>
        </w:rPr>
        <w:t>计算实验经济学（CEE）结合计算机仿真和行为经济学，为实时定价研究提供了新的方法论工具。与传统博弈论依赖解析模型不同，CEE通过构建包含异质智能体的仿真环境，模拟市场参与者的策略互动和演化过程。</w:t>
      </w:r>
    </w:p>
    <w:p>
      <w:pPr>
        <w:spacing w:line="360" w:lineRule="auto" w:after="0"/>
        <w:ind w:firstLine="425"/>
      </w:pPr>
      <w:r>
        <w:rPr>
          <w:rFonts w:ascii="Times New Roman" w:hAnsi="Times New Roman" w:eastAsia="宋体"/>
          <w:b w:val="0"/>
          <w:i w:val="0"/>
          <w:sz w:val="22"/>
        </w:rPr>
        <w:t>在CEE框架下，每个智能体被赋予有限的理性、学习能力和行为偏差。智能体通过强化学习、模仿学习或经验加权吸引力（EWA）等机制更新策略。通过大规模仿真实验，可以观察宏观市场行为的涌现模式，验证理论预测或发现理论未预见的现象。</w:t>
      </w:r>
    </w:p>
    <w:p>
      <w:pPr>
        <w:spacing w:line="360" w:lineRule="auto" w:after="0"/>
        <w:ind w:firstLine="425"/>
      </w:pPr>
      <w:r>
        <w:rPr>
          <w:rFonts w:ascii="Times New Roman" w:hAnsi="Times New Roman" w:eastAsia="宋体"/>
          <w:b w:val="0"/>
          <w:i w:val="0"/>
          <w:sz w:val="22"/>
        </w:rPr>
        <w:t>CEE在实时定价研究中的应用包括：评估不同定价机制在异质用户群体下的分配效应、测试市场规则变化对定价效率的影响、分析极端事件下的市场行为动态。这种方法的优势在于可以控制实验条件、重复实验、观察微观-宏观联系，补充了理论分析和实证研究之间的空白。</w:t>
      </w:r>
    </w:p>
    <w:p>
      <w:pPr>
        <w:pStyle w:val="Heading3"/>
        <w:spacing w:before="160" w:after="60"/>
      </w:pPr>
      <w:r>
        <w:rPr>
          <w:rFonts w:ascii="Times New Roman" w:hAnsi="Times New Roman" w:eastAsia="黑体"/>
          <w:b/>
          <w:i w:val="0"/>
          <w:sz w:val="24"/>
        </w:rPr>
        <w:t>网络博弈与社会学习</w:t>
      </w:r>
    </w:p>
    <w:p>
      <w:pPr>
        <w:spacing w:line="360" w:lineRule="auto" w:after="0"/>
        <w:ind w:firstLine="425"/>
      </w:pPr>
      <w:r>
        <w:rPr>
          <w:rFonts w:ascii="Times New Roman" w:hAnsi="Times New Roman" w:eastAsia="宋体"/>
          <w:b w:val="0"/>
          <w:i w:val="0"/>
          <w:sz w:val="22"/>
        </w:rPr>
        <w:t>电力市场参与者之间的信息传播和社会影响可以通过网络博弈建模。参与者在社交网络上相互连接，通过观察邻居的策略和收益来更新自身策略。这种社会学习机制可以加速定价机制的接受和传播，但也可能导致信息级联和羊群效应。</w:t>
      </w:r>
    </w:p>
    <w:p>
      <w:pPr>
        <w:spacing w:line="360" w:lineRule="auto" w:after="0"/>
        <w:ind w:firstLine="425"/>
      </w:pPr>
      <w:r>
        <w:rPr>
          <w:rFonts w:ascii="Times New Roman" w:hAnsi="Times New Roman" w:eastAsia="宋体"/>
          <w:b w:val="0"/>
          <w:i w:val="0"/>
          <w:sz w:val="22"/>
        </w:rPr>
        <w:t>在实时定价推广中，早期采用者的正面体验通过社交网络传播，可以吸引更多用户参与。然而，如果早期采用者的体验不佳，负面信息同样会快速传播，阻碍推广。网络结构（如小世界网络、无标度网络）影响信息传播速度和范围，需要在推广策略设计中考虑。</w:t>
      </w:r>
    </w:p>
    <w:p>
      <w:pPr>
        <w:pStyle w:val="Heading3"/>
        <w:spacing w:before="160" w:after="60"/>
      </w:pPr>
      <w:r>
        <w:rPr>
          <w:rFonts w:ascii="Times New Roman" w:hAnsi="Times New Roman" w:eastAsia="黑体"/>
          <w:b/>
          <w:i w:val="0"/>
          <w:sz w:val="24"/>
        </w:rPr>
        <w:t>机制设计的实验验证</w:t>
      </w:r>
    </w:p>
    <w:p>
      <w:pPr>
        <w:spacing w:line="360" w:lineRule="auto" w:after="0"/>
        <w:ind w:firstLine="425"/>
      </w:pPr>
      <w:r>
        <w:rPr>
          <w:rFonts w:ascii="Times New Roman" w:hAnsi="Times New Roman" w:eastAsia="宋体"/>
          <w:b w:val="0"/>
          <w:i w:val="0"/>
          <w:sz w:val="22"/>
        </w:rPr>
        <w:t>实验室实验为机制设计提供了受控验证环境。在实时定价的实验研究中，参与者扮演电力市场中的角色（供电方、用户、聚合商），在模拟市场环境中做出定价和用电决策。实验可以控制市场结构参数（参与者数量、成本结构、信息结构），测试不同定价机制的效果。</w:t>
      </w:r>
    </w:p>
    <w:p>
      <w:pPr>
        <w:spacing w:line="360" w:lineRule="auto" w:after="0"/>
        <w:ind w:firstLine="425"/>
      </w:pPr>
      <w:r>
        <w:rPr>
          <w:rFonts w:ascii="Times New Roman" w:hAnsi="Times New Roman" w:eastAsia="宋体"/>
          <w:b w:val="0"/>
          <w:i w:val="0"/>
          <w:sz w:val="22"/>
        </w:rPr>
        <w:t>实验经济学的主要发现包括：市场参与者的行为通常偏离完全理性预测，但偏离模式具有系统性（可以用行为模型描述）；学习效应显著，参与者经验增加后行为趋于理论预测；市场制度（如信息披露规则、交易机制）对市场效率有显著影响。</w:t>
      </w:r>
    </w:p>
    <w:p>
      <w:pPr>
        <w:spacing w:line="360" w:lineRule="auto" w:after="0"/>
        <w:ind w:firstLine="425"/>
      </w:pPr>
      <w:r>
        <w:rPr>
          <w:rFonts w:ascii="Times New Roman" w:hAnsi="Times New Roman" w:eastAsia="宋体"/>
          <w:b w:val="0"/>
          <w:i w:val="0"/>
          <w:sz w:val="22"/>
        </w:rPr>
        <w:t>这些实验发现对实时定价的实践意义在于：定价机制的设计需要考虑行为偏差（如损失厌恶、现状偏差），不能仅依赖完全理性假设；用户教育和信息透明度对定价机制效果有重要影响；渐进式推广（先小规模试点再全面推广）可以利用学习效应提高接受率。</w:t>
      </w:r>
    </w:p>
    <w:p>
      <w:pPr>
        <w:pStyle w:val="Heading3"/>
        <w:spacing w:before="160" w:after="60"/>
      </w:pPr>
      <w:r>
        <w:rPr>
          <w:rFonts w:ascii="Times New Roman" w:hAnsi="Times New Roman" w:eastAsia="黑体"/>
          <w:b/>
          <w:i w:val="0"/>
          <w:sz w:val="24"/>
        </w:rPr>
        <w:t>2.5.1 自动需求响应的技术架构</w:t>
      </w:r>
    </w:p>
    <w:p>
      <w:pPr>
        <w:spacing w:line="360" w:lineRule="auto" w:after="0"/>
        <w:ind w:firstLine="425"/>
      </w:pPr>
      <w:r>
        <w:rPr>
          <w:rFonts w:ascii="Times New Roman" w:hAnsi="Times New Roman" w:eastAsia="宋体"/>
          <w:b w:val="0"/>
          <w:i w:val="0"/>
          <w:sz w:val="22"/>
        </w:rPr>
        <w:t>自动需求响应（ADR）是需求响应发展的高级阶段，其技术架构涵盖通信层、控制层和应用层三个层次。通信层采用OpenADR 2.0b标准，通过XML数据传输格式实现电网与用户之间的双向信息交互，支持HTTP和XMPP两种传输协议。控制层基于智能终端设备（如智能温控器、智能电表）执行自动化控制策略，响应延迟可控制在秒级。应用层提供需求响应项目管理、效果评估和结算等功能。</w:t>
      </w:r>
    </w:p>
    <w:p>
      <w:pPr>
        <w:spacing w:line="360" w:lineRule="auto" w:after="0"/>
        <w:ind w:firstLine="425"/>
      </w:pPr>
      <w:r>
        <w:rPr>
          <w:rFonts w:ascii="Times New Roman" w:hAnsi="Times New Roman" w:eastAsia="宋体"/>
          <w:b w:val="0"/>
          <w:i w:val="0"/>
          <w:sz w:val="22"/>
        </w:rPr>
        <w:t>在技术实现上，ADR系统通常包含以下核心组件：需求响应服务器（DR Server）、客户端设备（DR Client）、通信网关和用户界面。需求响应服务器部署在电力公司侧，负责发送价格信号和激励事件通知；客户端设备部署在用户侧，根据接收到的信号自动调整用电设备运行状态。通信网关实现协议转换和数据加密，确保通信安全。用户界面提供可视化监控和手动覆盖功能。</w:t>
      </w:r>
    </w:p>
    <w:p>
      <w:pPr>
        <w:spacing w:line="360" w:lineRule="auto" w:after="0"/>
        <w:ind w:firstLine="425"/>
      </w:pPr>
      <w:r>
        <w:rPr>
          <w:rFonts w:ascii="Times New Roman" w:hAnsi="Times New Roman" w:eastAsia="宋体"/>
          <w:b w:val="0"/>
          <w:i w:val="0"/>
          <w:sz w:val="22"/>
        </w:rPr>
        <w:t>OpenADR联盟发布的统计数据显示，截至2023年，全球已有超过50个国家和地区部署了OpenADR兼容系统，连接的自动需求响应容量超过25GW。在美国，FERC要求所有RTO/ISO支持OpenADR标准，促进了跨区域需求响应资源的整合。欧洲的ETP Smart Grids路线图也将ADR列为关键技术方向。</w:t>
      </w:r>
    </w:p>
    <w:p>
      <w:pPr>
        <w:pStyle w:val="Heading3"/>
        <w:spacing w:before="160" w:after="60"/>
      </w:pPr>
      <w:r>
        <w:rPr>
          <w:rFonts w:ascii="Times New Roman" w:hAnsi="Times New Roman" w:eastAsia="黑体"/>
          <w:b/>
          <w:i w:val="0"/>
          <w:sz w:val="24"/>
        </w:rPr>
        <w:t>2.5.2 需求响应的效果评估方法</w:t>
      </w:r>
    </w:p>
    <w:p>
      <w:pPr>
        <w:spacing w:line="360" w:lineRule="auto" w:after="0"/>
        <w:ind w:firstLine="425"/>
      </w:pPr>
      <w:r>
        <w:rPr>
          <w:rFonts w:ascii="Times New Roman" w:hAnsi="Times New Roman" w:eastAsia="宋体"/>
          <w:b w:val="0"/>
          <w:i w:val="0"/>
          <w:sz w:val="22"/>
        </w:rPr>
        <w:t>需求响应项目的效果评估是衡量项目成效的关键环节。常用的评估方法包括基线负荷法、对照群组法和回归分析法。基线负荷法通过计算用户在需求响应事件期间的基线负荷与实际负荷之差来确定削减量。基线负荷通常取事件前若干个工作日同时段负荷的平均值，并根据天气条件进行调整。</w:t>
      </w:r>
    </w:p>
    <w:p>
      <w:pPr>
        <w:spacing w:line="360" w:lineRule="auto" w:after="0"/>
        <w:ind w:firstLine="425"/>
      </w:pPr>
      <w:r>
        <w:rPr>
          <w:rFonts w:ascii="Times New Roman" w:hAnsi="Times New Roman" w:eastAsia="宋体"/>
          <w:b w:val="0"/>
          <w:i w:val="0"/>
          <w:sz w:val="22"/>
        </w:rPr>
        <w:t>对照群组法选取与参与需求响应用户特征相似但未参与的用户作为对照组，通过比较两组负荷差异来评估效果。这种方法能够控制天气、节假日等外部因素的影响，评估结果更为准确，但需要较大的样本量。回归分析法建立负荷与价格、天气等变量的回归模型，通过反事实分析估计需求响应效果。</w:t>
      </w:r>
    </w:p>
    <w:p>
      <w:pPr>
        <w:spacing w:line="360" w:lineRule="auto" w:after="0"/>
        <w:ind w:firstLine="425"/>
      </w:pPr>
      <w:r>
        <w:rPr>
          <w:rFonts w:ascii="Times New Roman" w:hAnsi="Times New Roman" w:eastAsia="宋体"/>
          <w:b w:val="0"/>
          <w:i w:val="0"/>
          <w:sz w:val="22"/>
        </w:rPr>
        <w:t>IEEE 2030.6标准对需求响应效果评估的技术框架进行了规范，定义了基线计算方法、不确定性分析和报告格式等要求。该标准已成为国际通用的需求响应评估指南。</w:t>
      </w:r>
    </w:p>
    <w:p>
      <w:pPr>
        <w:pStyle w:val="Heading3"/>
        <w:spacing w:before="160" w:after="60"/>
      </w:pPr>
      <w:r>
        <w:rPr>
          <w:rFonts w:ascii="Times New Roman" w:hAnsi="Times New Roman" w:eastAsia="黑体"/>
          <w:b/>
          <w:i w:val="0"/>
          <w:sz w:val="24"/>
        </w:rPr>
        <w:t>2.5.3 需求响应与可再生能源的协同</w:t>
      </w:r>
    </w:p>
    <w:p>
      <w:pPr>
        <w:spacing w:line="360" w:lineRule="auto" w:after="0"/>
        <w:ind w:firstLine="425"/>
      </w:pPr>
      <w:r>
        <w:rPr>
          <w:rFonts w:ascii="Times New Roman" w:hAnsi="Times New Roman" w:eastAsia="宋体"/>
          <w:b w:val="0"/>
          <w:i w:val="0"/>
          <w:sz w:val="22"/>
        </w:rPr>
        <w:t>随着可再生能源渗透率的提高，需求响应在平衡可再生能源波动方面的作用日益重要。风能和太阳能的出力具有间歇性和不可完全预测性，传统上通过灵活发电机组和储能系统来平衡。需求响应通过引导用户在可再生能源出力高峰期增加用电、在低谷期减少用电，实现了负荷侧的灵活调节。</w:t>
      </w:r>
    </w:p>
    <w:p>
      <w:pPr>
        <w:spacing w:line="360" w:lineRule="auto" w:after="0"/>
        <w:ind w:firstLine="425"/>
      </w:pPr>
      <w:r>
        <w:rPr>
          <w:rFonts w:ascii="Times New Roman" w:hAnsi="Times New Roman" w:eastAsia="宋体"/>
          <w:b w:val="0"/>
          <w:i w:val="0"/>
          <w:sz w:val="22"/>
        </w:rPr>
        <w:t>这种"负荷跟随发电"的模式被称为"负荷灵活性"（Load Flexibility）。研究表明，在美国加州电网中，通过实施与太阳能出力联动的需求响应项目，可将"鸭子曲线"的爬坡需求降低约40%。在德国电网中，风能与电采暖需求响应的协同可减少约15%的风电弃风量。</w:t>
      </w:r>
    </w:p>
    <w:p>
      <w:pPr>
        <w:spacing w:line="360" w:lineRule="auto" w:after="0"/>
        <w:ind w:firstLine="425"/>
      </w:pPr>
      <w:r>
        <w:rPr>
          <w:rFonts w:ascii="Times New Roman" w:hAnsi="Times New Roman" w:eastAsia="宋体"/>
          <w:b w:val="0"/>
          <w:i w:val="0"/>
          <w:sz w:val="22"/>
        </w:rPr>
        <w:t>需求响应与储能系统的协同优化是当前研究的热点。储能系统提供短时调节能力，需求响应对应中长时调节，两者互补可显著提高系统灵活性。优化模型通常采用随机规划或鲁棒优化方法，在考虑不确定性条件下联合优化储能充放电策略和需求响应调度策略。</w:t>
      </w:r>
    </w:p>
    <w:p>
      <w:pPr>
        <w:pStyle w:val="Heading3"/>
        <w:spacing w:before="160" w:after="60"/>
      </w:pPr>
      <w:r>
        <w:rPr>
          <w:rFonts w:ascii="Times New Roman" w:hAnsi="Times New Roman" w:eastAsia="黑体"/>
          <w:b/>
          <w:i w:val="0"/>
          <w:sz w:val="24"/>
        </w:rPr>
        <w:t>2.5.4 需求响应的消费者行为理论</w:t>
      </w:r>
    </w:p>
    <w:p>
      <w:pPr>
        <w:spacing w:line="360" w:lineRule="auto" w:after="0"/>
        <w:ind w:firstLine="425"/>
      </w:pPr>
      <w:r>
        <w:rPr>
          <w:rFonts w:ascii="Times New Roman" w:hAnsi="Times New Roman" w:eastAsia="宋体"/>
          <w:b w:val="0"/>
          <w:i w:val="0"/>
          <w:sz w:val="22"/>
        </w:rPr>
        <w:t>需求响应的效果在很大程度上取决于消费者的行为决策模式。传统的理性消费者假设认为，用户在收到价格信号后会理性地调整用电行为以最大化自身效用。然而，行为经济学的研究表明，用户的实际决策受到多种认知偏差和行为惯性的影响。</w:t>
      </w:r>
    </w:p>
    <w:p>
      <w:pPr>
        <w:spacing w:line="360" w:lineRule="auto" w:after="0"/>
        <w:ind w:firstLine="425"/>
      </w:pPr>
      <w:r>
        <w:rPr>
          <w:rFonts w:ascii="Times New Roman" w:hAnsi="Times New Roman" w:eastAsia="宋体"/>
          <w:b/>
          <w:i w:val="0"/>
          <w:sz w:val="22"/>
        </w:rPr>
        <w:t>损失厌恶效应</w:t>
      </w:r>
      <w:r>
        <w:rPr>
          <w:rFonts w:ascii="Times New Roman" w:hAnsi="Times New Roman" w:eastAsia="宋体"/>
          <w:b w:val="0"/>
          <w:i w:val="0"/>
          <w:sz w:val="22"/>
        </w:rPr>
        <w:t>：Kahneman和Tversky的前景理论指出，人们对损失的感受约为等量收益的2.25倍。在实时定价中，用户对电费增加的敏感度远高于对电费降低的感知。这意味着价格上涨驱动需求削减的效果比价格下降驱动需求增加的效果更显著。实证研究显示，价格上升10%导致的负荷削减平均为2.8%，而价格下降10%导致的负荷增加仅为1.2%。</w:t>
      </w:r>
    </w:p>
    <w:p>
      <w:pPr>
        <w:spacing w:line="360" w:lineRule="auto" w:after="0"/>
        <w:ind w:firstLine="425"/>
      </w:pPr>
      <w:r>
        <w:rPr>
          <w:rFonts w:ascii="Times New Roman" w:hAnsi="Times New Roman" w:eastAsia="宋体"/>
          <w:b/>
          <w:i w:val="0"/>
          <w:sz w:val="22"/>
        </w:rPr>
        <w:t>现状偏差</w:t>
      </w:r>
      <w:r>
        <w:rPr>
          <w:rFonts w:ascii="Times New Roman" w:hAnsi="Times New Roman" w:eastAsia="宋体"/>
          <w:b w:val="0"/>
          <w:i w:val="0"/>
          <w:sz w:val="22"/>
        </w:rPr>
        <w:t>：用户倾向于维持现有的用电习惯，即使面临有利的价格信号也不愿改变。这种偏差导致实时定价的初始响应率较低，但随着用户逐渐熟悉价格机制，响应率会逐步提高。研究表明，用户参与RTP 6个月后的响应强度是初期的1.5到2倍。</w:t>
      </w:r>
    </w:p>
    <w:p>
      <w:pPr>
        <w:spacing w:line="360" w:lineRule="auto" w:after="0"/>
        <w:ind w:firstLine="425"/>
      </w:pPr>
      <w:r>
        <w:rPr>
          <w:rFonts w:ascii="Times New Roman" w:hAnsi="Times New Roman" w:eastAsia="宋体"/>
          <w:b/>
          <w:i w:val="0"/>
          <w:sz w:val="22"/>
        </w:rPr>
        <w:t>注意力有限性</w:t>
      </w:r>
      <w:r>
        <w:rPr>
          <w:rFonts w:ascii="Times New Roman" w:hAnsi="Times New Roman" w:eastAsia="宋体"/>
          <w:b w:val="0"/>
          <w:i w:val="0"/>
          <w:sz w:val="22"/>
        </w:rPr>
        <w:t>：用户不可能持续关注电价变化并实时调整用电行为。智能家居自动化技术（如可编程温控器、智能插座）通过将响应决策从用户转移到设备，有效克服了注意力有限性问题。自动需求响应的参与率通常比手动响应高3到5倍。</w:t>
      </w:r>
    </w:p>
    <w:p>
      <w:pPr>
        <w:spacing w:line="360" w:lineRule="auto" w:after="0"/>
        <w:ind w:firstLine="425"/>
      </w:pPr>
      <w:r>
        <w:rPr>
          <w:rFonts w:ascii="Times New Roman" w:hAnsi="Times New Roman" w:eastAsia="宋体"/>
          <w:b w:val="0"/>
          <w:i w:val="0"/>
          <w:sz w:val="22"/>
        </w:rPr>
        <w:t>这些行为洞察对实时定价机制设计有重要启示：定价策略应考虑用户的行为特征而非仅基于理性假设；价格信号的简洁性和可预测性比精确性更重要；自动化技术是释放需求响应潜力的关键。</w:t>
      </w:r>
    </w:p>
    <w:p>
      <w:pPr>
        <w:pStyle w:val="Heading3"/>
        <w:spacing w:before="160" w:after="60"/>
      </w:pPr>
      <w:r>
        <w:rPr>
          <w:rFonts w:ascii="Times New Roman" w:hAnsi="Times New Roman" w:eastAsia="黑体"/>
          <w:b/>
          <w:i w:val="0"/>
          <w:sz w:val="24"/>
        </w:rPr>
        <w:t>2.5.5 需求响应项目设计原则</w:t>
      </w:r>
    </w:p>
    <w:p>
      <w:pPr>
        <w:spacing w:line="360" w:lineRule="auto" w:after="0"/>
        <w:ind w:firstLine="425"/>
      </w:pPr>
      <w:r>
        <w:rPr>
          <w:rFonts w:ascii="Times New Roman" w:hAnsi="Times New Roman" w:eastAsia="宋体"/>
          <w:b w:val="0"/>
          <w:i w:val="0"/>
          <w:sz w:val="22"/>
        </w:rPr>
        <w:t>基于大量实践经验和理论研究，需求响应项目设计应遵循以下原则。</w:t>
      </w:r>
    </w:p>
    <w:p>
      <w:pPr>
        <w:spacing w:line="360" w:lineRule="auto" w:after="0"/>
        <w:ind w:firstLine="425"/>
      </w:pPr>
      <w:r>
        <w:rPr>
          <w:rFonts w:ascii="Times New Roman" w:hAnsi="Times New Roman" w:eastAsia="宋体"/>
          <w:b/>
          <w:i w:val="0"/>
          <w:sz w:val="22"/>
        </w:rPr>
        <w:t>分层参与原则</w:t>
      </w:r>
      <w:r>
        <w:rPr>
          <w:rFonts w:ascii="Times New Roman" w:hAnsi="Times New Roman" w:eastAsia="宋体"/>
          <w:b w:val="0"/>
          <w:i w:val="0"/>
          <w:sz w:val="22"/>
        </w:rPr>
        <w:t>：提供多个参与层级，允许用户根据自身情况选择参与深度。基础层仅提供价格信息，用户自主响应；中间层提供半自动响应选项；高级层提供全自动响应。这种分层设计兼顾了用户自主性和响应效果。</w:t>
      </w:r>
    </w:p>
    <w:p>
      <w:pPr>
        <w:spacing w:line="360" w:lineRule="auto" w:after="0"/>
        <w:ind w:firstLine="425"/>
      </w:pPr>
      <w:r>
        <w:rPr>
          <w:rFonts w:ascii="Times New Roman" w:hAnsi="Times New Roman" w:eastAsia="宋体"/>
          <w:b/>
          <w:i w:val="0"/>
          <w:sz w:val="22"/>
        </w:rPr>
        <w:t>风险管控原则</w:t>
      </w:r>
      <w:r>
        <w:rPr>
          <w:rFonts w:ascii="Times New Roman" w:hAnsi="Times New Roman" w:eastAsia="宋体"/>
          <w:b w:val="0"/>
          <w:i w:val="0"/>
          <w:sz w:val="22"/>
        </w:rPr>
        <w:t>：实时电价的波动性可能给用户带来不可预见的成本增加。价格上限、账单保护（bill protection）和价格保险等风险管理工具可以降低用户面临的价格波动风险。特别是对于低收入群体和关键基础设施，价格保护机制至关重要。</w:t>
      </w:r>
    </w:p>
    <w:p>
      <w:pPr>
        <w:spacing w:line="360" w:lineRule="auto" w:after="0"/>
        <w:ind w:firstLine="425"/>
      </w:pPr>
      <w:r>
        <w:rPr>
          <w:rFonts w:ascii="Times New Roman" w:hAnsi="Times New Roman" w:eastAsia="宋体"/>
          <w:b/>
          <w:i w:val="0"/>
          <w:sz w:val="22"/>
        </w:rPr>
        <w:t>信息透明原则</w:t>
      </w:r>
      <w:r>
        <w:rPr>
          <w:rFonts w:ascii="Times New Roman" w:hAnsi="Times New Roman" w:eastAsia="宋体"/>
          <w:b w:val="0"/>
          <w:i w:val="0"/>
          <w:sz w:val="22"/>
        </w:rPr>
        <w:t>：用户需要获得足够的信息来做出合理的用电决策。这包括当前电价、历史用电和电费数据、未来价格预测以及响应效果反馈。OpenADR标准支持这些信息的标准化传输。</w:t>
      </w:r>
    </w:p>
    <w:p>
      <w:pPr>
        <w:spacing w:line="360" w:lineRule="auto" w:after="0"/>
        <w:ind w:firstLine="425"/>
      </w:pPr>
      <w:r>
        <w:rPr>
          <w:rFonts w:ascii="Times New Roman" w:hAnsi="Times New Roman" w:eastAsia="宋体"/>
          <w:b/>
          <w:i w:val="0"/>
          <w:sz w:val="22"/>
        </w:rPr>
        <w:t>渐进推广原则</w:t>
      </w:r>
      <w:r>
        <w:rPr>
          <w:rFonts w:ascii="Times New Roman" w:hAnsi="Times New Roman" w:eastAsia="宋体"/>
          <w:b w:val="0"/>
          <w:i w:val="0"/>
          <w:sz w:val="22"/>
        </w:rPr>
        <w:t>：从自愿参与的试点项目开始，逐步扩大规模和范围。试点阶段应收集详尽数据用于效果评估和机制优化，为全面推广奠定基础。</w:t>
      </w:r>
    </w:p>
    <w:p>
      <w:pPr>
        <w:pStyle w:val="Heading3"/>
        <w:spacing w:before="160" w:after="60"/>
      </w:pPr>
      <w:r>
        <w:rPr>
          <w:rFonts w:ascii="Times New Roman" w:hAnsi="Times New Roman" w:eastAsia="黑体"/>
          <w:b/>
          <w:i w:val="0"/>
          <w:sz w:val="24"/>
        </w:rPr>
        <w:t>2.5.6 需求响应的市场化演进</w:t>
      </w:r>
    </w:p>
    <w:p>
      <w:pPr>
        <w:spacing w:line="360" w:lineRule="auto" w:after="0"/>
        <w:ind w:firstLine="425"/>
      </w:pPr>
      <w:r>
        <w:rPr>
          <w:rFonts w:ascii="Times New Roman" w:hAnsi="Times New Roman" w:eastAsia="宋体"/>
          <w:b w:val="0"/>
          <w:i w:val="0"/>
          <w:sz w:val="22"/>
        </w:rPr>
        <w:t>需求响应的市场化是电力体制改革的重要方向。传统上，需求响应由电网公司主导，通过行政指令或补贴激励用户参与。随着电力市场的完善，需求响应正逐步向市场化交易模式转变。</w:t>
      </w:r>
    </w:p>
    <w:p>
      <w:pPr>
        <w:spacing w:line="360" w:lineRule="auto" w:after="0"/>
        <w:ind w:firstLine="425"/>
      </w:pPr>
      <w:r>
        <w:rPr>
          <w:rFonts w:ascii="Times New Roman" w:hAnsi="Times New Roman" w:eastAsia="宋体"/>
          <w:b/>
          <w:i w:val="0"/>
          <w:sz w:val="22"/>
        </w:rPr>
        <w:t>需求响应资源聚合</w:t>
      </w:r>
      <w:r>
        <w:rPr>
          <w:rFonts w:ascii="Times New Roman" w:hAnsi="Times New Roman" w:eastAsia="宋体"/>
          <w:b w:val="0"/>
          <w:i w:val="0"/>
          <w:sz w:val="22"/>
        </w:rPr>
        <w:t>：聚合商将分散的小型需求响应资源（如居民空调、电动汽车充电、商业楼宇照明）聚合为大型资源参与批发市场。聚合模式降低了小型用户参与市场的门槛，提高了需求响应资源的流动性。FERC Order 2222（2020年）明确允许聚合商在RTO/ISO市场中注册并参与交易，为需求响应市场化提供了制度保障。</w:t>
      </w:r>
    </w:p>
    <w:p>
      <w:pPr>
        <w:spacing w:line="360" w:lineRule="auto" w:after="0"/>
        <w:ind w:firstLine="425"/>
      </w:pPr>
      <w:r>
        <w:rPr>
          <w:rFonts w:ascii="Times New Roman" w:hAnsi="Times New Roman" w:eastAsia="宋体"/>
          <w:b/>
          <w:i w:val="0"/>
          <w:sz w:val="22"/>
        </w:rPr>
        <w:t>需求响应容量市场</w:t>
      </w:r>
      <w:r>
        <w:rPr>
          <w:rFonts w:ascii="Times New Roman" w:hAnsi="Times New Roman" w:eastAsia="宋体"/>
          <w:b w:val="0"/>
          <w:i w:val="0"/>
          <w:sz w:val="22"/>
        </w:rPr>
        <w:t>：在容量市场中，需求响应资源可以与发电资源竞争提供容量服务。需求响应容量的价值在于在系统峰值时削减负荷，等效于增加了发电容量。PJM容量市场已允许需求响应资源参与竞标，2025年需求响应容量占PJM总容量的约8%。</w:t>
      </w:r>
    </w:p>
    <w:p>
      <w:pPr>
        <w:spacing w:line="360" w:lineRule="auto" w:after="0"/>
        <w:ind w:firstLine="425"/>
      </w:pPr>
      <w:r>
        <w:rPr>
          <w:rFonts w:ascii="Times New Roman" w:hAnsi="Times New Roman" w:eastAsia="宋体"/>
          <w:b/>
          <w:i w:val="0"/>
          <w:sz w:val="22"/>
        </w:rPr>
        <w:t>需求响应能量市场</w:t>
      </w:r>
      <w:r>
        <w:rPr>
          <w:rFonts w:ascii="Times New Roman" w:hAnsi="Times New Roman" w:eastAsia="宋体"/>
          <w:b w:val="0"/>
          <w:i w:val="0"/>
          <w:sz w:val="22"/>
        </w:rPr>
        <w:t>：在能量市场中，需求响应通过实时电价信号引导用户削减负荷，削减的负荷等效于负的发电量参与市场出清。这种模式需要精确的基线负荷计算和效果验证机制。OpenADR标准提供了自动化的需求响应事件通知和效果报告框架。</w:t>
      </w:r>
    </w:p>
    <w:p>
      <w:pPr>
        <w:pStyle w:val="Heading2"/>
        <w:spacing w:before="240" w:after="80"/>
      </w:pPr>
      <w:r>
        <w:rPr>
          <w:rFonts w:ascii="Times New Roman" w:hAnsi="Times New Roman" w:eastAsia="黑体"/>
          <w:b/>
          <w:i w:val="0"/>
          <w:sz w:val="28"/>
        </w:rPr>
        <w:t>参考文献</w:t>
      </w:r>
    </w:p>
    <w:p>
      <w:pPr>
        <w:spacing w:after="40" w:line="276" w:lineRule="auto"/>
        <w:ind w:left="425" w:hanging="425"/>
      </w:pPr>
      <w:r>
        <w:rPr>
          <w:rFonts w:ascii="Times New Roman" w:hAnsi="Times New Roman" w:eastAsia="宋体"/>
          <w:b w:val="0"/>
          <w:i w:val="0"/>
          <w:sz w:val="20"/>
        </w:rPr>
        <w:t>[1] Federal Energy Regulatory Commission. Assessment of Demand Response and Advanced Metering[R]. FERC Staff Report, 2020.</w:t>
      </w:r>
    </w:p>
    <w:p>
      <w:pPr>
        <w:spacing w:after="40" w:line="276" w:lineRule="auto"/>
        <w:ind w:left="425" w:hanging="425"/>
      </w:pPr>
      <w:r>
        <w:rPr>
          <w:rFonts w:ascii="Times New Roman" w:hAnsi="Times New Roman" w:eastAsia="宋体"/>
          <w:b w:val="0"/>
          <w:i w:val="0"/>
          <w:sz w:val="20"/>
        </w:rPr>
        <w:t>[2] U.S. Federal Energy Regulatory Commission. Order No. 745: Demand Response Compensation in Organized Wholesale Energy Markets[R]. 2011.</w:t>
      </w:r>
    </w:p>
    <w:p>
      <w:pPr>
        <w:spacing w:after="40" w:line="276" w:lineRule="auto"/>
        <w:ind w:left="425" w:hanging="425"/>
      </w:pPr>
      <w:r>
        <w:rPr>
          <w:rFonts w:ascii="Times New Roman" w:hAnsi="Times New Roman" w:eastAsia="宋体"/>
          <w:b w:val="0"/>
          <w:i w:val="0"/>
          <w:sz w:val="20"/>
        </w:rPr>
        <w:t>[3] Hussain M, Gao Y. A Review of Demand Response in an Efficient Smart Grid Environment[J]. The Electricity Journal, 2018, 31(5): 1-11.</w:t>
      </w:r>
    </w:p>
    <w:p>
      <w:pPr>
        <w:spacing w:after="40" w:line="276" w:lineRule="auto"/>
        <w:ind w:left="425" w:hanging="425"/>
      </w:pPr>
      <w:r>
        <w:rPr>
          <w:rFonts w:ascii="Times New Roman" w:hAnsi="Times New Roman" w:eastAsia="宋体"/>
          <w:b w:val="0"/>
          <w:i w:val="0"/>
          <w:sz w:val="20"/>
        </w:rPr>
        <w:t>[4] 张钦, 王锡凡, 王建学, 等. 电力市场下需求响应研究综述[J]. 电力系统自动化, 2008, 32(3): 97-106.</w:t>
      </w:r>
    </w:p>
    <w:p>
      <w:pPr>
        <w:spacing w:after="40" w:line="276" w:lineRule="auto"/>
        <w:ind w:left="425" w:hanging="425"/>
      </w:pPr>
      <w:r>
        <w:rPr>
          <w:rFonts w:ascii="Times New Roman" w:hAnsi="Times New Roman" w:eastAsia="宋体"/>
          <w:b w:val="0"/>
          <w:i w:val="0"/>
          <w:sz w:val="20"/>
        </w:rPr>
        <w:t>[5] 潘等. 基于需求响应的含光伏电力系统优化及其算法改进[J]. 电力系统自动化, 2019, 43(8): 58-66.</w:t>
      </w:r>
    </w:p>
    <w:p>
      <w:pPr>
        <w:spacing w:after="40" w:line="276" w:lineRule="auto"/>
        <w:ind w:left="425" w:hanging="425"/>
      </w:pPr>
      <w:r>
        <w:rPr>
          <w:rFonts w:ascii="Times New Roman" w:hAnsi="Times New Roman" w:eastAsia="宋体"/>
          <w:b w:val="0"/>
          <w:i w:val="0"/>
          <w:sz w:val="20"/>
        </w:rPr>
        <w:t>[6] 张芸荣. 考虑新能源供能波动的电力需求响应机制设计研究[D]. 上海理工大学, 2020.</w:t>
      </w:r>
    </w:p>
    <w:p>
      <w:pPr>
        <w:spacing w:after="40" w:line="276" w:lineRule="auto"/>
        <w:ind w:left="425" w:hanging="425"/>
      </w:pPr>
      <w:r>
        <w:rPr>
          <w:rFonts w:ascii="Times New Roman" w:hAnsi="Times New Roman" w:eastAsia="宋体"/>
          <w:b w:val="0"/>
          <w:i w:val="0"/>
          <w:sz w:val="20"/>
        </w:rPr>
        <w:t>[7] 代业明, 高岩, 朱红波, 等. 考虑消费者激励因素的智能电网多零售商多用户实时定价策略[J]. 电力系统保护与控制, 2017, 45(2): 28-35.</w:t>
      </w:r>
    </w:p>
    <w:p>
      <w:pPr>
        <w:spacing w:after="40" w:line="276" w:lineRule="auto"/>
        <w:ind w:left="425" w:hanging="425"/>
      </w:pPr>
      <w:r>
        <w:rPr>
          <w:rFonts w:ascii="Times New Roman" w:hAnsi="Times New Roman" w:eastAsia="宋体"/>
          <w:b w:val="0"/>
          <w:i w:val="0"/>
          <w:sz w:val="20"/>
        </w:rPr>
        <w:t>[8] 黄海新, 邓丽, 张路. 基于需求响应的实时电价研究综述[J]. 电网技术, 2015, 39(11): 3145-3151.</w:t>
      </w:r>
    </w:p>
    <w:p>
      <w:pPr>
        <w:spacing w:after="40" w:line="276" w:lineRule="auto"/>
        <w:ind w:left="425" w:hanging="425"/>
      </w:pPr>
      <w:r>
        <w:rPr>
          <w:rFonts w:ascii="Times New Roman" w:hAnsi="Times New Roman" w:eastAsia="宋体"/>
          <w:b w:val="0"/>
          <w:i w:val="0"/>
          <w:sz w:val="20"/>
        </w:rPr>
        <w:t>[9] 李军祥, 高岩, 朱红波. 基于用户电器分类的智能电网实时定价研究[J]. 电力系统保护与控制, 2019, 47(8): 28-35.</w:t>
      </w:r>
    </w:p>
    <w:p>
      <w:pPr>
        <w:spacing w:after="40" w:line="276" w:lineRule="auto"/>
        <w:ind w:left="425" w:hanging="425"/>
      </w:pPr>
      <w:r>
        <w:rPr>
          <w:rFonts w:ascii="Times New Roman" w:hAnsi="Times New Roman" w:eastAsia="宋体"/>
          <w:b w:val="0"/>
          <w:i w:val="0"/>
          <w:sz w:val="20"/>
        </w:rPr>
        <w:t>[10] 张莉, 高岩, 朱红波. 具有时间耦合约束的多时段智能电网实时电价[J]. 电力系统自动化, 2019, 43(10): 58-65.</w:t>
      </w:r>
    </w:p>
    <w:p>
      <w:pPr>
        <w:spacing w:after="40" w:line="276" w:lineRule="auto"/>
        <w:ind w:left="425" w:hanging="425"/>
      </w:pPr>
      <w:r>
        <w:rPr>
          <w:rFonts w:ascii="Times New Roman" w:hAnsi="Times New Roman" w:eastAsia="宋体"/>
          <w:b w:val="0"/>
          <w:i w:val="0"/>
          <w:sz w:val="20"/>
        </w:rPr>
        <w:t>[11] Samadi P, Mohsenian-Rad A H, Schober R, et al. Optimal Real-Time Pricing Algorithm Based on Utility Maximization for Smart Grid[C]. IEEE SmartGridComm, 2010: 415-420.</w:t>
      </w:r>
    </w:p>
    <w:p>
      <w:pPr>
        <w:spacing w:after="40" w:line="276" w:lineRule="auto"/>
        <w:ind w:left="425" w:hanging="425"/>
      </w:pPr>
      <w:r>
        <w:rPr>
          <w:rFonts w:ascii="Times New Roman" w:hAnsi="Times New Roman" w:eastAsia="宋体"/>
          <w:b w:val="0"/>
          <w:i w:val="0"/>
          <w:sz w:val="20"/>
        </w:rPr>
        <w:t>[12] 徐伟强, 冯兆丽, 黄炯, 等. 基于改进对偶分解的智能电网快速实时定价方法[J]. 电力系统自动化, 2012, 36(24): 50-55.</w:t>
      </w:r>
    </w:p>
    <w:p>
      <w:pPr>
        <w:spacing w:after="40" w:line="276" w:lineRule="auto"/>
        <w:ind w:left="425" w:hanging="425"/>
      </w:pPr>
      <w:r>
        <w:rPr>
          <w:rFonts w:ascii="Times New Roman" w:hAnsi="Times New Roman" w:eastAsia="宋体"/>
          <w:b w:val="0"/>
          <w:i w:val="0"/>
          <w:sz w:val="20"/>
        </w:rPr>
        <w:t>[13] 代业明, 高岩. 分布式发电系统动态定价决策[J]. 系统工程理论与实践, 2016, 36(5): 1192-1199.</w:t>
      </w:r>
    </w:p>
    <w:p>
      <w:pPr>
        <w:spacing w:after="40" w:line="276" w:lineRule="auto"/>
        <w:ind w:left="425" w:hanging="425"/>
      </w:pPr>
      <w:r>
        <w:rPr>
          <w:rFonts w:ascii="Times New Roman" w:hAnsi="Times New Roman" w:eastAsia="宋体"/>
          <w:b w:val="0"/>
          <w:i w:val="0"/>
          <w:sz w:val="20"/>
        </w:rPr>
        <w:t>[14] 朱红波. 考虑风险的智能电网实时电价定价策略[J]. 电力系统保护与控制, 2018, 46(4): 35-42.</w:t>
      </w:r>
    </w:p>
    <w:p>
      <w:pPr>
        <w:spacing w:after="40" w:line="276" w:lineRule="auto"/>
        <w:ind w:left="425" w:hanging="425"/>
      </w:pPr>
      <w:r>
        <w:rPr>
          <w:rFonts w:ascii="Times New Roman" w:hAnsi="Times New Roman" w:eastAsia="宋体"/>
          <w:b w:val="0"/>
          <w:i w:val="0"/>
          <w:sz w:val="20"/>
        </w:rPr>
        <w:t>[15] 金颖丰, 高岩. 智能电网分段实时定价优化策略研究[J]. 系统工程理论与实践, 2016, 36(3): 685-693.</w:t>
      </w:r>
    </w:p>
    <w:p>
      <w:pPr>
        <w:spacing w:after="40" w:line="276" w:lineRule="auto"/>
        <w:ind w:left="425" w:hanging="425"/>
      </w:pPr>
      <w:r>
        <w:rPr>
          <w:rFonts w:ascii="Times New Roman" w:hAnsi="Times New Roman" w:eastAsia="宋体"/>
          <w:b w:val="0"/>
          <w:i w:val="0"/>
          <w:sz w:val="20"/>
        </w:rPr>
        <w:t>[16] Hussain M, et al. Fostering Residential Demand Response through Developing Proactive and Elastic Programs[J]. Energies, 2018, 11(11): 2943.</w:t>
      </w:r>
    </w:p>
    <w:p>
      <w:pPr>
        <w:spacing w:after="40" w:line="276" w:lineRule="auto"/>
        <w:ind w:left="425" w:hanging="425"/>
      </w:pPr>
      <w:r>
        <w:rPr>
          <w:rFonts w:ascii="Times New Roman" w:hAnsi="Times New Roman" w:eastAsia="宋体"/>
          <w:b w:val="0"/>
          <w:i w:val="0"/>
          <w:sz w:val="20"/>
        </w:rPr>
        <w:t>[17] 李军祥, 等. 电力零售商引导下智能电网多方利益均衡策略[J]. 系统工程理论与实践, 2022, 42(5): 1234-1246.</w:t>
      </w:r>
    </w:p>
    <w:p>
      <w:pPr>
        <w:spacing w:after="40" w:line="276" w:lineRule="auto"/>
        <w:ind w:left="425" w:hanging="425"/>
      </w:pPr>
      <w:r>
        <w:rPr>
          <w:rFonts w:ascii="Times New Roman" w:hAnsi="Times New Roman" w:eastAsia="宋体"/>
          <w:b w:val="0"/>
          <w:i w:val="0"/>
          <w:sz w:val="20"/>
        </w:rPr>
        <w:t>[18] Wu et al. Real-Time Bidding Model of Cryptocurrency Energy Trading Platform[J]. Journal of Industrial and Management Optimization, 2021, 17(4): 1-20.</w:t>
      </w:r>
    </w:p>
    <w:p>
      <w:pPr>
        <w:jc w:val="center"/>
      </w:pPr>
      <w:r>
        <w:drawing>
          <wp:inline xmlns:a="http://schemas.openxmlformats.org/drawingml/2006/main" xmlns:pic="http://schemas.openxmlformats.org/drawingml/2006/picture">
            <wp:extent cx="5029200" cy="2484141"/>
            <wp:docPr id="2" name="Picture 2"/>
            <wp:cNvGraphicFramePr>
              <a:graphicFrameLocks noChangeAspect="1"/>
            </wp:cNvGraphicFramePr>
            <a:graphic>
              <a:graphicData uri="http://schemas.openxmlformats.org/drawingml/2006/picture">
                <pic:pic>
                  <pic:nvPicPr>
                    <pic:cNvPr id="0" name="02_demand_response.png"/>
                    <pic:cNvPicPr/>
                  </pic:nvPicPr>
                  <pic:blipFill>
                    <a:blip r:embed="rId10"/>
                    <a:stretch>
                      <a:fillRect/>
                    </a:stretch>
                  </pic:blipFill>
                  <pic:spPr>
                    <a:xfrm>
                      <a:off x="0" y="0"/>
                      <a:ext cx="5029200" cy="2484141"/>
                    </a:xfrm>
                    <a:prstGeom prst="rect"/>
                  </pic:spPr>
                </pic:pic>
              </a:graphicData>
            </a:graphic>
          </wp:inline>
        </w:drawing>
      </w:r>
    </w:p>
    <w:p>
      <w:pPr>
        <w:jc w:val="center"/>
      </w:pPr>
      <w:r>
        <w:rPr>
          <w:rFonts w:ascii="Times New Roman" w:hAnsi="Times New Roman" w:eastAsia="黑体"/>
          <w:b/>
          <w:i w:val="0"/>
          <w:color w:val="606060"/>
          <w:sz w:val="20"/>
        </w:rPr>
        <w:t>图2 需求响应削峰填谷效果</w:t>
      </w:r>
    </w:p>
    <w:p>
      <w:r>
        <w:br w:type="page"/>
      </w:r>
    </w:p>
    <w:p>
      <w:pPr>
        <w:pStyle w:val="Heading1"/>
        <w:spacing w:before="360" w:after="120"/>
      </w:pPr>
      <w:r>
        <w:rPr>
          <w:rFonts w:ascii="Times New Roman" w:hAnsi="Times New Roman" w:eastAsia="黑体"/>
          <w:b/>
          <w:i w:val="0"/>
          <w:sz w:val="32"/>
        </w:rPr>
        <w:t>第3章 实时定价的经济学原理</w:t>
      </w:r>
    </w:p>
    <w:p>
      <w:pPr>
        <w:pStyle w:val="Heading2"/>
        <w:spacing w:before="240" w:after="80"/>
      </w:pPr>
      <w:r>
        <w:rPr>
          <w:rFonts w:ascii="Times New Roman" w:hAnsi="Times New Roman" w:eastAsia="黑体"/>
          <w:b/>
          <w:i w:val="0"/>
          <w:sz w:val="28"/>
        </w:rPr>
        <w:t>学习目标</w:t>
      </w:r>
    </w:p>
    <w:p>
      <w:pPr>
        <w:pStyle w:val="ListBullet"/>
        <w:spacing w:line="360" w:lineRule="auto" w:after="0"/>
      </w:pPr>
      <w:r>
        <w:rPr>
          <w:rFonts w:ascii="Times New Roman" w:hAnsi="Times New Roman" w:eastAsia="宋体"/>
          <w:b w:val="0"/>
          <w:i w:val="0"/>
          <w:sz w:val="22"/>
        </w:rPr>
        <w:t>理解电力市场的基本结构和运行机制</w:t>
      </w:r>
    </w:p>
    <w:p>
      <w:pPr>
        <w:pStyle w:val="ListBullet"/>
        <w:spacing w:line="360" w:lineRule="auto" w:after="0"/>
      </w:pPr>
      <w:r>
        <w:rPr>
          <w:rFonts w:ascii="Times New Roman" w:hAnsi="Times New Roman" w:eastAsia="宋体"/>
          <w:b w:val="0"/>
          <w:i w:val="0"/>
          <w:sz w:val="22"/>
        </w:rPr>
        <w:t>掌握边际成本定价理论及其在电力市场中的应用</w:t>
      </w:r>
    </w:p>
    <w:p>
      <w:pPr>
        <w:pStyle w:val="ListBullet"/>
        <w:spacing w:line="360" w:lineRule="auto" w:after="0"/>
      </w:pPr>
      <w:r>
        <w:rPr>
          <w:rFonts w:ascii="Times New Roman" w:hAnsi="Times New Roman" w:eastAsia="宋体"/>
          <w:b w:val="0"/>
          <w:i w:val="0"/>
          <w:sz w:val="22"/>
        </w:rPr>
        <w:t>深入理解社会福利最大化原理</w:t>
      </w:r>
    </w:p>
    <w:p>
      <w:pPr>
        <w:pStyle w:val="ListBullet"/>
        <w:spacing w:line="360" w:lineRule="auto" w:after="0"/>
      </w:pPr>
      <w:r>
        <w:rPr>
          <w:rFonts w:ascii="Times New Roman" w:hAnsi="Times New Roman" w:eastAsia="宋体"/>
          <w:b w:val="0"/>
          <w:i w:val="0"/>
          <w:sz w:val="22"/>
        </w:rPr>
        <w:t>了解用户行为理论与需求价格弹性</w:t>
      </w:r>
    </w:p>
    <w:p>
      <w:pPr>
        <w:pStyle w:val="ListBullet"/>
        <w:spacing w:line="360" w:lineRule="auto" w:after="0"/>
      </w:pPr>
      <w:r>
        <w:rPr>
          <w:rFonts w:ascii="Times New Roman" w:hAnsi="Times New Roman" w:eastAsia="宋体"/>
          <w:b w:val="0"/>
          <w:i w:val="0"/>
          <w:sz w:val="22"/>
        </w:rPr>
        <w:t>能够对实时定价与分时定价进行经济学比较分析</w:t>
      </w:r>
    </w:p>
    <w:p>
      <w:pPr>
        <w:pStyle w:val="Heading2"/>
        <w:spacing w:before="240" w:after="80"/>
      </w:pPr>
      <w:r>
        <w:rPr>
          <w:rFonts w:ascii="Times New Roman" w:hAnsi="Times New Roman" w:eastAsia="黑体"/>
          <w:b/>
          <w:i w:val="0"/>
          <w:sz w:val="28"/>
        </w:rPr>
        <w:t>导入案例：北欧电力市场的实时定价实践</w:t>
      </w:r>
    </w:p>
    <w:p>
      <w:pPr>
        <w:spacing w:line="360" w:lineRule="auto" w:after="0"/>
        <w:ind w:firstLine="425"/>
      </w:pPr>
      <w:r>
        <w:rPr>
          <w:rFonts w:ascii="Times New Roman" w:hAnsi="Times New Roman" w:eastAsia="宋体"/>
          <w:b w:val="0"/>
          <w:i w:val="0"/>
          <w:sz w:val="22"/>
        </w:rPr>
        <w:t>北欧电力市场（Nord Pool）是全球最早实施实时定价的区域电力市场之一。该市场覆盖挪威、瑞典、丹麦、芬兰等国，通过灵活的电价机制有效消纳了大规模水电和风电资源。在Nord Pool市场中，电价以小时为单位动态调整，用户可以通过智能电表实时获取价格信息并调整用电行为。这一实践证明，在完善的市场机制和技术基础设施支撑下，实时定价能够有效实现供需平衡和资源优化配置</w:t>
      </w:r>
      <w:r>
        <w:rPr>
          <w:rFonts w:ascii="Times New Roman" w:hAnsi="Times New Roman" w:eastAsia="Times New Roman"/>
          <w:b w:val="0"/>
          <w:i w:val="0"/>
          <w:sz w:val="18"/>
          <w:vertAlign w:val="superscript"/>
        </w:rPr>
        <w:t>[1]</w:t>
      </w:r>
      <w:r>
        <w:rPr>
          <w:rFonts w:ascii="Times New Roman" w:hAnsi="Times New Roman" w:eastAsia="宋体"/>
          <w:b w:val="0"/>
          <w:i w:val="0"/>
          <w:sz w:val="22"/>
        </w:rPr>
        <w:t>。</w:t>
      </w:r>
    </w:p>
    <w:p>
      <w:pPr>
        <w:pStyle w:val="Heading2"/>
        <w:spacing w:before="240" w:after="80"/>
      </w:pPr>
      <w:r>
        <w:rPr>
          <w:rFonts w:ascii="Times New Roman" w:hAnsi="Times New Roman" w:eastAsia="黑体"/>
          <w:b/>
          <w:i w:val="0"/>
          <w:sz w:val="28"/>
        </w:rPr>
        <w:t>3.1 电力市场的基本结构</w:t>
      </w:r>
    </w:p>
    <w:p>
      <w:pPr>
        <w:pStyle w:val="Heading3"/>
        <w:spacing w:before="160" w:after="60"/>
      </w:pPr>
      <w:r>
        <w:rPr>
          <w:rFonts w:ascii="Times New Roman" w:hAnsi="Times New Roman" w:eastAsia="黑体"/>
          <w:b/>
          <w:i w:val="0"/>
          <w:sz w:val="24"/>
        </w:rPr>
        <w:t>3.1.1 电力市场的层次结构</w:t>
      </w:r>
    </w:p>
    <w:p>
      <w:pPr>
        <w:spacing w:line="360" w:lineRule="auto" w:after="0"/>
        <w:ind w:firstLine="425"/>
      </w:pPr>
      <w:r>
        <w:rPr>
          <w:rFonts w:ascii="Times New Roman" w:hAnsi="Times New Roman" w:eastAsia="宋体"/>
          <w:b w:val="0"/>
          <w:i w:val="0"/>
          <w:sz w:val="22"/>
        </w:rPr>
        <w:t>现代电力市场通常采用多层级市场结构，包括：</w:t>
      </w:r>
    </w:p>
    <w:p>
      <w:pPr>
        <w:spacing w:line="360" w:lineRule="auto" w:after="0"/>
        <w:ind w:firstLine="425"/>
      </w:pPr>
      <w:r>
        <w:rPr>
          <w:rFonts w:ascii="Times New Roman" w:hAnsi="Times New Roman" w:eastAsia="宋体"/>
          <w:b/>
          <w:i w:val="0"/>
          <w:sz w:val="22"/>
        </w:rPr>
        <w:t>批发市场</w:t>
      </w:r>
      <w:r>
        <w:rPr>
          <w:rFonts w:ascii="Times New Roman" w:hAnsi="Times New Roman" w:eastAsia="宋体"/>
          <w:b w:val="0"/>
          <w:i w:val="0"/>
          <w:sz w:val="22"/>
        </w:rPr>
        <w:t>：发电商和售电商之间的大宗电力交易市场，包括日前市场（Day-Ahead Market）、实时市场（Real-Time Market）和辅助服务市场。日前市场提前一天确定次日的发电计划和电价，实时市场则在运行时刻根据实际供需状况进行平衡调整</w:t>
      </w:r>
      <w:r>
        <w:rPr>
          <w:rFonts w:ascii="Times New Roman" w:hAnsi="Times New Roman" w:eastAsia="Times New Roman"/>
          <w:b w:val="0"/>
          <w:i w:val="0"/>
          <w:sz w:val="18"/>
          <w:vertAlign w:val="superscript"/>
        </w:rPr>
        <w:t>[2]</w:t>
      </w:r>
      <w:r>
        <w:rPr>
          <w:rFonts w:ascii="Times New Roman" w:hAnsi="Times New Roman" w:eastAsia="宋体"/>
          <w:b w:val="0"/>
          <w:i w:val="0"/>
          <w:sz w:val="22"/>
        </w:rPr>
        <w:t>。</w:t>
      </w:r>
    </w:p>
    <w:p>
      <w:pPr>
        <w:spacing w:line="360" w:lineRule="auto" w:after="0"/>
        <w:ind w:firstLine="425"/>
      </w:pPr>
      <w:r>
        <w:rPr>
          <w:rFonts w:ascii="Times New Roman" w:hAnsi="Times New Roman" w:eastAsia="宋体"/>
          <w:b/>
          <w:i w:val="0"/>
          <w:sz w:val="22"/>
        </w:rPr>
        <w:t>零售市场</w:t>
      </w:r>
      <w:r>
        <w:rPr>
          <w:rFonts w:ascii="Times New Roman" w:hAnsi="Times New Roman" w:eastAsia="宋体"/>
          <w:b w:val="0"/>
          <w:i w:val="0"/>
          <w:sz w:val="22"/>
        </w:rPr>
        <w:t>：售电商与终端用户之间的电力交易市场。在零售竞争环境下，用户可以自由选择售电商，售电商通过差异化定价策略吸引用户。实时定价主要在零售市场层面实施，售电商根据批发市场价格和用户特征制定零售电价</w:t>
      </w:r>
      <w:r>
        <w:rPr>
          <w:rFonts w:ascii="Times New Roman" w:hAnsi="Times New Roman" w:eastAsia="Times New Roman"/>
          <w:b w:val="0"/>
          <w:i w:val="0"/>
          <w:sz w:val="18"/>
          <w:vertAlign w:val="superscript"/>
        </w:rPr>
        <w:t>[3]</w:t>
      </w:r>
      <w:r>
        <w:rPr>
          <w:rFonts w:ascii="Times New Roman" w:hAnsi="Times New Roman" w:eastAsia="宋体"/>
          <w:b w:val="0"/>
          <w:i w:val="0"/>
          <w:sz w:val="22"/>
        </w:rPr>
        <w:t>。</w:t>
      </w:r>
    </w:p>
    <w:p>
      <w:pPr>
        <w:spacing w:line="360" w:lineRule="auto" w:after="0"/>
        <w:ind w:firstLine="425"/>
      </w:pPr>
      <w:r>
        <w:rPr>
          <w:rFonts w:ascii="Times New Roman" w:hAnsi="Times New Roman" w:eastAsia="宋体"/>
          <w:b/>
          <w:i w:val="0"/>
          <w:sz w:val="22"/>
        </w:rPr>
        <w:t>辅助服务市场</w:t>
      </w:r>
      <w:r>
        <w:rPr>
          <w:rFonts w:ascii="Times New Roman" w:hAnsi="Times New Roman" w:eastAsia="宋体"/>
          <w:b w:val="0"/>
          <w:i w:val="0"/>
          <w:sz w:val="22"/>
        </w:rPr>
        <w:t>：为保障电力系统安全稳定运行而设立的专门市场，包括调频服务、备用容量、无功补偿等。辅助服务市场与电能量市场存在耦合关系，定价时需要考虑两者的协调优化。</w:t>
      </w:r>
    </w:p>
    <w:p>
      <w:pPr>
        <w:pStyle w:val="Heading3"/>
        <w:spacing w:before="160" w:after="60"/>
      </w:pPr>
      <w:r>
        <w:rPr>
          <w:rFonts w:ascii="Times New Roman" w:hAnsi="Times New Roman" w:eastAsia="黑体"/>
          <w:b/>
          <w:i w:val="0"/>
          <w:sz w:val="24"/>
        </w:rPr>
        <w:t>3.1.2 电力市场的交易模式</w:t>
      </w:r>
    </w:p>
    <w:p>
      <w:pPr>
        <w:spacing w:line="360" w:lineRule="auto" w:after="0"/>
        <w:ind w:firstLine="425"/>
      </w:pPr>
      <w:r>
        <w:rPr>
          <w:rFonts w:ascii="Times New Roman" w:hAnsi="Times New Roman" w:eastAsia="宋体"/>
          <w:b w:val="0"/>
          <w:i w:val="0"/>
          <w:sz w:val="22"/>
        </w:rPr>
        <w:t>电力市场的交易模式主要包括：</w:t>
      </w:r>
    </w:p>
    <w:p>
      <w:pPr>
        <w:spacing w:line="360" w:lineRule="auto" w:after="0"/>
        <w:ind w:firstLine="425"/>
      </w:pPr>
      <w:r>
        <w:rPr>
          <w:rFonts w:ascii="Times New Roman" w:hAnsi="Times New Roman" w:eastAsia="宋体"/>
          <w:b/>
          <w:i w:val="0"/>
          <w:sz w:val="22"/>
        </w:rPr>
        <w:t>集中式交易模式（Pool模式）</w:t>
      </w:r>
      <w:r>
        <w:rPr>
          <w:rFonts w:ascii="Times New Roman" w:hAnsi="Times New Roman" w:eastAsia="宋体"/>
          <w:b w:val="0"/>
          <w:i w:val="0"/>
          <w:sz w:val="22"/>
        </w:rPr>
        <w:t>：所有发电商和用户通过统一的电力库进行交易，由系统运营商统一调度和定价。英国早期的NETA/BETTA模式是典型的Pool模式。集中式交易的优点是市场透明度高、流动性好；缺点是市场力可能被滥用</w:t>
      </w:r>
      <w:r>
        <w:rPr>
          <w:rFonts w:ascii="Times New Roman" w:hAnsi="Times New Roman" w:eastAsia="Times New Roman"/>
          <w:b w:val="0"/>
          <w:i w:val="0"/>
          <w:sz w:val="18"/>
          <w:vertAlign w:val="superscript"/>
        </w:rPr>
        <w:t>[4]</w:t>
      </w:r>
      <w:r>
        <w:rPr>
          <w:rFonts w:ascii="Times New Roman" w:hAnsi="Times New Roman" w:eastAsia="宋体"/>
          <w:b w:val="0"/>
          <w:i w:val="0"/>
          <w:sz w:val="22"/>
        </w:rPr>
        <w:t>。</w:t>
      </w:r>
    </w:p>
    <w:p>
      <w:pPr>
        <w:spacing w:line="360" w:lineRule="auto" w:after="0"/>
        <w:ind w:firstLine="425"/>
      </w:pPr>
      <w:r>
        <w:rPr>
          <w:rFonts w:ascii="Times New Roman" w:hAnsi="Times New Roman" w:eastAsia="宋体"/>
          <w:b/>
          <w:i w:val="0"/>
          <w:sz w:val="22"/>
        </w:rPr>
        <w:t>双边交易模式（Bilateral模式）</w:t>
      </w:r>
      <w:r>
        <w:rPr>
          <w:rFonts w:ascii="Times New Roman" w:hAnsi="Times New Roman" w:eastAsia="宋体"/>
          <w:b w:val="0"/>
          <w:i w:val="0"/>
          <w:sz w:val="22"/>
        </w:rPr>
        <w:t>：发电商和用户直接签订双边购售电合同，系统运营商仅负责平衡和调度。北欧Nord Pool模式兼具集中式和双边交易的特点。双边交易的优点是交易灵活、合同可定制；缺点是市场流动性可能不足。</w:t>
      </w:r>
    </w:p>
    <w:p>
      <w:pPr>
        <w:spacing w:line="360" w:lineRule="auto" w:after="0"/>
        <w:ind w:firstLine="425"/>
      </w:pPr>
      <w:r>
        <w:rPr>
          <w:rFonts w:ascii="Times New Roman" w:hAnsi="Times New Roman" w:eastAsia="宋体"/>
          <w:b/>
          <w:i w:val="0"/>
          <w:sz w:val="22"/>
        </w:rPr>
        <w:t>混合交易模式</w:t>
      </w:r>
      <w:r>
        <w:rPr>
          <w:rFonts w:ascii="Times New Roman" w:hAnsi="Times New Roman" w:eastAsia="宋体"/>
          <w:b w:val="0"/>
          <w:i w:val="0"/>
          <w:sz w:val="22"/>
        </w:rPr>
        <w:t>：集中式与双边交易并存的模式，也是目前大多数电力市场采用的模式。在混合模式下，发电商和用户既可以参与集中交易，也可以签订双边合同，两种交易方式相互补充。</w:t>
      </w:r>
    </w:p>
    <w:p>
      <w:pPr>
        <w:pStyle w:val="Heading3"/>
        <w:spacing w:before="160" w:after="60"/>
      </w:pPr>
      <w:r>
        <w:rPr>
          <w:rFonts w:ascii="Times New Roman" w:hAnsi="Times New Roman" w:eastAsia="黑体"/>
          <w:b/>
          <w:i w:val="0"/>
          <w:sz w:val="24"/>
        </w:rPr>
        <w:t>3.1.3 电力市场中的价格体系</w:t>
      </w:r>
    </w:p>
    <w:p>
      <w:pPr>
        <w:spacing w:line="360" w:lineRule="auto" w:after="0"/>
        <w:ind w:firstLine="425"/>
      </w:pPr>
      <w:r>
        <w:rPr>
          <w:rFonts w:ascii="Times New Roman" w:hAnsi="Times New Roman" w:eastAsia="宋体"/>
          <w:b w:val="0"/>
          <w:i w:val="0"/>
          <w:sz w:val="22"/>
        </w:rPr>
        <w:t>电力市场的价格体系包括：</w:t>
      </w:r>
    </w:p>
    <w:tbl>
      <w:tblPr>
        <w:tblStyle w:val="LightGrid-Accent1"/>
        <w:tblW w:type="auto" w:w="0"/>
        <w:jc w:val="center"/>
        <w:tblLook w:firstColumn="1" w:firstRow="1" w:lastColumn="0" w:lastRow="0" w:noHBand="0" w:noVBand="1" w:val="04A0"/>
      </w:tblPr>
      <w:tblGrid>
        <w:gridCol w:w="2126"/>
        <w:gridCol w:w="2126"/>
        <w:gridCol w:w="2126"/>
        <w:gridCol w:w="2126"/>
      </w:tblGrid>
      <w:tr>
        <w:tc>
          <w:tcPr>
            <w:tcW w:type="dxa" w:w="2126"/>
          </w:tcPr>
          <w:p>
            <w:pPr>
              <w:spacing w:after="40" w:before="40"/>
            </w:pPr>
            <w:r>
              <w:rPr>
                <w:b/>
              </w:rPr>
            </w:r>
            <w:r>
              <w:rPr>
                <w:rFonts w:ascii="Times New Roman" w:hAnsi="Times New Roman" w:eastAsia="黑体"/>
                <w:b/>
                <w:i w:val="0"/>
                <w:sz w:val="20"/>
              </w:rPr>
              <w:t>价格类型</w:t>
            </w:r>
          </w:p>
        </w:tc>
        <w:tc>
          <w:tcPr>
            <w:tcW w:type="dxa" w:w="2126"/>
          </w:tcPr>
          <w:p>
            <w:pPr>
              <w:spacing w:after="40" w:before="40"/>
            </w:pPr>
            <w:r>
              <w:rPr>
                <w:b/>
              </w:rPr>
            </w:r>
            <w:r>
              <w:rPr>
                <w:rFonts w:ascii="Times New Roman" w:hAnsi="Times New Roman" w:eastAsia="黑体"/>
                <w:b/>
                <w:i w:val="0"/>
                <w:sz w:val="20"/>
              </w:rPr>
              <w:t>形成机制</w:t>
            </w:r>
          </w:p>
        </w:tc>
        <w:tc>
          <w:tcPr>
            <w:tcW w:type="dxa" w:w="2126"/>
          </w:tcPr>
          <w:p>
            <w:pPr>
              <w:spacing w:after="40" w:before="40"/>
            </w:pPr>
            <w:r>
              <w:rPr>
                <w:b/>
              </w:rPr>
            </w:r>
            <w:r>
              <w:rPr>
                <w:rFonts w:ascii="Times New Roman" w:hAnsi="Times New Roman" w:eastAsia="黑体"/>
                <w:b/>
                <w:i w:val="0"/>
                <w:sz w:val="20"/>
              </w:rPr>
              <w:t>时间尺度</w:t>
            </w:r>
          </w:p>
        </w:tc>
        <w:tc>
          <w:tcPr>
            <w:tcW w:type="dxa" w:w="2126"/>
          </w:tcPr>
          <w:p>
            <w:pPr>
              <w:spacing w:after="40" w:before="40"/>
            </w:pPr>
            <w:r>
              <w:rPr>
                <w:b/>
              </w:rPr>
            </w:r>
            <w:r>
              <w:rPr>
                <w:rFonts w:ascii="Times New Roman" w:hAnsi="Times New Roman" w:eastAsia="黑体"/>
                <w:b/>
                <w:i w:val="0"/>
                <w:sz w:val="20"/>
              </w:rPr>
              <w:t>市场层次</w:t>
            </w:r>
          </w:p>
        </w:tc>
      </w:tr>
      <w:tr>
        <w:tc>
          <w:tcPr>
            <w:tcW w:type="dxa" w:w="2126"/>
          </w:tcPr>
          <w:p>
            <w:pPr>
              <w:spacing w:after="40" w:before="40"/>
            </w:pPr>
            <w:r/>
            <w:r>
              <w:rPr>
                <w:rFonts w:ascii="Times New Roman" w:hAnsi="Times New Roman" w:eastAsia="宋体"/>
                <w:b w:val="0"/>
                <w:i w:val="0"/>
                <w:sz w:val="20"/>
              </w:rPr>
              <w:t>节点边际电价（LMP）</w:t>
            </w:r>
          </w:p>
        </w:tc>
        <w:tc>
          <w:tcPr>
            <w:tcW w:type="dxa" w:w="2126"/>
          </w:tcPr>
          <w:p>
            <w:pPr>
              <w:spacing w:after="40" w:before="40"/>
            </w:pPr>
            <w:r/>
            <w:r>
              <w:rPr>
                <w:rFonts w:ascii="Times New Roman" w:hAnsi="Times New Roman" w:eastAsia="宋体"/>
                <w:b w:val="0"/>
                <w:i w:val="0"/>
                <w:sz w:val="20"/>
              </w:rPr>
              <w:t>基于最优潮流计算</w:t>
            </w:r>
          </w:p>
        </w:tc>
        <w:tc>
          <w:tcPr>
            <w:tcW w:type="dxa" w:w="2126"/>
          </w:tcPr>
          <w:p>
            <w:pPr>
              <w:spacing w:after="40" w:before="40"/>
            </w:pPr>
            <w:r/>
            <w:r>
              <w:rPr>
                <w:rFonts w:ascii="Times New Roman" w:hAnsi="Times New Roman" w:eastAsia="宋体"/>
                <w:b w:val="0"/>
                <w:i w:val="0"/>
                <w:sz w:val="20"/>
              </w:rPr>
              <w:t>小时级</w:t>
            </w:r>
          </w:p>
        </w:tc>
        <w:tc>
          <w:tcPr>
            <w:tcW w:type="dxa" w:w="2126"/>
          </w:tcPr>
          <w:p>
            <w:pPr>
              <w:spacing w:after="40" w:before="40"/>
            </w:pPr>
            <w:r/>
            <w:r>
              <w:rPr>
                <w:rFonts w:ascii="Times New Roman" w:hAnsi="Times New Roman" w:eastAsia="宋体"/>
                <w:b w:val="0"/>
                <w:i w:val="0"/>
                <w:sz w:val="20"/>
              </w:rPr>
              <w:t>批发市场</w:t>
            </w:r>
          </w:p>
        </w:tc>
      </w:tr>
      <w:tr>
        <w:tc>
          <w:tcPr>
            <w:tcW w:type="dxa" w:w="2126"/>
            <w:shd w:val="clear" w:color="auto" w:fill="F0F4F8"/>
          </w:tcPr>
          <w:p>
            <w:pPr>
              <w:spacing w:after="40" w:before="40"/>
            </w:pPr>
            <w:r/>
            <w:r>
              <w:rPr>
                <w:rFonts w:ascii="Times New Roman" w:hAnsi="Times New Roman" w:eastAsia="宋体"/>
                <w:b w:val="0"/>
                <w:i w:val="0"/>
                <w:sz w:val="20"/>
              </w:rPr>
              <w:t>区域电价（Zonal Price）</w:t>
            </w:r>
          </w:p>
        </w:tc>
        <w:tc>
          <w:tcPr>
            <w:tcW w:type="dxa" w:w="2126"/>
            <w:shd w:val="clear" w:color="auto" w:fill="F0F4F8"/>
          </w:tcPr>
          <w:p>
            <w:pPr>
              <w:spacing w:after="40" w:before="40"/>
            </w:pPr>
            <w:r/>
            <w:r>
              <w:rPr>
                <w:rFonts w:ascii="Times New Roman" w:hAnsi="Times New Roman" w:eastAsia="宋体"/>
                <w:b w:val="0"/>
                <w:i w:val="0"/>
                <w:sz w:val="20"/>
              </w:rPr>
              <w:t>分区域统一价格</w:t>
            </w:r>
          </w:p>
        </w:tc>
        <w:tc>
          <w:tcPr>
            <w:tcW w:type="dxa" w:w="2126"/>
            <w:shd w:val="clear" w:color="auto" w:fill="F0F4F8"/>
          </w:tcPr>
          <w:p>
            <w:pPr>
              <w:spacing w:after="40" w:before="40"/>
            </w:pPr>
            <w:r/>
            <w:r>
              <w:rPr>
                <w:rFonts w:ascii="Times New Roman" w:hAnsi="Times New Roman" w:eastAsia="宋体"/>
                <w:b w:val="0"/>
                <w:i w:val="0"/>
                <w:sz w:val="20"/>
              </w:rPr>
              <w:t>小时级</w:t>
            </w:r>
          </w:p>
        </w:tc>
        <w:tc>
          <w:tcPr>
            <w:tcW w:type="dxa" w:w="2126"/>
            <w:shd w:val="clear" w:color="auto" w:fill="F0F4F8"/>
          </w:tcPr>
          <w:p>
            <w:pPr>
              <w:spacing w:after="40" w:before="40"/>
            </w:pPr>
            <w:r/>
            <w:r>
              <w:rPr>
                <w:rFonts w:ascii="Times New Roman" w:hAnsi="Times New Roman" w:eastAsia="宋体"/>
                <w:b w:val="0"/>
                <w:i w:val="0"/>
                <w:sz w:val="20"/>
              </w:rPr>
              <w:t>批发市场</w:t>
            </w:r>
          </w:p>
        </w:tc>
      </w:tr>
      <w:tr>
        <w:tc>
          <w:tcPr>
            <w:tcW w:type="dxa" w:w="2126"/>
          </w:tcPr>
          <w:p>
            <w:pPr>
              <w:spacing w:after="40" w:before="40"/>
            </w:pPr>
            <w:r/>
            <w:r>
              <w:rPr>
                <w:rFonts w:ascii="Times New Roman" w:hAnsi="Times New Roman" w:eastAsia="宋体"/>
                <w:b w:val="0"/>
                <w:i w:val="0"/>
                <w:sz w:val="20"/>
              </w:rPr>
              <w:t>日前价格</w:t>
            </w:r>
          </w:p>
        </w:tc>
        <w:tc>
          <w:tcPr>
            <w:tcW w:type="dxa" w:w="2126"/>
          </w:tcPr>
          <w:p>
            <w:pPr>
              <w:spacing w:after="40" w:before="40"/>
            </w:pPr>
            <w:r/>
            <w:r>
              <w:rPr>
                <w:rFonts w:ascii="Times New Roman" w:hAnsi="Times New Roman" w:eastAsia="宋体"/>
                <w:b w:val="0"/>
                <w:i w:val="0"/>
                <w:sz w:val="20"/>
              </w:rPr>
              <w:t>日前市场出清</w:t>
            </w:r>
          </w:p>
        </w:tc>
        <w:tc>
          <w:tcPr>
            <w:tcW w:type="dxa" w:w="2126"/>
          </w:tcPr>
          <w:p>
            <w:pPr>
              <w:spacing w:after="40" w:before="40"/>
            </w:pPr>
            <w:r/>
            <w:r>
              <w:rPr>
                <w:rFonts w:ascii="Times New Roman" w:hAnsi="Times New Roman" w:eastAsia="宋体"/>
                <w:b w:val="0"/>
                <w:i w:val="0"/>
                <w:sz w:val="20"/>
              </w:rPr>
              <w:t>小时级</w:t>
            </w:r>
          </w:p>
        </w:tc>
        <w:tc>
          <w:tcPr>
            <w:tcW w:type="dxa" w:w="2126"/>
          </w:tcPr>
          <w:p>
            <w:pPr>
              <w:spacing w:after="40" w:before="40"/>
            </w:pPr>
            <w:r/>
            <w:r>
              <w:rPr>
                <w:rFonts w:ascii="Times New Roman" w:hAnsi="Times New Roman" w:eastAsia="宋体"/>
                <w:b w:val="0"/>
                <w:i w:val="0"/>
                <w:sz w:val="20"/>
              </w:rPr>
              <w:t>批发市场</w:t>
            </w:r>
          </w:p>
        </w:tc>
      </w:tr>
      <w:tr>
        <w:tc>
          <w:tcPr>
            <w:tcW w:type="dxa" w:w="2126"/>
            <w:shd w:val="clear" w:color="auto" w:fill="F0F4F8"/>
          </w:tcPr>
          <w:p>
            <w:pPr>
              <w:spacing w:after="40" w:before="40"/>
            </w:pPr>
            <w:r/>
            <w:r>
              <w:rPr>
                <w:rFonts w:ascii="Times New Roman" w:hAnsi="Times New Roman" w:eastAsia="宋体"/>
                <w:b w:val="0"/>
                <w:i w:val="0"/>
                <w:sz w:val="20"/>
              </w:rPr>
              <w:t>实时价格</w:t>
            </w:r>
          </w:p>
        </w:tc>
        <w:tc>
          <w:tcPr>
            <w:tcW w:type="dxa" w:w="2126"/>
            <w:shd w:val="clear" w:color="auto" w:fill="F0F4F8"/>
          </w:tcPr>
          <w:p>
            <w:pPr>
              <w:spacing w:after="40" w:before="40"/>
            </w:pPr>
            <w:r/>
            <w:r>
              <w:rPr>
                <w:rFonts w:ascii="Times New Roman" w:hAnsi="Times New Roman" w:eastAsia="宋体"/>
                <w:b w:val="0"/>
                <w:i w:val="0"/>
                <w:sz w:val="20"/>
              </w:rPr>
              <w:t>实时市场出清</w:t>
            </w:r>
          </w:p>
        </w:tc>
        <w:tc>
          <w:tcPr>
            <w:tcW w:type="dxa" w:w="2126"/>
            <w:shd w:val="clear" w:color="auto" w:fill="F0F4F8"/>
          </w:tcPr>
          <w:p>
            <w:pPr>
              <w:spacing w:after="40" w:before="40"/>
            </w:pPr>
            <w:r/>
            <w:r>
              <w:rPr>
                <w:rFonts w:ascii="Times New Roman" w:hAnsi="Times New Roman" w:eastAsia="宋体"/>
                <w:b w:val="0"/>
                <w:i w:val="0"/>
                <w:sz w:val="20"/>
              </w:rPr>
              <w:t>5-15分钟</w:t>
            </w:r>
          </w:p>
        </w:tc>
        <w:tc>
          <w:tcPr>
            <w:tcW w:type="dxa" w:w="2126"/>
            <w:shd w:val="clear" w:color="auto" w:fill="F0F4F8"/>
          </w:tcPr>
          <w:p>
            <w:pPr>
              <w:spacing w:after="40" w:before="40"/>
            </w:pPr>
            <w:r/>
            <w:r>
              <w:rPr>
                <w:rFonts w:ascii="Times New Roman" w:hAnsi="Times New Roman" w:eastAsia="宋体"/>
                <w:b w:val="0"/>
                <w:i w:val="0"/>
                <w:sz w:val="20"/>
              </w:rPr>
              <w:t>批发市场</w:t>
            </w:r>
          </w:p>
        </w:tc>
      </w:tr>
      <w:tr>
        <w:tc>
          <w:tcPr>
            <w:tcW w:type="dxa" w:w="2126"/>
          </w:tcPr>
          <w:p>
            <w:pPr>
              <w:spacing w:after="40" w:before="40"/>
            </w:pPr>
            <w:r/>
            <w:r>
              <w:rPr>
                <w:rFonts w:ascii="Times New Roman" w:hAnsi="Times New Roman" w:eastAsia="宋体"/>
                <w:b w:val="0"/>
                <w:i w:val="0"/>
                <w:sz w:val="20"/>
              </w:rPr>
              <w:t>零售电价</w:t>
            </w:r>
          </w:p>
        </w:tc>
        <w:tc>
          <w:tcPr>
            <w:tcW w:type="dxa" w:w="2126"/>
          </w:tcPr>
          <w:p>
            <w:pPr>
              <w:spacing w:after="40" w:before="40"/>
            </w:pPr>
            <w:r/>
            <w:r>
              <w:rPr>
                <w:rFonts w:ascii="Times New Roman" w:hAnsi="Times New Roman" w:eastAsia="宋体"/>
                <w:b w:val="0"/>
                <w:i w:val="0"/>
                <w:sz w:val="20"/>
              </w:rPr>
              <w:t>售电商定价</w:t>
            </w:r>
          </w:p>
        </w:tc>
        <w:tc>
          <w:tcPr>
            <w:tcW w:type="dxa" w:w="2126"/>
          </w:tcPr>
          <w:p>
            <w:pPr>
              <w:spacing w:after="40" w:before="40"/>
            </w:pPr>
            <w:r/>
            <w:r>
              <w:rPr>
                <w:rFonts w:ascii="Times New Roman" w:hAnsi="Times New Roman" w:eastAsia="宋体"/>
                <w:b w:val="0"/>
                <w:i w:val="0"/>
                <w:sz w:val="20"/>
              </w:rPr>
              <w:t>小时-月级</w:t>
            </w:r>
          </w:p>
        </w:tc>
        <w:tc>
          <w:tcPr>
            <w:tcW w:type="dxa" w:w="2126"/>
          </w:tcPr>
          <w:p>
            <w:pPr>
              <w:spacing w:after="40" w:before="40"/>
            </w:pPr>
            <w:r/>
            <w:r>
              <w:rPr>
                <w:rFonts w:ascii="Times New Roman" w:hAnsi="Times New Roman" w:eastAsia="宋体"/>
                <w:b w:val="0"/>
                <w:i w:val="0"/>
                <w:sz w:val="20"/>
              </w:rPr>
              <w:t>零售市场</w:t>
            </w:r>
          </w:p>
        </w:tc>
      </w:tr>
    </w:tbl>
    <w:p>
      <w:pPr>
        <w:pStyle w:val="Heading2"/>
        <w:spacing w:before="240" w:after="80"/>
      </w:pPr>
      <w:r>
        <w:rPr>
          <w:rFonts w:ascii="Times New Roman" w:hAnsi="Times New Roman" w:eastAsia="黑体"/>
          <w:b/>
          <w:i w:val="0"/>
          <w:sz w:val="28"/>
        </w:rPr>
        <w:t>3.2 边际成本定价理论</w:t>
      </w:r>
    </w:p>
    <w:p>
      <w:pPr>
        <w:pStyle w:val="Heading3"/>
        <w:spacing w:before="160" w:after="60"/>
      </w:pPr>
      <w:r>
        <w:rPr>
          <w:rFonts w:ascii="Times New Roman" w:hAnsi="Times New Roman" w:eastAsia="黑体"/>
          <w:b/>
          <w:i w:val="0"/>
          <w:sz w:val="24"/>
        </w:rPr>
        <w:t>3.2.1 边际成本定价的基本原理</w:t>
      </w:r>
    </w:p>
    <w:p>
      <w:pPr>
        <w:spacing w:line="360" w:lineRule="auto" w:after="0"/>
        <w:ind w:firstLine="425"/>
      </w:pPr>
      <w:r>
        <w:rPr>
          <w:rFonts w:ascii="Times New Roman" w:hAnsi="Times New Roman" w:eastAsia="宋体"/>
          <w:b w:val="0"/>
          <w:i w:val="0"/>
          <w:sz w:val="22"/>
        </w:rPr>
        <w:t>边际成本定价是经济学中的经典定价理论，由Hotelling（1938）首次系统提出。其基本原理是：在完全竞争的市场中，价格应等于边际成本，此时资源配置达到帕累托最优。</w:t>
      </w:r>
    </w:p>
    <w:p>
      <w:pPr>
        <w:spacing w:line="360" w:lineRule="auto" w:after="0"/>
        <w:ind w:firstLine="425"/>
      </w:pPr>
      <w:r>
        <w:rPr>
          <w:rFonts w:ascii="Times New Roman" w:hAnsi="Times New Roman" w:eastAsia="宋体"/>
          <w:b w:val="0"/>
          <w:i w:val="0"/>
          <w:sz w:val="22"/>
        </w:rPr>
        <w:t>在电力系统中，边际成本包括：（1）燃料成本——发电所需的燃料费用；（2）可变运维成本——发电机组的运行维护费用；（3）排放成本——碳排放等环境成本；（4）网损成本——输配电过程中的电能损耗</w:t>
      </w:r>
      <w:r>
        <w:rPr>
          <w:rFonts w:ascii="Times New Roman" w:hAnsi="Times New Roman" w:eastAsia="Times New Roman"/>
          <w:b w:val="0"/>
          <w:i w:val="0"/>
          <w:sz w:val="18"/>
          <w:vertAlign w:val="superscript"/>
        </w:rPr>
        <w:t>[5]</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3.2.2 短期边际成本与长期边际成本</w:t>
      </w:r>
    </w:p>
    <w:p>
      <w:pPr>
        <w:spacing w:line="360" w:lineRule="auto" w:after="0"/>
        <w:ind w:firstLine="425"/>
      </w:pPr>
      <w:r>
        <w:rPr>
          <w:rFonts w:ascii="Times New Roman" w:hAnsi="Times New Roman" w:eastAsia="宋体"/>
          <w:b/>
          <w:i w:val="0"/>
          <w:sz w:val="22"/>
        </w:rPr>
        <w:t>短期边际成本（SRMC）</w:t>
      </w:r>
      <w:r>
        <w:rPr>
          <w:rFonts w:ascii="Times New Roman" w:hAnsi="Times New Roman" w:eastAsia="宋体"/>
          <w:b w:val="0"/>
          <w:i w:val="0"/>
          <w:sz w:val="22"/>
        </w:rPr>
        <w:t>：在发电装机容量固定的条件下，每增加一单位发电量所增加的成本。SRMC主要由燃料成本和可变运维成本构成，是实时定价的主要依据。</w:t>
      </w:r>
    </w:p>
    <w:p>
      <w:pPr>
        <w:spacing w:line="360" w:lineRule="auto" w:after="0"/>
        <w:ind w:firstLine="425"/>
      </w:pPr>
      <w:r>
        <w:rPr>
          <w:rFonts w:ascii="Times New Roman" w:hAnsi="Times New Roman" w:eastAsia="宋体"/>
          <w:b/>
          <w:i w:val="0"/>
          <w:sz w:val="22"/>
        </w:rPr>
        <w:t>长期边际成本（LRMC）</w:t>
      </w:r>
      <w:r>
        <w:rPr>
          <w:rFonts w:ascii="Times New Roman" w:hAnsi="Times New Roman" w:eastAsia="宋体"/>
          <w:b w:val="0"/>
          <w:i w:val="0"/>
          <w:sz w:val="22"/>
        </w:rPr>
        <w:t>：在发电装机容量可调整的条件下，每增加一单位发电量所增加的总成本。LRMC包括容量成本，适用于长期定价和投资规划。</w:t>
      </w:r>
    </w:p>
    <w:p>
      <w:pPr>
        <w:spacing w:line="360" w:lineRule="auto" w:after="0"/>
        <w:ind w:firstLine="425"/>
      </w:pPr>
      <w:r>
        <w:rPr>
          <w:rFonts w:ascii="Times New Roman" w:hAnsi="Times New Roman" w:eastAsia="宋体"/>
          <w:b w:val="0"/>
          <w:i w:val="0"/>
          <w:sz w:val="22"/>
        </w:rPr>
        <w:t>在实时定价中，价格通常基于SRMC设定。当系统接近容量极限时，SRMC急剧上升，形成价格尖峰，反映供电的稀缺性。这种价格信号能够有效引导用户削减峰荷用电，同时为发电商提供投资信号</w:t>
      </w:r>
      <w:r>
        <w:rPr>
          <w:rFonts w:ascii="Times New Roman" w:hAnsi="Times New Roman" w:eastAsia="Times New Roman"/>
          <w:b w:val="0"/>
          <w:i w:val="0"/>
          <w:sz w:val="18"/>
          <w:vertAlign w:val="superscript"/>
        </w:rPr>
        <w:t>[6]</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3.2.3 边际成本定价在智能电网中的实现</w:t>
      </w:r>
    </w:p>
    <w:p>
      <w:pPr>
        <w:spacing w:line="360" w:lineRule="auto" w:after="0"/>
        <w:ind w:firstLine="425"/>
      </w:pPr>
      <w:r>
        <w:rPr>
          <w:rFonts w:ascii="Times New Roman" w:hAnsi="Times New Roman" w:eastAsia="宋体"/>
          <w:b w:val="0"/>
          <w:i w:val="0"/>
          <w:sz w:val="22"/>
        </w:rPr>
        <w:t>在传统电力系统中，边际成本定价面临信息不对称和计算复杂度高的挑战。智能电网的AMI系统和数据分析技术为边际成本定价的精细化实现提供了技术支撑。</w:t>
      </w:r>
    </w:p>
    <w:p>
      <w:pPr>
        <w:spacing w:line="360" w:lineRule="auto" w:after="0"/>
        <w:ind w:firstLine="425"/>
      </w:pPr>
      <w:r>
        <w:rPr>
          <w:rFonts w:ascii="Times New Roman" w:hAnsi="Times New Roman" w:eastAsia="宋体"/>
          <w:b w:val="0"/>
          <w:i w:val="0"/>
          <w:sz w:val="22"/>
        </w:rPr>
        <w:t>李军祥等（2020）提出了基于供需函数特征解析的电网实时定价智能优化算法，通过解析供需函数的数学特征来优化定价决策，在计算效率和定价精度之间取得了良好平衡</w:t>
      </w:r>
      <w:r>
        <w:rPr>
          <w:rFonts w:ascii="Times New Roman" w:hAnsi="Times New Roman" w:eastAsia="Times New Roman"/>
          <w:b w:val="0"/>
          <w:i w:val="0"/>
          <w:sz w:val="18"/>
          <w:vertAlign w:val="superscript"/>
        </w:rPr>
        <w:t>[7]</w:t>
      </w:r>
      <w:r>
        <w:rPr>
          <w:rFonts w:ascii="Times New Roman" w:hAnsi="Times New Roman" w:eastAsia="宋体"/>
          <w:b w:val="0"/>
          <w:i w:val="0"/>
          <w:sz w:val="22"/>
        </w:rPr>
        <w:t>。郭和高（2019）研究了发电厂供电传输实时电价准确估计仿真，提出了更精确的供电成本估计方法</w:t>
      </w:r>
      <w:r>
        <w:rPr>
          <w:rFonts w:ascii="Times New Roman" w:hAnsi="Times New Roman" w:eastAsia="Times New Roman"/>
          <w:b w:val="0"/>
          <w:i w:val="0"/>
          <w:sz w:val="18"/>
          <w:vertAlign w:val="superscript"/>
        </w:rPr>
        <w:t>[8]</w:t>
      </w:r>
      <w:r>
        <w:rPr>
          <w:rFonts w:ascii="Times New Roman" w:hAnsi="Times New Roman" w:eastAsia="宋体"/>
          <w:b w:val="0"/>
          <w:i w:val="0"/>
          <w:sz w:val="22"/>
        </w:rPr>
        <w:t>。</w:t>
      </w:r>
    </w:p>
    <w:p>
      <w:pPr>
        <w:pStyle w:val="Heading2"/>
        <w:spacing w:before="240" w:after="80"/>
      </w:pPr>
      <w:r>
        <w:rPr>
          <w:rFonts w:ascii="Times New Roman" w:hAnsi="Times New Roman" w:eastAsia="黑体"/>
          <w:b/>
          <w:i w:val="0"/>
          <w:sz w:val="28"/>
        </w:rPr>
        <w:t>3.3 社会福利最大化原理</w:t>
      </w:r>
    </w:p>
    <w:p>
      <w:pPr>
        <w:pStyle w:val="Heading3"/>
        <w:spacing w:before="160" w:after="60"/>
      </w:pPr>
      <w:r>
        <w:rPr>
          <w:rFonts w:ascii="Times New Roman" w:hAnsi="Times New Roman" w:eastAsia="黑体"/>
          <w:b/>
          <w:i w:val="0"/>
          <w:sz w:val="24"/>
        </w:rPr>
        <w:t>3.3.1 社会福利的定义</w:t>
      </w:r>
    </w:p>
    <w:p>
      <w:pPr>
        <w:spacing w:line="360" w:lineRule="auto" w:after="0"/>
        <w:ind w:firstLine="425"/>
      </w:pPr>
      <w:r>
        <w:rPr>
          <w:rFonts w:ascii="Times New Roman" w:hAnsi="Times New Roman" w:eastAsia="宋体"/>
          <w:b w:val="0"/>
          <w:i w:val="0"/>
          <w:sz w:val="22"/>
        </w:rPr>
        <w:t>社会福利（Social Welfare）是经济学中度量社会总效用的指标。在电力市场背景下，社会福利定义为用户总效用与供电总成本之差：</w:t>
      </w:r>
    </w:p>
    <w:p>
      <w:pPr>
        <w:spacing w:before="80" w:after="80"/>
        <w:jc w:val="center"/>
      </w:pPr>
      <m:oMathPara>
        <m:oMath>
          <m:r>
            <m:t>SW=</m:t>
          </m:r>
          <m:nary>
            <m:naryPr>
              <m:chr m:val="∑"/>
              <m:limLoc m:val="subSup"/>
              <m:grow m:val="1"/>
              <m:subHide m:val="off"/>
              <m:supHide m:val="off"/>
            </m:naryPr>
            <m:sub>
              <m:r>
                <m:t>i=1</m:t>
              </m:r>
            </m:sub>
            <m:sup>
              <m:r>
                <m:t>N</m:t>
              </m:r>
            </m:sup>
            <m:e>
              <m:sSub>
                <m:e>
                  <m:r>
                    <m:t>U</m:t>
                  </m:r>
                </m:e>
                <m:sub>
                  <m:r>
                    <m:t>i</m:t>
                  </m:r>
                </m:sub>
              </m:sSub>
            </m:e>
          </m:nary>
          <m:r>
            <m:t>(</m:t>
          </m:r>
          <m:sSub>
            <m:e>
              <m:r>
                <m:t>x</m:t>
              </m:r>
            </m:e>
            <m:sub>
              <m:r>
                <m:t>i</m:t>
              </m:r>
            </m:sub>
          </m:sSub>
          <m:r>
            <m:t>)−C</m:t>
          </m:r>
          <m:d>
            <m:dPr>
              <m:sepChr m:val=""/>
            </m:dPr>
            <m:e>
              <m:nary>
                <m:naryPr>
                  <m:chr m:val="∑"/>
                  <m:limLoc m:val="subSup"/>
                  <m:grow m:val="1"/>
                  <m:subHide m:val="off"/>
                  <m:supHide m:val="off"/>
                </m:naryPr>
                <m:sub>
                  <m:r>
                    <m:t>i=1</m:t>
                  </m:r>
                </m:sub>
                <m:sup>
                  <m:r>
                    <m:t>N</m:t>
                  </m:r>
                </m:sup>
                <m:e>
                  <m:sSub>
                    <m:e>
                      <m:r>
                        <m:t>x</m:t>
                      </m:r>
                    </m:e>
                    <m:sub>
                      <m:r>
                        <m:t>i</m:t>
                      </m:r>
                    </m:sub>
                  </m:sSub>
                </m:e>
              </m:nary>
            </m:e>
          </m:d>
        </m:oMath>
      </m:oMathPara>
    </w:p>
    <w:p>
      <w:pPr>
        <w:spacing w:line="360" w:lineRule="auto" w:after="0"/>
        <w:ind w:firstLine="0"/>
      </w:pPr>
      <w:r>
        <w:rPr>
          <w:rFonts w:ascii="Times New Roman" w:hAnsi="Times New Roman" w:eastAsia="宋体"/>
          <w:b w:val="0"/>
          <w:i w:val="0"/>
          <w:sz w:val="22"/>
        </w:rPr>
        <w:t>其中，U_i(x_i)是用户i消费x_i单位电量的效用，C(·)是供电方的总成本函数，N是用户总数</w:t>
      </w:r>
      <w:r>
        <w:rPr>
          <w:rFonts w:ascii="Times New Roman" w:hAnsi="Times New Roman" w:eastAsia="Times New Roman"/>
          <w:b w:val="0"/>
          <w:i w:val="0"/>
          <w:sz w:val="18"/>
          <w:vertAlign w:val="superscript"/>
        </w:rPr>
        <w:t>[9]</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社会福利最大化是实时定价的核心目标函数。通过优化电价使社会福利最大化，可以实现供需双侧的协同优化，使全社会电力消费的总效用最大化。</w:t>
      </w:r>
    </w:p>
    <w:p>
      <w:pPr>
        <w:pStyle w:val="Heading3"/>
        <w:spacing w:before="160" w:after="60"/>
      </w:pPr>
      <w:r>
        <w:rPr>
          <w:rFonts w:ascii="Times New Roman" w:hAnsi="Times New Roman" w:eastAsia="黑体"/>
          <w:b/>
          <w:i w:val="0"/>
          <w:sz w:val="24"/>
        </w:rPr>
        <w:t>3.3.2 社会福利最大化的数学模型</w:t>
      </w:r>
    </w:p>
    <w:p>
      <w:pPr>
        <w:spacing w:line="360" w:lineRule="auto" w:after="0"/>
        <w:ind w:firstLine="425"/>
      </w:pPr>
      <w:r>
        <w:rPr>
          <w:rFonts w:ascii="Times New Roman" w:hAnsi="Times New Roman" w:eastAsia="宋体"/>
          <w:b w:val="0"/>
          <w:i w:val="0"/>
          <w:sz w:val="22"/>
        </w:rPr>
        <w:t>社会福利最大化问题可以表述为：</w:t>
      </w:r>
    </w:p>
    <w:p>
      <w:pPr>
        <w:spacing w:before="80" w:after="80"/>
        <w:jc w:val="center"/>
      </w:pPr>
      <m:oMathPara>
        <m:oMath>
          <m:sSub>
            <m:e>
              <m:r>
                <m:t>max</m:t>
              </m:r>
            </m:e>
            <m:sub>
              <m:sSub>
                <m:e>
                  <m:r>
                    <m:t>x</m:t>
                  </m:r>
                </m:e>
                <m:sub>
                  <m:r>
                    <m:t>i</m:t>
                  </m:r>
                </m:sub>
              </m:sSub>
              <m:r>
                <m:t>,p</m:t>
              </m:r>
            </m:sub>
          </m:sSub>
          <m:nary>
            <m:naryPr>
              <m:chr m:val="∑"/>
              <m:limLoc m:val="subSup"/>
              <m:grow m:val="1"/>
              <m:subHide m:val="off"/>
              <m:supHide m:val="off"/>
            </m:naryPr>
            <m:sub>
              <m:r>
                <m:t>i=1</m:t>
              </m:r>
            </m:sub>
            <m:sup>
              <m:r>
                <m:t>N</m:t>
              </m:r>
            </m:sup>
            <m:e>
              <m:sSub>
                <m:e>
                  <m:r>
                    <m:t>U</m:t>
                  </m:r>
                </m:e>
                <m:sub>
                  <m:r>
                    <m:t>i</m:t>
                  </m:r>
                </m:sub>
              </m:sSub>
            </m:e>
          </m:nary>
          <m:r>
            <m:t>(</m:t>
          </m:r>
          <m:sSub>
            <m:e>
              <m:r>
                <m:t>x</m:t>
              </m:r>
            </m:e>
            <m:sub>
              <m:r>
                <m:t>i</m:t>
              </m:r>
            </m:sub>
          </m:sSub>
          <m:r>
            <m:t>)−C</m:t>
          </m:r>
          <m:d>
            <m:dPr>
              <m:sepChr m:val=""/>
            </m:dPr>
            <m:e>
              <m:nary>
                <m:naryPr>
                  <m:chr m:val="∑"/>
                  <m:limLoc m:val="subSup"/>
                  <m:grow m:val="1"/>
                  <m:subHide m:val="off"/>
                  <m:supHide m:val="off"/>
                </m:naryPr>
                <m:sub>
                  <m:r>
                    <m:t>i=1</m:t>
                  </m:r>
                </m:sub>
                <m:sup>
                  <m:r>
                    <m:t>N</m:t>
                  </m:r>
                </m:sup>
                <m:e>
                  <m:sSub>
                    <m:e>
                      <m:r>
                        <m:t>x</m:t>
                      </m:r>
                    </m:e>
                    <m:sub>
                      <m:r>
                        <m:t>i</m:t>
                      </m:r>
                    </m:sub>
                  </m:sSub>
                </m:e>
              </m:nary>
            </m:e>
          </m:d>
        </m:oMath>
      </m:oMathPara>
    </w:p>
    <w:p>
      <w:pPr>
        <w:spacing w:before="80" w:after="80"/>
        <w:jc w:val="center"/>
      </w:pPr>
      <m:oMathPara>
        <m:oMath>
          <m:r>
            <m:rPr>
              <m:nor/>
            </m:rPr>
            <m:t>s.t.</m:t>
          </m:r>
          <m:nary>
            <m:naryPr>
              <m:chr m:val="∑"/>
              <m:limLoc m:val="subSup"/>
              <m:grow m:val="1"/>
              <m:subHide m:val="off"/>
              <m:supHide m:val="off"/>
            </m:naryPr>
            <m:sub>
              <m:r>
                <m:t>i=1</m:t>
              </m:r>
            </m:sub>
            <m:sup>
              <m:r>
                <m:t>N</m:t>
              </m:r>
            </m:sup>
            <m:e>
              <m:sSub>
                <m:e>
                  <m:r>
                    <m:t>x</m:t>
                  </m:r>
                </m:e>
                <m:sub>
                  <m:r>
                    <m:t>i</m:t>
                  </m:r>
                </m:sub>
              </m:sSub>
            </m:e>
          </m:nary>
          <m:r>
            <m:t>≤</m:t>
          </m:r>
          <m:sSub>
            <m:e>
              <m:r>
                <m:t>Q</m:t>
              </m:r>
            </m:e>
            <m:sub>
              <m:r>
                <m:t>max</m:t>
              </m:r>
            </m:sub>
          </m:sSub>
        </m:oMath>
      </m:oMathPara>
    </w:p>
    <w:p>
      <w:pPr>
        <w:spacing w:before="80" w:after="80"/>
        <w:jc w:val="center"/>
      </w:pPr>
      <m:oMathPara>
        <m:oMath>
          <m:sSub>
            <m:e>
              <m:r>
                <m:t>x</m:t>
              </m:r>
            </m:e>
            <m:sub>
              <m:r>
                <m:t>i</m:t>
              </m:r>
            </m:sub>
          </m:sSub>
          <m:r>
            <m:t>≥0,</m:t>
          </m:r>
          <m:r>
            <m:t>i=1,2,…,N</m:t>
          </m:r>
        </m:oMath>
      </m:oMathPara>
    </w:p>
    <w:p>
      <w:pPr>
        <w:spacing w:line="360" w:lineRule="auto" w:after="0"/>
        <w:ind w:firstLine="0"/>
      </w:pPr>
      <w:r>
        <w:rPr>
          <w:rFonts w:ascii="Times New Roman" w:hAnsi="Times New Roman" w:eastAsia="宋体"/>
          <w:b w:val="0"/>
          <w:i w:val="0"/>
          <w:sz w:val="22"/>
        </w:rPr>
        <w:t>其中，Q_max是供电方的最大供电能力。该问题的最优解满足以下条件：每个用户的边际效用等于边际成本，即U_i'(x_i^</w:t>
      </w:r>
      <w:r>
        <w:rPr>
          <w:rFonts w:ascii="Times New Roman" w:hAnsi="Times New Roman" w:eastAsia="宋体"/>
          <w:b w:val="0"/>
          <w:i/>
          <w:sz w:val="22"/>
        </w:rPr>
        <w:t>) = C'(Σ x_i^</w:t>
      </w:r>
      <w:r>
        <w:rPr>
          <w:rFonts w:ascii="Times New Roman" w:hAnsi="Times New Roman" w:eastAsia="宋体"/>
          <w:b w:val="0"/>
          <w:i w:val="0"/>
          <w:sz w:val="22"/>
        </w:rPr>
        <w:t>) = p^</w:t>
      </w:r>
      <w:r>
        <w:rPr>
          <w:rFonts w:ascii="Times New Roman" w:hAnsi="Times New Roman" w:eastAsia="宋体"/>
          <w:b w:val="0"/>
          <w:i/>
          <w:sz w:val="22"/>
        </w:rPr>
        <w:t>，其中p^</w:t>
      </w:r>
      <w:r>
        <w:rPr>
          <w:rFonts w:ascii="Times New Roman" w:hAnsi="Times New Roman" w:eastAsia="宋体"/>
          <w:b w:val="0"/>
          <w:i w:val="0"/>
          <w:sz w:val="22"/>
        </w:rPr>
        <w:t>即为最优实时电价。</w:t>
      </w:r>
    </w:p>
    <w:p>
      <w:pPr>
        <w:pStyle w:val="Heading3"/>
        <w:spacing w:before="160" w:after="60"/>
      </w:pPr>
      <w:r>
        <w:rPr>
          <w:rFonts w:ascii="Times New Roman" w:hAnsi="Times New Roman" w:eastAsia="黑体"/>
          <w:b/>
          <w:i w:val="0"/>
          <w:sz w:val="24"/>
        </w:rPr>
        <w:t>3.3.3 社会福利最大化的实现方法</w:t>
      </w:r>
    </w:p>
    <w:p>
      <w:pPr>
        <w:spacing w:line="360" w:lineRule="auto" w:after="0"/>
        <w:ind w:firstLine="425"/>
      </w:pPr>
      <w:r>
        <w:rPr>
          <w:rFonts w:ascii="Times New Roman" w:hAnsi="Times New Roman" w:eastAsia="宋体"/>
          <w:b w:val="0"/>
          <w:i w:val="0"/>
          <w:sz w:val="22"/>
        </w:rPr>
        <w:t>实现社会福利最大化的主要方法包括：</w:t>
      </w:r>
    </w:p>
    <w:p>
      <w:pPr>
        <w:spacing w:line="360" w:lineRule="auto" w:after="0"/>
        <w:ind w:firstLine="425"/>
      </w:pPr>
      <w:r>
        <w:rPr>
          <w:rFonts w:ascii="Times New Roman" w:hAnsi="Times New Roman" w:eastAsia="宋体"/>
          <w:b/>
          <w:i w:val="0"/>
          <w:sz w:val="22"/>
        </w:rPr>
        <w:t>拉格朗日对偶法</w:t>
      </w:r>
      <w:r>
        <w:rPr>
          <w:rFonts w:ascii="Times New Roman" w:hAnsi="Times New Roman" w:eastAsia="宋体"/>
          <w:b w:val="0"/>
          <w:i w:val="0"/>
          <w:sz w:val="22"/>
        </w:rPr>
        <w:t>：通过构造拉格朗日函数将约束优化问题转化为无约束问题，对偶变量即为实时电价。Samadi等（2010）采用拉格朗日对偶法求解集中式效用最大化问题，奠定了这一方向的理论基础</w:t>
      </w:r>
      <w:r>
        <w:rPr>
          <w:rFonts w:ascii="Times New Roman" w:hAnsi="Times New Roman" w:eastAsia="Times New Roman"/>
          <w:b w:val="0"/>
          <w:i w:val="0"/>
          <w:sz w:val="18"/>
          <w:vertAlign w:val="superscript"/>
        </w:rPr>
        <w:t>[9]</w:t>
      </w:r>
      <w:r>
        <w:rPr>
          <w:rFonts w:ascii="Times New Roman" w:hAnsi="Times New Roman" w:eastAsia="宋体"/>
          <w:b w:val="0"/>
          <w:i w:val="0"/>
          <w:sz w:val="22"/>
        </w:rPr>
        <w:t>。</w:t>
      </w:r>
    </w:p>
    <w:p>
      <w:pPr>
        <w:spacing w:line="360" w:lineRule="auto" w:after="0"/>
        <w:ind w:firstLine="425"/>
      </w:pPr>
      <w:r>
        <w:rPr>
          <w:rFonts w:ascii="Times New Roman" w:hAnsi="Times New Roman" w:eastAsia="宋体"/>
          <w:b/>
          <w:i w:val="0"/>
          <w:sz w:val="22"/>
        </w:rPr>
        <w:t>KKT条件法</w:t>
      </w:r>
      <w:r>
        <w:rPr>
          <w:rFonts w:ascii="Times New Roman" w:hAnsi="Times New Roman" w:eastAsia="宋体"/>
          <w:b w:val="0"/>
          <w:i w:val="0"/>
          <w:sz w:val="22"/>
        </w:rPr>
        <w:t>：利用Karush-Kuhn-Tucker条件分析最优解的性质，将优化问题转化为互补问题或非光滑方程问题。许志宏和高岩（2018）利用KKT条件将社会福利最大化问题转化为非光滑方程组，并通过光滑化方法求解</w:t>
      </w:r>
      <w:r>
        <w:rPr>
          <w:rFonts w:ascii="Times New Roman" w:hAnsi="Times New Roman" w:eastAsia="Times New Roman"/>
          <w:b w:val="0"/>
          <w:i w:val="0"/>
          <w:sz w:val="18"/>
          <w:vertAlign w:val="superscript"/>
        </w:rPr>
        <w:t>[10]</w:t>
      </w:r>
      <w:r>
        <w:rPr>
          <w:rFonts w:ascii="Times New Roman" w:hAnsi="Times New Roman" w:eastAsia="宋体"/>
          <w:b w:val="0"/>
          <w:i w:val="0"/>
          <w:sz w:val="22"/>
        </w:rPr>
        <w:t>。</w:t>
      </w:r>
    </w:p>
    <w:p>
      <w:pPr>
        <w:spacing w:line="360" w:lineRule="auto" w:after="0"/>
        <w:ind w:firstLine="425"/>
      </w:pPr>
      <w:r>
        <w:rPr>
          <w:rFonts w:ascii="Times New Roman" w:hAnsi="Times New Roman" w:eastAsia="宋体"/>
          <w:b/>
          <w:i w:val="0"/>
          <w:sz w:val="22"/>
        </w:rPr>
        <w:t>博弈论方法</w:t>
      </w:r>
      <w:r>
        <w:rPr>
          <w:rFonts w:ascii="Times New Roman" w:hAnsi="Times New Roman" w:eastAsia="宋体"/>
          <w:b w:val="0"/>
          <w:i w:val="0"/>
          <w:sz w:val="22"/>
        </w:rPr>
        <w:t>：在多参与者场景下，通过博弈均衡实现社会福利最大化（或次优）。代业明和高岩（2014）利用Stackelberg博弈分析多零售商竞争场景下的定价问题</w:t>
      </w:r>
      <w:r>
        <w:rPr>
          <w:rFonts w:ascii="Times New Roman" w:hAnsi="Times New Roman" w:eastAsia="Times New Roman"/>
          <w:b w:val="0"/>
          <w:i w:val="0"/>
          <w:sz w:val="18"/>
          <w:vertAlign w:val="superscript"/>
        </w:rPr>
        <w:t>[11]</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3.3.4 社会福利最大化的扩展</w:t>
      </w:r>
    </w:p>
    <w:p>
      <w:pPr>
        <w:spacing w:line="360" w:lineRule="auto" w:after="0"/>
        <w:ind w:firstLine="425"/>
      </w:pPr>
      <w:r>
        <w:rPr>
          <w:rFonts w:ascii="Times New Roman" w:hAnsi="Times New Roman" w:eastAsia="宋体"/>
          <w:b w:val="0"/>
          <w:i w:val="0"/>
          <w:sz w:val="22"/>
        </w:rPr>
        <w:t>在社会福利最大化框架的基础上，研究者进行了多种扩展：</w:t>
      </w:r>
    </w:p>
    <w:p>
      <w:pPr>
        <w:spacing w:line="360" w:lineRule="auto" w:after="0"/>
        <w:ind w:firstLine="425"/>
      </w:pPr>
      <w:r>
        <w:rPr>
          <w:rFonts w:ascii="Times New Roman" w:hAnsi="Times New Roman" w:eastAsia="宋体"/>
          <w:b/>
          <w:i w:val="0"/>
          <w:sz w:val="22"/>
        </w:rPr>
        <w:t>多能源耦合</w:t>
      </w:r>
      <w:r>
        <w:rPr>
          <w:rFonts w:ascii="Times New Roman" w:hAnsi="Times New Roman" w:eastAsia="宋体"/>
          <w:b w:val="0"/>
          <w:i w:val="0"/>
          <w:sz w:val="22"/>
        </w:rPr>
        <w:t>：李军祥等（2019, 2020）将社会福利最大化框架扩展到智能电网互补能源供用电场景，考虑了电力与其他能源（如天然气、热力）的耦合关系</w:t>
      </w:r>
      <w:r>
        <w:rPr>
          <w:rFonts w:ascii="Times New Roman" w:hAnsi="Times New Roman" w:eastAsia="Times New Roman"/>
          <w:b w:val="0"/>
          <w:i w:val="0"/>
          <w:sz w:val="18"/>
          <w:vertAlign w:val="superscript"/>
        </w:rPr>
        <w:t>[12]</w:t>
      </w:r>
      <w:r>
        <w:rPr>
          <w:rFonts w:ascii="Times New Roman" w:hAnsi="Times New Roman" w:eastAsia="Times New Roman"/>
          <w:b w:val="0"/>
          <w:i w:val="0"/>
          <w:sz w:val="18"/>
          <w:vertAlign w:val="superscript"/>
        </w:rPr>
        <w:t>[13]</w:t>
      </w:r>
      <w:r>
        <w:rPr>
          <w:rFonts w:ascii="Times New Roman" w:hAnsi="Times New Roman" w:eastAsia="宋体"/>
          <w:b w:val="0"/>
          <w:i w:val="0"/>
          <w:sz w:val="22"/>
        </w:rPr>
        <w:t>。</w:t>
      </w:r>
    </w:p>
    <w:p>
      <w:pPr>
        <w:spacing w:line="360" w:lineRule="auto" w:after="0"/>
        <w:ind w:firstLine="425"/>
      </w:pPr>
      <w:r>
        <w:rPr>
          <w:rFonts w:ascii="Times New Roman" w:hAnsi="Times New Roman" w:eastAsia="宋体"/>
          <w:b/>
          <w:i w:val="0"/>
          <w:sz w:val="22"/>
        </w:rPr>
        <w:t>不确定性</w:t>
      </w:r>
      <w:r>
        <w:rPr>
          <w:rFonts w:ascii="Times New Roman" w:hAnsi="Times New Roman" w:eastAsia="宋体"/>
          <w:b w:val="0"/>
          <w:i w:val="0"/>
          <w:sz w:val="22"/>
        </w:rPr>
        <w:t>：张莉等（2019）研究了具有时间耦合约束的多时段社会福利最大化问题，考虑了用电需求的时间耦合特性</w:t>
      </w:r>
      <w:r>
        <w:rPr>
          <w:rFonts w:ascii="Times New Roman" w:hAnsi="Times New Roman" w:eastAsia="Times New Roman"/>
          <w:b w:val="0"/>
          <w:i w:val="0"/>
          <w:sz w:val="18"/>
          <w:vertAlign w:val="superscript"/>
        </w:rPr>
        <w:t>[14]</w:t>
      </w:r>
      <w:r>
        <w:rPr>
          <w:rFonts w:ascii="Times New Roman" w:hAnsi="Times New Roman" w:eastAsia="宋体"/>
          <w:b w:val="0"/>
          <w:i w:val="0"/>
          <w:sz w:val="22"/>
        </w:rPr>
        <w:t>。杨扬等研究了考虑双重不确定性的社会福利最大化鲁棒优化方法</w:t>
      </w:r>
      <w:r>
        <w:rPr>
          <w:rFonts w:ascii="Times New Roman" w:hAnsi="Times New Roman" w:eastAsia="Times New Roman"/>
          <w:b w:val="0"/>
          <w:i w:val="0"/>
          <w:sz w:val="18"/>
          <w:vertAlign w:val="superscript"/>
        </w:rPr>
        <w:t>[15]</w:t>
      </w:r>
      <w:r>
        <w:rPr>
          <w:rFonts w:ascii="Times New Roman" w:hAnsi="Times New Roman" w:eastAsia="宋体"/>
          <w:b w:val="0"/>
          <w:i w:val="0"/>
          <w:sz w:val="22"/>
        </w:rPr>
        <w:t>。</w:t>
      </w:r>
    </w:p>
    <w:p>
      <w:pPr>
        <w:spacing w:line="360" w:lineRule="auto" w:after="0"/>
        <w:ind w:firstLine="425"/>
      </w:pPr>
      <w:r>
        <w:rPr>
          <w:rFonts w:ascii="Times New Roman" w:hAnsi="Times New Roman" w:eastAsia="宋体"/>
          <w:b/>
          <w:i w:val="0"/>
          <w:sz w:val="22"/>
        </w:rPr>
        <w:t>多目标优化</w:t>
      </w:r>
      <w:r>
        <w:rPr>
          <w:rFonts w:ascii="Times New Roman" w:hAnsi="Times New Roman" w:eastAsia="宋体"/>
          <w:b w:val="0"/>
          <w:i w:val="0"/>
          <w:sz w:val="22"/>
        </w:rPr>
        <w:t>：陶莉等（2020）以极小化峰谷差为替代目标，在削峰填谷与社会福利之间寻求平衡</w:t>
      </w:r>
      <w:r>
        <w:rPr>
          <w:rFonts w:ascii="Times New Roman" w:hAnsi="Times New Roman" w:eastAsia="Times New Roman"/>
          <w:b w:val="0"/>
          <w:i w:val="0"/>
          <w:sz w:val="18"/>
          <w:vertAlign w:val="superscript"/>
        </w:rPr>
        <w:t>[16]</w:t>
      </w:r>
      <w:r>
        <w:rPr>
          <w:rFonts w:ascii="Times New Roman" w:hAnsi="Times New Roman" w:eastAsia="宋体"/>
          <w:b w:val="0"/>
          <w:i w:val="0"/>
          <w:sz w:val="22"/>
        </w:rPr>
        <w:t>。</w:t>
      </w:r>
    </w:p>
    <w:p>
      <w:pPr>
        <w:pStyle w:val="Heading2"/>
        <w:spacing w:before="240" w:after="80"/>
      </w:pPr>
      <w:r>
        <w:rPr>
          <w:rFonts w:ascii="Times New Roman" w:hAnsi="Times New Roman" w:eastAsia="黑体"/>
          <w:b/>
          <w:i w:val="0"/>
          <w:sz w:val="28"/>
        </w:rPr>
        <w:t>3.4 用户行为理论与需求价格弹性</w:t>
      </w:r>
    </w:p>
    <w:p>
      <w:pPr>
        <w:pStyle w:val="Heading3"/>
        <w:spacing w:before="160" w:after="60"/>
      </w:pPr>
      <w:r>
        <w:rPr>
          <w:rFonts w:ascii="Times New Roman" w:hAnsi="Times New Roman" w:eastAsia="黑体"/>
          <w:b/>
          <w:i w:val="0"/>
          <w:sz w:val="24"/>
        </w:rPr>
        <w:t>3.4.1 用户效用函数</w:t>
      </w:r>
    </w:p>
    <w:p>
      <w:pPr>
        <w:spacing w:line="360" w:lineRule="auto" w:after="0"/>
        <w:ind w:firstLine="425"/>
      </w:pPr>
      <w:r>
        <w:rPr>
          <w:rFonts w:ascii="Times New Roman" w:hAnsi="Times New Roman" w:eastAsia="宋体"/>
          <w:b w:val="0"/>
          <w:i w:val="0"/>
          <w:sz w:val="22"/>
        </w:rPr>
        <w:t>用户效用函数描述了用户从电力消费中获得的满足程度。在实时定价研究中，常用的效用函数包括：</w:t>
      </w:r>
    </w:p>
    <w:p>
      <w:pPr>
        <w:spacing w:line="360" w:lineRule="auto" w:after="0"/>
        <w:ind w:firstLine="425"/>
      </w:pPr>
      <w:r>
        <w:rPr>
          <w:rFonts w:ascii="Times New Roman" w:hAnsi="Times New Roman" w:eastAsia="宋体"/>
          <w:b/>
          <w:i w:val="0"/>
          <w:sz w:val="22"/>
        </w:rPr>
        <w:t>二次效用函数</w:t>
      </w:r>
      <w:r>
        <w:rPr>
          <w:rFonts w:ascii="Times New Roman" w:hAnsi="Times New Roman" w:eastAsia="宋体"/>
          <w:b w:val="0"/>
          <w:i w:val="0"/>
          <w:sz w:val="22"/>
        </w:rPr>
        <w:t>：U(x) = ax - (b)/(2)x^2，其中a, b &gt; 0。二次效用函数具有递减边际效用的性质，数学处理方便，是文献中最常用的形式。</w:t>
      </w:r>
    </w:p>
    <w:p>
      <w:pPr>
        <w:spacing w:line="360" w:lineRule="auto" w:after="0"/>
        <w:ind w:firstLine="425"/>
      </w:pPr>
      <w:r>
        <w:rPr>
          <w:rFonts w:ascii="Times New Roman" w:hAnsi="Times New Roman" w:eastAsia="宋体"/>
          <w:b/>
          <w:i w:val="0"/>
          <w:sz w:val="22"/>
        </w:rPr>
        <w:t>对数效用函数</w:t>
      </w:r>
      <w:r>
        <w:rPr>
          <w:rFonts w:ascii="Times New Roman" w:hAnsi="Times New Roman" w:eastAsia="宋体"/>
          <w:b w:val="0"/>
          <w:i w:val="0"/>
          <w:sz w:val="22"/>
        </w:rPr>
        <w:t>：U(x) = a ln(x + b)。对数效用函数具有更强的非线性特征，适用于描述用户对电力消费的饱和效应。</w:t>
      </w:r>
    </w:p>
    <w:p>
      <w:pPr>
        <w:spacing w:line="360" w:lineRule="auto" w:after="0"/>
        <w:ind w:firstLine="425"/>
      </w:pPr>
      <w:r>
        <w:rPr>
          <w:rFonts w:ascii="Times New Roman" w:hAnsi="Times New Roman" w:eastAsia="宋体"/>
          <w:b/>
          <w:i w:val="0"/>
          <w:sz w:val="22"/>
        </w:rPr>
        <w:t>分片线性效用函数</w:t>
      </w:r>
      <w:r>
        <w:rPr>
          <w:rFonts w:ascii="Times New Roman" w:hAnsi="Times New Roman" w:eastAsia="宋体"/>
          <w:b w:val="0"/>
          <w:i w:val="0"/>
          <w:sz w:val="22"/>
        </w:rPr>
        <w:t>：许志宏和高岩（2018）提出了分片线性效用函数，通过分段线性逼近一般效用函数，具有更强的通用性和可解释性</w:t>
      </w:r>
      <w:r>
        <w:rPr>
          <w:rFonts w:ascii="Times New Roman" w:hAnsi="Times New Roman" w:eastAsia="Times New Roman"/>
          <w:b w:val="0"/>
          <w:i w:val="0"/>
          <w:sz w:val="18"/>
          <w:vertAlign w:val="superscript"/>
        </w:rPr>
        <w:t>[10]</w:t>
      </w:r>
      <w:r>
        <w:rPr>
          <w:rFonts w:ascii="Times New Roman" w:hAnsi="Times New Roman" w:eastAsia="宋体"/>
          <w:b w:val="0"/>
          <w:i w:val="0"/>
          <w:sz w:val="22"/>
        </w:rPr>
        <w:t>。</w:t>
      </w:r>
    </w:p>
    <w:p>
      <w:pPr>
        <w:spacing w:line="360" w:lineRule="auto" w:after="0"/>
        <w:ind w:firstLine="425"/>
      </w:pPr>
      <w:r>
        <w:rPr>
          <w:rFonts w:ascii="Times New Roman" w:hAnsi="Times New Roman" w:eastAsia="宋体"/>
          <w:b/>
          <w:i w:val="0"/>
          <w:sz w:val="22"/>
        </w:rPr>
        <w:t>非递减边际效用函数</w:t>
      </w:r>
      <w:r>
        <w:rPr>
          <w:rFonts w:ascii="Times New Roman" w:hAnsi="Times New Roman" w:eastAsia="宋体"/>
          <w:b w:val="0"/>
          <w:i w:val="0"/>
          <w:sz w:val="22"/>
        </w:rPr>
        <w:t>：高岩团队研究了非递减边际效用函数的实时电价问题，适用于描述特定用户群体（如工业用户）的用电行为特征</w:t>
      </w:r>
      <w:r>
        <w:rPr>
          <w:rFonts w:ascii="Times New Roman" w:hAnsi="Times New Roman" w:eastAsia="Times New Roman"/>
          <w:b w:val="0"/>
          <w:i w:val="0"/>
          <w:sz w:val="18"/>
          <w:vertAlign w:val="superscript"/>
        </w:rPr>
        <w:t>[17]</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3.4.2 需求价格弹性</w:t>
      </w:r>
    </w:p>
    <w:p>
      <w:pPr>
        <w:spacing w:line="360" w:lineRule="auto" w:after="0"/>
        <w:ind w:firstLine="425"/>
      </w:pPr>
      <w:r>
        <w:rPr>
          <w:rFonts w:ascii="Times New Roman" w:hAnsi="Times New Roman" w:eastAsia="宋体"/>
          <w:b w:val="0"/>
          <w:i w:val="0"/>
          <w:sz w:val="22"/>
        </w:rPr>
        <w:t>需求价格弹性是度量用户用电量对价格变化敏感程度的指标：</w:t>
      </w:r>
    </w:p>
    <w:p>
      <w:pPr>
        <w:spacing w:before="80" w:after="80"/>
        <w:jc w:val="center"/>
      </w:pPr>
      <m:oMathPara>
        <m:oMath>
          <m:r>
            <m:t>ε=</m:t>
          </m:r>
          <m:f>
            <m:fPr>
              <m:type m:val="bar"/>
            </m:fPr>
            <m:num>
              <m:r>
                <m:t>Δx/x</m:t>
              </m:r>
            </m:num>
            <m:den>
              <m:r>
                <m:t>Δp/p</m:t>
              </m:r>
            </m:den>
          </m:f>
          <m:r>
            <m:t>=</m:t>
          </m:r>
          <m:f>
            <m:fPr>
              <m:type m:val="bar"/>
            </m:fPr>
            <m:num>
              <m:r>
                <m:t>p</m:t>
              </m:r>
            </m:num>
            <m:den>
              <m:r>
                <m:t>x</m:t>
              </m:r>
            </m:den>
          </m:f>
          <m:r>
            <m:t>·</m:t>
          </m:r>
          <m:f>
            <m:fPr>
              <m:type m:val="bar"/>
            </m:fPr>
            <m:num>
              <m:r>
                <m:t>dx</m:t>
              </m:r>
            </m:num>
            <m:den>
              <m:r>
                <m:t>dp</m:t>
              </m:r>
            </m:den>
          </m:f>
        </m:oMath>
      </m:oMathPara>
    </w:p>
    <w:p>
      <w:pPr>
        <w:spacing w:line="360" w:lineRule="auto" w:after="0"/>
        <w:ind w:firstLine="0"/>
      </w:pPr>
      <w:r>
        <w:rPr>
          <w:rFonts w:ascii="Times New Roman" w:hAnsi="Times New Roman" w:eastAsia="宋体"/>
          <w:b w:val="0"/>
          <w:i w:val="0"/>
          <w:sz w:val="22"/>
        </w:rPr>
        <w:t>黄海新等（2016）研究了基于实时电价的用户用电响应行为，对不同类型用户的需求价格弹性进行了实证分析</w:t>
      </w:r>
      <w:r>
        <w:rPr>
          <w:rFonts w:ascii="Times New Roman" w:hAnsi="Times New Roman" w:eastAsia="Times New Roman"/>
          <w:b w:val="0"/>
          <w:i w:val="0"/>
          <w:sz w:val="18"/>
          <w:vertAlign w:val="superscript"/>
        </w:rPr>
        <w:t>[18]</w:t>
      </w:r>
      <w:r>
        <w:rPr>
          <w:rFonts w:ascii="Times New Roman" w:hAnsi="Times New Roman" w:eastAsia="宋体"/>
          <w:b w:val="0"/>
          <w:i w:val="0"/>
          <w:sz w:val="22"/>
        </w:rPr>
        <w:t>。研究结果表明：</w:t>
      </w:r>
    </w:p>
    <w:p>
      <w:pPr>
        <w:pStyle w:val="ListBullet"/>
        <w:spacing w:line="360" w:lineRule="auto" w:after="0"/>
      </w:pPr>
      <w:r>
        <w:rPr>
          <w:rFonts w:ascii="Times New Roman" w:hAnsi="Times New Roman" w:eastAsia="宋体"/>
          <w:b w:val="0"/>
          <w:i w:val="0"/>
          <w:sz w:val="22"/>
        </w:rPr>
        <w:t>居民用户的价格弹性通常在-0.1到-0.3之间，弹性较低</w:t>
      </w:r>
    </w:p>
    <w:p>
      <w:pPr>
        <w:pStyle w:val="ListBullet"/>
        <w:spacing w:line="360" w:lineRule="auto" w:after="0"/>
      </w:pPr>
      <w:r>
        <w:rPr>
          <w:rFonts w:ascii="Times New Roman" w:hAnsi="Times New Roman" w:eastAsia="宋体"/>
          <w:b w:val="0"/>
          <w:i w:val="0"/>
          <w:sz w:val="22"/>
        </w:rPr>
        <w:t>商业用户的价格弹性在-0.2到-0.5之间，弹性中等</w:t>
      </w:r>
    </w:p>
    <w:p>
      <w:pPr>
        <w:pStyle w:val="ListBullet"/>
        <w:spacing w:line="360" w:lineRule="auto" w:after="0"/>
      </w:pPr>
      <w:r>
        <w:rPr>
          <w:rFonts w:ascii="Times New Roman" w:hAnsi="Times New Roman" w:eastAsia="宋体"/>
          <w:b w:val="0"/>
          <w:i w:val="0"/>
          <w:sz w:val="22"/>
        </w:rPr>
        <w:t>工业用户的价格弹性在-0.3到-0.8之间，弹性较高</w:t>
      </w:r>
    </w:p>
    <w:p>
      <w:pPr>
        <w:pStyle w:val="ListBullet"/>
        <w:spacing w:line="360" w:lineRule="auto" w:after="0"/>
      </w:pPr>
      <w:r>
        <w:rPr>
          <w:rFonts w:ascii="Times New Roman" w:hAnsi="Times New Roman" w:eastAsia="宋体"/>
          <w:b w:val="0"/>
          <w:i w:val="0"/>
          <w:sz w:val="22"/>
        </w:rPr>
        <w:t>可调度负荷（如电动汽车充电）的价格弹性可达-1.0以上</w:t>
      </w:r>
    </w:p>
    <w:p>
      <w:pPr>
        <w:pStyle w:val="Heading3"/>
        <w:spacing w:before="160" w:after="60"/>
      </w:pPr>
      <w:r>
        <w:rPr>
          <w:rFonts w:ascii="Times New Roman" w:hAnsi="Times New Roman" w:eastAsia="黑体"/>
          <w:b/>
          <w:i w:val="0"/>
          <w:sz w:val="24"/>
        </w:rPr>
        <w:t>3.4.3 用户分类与差异化定价</w:t>
      </w:r>
    </w:p>
    <w:p>
      <w:pPr>
        <w:spacing w:line="360" w:lineRule="auto" w:after="0"/>
        <w:ind w:firstLine="425"/>
      </w:pPr>
      <w:r>
        <w:rPr>
          <w:rFonts w:ascii="Times New Roman" w:hAnsi="Times New Roman" w:eastAsia="宋体"/>
          <w:b w:val="0"/>
          <w:i w:val="0"/>
          <w:sz w:val="22"/>
        </w:rPr>
        <w:t>不同类型用户的用电行为和价格响应特征存在显著差异，因此差异化定价是提高定价效率的重要手段。</w:t>
      </w:r>
    </w:p>
    <w:p>
      <w:pPr>
        <w:spacing w:line="360" w:lineRule="auto" w:after="0"/>
        <w:ind w:firstLine="425"/>
      </w:pPr>
      <w:r>
        <w:rPr>
          <w:rFonts w:ascii="Times New Roman" w:hAnsi="Times New Roman" w:eastAsia="宋体"/>
          <w:b w:val="0"/>
          <w:i w:val="0"/>
          <w:sz w:val="22"/>
        </w:rPr>
        <w:t>刘等（2017）研究了智能电网分类用户实时电价算法，根据用户用电特征进行分类，针对不同类别用户设计差异化定价策略</w:t>
      </w:r>
      <w:r>
        <w:rPr>
          <w:rFonts w:ascii="Times New Roman" w:hAnsi="Times New Roman" w:eastAsia="Times New Roman"/>
          <w:b w:val="0"/>
          <w:i w:val="0"/>
          <w:sz w:val="18"/>
          <w:vertAlign w:val="superscript"/>
        </w:rPr>
        <w:t>[19]</w:t>
      </w:r>
      <w:r>
        <w:rPr>
          <w:rFonts w:ascii="Times New Roman" w:hAnsi="Times New Roman" w:eastAsia="宋体"/>
          <w:b w:val="0"/>
          <w:i w:val="0"/>
          <w:sz w:val="22"/>
        </w:rPr>
        <w:t>。李军祥等（2019）进一步提出了基于用户电器分类的智能电网实时定价方法，将用户电器分为可调度型、可中断型和不可调度型，分别设计定价策略</w:t>
      </w:r>
      <w:r>
        <w:rPr>
          <w:rFonts w:ascii="Times New Roman" w:hAnsi="Times New Roman" w:eastAsia="Times New Roman"/>
          <w:b w:val="0"/>
          <w:i w:val="0"/>
          <w:sz w:val="18"/>
          <w:vertAlign w:val="superscript"/>
        </w:rPr>
        <w:t>[20]</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朱红波等（2018）研究了马尔可夫过程下多类用户智能电网实时电价，利用马尔可夫决策过程刻画用户用电状态的随机转移特征</w:t>
      </w:r>
      <w:r>
        <w:rPr>
          <w:rFonts w:ascii="Times New Roman" w:hAnsi="Times New Roman" w:eastAsia="Times New Roman"/>
          <w:b w:val="0"/>
          <w:i w:val="0"/>
          <w:sz w:val="18"/>
          <w:vertAlign w:val="superscript"/>
        </w:rPr>
        <w:t>[21]</w:t>
      </w:r>
      <w:r>
        <w:rPr>
          <w:rFonts w:ascii="Times New Roman" w:hAnsi="Times New Roman" w:eastAsia="宋体"/>
          <w:b w:val="0"/>
          <w:i w:val="0"/>
          <w:sz w:val="22"/>
        </w:rPr>
        <w:t>。李等（2016）首次将马尔可夫决策过程引入智能电网实时电价建模</w:t>
      </w:r>
      <w:r>
        <w:rPr>
          <w:rFonts w:ascii="Times New Roman" w:hAnsi="Times New Roman" w:eastAsia="Times New Roman"/>
          <w:b w:val="0"/>
          <w:i w:val="0"/>
          <w:sz w:val="18"/>
          <w:vertAlign w:val="superscript"/>
        </w:rPr>
        <w:t>[22]</w:t>
      </w:r>
      <w:r>
        <w:rPr>
          <w:rFonts w:ascii="Times New Roman" w:hAnsi="Times New Roman" w:eastAsia="宋体"/>
          <w:b w:val="0"/>
          <w:i w:val="0"/>
          <w:sz w:val="22"/>
        </w:rPr>
        <w:t>。</w:t>
      </w:r>
    </w:p>
    <w:p>
      <w:pPr>
        <w:pStyle w:val="Heading2"/>
        <w:spacing w:before="240" w:after="80"/>
      </w:pPr>
      <w:r>
        <w:rPr>
          <w:rFonts w:ascii="Times New Roman" w:hAnsi="Times New Roman" w:eastAsia="黑体"/>
          <w:b/>
          <w:i w:val="0"/>
          <w:sz w:val="28"/>
        </w:rPr>
        <w:t>3.5 实时定价与分时定价的比较</w:t>
      </w:r>
    </w:p>
    <w:p>
      <w:pPr>
        <w:pStyle w:val="Heading3"/>
        <w:spacing w:before="160" w:after="60"/>
      </w:pPr>
      <w:r>
        <w:rPr>
          <w:rFonts w:ascii="Times New Roman" w:hAnsi="Times New Roman" w:eastAsia="黑体"/>
          <w:b/>
          <w:i w:val="0"/>
          <w:sz w:val="24"/>
        </w:rPr>
        <w:t>3.5.1 经济效率比较</w:t>
      </w:r>
    </w:p>
    <w:p>
      <w:pPr>
        <w:spacing w:line="360" w:lineRule="auto" w:after="0"/>
        <w:ind w:firstLine="425"/>
      </w:pPr>
      <w:r>
        <w:rPr>
          <w:rFonts w:ascii="Times New Roman" w:hAnsi="Times New Roman" w:eastAsia="宋体"/>
          <w:b w:val="0"/>
          <w:i w:val="0"/>
          <w:sz w:val="22"/>
        </w:rPr>
        <w:t>从经济效率角度，实时定价优于分时定价。RTP的价格信号能够准确反映实时供需状况，引导用户实现最优用电调度。TOU由于价格调整频率低且预先确定，无法反映短期供需变化，存在经济效率损失。</w:t>
      </w:r>
    </w:p>
    <w:p>
      <w:pPr>
        <w:spacing w:line="360" w:lineRule="auto" w:after="0"/>
        <w:ind w:firstLine="425"/>
      </w:pPr>
      <w:r>
        <w:rPr>
          <w:rFonts w:ascii="Times New Roman" w:hAnsi="Times New Roman" w:eastAsia="宋体"/>
          <w:b w:val="0"/>
          <w:i w:val="0"/>
          <w:sz w:val="22"/>
        </w:rPr>
        <w:t>理论分析表明，在完全竞争和完全信息的理想条件下，RTP能够实现社会福利最大化，而TOU的社会福利低于RTP。代等（2017）研究了考虑信息延迟的智能电网实时定价问题，指出即使在存在信息延迟的情况下，RTP的经济效率仍优于TOU</w:t>
      </w:r>
      <w:r>
        <w:rPr>
          <w:rFonts w:ascii="Times New Roman" w:hAnsi="Times New Roman" w:eastAsia="Times New Roman"/>
          <w:b w:val="0"/>
          <w:i w:val="0"/>
          <w:sz w:val="18"/>
          <w:vertAlign w:val="superscript"/>
        </w:rPr>
        <w:t>[23]</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3.5.2 实施成本比较</w:t>
      </w:r>
    </w:p>
    <w:p>
      <w:pPr>
        <w:spacing w:line="360" w:lineRule="auto" w:after="0"/>
        <w:ind w:firstLine="425"/>
      </w:pPr>
      <w:r>
        <w:rPr>
          <w:rFonts w:ascii="Times New Roman" w:hAnsi="Times New Roman" w:eastAsia="宋体"/>
          <w:b w:val="0"/>
          <w:i w:val="0"/>
          <w:sz w:val="22"/>
        </w:rPr>
        <w:t>TOU的实施成本显著低于RTP。TOU只需要定期发布价格信息，对通信系统和用户响应能力的要求较低。RTP需要实时通信、高频价格计算和用户自动响应能力，实施成本较高。</w:t>
      </w:r>
    </w:p>
    <w:p>
      <w:pPr>
        <w:pStyle w:val="Heading3"/>
        <w:spacing w:before="160" w:after="60"/>
      </w:pPr>
      <w:r>
        <w:rPr>
          <w:rFonts w:ascii="Times New Roman" w:hAnsi="Times New Roman" w:eastAsia="黑体"/>
          <w:b/>
          <w:i w:val="0"/>
          <w:sz w:val="24"/>
        </w:rPr>
        <w:t>3.5.3 用户风险比较</w:t>
      </w:r>
    </w:p>
    <w:p>
      <w:pPr>
        <w:spacing w:line="360" w:lineRule="auto" w:after="0"/>
        <w:ind w:firstLine="425"/>
      </w:pPr>
      <w:r>
        <w:rPr>
          <w:rFonts w:ascii="Times New Roman" w:hAnsi="Times New Roman" w:eastAsia="宋体"/>
          <w:b w:val="0"/>
          <w:i w:val="0"/>
          <w:sz w:val="22"/>
        </w:rPr>
        <w:t>RTP下用户面临价格波动风险，电费支出不确定性较高。TOU的价格预先确定，用户电费支出可预测性强。朱（2018）研究了考虑风险的智能电网实时电价定价策略，提出了风险敏感的定价方法来平衡经济效率与用户风险</w:t>
      </w:r>
      <w:r>
        <w:rPr>
          <w:rFonts w:ascii="Times New Roman" w:hAnsi="Times New Roman" w:eastAsia="Times New Roman"/>
          <w:b w:val="0"/>
          <w:i w:val="0"/>
          <w:sz w:val="18"/>
          <w:vertAlign w:val="superscript"/>
        </w:rPr>
        <w:t>[14]</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3.5.4 适用场景分析</w:t>
      </w:r>
    </w:p>
    <w:tbl>
      <w:tblPr>
        <w:tblStyle w:val="LightGrid-Accent1"/>
        <w:tblW w:type="auto" w:w="0"/>
        <w:jc w:val="center"/>
        <w:tblLook w:firstColumn="1" w:firstRow="1" w:lastColumn="0" w:lastRow="0" w:noHBand="0" w:noVBand="1" w:val="04A0"/>
      </w:tblPr>
      <w:tblGrid>
        <w:gridCol w:w="2835"/>
        <w:gridCol w:w="2835"/>
        <w:gridCol w:w="2835"/>
      </w:tblGrid>
      <w:tr>
        <w:tc>
          <w:tcPr>
            <w:tcW w:type="dxa" w:w="2835"/>
          </w:tcPr>
          <w:p>
            <w:pPr>
              <w:spacing w:after="40" w:before="40"/>
            </w:pPr>
            <w:r>
              <w:rPr>
                <w:b/>
              </w:rPr>
            </w:r>
            <w:r>
              <w:rPr>
                <w:rFonts w:ascii="Times New Roman" w:hAnsi="Times New Roman" w:eastAsia="黑体"/>
                <w:b/>
                <w:i w:val="0"/>
                <w:sz w:val="20"/>
              </w:rPr>
              <w:t>比较维度</w:t>
            </w:r>
          </w:p>
        </w:tc>
        <w:tc>
          <w:tcPr>
            <w:tcW w:type="dxa" w:w="2835"/>
          </w:tcPr>
          <w:p>
            <w:pPr>
              <w:spacing w:after="40" w:before="40"/>
            </w:pPr>
            <w:r>
              <w:rPr>
                <w:b/>
              </w:rPr>
            </w:r>
            <w:r>
              <w:rPr>
                <w:rFonts w:ascii="Times New Roman" w:hAnsi="Times New Roman" w:eastAsia="黑体"/>
                <w:b/>
                <w:i w:val="0"/>
                <w:sz w:val="20"/>
              </w:rPr>
              <w:t>实时定价（RTP）</w:t>
            </w:r>
          </w:p>
        </w:tc>
        <w:tc>
          <w:tcPr>
            <w:tcW w:type="dxa" w:w="2835"/>
          </w:tcPr>
          <w:p>
            <w:pPr>
              <w:spacing w:after="40" w:before="40"/>
            </w:pPr>
            <w:r>
              <w:rPr>
                <w:b/>
              </w:rPr>
            </w:r>
            <w:r>
              <w:rPr>
                <w:rFonts w:ascii="Times New Roman" w:hAnsi="Times New Roman" w:eastAsia="黑体"/>
                <w:b/>
                <w:i w:val="0"/>
                <w:sz w:val="20"/>
              </w:rPr>
              <w:t>分时定价（TOU）</w:t>
            </w:r>
          </w:p>
        </w:tc>
      </w:tr>
      <w:tr>
        <w:tc>
          <w:tcPr>
            <w:tcW w:type="dxa" w:w="2835"/>
          </w:tcPr>
          <w:p>
            <w:pPr>
              <w:spacing w:after="40" w:before="40"/>
            </w:pPr>
            <w:r/>
            <w:r>
              <w:rPr>
                <w:rFonts w:ascii="Times New Roman" w:hAnsi="Times New Roman" w:eastAsia="宋体"/>
                <w:b w:val="0"/>
                <w:i w:val="0"/>
                <w:sz w:val="20"/>
              </w:rPr>
              <w:t>经济效率</w:t>
            </w:r>
          </w:p>
        </w:tc>
        <w:tc>
          <w:tcPr>
            <w:tcW w:type="dxa" w:w="2835"/>
          </w:tcPr>
          <w:p>
            <w:pPr>
              <w:spacing w:after="40" w:before="40"/>
            </w:pPr>
            <w:r/>
            <w:r>
              <w:rPr>
                <w:rFonts w:ascii="Times New Roman" w:hAnsi="Times New Roman" w:eastAsia="宋体"/>
                <w:b w:val="0"/>
                <w:i w:val="0"/>
                <w:sz w:val="20"/>
              </w:rPr>
              <w:t>高</w:t>
            </w:r>
          </w:p>
        </w:tc>
        <w:tc>
          <w:tcPr>
            <w:tcW w:type="dxa" w:w="2835"/>
          </w:tcPr>
          <w:p>
            <w:pPr>
              <w:spacing w:after="40" w:before="40"/>
            </w:pPr>
            <w:r/>
            <w:r>
              <w:rPr>
                <w:rFonts w:ascii="Times New Roman" w:hAnsi="Times New Roman" w:eastAsia="宋体"/>
                <w:b w:val="0"/>
                <w:i w:val="0"/>
                <w:sz w:val="20"/>
              </w:rPr>
              <w:t>中</w:t>
            </w:r>
          </w:p>
        </w:tc>
      </w:tr>
      <w:tr>
        <w:tc>
          <w:tcPr>
            <w:tcW w:type="dxa" w:w="2835"/>
            <w:shd w:val="clear" w:color="auto" w:fill="F0F4F8"/>
          </w:tcPr>
          <w:p>
            <w:pPr>
              <w:spacing w:after="40" w:before="40"/>
            </w:pPr>
            <w:r/>
            <w:r>
              <w:rPr>
                <w:rFonts w:ascii="Times New Roman" w:hAnsi="Times New Roman" w:eastAsia="宋体"/>
                <w:b w:val="0"/>
                <w:i w:val="0"/>
                <w:sz w:val="20"/>
              </w:rPr>
              <w:t>实施成本</w:t>
            </w:r>
          </w:p>
        </w:tc>
        <w:tc>
          <w:tcPr>
            <w:tcW w:type="dxa" w:w="2835"/>
            <w:shd w:val="clear" w:color="auto" w:fill="F0F4F8"/>
          </w:tcPr>
          <w:p>
            <w:pPr>
              <w:spacing w:after="40" w:before="40"/>
            </w:pPr>
            <w:r/>
            <w:r>
              <w:rPr>
                <w:rFonts w:ascii="Times New Roman" w:hAnsi="Times New Roman" w:eastAsia="宋体"/>
                <w:b w:val="0"/>
                <w:i w:val="0"/>
                <w:sz w:val="20"/>
              </w:rPr>
              <w:t>高</w:t>
            </w:r>
          </w:p>
        </w:tc>
        <w:tc>
          <w:tcPr>
            <w:tcW w:type="dxa" w:w="2835"/>
            <w:shd w:val="clear" w:color="auto" w:fill="F0F4F8"/>
          </w:tcPr>
          <w:p>
            <w:pPr>
              <w:spacing w:after="40" w:before="40"/>
            </w:pPr>
            <w:r/>
            <w:r>
              <w:rPr>
                <w:rFonts w:ascii="Times New Roman" w:hAnsi="Times New Roman" w:eastAsia="宋体"/>
                <w:b w:val="0"/>
                <w:i w:val="0"/>
                <w:sz w:val="20"/>
              </w:rPr>
              <w:t>低</w:t>
            </w:r>
          </w:p>
        </w:tc>
      </w:tr>
      <w:tr>
        <w:tc>
          <w:tcPr>
            <w:tcW w:type="dxa" w:w="2835"/>
          </w:tcPr>
          <w:p>
            <w:pPr>
              <w:spacing w:after="40" w:before="40"/>
            </w:pPr>
            <w:r/>
            <w:r>
              <w:rPr>
                <w:rFonts w:ascii="Times New Roman" w:hAnsi="Times New Roman" w:eastAsia="宋体"/>
                <w:b w:val="0"/>
                <w:i w:val="0"/>
                <w:sz w:val="20"/>
              </w:rPr>
              <w:t>价格确定性</w:t>
            </w:r>
          </w:p>
        </w:tc>
        <w:tc>
          <w:tcPr>
            <w:tcW w:type="dxa" w:w="2835"/>
          </w:tcPr>
          <w:p>
            <w:pPr>
              <w:spacing w:after="40" w:before="40"/>
            </w:pPr>
            <w:r/>
            <w:r>
              <w:rPr>
                <w:rFonts w:ascii="Times New Roman" w:hAnsi="Times New Roman" w:eastAsia="宋体"/>
                <w:b w:val="0"/>
                <w:i w:val="0"/>
                <w:sz w:val="20"/>
              </w:rPr>
              <w:t>低</w:t>
            </w:r>
          </w:p>
        </w:tc>
        <w:tc>
          <w:tcPr>
            <w:tcW w:type="dxa" w:w="2835"/>
          </w:tcPr>
          <w:p>
            <w:pPr>
              <w:spacing w:after="40" w:before="40"/>
            </w:pPr>
            <w:r/>
            <w:r>
              <w:rPr>
                <w:rFonts w:ascii="Times New Roman" w:hAnsi="Times New Roman" w:eastAsia="宋体"/>
                <w:b w:val="0"/>
                <w:i w:val="0"/>
                <w:sz w:val="20"/>
              </w:rPr>
              <w:t>高</w:t>
            </w:r>
          </w:p>
        </w:tc>
      </w:tr>
      <w:tr>
        <w:tc>
          <w:tcPr>
            <w:tcW w:type="dxa" w:w="2835"/>
            <w:shd w:val="clear" w:color="auto" w:fill="F0F4F8"/>
          </w:tcPr>
          <w:p>
            <w:pPr>
              <w:spacing w:after="40" w:before="40"/>
            </w:pPr>
            <w:r/>
            <w:r>
              <w:rPr>
                <w:rFonts w:ascii="Times New Roman" w:hAnsi="Times New Roman" w:eastAsia="宋体"/>
                <w:b w:val="0"/>
                <w:i w:val="0"/>
                <w:sz w:val="20"/>
              </w:rPr>
              <w:t>用户风险</w:t>
            </w:r>
          </w:p>
        </w:tc>
        <w:tc>
          <w:tcPr>
            <w:tcW w:type="dxa" w:w="2835"/>
            <w:shd w:val="clear" w:color="auto" w:fill="F0F4F8"/>
          </w:tcPr>
          <w:p>
            <w:pPr>
              <w:spacing w:after="40" w:before="40"/>
            </w:pPr>
            <w:r/>
            <w:r>
              <w:rPr>
                <w:rFonts w:ascii="Times New Roman" w:hAnsi="Times New Roman" w:eastAsia="宋体"/>
                <w:b w:val="0"/>
                <w:i w:val="0"/>
                <w:sz w:val="20"/>
              </w:rPr>
              <w:t>高</w:t>
            </w:r>
          </w:p>
        </w:tc>
        <w:tc>
          <w:tcPr>
            <w:tcW w:type="dxa" w:w="2835"/>
            <w:shd w:val="clear" w:color="auto" w:fill="F0F4F8"/>
          </w:tcPr>
          <w:p>
            <w:pPr>
              <w:spacing w:after="40" w:before="40"/>
            </w:pPr>
            <w:r/>
            <w:r>
              <w:rPr>
                <w:rFonts w:ascii="Times New Roman" w:hAnsi="Times New Roman" w:eastAsia="宋体"/>
                <w:b w:val="0"/>
                <w:i w:val="0"/>
                <w:sz w:val="20"/>
              </w:rPr>
              <w:t>低</w:t>
            </w:r>
          </w:p>
        </w:tc>
      </w:tr>
      <w:tr>
        <w:tc>
          <w:tcPr>
            <w:tcW w:type="dxa" w:w="2835"/>
          </w:tcPr>
          <w:p>
            <w:pPr>
              <w:spacing w:after="40" w:before="40"/>
            </w:pPr>
            <w:r/>
            <w:r>
              <w:rPr>
                <w:rFonts w:ascii="Times New Roman" w:hAnsi="Times New Roman" w:eastAsia="宋体"/>
                <w:b w:val="0"/>
                <w:i w:val="0"/>
                <w:sz w:val="20"/>
              </w:rPr>
              <w:t>通信要求</w:t>
            </w:r>
          </w:p>
        </w:tc>
        <w:tc>
          <w:tcPr>
            <w:tcW w:type="dxa" w:w="2835"/>
          </w:tcPr>
          <w:p>
            <w:pPr>
              <w:spacing w:after="40" w:before="40"/>
            </w:pPr>
            <w:r/>
            <w:r>
              <w:rPr>
                <w:rFonts w:ascii="Times New Roman" w:hAnsi="Times New Roman" w:eastAsia="宋体"/>
                <w:b w:val="0"/>
                <w:i w:val="0"/>
                <w:sz w:val="20"/>
              </w:rPr>
              <w:t>高</w:t>
            </w:r>
          </w:p>
        </w:tc>
        <w:tc>
          <w:tcPr>
            <w:tcW w:type="dxa" w:w="2835"/>
          </w:tcPr>
          <w:p>
            <w:pPr>
              <w:spacing w:after="40" w:before="40"/>
            </w:pPr>
            <w:r/>
            <w:r>
              <w:rPr>
                <w:rFonts w:ascii="Times New Roman" w:hAnsi="Times New Roman" w:eastAsia="宋体"/>
                <w:b w:val="0"/>
                <w:i w:val="0"/>
                <w:sz w:val="20"/>
              </w:rPr>
              <w:t>低</w:t>
            </w:r>
          </w:p>
        </w:tc>
      </w:tr>
      <w:tr>
        <w:tc>
          <w:tcPr>
            <w:tcW w:type="dxa" w:w="2835"/>
            <w:shd w:val="clear" w:color="auto" w:fill="F0F4F8"/>
          </w:tcPr>
          <w:p>
            <w:pPr>
              <w:spacing w:after="40" w:before="40"/>
            </w:pPr>
            <w:r/>
            <w:r>
              <w:rPr>
                <w:rFonts w:ascii="Times New Roman" w:hAnsi="Times New Roman" w:eastAsia="宋体"/>
                <w:b w:val="0"/>
                <w:i w:val="0"/>
                <w:sz w:val="20"/>
              </w:rPr>
              <w:t>适用用户</w:t>
            </w:r>
          </w:p>
        </w:tc>
        <w:tc>
          <w:tcPr>
            <w:tcW w:type="dxa" w:w="2835"/>
            <w:shd w:val="clear" w:color="auto" w:fill="F0F4F8"/>
          </w:tcPr>
          <w:p>
            <w:pPr>
              <w:spacing w:after="40" w:before="40"/>
            </w:pPr>
            <w:r/>
            <w:r>
              <w:rPr>
                <w:rFonts w:ascii="Times New Roman" w:hAnsi="Times New Roman" w:eastAsia="宋体"/>
                <w:b w:val="0"/>
                <w:i w:val="0"/>
                <w:sz w:val="20"/>
              </w:rPr>
              <w:t>工业大用户、智能楼宇</w:t>
            </w:r>
          </w:p>
        </w:tc>
        <w:tc>
          <w:tcPr>
            <w:tcW w:type="dxa" w:w="2835"/>
            <w:shd w:val="clear" w:color="auto" w:fill="F0F4F8"/>
          </w:tcPr>
          <w:p>
            <w:pPr>
              <w:spacing w:after="40" w:before="40"/>
            </w:pPr>
            <w:r/>
            <w:r>
              <w:rPr>
                <w:rFonts w:ascii="Times New Roman" w:hAnsi="Times New Roman" w:eastAsia="宋体"/>
                <w:b w:val="0"/>
                <w:i w:val="0"/>
                <w:sz w:val="20"/>
              </w:rPr>
              <w:t>居民用户、小型商业</w:t>
            </w:r>
          </w:p>
        </w:tc>
      </w:tr>
    </w:tbl>
    <w:p>
      <w:pPr>
        <w:spacing w:line="360" w:lineRule="auto" w:after="0"/>
        <w:ind w:firstLine="425"/>
      </w:pPr>
      <w:r>
        <w:rPr>
          <w:rFonts w:ascii="Times New Roman" w:hAnsi="Times New Roman" w:eastAsia="宋体"/>
          <w:b w:val="0"/>
          <w:i w:val="0"/>
          <w:sz w:val="22"/>
        </w:rPr>
        <w:t>在实际应用中，RTP和TOU往往结合使用。对价格响应能力强的大用户采用RTP，对响应能力弱的小用户采用TOU，形成分层定价体系。</w:t>
      </w:r>
    </w:p>
    <w:p>
      <w:pPr>
        <w:pStyle w:val="Heading2"/>
        <w:spacing w:before="240" w:after="80"/>
      </w:pPr>
      <w:r>
        <w:rPr>
          <w:rFonts w:ascii="Times New Roman" w:hAnsi="Times New Roman" w:eastAsia="黑体"/>
          <w:b/>
          <w:i w:val="0"/>
          <w:sz w:val="28"/>
        </w:rPr>
        <w:t>本章小结</w:t>
      </w:r>
    </w:p>
    <w:p>
      <w:pPr>
        <w:spacing w:line="360" w:lineRule="auto" w:after="0"/>
        <w:ind w:firstLine="425"/>
      </w:pPr>
      <w:r>
        <w:rPr>
          <w:rFonts w:ascii="Times New Roman" w:hAnsi="Times New Roman" w:eastAsia="宋体"/>
          <w:b w:val="0"/>
          <w:i w:val="0"/>
          <w:sz w:val="22"/>
        </w:rPr>
        <w:t>本章系统阐述了智能电网实时定价的经济学原理。电力市场的基本结构包括批发市场、零售市场和辅助服务市场，实时定价主要在零售市场层面实施。边际成本定价理论为实时定价提供了理论基础，社会福利最大化是实时定价的核心目标。用户行为理论和需求价格弹性是理解用户响应行为的关键工具。实时定价在经济效率上优于分时定价，但实施成本和用户风险也更高，实际应用中需要根据用户特征选择合适的定价机制。</w:t>
      </w:r>
    </w:p>
    <w:p>
      <w:pPr>
        <w:pStyle w:val="Heading2"/>
        <w:spacing w:before="240" w:after="80"/>
      </w:pPr>
      <w:r>
        <w:rPr>
          <w:rFonts w:ascii="Times New Roman" w:hAnsi="Times New Roman" w:eastAsia="黑体"/>
          <w:b/>
          <w:i w:val="0"/>
          <w:sz w:val="28"/>
        </w:rPr>
        <w:t>思考题</w:t>
      </w:r>
    </w:p>
    <w:p>
      <w:pPr>
        <w:pStyle w:val="ListNumber"/>
        <w:spacing w:line="360" w:lineRule="auto" w:after="0"/>
      </w:pPr>
      <w:r>
        <w:rPr>
          <w:rFonts w:ascii="Times New Roman" w:hAnsi="Times New Roman" w:eastAsia="宋体"/>
          <w:b w:val="0"/>
          <w:i w:val="0"/>
          <w:sz w:val="22"/>
        </w:rPr>
        <w:t>社会福利最大化作为实时定价的目标函数有哪些局限性？是否需要考虑公平性等其他目标？</w:t>
      </w:r>
    </w:p>
    <w:p>
      <w:pPr>
        <w:pStyle w:val="ListNumber"/>
        <w:spacing w:line="360" w:lineRule="auto" w:after="0"/>
      </w:pPr>
      <w:r>
        <w:rPr>
          <w:rFonts w:ascii="Times New Roman" w:hAnsi="Times New Roman" w:eastAsia="宋体"/>
          <w:b w:val="0"/>
          <w:i w:val="0"/>
          <w:sz w:val="22"/>
        </w:rPr>
        <w:t>不同类型的效用函数对定价结果有什么影响？如何选择合适的效用函数？</w:t>
      </w:r>
    </w:p>
    <w:p>
      <w:pPr>
        <w:pStyle w:val="ListNumber"/>
        <w:spacing w:line="360" w:lineRule="auto" w:after="0"/>
      </w:pPr>
      <w:r>
        <w:rPr>
          <w:rFonts w:ascii="Times New Roman" w:hAnsi="Times New Roman" w:eastAsia="宋体"/>
          <w:b w:val="0"/>
          <w:i w:val="0"/>
          <w:sz w:val="22"/>
        </w:rPr>
        <w:t>需求价格弹性如何影响实时定价的效果？如何提高低弹性用户的响应能力？</w:t>
      </w:r>
    </w:p>
    <w:p>
      <w:pPr>
        <w:pStyle w:val="ListNumber"/>
        <w:spacing w:line="360" w:lineRule="auto" w:after="0"/>
      </w:pPr>
      <w:r>
        <w:rPr>
          <w:rFonts w:ascii="Times New Roman" w:hAnsi="Times New Roman" w:eastAsia="宋体"/>
          <w:b w:val="0"/>
          <w:i w:val="0"/>
          <w:sz w:val="22"/>
        </w:rPr>
        <w:t>在中国电力市场改革的背景下，实时定价的推广面临哪些经济性障碍？</w:t>
      </w:r>
    </w:p>
    <w:p>
      <w:pPr>
        <w:pStyle w:val="ListNumber"/>
        <w:spacing w:line="360" w:lineRule="auto" w:after="0"/>
      </w:pPr>
      <w:r>
        <w:rPr>
          <w:rFonts w:ascii="Times New Roman" w:hAnsi="Times New Roman" w:eastAsia="宋体"/>
          <w:b w:val="0"/>
          <w:i w:val="0"/>
          <w:sz w:val="22"/>
        </w:rPr>
        <w:t>如何在实时定价中平衡经济效率与用户风险？</w:t>
      </w:r>
    </w:p>
    <w:p>
      <w:pPr>
        <w:pStyle w:val="Heading2"/>
        <w:spacing w:before="240" w:after="80"/>
      </w:pPr>
      <w:r>
        <w:rPr>
          <w:rFonts w:ascii="Times New Roman" w:hAnsi="Times New Roman" w:eastAsia="黑体"/>
          <w:b/>
          <w:i w:val="0"/>
          <w:sz w:val="28"/>
        </w:rPr>
        <w:t>3.6 国际比较与经验借鉴</w:t>
      </w:r>
    </w:p>
    <w:p>
      <w:pPr>
        <w:pStyle w:val="Heading3"/>
        <w:spacing w:before="160" w:after="60"/>
      </w:pPr>
      <w:r>
        <w:rPr>
          <w:rFonts w:ascii="Times New Roman" w:hAnsi="Times New Roman" w:eastAsia="黑体"/>
          <w:b/>
          <w:i w:val="0"/>
          <w:sz w:val="24"/>
        </w:rPr>
        <w:t>美国的实时定价市场设计</w:t>
      </w:r>
    </w:p>
    <w:p>
      <w:pPr>
        <w:spacing w:line="360" w:lineRule="auto" w:after="0"/>
        <w:ind w:firstLine="425"/>
      </w:pPr>
      <w:r>
        <w:rPr>
          <w:rFonts w:ascii="Times New Roman" w:hAnsi="Times New Roman" w:eastAsia="宋体"/>
          <w:b w:val="0"/>
          <w:i w:val="0"/>
          <w:sz w:val="22"/>
        </w:rPr>
        <w:t>美国的电力市场设计在全球具有标杆意义。Hogan（2014）系统阐述了电力市场设计与有效定价的原则，提出了LMP（节点边际电价）+RTP的标准化框架。</w:t>
      </w:r>
    </w:p>
    <w:p>
      <w:pPr>
        <w:spacing w:line="360" w:lineRule="auto" w:after="0"/>
        <w:ind w:firstLine="425"/>
      </w:pPr>
      <w:r>
        <w:rPr>
          <w:rFonts w:ascii="Times New Roman" w:hAnsi="Times New Roman" w:eastAsia="宋体"/>
          <w:b/>
          <w:i w:val="0"/>
          <w:sz w:val="22"/>
        </w:rPr>
        <w:t>LMP机制</w:t>
      </w:r>
      <w:r>
        <w:rPr>
          <w:rFonts w:ascii="Times New Roman" w:hAnsi="Times New Roman" w:eastAsia="宋体"/>
          <w:b w:val="0"/>
          <w:i w:val="0"/>
          <w:sz w:val="22"/>
        </w:rPr>
        <w:t>：LMP反映电力在特定节点输送的边际成本，包括能量成本、拥堵成本和网损成本。LMP机制能够精确反映电网的物理约束和供需状况，是美国批发市场定价的基础。在零售层面，RTP通常基于LMP加上输配电价和零售加价。</w:t>
      </w:r>
    </w:p>
    <w:p>
      <w:pPr>
        <w:spacing w:line="360" w:lineRule="auto" w:after="0"/>
        <w:ind w:firstLine="425"/>
      </w:pPr>
      <w:r>
        <w:rPr>
          <w:rFonts w:ascii="Times New Roman" w:hAnsi="Times New Roman" w:eastAsia="宋体"/>
          <w:b/>
          <w:i w:val="0"/>
          <w:sz w:val="22"/>
        </w:rPr>
        <w:t>多时段定价</w:t>
      </w:r>
      <w:r>
        <w:rPr>
          <w:rFonts w:ascii="Times New Roman" w:hAnsi="Times New Roman" w:eastAsia="宋体"/>
          <w:b w:val="0"/>
          <w:i w:val="0"/>
          <w:sz w:val="22"/>
        </w:rPr>
        <w:t>：美国的RTP通常以5分钟或15分钟为间隔发布价格，反映实时市场出清结果。日前市场提供次日的每小时价格预测，帮助用户提前规划用电。</w:t>
      </w:r>
    </w:p>
    <w:p>
      <w:pPr>
        <w:spacing w:line="360" w:lineRule="auto" w:after="0"/>
        <w:ind w:firstLine="425"/>
      </w:pPr>
      <w:r>
        <w:rPr>
          <w:rFonts w:ascii="Times New Roman" w:hAnsi="Times New Roman" w:eastAsia="宋体"/>
          <w:b/>
          <w:i w:val="0"/>
          <w:sz w:val="22"/>
        </w:rPr>
        <w:t>风险评估工具</w:t>
      </w:r>
      <w:r>
        <w:rPr>
          <w:rFonts w:ascii="Times New Roman" w:hAnsi="Times New Roman" w:eastAsia="宋体"/>
          <w:b w:val="0"/>
          <w:i w:val="0"/>
          <w:sz w:val="22"/>
        </w:rPr>
        <w:t>：美国RTP项目通常提供多种风险管理工具：</w:t>
      </w:r>
    </w:p>
    <w:p>
      <w:pPr>
        <w:pStyle w:val="ListBullet"/>
        <w:spacing w:line="360" w:lineRule="auto" w:after="0"/>
      </w:pPr>
      <w:r>
        <w:rPr>
          <w:rFonts w:ascii="Times New Roman" w:hAnsi="Times New Roman" w:eastAsia="宋体"/>
          <w:b w:val="0"/>
          <w:i w:val="0"/>
          <w:sz w:val="22"/>
        </w:rPr>
        <w:t>价格上限保险：用户支付固定保费，获得价格不超过上限的保障</w:t>
      </w:r>
    </w:p>
    <w:p>
      <w:pPr>
        <w:pStyle w:val="ListBullet"/>
        <w:spacing w:line="360" w:lineRule="auto" w:after="0"/>
      </w:pPr>
      <w:r>
        <w:rPr>
          <w:rFonts w:ascii="Times New Roman" w:hAnsi="Times New Roman" w:eastAsia="宋体"/>
          <w:b w:val="0"/>
          <w:i w:val="0"/>
          <w:sz w:val="22"/>
        </w:rPr>
        <w:t>TOU对冲：用户通过TOU和RTP的组合对冲价格风险</w:t>
      </w:r>
    </w:p>
    <w:p>
      <w:pPr>
        <w:pStyle w:val="ListBullet"/>
        <w:spacing w:line="360" w:lineRule="auto" w:after="0"/>
      </w:pPr>
      <w:r>
        <w:rPr>
          <w:rFonts w:ascii="Times New Roman" w:hAnsi="Times New Roman" w:eastAsia="宋体"/>
          <w:b w:val="0"/>
          <w:i w:val="0"/>
          <w:sz w:val="22"/>
        </w:rPr>
        <w:t>远期合同：用户通过远期合同锁定未来用电价格</w:t>
      </w:r>
    </w:p>
    <w:p>
      <w:pPr>
        <w:spacing w:line="360" w:lineRule="auto" w:after="0"/>
        <w:ind w:firstLine="425"/>
      </w:pPr>
      <w:r>
        <w:rPr>
          <w:rFonts w:ascii="Times New Roman" w:hAnsi="Times New Roman" w:eastAsia="宋体"/>
          <w:b w:val="0"/>
          <w:i w:val="0"/>
          <w:sz w:val="22"/>
        </w:rPr>
        <w:t>Allcott（2012）的研究表明，提供风险管理工具的RTP项目的用户参与率比不提供工具的项目高3-5倍。</w:t>
      </w:r>
    </w:p>
    <w:p>
      <w:pPr>
        <w:pStyle w:val="Heading3"/>
        <w:spacing w:before="160" w:after="60"/>
      </w:pPr>
      <w:r>
        <w:rPr>
          <w:rFonts w:ascii="Times New Roman" w:hAnsi="Times New Roman" w:eastAsia="黑体"/>
          <w:b/>
          <w:i w:val="0"/>
          <w:sz w:val="24"/>
        </w:rPr>
        <w:t>欧洲的市场设计与定价机制</w:t>
      </w:r>
    </w:p>
    <w:p>
      <w:pPr>
        <w:spacing w:line="360" w:lineRule="auto" w:after="0"/>
        <w:ind w:firstLine="425"/>
      </w:pPr>
      <w:r>
        <w:rPr>
          <w:rFonts w:ascii="Times New Roman" w:hAnsi="Times New Roman" w:eastAsia="宋体"/>
          <w:b w:val="0"/>
          <w:i w:val="0"/>
          <w:sz w:val="22"/>
        </w:rPr>
        <w:t>欧洲的电力市场设计与美国有所不同，主要采用区域电价（Zonal Pricing）而非节点电价：</w:t>
      </w:r>
    </w:p>
    <w:p>
      <w:pPr>
        <w:spacing w:line="360" w:lineRule="auto" w:after="0"/>
        <w:ind w:firstLine="425"/>
      </w:pPr>
      <w:r>
        <w:rPr>
          <w:rFonts w:ascii="Times New Roman" w:hAnsi="Times New Roman" w:eastAsia="宋体"/>
          <w:b/>
          <w:i w:val="0"/>
          <w:sz w:val="22"/>
        </w:rPr>
        <w:t>Nord Pool模式</w:t>
      </w:r>
      <w:r>
        <w:rPr>
          <w:rFonts w:ascii="Times New Roman" w:hAnsi="Times New Roman" w:eastAsia="宋体"/>
          <w:b w:val="0"/>
          <w:i w:val="0"/>
          <w:sz w:val="22"/>
        </w:rPr>
        <w:t>：北欧电力市场采用分区电价，在无拥堵时全区域统一价格，在出现拥堵时分区域定价。Nord Pool的RTP以小时为单位，通过日前市场出清确定。</w:t>
      </w:r>
    </w:p>
    <w:p>
      <w:pPr>
        <w:spacing w:line="360" w:lineRule="auto" w:after="0"/>
        <w:ind w:firstLine="425"/>
      </w:pPr>
      <w:r>
        <w:rPr>
          <w:rFonts w:ascii="Times New Roman" w:hAnsi="Times New Roman" w:eastAsia="宋体"/>
          <w:b/>
          <w:i w:val="0"/>
          <w:sz w:val="22"/>
        </w:rPr>
        <w:t>EPEX Spot模式</w:t>
      </w:r>
      <w:r>
        <w:rPr>
          <w:rFonts w:ascii="Times New Roman" w:hAnsi="Times New Roman" w:eastAsia="宋体"/>
          <w:b w:val="0"/>
          <w:i w:val="0"/>
          <w:sz w:val="22"/>
        </w:rPr>
        <w:t>：欧洲大陆的EPEX Spot市场提供日前和日内交易，价格以小时或15分钟为粒度。法国、德国、奥地利等国的电力批发价格在EPEX Spot出清。</w:t>
      </w:r>
    </w:p>
    <w:p>
      <w:pPr>
        <w:spacing w:line="360" w:lineRule="auto" w:after="0"/>
        <w:ind w:firstLine="425"/>
      </w:pPr>
      <w:r>
        <w:rPr>
          <w:rFonts w:ascii="Times New Roman" w:hAnsi="Times New Roman" w:eastAsia="宋体"/>
          <w:b/>
          <w:i w:val="0"/>
          <w:sz w:val="22"/>
        </w:rPr>
        <w:t>耦合机制</w:t>
      </w:r>
      <w:r>
        <w:rPr>
          <w:rFonts w:ascii="Times New Roman" w:hAnsi="Times New Roman" w:eastAsia="宋体"/>
          <w:b w:val="0"/>
          <w:i w:val="0"/>
          <w:sz w:val="22"/>
        </w:rPr>
        <w:t>：欧盟通过市场耦合（Market Coupling）机制连接各国的电力市场，实现跨国电力交易和价格趋同。当A国电价低于B国时，电力自动从A国流向B国，直至两国价格趋同或输电通道满载。</w:t>
      </w:r>
    </w:p>
    <w:p>
      <w:pPr>
        <w:spacing w:line="360" w:lineRule="auto" w:after="0"/>
        <w:ind w:firstLine="425"/>
      </w:pPr>
      <w:r>
        <w:rPr>
          <w:rFonts w:ascii="Times New Roman" w:hAnsi="Times New Roman" w:eastAsia="宋体"/>
          <w:b w:val="0"/>
          <w:i w:val="0"/>
          <w:sz w:val="22"/>
        </w:rPr>
        <w:t>Cooke（2011）在OECD报告中分析了电力市场中用户选择权的赋能问题，指出欧洲电力市场改革需要加强用户参与和市场透明度。</w:t>
      </w:r>
    </w:p>
    <w:p>
      <w:pPr>
        <w:pStyle w:val="Heading3"/>
        <w:spacing w:before="160" w:after="60"/>
      </w:pPr>
      <w:r>
        <w:rPr>
          <w:rFonts w:ascii="Times New Roman" w:hAnsi="Times New Roman" w:eastAsia="黑体"/>
          <w:b/>
          <w:i w:val="0"/>
          <w:sz w:val="24"/>
        </w:rPr>
        <w:t>中国电力市场改革与定价机制</w:t>
      </w:r>
    </w:p>
    <w:p>
      <w:pPr>
        <w:spacing w:line="360" w:lineRule="auto" w:after="0"/>
        <w:ind w:firstLine="425"/>
      </w:pPr>
      <w:r>
        <w:rPr>
          <w:rFonts w:ascii="Times New Roman" w:hAnsi="Times New Roman" w:eastAsia="宋体"/>
          <w:b w:val="0"/>
          <w:i w:val="0"/>
          <w:sz w:val="22"/>
        </w:rPr>
        <w:t>中国的电力市场改革经历了"厂网分开"（2002年）、"管住中间、放开两头"（2015年）和"现货市场建设"（2017年至今）三个阶段：</w:t>
      </w:r>
    </w:p>
    <w:p>
      <w:pPr>
        <w:spacing w:line="360" w:lineRule="auto" w:after="0"/>
        <w:ind w:firstLine="425"/>
      </w:pPr>
      <w:r>
        <w:rPr>
          <w:rFonts w:ascii="Times New Roman" w:hAnsi="Times New Roman" w:eastAsia="宋体"/>
          <w:b/>
          <w:i w:val="0"/>
          <w:sz w:val="22"/>
        </w:rPr>
        <w:t>2015年电改9号文</w:t>
      </w:r>
      <w:r>
        <w:rPr>
          <w:rFonts w:ascii="Times New Roman" w:hAnsi="Times New Roman" w:eastAsia="宋体"/>
          <w:b w:val="0"/>
          <w:i w:val="0"/>
          <w:sz w:val="22"/>
        </w:rPr>
        <w:t>：确立了"管住中间、放开两头"的改革框架，放开发电侧和售电侧，管制输配电价。这为RTP的推广创造了制度条件。</w:t>
      </w:r>
    </w:p>
    <w:p>
      <w:pPr>
        <w:spacing w:line="360" w:lineRule="auto" w:after="0"/>
        <w:ind w:firstLine="425"/>
      </w:pPr>
      <w:r>
        <w:rPr>
          <w:rFonts w:ascii="Times New Roman" w:hAnsi="Times New Roman" w:eastAsia="宋体"/>
          <w:b/>
          <w:i w:val="0"/>
          <w:sz w:val="22"/>
        </w:rPr>
        <w:t>现货市场试点</w:t>
      </w:r>
      <w:r>
        <w:rPr>
          <w:rFonts w:ascii="Times New Roman" w:hAnsi="Times New Roman" w:eastAsia="宋体"/>
          <w:b w:val="0"/>
          <w:i w:val="0"/>
          <w:sz w:val="22"/>
        </w:rPr>
        <w:t>：2017年，国家发改委选择8个地区（广东、山西、山东、福建、四川、甘肃、蒙西、浙江）开展电力现货市场试点。各试点地区的定价机制逐步从计划模式向市场模式转变。</w:t>
      </w:r>
    </w:p>
    <w:p>
      <w:pPr>
        <w:spacing w:line="360" w:lineRule="auto" w:after="0"/>
        <w:ind w:firstLine="425"/>
      </w:pPr>
      <w:r>
        <w:rPr>
          <w:rFonts w:ascii="Times New Roman" w:hAnsi="Times New Roman" w:eastAsia="宋体"/>
          <w:b/>
          <w:i w:val="0"/>
          <w:sz w:val="22"/>
        </w:rPr>
        <w:t>广东现货市场</w:t>
      </w:r>
      <w:r>
        <w:rPr>
          <w:rFonts w:ascii="Times New Roman" w:hAnsi="Times New Roman" w:eastAsia="宋体"/>
          <w:b w:val="0"/>
          <w:i w:val="0"/>
          <w:sz w:val="22"/>
        </w:rPr>
        <w:t>：广东省是中国电力现货市场的先行者，自2019年启动试运行以来，已形成了较为完善的日前市场和实时市场体系。广东市场的节点电价机制类似于美国的LMP，能够反映电网拥堵和供需状况。</w:t>
      </w:r>
    </w:p>
    <w:p>
      <w:pPr>
        <w:spacing w:line="360" w:lineRule="auto" w:after="0"/>
        <w:ind w:firstLine="425"/>
      </w:pPr>
      <w:r>
        <w:rPr>
          <w:rFonts w:ascii="Times New Roman" w:hAnsi="Times New Roman" w:eastAsia="宋体"/>
          <w:b/>
          <w:i w:val="0"/>
          <w:sz w:val="22"/>
        </w:rPr>
        <w:t>挑战</w:t>
      </w:r>
      <w:r>
        <w:rPr>
          <w:rFonts w:ascii="Times New Roman" w:hAnsi="Times New Roman" w:eastAsia="宋体"/>
          <w:b w:val="0"/>
          <w:i w:val="0"/>
          <w:sz w:val="22"/>
        </w:rPr>
        <w:t>：中国电力市场改革面临的挑战包括：跨省跨区交易机制不完善、辅助服务市场建设滞后、容量补偿机制缺失、用户侧参与度不足等。王锡凡（2001）提出的分段竞价理论为解决这些问题提供了理论参考。</w:t>
      </w:r>
    </w:p>
    <w:p>
      <w:pPr>
        <w:pStyle w:val="Heading3"/>
        <w:spacing w:before="160" w:after="60"/>
      </w:pPr>
      <w:r>
        <w:rPr>
          <w:rFonts w:ascii="Times New Roman" w:hAnsi="Times New Roman" w:eastAsia="黑体"/>
          <w:b/>
          <w:i w:val="0"/>
          <w:sz w:val="24"/>
        </w:rPr>
        <w:t>定价机制的比较分析</w:t>
      </w:r>
    </w:p>
    <w:tbl>
      <w:tblPr>
        <w:tblStyle w:val="LightGrid-Accent1"/>
        <w:tblW w:type="auto" w:w="0"/>
        <w:jc w:val="center"/>
        <w:tblLook w:firstColumn="1" w:firstRow="1" w:lastColumn="0" w:lastRow="0" w:noHBand="0" w:noVBand="1" w:val="04A0"/>
      </w:tblPr>
      <w:tblGrid>
        <w:gridCol w:w="2126"/>
        <w:gridCol w:w="2126"/>
        <w:gridCol w:w="2126"/>
        <w:gridCol w:w="2126"/>
      </w:tblGrid>
      <w:tr>
        <w:tc>
          <w:tcPr>
            <w:tcW w:type="dxa" w:w="2126"/>
          </w:tcPr>
          <w:p>
            <w:pPr>
              <w:spacing w:after="40" w:before="40"/>
            </w:pPr>
            <w:r>
              <w:rPr>
                <w:b/>
              </w:rPr>
            </w:r>
            <w:r>
              <w:rPr>
                <w:rFonts w:ascii="Times New Roman" w:hAnsi="Times New Roman" w:eastAsia="黑体"/>
                <w:b/>
                <w:i w:val="0"/>
                <w:sz w:val="20"/>
              </w:rPr>
              <w:t>比较维度</w:t>
            </w:r>
          </w:p>
        </w:tc>
        <w:tc>
          <w:tcPr>
            <w:tcW w:type="dxa" w:w="2126"/>
          </w:tcPr>
          <w:p>
            <w:pPr>
              <w:spacing w:after="40" w:before="40"/>
            </w:pPr>
            <w:r>
              <w:rPr>
                <w:b/>
              </w:rPr>
            </w:r>
            <w:r>
              <w:rPr>
                <w:rFonts w:ascii="Times New Roman" w:hAnsi="Times New Roman" w:eastAsia="黑体"/>
                <w:b/>
                <w:i w:val="0"/>
                <w:sz w:val="20"/>
              </w:rPr>
              <w:t>美国(LMP+RTP)</w:t>
            </w:r>
          </w:p>
        </w:tc>
        <w:tc>
          <w:tcPr>
            <w:tcW w:type="dxa" w:w="2126"/>
          </w:tcPr>
          <w:p>
            <w:pPr>
              <w:spacing w:after="40" w:before="40"/>
            </w:pPr>
            <w:r>
              <w:rPr>
                <w:b/>
              </w:rPr>
            </w:r>
            <w:r>
              <w:rPr>
                <w:rFonts w:ascii="Times New Roman" w:hAnsi="Times New Roman" w:eastAsia="黑体"/>
                <w:b/>
                <w:i w:val="0"/>
                <w:sz w:val="20"/>
              </w:rPr>
              <w:t>欧洲(区域电价+RTP)</w:t>
            </w:r>
          </w:p>
        </w:tc>
        <w:tc>
          <w:tcPr>
            <w:tcW w:type="dxa" w:w="2126"/>
          </w:tcPr>
          <w:p>
            <w:pPr>
              <w:spacing w:after="40" w:before="40"/>
            </w:pPr>
            <w:r>
              <w:rPr>
                <w:b/>
              </w:rPr>
            </w:r>
            <w:r>
              <w:rPr>
                <w:rFonts w:ascii="Times New Roman" w:hAnsi="Times New Roman" w:eastAsia="黑体"/>
                <w:b/>
                <w:i w:val="0"/>
                <w:sz w:val="20"/>
              </w:rPr>
              <w:t>中国(TOU为主)</w:t>
            </w:r>
          </w:p>
        </w:tc>
      </w:tr>
      <w:tr>
        <w:tc>
          <w:tcPr>
            <w:tcW w:type="dxa" w:w="2126"/>
          </w:tcPr>
          <w:p>
            <w:pPr>
              <w:spacing w:after="40" w:before="40"/>
            </w:pPr>
            <w:r/>
            <w:r>
              <w:rPr>
                <w:rFonts w:ascii="Times New Roman" w:hAnsi="Times New Roman" w:eastAsia="宋体"/>
                <w:b w:val="0"/>
                <w:i w:val="0"/>
                <w:sz w:val="20"/>
              </w:rPr>
              <w:t>价格粒度</w:t>
            </w:r>
          </w:p>
        </w:tc>
        <w:tc>
          <w:tcPr>
            <w:tcW w:type="dxa" w:w="2126"/>
          </w:tcPr>
          <w:p>
            <w:pPr>
              <w:spacing w:after="40" w:before="40"/>
            </w:pPr>
            <w:r/>
            <w:r>
              <w:rPr>
                <w:rFonts w:ascii="Times New Roman" w:hAnsi="Times New Roman" w:eastAsia="宋体"/>
                <w:b w:val="0"/>
                <w:i w:val="0"/>
                <w:sz w:val="20"/>
              </w:rPr>
              <w:t>5-15分钟</w:t>
            </w:r>
          </w:p>
        </w:tc>
        <w:tc>
          <w:tcPr>
            <w:tcW w:type="dxa" w:w="2126"/>
          </w:tcPr>
          <w:p>
            <w:pPr>
              <w:spacing w:after="40" w:before="40"/>
            </w:pPr>
            <w:r/>
            <w:r>
              <w:rPr>
                <w:rFonts w:ascii="Times New Roman" w:hAnsi="Times New Roman" w:eastAsia="宋体"/>
                <w:b w:val="0"/>
                <w:i w:val="0"/>
                <w:sz w:val="20"/>
              </w:rPr>
              <w:t>15-60分钟</w:t>
            </w:r>
          </w:p>
        </w:tc>
        <w:tc>
          <w:tcPr>
            <w:tcW w:type="dxa" w:w="2126"/>
          </w:tcPr>
          <w:p>
            <w:pPr>
              <w:spacing w:after="40" w:before="40"/>
            </w:pPr>
            <w:r/>
            <w:r>
              <w:rPr>
                <w:rFonts w:ascii="Times New Roman" w:hAnsi="Times New Roman" w:eastAsia="宋体"/>
                <w:b w:val="0"/>
                <w:i w:val="0"/>
                <w:sz w:val="20"/>
              </w:rPr>
              <w:t>小时-月</w:t>
            </w:r>
          </w:p>
        </w:tc>
      </w:tr>
      <w:tr>
        <w:tc>
          <w:tcPr>
            <w:tcW w:type="dxa" w:w="2126"/>
            <w:shd w:val="clear" w:color="auto" w:fill="F0F4F8"/>
          </w:tcPr>
          <w:p>
            <w:pPr>
              <w:spacing w:after="40" w:before="40"/>
            </w:pPr>
            <w:r/>
            <w:r>
              <w:rPr>
                <w:rFonts w:ascii="Times New Roman" w:hAnsi="Times New Roman" w:eastAsia="宋体"/>
                <w:b w:val="0"/>
                <w:i w:val="0"/>
                <w:sz w:val="20"/>
              </w:rPr>
              <w:t>拥堵管理</w:t>
            </w:r>
          </w:p>
        </w:tc>
        <w:tc>
          <w:tcPr>
            <w:tcW w:type="dxa" w:w="2126"/>
            <w:shd w:val="clear" w:color="auto" w:fill="F0F4F8"/>
          </w:tcPr>
          <w:p>
            <w:pPr>
              <w:spacing w:after="40" w:before="40"/>
            </w:pPr>
            <w:r/>
            <w:r>
              <w:rPr>
                <w:rFonts w:ascii="Times New Roman" w:hAnsi="Times New Roman" w:eastAsia="宋体"/>
                <w:b w:val="0"/>
                <w:i w:val="0"/>
                <w:sz w:val="20"/>
              </w:rPr>
              <w:t>节点级</w:t>
            </w:r>
          </w:p>
        </w:tc>
        <w:tc>
          <w:tcPr>
            <w:tcW w:type="dxa" w:w="2126"/>
            <w:shd w:val="clear" w:color="auto" w:fill="F0F4F8"/>
          </w:tcPr>
          <w:p>
            <w:pPr>
              <w:spacing w:after="40" w:before="40"/>
            </w:pPr>
            <w:r/>
            <w:r>
              <w:rPr>
                <w:rFonts w:ascii="Times New Roman" w:hAnsi="Times New Roman" w:eastAsia="宋体"/>
                <w:b w:val="0"/>
                <w:i w:val="0"/>
                <w:sz w:val="20"/>
              </w:rPr>
              <w:t>区域级</w:t>
            </w:r>
          </w:p>
        </w:tc>
        <w:tc>
          <w:tcPr>
            <w:tcW w:type="dxa" w:w="2126"/>
            <w:shd w:val="clear" w:color="auto" w:fill="F0F4F8"/>
          </w:tcPr>
          <w:p>
            <w:pPr>
              <w:spacing w:after="40" w:before="40"/>
            </w:pPr>
            <w:r/>
            <w:r>
              <w:rPr>
                <w:rFonts w:ascii="Times New Roman" w:hAnsi="Times New Roman" w:eastAsia="宋体"/>
                <w:b w:val="0"/>
                <w:i w:val="0"/>
                <w:sz w:val="20"/>
              </w:rPr>
              <w:t>计划为主</w:t>
            </w:r>
          </w:p>
        </w:tc>
      </w:tr>
      <w:tr>
        <w:tc>
          <w:tcPr>
            <w:tcW w:type="dxa" w:w="2126"/>
          </w:tcPr>
          <w:p>
            <w:pPr>
              <w:spacing w:after="40" w:before="40"/>
            </w:pPr>
            <w:r/>
            <w:r>
              <w:rPr>
                <w:rFonts w:ascii="Times New Roman" w:hAnsi="Times New Roman" w:eastAsia="宋体"/>
                <w:b w:val="0"/>
                <w:i w:val="0"/>
                <w:sz w:val="20"/>
              </w:rPr>
              <w:t>用户参与</w:t>
            </w:r>
          </w:p>
        </w:tc>
        <w:tc>
          <w:tcPr>
            <w:tcW w:type="dxa" w:w="2126"/>
          </w:tcPr>
          <w:p>
            <w:pPr>
              <w:spacing w:after="40" w:before="40"/>
            </w:pPr>
            <w:r/>
            <w:r>
              <w:rPr>
                <w:rFonts w:ascii="Times New Roman" w:hAnsi="Times New Roman" w:eastAsia="宋体"/>
                <w:b w:val="0"/>
                <w:i w:val="0"/>
                <w:sz w:val="20"/>
              </w:rPr>
              <w:t>高(大型用户)</w:t>
            </w:r>
          </w:p>
        </w:tc>
        <w:tc>
          <w:tcPr>
            <w:tcW w:type="dxa" w:w="2126"/>
          </w:tcPr>
          <w:p>
            <w:pPr>
              <w:spacing w:after="40" w:before="40"/>
            </w:pPr>
            <w:r/>
            <w:r>
              <w:rPr>
                <w:rFonts w:ascii="Times New Roman" w:hAnsi="Times New Roman" w:eastAsia="宋体"/>
                <w:b w:val="0"/>
                <w:i w:val="0"/>
                <w:sz w:val="20"/>
              </w:rPr>
              <w:t>中</w:t>
            </w:r>
          </w:p>
        </w:tc>
        <w:tc>
          <w:tcPr>
            <w:tcW w:type="dxa" w:w="2126"/>
          </w:tcPr>
          <w:p>
            <w:pPr>
              <w:spacing w:after="40" w:before="40"/>
            </w:pPr>
            <w:r/>
            <w:r>
              <w:rPr>
                <w:rFonts w:ascii="Times New Roman" w:hAnsi="Times New Roman" w:eastAsia="宋体"/>
                <w:b w:val="0"/>
                <w:i w:val="0"/>
                <w:sz w:val="20"/>
              </w:rPr>
              <w:t>低</w:t>
            </w:r>
          </w:p>
        </w:tc>
      </w:tr>
      <w:tr>
        <w:tc>
          <w:tcPr>
            <w:tcW w:type="dxa" w:w="2126"/>
            <w:shd w:val="clear" w:color="auto" w:fill="F0F4F8"/>
          </w:tcPr>
          <w:p>
            <w:pPr>
              <w:spacing w:after="40" w:before="40"/>
            </w:pPr>
            <w:r/>
            <w:r>
              <w:rPr>
                <w:rFonts w:ascii="Times New Roman" w:hAnsi="Times New Roman" w:eastAsia="宋体"/>
                <w:b w:val="0"/>
                <w:i w:val="0"/>
                <w:sz w:val="20"/>
              </w:rPr>
              <w:t>风险管理工具</w:t>
            </w:r>
          </w:p>
        </w:tc>
        <w:tc>
          <w:tcPr>
            <w:tcW w:type="dxa" w:w="2126"/>
            <w:shd w:val="clear" w:color="auto" w:fill="F0F4F8"/>
          </w:tcPr>
          <w:p>
            <w:pPr>
              <w:spacing w:after="40" w:before="40"/>
            </w:pPr>
            <w:r/>
            <w:r>
              <w:rPr>
                <w:rFonts w:ascii="Times New Roman" w:hAnsi="Times New Roman" w:eastAsia="宋体"/>
                <w:b w:val="0"/>
                <w:i w:val="0"/>
                <w:sz w:val="20"/>
              </w:rPr>
              <w:t>丰富</w:t>
            </w:r>
          </w:p>
        </w:tc>
        <w:tc>
          <w:tcPr>
            <w:tcW w:type="dxa" w:w="2126"/>
            <w:shd w:val="clear" w:color="auto" w:fill="F0F4F8"/>
          </w:tcPr>
          <w:p>
            <w:pPr>
              <w:spacing w:after="40" w:before="40"/>
            </w:pPr>
            <w:r/>
            <w:r>
              <w:rPr>
                <w:rFonts w:ascii="Times New Roman" w:hAnsi="Times New Roman" w:eastAsia="宋体"/>
                <w:b w:val="0"/>
                <w:i w:val="0"/>
                <w:sz w:val="20"/>
              </w:rPr>
              <w:t>中等</w:t>
            </w:r>
          </w:p>
        </w:tc>
        <w:tc>
          <w:tcPr>
            <w:tcW w:type="dxa" w:w="2126"/>
            <w:shd w:val="clear" w:color="auto" w:fill="F0F4F8"/>
          </w:tcPr>
          <w:p>
            <w:pPr>
              <w:spacing w:after="40" w:before="40"/>
            </w:pPr>
            <w:r/>
            <w:r>
              <w:rPr>
                <w:rFonts w:ascii="Times New Roman" w:hAnsi="Times New Roman" w:eastAsia="宋体"/>
                <w:b w:val="0"/>
                <w:i w:val="0"/>
                <w:sz w:val="20"/>
              </w:rPr>
              <w:t>有限</w:t>
            </w:r>
          </w:p>
        </w:tc>
      </w:tr>
      <w:tr>
        <w:tc>
          <w:tcPr>
            <w:tcW w:type="dxa" w:w="2126"/>
          </w:tcPr>
          <w:p>
            <w:pPr>
              <w:spacing w:after="40" w:before="40"/>
            </w:pPr>
            <w:r/>
            <w:r>
              <w:rPr>
                <w:rFonts w:ascii="Times New Roman" w:hAnsi="Times New Roman" w:eastAsia="宋体"/>
                <w:b w:val="0"/>
                <w:i w:val="0"/>
                <w:sz w:val="20"/>
              </w:rPr>
              <w:t>可再生能源耦合</w:t>
            </w:r>
          </w:p>
        </w:tc>
        <w:tc>
          <w:tcPr>
            <w:tcW w:type="dxa" w:w="2126"/>
          </w:tcPr>
          <w:p>
            <w:pPr>
              <w:spacing w:after="40" w:before="40"/>
            </w:pPr>
            <w:r/>
            <w:r>
              <w:rPr>
                <w:rFonts w:ascii="Times New Roman" w:hAnsi="Times New Roman" w:eastAsia="宋体"/>
                <w:b w:val="0"/>
                <w:i w:val="0"/>
                <w:sz w:val="20"/>
              </w:rPr>
              <w:t>强</w:t>
            </w:r>
          </w:p>
        </w:tc>
        <w:tc>
          <w:tcPr>
            <w:tcW w:type="dxa" w:w="2126"/>
          </w:tcPr>
          <w:p>
            <w:pPr>
              <w:spacing w:after="40" w:before="40"/>
            </w:pPr>
            <w:r/>
            <w:r>
              <w:rPr>
                <w:rFonts w:ascii="Times New Roman" w:hAnsi="Times New Roman" w:eastAsia="宋体"/>
                <w:b w:val="0"/>
                <w:i w:val="0"/>
                <w:sz w:val="20"/>
              </w:rPr>
              <w:t>强</w:t>
            </w:r>
          </w:p>
        </w:tc>
        <w:tc>
          <w:tcPr>
            <w:tcW w:type="dxa" w:w="2126"/>
          </w:tcPr>
          <w:p>
            <w:pPr>
              <w:spacing w:after="40" w:before="40"/>
            </w:pPr>
            <w:r/>
            <w:r>
              <w:rPr>
                <w:rFonts w:ascii="Times New Roman" w:hAnsi="Times New Roman" w:eastAsia="宋体"/>
                <w:b w:val="0"/>
                <w:i w:val="0"/>
                <w:sz w:val="20"/>
              </w:rPr>
              <w:t>逐步增强</w:t>
            </w:r>
          </w:p>
        </w:tc>
      </w:tr>
    </w:tbl>
    <w:p>
      <w:pPr>
        <w:pStyle w:val="Heading2"/>
        <w:spacing w:before="240" w:after="80"/>
      </w:pPr>
      <w:r>
        <w:rPr>
          <w:rFonts w:ascii="Times New Roman" w:hAnsi="Times New Roman" w:eastAsia="黑体"/>
          <w:b/>
          <w:i w:val="0"/>
          <w:sz w:val="28"/>
        </w:rPr>
        <w:t>3.7 实践案例深度分析</w:t>
      </w:r>
    </w:p>
    <w:p>
      <w:pPr>
        <w:pStyle w:val="Heading3"/>
        <w:spacing w:before="160" w:after="60"/>
      </w:pPr>
      <w:r>
        <w:rPr>
          <w:rFonts w:ascii="Times New Roman" w:hAnsi="Times New Roman" w:eastAsia="黑体"/>
          <w:b/>
          <w:i w:val="0"/>
          <w:sz w:val="24"/>
        </w:rPr>
        <w:t>案例1：PJM市场的LMP定价机制</w:t>
      </w:r>
    </w:p>
    <w:p>
      <w:pPr>
        <w:spacing w:line="360" w:lineRule="auto" w:after="0"/>
        <w:ind w:firstLine="425"/>
      </w:pPr>
      <w:r>
        <w:rPr>
          <w:rFonts w:ascii="Times New Roman" w:hAnsi="Times New Roman" w:eastAsia="宋体"/>
          <w:b w:val="0"/>
          <w:i w:val="0"/>
          <w:sz w:val="22"/>
        </w:rPr>
        <w:t>PJM市场是美国最大的竞争性电力批发市场，服务超过6500万用户。其LMP定价机制包括：</w:t>
      </w:r>
    </w:p>
    <w:p>
      <w:pPr>
        <w:spacing w:line="360" w:lineRule="auto" w:after="0"/>
        <w:ind w:firstLine="425"/>
      </w:pPr>
      <w:r>
        <w:rPr>
          <w:rFonts w:ascii="Times New Roman" w:hAnsi="Times New Roman" w:eastAsia="宋体"/>
          <w:b/>
          <w:i w:val="0"/>
          <w:sz w:val="22"/>
        </w:rPr>
        <w:t>出清过程</w:t>
      </w:r>
      <w:r>
        <w:rPr>
          <w:rFonts w:ascii="Times New Roman" w:hAnsi="Times New Roman" w:eastAsia="宋体"/>
          <w:b w:val="0"/>
          <w:i w:val="0"/>
          <w:sz w:val="22"/>
        </w:rPr>
        <w:t>：PJM每5分钟运行一次安全约束经济调度（SCED），计算每个节点的LMP。LMP = 系统边际能量价格 + 拥堵价格 + 网损价格。</w:t>
      </w:r>
    </w:p>
    <w:p>
      <w:pPr>
        <w:spacing w:line="360" w:lineRule="auto" w:after="0"/>
        <w:ind w:firstLine="425"/>
      </w:pPr>
      <w:r>
        <w:rPr>
          <w:rFonts w:ascii="Times New Roman" w:hAnsi="Times New Roman" w:eastAsia="宋体"/>
          <w:b/>
          <w:i w:val="0"/>
          <w:sz w:val="22"/>
        </w:rPr>
        <w:t>实时定价传递</w:t>
      </w:r>
      <w:r>
        <w:rPr>
          <w:rFonts w:ascii="Times New Roman" w:hAnsi="Times New Roman" w:eastAsia="宋体"/>
          <w:b w:val="0"/>
          <w:i w:val="0"/>
          <w:sz w:val="22"/>
        </w:rPr>
        <w:t>：零售商将LMP传递给RTP用户，通常加上输配电价（约2-4美分/kWh）和零售服务费（约1-2美分/kWh）。</w:t>
      </w:r>
    </w:p>
    <w:p>
      <w:pPr>
        <w:spacing w:line="360" w:lineRule="auto" w:after="0"/>
        <w:ind w:firstLine="425"/>
      </w:pPr>
      <w:r>
        <w:rPr>
          <w:rFonts w:ascii="Times New Roman" w:hAnsi="Times New Roman" w:eastAsia="宋体"/>
          <w:b/>
          <w:i w:val="0"/>
          <w:sz w:val="22"/>
        </w:rPr>
        <w:t>价格尖峰管理</w:t>
      </w:r>
      <w:r>
        <w:rPr>
          <w:rFonts w:ascii="Times New Roman" w:hAnsi="Times New Roman" w:eastAsia="宋体"/>
          <w:b w:val="0"/>
          <w:i w:val="0"/>
          <w:sz w:val="22"/>
        </w:rPr>
        <w:t>：当系统供需紧张时，LMP可飙升至1000美元/MWh以上。PJM通过稀缺定价机制（Scarcity Pricing）确保价格信号充分反映供电稀缺性，激励发电商投资和用户参与DR。</w:t>
      </w:r>
    </w:p>
    <w:p>
      <w:pPr>
        <w:pStyle w:val="Heading3"/>
        <w:spacing w:before="160" w:after="60"/>
      </w:pPr>
      <w:r>
        <w:rPr>
          <w:rFonts w:ascii="Times New Roman" w:hAnsi="Times New Roman" w:eastAsia="黑体"/>
          <w:b/>
          <w:i w:val="0"/>
          <w:sz w:val="24"/>
        </w:rPr>
        <w:t>案例2：丹麦负电价的市场逻辑</w:t>
      </w:r>
    </w:p>
    <w:p>
      <w:pPr>
        <w:spacing w:line="360" w:lineRule="auto" w:after="0"/>
        <w:ind w:firstLine="425"/>
      </w:pPr>
      <w:r>
        <w:rPr>
          <w:rFonts w:ascii="Times New Roman" w:hAnsi="Times New Roman" w:eastAsia="宋体"/>
          <w:b w:val="0"/>
          <w:i w:val="0"/>
          <w:sz w:val="22"/>
        </w:rPr>
        <w:t>丹麦在Nord Pool市场中频繁出现负电价，其经济学逻辑值得深入分析：</w:t>
      </w:r>
    </w:p>
    <w:p>
      <w:pPr>
        <w:spacing w:line="360" w:lineRule="auto" w:after="0"/>
        <w:ind w:firstLine="425"/>
      </w:pPr>
      <w:r>
        <w:rPr>
          <w:rFonts w:ascii="Times New Roman" w:hAnsi="Times New Roman" w:eastAsia="宋体"/>
          <w:b/>
          <w:i w:val="0"/>
          <w:sz w:val="22"/>
        </w:rPr>
        <w:t>负电价的成因</w:t>
      </w:r>
      <w:r>
        <w:rPr>
          <w:rFonts w:ascii="Times New Roman" w:hAnsi="Times New Roman" w:eastAsia="宋体"/>
          <w:b w:val="0"/>
          <w:i w:val="0"/>
          <w:sz w:val="22"/>
        </w:rPr>
        <w:t>：风电出力远超本地需求，且输电通道容量不足以将过剩电力出口。风电场由于补贴政策（如可再生能源证书），在电价为负时仍有动力发电。</w:t>
      </w:r>
    </w:p>
    <w:p>
      <w:pPr>
        <w:spacing w:line="360" w:lineRule="auto" w:after="0"/>
        <w:ind w:firstLine="425"/>
      </w:pPr>
      <w:r>
        <w:rPr>
          <w:rFonts w:ascii="Times New Roman" w:hAnsi="Times New Roman" w:eastAsia="宋体"/>
          <w:b/>
          <w:i w:val="0"/>
          <w:sz w:val="22"/>
        </w:rPr>
        <w:t>用户响应</w:t>
      </w:r>
      <w:r>
        <w:rPr>
          <w:rFonts w:ascii="Times New Roman" w:hAnsi="Times New Roman" w:eastAsia="宋体"/>
          <w:b w:val="0"/>
          <w:i w:val="0"/>
          <w:sz w:val="22"/>
        </w:rPr>
        <w:t>：在负电价时段，用户实际上获得"用电补贴"。丹麦用户通过智能电热水器、电动汽车充电和工业生产调整来利用负电价。数据显示，负电价时段的用电量比正常时段增加30%-50%。</w:t>
      </w:r>
    </w:p>
    <w:p>
      <w:pPr>
        <w:spacing w:line="360" w:lineRule="auto" w:after="0"/>
        <w:ind w:firstLine="425"/>
      </w:pPr>
      <w:r>
        <w:rPr>
          <w:rFonts w:ascii="Times New Roman" w:hAnsi="Times New Roman" w:eastAsia="宋体"/>
          <w:b/>
          <w:i w:val="0"/>
          <w:sz w:val="22"/>
        </w:rPr>
        <w:t>市场效率</w:t>
      </w:r>
      <w:r>
        <w:rPr>
          <w:rFonts w:ascii="Times New Roman" w:hAnsi="Times New Roman" w:eastAsia="宋体"/>
          <w:b w:val="0"/>
          <w:i w:val="0"/>
          <w:sz w:val="22"/>
        </w:rPr>
        <w:t>：负电价虽然看起来异常，但实际上是市场有效配置资源的体现——通过价格信号引导用户消纳过剩的可再生能源，避免弃风。</w:t>
      </w:r>
    </w:p>
    <w:p>
      <w:pPr>
        <w:pStyle w:val="Heading3"/>
        <w:spacing w:before="160" w:after="60"/>
      </w:pPr>
      <w:r>
        <w:rPr>
          <w:rFonts w:ascii="Times New Roman" w:hAnsi="Times New Roman" w:eastAsia="黑体"/>
          <w:b/>
          <w:i w:val="0"/>
          <w:sz w:val="24"/>
        </w:rPr>
        <w:t>案例3：广东电力现货市场的价格发现</w:t>
      </w:r>
    </w:p>
    <w:p>
      <w:pPr>
        <w:spacing w:line="360" w:lineRule="auto" w:after="0"/>
        <w:ind w:firstLine="425"/>
      </w:pPr>
      <w:r>
        <w:rPr>
          <w:rFonts w:ascii="Times New Roman" w:hAnsi="Times New Roman" w:eastAsia="宋体"/>
          <w:b w:val="0"/>
          <w:i w:val="0"/>
          <w:sz w:val="22"/>
        </w:rPr>
        <w:t>广东省电力现货市场自2019年试运行以来，价格发现功能逐步完善：</w:t>
      </w:r>
    </w:p>
    <w:p>
      <w:pPr>
        <w:spacing w:line="360" w:lineRule="auto" w:after="0"/>
        <w:ind w:firstLine="425"/>
      </w:pPr>
      <w:r>
        <w:rPr>
          <w:rFonts w:ascii="Times New Roman" w:hAnsi="Times New Roman" w:eastAsia="宋体"/>
          <w:b/>
          <w:i w:val="0"/>
          <w:sz w:val="22"/>
        </w:rPr>
        <w:t>日前市场</w:t>
      </w:r>
      <w:r>
        <w:rPr>
          <w:rFonts w:ascii="Times New Roman" w:hAnsi="Times New Roman" w:eastAsia="宋体"/>
          <w:b w:val="0"/>
          <w:i w:val="0"/>
          <w:sz w:val="22"/>
        </w:rPr>
        <w:t>：发电企业日前申报量价曲线，电力用户（或售电公司）申报需求曲线。市场出清得到每个节点的日前LMP。</w:t>
      </w:r>
    </w:p>
    <w:p>
      <w:pPr>
        <w:spacing w:line="360" w:lineRule="auto" w:after="0"/>
        <w:ind w:firstLine="425"/>
      </w:pPr>
      <w:r>
        <w:rPr>
          <w:rFonts w:ascii="Times New Roman" w:hAnsi="Times New Roman" w:eastAsia="宋体"/>
          <w:b/>
          <w:i w:val="0"/>
          <w:sz w:val="22"/>
        </w:rPr>
        <w:t>实时市场</w:t>
      </w:r>
      <w:r>
        <w:rPr>
          <w:rFonts w:ascii="Times New Roman" w:hAnsi="Times New Roman" w:eastAsia="宋体"/>
          <w:b w:val="0"/>
          <w:i w:val="0"/>
          <w:sz w:val="22"/>
        </w:rPr>
        <w:t>：每15分钟运行一次实时经济调度，根据实际供需状况调整价格。实时价格反映了电网的实时运行状态。</w:t>
      </w:r>
    </w:p>
    <w:p>
      <w:pPr>
        <w:spacing w:line="360" w:lineRule="auto" w:after="0"/>
        <w:ind w:firstLine="425"/>
      </w:pPr>
      <w:r>
        <w:rPr>
          <w:rFonts w:ascii="Times New Roman" w:hAnsi="Times New Roman" w:eastAsia="宋体"/>
          <w:b/>
          <w:i w:val="0"/>
          <w:sz w:val="22"/>
        </w:rPr>
        <w:t>价格波动</w:t>
      </w:r>
      <w:r>
        <w:rPr>
          <w:rFonts w:ascii="Times New Roman" w:hAnsi="Times New Roman" w:eastAsia="宋体"/>
          <w:b w:val="0"/>
          <w:i w:val="0"/>
          <w:sz w:val="22"/>
        </w:rPr>
        <w:t>：广东现货市场价格在0.1-1.0元/kWh之间波动，峰谷比约5-8倍。在负荷高峰时段（如夏季晚间），价格可超过1.0元/kWh；在负荷低谷时段（如凌晨），价格可降至0.1元/kWh以下。</w:t>
      </w:r>
    </w:p>
    <w:p>
      <w:pPr>
        <w:spacing w:line="360" w:lineRule="auto" w:after="0"/>
        <w:ind w:firstLine="425"/>
      </w:pPr>
      <w:r>
        <w:rPr>
          <w:rFonts w:ascii="Times New Roman" w:hAnsi="Times New Roman" w:eastAsia="宋体"/>
          <w:b/>
          <w:i w:val="0"/>
          <w:sz w:val="22"/>
        </w:rPr>
        <w:t>启示</w:t>
      </w:r>
      <w:r>
        <w:rPr>
          <w:rFonts w:ascii="Times New Roman" w:hAnsi="Times New Roman" w:eastAsia="宋体"/>
          <w:b w:val="0"/>
          <w:i w:val="0"/>
          <w:sz w:val="22"/>
        </w:rPr>
        <w:t>：广东的经验表明，电力现货市场能够有效发现电力商品的真实价值，为RTP的推广提供了价格基础。但市场机制还需要进一步完善，特别是辅助服务市场和容量补偿机制。</w:t>
      </w:r>
    </w:p>
    <w:p>
      <w:pPr>
        <w:pStyle w:val="Heading2"/>
        <w:spacing w:before="240" w:after="80"/>
      </w:pPr>
      <w:r>
        <w:rPr>
          <w:rFonts w:ascii="Times New Roman" w:hAnsi="Times New Roman" w:eastAsia="黑体"/>
          <w:b/>
          <w:i w:val="0"/>
          <w:sz w:val="28"/>
        </w:rPr>
        <w:t>3.8 理论深化与前沿探讨</w:t>
      </w:r>
    </w:p>
    <w:p>
      <w:pPr>
        <w:pStyle w:val="Heading3"/>
        <w:spacing w:before="160" w:after="60"/>
      </w:pPr>
      <w:r>
        <w:rPr>
          <w:rFonts w:ascii="Times New Roman" w:hAnsi="Times New Roman" w:eastAsia="黑体"/>
          <w:b/>
          <w:i w:val="0"/>
          <w:sz w:val="24"/>
        </w:rPr>
        <w:t>实时定价中的市场力与监管</w:t>
      </w:r>
    </w:p>
    <w:p>
      <w:pPr>
        <w:spacing w:line="360" w:lineRule="auto" w:after="0"/>
        <w:ind w:firstLine="425"/>
      </w:pPr>
      <w:r>
        <w:rPr>
          <w:rFonts w:ascii="Times New Roman" w:hAnsi="Times New Roman" w:eastAsia="宋体"/>
          <w:b w:val="0"/>
          <w:i w:val="0"/>
          <w:sz w:val="22"/>
        </w:rPr>
        <w:t>在集中式电力市场中，大型发电商可能通过策略性报价行使市场力。Borenstein（2005）分析了加州电力危机中的市场力问题，指出发电商通过物理 withheld（减少发电出力）和经济 withheld（提高报价）两种方式抬高电价。</w:t>
      </w:r>
    </w:p>
    <w:p>
      <w:pPr>
        <w:spacing w:line="360" w:lineRule="auto" w:after="0"/>
        <w:ind w:firstLine="425"/>
      </w:pPr>
      <w:r>
        <w:rPr>
          <w:rFonts w:ascii="Times New Roman" w:hAnsi="Times New Roman" w:eastAsia="宋体"/>
          <w:b w:val="0"/>
          <w:i w:val="0"/>
          <w:sz w:val="22"/>
        </w:rPr>
        <w:t>实时定价通过需求侧弹性来制衡供给侧市场力。当发电商试图通过减少出力来抬高价格时，需求侧的弹性响应能够抑制价格上升幅度。理论分析表明：</w:t>
      </w:r>
    </w:p>
    <w:p>
      <w:pPr>
        <w:pStyle w:val="ListBullet"/>
        <w:spacing w:line="360" w:lineRule="auto" w:after="0"/>
      </w:pPr>
      <w:r>
        <w:rPr>
          <w:rFonts w:ascii="Times New Roman" w:hAnsi="Times New Roman" w:eastAsia="宋体"/>
          <w:b w:val="0"/>
          <w:i w:val="0"/>
          <w:sz w:val="22"/>
        </w:rPr>
        <w:t>在需求弹性为零（完全无弹性）的情况下，发电商的市场力无限大</w:t>
      </w:r>
    </w:p>
    <w:p>
      <w:pPr>
        <w:pStyle w:val="ListBullet"/>
        <w:spacing w:line="360" w:lineRule="auto" w:after="0"/>
      </w:pPr>
      <w:r>
        <w:rPr>
          <w:rFonts w:ascii="Times New Roman" w:hAnsi="Times New Roman" w:eastAsia="宋体"/>
          <w:b w:val="0"/>
          <w:i w:val="0"/>
          <w:sz w:val="22"/>
        </w:rPr>
        <w:t>需求弹性每提高0.1，发电商的最优策略性报价溢价降低约15%-20%</w:t>
      </w:r>
    </w:p>
    <w:p>
      <w:pPr>
        <w:pStyle w:val="ListBullet"/>
        <w:spacing w:line="360" w:lineRule="auto" w:after="0"/>
      </w:pPr>
      <w:r>
        <w:rPr>
          <w:rFonts w:ascii="Times New Roman" w:hAnsi="Times New Roman" w:eastAsia="宋体"/>
          <w:b w:val="0"/>
          <w:i w:val="0"/>
          <w:sz w:val="22"/>
        </w:rPr>
        <w:t>RTP使用户需求弹性从约0.05提高到0.15-0.30，显著抑制了市场力</w:t>
      </w:r>
    </w:p>
    <w:p>
      <w:pPr>
        <w:spacing w:line="360" w:lineRule="auto" w:after="0"/>
        <w:ind w:firstLine="425"/>
      </w:pPr>
      <w:r>
        <w:rPr>
          <w:rFonts w:ascii="Times New Roman" w:hAnsi="Times New Roman" w:eastAsia="宋体"/>
          <w:b w:val="0"/>
          <w:i w:val="0"/>
          <w:sz w:val="22"/>
        </w:rPr>
        <w:t>然而，在需求弹性较低的情况下（特别是短期内），市场力问题仍然严重，需要配合以下监管措施：</w:t>
      </w:r>
    </w:p>
    <w:p>
      <w:pPr>
        <w:spacing w:line="360" w:lineRule="auto" w:after="0"/>
        <w:ind w:firstLine="425"/>
      </w:pPr>
      <w:r>
        <w:rPr>
          <w:rFonts w:ascii="Times New Roman" w:hAnsi="Times New Roman" w:eastAsia="宋体"/>
          <w:b/>
          <w:i w:val="0"/>
          <w:sz w:val="22"/>
        </w:rPr>
        <w:t>报价上限</w:t>
      </w:r>
      <w:r>
        <w:rPr>
          <w:rFonts w:ascii="Times New Roman" w:hAnsi="Times New Roman" w:eastAsia="宋体"/>
          <w:b w:val="0"/>
          <w:i w:val="0"/>
          <w:sz w:val="22"/>
        </w:rPr>
        <w:t>：设定发电商报价上限（如PJM的1000美元/MWh），防止极端价格。</w:t>
      </w:r>
    </w:p>
    <w:p>
      <w:pPr>
        <w:spacing w:line="360" w:lineRule="auto" w:after="0"/>
        <w:ind w:firstLine="425"/>
      </w:pPr>
      <w:r>
        <w:rPr>
          <w:rFonts w:ascii="Times New Roman" w:hAnsi="Times New Roman" w:eastAsia="宋体"/>
          <w:b/>
          <w:i w:val="0"/>
          <w:sz w:val="22"/>
        </w:rPr>
        <w:t>市场力检测</w:t>
      </w:r>
      <w:r>
        <w:rPr>
          <w:rFonts w:ascii="Times New Roman" w:hAnsi="Times New Roman" w:eastAsia="宋体"/>
          <w:b w:val="0"/>
          <w:i w:val="0"/>
          <w:sz w:val="22"/>
        </w:rPr>
        <w:t>：通过HHI、 pivotal supplier test等指标检测市场力行使。</w:t>
      </w:r>
    </w:p>
    <w:p>
      <w:pPr>
        <w:spacing w:line="360" w:lineRule="auto" w:after="0"/>
        <w:ind w:firstLine="425"/>
      </w:pPr>
      <w:r>
        <w:rPr>
          <w:rFonts w:ascii="Times New Roman" w:hAnsi="Times New Roman" w:eastAsia="宋体"/>
          <w:b/>
          <w:i w:val="0"/>
          <w:sz w:val="22"/>
        </w:rPr>
        <w:t>行为审计</w:t>
      </w:r>
      <w:r>
        <w:rPr>
          <w:rFonts w:ascii="Times New Roman" w:hAnsi="Times New Roman" w:eastAsia="宋体"/>
          <w:b w:val="0"/>
          <w:i w:val="0"/>
          <w:sz w:val="22"/>
        </w:rPr>
        <w:t>：对发电商的报价行为进行审计，发现和惩罚市场力滥用。</w:t>
      </w:r>
    </w:p>
    <w:p>
      <w:pPr>
        <w:pStyle w:val="Heading3"/>
        <w:spacing w:before="160" w:after="60"/>
      </w:pPr>
      <w:r>
        <w:rPr>
          <w:rFonts w:ascii="Times New Roman" w:hAnsi="Times New Roman" w:eastAsia="黑体"/>
          <w:b/>
          <w:i w:val="0"/>
          <w:sz w:val="24"/>
        </w:rPr>
        <w:t>实时定价的长期投资信号</w:t>
      </w:r>
    </w:p>
    <w:p>
      <w:pPr>
        <w:spacing w:line="360" w:lineRule="auto" w:after="0"/>
        <w:ind w:firstLine="425"/>
      </w:pPr>
      <w:r>
        <w:rPr>
          <w:rFonts w:ascii="Times New Roman" w:hAnsi="Times New Roman" w:eastAsia="宋体"/>
          <w:b w:val="0"/>
          <w:i w:val="0"/>
          <w:sz w:val="22"/>
        </w:rPr>
        <w:t>实时定价不仅影响短期运行效率，还为长期投资提供信号。Borenstein和Holland（2005）的理论分析表明：</w:t>
      </w:r>
    </w:p>
    <w:p>
      <w:pPr>
        <w:pStyle w:val="ListBullet"/>
        <w:spacing w:line="360" w:lineRule="auto" w:after="0"/>
      </w:pPr>
      <w:r>
        <w:rPr>
          <w:rFonts w:ascii="Times New Roman" w:hAnsi="Times New Roman" w:eastAsia="宋体"/>
          <w:b w:val="0"/>
          <w:i w:val="0"/>
          <w:sz w:val="22"/>
        </w:rPr>
        <w:t>RTP的价格尖峰反映了系统容量稀缺性，为发电商投资新机组提供经济激励</w:t>
      </w:r>
    </w:p>
    <w:p>
      <w:pPr>
        <w:pStyle w:val="ListBullet"/>
        <w:spacing w:line="360" w:lineRule="auto" w:after="0"/>
      </w:pPr>
      <w:r>
        <w:rPr>
          <w:rFonts w:ascii="Times New Roman" w:hAnsi="Times New Roman" w:eastAsia="宋体"/>
          <w:b w:val="0"/>
          <w:i w:val="0"/>
          <w:sz w:val="22"/>
        </w:rPr>
        <w:t>在TOU或固定电价下，投资信号被扭曲，可能导致过度投资或投资不足</w:t>
      </w:r>
    </w:p>
    <w:p>
      <w:pPr>
        <w:pStyle w:val="ListBullet"/>
        <w:spacing w:line="360" w:lineRule="auto" w:after="0"/>
      </w:pPr>
      <w:r>
        <w:rPr>
          <w:rFonts w:ascii="Times New Roman" w:hAnsi="Times New Roman" w:eastAsia="宋体"/>
          <w:b w:val="0"/>
          <w:i w:val="0"/>
          <w:sz w:val="22"/>
        </w:rPr>
        <w:t>RTP能够更准确地反映电力商品的长期价值，提高投资效率</w:t>
      </w:r>
    </w:p>
    <w:p>
      <w:pPr>
        <w:spacing w:line="360" w:lineRule="auto" w:after="0"/>
        <w:ind w:firstLine="425"/>
      </w:pPr>
      <w:r>
        <w:rPr>
          <w:rFonts w:ascii="Times New Roman" w:hAnsi="Times New Roman" w:eastAsia="宋体"/>
          <w:b w:val="0"/>
          <w:i w:val="0"/>
          <w:sz w:val="22"/>
        </w:rPr>
        <w:t>然而，RTP下的投资信号面临以下挑战：</w:t>
      </w:r>
    </w:p>
    <w:p>
      <w:pPr>
        <w:pStyle w:val="ListBullet"/>
        <w:spacing w:line="360" w:lineRule="auto" w:after="0"/>
      </w:pPr>
      <w:r>
        <w:rPr>
          <w:rFonts w:ascii="Times New Roman" w:hAnsi="Times New Roman" w:eastAsia="宋体"/>
          <w:b/>
          <w:i w:val="0"/>
          <w:sz w:val="22"/>
        </w:rPr>
        <w:t>价格不确定性</w:t>
      </w:r>
      <w:r>
        <w:rPr>
          <w:rFonts w:ascii="Times New Roman" w:hAnsi="Times New Roman" w:eastAsia="宋体"/>
          <w:b w:val="0"/>
          <w:i w:val="0"/>
          <w:sz w:val="22"/>
        </w:rPr>
        <w:t>：RTP价格波动大，投资者难以准确评估投资回报</w:t>
      </w:r>
    </w:p>
    <w:p>
      <w:pPr>
        <w:pStyle w:val="ListBullet"/>
        <w:spacing w:line="360" w:lineRule="auto" w:after="0"/>
      </w:pPr>
      <w:r>
        <w:rPr>
          <w:rFonts w:ascii="Times New Roman" w:hAnsi="Times New Roman" w:eastAsia="宋体"/>
          <w:b/>
          <w:i w:val="0"/>
          <w:sz w:val="22"/>
        </w:rPr>
        <w:t>政策不确定性</w:t>
      </w:r>
      <w:r>
        <w:rPr>
          <w:rFonts w:ascii="Times New Roman" w:hAnsi="Times New Roman" w:eastAsia="宋体"/>
          <w:b w:val="0"/>
          <w:i w:val="0"/>
          <w:sz w:val="22"/>
        </w:rPr>
        <w:t>：能源政策和市场规则的变化影响投资预期</w:t>
      </w:r>
    </w:p>
    <w:p>
      <w:pPr>
        <w:pStyle w:val="ListBullet"/>
        <w:spacing w:line="360" w:lineRule="auto" w:after="0"/>
      </w:pPr>
      <w:r>
        <w:rPr>
          <w:rFonts w:ascii="Times New Roman" w:hAnsi="Times New Roman" w:eastAsia="宋体"/>
          <w:b/>
          <w:i w:val="0"/>
          <w:sz w:val="22"/>
        </w:rPr>
        <w:t>技术变革</w:t>
      </w:r>
      <w:r>
        <w:rPr>
          <w:rFonts w:ascii="Times New Roman" w:hAnsi="Times New Roman" w:eastAsia="宋体"/>
          <w:b w:val="0"/>
          <w:i w:val="0"/>
          <w:sz w:val="22"/>
        </w:rPr>
        <w:t>：可再生能源和储能技术的快速进步可能使传统投资搁浅</w:t>
      </w:r>
    </w:p>
    <w:p>
      <w:pPr>
        <w:spacing w:line="360" w:lineRule="auto" w:after="0"/>
        <w:ind w:firstLine="425"/>
      </w:pPr>
      <w:r>
        <w:rPr>
          <w:rFonts w:ascii="Times New Roman" w:hAnsi="Times New Roman" w:eastAsia="宋体"/>
          <w:b w:val="0"/>
          <w:i w:val="0"/>
          <w:sz w:val="22"/>
        </w:rPr>
        <w:t>容量市场等配套机制可以与RTP协同，为容量投资提供更稳定的信号。Hogan（2014）提出了RTP与容量市场协调的设计框架。</w:t>
      </w:r>
    </w:p>
    <w:p>
      <w:pPr>
        <w:pStyle w:val="Heading3"/>
        <w:spacing w:before="160" w:after="60"/>
      </w:pPr>
      <w:r>
        <w:rPr>
          <w:rFonts w:ascii="Times New Roman" w:hAnsi="Times New Roman" w:eastAsia="黑体"/>
          <w:b/>
          <w:i w:val="0"/>
          <w:sz w:val="24"/>
        </w:rPr>
        <w:t>实时定价与碳定价的交互</w:t>
      </w:r>
    </w:p>
    <w:p>
      <w:pPr>
        <w:spacing w:line="360" w:lineRule="auto" w:after="0"/>
        <w:ind w:firstLine="425"/>
      </w:pPr>
      <w:r>
        <w:rPr>
          <w:rFonts w:ascii="Times New Roman" w:hAnsi="Times New Roman" w:eastAsia="宋体"/>
          <w:b w:val="0"/>
          <w:i w:val="0"/>
          <w:sz w:val="22"/>
        </w:rPr>
        <w:t>碳定价（碳税或碳交易）与实时定价的交互是一个重要的理论问题：</w:t>
      </w:r>
    </w:p>
    <w:p>
      <w:pPr>
        <w:spacing w:line="360" w:lineRule="auto" w:after="0"/>
        <w:ind w:firstLine="425"/>
      </w:pPr>
      <w:r>
        <w:rPr>
          <w:rFonts w:ascii="Times New Roman" w:hAnsi="Times New Roman" w:eastAsia="宋体"/>
          <w:b/>
          <w:i w:val="0"/>
          <w:sz w:val="22"/>
        </w:rPr>
        <w:t>碳成本传导</w:t>
      </w:r>
      <w:r>
        <w:rPr>
          <w:rFonts w:ascii="Times New Roman" w:hAnsi="Times New Roman" w:eastAsia="宋体"/>
          <w:b w:val="0"/>
          <w:i w:val="0"/>
          <w:sz w:val="22"/>
        </w:rPr>
        <w:t>：碳价通过提高化石能源发电成本传导至电价。在RTP机制下，碳成本能够实时反映在电价中，引导用户减少高碳电力消费。</w:t>
      </w:r>
    </w:p>
    <w:p>
      <w:pPr>
        <w:spacing w:line="360" w:lineRule="auto" w:after="0"/>
        <w:ind w:firstLine="425"/>
      </w:pPr>
      <w:r>
        <w:rPr>
          <w:rFonts w:ascii="Times New Roman" w:hAnsi="Times New Roman" w:eastAsia="宋体"/>
          <w:b/>
          <w:i w:val="0"/>
          <w:sz w:val="22"/>
        </w:rPr>
        <w:t>双重价格信号</w:t>
      </w:r>
      <w:r>
        <w:rPr>
          <w:rFonts w:ascii="Times New Roman" w:hAnsi="Times New Roman" w:eastAsia="宋体"/>
          <w:b w:val="0"/>
          <w:i w:val="0"/>
          <w:sz w:val="22"/>
        </w:rPr>
        <w:t>：RTP和碳价同时提供价格信号，需要确保两者的一致性和协调性。如果RTP的边际成本已包含碳成本，则不需要额外的碳价信号。</w:t>
      </w:r>
    </w:p>
    <w:p>
      <w:pPr>
        <w:spacing w:line="360" w:lineRule="auto" w:after="0"/>
        <w:ind w:firstLine="425"/>
      </w:pPr>
      <w:r>
        <w:rPr>
          <w:rFonts w:ascii="Times New Roman" w:hAnsi="Times New Roman" w:eastAsia="宋体"/>
          <w:b/>
          <w:i w:val="0"/>
          <w:sz w:val="22"/>
        </w:rPr>
        <w:t>最优碳价</w:t>
      </w:r>
      <w:r>
        <w:rPr>
          <w:rFonts w:ascii="Times New Roman" w:hAnsi="Times New Roman" w:eastAsia="宋体"/>
          <w:b w:val="0"/>
          <w:i w:val="0"/>
          <w:sz w:val="22"/>
        </w:rPr>
        <w:t>：在社交福利最大化框架中，最优碳价等于碳排放的边际社会损害（边际外部成本）。Pigou税理论提供了最优碳价的经济学基础。</w:t>
      </w:r>
    </w:p>
    <w:p>
      <w:pPr>
        <w:pStyle w:val="Heading3"/>
        <w:spacing w:before="160" w:after="60"/>
      </w:pPr>
      <w:r>
        <w:rPr>
          <w:rFonts w:ascii="Times New Roman" w:hAnsi="Times New Roman" w:eastAsia="黑体"/>
          <w:b/>
          <w:i w:val="0"/>
          <w:sz w:val="24"/>
        </w:rPr>
        <w:t>实时定价中的信息不对称</w:t>
      </w:r>
    </w:p>
    <w:p>
      <w:pPr>
        <w:spacing w:line="360" w:lineRule="auto" w:after="0"/>
        <w:ind w:firstLine="425"/>
      </w:pPr>
      <w:r>
        <w:rPr>
          <w:rFonts w:ascii="Times New Roman" w:hAnsi="Times New Roman" w:eastAsia="宋体"/>
          <w:b w:val="0"/>
          <w:i w:val="0"/>
          <w:sz w:val="22"/>
        </w:rPr>
        <w:t>信息不对称是实时定价面临的重要理论挑战：</w:t>
      </w:r>
    </w:p>
    <w:p>
      <w:pPr>
        <w:spacing w:line="360" w:lineRule="auto" w:after="0"/>
        <w:ind w:firstLine="425"/>
      </w:pPr>
      <w:r>
        <w:rPr>
          <w:rFonts w:ascii="Times New Roman" w:hAnsi="Times New Roman" w:eastAsia="宋体"/>
          <w:b/>
          <w:i w:val="0"/>
          <w:sz w:val="22"/>
        </w:rPr>
        <w:t>用户信息不对称</w:t>
      </w:r>
      <w:r>
        <w:rPr>
          <w:rFonts w:ascii="Times New Roman" w:hAnsi="Times New Roman" w:eastAsia="宋体"/>
          <w:b w:val="0"/>
          <w:i w:val="0"/>
          <w:sz w:val="22"/>
        </w:rPr>
        <w:t>：供电方不了解用户的真实效用函数和用电偏好，可能导致定价偏离最优。机制设计理论（Mechanism Design）可以解决这一问题，通过设计激励兼容的定价机制使用户真实显示其偏好。Samadi等（2012）利用机制设计理论提出了先进的智能电网需求侧管理方法。</w:t>
      </w:r>
    </w:p>
    <w:p>
      <w:pPr>
        <w:spacing w:line="360" w:lineRule="auto" w:after="0"/>
        <w:ind w:firstLine="425"/>
      </w:pPr>
      <w:r>
        <w:rPr>
          <w:rFonts w:ascii="Times New Roman" w:hAnsi="Times New Roman" w:eastAsia="宋体"/>
          <w:b/>
          <w:i w:val="0"/>
          <w:sz w:val="22"/>
        </w:rPr>
        <w:t>供方信息不对称</w:t>
      </w:r>
      <w:r>
        <w:rPr>
          <w:rFonts w:ascii="Times New Roman" w:hAnsi="Times New Roman" w:eastAsia="宋体"/>
          <w:b w:val="0"/>
          <w:i w:val="0"/>
          <w:sz w:val="22"/>
        </w:rPr>
        <w:t>：用户不了解供电方的真实成本结构，可能对定价公平性产生疑虑。透明化定价机制（如公开LMP计算过程）可以缓解这一问题。</w:t>
      </w:r>
    </w:p>
    <w:p>
      <w:pPr>
        <w:spacing w:line="360" w:lineRule="auto" w:after="0"/>
        <w:ind w:firstLine="425"/>
      </w:pPr>
      <w:r>
        <w:rPr>
          <w:rFonts w:ascii="Times New Roman" w:hAnsi="Times New Roman" w:eastAsia="宋体"/>
          <w:b/>
          <w:i w:val="0"/>
          <w:sz w:val="22"/>
        </w:rPr>
        <w:t>信息延迟</w:t>
      </w:r>
      <w:r>
        <w:rPr>
          <w:rFonts w:ascii="Times New Roman" w:hAnsi="Times New Roman" w:eastAsia="宋体"/>
          <w:b w:val="0"/>
          <w:i w:val="0"/>
          <w:sz w:val="22"/>
        </w:rPr>
        <w:t>：代等（2017）研究了考虑信息延迟的智能电网实时定价问题</w:t>
      </w:r>
      <w:r>
        <w:rPr>
          <w:rFonts w:ascii="Times New Roman" w:hAnsi="Times New Roman" w:eastAsia="Times New Roman"/>
          <w:b w:val="0"/>
          <w:i w:val="0"/>
          <w:sz w:val="18"/>
          <w:vertAlign w:val="superscript"/>
        </w:rPr>
        <w:t>[23]</w:t>
      </w:r>
      <w:r>
        <w:rPr>
          <w:rFonts w:ascii="Times New Roman" w:hAnsi="Times New Roman" w:eastAsia="宋体"/>
          <w:b w:val="0"/>
          <w:i w:val="0"/>
          <w:sz w:val="22"/>
        </w:rPr>
        <w:t>，指出信息延迟导致定价决策基于过时信息，影响定价效果。解决方法包括预测更新机制和容错定价策略。</w:t>
      </w:r>
    </w:p>
    <w:p>
      <w:pPr>
        <w:pStyle w:val="Heading2"/>
        <w:spacing w:before="240" w:after="80"/>
      </w:pPr>
      <w:r>
        <w:rPr>
          <w:rFonts w:ascii="Times New Roman" w:hAnsi="Times New Roman" w:eastAsia="黑体"/>
          <w:b/>
          <w:i w:val="0"/>
          <w:sz w:val="28"/>
        </w:rPr>
        <w:t>3.9 实时定价的经济效率分析</w:t>
      </w:r>
    </w:p>
    <w:p>
      <w:pPr>
        <w:pStyle w:val="Heading3"/>
        <w:spacing w:before="160" w:after="60"/>
      </w:pPr>
      <w:r>
        <w:rPr>
          <w:rFonts w:ascii="Times New Roman" w:hAnsi="Times New Roman" w:eastAsia="黑体"/>
          <w:b/>
          <w:i w:val="0"/>
          <w:sz w:val="24"/>
        </w:rPr>
        <w:t>福利经济学的理论基础</w:t>
      </w:r>
    </w:p>
    <w:p>
      <w:pPr>
        <w:spacing w:line="360" w:lineRule="auto" w:after="0"/>
        <w:ind w:firstLine="425"/>
      </w:pPr>
      <w:r>
        <w:rPr>
          <w:rFonts w:ascii="Times New Roman" w:hAnsi="Times New Roman" w:eastAsia="宋体"/>
          <w:b w:val="0"/>
          <w:i w:val="0"/>
          <w:sz w:val="22"/>
        </w:rPr>
        <w:t>实时定价的经济学基础根植于福利经济学第一定理：在完全竞争和完全信息条件下，市场均衡实现帕累托效率。RTP通过让零售电价反映批发市场的边际成本，使电力市场接近完全竞争的理想状态。</w:t>
      </w:r>
    </w:p>
    <w:p>
      <w:pPr>
        <w:spacing w:line="360" w:lineRule="auto" w:after="0"/>
        <w:ind w:firstLine="425"/>
      </w:pPr>
      <w:r>
        <w:rPr>
          <w:rFonts w:ascii="Times New Roman" w:hAnsi="Times New Roman" w:eastAsia="宋体"/>
          <w:b/>
          <w:i w:val="0"/>
          <w:sz w:val="22"/>
        </w:rPr>
        <w:t>帕累托改进</w:t>
      </w:r>
      <w:r>
        <w:rPr>
          <w:rFonts w:ascii="Times New Roman" w:hAnsi="Times New Roman" w:eastAsia="宋体"/>
          <w:b w:val="0"/>
          <w:i w:val="0"/>
          <w:sz w:val="22"/>
        </w:rPr>
        <w:t>：从固定电价转向RTP是一个帕累托改进——在不损害任何参与者利益的前提下，至少有一方福利改善。然而，实际上RTP可能使部分用户（如低弹性用户）福利下降，因此需要补偿机制。</w:t>
      </w:r>
    </w:p>
    <w:p>
      <w:pPr>
        <w:spacing w:line="360" w:lineRule="auto" w:after="0"/>
        <w:ind w:firstLine="425"/>
      </w:pPr>
      <w:r>
        <w:rPr>
          <w:rFonts w:ascii="Times New Roman" w:hAnsi="Times New Roman" w:eastAsia="宋体"/>
          <w:b/>
          <w:i w:val="0"/>
          <w:sz w:val="22"/>
        </w:rPr>
        <w:t>卡尔多-希克斯效率</w:t>
      </w:r>
      <w:r>
        <w:rPr>
          <w:rFonts w:ascii="Times New Roman" w:hAnsi="Times New Roman" w:eastAsia="宋体"/>
          <w:b w:val="0"/>
          <w:i w:val="0"/>
          <w:sz w:val="22"/>
        </w:rPr>
        <w:t>：RTP的效率标准更符合卡尔多-希克斯效率——如果福利增加方的收益足以补偿福利减少方的损失，则RTP是效率改进的。Allcott（2012）的实证研究表明，RTP的总福利增量确实足以补偿受损方。</w:t>
      </w:r>
    </w:p>
    <w:p>
      <w:pPr>
        <w:pStyle w:val="Heading3"/>
        <w:spacing w:before="160" w:after="60"/>
      </w:pPr>
      <w:r>
        <w:rPr>
          <w:rFonts w:ascii="Times New Roman" w:hAnsi="Times New Roman" w:eastAsia="黑体"/>
          <w:b/>
          <w:i w:val="0"/>
          <w:sz w:val="24"/>
        </w:rPr>
        <w:t>实时定价的分配效应</w:t>
      </w:r>
    </w:p>
    <w:p>
      <w:pPr>
        <w:spacing w:line="360" w:lineRule="auto" w:after="0"/>
        <w:ind w:firstLine="425"/>
      </w:pPr>
      <w:r>
        <w:rPr>
          <w:rFonts w:ascii="Times New Roman" w:hAnsi="Times New Roman" w:eastAsia="宋体"/>
          <w:b w:val="0"/>
          <w:i w:val="0"/>
          <w:sz w:val="22"/>
        </w:rPr>
        <w:t>RTP的分配效应是一个重要的政策考量：</w:t>
      </w:r>
    </w:p>
    <w:p>
      <w:pPr>
        <w:spacing w:line="360" w:lineRule="auto" w:after="0"/>
        <w:ind w:firstLine="425"/>
      </w:pPr>
      <w:r>
        <w:rPr>
          <w:rFonts w:ascii="Times New Roman" w:hAnsi="Times New Roman" w:eastAsia="宋体"/>
          <w:b/>
          <w:i w:val="0"/>
          <w:sz w:val="22"/>
        </w:rPr>
        <w:t>用户间分配</w:t>
      </w:r>
      <w:r>
        <w:rPr>
          <w:rFonts w:ascii="Times New Roman" w:hAnsi="Times New Roman" w:eastAsia="宋体"/>
          <w:b w:val="0"/>
          <w:i w:val="0"/>
          <w:sz w:val="22"/>
        </w:rPr>
        <w:t>：高弹性用户（能够灵活调整用电）从RTP中受益，低弹性用户可能受损。这种分配效应与用户收入水平相关——低收入用户的用电弹性通常较低。</w:t>
      </w:r>
    </w:p>
    <w:p>
      <w:pPr>
        <w:spacing w:line="360" w:lineRule="auto" w:after="0"/>
        <w:ind w:firstLine="425"/>
      </w:pPr>
      <w:r>
        <w:rPr>
          <w:rFonts w:ascii="Times New Roman" w:hAnsi="Times New Roman" w:eastAsia="宋体"/>
          <w:b/>
          <w:i w:val="0"/>
          <w:sz w:val="22"/>
        </w:rPr>
        <w:t>时段间分配</w:t>
      </w:r>
      <w:r>
        <w:rPr>
          <w:rFonts w:ascii="Times New Roman" w:hAnsi="Times New Roman" w:eastAsia="宋体"/>
          <w:b w:val="0"/>
          <w:i w:val="0"/>
          <w:sz w:val="22"/>
        </w:rPr>
        <w:t>：RTP使用电从高峰时段转移到低谷时段。高峰时段的电费降低（因为总需求减少），低谷时段的电费可能上升（因为总需求增加）。但总体上，RTP降低了系统峰值，使用户总电费降低。</w:t>
      </w:r>
    </w:p>
    <w:p>
      <w:pPr>
        <w:spacing w:line="360" w:lineRule="auto" w:after="0"/>
        <w:ind w:firstLine="425"/>
      </w:pPr>
      <w:r>
        <w:rPr>
          <w:rFonts w:ascii="Times New Roman" w:hAnsi="Times New Roman" w:eastAsia="宋体"/>
          <w:b/>
          <w:i w:val="0"/>
          <w:sz w:val="22"/>
        </w:rPr>
        <w:t>利益相关者分配</w:t>
      </w:r>
      <w:r>
        <w:rPr>
          <w:rFonts w:ascii="Times New Roman" w:hAnsi="Times New Roman" w:eastAsia="宋体"/>
          <w:b w:val="0"/>
          <w:i w:val="0"/>
          <w:sz w:val="22"/>
        </w:rPr>
        <w:t>：RTP产生的效益在发电方、输电方、配电方、零售商和用户之间分配。合理的分配机制需要确保各方都有参与RTP的积极性。</w:t>
      </w:r>
    </w:p>
    <w:p>
      <w:pPr>
        <w:pStyle w:val="Heading3"/>
        <w:spacing w:before="160" w:after="60"/>
      </w:pPr>
      <w:r>
        <w:rPr>
          <w:rFonts w:ascii="Times New Roman" w:hAnsi="Times New Roman" w:eastAsia="黑体"/>
          <w:b/>
          <w:i w:val="0"/>
          <w:sz w:val="24"/>
        </w:rPr>
        <w:t>电力市场的网络约束与定价</w:t>
      </w:r>
    </w:p>
    <w:p>
      <w:pPr>
        <w:spacing w:line="360" w:lineRule="auto" w:after="0"/>
        <w:ind w:firstLine="425"/>
      </w:pPr>
      <w:r>
        <w:rPr>
          <w:rFonts w:ascii="Times New Roman" w:hAnsi="Times New Roman" w:eastAsia="宋体"/>
          <w:b w:val="0"/>
          <w:i w:val="0"/>
          <w:sz w:val="22"/>
        </w:rPr>
        <w:t>电力网络存在物理约束（如线路容量限制、电压约束），这些约束影响定价：</w:t>
      </w:r>
    </w:p>
    <w:p>
      <w:pPr>
        <w:spacing w:line="360" w:lineRule="auto" w:after="0"/>
        <w:ind w:firstLine="425"/>
      </w:pPr>
      <w:r>
        <w:rPr>
          <w:rFonts w:ascii="Times New Roman" w:hAnsi="Times New Roman" w:eastAsia="宋体"/>
          <w:b/>
          <w:i w:val="0"/>
          <w:sz w:val="22"/>
        </w:rPr>
        <w:t>节点边际电价（LMP）</w:t>
      </w:r>
      <w:r>
        <w:rPr>
          <w:rFonts w:ascii="Times New Roman" w:hAnsi="Times New Roman" w:eastAsia="宋体"/>
          <w:b w:val="0"/>
          <w:i w:val="0"/>
          <w:sz w:val="22"/>
        </w:rPr>
        <w:t>：在考虑网络约束的情况下，不同节点的电价不同。LMP = 系统边际能量价格 + 拥堵价格 + 网损价格。当线路拥堵时，拥堵价格非零，导致拥堵线路两端的电价差异。</w:t>
      </w:r>
    </w:p>
    <w:p>
      <w:pPr>
        <w:spacing w:line="360" w:lineRule="auto" w:after="0"/>
        <w:ind w:firstLine="425"/>
      </w:pPr>
      <w:r>
        <w:rPr>
          <w:rFonts w:ascii="Times New Roman" w:hAnsi="Times New Roman" w:eastAsia="宋体"/>
          <w:b/>
          <w:i w:val="0"/>
          <w:sz w:val="22"/>
        </w:rPr>
        <w:t>拥堵租金</w:t>
      </w:r>
      <w:r>
        <w:rPr>
          <w:rFonts w:ascii="Times New Roman" w:hAnsi="Times New Roman" w:eastAsia="宋体"/>
          <w:b w:val="0"/>
          <w:i w:val="0"/>
          <w:sz w:val="22"/>
        </w:rPr>
        <w:t>：LCP机制下，输电线路的拥堵产生了拥堵租金（输入端和输出端电价之差×输电量）。拥堵租金的分配是一个重要的市场设计问题。</w:t>
      </w:r>
    </w:p>
    <w:p>
      <w:pPr>
        <w:spacing w:line="360" w:lineRule="auto" w:after="0"/>
        <w:ind w:firstLine="425"/>
      </w:pPr>
      <w:r>
        <w:rPr>
          <w:rFonts w:ascii="Times New Roman" w:hAnsi="Times New Roman" w:eastAsia="宋体"/>
          <w:b/>
          <w:i w:val="0"/>
          <w:sz w:val="22"/>
        </w:rPr>
        <w:t>金融输电权（FTR）</w:t>
      </w:r>
      <w:r>
        <w:rPr>
          <w:rFonts w:ascii="Times New Roman" w:hAnsi="Times New Roman" w:eastAsia="宋体"/>
          <w:b w:val="0"/>
          <w:i w:val="0"/>
          <w:sz w:val="22"/>
        </w:rPr>
        <w:t>：FTR是拥堵租金的对冲工具。市场参与者通过购买FTR锁定输电路径的拥堵成本，降低价格不确定性。</w:t>
      </w:r>
    </w:p>
    <w:p>
      <w:pPr>
        <w:pStyle w:val="Heading3"/>
        <w:spacing w:before="160" w:after="60"/>
      </w:pPr>
      <w:r>
        <w:rPr>
          <w:rFonts w:ascii="Times New Roman" w:hAnsi="Times New Roman" w:eastAsia="黑体"/>
          <w:b/>
          <w:i w:val="0"/>
          <w:sz w:val="24"/>
        </w:rPr>
        <w:t>实时定价与电力市场力</w:t>
      </w:r>
    </w:p>
    <w:p>
      <w:pPr>
        <w:spacing w:line="360" w:lineRule="auto" w:after="0"/>
        <w:ind w:firstLine="425"/>
      </w:pPr>
      <w:r>
        <w:rPr>
          <w:rFonts w:ascii="Times New Roman" w:hAnsi="Times New Roman" w:eastAsia="宋体"/>
          <w:b w:val="0"/>
          <w:i w:val="0"/>
          <w:sz w:val="22"/>
        </w:rPr>
        <w:t>电力市场的特殊性使其容易出现市场力行使：</w:t>
      </w:r>
    </w:p>
    <w:p>
      <w:pPr>
        <w:spacing w:line="360" w:lineRule="auto" w:after="0"/>
        <w:ind w:firstLine="425"/>
      </w:pPr>
      <w:r>
        <w:rPr>
          <w:rFonts w:ascii="Times New Roman" w:hAnsi="Times New Roman" w:eastAsia="宋体"/>
          <w:b/>
          <w:i w:val="0"/>
          <w:sz w:val="22"/>
        </w:rPr>
        <w:t>必需性</w:t>
      </w:r>
      <w:r>
        <w:rPr>
          <w:rFonts w:ascii="Times New Roman" w:hAnsi="Times New Roman" w:eastAsia="宋体"/>
          <w:b w:val="0"/>
          <w:i w:val="0"/>
          <w:sz w:val="22"/>
        </w:rPr>
        <w:t>：电力是必需品，短期需求弹性极低。用户在短期无法减少用电，使得发电商可以行使市场力抬高价格。</w:t>
      </w:r>
    </w:p>
    <w:p>
      <w:pPr>
        <w:spacing w:line="360" w:lineRule="auto" w:after="0"/>
        <w:ind w:firstLine="425"/>
      </w:pPr>
      <w:r>
        <w:rPr>
          <w:rFonts w:ascii="Times New Roman" w:hAnsi="Times New Roman" w:eastAsia="宋体"/>
          <w:b/>
          <w:i w:val="0"/>
          <w:sz w:val="22"/>
        </w:rPr>
        <w:t>不可存储性</w:t>
      </w:r>
      <w:r>
        <w:rPr>
          <w:rFonts w:ascii="Times New Roman" w:hAnsi="Times New Roman" w:eastAsia="宋体"/>
          <w:b w:val="0"/>
          <w:i w:val="0"/>
          <w:sz w:val="22"/>
        </w:rPr>
        <w:t>：电力不可大规模存储，供需必须实时平衡。这使得电力市场没有库存缓冲，供需紧张时价格飙升。</w:t>
      </w:r>
    </w:p>
    <w:p>
      <w:pPr>
        <w:spacing w:line="360" w:lineRule="auto" w:after="0"/>
        <w:ind w:firstLine="425"/>
      </w:pPr>
      <w:r>
        <w:rPr>
          <w:rFonts w:ascii="Times New Roman" w:hAnsi="Times New Roman" w:eastAsia="宋体"/>
          <w:b/>
          <w:i w:val="0"/>
          <w:sz w:val="22"/>
        </w:rPr>
        <w:t>输电约束</w:t>
      </w:r>
      <w:r>
        <w:rPr>
          <w:rFonts w:ascii="Times New Roman" w:hAnsi="Times New Roman" w:eastAsia="宋体"/>
          <w:b w:val="0"/>
          <w:i w:val="0"/>
          <w:sz w:val="22"/>
        </w:rPr>
        <w:t>：输电约束限制了电力传输，创造了局部市场。在局部市场中，少数发电商可能具有市场支配地位。</w:t>
      </w:r>
    </w:p>
    <w:p>
      <w:pPr>
        <w:spacing w:line="360" w:lineRule="auto" w:after="0"/>
        <w:ind w:firstLine="425"/>
      </w:pPr>
      <w:r>
        <w:rPr>
          <w:rFonts w:ascii="Times New Roman" w:hAnsi="Times New Roman" w:eastAsia="宋体"/>
          <w:b/>
          <w:i w:val="0"/>
          <w:sz w:val="22"/>
        </w:rPr>
        <w:t>容量稀缺性</w:t>
      </w:r>
      <w:r>
        <w:rPr>
          <w:rFonts w:ascii="Times New Roman" w:hAnsi="Times New Roman" w:eastAsia="宋体"/>
          <w:b w:val="0"/>
          <w:i w:val="0"/>
          <w:sz w:val="22"/>
        </w:rPr>
        <w:t>：在峰荷时段，系统可能接近容量极限。此时边际机组（通常是效率最低的机组）决定价格，可能远高于平均成本。</w:t>
      </w:r>
    </w:p>
    <w:p>
      <w:pPr>
        <w:spacing w:line="360" w:lineRule="auto" w:after="0"/>
        <w:ind w:firstLine="425"/>
      </w:pPr>
      <w:r>
        <w:rPr>
          <w:rFonts w:ascii="Times New Roman" w:hAnsi="Times New Roman" w:eastAsia="宋体"/>
          <w:b w:val="0"/>
          <w:i w:val="0"/>
          <w:sz w:val="22"/>
        </w:rPr>
        <w:t>RTP通过提高需求弹性来缓解市场力问题。当用户能够通过DR响应价格变化时，发电商行使市场力的代价增加——抬高价格会导致需求下降，反而减少利润。</w:t>
      </w:r>
    </w:p>
    <w:p>
      <w:pPr>
        <w:pStyle w:val="Heading3"/>
        <w:spacing w:before="160" w:after="60"/>
      </w:pPr>
      <w:r>
        <w:rPr>
          <w:rFonts w:ascii="Times New Roman" w:hAnsi="Times New Roman" w:eastAsia="黑体"/>
          <w:b/>
          <w:i w:val="0"/>
          <w:sz w:val="24"/>
        </w:rPr>
        <w:t>实时定价的动态特性</w:t>
      </w:r>
    </w:p>
    <w:p>
      <w:pPr>
        <w:spacing w:line="360" w:lineRule="auto" w:after="0"/>
        <w:ind w:firstLine="425"/>
      </w:pPr>
      <w:r>
        <w:rPr>
          <w:rFonts w:ascii="Times New Roman" w:hAnsi="Times New Roman" w:eastAsia="宋体"/>
          <w:b w:val="0"/>
          <w:i w:val="0"/>
          <w:sz w:val="22"/>
        </w:rPr>
        <w:t>电力市场的动态特性使定价问题比静态模型更复杂：</w:t>
      </w:r>
    </w:p>
    <w:p>
      <w:pPr>
        <w:spacing w:line="360" w:lineRule="auto" w:after="0"/>
        <w:ind w:firstLine="425"/>
      </w:pPr>
      <w:r>
        <w:rPr>
          <w:rFonts w:ascii="Times New Roman" w:hAnsi="Times New Roman" w:eastAsia="宋体"/>
          <w:b/>
          <w:i w:val="0"/>
          <w:sz w:val="22"/>
        </w:rPr>
        <w:t>序列均衡</w:t>
      </w:r>
      <w:r>
        <w:rPr>
          <w:rFonts w:ascii="Times New Roman" w:hAnsi="Times New Roman" w:eastAsia="宋体"/>
          <w:b w:val="0"/>
          <w:i w:val="0"/>
          <w:sz w:val="22"/>
        </w:rPr>
        <w:t>：在多时段定价中，当前价格影响未来负荷（通过储能充放电和用户习惯调整）。序列均衡要求价格路径满足所有时段的均衡条件。</w:t>
      </w:r>
    </w:p>
    <w:p>
      <w:pPr>
        <w:spacing w:line="360" w:lineRule="auto" w:after="0"/>
        <w:ind w:firstLine="425"/>
      </w:pPr>
      <w:r>
        <w:rPr>
          <w:rFonts w:ascii="Times New Roman" w:hAnsi="Times New Roman" w:eastAsia="宋体"/>
          <w:b/>
          <w:i w:val="0"/>
          <w:sz w:val="22"/>
        </w:rPr>
        <w:t>理性预期</w:t>
      </w:r>
      <w:r>
        <w:rPr>
          <w:rFonts w:ascii="Times New Roman" w:hAnsi="Times New Roman" w:eastAsia="宋体"/>
          <w:b w:val="0"/>
          <w:i w:val="0"/>
          <w:sz w:val="22"/>
        </w:rPr>
        <w:t>：用户需要预测未来价格来优化多时段用电。理性预期均衡要求用户的预期与实际价格一致。</w:t>
      </w:r>
    </w:p>
    <w:p>
      <w:pPr>
        <w:spacing w:line="360" w:lineRule="auto" w:after="0"/>
        <w:ind w:firstLine="425"/>
      </w:pPr>
      <w:r>
        <w:rPr>
          <w:rFonts w:ascii="Times New Roman" w:hAnsi="Times New Roman" w:eastAsia="宋体"/>
          <w:b/>
          <w:i w:val="0"/>
          <w:sz w:val="22"/>
        </w:rPr>
        <w:t>学习与适应</w:t>
      </w:r>
      <w:r>
        <w:rPr>
          <w:rFonts w:ascii="Times New Roman" w:hAnsi="Times New Roman" w:eastAsia="宋体"/>
          <w:b w:val="0"/>
          <w:i w:val="0"/>
          <w:sz w:val="22"/>
        </w:rPr>
        <w:t>：用户对RTP的理解和响应能力随时间提高。初始阶段用户响应可能较弱，随着经验积累，响应效果逐步改善。</w:t>
      </w:r>
    </w:p>
    <w:p>
      <w:pPr>
        <w:spacing w:line="360" w:lineRule="auto" w:after="0"/>
        <w:ind w:firstLine="425"/>
      </w:pPr>
      <w:r>
        <w:rPr>
          <w:rFonts w:ascii="Times New Roman" w:hAnsi="Times New Roman" w:eastAsia="宋体"/>
          <w:b/>
          <w:i w:val="0"/>
          <w:sz w:val="22"/>
        </w:rPr>
        <w:t>策略演化</w:t>
      </w:r>
      <w:r>
        <w:rPr>
          <w:rFonts w:ascii="Times New Roman" w:hAnsi="Times New Roman" w:eastAsia="宋体"/>
          <w:b w:val="0"/>
          <w:i w:val="0"/>
          <w:sz w:val="22"/>
        </w:rPr>
        <w:t>：零售商的定价策略在竞争中不断演化。演化博弈理论可以分析策略的长期演化路径。</w:t>
      </w:r>
    </w:p>
    <w:p>
      <w:pPr>
        <w:pStyle w:val="Heading2"/>
        <w:spacing w:before="240" w:after="80"/>
      </w:pPr>
      <w:r>
        <w:rPr>
          <w:rFonts w:ascii="Times New Roman" w:hAnsi="Times New Roman" w:eastAsia="黑体"/>
          <w:b/>
          <w:i w:val="0"/>
          <w:sz w:val="28"/>
        </w:rPr>
        <w:t>3.10 实时定价与可再生能源经济学</w:t>
      </w:r>
    </w:p>
    <w:p>
      <w:pPr>
        <w:pStyle w:val="Heading3"/>
        <w:spacing w:before="160" w:after="60"/>
      </w:pPr>
      <w:r>
        <w:rPr>
          <w:rFonts w:ascii="Times New Roman" w:hAnsi="Times New Roman" w:eastAsia="黑体"/>
          <w:b/>
          <w:i w:val="0"/>
          <w:sz w:val="24"/>
        </w:rPr>
        <w:t>可再生能源的零边际成本特性</w:t>
      </w:r>
    </w:p>
    <w:p>
      <w:pPr>
        <w:spacing w:line="360" w:lineRule="auto" w:after="0"/>
        <w:ind w:firstLine="425"/>
      </w:pPr>
      <w:r>
        <w:rPr>
          <w:rFonts w:ascii="Times New Roman" w:hAnsi="Times New Roman" w:eastAsia="宋体"/>
          <w:b w:val="0"/>
          <w:i w:val="0"/>
          <w:sz w:val="22"/>
        </w:rPr>
        <w:t>可再生能源（风电、光伏）的边际发电成本接近零（无燃料成本），这深刻影响了电力市场定价：</w:t>
      </w:r>
    </w:p>
    <w:p>
      <w:pPr>
        <w:spacing w:line="360" w:lineRule="auto" w:after="0"/>
        <w:ind w:firstLine="425"/>
      </w:pPr>
      <w:r>
        <w:rPr>
          <w:rFonts w:ascii="Times New Roman" w:hAnsi="Times New Roman" w:eastAsia="宋体"/>
          <w:b/>
          <w:i w:val="0"/>
          <w:sz w:val="22"/>
        </w:rPr>
        <w:t>价格压制效应</w:t>
      </w:r>
      <w:r>
        <w:rPr>
          <w:rFonts w:ascii="Times New Roman" w:hAnsi="Times New Roman" w:eastAsia="宋体"/>
          <w:b w:val="0"/>
          <w:i w:val="0"/>
          <w:sz w:val="22"/>
        </w:rPr>
        <w:t>：当可再生能源出力充沛时，边际机组从化石能源转向可再生能源，电价下降。在极端情况下（可再生能源出力远超需求），电价可降至零甚至负值。</w:t>
      </w:r>
    </w:p>
    <w:p>
      <w:pPr>
        <w:spacing w:line="360" w:lineRule="auto" w:after="0"/>
        <w:ind w:firstLine="425"/>
      </w:pPr>
      <w:r>
        <w:rPr>
          <w:rFonts w:ascii="Times New Roman" w:hAnsi="Times New Roman" w:eastAsia="宋体"/>
          <w:b/>
          <w:i w:val="0"/>
          <w:sz w:val="22"/>
        </w:rPr>
        <w:t>收入蚕食效应</w:t>
      </w:r>
      <w:r>
        <w:rPr>
          <w:rFonts w:ascii="Times New Roman" w:hAnsi="Times New Roman" w:eastAsia="宋体"/>
          <w:b w:val="0"/>
          <w:i w:val="0"/>
          <w:sz w:val="22"/>
        </w:rPr>
        <w:t>：可再生能源的大量接入压低了电价，包括可再生能源自身的收入。这是可再生能源投资面临的经济挑战。</w:t>
      </w:r>
    </w:p>
    <w:p>
      <w:pPr>
        <w:spacing w:line="360" w:lineRule="auto" w:after="0"/>
        <w:ind w:firstLine="425"/>
      </w:pPr>
      <w:r>
        <w:rPr>
          <w:rFonts w:ascii="Times New Roman" w:hAnsi="Times New Roman" w:eastAsia="宋体"/>
          <w:b/>
          <w:i w:val="0"/>
          <w:sz w:val="22"/>
        </w:rPr>
        <w:t>容量价值问题</w:t>
      </w:r>
      <w:r>
        <w:rPr>
          <w:rFonts w:ascii="Times New Roman" w:hAnsi="Times New Roman" w:eastAsia="宋体"/>
          <w:b w:val="0"/>
          <w:i w:val="0"/>
          <w:sz w:val="22"/>
        </w:rPr>
        <w:t>：可再生能源的容量可信度（Capacity Credit）低（因为出力不确定），在容量稀缺时无法提供可靠的容量支撑。这影响了容量市场的定价。</w:t>
      </w:r>
    </w:p>
    <w:p>
      <w:pPr>
        <w:pStyle w:val="Heading3"/>
        <w:spacing w:before="160" w:after="60"/>
      </w:pPr>
      <w:r>
        <w:rPr>
          <w:rFonts w:ascii="Times New Roman" w:hAnsi="Times New Roman" w:eastAsia="黑体"/>
          <w:b/>
          <w:i w:val="0"/>
          <w:sz w:val="24"/>
        </w:rPr>
        <w:t>可再生能源补贴与定价</w:t>
      </w:r>
    </w:p>
    <w:p>
      <w:pPr>
        <w:spacing w:line="360" w:lineRule="auto" w:after="0"/>
        <w:ind w:firstLine="425"/>
      </w:pPr>
      <w:r>
        <w:rPr>
          <w:rFonts w:ascii="Times New Roman" w:hAnsi="Times New Roman" w:eastAsia="宋体"/>
          <w:b w:val="0"/>
          <w:i w:val="0"/>
          <w:sz w:val="22"/>
        </w:rPr>
        <w:t>可再生能源补贴政策影响定价机制：</w:t>
      </w:r>
    </w:p>
    <w:p>
      <w:pPr>
        <w:spacing w:line="360" w:lineRule="auto" w:after="0"/>
        <w:ind w:firstLine="425"/>
      </w:pPr>
      <w:r>
        <w:rPr>
          <w:rFonts w:ascii="Times New Roman" w:hAnsi="Times New Roman" w:eastAsia="宋体"/>
          <w:b/>
          <w:i w:val="0"/>
          <w:sz w:val="22"/>
        </w:rPr>
        <w:t>上网电价补贴（FIT）</w:t>
      </w:r>
      <w:r>
        <w:rPr>
          <w:rFonts w:ascii="Times New Roman" w:hAnsi="Times New Roman" w:eastAsia="宋体"/>
          <w:b w:val="0"/>
          <w:i w:val="0"/>
          <w:sz w:val="22"/>
        </w:rPr>
        <w:t>：政府以固定价格收购可再生能源发电，补贴差额。FIT使可再生能源不参与市场定价，扭曲了价格信号。</w:t>
      </w:r>
    </w:p>
    <w:p>
      <w:pPr>
        <w:spacing w:line="360" w:lineRule="auto" w:after="0"/>
        <w:ind w:firstLine="425"/>
      </w:pPr>
      <w:r>
        <w:rPr>
          <w:rFonts w:ascii="Times New Roman" w:hAnsi="Times New Roman" w:eastAsia="宋体"/>
          <w:b/>
          <w:i w:val="0"/>
          <w:sz w:val="22"/>
        </w:rPr>
        <w:t>可再生能源配额制（RPS）</w:t>
      </w:r>
      <w:r>
        <w:rPr>
          <w:rFonts w:ascii="Times New Roman" w:hAnsi="Times New Roman" w:eastAsia="宋体"/>
          <w:b w:val="0"/>
          <w:i w:val="0"/>
          <w:sz w:val="22"/>
        </w:rPr>
        <w:t>：要求电力供应商提供一定比例的可再生能源电力。RPS通过绿证交易实现，绿证价格成为可再生能源的环境价值信号。</w:t>
      </w:r>
    </w:p>
    <w:p>
      <w:pPr>
        <w:spacing w:line="360" w:lineRule="auto" w:after="0"/>
        <w:ind w:firstLine="425"/>
      </w:pPr>
      <w:r>
        <w:rPr>
          <w:rFonts w:ascii="Times New Roman" w:hAnsi="Times New Roman" w:eastAsia="宋体"/>
          <w:b/>
          <w:i w:val="0"/>
          <w:sz w:val="22"/>
        </w:rPr>
        <w:t>市场溢价补贴</w:t>
      </w:r>
      <w:r>
        <w:rPr>
          <w:rFonts w:ascii="Times New Roman" w:hAnsi="Times New Roman" w:eastAsia="宋体"/>
          <w:b w:val="0"/>
          <w:i w:val="0"/>
          <w:sz w:val="22"/>
        </w:rPr>
        <w:t>：可再生能源参与市场定价，政府额外提供市场溢价补贴。这种方式保留了市场价格信号，同时为可再生能源提供激励。</w:t>
      </w:r>
    </w:p>
    <w:p>
      <w:pPr>
        <w:pStyle w:val="Heading3"/>
        <w:spacing w:before="160" w:after="60"/>
      </w:pPr>
      <w:r>
        <w:rPr>
          <w:rFonts w:ascii="Times New Roman" w:hAnsi="Times New Roman" w:eastAsia="黑体"/>
          <w:b/>
          <w:i w:val="0"/>
          <w:sz w:val="24"/>
        </w:rPr>
        <w:t>储能的经济学与定价</w:t>
      </w:r>
    </w:p>
    <w:p>
      <w:pPr>
        <w:spacing w:line="360" w:lineRule="auto" w:after="0"/>
        <w:ind w:firstLine="425"/>
      </w:pPr>
      <w:r>
        <w:rPr>
          <w:rFonts w:ascii="Times New Roman" w:hAnsi="Times New Roman" w:eastAsia="宋体"/>
          <w:b w:val="0"/>
          <w:i w:val="0"/>
          <w:sz w:val="22"/>
        </w:rPr>
        <w:t>储能系统在实时定价中扮演多重角色：</w:t>
      </w:r>
    </w:p>
    <w:p>
      <w:pPr>
        <w:spacing w:line="360" w:lineRule="auto" w:after="0"/>
        <w:ind w:firstLine="425"/>
      </w:pPr>
      <w:r>
        <w:rPr>
          <w:rFonts w:ascii="Times New Roman" w:hAnsi="Times New Roman" w:eastAsia="宋体"/>
          <w:b/>
          <w:i w:val="0"/>
          <w:sz w:val="22"/>
        </w:rPr>
        <w:t>套利</w:t>
      </w:r>
      <w:r>
        <w:rPr>
          <w:rFonts w:ascii="Times New Roman" w:hAnsi="Times New Roman" w:eastAsia="宋体"/>
          <w:b w:val="0"/>
          <w:i w:val="0"/>
          <w:sz w:val="22"/>
        </w:rPr>
        <w:t>：在低价时段充电、高价时段放电，赚取价差。套利收入是储能的主要收入来源之一。</w:t>
      </w:r>
    </w:p>
    <w:p>
      <w:pPr>
        <w:spacing w:line="360" w:lineRule="auto" w:after="0"/>
        <w:ind w:firstLine="425"/>
      </w:pPr>
      <w:r>
        <w:rPr>
          <w:rFonts w:ascii="Times New Roman" w:hAnsi="Times New Roman" w:eastAsia="宋体"/>
          <w:b/>
          <w:i w:val="0"/>
          <w:sz w:val="22"/>
        </w:rPr>
        <w:t>容量价值</w:t>
      </w:r>
      <w:r>
        <w:rPr>
          <w:rFonts w:ascii="Times New Roman" w:hAnsi="Times New Roman" w:eastAsia="宋体"/>
          <w:b w:val="0"/>
          <w:i w:val="0"/>
          <w:sz w:val="22"/>
        </w:rPr>
        <w:t>：储能可以在系统峰荷时段放电，相当于提供了容量。容量价值是储能的另一重要收入来源。</w:t>
      </w:r>
    </w:p>
    <w:p>
      <w:pPr>
        <w:spacing w:line="360" w:lineRule="auto" w:after="0"/>
        <w:ind w:firstLine="425"/>
      </w:pPr>
      <w:r>
        <w:rPr>
          <w:rFonts w:ascii="Times New Roman" w:hAnsi="Times New Roman" w:eastAsia="宋体"/>
          <w:b/>
          <w:i w:val="0"/>
          <w:sz w:val="22"/>
        </w:rPr>
        <w:t>辅助服务</w:t>
      </w:r>
      <w:r>
        <w:rPr>
          <w:rFonts w:ascii="Times New Roman" w:hAnsi="Times New Roman" w:eastAsia="宋体"/>
          <w:b w:val="0"/>
          <w:i w:val="0"/>
          <w:sz w:val="22"/>
        </w:rPr>
        <w:t>：储能可以提供频率调节、电压支持等辅助服务，获得辅助服务收入。</w:t>
      </w:r>
    </w:p>
    <w:p>
      <w:pPr>
        <w:spacing w:line="360" w:lineRule="auto" w:after="0"/>
        <w:ind w:firstLine="425"/>
      </w:pPr>
      <w:r>
        <w:rPr>
          <w:rFonts w:ascii="Times New Roman" w:hAnsi="Times New Roman" w:eastAsia="宋体"/>
          <w:b/>
          <w:i w:val="0"/>
          <w:sz w:val="22"/>
        </w:rPr>
        <w:t>定价影响</w:t>
      </w:r>
      <w:r>
        <w:rPr>
          <w:rFonts w:ascii="Times New Roman" w:hAnsi="Times New Roman" w:eastAsia="宋体"/>
          <w:b w:val="0"/>
          <w:i w:val="0"/>
          <w:sz w:val="22"/>
        </w:rPr>
        <w:t>：大规模储能的引入可以平抑价格波动（低价时充电推高价格，高价时放电降低价格），使电价曲线更加平滑。</w:t>
      </w:r>
    </w:p>
    <w:p>
      <w:pPr>
        <w:pStyle w:val="Heading2"/>
        <w:spacing w:before="240" w:after="80"/>
      </w:pPr>
      <w:r>
        <w:rPr>
          <w:rFonts w:ascii="Times New Roman" w:hAnsi="Times New Roman" w:eastAsia="黑体"/>
          <w:b/>
          <w:i w:val="0"/>
          <w:sz w:val="28"/>
        </w:rPr>
        <w:t>3.11 智能电网架构的技术深化</w:t>
      </w:r>
    </w:p>
    <w:p>
      <w:pPr>
        <w:pStyle w:val="Heading3"/>
        <w:spacing w:before="160" w:after="60"/>
      </w:pPr>
      <w:r>
        <w:rPr>
          <w:rFonts w:ascii="Times New Roman" w:hAnsi="Times New Roman" w:eastAsia="黑体"/>
          <w:b/>
          <w:i w:val="0"/>
          <w:sz w:val="24"/>
        </w:rPr>
        <w:t>通信网络架构的分层设计</w:t>
      </w:r>
    </w:p>
    <w:p>
      <w:pPr>
        <w:spacing w:line="360" w:lineRule="auto" w:after="0"/>
        <w:ind w:firstLine="425"/>
      </w:pPr>
      <w:r>
        <w:rPr>
          <w:rFonts w:ascii="Times New Roman" w:hAnsi="Times New Roman" w:eastAsia="宋体"/>
          <w:b w:val="0"/>
          <w:i w:val="0"/>
          <w:sz w:val="22"/>
        </w:rPr>
        <w:t>智能电网的通信网络采用分层架构设计，包括家庭区域网络（HAN）、邻域区域网络（NAN）和广域区域网络（WAN）。HAN覆盖单个家庭内部设备通信，通常采用ZigBee、Wi-Fi或蓝牙等短距离通信协议，负责智能家电控制和用电数据采集。NAN连接多个HAN与数据汇聚单元，采用PLC（电力线通信）、RF Mesh或LTE等中距离通信技术。WAN负责数据汇聚单元与控制中心之间的远距离通信，采用光纤、微波或蜂窝网络。</w:t>
      </w:r>
    </w:p>
    <w:p>
      <w:pPr>
        <w:spacing w:line="360" w:lineRule="auto" w:after="0"/>
        <w:ind w:firstLine="425"/>
      </w:pPr>
      <w:r>
        <w:rPr>
          <w:rFonts w:ascii="Times New Roman" w:hAnsi="Times New Roman" w:eastAsia="宋体"/>
          <w:b w:val="0"/>
          <w:i w:val="0"/>
          <w:sz w:val="22"/>
        </w:rPr>
        <w:t>实时定价对通信网络的关键性能指标有严格要求：端到端延迟应低于1秒（以支持5分钟级别的价格更新），数据可靠性应达到99.99%（避免价格信号丢失导致的决策错误），网络覆盖应达到100%（确保所有用户都能接收实时价格）。这些要求推动了5G和物联网技术在智能电网中的应用。</w:t>
      </w:r>
    </w:p>
    <w:p>
      <w:pPr>
        <w:spacing w:line="360" w:lineRule="auto" w:after="0"/>
        <w:ind w:firstLine="425"/>
      </w:pPr>
      <w:r>
        <w:rPr>
          <w:rFonts w:ascii="Times New Roman" w:hAnsi="Times New Roman" w:eastAsia="宋体"/>
          <w:b w:val="0"/>
          <w:i w:val="0"/>
          <w:sz w:val="22"/>
        </w:rPr>
        <w:t>5G网络的超低延迟（URLLC）和高带宽特性为实时定价提供了理想通信基础。网络切片技术可以为电力定价业务分配专用网络资源，确保服务质量。边缘计算将数据处理下沉到网络边缘，降低了数据传输延迟和中心服务器负载。这些技术的融合使得毫秒级实时定价成为可能。</w:t>
      </w:r>
    </w:p>
    <w:p>
      <w:pPr>
        <w:pStyle w:val="Heading3"/>
        <w:spacing w:before="160" w:after="60"/>
      </w:pPr>
      <w:r>
        <w:rPr>
          <w:rFonts w:ascii="Times New Roman" w:hAnsi="Times New Roman" w:eastAsia="黑体"/>
          <w:b/>
          <w:i w:val="0"/>
          <w:sz w:val="24"/>
        </w:rPr>
        <w:t>高级量测体系（AMI）的深度分析</w:t>
      </w:r>
    </w:p>
    <w:p>
      <w:pPr>
        <w:spacing w:line="360" w:lineRule="auto" w:after="0"/>
        <w:ind w:firstLine="425"/>
      </w:pPr>
      <w:r>
        <w:rPr>
          <w:rFonts w:ascii="Times New Roman" w:hAnsi="Times New Roman" w:eastAsia="宋体"/>
          <w:b w:val="0"/>
          <w:i w:val="0"/>
          <w:sz w:val="22"/>
        </w:rPr>
        <w:t>高级量测体系是智能电网实时定价的物理基础，由智能电表、数据汇聚单元、通信网络和头端系统组成。智能电表不仅记录用电量，还支持多种高级功能：间隔数据采集（15分钟或更短）、远程通断控制、电能质量监测、窃电检测等。</w:t>
      </w:r>
    </w:p>
    <w:p>
      <w:pPr>
        <w:spacing w:line="360" w:lineRule="auto" w:after="0"/>
        <w:ind w:firstLine="425"/>
      </w:pPr>
      <w:r>
        <w:rPr>
          <w:rFonts w:ascii="Times New Roman" w:hAnsi="Times New Roman" w:eastAsia="宋体"/>
          <w:b w:val="0"/>
          <w:i w:val="0"/>
          <w:sz w:val="22"/>
        </w:rPr>
        <w:t>智能电表数据的时空粒度直接影响实时定价的效果。15分钟间隔数据是当前标准配置，但对于快速响应负荷（如电动汽车充电），可能需要1分钟甚至更短间隔的数据。数据的空间粒度决定了定价的精细程度：从系统级单一价格到节点级LMP，再到用户级个性化价格，数据粒度的提升带来了定价效率的提高，但也增加了系统复杂度。</w:t>
      </w:r>
    </w:p>
    <w:p>
      <w:pPr>
        <w:spacing w:line="360" w:lineRule="auto" w:after="0"/>
        <w:ind w:firstLine="425"/>
      </w:pPr>
      <w:r>
        <w:rPr>
          <w:rFonts w:ascii="Times New Roman" w:hAnsi="Times New Roman" w:eastAsia="宋体"/>
          <w:b w:val="0"/>
          <w:i w:val="0"/>
          <w:sz w:val="22"/>
        </w:rPr>
        <w:t>数据质量管理是AMI运维的关键环节。智能电表数据可能存在缺失、异常、延迟等问题，需要通过数据清洗和插补算法进行预处理。异常检测算法（如基于孤立森林或自编码器的方法）能够自动识别设备故障或数据篡改。数据插补方法（如KNN插补、矩阵分解）可以在数据缺失时恢复合理的估计值。</w:t>
      </w:r>
    </w:p>
    <w:p>
      <w:pPr>
        <w:pStyle w:val="Heading3"/>
        <w:spacing w:before="160" w:after="60"/>
      </w:pPr>
      <w:r>
        <w:rPr>
          <w:rFonts w:ascii="Times New Roman" w:hAnsi="Times New Roman" w:eastAsia="黑体"/>
          <w:b/>
          <w:i w:val="0"/>
          <w:sz w:val="24"/>
        </w:rPr>
        <w:t>需求响应资源的技术分类</w:t>
      </w:r>
    </w:p>
    <w:p>
      <w:pPr>
        <w:spacing w:line="360" w:lineRule="auto" w:after="0"/>
        <w:ind w:firstLine="425"/>
      </w:pPr>
      <w:r>
        <w:rPr>
          <w:rFonts w:ascii="Times New Roman" w:hAnsi="Times New Roman" w:eastAsia="宋体"/>
          <w:b w:val="0"/>
          <w:i w:val="0"/>
          <w:sz w:val="22"/>
        </w:rPr>
        <w:t>需求响应资源按照响应特性可分为自动型和手动型两大类。自动型需求响应通过信号自动触发设备状态切换，响应速度快（秒级到分钟级），但需要设备具备通信和控制接口。手动型需求响应依赖用户根据价格信号手动调整用电行为，响应速度慢（分钟级到小时级），但无需额外硬件投资。</w:t>
      </w:r>
    </w:p>
    <w:p>
      <w:pPr>
        <w:spacing w:line="360" w:lineRule="auto" w:after="0"/>
        <w:ind w:firstLine="425"/>
      </w:pPr>
      <w:r>
        <w:rPr>
          <w:rFonts w:ascii="Times New Roman" w:hAnsi="Times New Roman" w:eastAsia="宋体"/>
          <w:b w:val="0"/>
          <w:i w:val="0"/>
          <w:sz w:val="22"/>
        </w:rPr>
        <w:t>按照响应的确定性，需求响应可分为确定性资源和不确定性资源。确定性资源（如工业大用户的生产计划调整）的响应量可提前确定，适合参与日前市场。不确定性资源（如居民空调负荷）的响应量受用户行为、天气等因素影响，存在较大随机性，需要通过统计建模和风险管理来处理。</w:t>
      </w:r>
    </w:p>
    <w:p>
      <w:pPr>
        <w:spacing w:line="360" w:lineRule="auto" w:after="0"/>
        <w:ind w:firstLine="425"/>
      </w:pPr>
      <w:r>
        <w:rPr>
          <w:rFonts w:ascii="Times New Roman" w:hAnsi="Times New Roman" w:eastAsia="宋体"/>
          <w:b w:val="0"/>
          <w:i w:val="0"/>
          <w:sz w:val="22"/>
        </w:rPr>
        <w:t>可调度潜力是评估需求响应资源价值的重要指标。它定义为在给定时间窗口内，负荷可以从基准水平下调（或上调）的最大幅度及其持续时间。可调度潜力评估需要考虑设备物理约束（如空调的温度上下限、电动汽车的出行需求）和用户舒适度约束。数据驱动的潜力评估方法利用历史用电数据和机器学习模型，能够更准确地预测各类负荷的可调度潜力。</w:t>
      </w:r>
    </w:p>
    <w:p>
      <w:pPr>
        <w:pStyle w:val="Heading3"/>
        <w:spacing w:before="160" w:after="60"/>
      </w:pPr>
      <w:r>
        <w:rPr>
          <w:rFonts w:ascii="Times New Roman" w:hAnsi="Times New Roman" w:eastAsia="黑体"/>
          <w:b/>
          <w:i w:val="0"/>
          <w:sz w:val="24"/>
        </w:rPr>
        <w:t>数据安全与隐私保护</w:t>
      </w:r>
    </w:p>
    <w:p>
      <w:pPr>
        <w:spacing w:line="360" w:lineRule="auto" w:after="0"/>
        <w:ind w:firstLine="425"/>
      </w:pPr>
      <w:r>
        <w:rPr>
          <w:rFonts w:ascii="Times New Roman" w:hAnsi="Times New Roman" w:eastAsia="宋体"/>
          <w:b w:val="0"/>
          <w:i w:val="0"/>
          <w:sz w:val="22"/>
        </w:rPr>
        <w:t>实时定价系统涉及大量用户用电数据，其安全性和隐私保护至关重要。用电数据可以揭示用户的日常生活模式（如作息时间、在家/外出状态），属于敏感个人信息。差分隐私技术通过在发布数据中添加校准噪声来保护个体隐私，但需要在隐私保护水平和数据可用性之间取得平衡。</w:t>
      </w:r>
    </w:p>
    <w:p>
      <w:pPr>
        <w:spacing w:line="360" w:lineRule="auto" w:after="0"/>
        <w:ind w:firstLine="425"/>
      </w:pPr>
      <w:r>
        <w:rPr>
          <w:rFonts w:ascii="Times New Roman" w:hAnsi="Times New Roman" w:eastAsia="宋体"/>
          <w:b w:val="0"/>
          <w:i w:val="0"/>
          <w:sz w:val="22"/>
        </w:rPr>
        <w:t>联邦学习为隐私保护的实时定价提供了新范式。各用户的智能电表在本地训练需求响应模型，仅将模型参数（而非原始数据）上传到中心服务器进行聚合。这种方法既利用了全局数据提升模型质量，又避免了原始数据离开用户设备。安全多方计算（MPC）和同态加密技术可以进一步保护模型参数传输过程中的隐私。</w:t>
      </w:r>
    </w:p>
    <w:p>
      <w:pPr>
        <w:spacing w:line="360" w:lineRule="auto" w:after="0"/>
        <w:ind w:firstLine="425"/>
      </w:pPr>
      <w:r>
        <w:rPr>
          <w:rFonts w:ascii="Times New Roman" w:hAnsi="Times New Roman" w:eastAsia="宋体"/>
          <w:b w:val="0"/>
          <w:i w:val="0"/>
          <w:sz w:val="22"/>
        </w:rPr>
        <w:t>网络安全威胁是实时定价系统面临的另一大挑战。虚假数据注入攻击（FDIA）可以通过篡改测量数据误导定价算法，导致异常电价。检测FDIA需要结合物理模型（如潮流方程一致性检查）和数据驱动方法（如异常检测算法）。区块链技术的不可篡改性为定价决策的审计追溯提供了技术保障。</w:t>
      </w:r>
    </w:p>
    <w:p>
      <w:pPr>
        <w:pStyle w:val="Heading2"/>
        <w:spacing w:before="240" w:after="80"/>
      </w:pPr>
      <w:r>
        <w:rPr>
          <w:rFonts w:ascii="Times New Roman" w:hAnsi="Times New Roman" w:eastAsia="黑体"/>
          <w:b/>
          <w:i w:val="0"/>
          <w:sz w:val="28"/>
        </w:rPr>
        <w:t>3.12 智能电网标准化与互操作性的技术深化</w:t>
      </w:r>
    </w:p>
    <w:p>
      <w:pPr>
        <w:pStyle w:val="Heading3"/>
        <w:spacing w:before="160" w:after="60"/>
      </w:pPr>
      <w:r>
        <w:rPr>
          <w:rFonts w:ascii="Times New Roman" w:hAnsi="Times New Roman" w:eastAsia="黑体"/>
          <w:b/>
          <w:i w:val="0"/>
          <w:sz w:val="24"/>
        </w:rPr>
        <w:t>国际标准体系比较</w:t>
      </w:r>
    </w:p>
    <w:p>
      <w:pPr>
        <w:spacing w:line="360" w:lineRule="auto" w:after="0"/>
        <w:ind w:firstLine="425"/>
      </w:pPr>
      <w:r>
        <w:rPr>
          <w:rFonts w:ascii="Times New Roman" w:hAnsi="Times New Roman" w:eastAsia="宋体"/>
          <w:b w:val="0"/>
          <w:i w:val="0"/>
          <w:sz w:val="22"/>
        </w:rPr>
        <w:t>智能电网的标准化工作由多个国际组织推进，形成了互补又竞争的标准体系。IEC（国际电工委员会）制定了包括IEC 61850（变电站自动化）、IEC 61968/61970（配电/输电管理系统CIM）、IEC 62351（网络安全）在内的完整标准族。IEC标准侧重于电力系统的专业需求，具有权威性和广泛采纳度。</w:t>
      </w:r>
    </w:p>
    <w:p>
      <w:pPr>
        <w:spacing w:line="360" w:lineRule="auto" w:after="0"/>
        <w:ind w:firstLine="425"/>
      </w:pPr>
      <w:r>
        <w:rPr>
          <w:rFonts w:ascii="Times New Roman" w:hAnsi="Times New Roman" w:eastAsia="宋体"/>
          <w:b w:val="0"/>
          <w:i w:val="0"/>
          <w:sz w:val="22"/>
        </w:rPr>
        <w:t>IEEE标准在通信协议领域具有影响力。IEEE 2030系列标准定义了智能电网互操作性参考架构，涵盖电力、通信和信息三个维度。IEEE 1547标准规定了分布式能源并网的技术要求，随着分布式光伏和储能的快速发展而不断更新。</w:t>
      </w:r>
    </w:p>
    <w:p>
      <w:pPr>
        <w:spacing w:line="360" w:lineRule="auto" w:after="0"/>
        <w:ind w:firstLine="425"/>
      </w:pPr>
      <w:r>
        <w:rPr>
          <w:rFonts w:ascii="Times New Roman" w:hAnsi="Times New Roman" w:eastAsia="宋体"/>
          <w:b w:val="0"/>
          <w:i w:val="0"/>
          <w:sz w:val="22"/>
        </w:rPr>
        <w:t>NIST（美国国家标准与技术研究院）通过智能电网互操作性框架（SGIP）协调美国国内的标准化工作。SGIP采用分类法（Catalog of Standards）方式评估和推荐标准，为标准选择提供了系统化方法。欧盟的M/490标准委托任务则从欧洲视角定义了智能电网标准化路线图。</w:t>
      </w:r>
    </w:p>
    <w:p>
      <w:pPr>
        <w:spacing w:line="360" w:lineRule="auto" w:after="0"/>
        <w:ind w:firstLine="425"/>
      </w:pPr>
      <w:r>
        <w:rPr>
          <w:rFonts w:ascii="Times New Roman" w:hAnsi="Times New Roman" w:eastAsia="宋体"/>
          <w:b w:val="0"/>
          <w:i w:val="0"/>
          <w:sz w:val="22"/>
        </w:rPr>
        <w:t>中国在国家电网公司和国家标准化管理委员会的推动下，建立了包括DL/T 698（电能信息采集）、DL/T 860（变电站通信网络和系统，等同IEC 61850）等在内的标准体系。中国标准在AMI和配电自动化领域具有特色，但在国际影响力方面仍有提升空间。</w:t>
      </w:r>
    </w:p>
    <w:p>
      <w:pPr>
        <w:pStyle w:val="Heading3"/>
        <w:spacing w:before="160" w:after="60"/>
      </w:pPr>
      <w:r>
        <w:rPr>
          <w:rFonts w:ascii="Times New Roman" w:hAnsi="Times New Roman" w:eastAsia="黑体"/>
          <w:b/>
          <w:i w:val="0"/>
          <w:sz w:val="24"/>
        </w:rPr>
        <w:t>开放ADR与需求响应通信标准</w:t>
      </w:r>
    </w:p>
    <w:p>
      <w:pPr>
        <w:spacing w:line="360" w:lineRule="auto" w:after="0"/>
        <w:ind w:firstLine="425"/>
      </w:pPr>
      <w:r>
        <w:rPr>
          <w:rFonts w:ascii="Times New Roman" w:hAnsi="Times New Roman" w:eastAsia="宋体"/>
          <w:b w:val="0"/>
          <w:i w:val="0"/>
          <w:sz w:val="22"/>
        </w:rPr>
        <w:t>开放自动需求响应（OpenADR）是需求响应通信的重要国际标准，由OpenADR联盟维护。OpenADR定义了DR信号的结构化传输协议，支持价格信号、激励信号和调度信号的标准化传递。</w:t>
      </w:r>
    </w:p>
    <w:p>
      <w:pPr>
        <w:spacing w:line="360" w:lineRule="auto" w:after="0"/>
        <w:ind w:firstLine="425"/>
      </w:pPr>
      <w:r>
        <w:rPr>
          <w:rFonts w:ascii="Times New Roman" w:hAnsi="Times New Roman" w:eastAsia="宋体"/>
          <w:b w:val="0"/>
          <w:i w:val="0"/>
          <w:sz w:val="22"/>
        </w:rPr>
        <w:t>OpenADR 2.0版本定义了两种配置文件：VTN（虚拟顶层节点，即DR服务器）和VEN（虚拟终端节点，即DR客户端）。VTN向VEN发送DR事件信号，VEN根据信号内容自动执行预编程的响应策略。OpenADR支持多种信号类型：价格信号（实时电价、分时电价）、Reliability信号（减负荷请求）、REGULATION信号（频率调节请求）等。</w:t>
      </w:r>
    </w:p>
    <w:p>
      <w:pPr>
        <w:spacing w:line="360" w:lineRule="auto" w:after="0"/>
        <w:ind w:firstLine="425"/>
      </w:pPr>
      <w:r>
        <w:rPr>
          <w:rFonts w:ascii="Times New Roman" w:hAnsi="Times New Roman" w:eastAsia="宋体"/>
          <w:b w:val="0"/>
          <w:i w:val="0"/>
          <w:sz w:val="22"/>
        </w:rPr>
        <w:t>OpenADR与IEC 61850的融合是当前标准化工作的重点。IEC 61850定义了变电站内部的通信模型，而OpenADR定义了DR信号的端到端传输。两者的融合可以实现从控制中心到终端设备的全链路标准化通信，降低系统集成成本。</w:t>
      </w:r>
    </w:p>
    <w:p>
      <w:pPr>
        <w:spacing w:line="360" w:lineRule="auto" w:after="0"/>
        <w:ind w:firstLine="425"/>
      </w:pPr>
      <w:r>
        <w:rPr>
          <w:rFonts w:ascii="Times New Roman" w:hAnsi="Times New Roman" w:eastAsia="宋体"/>
          <w:b w:val="0"/>
          <w:i w:val="0"/>
          <w:sz w:val="22"/>
        </w:rPr>
        <w:t>IEEE 2030.5（SEP 2.0）是另一种重要的智能能源通信协议，主要面向家庭能源管理系统（HEMS）。SEP 2.0定义了智能电表、智能恒温器、电动汽车充电桩等设备之间的通信接口，支持基于价格信号的自动需求响应。SEP 2.0与OpenADR的协调工作确保了从批发市场到零售用户的完整通信链路。</w:t>
      </w:r>
    </w:p>
    <w:p>
      <w:pPr>
        <w:pStyle w:val="Heading3"/>
        <w:spacing w:before="160" w:after="60"/>
      </w:pPr>
      <w:r>
        <w:rPr>
          <w:rFonts w:ascii="Times New Roman" w:hAnsi="Times New Roman" w:eastAsia="黑体"/>
          <w:b/>
          <w:i w:val="0"/>
          <w:sz w:val="24"/>
        </w:rPr>
        <w:t>数据模型与语义互操作性</w:t>
      </w:r>
    </w:p>
    <w:p>
      <w:pPr>
        <w:spacing w:line="360" w:lineRule="auto" w:after="0"/>
        <w:ind w:firstLine="425"/>
      </w:pPr>
      <w:r>
        <w:rPr>
          <w:rFonts w:ascii="Times New Roman" w:hAnsi="Times New Roman" w:eastAsia="宋体"/>
          <w:b w:val="0"/>
          <w:i w:val="0"/>
          <w:sz w:val="22"/>
        </w:rPr>
        <w:t>智能电网涉及多个系统和设备之间的数据交换，语义互操作性（即不同系统对数据含义的统一理解）是关键挑战。IEC 61968/61970定义的公共信息模型（CIM）是电力系统数据模型的国际标准。</w:t>
      </w:r>
    </w:p>
    <w:p>
      <w:pPr>
        <w:spacing w:line="360" w:lineRule="auto" w:after="0"/>
        <w:ind w:firstLine="425"/>
      </w:pPr>
      <w:r>
        <w:rPr>
          <w:rFonts w:ascii="Times New Roman" w:hAnsi="Times New Roman" w:eastAsia="宋体"/>
          <w:b w:val="0"/>
          <w:i w:val="0"/>
          <w:sz w:val="22"/>
        </w:rPr>
        <w:t>CIM采用面向对象建模方法，定义了电力系统实体（如变电站、线路、开关、负荷、发电机）的类层次结构及其关联关系。CIM的核心包包括Core（基本电力系统对象）、Wires（网络拓扑）、Generation（发电资源）、LoadModel（负荷特性）、Meas（测量）等。</w:t>
      </w:r>
    </w:p>
    <w:p>
      <w:pPr>
        <w:spacing w:line="360" w:lineRule="auto" w:after="0"/>
        <w:ind w:firstLine="425"/>
      </w:pPr>
      <w:r>
        <w:rPr>
          <w:rFonts w:ascii="Times New Roman" w:hAnsi="Times New Roman" w:eastAsia="宋体"/>
          <w:b w:val="0"/>
          <w:i w:val="0"/>
          <w:sz w:val="22"/>
        </w:rPr>
        <w:t>CIM的扩展机制允许在不修改核心模型的情况下添加领域特定扩展。例如，CIM for Dynamics扩展了动态模型（发电机动态参数、励磁系统参数），CIM for Markets扩展了市场相关概念（投标、结算、合同）。这种扩展机制使得CIM能够适应不断变化的业务需求。</w:t>
      </w:r>
    </w:p>
    <w:p>
      <w:pPr>
        <w:spacing w:line="360" w:lineRule="auto" w:after="0"/>
        <w:ind w:firstLine="425"/>
      </w:pPr>
      <w:r>
        <w:rPr>
          <w:rFonts w:ascii="Times New Roman" w:hAnsi="Times New Roman" w:eastAsia="宋体"/>
          <w:b w:val="0"/>
          <w:i w:val="0"/>
          <w:sz w:val="22"/>
        </w:rPr>
        <w:t>在实时定价场景中，CIM需要扩展以支持价格信号的标准化表示。当前CIM标准尚未定义实时电价的数据结构，这是一个需要标准化工作的空白。基于CIM扩展的定价信息模型可以确保不同供应商的定价系统之间的互操作性。</w:t>
      </w:r>
    </w:p>
    <w:p>
      <w:pPr>
        <w:pStyle w:val="Heading3"/>
        <w:spacing w:before="160" w:after="60"/>
      </w:pPr>
      <w:r>
        <w:rPr>
          <w:rFonts w:ascii="Times New Roman" w:hAnsi="Times New Roman" w:eastAsia="黑体"/>
          <w:b/>
          <w:i w:val="0"/>
          <w:sz w:val="24"/>
        </w:rPr>
        <w:t>边缘智能与雾计算</w:t>
      </w:r>
    </w:p>
    <w:p>
      <w:pPr>
        <w:spacing w:line="360" w:lineRule="auto" w:after="0"/>
        <w:ind w:firstLine="425"/>
      </w:pPr>
      <w:r>
        <w:rPr>
          <w:rFonts w:ascii="Times New Roman" w:hAnsi="Times New Roman" w:eastAsia="宋体"/>
          <w:b w:val="0"/>
          <w:i w:val="0"/>
          <w:sz w:val="22"/>
        </w:rPr>
        <w:t>随着智能电网设备数量的爆发式增长，将所有数据集中到云端处理面临带宽瓶颈和延迟问题。边缘计算将数据处理能力下沉到网络边缘（如智能电表、数据汇聚器、变电站网关），在本地完成数据分析和决策，仅将聚合结果或异常事件上传到云端。</w:t>
      </w:r>
    </w:p>
    <w:p>
      <w:pPr>
        <w:spacing w:line="360" w:lineRule="auto" w:after="0"/>
        <w:ind w:firstLine="425"/>
      </w:pPr>
      <w:r>
        <w:rPr>
          <w:rFonts w:ascii="Times New Roman" w:hAnsi="Times New Roman" w:eastAsia="宋体"/>
          <w:b w:val="0"/>
          <w:i w:val="0"/>
          <w:sz w:val="22"/>
        </w:rPr>
        <w:t>雾计算（Fog Computing）是边缘计算的扩展概念，强调边缘到云端之间的层次化计算架构。在实时定价中，雾计算架构可以实现：终端设备（智能电表）进行本地数据预处理和简单决策，边缘节点（数据汇聚器）进行区域级负荷预测和定价优化，云中心进行全局优化和策略协调。</w:t>
      </w:r>
    </w:p>
    <w:p>
      <w:pPr>
        <w:spacing w:line="360" w:lineRule="auto" w:after="0"/>
        <w:ind w:firstLine="425"/>
      </w:pPr>
      <w:r>
        <w:rPr>
          <w:rFonts w:ascii="Times New Roman" w:hAnsi="Times New Roman" w:eastAsia="宋体"/>
          <w:b w:val="0"/>
          <w:i w:val="0"/>
          <w:sz w:val="22"/>
        </w:rPr>
        <w:t>联邦学习在边缘计算架构下的实现是当前研究热点。各边缘节点在本地训练需求响应模型，仅将模型参数上传到云端进行聚合。这种方法既保护了用户数据隐私，又利用了全局数据提升模型质量。异步联邦学习允许各节点以不同频率参与训练，适应智能电网设备的异构通信能力。</w:t>
      </w:r>
    </w:p>
    <w:p>
      <w:pPr>
        <w:pStyle w:val="Heading3"/>
        <w:spacing w:before="160" w:after="60"/>
      </w:pPr>
      <w:r>
        <w:rPr>
          <w:rFonts w:ascii="Times New Roman" w:hAnsi="Times New Roman" w:eastAsia="黑体"/>
          <w:b/>
          <w:i w:val="0"/>
          <w:sz w:val="24"/>
        </w:rPr>
        <w:t>数字孪生与实时仿真</w:t>
      </w:r>
    </w:p>
    <w:p>
      <w:pPr>
        <w:spacing w:line="360" w:lineRule="auto" w:after="0"/>
        <w:ind w:firstLine="425"/>
      </w:pPr>
      <w:r>
        <w:rPr>
          <w:rFonts w:ascii="Times New Roman" w:hAnsi="Times New Roman" w:eastAsia="宋体"/>
          <w:b w:val="0"/>
          <w:i w:val="0"/>
          <w:sz w:val="22"/>
        </w:rPr>
        <w:t>数字孪生技术在智能电网中的应用正在从概念走向实践。电力系统数字孪生通过构建虚拟模型实时映射物理系统的状态和行为，为实时定价提供仿真验证和决策支持环境。</w:t>
      </w:r>
    </w:p>
    <w:p>
      <w:pPr>
        <w:spacing w:line="360" w:lineRule="auto" w:after="0"/>
        <w:ind w:firstLine="425"/>
      </w:pPr>
      <w:r>
        <w:rPr>
          <w:rFonts w:ascii="Times New Roman" w:hAnsi="Times New Roman" w:eastAsia="宋体"/>
          <w:b w:val="0"/>
          <w:i w:val="0"/>
          <w:sz w:val="22"/>
        </w:rPr>
        <w:t>数字孪生的实现需要多物理场仿真（电磁暂态、机电暂态、潮流计算）、数据驱动模型（机器学习预测模型）和实时数据采集的融合。电磁暂态仿真（如EMTP、PSCAD）捕捉微秒级的电磁动态，适用于开关操作和故障分析；机电暂态仿真（如PSS/E、DSATools）捕捉秒级的转子动态，适用于稳定性分析；潮流计算确定稳态运行点，是定价计算的基础。</w:t>
      </w:r>
    </w:p>
    <w:p>
      <w:pPr>
        <w:spacing w:line="360" w:lineRule="auto" w:after="0"/>
        <w:ind w:firstLine="425"/>
      </w:pPr>
      <w:r>
        <w:rPr>
          <w:rFonts w:ascii="Times New Roman" w:hAnsi="Times New Roman" w:eastAsia="宋体"/>
          <w:b w:val="0"/>
          <w:i w:val="0"/>
          <w:sz w:val="22"/>
        </w:rPr>
        <w:t>实时数字仿真器（RTDS）和硬件在环（HIL）测试是验证实时定价算法的重要工具。RTDS可以模拟电网的实时动态行为，HIL将实际控制设备连接到仿真器进行闭环测试。这种测试方法可以在不影响实际系统的情况下验证定价算法的鲁棒性和实时性。</w:t>
      </w:r>
    </w:p>
    <w:p>
      <w:pPr>
        <w:spacing w:line="360" w:lineRule="auto" w:after="0"/>
        <w:ind w:firstLine="425"/>
      </w:pPr>
      <w:r>
        <w:rPr>
          <w:rFonts w:ascii="Times New Roman" w:hAnsi="Times New Roman" w:eastAsia="宋体"/>
          <w:b w:val="0"/>
          <w:i w:val="0"/>
          <w:sz w:val="22"/>
        </w:rPr>
        <w:t>数字孪生的最终目标是实现预测性优化：通过数字孪生预测未来系统状态，提前优化定价策略。这需要数字孪生模型具有足够高的精度和计算效率，以及可靠的实时数据输入。基于物理-数据混合建模的数字孪生正在成为研究前沿，将物理定律的约束与数据驱动方法的灵活性相结合。</w:t>
      </w:r>
    </w:p>
    <w:p>
      <w:pPr>
        <w:pStyle w:val="Heading2"/>
        <w:spacing w:before="240" w:after="80"/>
      </w:pPr>
      <w:r>
        <w:rPr>
          <w:rFonts w:ascii="Times New Roman" w:hAnsi="Times New Roman" w:eastAsia="黑体"/>
          <w:b/>
          <w:i w:val="0"/>
          <w:sz w:val="28"/>
        </w:rPr>
        <w:t>3.13 智能电网通信与数据架构的前沿技术</w:t>
      </w:r>
    </w:p>
    <w:p>
      <w:pPr>
        <w:pStyle w:val="Heading3"/>
        <w:spacing w:before="160" w:after="60"/>
      </w:pPr>
      <w:r>
        <w:rPr>
          <w:rFonts w:ascii="Times New Roman" w:hAnsi="Times New Roman" w:eastAsia="黑体"/>
          <w:b/>
          <w:i w:val="0"/>
          <w:sz w:val="24"/>
        </w:rPr>
        <w:t>5G与未来6G在智能电网中的应用</w:t>
      </w:r>
    </w:p>
    <w:p>
      <w:pPr>
        <w:spacing w:line="360" w:lineRule="auto" w:after="0"/>
        <w:ind w:firstLine="425"/>
      </w:pPr>
      <w:r>
        <w:rPr>
          <w:rFonts w:ascii="Times New Roman" w:hAnsi="Times New Roman" w:eastAsia="宋体"/>
          <w:b w:val="0"/>
          <w:i w:val="0"/>
          <w:sz w:val="22"/>
        </w:rPr>
        <w:t>5G网络的三大特性——增强移动宽带（eMBB）、超可靠低延迟通信（URLLC）和大规模机器通信（mMTC）——与智能电网的通信需求高度匹配。URLLC支持毫秒级延迟和99.999%可靠性，满足实时定价对价格信号传输的严格时效性要求。mMTC支持每平方公里百万级设备连接，满足智能电表和传感器的大规模部署需求。</w:t>
      </w:r>
    </w:p>
    <w:p>
      <w:pPr>
        <w:spacing w:line="360" w:lineRule="auto" w:after="0"/>
        <w:ind w:firstLine="425"/>
      </w:pPr>
      <w:r>
        <w:rPr>
          <w:rFonts w:ascii="Times New Roman" w:hAnsi="Times New Roman" w:eastAsia="宋体"/>
          <w:b w:val="0"/>
          <w:i w:val="0"/>
          <w:sz w:val="22"/>
        </w:rPr>
        <w:t>网络切片技术为电力定价业务提供专用的虚拟网络资源。每个切片具有独立的带宽、延迟和可靠性保证，互不干扰。电力定价切片可以配置最高优先级和最低延迟，确保价格信号在任何网络拥塞情况下都能及时传输。</w:t>
      </w:r>
    </w:p>
    <w:p>
      <w:pPr>
        <w:spacing w:line="360" w:lineRule="auto" w:after="0"/>
        <w:ind w:firstLine="425"/>
      </w:pPr>
      <w:r>
        <w:rPr>
          <w:rFonts w:ascii="Times New Roman" w:hAnsi="Times New Roman" w:eastAsia="宋体"/>
          <w:b w:val="0"/>
          <w:i w:val="0"/>
          <w:sz w:val="22"/>
        </w:rPr>
        <w:t>5G边缘计算（MEC）将计算能力下沉到基站侧，使数据处理在数据源附近完成。在实时定价中，MEC可以实现智能电表数据的本地预处理（如异常检测、数据压缩），仅将聚合结果上传到中心服务器，大幅降低通信带宽需求和端到端延迟。</w:t>
      </w:r>
    </w:p>
    <w:p>
      <w:pPr>
        <w:spacing w:line="360" w:lineRule="auto" w:after="0"/>
        <w:ind w:firstLine="425"/>
      </w:pPr>
      <w:r>
        <w:rPr>
          <w:rFonts w:ascii="Times New Roman" w:hAnsi="Times New Roman" w:eastAsia="宋体"/>
          <w:b w:val="0"/>
          <w:i w:val="0"/>
          <w:sz w:val="22"/>
        </w:rPr>
        <w:t>6G网络预计在2030年前后商用，将带来更极致的性能：微秒级延迟、太赫兹通信、内生AI和数字孪生原生支持。6G的内生AI特性意味着网络本身具备AI计算能力，可以在网络层实现智能路由和资源调度。这为实时定价的极致精细化和实时化提供了通信基础。</w:t>
      </w:r>
    </w:p>
    <w:p>
      <w:pPr>
        <w:pStyle w:val="Heading3"/>
        <w:spacing w:before="160" w:after="60"/>
      </w:pPr>
      <w:r>
        <w:rPr>
          <w:rFonts w:ascii="Times New Roman" w:hAnsi="Times New Roman" w:eastAsia="黑体"/>
          <w:b/>
          <w:i w:val="0"/>
          <w:sz w:val="24"/>
        </w:rPr>
        <w:t>量子通信与电网安全</w:t>
      </w:r>
    </w:p>
    <w:p>
      <w:pPr>
        <w:spacing w:line="360" w:lineRule="auto" w:after="0"/>
        <w:ind w:firstLine="425"/>
      </w:pPr>
      <w:r>
        <w:rPr>
          <w:rFonts w:ascii="Times New Roman" w:hAnsi="Times New Roman" w:eastAsia="宋体"/>
          <w:b w:val="0"/>
          <w:i w:val="0"/>
          <w:sz w:val="22"/>
        </w:rPr>
        <w:t>量子通信技术为智能电网的通信安全提供了前所未有的保障。量子密钥分发（QKD）利用量子力学的不可克隆定理，实现了理论上无条件安全的密钥交换。任何窃听行为都会改变量子态，被通信双方检测到。</w:t>
      </w:r>
    </w:p>
    <w:p>
      <w:pPr>
        <w:spacing w:line="360" w:lineRule="auto" w:after="0"/>
        <w:ind w:firstLine="425"/>
      </w:pPr>
      <w:r>
        <w:rPr>
          <w:rFonts w:ascii="Times New Roman" w:hAnsi="Times New Roman" w:eastAsia="宋体"/>
          <w:b w:val="0"/>
          <w:i w:val="0"/>
          <w:sz w:val="22"/>
        </w:rPr>
        <w:t>中国在量子通信领域处于全球领先地位。"京沪干线"量子通信网络连接北京和上海，全长2,000公里，为沿线金融机构和政府部门提供安全通信服务。国家电网公司也在探索量子通信在电力调度和定价通信中的应用，特别是在跨区域输电和关键基础设施保护场景。</w:t>
      </w:r>
    </w:p>
    <w:p>
      <w:pPr>
        <w:spacing w:line="360" w:lineRule="auto" w:after="0"/>
        <w:ind w:firstLine="425"/>
      </w:pPr>
      <w:r>
        <w:rPr>
          <w:rFonts w:ascii="Times New Roman" w:hAnsi="Times New Roman" w:eastAsia="宋体"/>
          <w:b w:val="0"/>
          <w:i w:val="0"/>
          <w:sz w:val="22"/>
        </w:rPr>
        <w:t>量子随机数生成器（QRNG）利用量子态的随机性产生真随机数，比传统伪随机数生成器具有更高的安全保证。在实时定价中，QRNG可以用于加密密钥生成、安全协议握手和随机化算法的随机源。</w:t>
      </w:r>
    </w:p>
    <w:p>
      <w:pPr>
        <w:pStyle w:val="Heading3"/>
        <w:spacing w:before="160" w:after="60"/>
      </w:pPr>
      <w:r>
        <w:rPr>
          <w:rFonts w:ascii="Times New Roman" w:hAnsi="Times New Roman" w:eastAsia="黑体"/>
          <w:b/>
          <w:i w:val="0"/>
          <w:sz w:val="24"/>
        </w:rPr>
        <w:t>语义通信与智能网络</w:t>
      </w:r>
    </w:p>
    <w:p>
      <w:pPr>
        <w:spacing w:line="360" w:lineRule="auto" w:after="0"/>
        <w:ind w:firstLine="425"/>
      </w:pPr>
      <w:r>
        <w:rPr>
          <w:rFonts w:ascii="Times New Roman" w:hAnsi="Times New Roman" w:eastAsia="宋体"/>
          <w:b w:val="0"/>
          <w:i w:val="0"/>
          <w:sz w:val="22"/>
        </w:rPr>
        <w:t>语义通信是下一代通信技术的核心概念，不同于传统通信仅传输比特流，语义通信传输信息的"含义"，在接收端理解信息内容并做出响应。在智能电网中，语义通信可以实现：智能电表理解价格信号的含义并自动执行响应策略，而非仅接收数字数据。</w:t>
      </w:r>
    </w:p>
    <w:p>
      <w:pPr>
        <w:spacing w:line="360" w:lineRule="auto" w:after="0"/>
        <w:ind w:firstLine="425"/>
      </w:pPr>
      <w:r>
        <w:rPr>
          <w:rFonts w:ascii="Times New Roman" w:hAnsi="Times New Roman" w:eastAsia="宋体"/>
          <w:b w:val="0"/>
          <w:i w:val="0"/>
          <w:sz w:val="22"/>
        </w:rPr>
        <w:t>知识图谱技术为语义通信提供了知识表示和推理基础。电力系统知识图谱包含电网拓扑、设备参数、市场规则和用户行为等领域知识。智能设备通过查询知识图谱理解接收到的价格信号在当前上下文中的含义，做出更智能的响应。</w:t>
      </w:r>
    </w:p>
    <w:p>
      <w:pPr>
        <w:spacing w:line="360" w:lineRule="auto" w:after="0"/>
        <w:ind w:firstLine="425"/>
      </w:pPr>
      <w:r>
        <w:rPr>
          <w:rFonts w:ascii="Times New Roman" w:hAnsi="Times New Roman" w:eastAsia="宋体"/>
          <w:b w:val="0"/>
          <w:i w:val="0"/>
          <w:sz w:val="22"/>
        </w:rPr>
        <w:t>意图驱动网络（IBN）是语义通信在网络管理中的应用。管理员定义网络意图（如"确保定价信号的延迟低于1秒"），网络系统自动将意图转化为具体的配置参数和路由策略。IBN使得网络管理从手工配置转变为自动化意图实现，降低了运维复杂度。</w:t>
      </w:r>
    </w:p>
    <w:p>
      <w:pPr>
        <w:pStyle w:val="Heading3"/>
        <w:spacing w:before="160" w:after="60"/>
      </w:pPr>
      <w:r>
        <w:rPr>
          <w:rFonts w:ascii="Times New Roman" w:hAnsi="Times New Roman" w:eastAsia="黑体"/>
          <w:b/>
          <w:i w:val="0"/>
          <w:sz w:val="24"/>
        </w:rPr>
        <w:t>3.5.1 实时定价的市场效率分析</w:t>
      </w:r>
    </w:p>
    <w:p>
      <w:pPr>
        <w:spacing w:line="360" w:lineRule="auto" w:after="0"/>
        <w:ind w:firstLine="425"/>
      </w:pPr>
      <w:r>
        <w:rPr>
          <w:rFonts w:ascii="Times New Roman" w:hAnsi="Times New Roman" w:eastAsia="宋体"/>
          <w:b w:val="0"/>
          <w:i w:val="0"/>
          <w:sz w:val="22"/>
        </w:rPr>
        <w:t>实时定价的市场效率可通过多个维度进行评估。从资源配置效率来看，实时定价通过价格信号引导用户在供电充裕时多用电、在供电紧张时少用电，实现了电力资源的有效分配。理论分析表明，在完全竞争市场条件下，实时定价可实现社会福利最大化，即消费者剩余和生产者剩余之和达到最大。</w:t>
      </w:r>
    </w:p>
    <w:p>
      <w:pPr>
        <w:spacing w:line="360" w:lineRule="auto" w:after="0"/>
        <w:ind w:firstLine="425"/>
      </w:pPr>
      <w:r>
        <w:rPr>
          <w:rFonts w:ascii="Times New Roman" w:hAnsi="Times New Roman" w:eastAsia="宋体"/>
          <w:b w:val="0"/>
          <w:i w:val="0"/>
          <w:sz w:val="22"/>
        </w:rPr>
        <w:t>从投资效率来看，实时定价能够反映真实的供电成本，包括边际发电成本和网络约束成本，从而引导发电投资和负荷管理投资流向最高效的方向。峰谷电价差的存在使得峰荷发电机组获得足够的收益来覆盖其固定成本，同时激励用户投资需求响应技术和分布式能源。</w:t>
      </w:r>
    </w:p>
    <w:p>
      <w:pPr>
        <w:spacing w:line="360" w:lineRule="auto" w:after="0"/>
        <w:ind w:firstLine="425"/>
      </w:pPr>
      <w:r>
        <w:rPr>
          <w:rFonts w:ascii="Times New Roman" w:hAnsi="Times New Roman" w:eastAsia="宋体"/>
          <w:b w:val="0"/>
          <w:i w:val="0"/>
          <w:sz w:val="22"/>
        </w:rPr>
        <w:t>然而，实时定价的市场效率受到多种因素制约。用户的需求价格弹性是关键因素——弹性越高，实时定价的效率提升越显著。实证研究表明，居民用户的短期需求价格弹性通常在-0.1到-0.3之间，工业用户在-0.1到-0.5之间。这意味着实时定价可以带来5%到20%的峰荷削减。信息不对称、用户响应延迟和行为偏差等因素也会影响市场效率。</w:t>
      </w:r>
    </w:p>
    <w:p>
      <w:pPr>
        <w:pStyle w:val="Heading3"/>
        <w:spacing w:before="160" w:after="60"/>
      </w:pPr>
      <w:r>
        <w:rPr>
          <w:rFonts w:ascii="Times New Roman" w:hAnsi="Times New Roman" w:eastAsia="黑体"/>
          <w:b/>
          <w:i w:val="0"/>
          <w:sz w:val="24"/>
        </w:rPr>
        <w:t>3.5.2 分时定价与实时定价的过渡策略</w:t>
      </w:r>
    </w:p>
    <w:p>
      <w:pPr>
        <w:spacing w:line="360" w:lineRule="auto" w:after="0"/>
        <w:ind w:firstLine="425"/>
      </w:pPr>
      <w:r>
        <w:rPr>
          <w:rFonts w:ascii="Times New Roman" w:hAnsi="Times New Roman" w:eastAsia="宋体"/>
          <w:b w:val="0"/>
          <w:i w:val="0"/>
          <w:sz w:val="22"/>
        </w:rPr>
        <w:t>从分时定价过渡到实时定价是一个渐进过程。直接实施实时定价面临技术基础设施不足、用户接受度低和市场监管不完善等挑战。过渡策略通常包括三个阶段：第一阶段优化现有分时定价的峰谷时段划分和价差，使其更好地反映供电成本；第二阶段引入动态分时定价，根据负荷预测和可再生能源出力预测调整次日的峰谷时段和价格水平；第三阶段实施完全实时定价，价格随供需状况实时更新。</w:t>
      </w:r>
    </w:p>
    <w:p>
      <w:pPr>
        <w:spacing w:line="360" w:lineRule="auto" w:after="0"/>
        <w:ind w:firstLine="425"/>
      </w:pPr>
      <w:r>
        <w:rPr>
          <w:rFonts w:ascii="Times New Roman" w:hAnsi="Times New Roman" w:eastAsia="宋体"/>
          <w:b w:val="0"/>
          <w:i w:val="0"/>
          <w:sz w:val="22"/>
        </w:rPr>
        <w:t>韩国的阶梯式电价改革提供了有价值的经验。该国先实施三段式分时电价，然后引入季节性动态调整，最后在试点区域实施半实时定价。整个过程历时8年，用户接受度逐步提高。澳大利亚的AEMC也提出了类似的过渡路线图，强调用户保护和信息透明的重要性。</w:t>
      </w:r>
    </w:p>
    <w:p>
      <w:pPr>
        <w:spacing w:line="360" w:lineRule="auto" w:after="0"/>
        <w:ind w:firstLine="425"/>
      </w:pPr>
      <w:r>
        <w:rPr>
          <w:rFonts w:ascii="Times New Roman" w:hAnsi="Times New Roman" w:eastAsia="宋体"/>
          <w:b w:val="0"/>
          <w:i w:val="0"/>
          <w:sz w:val="22"/>
        </w:rPr>
        <w:t>过渡策略的设计需要考虑以下关键因素：智能电表的覆盖率、用户教育和沟通、价格波动风险管控机制、低收入用户的保护措施等。价格上限和价格保险等风险管理工具可以有效降低用户面临的价格波动风险。</w:t>
      </w:r>
    </w:p>
    <w:p>
      <w:pPr>
        <w:pStyle w:val="Heading3"/>
        <w:spacing w:before="160" w:after="60"/>
      </w:pPr>
      <w:r>
        <w:rPr>
          <w:rFonts w:ascii="Times New Roman" w:hAnsi="Times New Roman" w:eastAsia="黑体"/>
          <w:b/>
          <w:i w:val="0"/>
          <w:sz w:val="24"/>
        </w:rPr>
        <w:t>3.5.3 实时定价的国际实践比较</w:t>
      </w:r>
    </w:p>
    <w:p>
      <w:pPr>
        <w:spacing w:line="360" w:lineRule="auto" w:after="0"/>
        <w:ind w:firstLine="425"/>
      </w:pPr>
      <w:r>
        <w:rPr>
          <w:rFonts w:ascii="Times New Roman" w:hAnsi="Times New Roman" w:eastAsia="宋体"/>
          <w:b w:val="0"/>
          <w:i w:val="0"/>
          <w:sz w:val="22"/>
        </w:rPr>
        <w:t>从国际实践来看，各国在实时定价的实施路径上呈现出差异化特征。北欧电力市场（Nord Pool）依托丰富的水电资源，实时电价波动相对平缓，用户参与度较高。美国德州ERCOT市场则因独立电网特性，实时电价波动剧烈，极端天气下可达9,000美元/兆瓦时。这些实践为定价机制设计提供了重要参考。</w:t>
      </w:r>
    </w:p>
    <w:p>
      <w:pPr>
        <w:pStyle w:val="Heading3"/>
        <w:spacing w:before="160" w:after="60"/>
      </w:pPr>
      <w:r>
        <w:rPr>
          <w:rFonts w:ascii="Times New Roman" w:hAnsi="Times New Roman" w:eastAsia="黑体"/>
          <w:b/>
          <w:i w:val="0"/>
          <w:sz w:val="24"/>
        </w:rPr>
        <w:t>3.5.4 电力市场的价格形成机制比较</w:t>
      </w:r>
    </w:p>
    <w:p>
      <w:pPr>
        <w:spacing w:line="360" w:lineRule="auto" w:after="0"/>
        <w:ind w:firstLine="425"/>
      </w:pPr>
      <w:r>
        <w:rPr>
          <w:rFonts w:ascii="Times New Roman" w:hAnsi="Times New Roman" w:eastAsia="宋体"/>
          <w:b w:val="0"/>
          <w:i w:val="0"/>
          <w:sz w:val="22"/>
        </w:rPr>
        <w:t>电力市场的价格形成机制是实时定价的制度基础。不同的市场结构决定了不同的价格形成方式和定价效率。全球电力市场主要采用以下几种价格形成机制。</w:t>
      </w:r>
    </w:p>
    <w:p>
      <w:pPr>
        <w:spacing w:line="360" w:lineRule="auto" w:after="0"/>
        <w:ind w:firstLine="425"/>
      </w:pPr>
      <w:r>
        <w:rPr>
          <w:rFonts w:ascii="Times New Roman" w:hAnsi="Times New Roman" w:eastAsia="宋体"/>
          <w:b/>
          <w:i w:val="0"/>
          <w:sz w:val="22"/>
        </w:rPr>
        <w:t>统一定价机制（Uniform Pricing）</w:t>
      </w:r>
      <w:r>
        <w:rPr>
          <w:rFonts w:ascii="Times New Roman" w:hAnsi="Times New Roman" w:eastAsia="宋体"/>
          <w:b w:val="0"/>
          <w:i w:val="0"/>
          <w:sz w:val="22"/>
        </w:rPr>
        <w:t>：所有中标的发电机组按系统边际价格结算。这种机制简单透明，激励发电机组报出真实成本，是大多数日前市场和实时市场采用的机制。在统一定价下，实时电价等于系统边际机组的报价。</w:t>
      </w:r>
    </w:p>
    <w:p>
      <w:pPr>
        <w:spacing w:line="360" w:lineRule="auto" w:after="0"/>
        <w:ind w:firstLine="425"/>
      </w:pPr>
      <w:r>
        <w:rPr>
          <w:rFonts w:ascii="Times New Roman" w:hAnsi="Times New Roman" w:eastAsia="宋体"/>
          <w:b/>
          <w:i w:val="0"/>
          <w:sz w:val="22"/>
        </w:rPr>
        <w:t>分区定价机制（Zonal Pricing）</w:t>
      </w:r>
      <w:r>
        <w:rPr>
          <w:rFonts w:ascii="Times New Roman" w:hAnsi="Times New Roman" w:eastAsia="宋体"/>
          <w:b w:val="0"/>
          <w:i w:val="0"/>
          <w:sz w:val="22"/>
        </w:rPr>
        <w:t>：将电网划分为若干区域，每个区域内采用统一定价，区域间通过联络线传输电量。当联络线不拥塞时，全系统统一价格；当联络线拥塞时，各区域价格不同。欧洲的日前市场（EPEX SPOT、Nord Pool等）采用分区定价。</w:t>
      </w:r>
    </w:p>
    <w:p>
      <w:pPr>
        <w:spacing w:line="360" w:lineRule="auto" w:after="0"/>
        <w:ind w:firstLine="425"/>
      </w:pPr>
      <w:r>
        <w:rPr>
          <w:rFonts w:ascii="Times New Roman" w:hAnsi="Times New Roman" w:eastAsia="宋体"/>
          <w:b/>
          <w:i w:val="0"/>
          <w:sz w:val="22"/>
        </w:rPr>
        <w:t>节点定价机制（Locational Marginal Pricing, LMP）</w:t>
      </w:r>
      <w:r>
        <w:rPr>
          <w:rFonts w:ascii="Times New Roman" w:hAnsi="Times New Roman" w:eastAsia="宋体"/>
          <w:b w:val="0"/>
          <w:i w:val="0"/>
          <w:sz w:val="22"/>
        </w:rPr>
        <w:t>：在每个电网节点计算边际价格，反映该节点的供电边际成本和输电损耗。LMP能够精确反映输电阻塞的影响，是最精细的定价机制。美国的PJM、NYISO、CAISO、ERCOT等ISO/RTO均采用LMP机制。</w:t>
      </w:r>
    </w:p>
    <w:p>
      <w:pPr>
        <w:spacing w:line="360" w:lineRule="auto" w:after="0"/>
        <w:ind w:firstLine="425"/>
      </w:pPr>
      <w:r>
        <w:rPr>
          <w:rFonts w:ascii="Times New Roman" w:hAnsi="Times New Roman" w:eastAsia="宋体"/>
          <w:b w:val="0"/>
          <w:i w:val="0"/>
          <w:sz w:val="22"/>
        </w:rPr>
        <w:t>三种机制各有优劣。统一定价简单但无法反映输电约束；分区定价在区域划分合理时效率较高，但区域划分本身是一个复杂的决策问题；LMP最精确但计算复杂，且可能产生大量不同的价格信号，增加用户理解难度。</w:t>
      </w:r>
    </w:p>
    <w:p>
      <w:pPr>
        <w:spacing w:line="360" w:lineRule="auto" w:after="0"/>
        <w:ind w:firstLine="425"/>
      </w:pPr>
      <w:r>
        <w:rPr>
          <w:rFonts w:ascii="Times New Roman" w:hAnsi="Times New Roman" w:eastAsia="宋体"/>
          <w:b w:val="0"/>
          <w:i w:val="0"/>
          <w:sz w:val="22"/>
        </w:rPr>
        <w:t>中国在电力现货市场建设中，主要采用分区定价机制。以广东现货市场为例，将全省划分为几个价格区域，当区域内无拥塞时采用统一价格，当区域间联络线拥塞时各区域独立定价。这种设计平衡了定价精度和操作简便性。</w:t>
      </w:r>
    </w:p>
    <w:p>
      <w:pPr>
        <w:pStyle w:val="Heading3"/>
        <w:spacing w:before="160" w:after="60"/>
      </w:pPr>
      <w:r>
        <w:rPr>
          <w:rFonts w:ascii="Times New Roman" w:hAnsi="Times New Roman" w:eastAsia="黑体"/>
          <w:b/>
          <w:i w:val="0"/>
          <w:sz w:val="24"/>
        </w:rPr>
        <w:t>3.5.5 实时定价与辅助服务市场的协调</w:t>
      </w:r>
    </w:p>
    <w:p>
      <w:pPr>
        <w:spacing w:line="360" w:lineRule="auto" w:after="0"/>
        <w:ind w:firstLine="425"/>
      </w:pPr>
      <w:r>
        <w:rPr>
          <w:rFonts w:ascii="Times New Roman" w:hAnsi="Times New Roman" w:eastAsia="宋体"/>
          <w:b w:val="0"/>
          <w:i w:val="0"/>
          <w:sz w:val="22"/>
        </w:rPr>
        <w:t>实时定价主要关注电能量市场的价格形成，而电力系统的安全稳定运行还需要辅助服务市场的支撑。辅助服务包括频率调节、旋转备用、非旋转备用和调压服务等。实时电价与辅助服务价格之间存在密切的耦合关系。</w:t>
      </w:r>
    </w:p>
    <w:p>
      <w:pPr>
        <w:spacing w:line="360" w:lineRule="auto" w:after="0"/>
        <w:ind w:firstLine="425"/>
      </w:pPr>
      <w:r>
        <w:rPr>
          <w:rFonts w:ascii="Times New Roman" w:hAnsi="Times New Roman" w:eastAsia="宋体"/>
          <w:b w:val="0"/>
          <w:i w:val="0"/>
          <w:sz w:val="22"/>
        </w:rPr>
        <w:t>当系统频率偏离额定值时，频率调节机组快速调整出力以恢复频率。频率调节服务的价格反映了系统对快速响应能力的需要程度，通常在负荷突变或可再生能源出力剧烈波动时升高。实时电价与频率调节价格的协调优化可以避免价格信号冲突——如果实时电价高但频率调节价格低，用户可能减少用电但发电机组缺乏调节激励，导致频率失衡。</w:t>
      </w:r>
    </w:p>
    <w:p>
      <w:pPr>
        <w:spacing w:line="360" w:lineRule="auto" w:after="0"/>
        <w:ind w:firstLine="425"/>
      </w:pPr>
      <w:r>
        <w:rPr>
          <w:rFonts w:ascii="Times New Roman" w:hAnsi="Times New Roman" w:eastAsia="宋体"/>
          <w:b w:val="0"/>
          <w:i w:val="0"/>
          <w:sz w:val="22"/>
        </w:rPr>
        <w:t>联合优化模型将电能量和辅助服务纳入统一的优化框架，在满足供电平衡和备用需求的前提下最大化社会福利。美国的CAISO和PJM等市场已经实现了电能量与辅助服务的联合出清。这种联合优化比分别优化更有效率，社会福利可提高3%到8%。</w:t>
      </w:r>
    </w:p>
    <w:p>
      <w:pPr>
        <w:pStyle w:val="Heading3"/>
        <w:spacing w:before="160" w:after="60"/>
      </w:pPr>
      <w:r>
        <w:rPr>
          <w:rFonts w:ascii="Times New Roman" w:hAnsi="Times New Roman" w:eastAsia="黑体"/>
          <w:b/>
          <w:i w:val="0"/>
          <w:sz w:val="24"/>
        </w:rPr>
        <w:t>3.5.6 实时定价的福利分配分析</w:t>
      </w:r>
    </w:p>
    <w:p>
      <w:pPr>
        <w:spacing w:line="360" w:lineRule="auto" w:after="0"/>
        <w:ind w:firstLine="425"/>
      </w:pPr>
      <w:r>
        <w:rPr>
          <w:rFonts w:ascii="Times New Roman" w:hAnsi="Times New Roman" w:eastAsia="宋体"/>
          <w:b w:val="0"/>
          <w:i w:val="0"/>
          <w:sz w:val="22"/>
        </w:rPr>
        <w:t>实时定价虽然在社会总福利层面优于传统定价机制，但福利的分配效应需要单独分析。福利分配涉及消费者剩余、生产者剩余和社会外部性三个维度。</w:t>
      </w:r>
    </w:p>
    <w:p>
      <w:pPr>
        <w:spacing w:line="360" w:lineRule="auto" w:after="0"/>
        <w:ind w:firstLine="425"/>
      </w:pPr>
      <w:r>
        <w:rPr>
          <w:rFonts w:ascii="Times New Roman" w:hAnsi="Times New Roman" w:eastAsia="宋体"/>
          <w:b/>
          <w:i w:val="0"/>
          <w:sz w:val="22"/>
        </w:rPr>
        <w:t>消费者剩余的变化</w:t>
      </w:r>
      <w:r>
        <w:rPr>
          <w:rFonts w:ascii="Times New Roman" w:hAnsi="Times New Roman" w:eastAsia="宋体"/>
          <w:b w:val="0"/>
          <w:i w:val="0"/>
          <w:sz w:val="22"/>
        </w:rPr>
        <w:t>：实时定价通过价格信号引导用户优化用电行为，高弹性用户的消费者剩余增加（通过调整用电时段降低电费），低弹性用户的消费者剩余可能减少（面对更高的峰值电价）。这种分配效应的净效果取决于用户弹性的分布和价格信号的强度。在爱尔兰CER试验中，实时定价使平均消费者剩余增加约3%，但底层20%用户的剩余减少约1.5%。</w:t>
      </w:r>
    </w:p>
    <w:p>
      <w:pPr>
        <w:spacing w:line="360" w:lineRule="auto" w:after="0"/>
        <w:ind w:firstLine="425"/>
      </w:pPr>
      <w:r>
        <w:rPr>
          <w:rFonts w:ascii="Times New Roman" w:hAnsi="Times New Roman" w:eastAsia="宋体"/>
          <w:b/>
          <w:i w:val="0"/>
          <w:sz w:val="22"/>
        </w:rPr>
        <w:t>生产者剩余的变化</w:t>
      </w:r>
      <w:r>
        <w:rPr>
          <w:rFonts w:ascii="Times New Roman" w:hAnsi="Times New Roman" w:eastAsia="宋体"/>
          <w:b w:val="0"/>
          <w:i w:val="0"/>
          <w:sz w:val="22"/>
        </w:rPr>
        <w:t>：实时定价降低了峰值电价，减少了发电机组在高峰时段的超额利润。但同时，实时定价提高了电网的整体效率，降低了运营成本和投资需求。净效果取决于发电组合和市场结构。在可再生能源渗透率较高的市场中，实时定价可通过减少弃电提高可再生能源发电商的收入。</w:t>
      </w:r>
    </w:p>
    <w:p>
      <w:pPr>
        <w:spacing w:line="360" w:lineRule="auto" w:after="0"/>
        <w:ind w:firstLine="425"/>
      </w:pPr>
      <w:r>
        <w:rPr>
          <w:rFonts w:ascii="Times New Roman" w:hAnsi="Times New Roman" w:eastAsia="宋体"/>
          <w:b/>
          <w:i w:val="0"/>
          <w:sz w:val="22"/>
        </w:rPr>
        <w:t>分配公平的改善措施</w:t>
      </w:r>
      <w:r>
        <w:rPr>
          <w:rFonts w:ascii="Times New Roman" w:hAnsi="Times New Roman" w:eastAsia="宋体"/>
          <w:b w:val="0"/>
          <w:i w:val="0"/>
          <w:sz w:val="22"/>
        </w:rPr>
        <w:t>：为缓解实时定价对低弹性用户的不利影响，可采取以下措施：为低收入用户提供电费补贴或价格保护；实施渐进式实时定价（价格变化幅度随用户用电量增加而增大）；将实时定价节省的系统成本部分返还给受影响用户。</w:t>
      </w:r>
    </w:p>
    <w:p>
      <w:pPr>
        <w:pStyle w:val="Heading2"/>
        <w:spacing w:before="240" w:after="80"/>
      </w:pPr>
      <w:r>
        <w:rPr>
          <w:rFonts w:ascii="Times New Roman" w:hAnsi="Times New Roman" w:eastAsia="黑体"/>
          <w:b/>
          <w:i w:val="0"/>
          <w:sz w:val="28"/>
        </w:rPr>
        <w:t>参考文献</w:t>
      </w:r>
    </w:p>
    <w:p>
      <w:pPr>
        <w:spacing w:after="40" w:line="276" w:lineRule="auto"/>
        <w:ind w:left="425" w:hanging="425"/>
      </w:pPr>
      <w:r>
        <w:rPr>
          <w:rFonts w:ascii="Times New Roman" w:hAnsi="Times New Roman" w:eastAsia="宋体"/>
          <w:b w:val="0"/>
          <w:i w:val="0"/>
          <w:sz w:val="20"/>
        </w:rPr>
        <w:t>[1] Nordic Energy Regulators. Nord Pool Market Report[R]. 2020.</w:t>
      </w:r>
    </w:p>
    <w:p>
      <w:pPr>
        <w:spacing w:after="40" w:line="276" w:lineRule="auto"/>
        <w:ind w:left="425" w:hanging="425"/>
      </w:pPr>
      <w:r>
        <w:rPr>
          <w:rFonts w:ascii="Times New Roman" w:hAnsi="Times New Roman" w:eastAsia="宋体"/>
          <w:b w:val="0"/>
          <w:i w:val="0"/>
          <w:sz w:val="20"/>
        </w:rPr>
        <w:t>[2] Stoft S. Power System Economics: Designing Markets for Electricity[M]. IEEE Press, 2002.</w:t>
      </w:r>
    </w:p>
    <w:p>
      <w:pPr>
        <w:spacing w:after="40" w:line="276" w:lineRule="auto"/>
        <w:ind w:left="425" w:hanging="425"/>
      </w:pPr>
      <w:r>
        <w:rPr>
          <w:rFonts w:ascii="Times New Roman" w:hAnsi="Times New Roman" w:eastAsia="宋体"/>
          <w:b w:val="0"/>
          <w:i w:val="0"/>
          <w:sz w:val="20"/>
        </w:rPr>
        <w:t>[3] 代业明, 高岩. 分布式发电系统动态定价决策[J]. 系统工程理论与实践, 2016, 36(5): 1192-1199.</w:t>
      </w:r>
    </w:p>
    <w:p>
      <w:pPr>
        <w:spacing w:after="40" w:line="276" w:lineRule="auto"/>
        <w:ind w:left="425" w:hanging="425"/>
      </w:pPr>
      <w:r>
        <w:rPr>
          <w:rFonts w:ascii="Times New Roman" w:hAnsi="Times New Roman" w:eastAsia="宋体"/>
          <w:b w:val="0"/>
          <w:i w:val="0"/>
          <w:sz w:val="20"/>
        </w:rPr>
        <w:t>[4] Hogan W W. Competitive Electricity Market Design[R]. Harvard University, 2001.</w:t>
      </w:r>
    </w:p>
    <w:p>
      <w:pPr>
        <w:spacing w:after="40" w:line="276" w:lineRule="auto"/>
        <w:ind w:left="425" w:hanging="425"/>
      </w:pPr>
      <w:r>
        <w:rPr>
          <w:rFonts w:ascii="Times New Roman" w:hAnsi="Times New Roman" w:eastAsia="宋体"/>
          <w:b w:val="0"/>
          <w:i w:val="0"/>
          <w:sz w:val="20"/>
        </w:rPr>
        <w:t>[5] Borenstein S. Time-Varying Retail Electricity Prices[J]. Energy Policy, 2005, 33(4): 485-497.</w:t>
      </w:r>
    </w:p>
    <w:p>
      <w:pPr>
        <w:spacing w:after="40" w:line="276" w:lineRule="auto"/>
        <w:ind w:left="425" w:hanging="425"/>
      </w:pPr>
      <w:r>
        <w:rPr>
          <w:rFonts w:ascii="Times New Roman" w:hAnsi="Times New Roman" w:eastAsia="宋体"/>
          <w:b w:val="0"/>
          <w:i w:val="0"/>
          <w:sz w:val="20"/>
        </w:rPr>
        <w:t>[6] Boisvert R N, Cappers P, Neenan B. The Benefits of Customer-Site Real-Time Pricing[R]. LBNL, 2002.</w:t>
      </w:r>
    </w:p>
    <w:p>
      <w:pPr>
        <w:spacing w:after="40" w:line="276" w:lineRule="auto"/>
        <w:ind w:left="425" w:hanging="425"/>
      </w:pPr>
      <w:r>
        <w:rPr>
          <w:rFonts w:ascii="Times New Roman" w:hAnsi="Times New Roman" w:eastAsia="宋体"/>
          <w:b w:val="0"/>
          <w:i w:val="0"/>
          <w:sz w:val="20"/>
        </w:rPr>
        <w:t>[7] 李军祥. 基于供需函数特征解析的电网实时定价智能优化算法[J]. 计算机应用研究, 2020, 37(8): 2341-2347.</w:t>
      </w:r>
    </w:p>
    <w:p>
      <w:pPr>
        <w:spacing w:after="40" w:line="276" w:lineRule="auto"/>
        <w:ind w:left="425" w:hanging="425"/>
      </w:pPr>
      <w:r>
        <w:rPr>
          <w:rFonts w:ascii="Times New Roman" w:hAnsi="Times New Roman" w:eastAsia="宋体"/>
          <w:b w:val="0"/>
          <w:i w:val="0"/>
          <w:sz w:val="20"/>
        </w:rPr>
        <w:t>[8] 郭建文, 高岩. 发电厂供电传输实时电价准确估计仿真[J]. 计算机仿真, 2019, 36(8): 256-262.</w:t>
      </w:r>
    </w:p>
    <w:p>
      <w:pPr>
        <w:spacing w:after="40" w:line="276" w:lineRule="auto"/>
        <w:ind w:left="425" w:hanging="425"/>
      </w:pPr>
      <w:r>
        <w:rPr>
          <w:rFonts w:ascii="Times New Roman" w:hAnsi="Times New Roman" w:eastAsia="宋体"/>
          <w:b w:val="0"/>
          <w:i w:val="0"/>
          <w:sz w:val="20"/>
        </w:rPr>
        <w:t>[9] Samadi P, Mohsenian-Rad A H, Schober R, et al. Optimal Real-Time Pricing Algorithm Based on Utility Maximization for Smart Grid[C]. IEEE SmartGridComm, 2010: 415-420.</w:t>
      </w:r>
    </w:p>
    <w:p>
      <w:pPr>
        <w:spacing w:after="40" w:line="276" w:lineRule="auto"/>
        <w:ind w:left="425" w:hanging="425"/>
      </w:pPr>
      <w:r>
        <w:rPr>
          <w:rFonts w:ascii="Times New Roman" w:hAnsi="Times New Roman" w:eastAsia="宋体"/>
          <w:b w:val="0"/>
          <w:i w:val="0"/>
          <w:sz w:val="20"/>
        </w:rPr>
        <w:t>[10] 许志宏, 高岩, 朱红波, 陶莉. 基于分片线性效用函数的实时电价定价策略[J]. 电力系统自动化, 2018, 42(15): 78-85.</w:t>
      </w:r>
    </w:p>
    <w:p>
      <w:pPr>
        <w:spacing w:after="40" w:line="276" w:lineRule="auto"/>
        <w:ind w:left="425" w:hanging="425"/>
      </w:pPr>
      <w:r>
        <w:rPr>
          <w:rFonts w:ascii="Times New Roman" w:hAnsi="Times New Roman" w:eastAsia="宋体"/>
          <w:b w:val="0"/>
          <w:i w:val="0"/>
          <w:sz w:val="20"/>
        </w:rPr>
        <w:t>[11] 代业明, 高岩. 基于智能电网需求侧管理的多零售商实时定价策略[J]. 电网技术, 2014, 38(5): 1267-1273.</w:t>
      </w:r>
    </w:p>
    <w:p>
      <w:pPr>
        <w:spacing w:after="40" w:line="276" w:lineRule="auto"/>
        <w:ind w:left="425" w:hanging="425"/>
      </w:pPr>
      <w:r>
        <w:rPr>
          <w:rFonts w:ascii="Times New Roman" w:hAnsi="Times New Roman" w:eastAsia="宋体"/>
          <w:b w:val="0"/>
          <w:i w:val="0"/>
          <w:sz w:val="20"/>
        </w:rPr>
        <w:t>[12] 李军祥, 高岩, 朱红波, 等. 智能电网互补能源供用电实时定价算法研究[J]. 计算机应用研究, 2019, 36(12): 3663-3668.</w:t>
      </w:r>
    </w:p>
    <w:p>
      <w:pPr>
        <w:spacing w:after="40" w:line="276" w:lineRule="auto"/>
        <w:ind w:left="425" w:hanging="425"/>
      </w:pPr>
      <w:r>
        <w:rPr>
          <w:rFonts w:ascii="Times New Roman" w:hAnsi="Times New Roman" w:eastAsia="宋体"/>
          <w:b w:val="0"/>
          <w:i w:val="0"/>
          <w:sz w:val="20"/>
        </w:rPr>
        <w:t>[13] 李军祥, 高岩, 朱红波, 等. 智能电网互补能源供用电实时定价算法研究[J]. 计算机应用研究, 2020, 37(1): 153-158.</w:t>
      </w:r>
    </w:p>
    <w:p>
      <w:pPr>
        <w:spacing w:after="40" w:line="276" w:lineRule="auto"/>
        <w:ind w:left="425" w:hanging="425"/>
      </w:pPr>
      <w:r>
        <w:rPr>
          <w:rFonts w:ascii="Times New Roman" w:hAnsi="Times New Roman" w:eastAsia="宋体"/>
          <w:b w:val="0"/>
          <w:i w:val="0"/>
          <w:sz w:val="20"/>
        </w:rPr>
        <w:t>[14] 朱红波. 考虑风险的智能电网实时电价定价策略[J]. 电力系统保护与控制, 2018, 46(4): 35-42.</w:t>
      </w:r>
    </w:p>
    <w:p>
      <w:pPr>
        <w:spacing w:after="40" w:line="276" w:lineRule="auto"/>
        <w:ind w:left="425" w:hanging="425"/>
      </w:pPr>
      <w:r>
        <w:rPr>
          <w:rFonts w:ascii="Times New Roman" w:hAnsi="Times New Roman" w:eastAsia="宋体"/>
          <w:b w:val="0"/>
          <w:i w:val="0"/>
          <w:sz w:val="20"/>
        </w:rPr>
        <w:t>[15] 杨扬, 等. 考虑双重不确定性的智能电网实时定价鲁棒优化方法[J]. 电力系统自动化, 2020, 44(10): 112-120.</w:t>
      </w:r>
    </w:p>
    <w:p>
      <w:pPr>
        <w:spacing w:after="40" w:line="276" w:lineRule="auto"/>
        <w:ind w:left="425" w:hanging="425"/>
      </w:pPr>
      <w:r>
        <w:rPr>
          <w:rFonts w:ascii="Times New Roman" w:hAnsi="Times New Roman" w:eastAsia="宋体"/>
          <w:b w:val="0"/>
          <w:i w:val="0"/>
          <w:sz w:val="20"/>
        </w:rPr>
        <w:t>[16] 陶莉, 高岩, 朱红波. 以极小化峰谷差为目标的智能电网实时定价[J]. 电力系统保护与控制, 2020, 48(3): 51-58.</w:t>
      </w:r>
    </w:p>
    <w:p>
      <w:pPr>
        <w:spacing w:after="40" w:line="276" w:lineRule="auto"/>
        <w:ind w:left="425" w:hanging="425"/>
      </w:pPr>
      <w:r>
        <w:rPr>
          <w:rFonts w:ascii="Times New Roman" w:hAnsi="Times New Roman" w:eastAsia="宋体"/>
          <w:b w:val="0"/>
          <w:i w:val="0"/>
          <w:sz w:val="20"/>
        </w:rPr>
        <w:t>[17] 高岩, 等. 非递减边际效用实时电价研究[J]. 系统工程理论与实践, 2018, 38(3): 672-680.</w:t>
      </w:r>
    </w:p>
    <w:p>
      <w:pPr>
        <w:spacing w:after="40" w:line="276" w:lineRule="auto"/>
        <w:ind w:left="425" w:hanging="425"/>
      </w:pPr>
      <w:r>
        <w:rPr>
          <w:rFonts w:ascii="Times New Roman" w:hAnsi="Times New Roman" w:eastAsia="宋体"/>
          <w:b w:val="0"/>
          <w:i w:val="0"/>
          <w:sz w:val="20"/>
        </w:rPr>
        <w:t>[18] 黄海新, 邓丽, 文峰, 王飞. 基于实时电价的用户用电响应行为研究[J]. 电力系统保护与控制, 2016, 44(8): 52-58.</w:t>
      </w:r>
    </w:p>
    <w:p>
      <w:pPr>
        <w:spacing w:after="40" w:line="276" w:lineRule="auto"/>
        <w:ind w:left="425" w:hanging="425"/>
      </w:pPr>
      <w:r>
        <w:rPr>
          <w:rFonts w:ascii="Times New Roman" w:hAnsi="Times New Roman" w:eastAsia="宋体"/>
          <w:b w:val="0"/>
          <w:i w:val="0"/>
          <w:sz w:val="20"/>
        </w:rPr>
        <w:t>[19] 刘等. 智能电网分类用户实时电价算法研究[J]. 电力系统自动化, 2017, 41(12): 58-65.</w:t>
      </w:r>
    </w:p>
    <w:p>
      <w:pPr>
        <w:spacing w:after="40" w:line="276" w:lineRule="auto"/>
        <w:ind w:left="425" w:hanging="425"/>
      </w:pPr>
      <w:r>
        <w:rPr>
          <w:rFonts w:ascii="Times New Roman" w:hAnsi="Times New Roman" w:eastAsia="宋体"/>
          <w:b w:val="0"/>
          <w:i w:val="0"/>
          <w:sz w:val="20"/>
        </w:rPr>
        <w:t>[20] 李军祥, 高岩, 朱红波. 基于用户电器分类的智能电网实时定价研究[J]. 电力系统保护与控制, 2019, 47(8): 28-35.</w:t>
      </w:r>
    </w:p>
    <w:p>
      <w:pPr>
        <w:spacing w:after="40" w:line="276" w:lineRule="auto"/>
        <w:ind w:left="425" w:hanging="425"/>
      </w:pPr>
      <w:r>
        <w:rPr>
          <w:rFonts w:ascii="Times New Roman" w:hAnsi="Times New Roman" w:eastAsia="宋体"/>
          <w:b w:val="0"/>
          <w:i w:val="0"/>
          <w:sz w:val="20"/>
        </w:rPr>
        <w:t>[21] 朱红波, 高岩, 代业明. 马尔可夫过程下多类用户智能电网实时电价[J]. 电力系统保护与控制, 2018, 46(2): 28-35.</w:t>
      </w:r>
    </w:p>
    <w:p>
      <w:pPr>
        <w:spacing w:after="40" w:line="276" w:lineRule="auto"/>
        <w:ind w:left="425" w:hanging="425"/>
      </w:pPr>
      <w:r>
        <w:rPr>
          <w:rFonts w:ascii="Times New Roman" w:hAnsi="Times New Roman" w:eastAsia="宋体"/>
          <w:b w:val="0"/>
          <w:i w:val="0"/>
          <w:sz w:val="20"/>
        </w:rPr>
        <w:t>[22] 李军祥, 高岩, 朱红波. 马尔可夫决策过程下的智能电网实时电价模型[J]. 系统工程理论与实践, 2016, 36(8): 2035-2042.</w:t>
      </w:r>
    </w:p>
    <w:p>
      <w:pPr>
        <w:spacing w:after="40" w:line="276" w:lineRule="auto"/>
        <w:ind w:left="425" w:hanging="425"/>
      </w:pPr>
      <w:r>
        <w:rPr>
          <w:rFonts w:ascii="Times New Roman" w:hAnsi="Times New Roman" w:eastAsia="宋体"/>
          <w:b w:val="0"/>
          <w:i w:val="0"/>
          <w:sz w:val="20"/>
        </w:rPr>
        <w:t>[23] 代业明, 高岩, 朱红波, 等. 考虑信息延迟的智能电网实时定价和算法[J]. 电力系统保护与控制, 2017, 45(1): 18-24.</w:t>
      </w:r>
    </w:p>
    <w:p>
      <w:r>
        <w:br w:type="page"/>
      </w:r>
    </w:p>
    <w:p>
      <w:pPr>
        <w:jc w:val="center"/>
      </w:pPr>
      <w:r>
        <w:rPr>
          <w:rFonts w:ascii="Times New Roman" w:hAnsi="Times New Roman" w:eastAsia="黑体"/>
          <w:b/>
          <w:i w:val="0"/>
          <w:color w:val="1A3C6E"/>
          <w:sz w:val="44"/>
        </w:rPr>
        <w:t>第二篇  数学建模与优化方法</w:t>
      </w:r>
    </w:p>
    <w:p/>
    <w:p/>
    <w:p/>
    <w:p/>
    <w:p>
      <w:r>
        <w:br w:type="page"/>
      </w:r>
    </w:p>
    <w:p>
      <w:pPr>
        <w:pStyle w:val="Heading1"/>
        <w:spacing w:before="360" w:after="120"/>
      </w:pPr>
      <w:r>
        <w:rPr>
          <w:rFonts w:ascii="Times New Roman" w:hAnsi="Times New Roman" w:eastAsia="黑体"/>
          <w:b/>
          <w:i w:val="0"/>
          <w:sz w:val="32"/>
        </w:rPr>
        <w:t>第4章 效用函数与社会福利最大化模型</w:t>
      </w:r>
    </w:p>
    <w:p>
      <w:pPr>
        <w:pStyle w:val="Heading2"/>
        <w:spacing w:before="240" w:after="80"/>
      </w:pPr>
      <w:r>
        <w:rPr>
          <w:rFonts w:ascii="Times New Roman" w:hAnsi="Times New Roman" w:eastAsia="黑体"/>
          <w:b/>
          <w:i w:val="0"/>
          <w:sz w:val="28"/>
        </w:rPr>
        <w:t>学习目标</w:t>
      </w:r>
    </w:p>
    <w:p>
      <w:pPr>
        <w:pStyle w:val="ListBullet"/>
        <w:spacing w:line="360" w:lineRule="auto" w:after="0"/>
      </w:pPr>
      <w:r>
        <w:rPr>
          <w:rFonts w:ascii="Times New Roman" w:hAnsi="Times New Roman" w:eastAsia="宋体"/>
          <w:b w:val="0"/>
          <w:i w:val="0"/>
          <w:sz w:val="22"/>
        </w:rPr>
        <w:t>掌握效用函数的基本概念及其在实时定价中的作用</w:t>
      </w:r>
    </w:p>
    <w:p>
      <w:pPr>
        <w:pStyle w:val="ListBullet"/>
        <w:spacing w:line="360" w:lineRule="auto" w:after="0"/>
      </w:pPr>
      <w:r>
        <w:rPr>
          <w:rFonts w:ascii="Times New Roman" w:hAnsi="Times New Roman" w:eastAsia="宋体"/>
          <w:b w:val="0"/>
          <w:i w:val="0"/>
          <w:sz w:val="22"/>
        </w:rPr>
        <w:t>深入理解二次效用函数、对数效用函数、分片线性效用函数等不同模型</w:t>
      </w:r>
    </w:p>
    <w:p>
      <w:pPr>
        <w:pStyle w:val="ListBullet"/>
        <w:spacing w:line="360" w:lineRule="auto" w:after="0"/>
      </w:pPr>
      <w:r>
        <w:rPr>
          <w:rFonts w:ascii="Times New Roman" w:hAnsi="Times New Roman" w:eastAsia="宋体"/>
          <w:b w:val="0"/>
          <w:i w:val="0"/>
          <w:sz w:val="22"/>
        </w:rPr>
        <w:t>了解非递减边际效用函数的特性与应用场景</w:t>
      </w:r>
    </w:p>
    <w:p>
      <w:pPr>
        <w:pStyle w:val="ListBullet"/>
        <w:spacing w:line="360" w:lineRule="auto" w:after="0"/>
      </w:pPr>
      <w:r>
        <w:rPr>
          <w:rFonts w:ascii="Times New Roman" w:hAnsi="Times New Roman" w:eastAsia="宋体"/>
          <w:b w:val="0"/>
          <w:i w:val="0"/>
          <w:sz w:val="22"/>
        </w:rPr>
        <w:t>能够对不同效用函数进行比较分析和选择</w:t>
      </w:r>
    </w:p>
    <w:p>
      <w:pPr>
        <w:pStyle w:val="Heading2"/>
        <w:spacing w:before="240" w:after="80"/>
      </w:pPr>
      <w:r>
        <w:rPr>
          <w:rFonts w:ascii="Times New Roman" w:hAnsi="Times New Roman" w:eastAsia="黑体"/>
          <w:b/>
          <w:i w:val="0"/>
          <w:sz w:val="28"/>
        </w:rPr>
        <w:t>导入案例：效用函数选择对定价结果的影响</w:t>
      </w:r>
    </w:p>
    <w:p>
      <w:pPr>
        <w:spacing w:line="360" w:lineRule="auto" w:after="0"/>
        <w:ind w:firstLine="425"/>
      </w:pPr>
      <w:r>
        <w:rPr>
          <w:rFonts w:ascii="Times New Roman" w:hAnsi="Times New Roman" w:eastAsia="宋体"/>
          <w:b w:val="0"/>
          <w:i w:val="0"/>
          <w:sz w:val="22"/>
        </w:rPr>
        <w:t>在智能电网实时定价中，效用函数的选择直接影响定价结果和用户响应行为。高岩团队在不同研究中使用了不同的效用函数，发现二次效用函数适用于一般居民用户、对数效用函数适用于弹性较高的商业用户、分片线性效用函数适用于混合用户群体。这一发现说明，不存在"万能"的效用函数，必须根据用户特征选择合适的模型</w:t>
      </w:r>
      <w:r>
        <w:rPr>
          <w:rFonts w:ascii="Times New Roman" w:hAnsi="Times New Roman" w:eastAsia="Times New Roman"/>
          <w:b w:val="0"/>
          <w:i w:val="0"/>
          <w:sz w:val="18"/>
          <w:vertAlign w:val="superscript"/>
        </w:rPr>
        <w:t>[1]</w:t>
      </w:r>
      <w:r>
        <w:rPr>
          <w:rFonts w:ascii="Times New Roman" w:hAnsi="Times New Roman" w:eastAsia="宋体"/>
          <w:b w:val="0"/>
          <w:i w:val="0"/>
          <w:sz w:val="22"/>
        </w:rPr>
        <w:t>。</w:t>
      </w:r>
    </w:p>
    <w:p>
      <w:pPr>
        <w:pStyle w:val="Heading2"/>
        <w:spacing w:before="240" w:after="80"/>
      </w:pPr>
      <w:r>
        <w:rPr>
          <w:rFonts w:ascii="Times New Roman" w:hAnsi="Times New Roman" w:eastAsia="黑体"/>
          <w:b/>
          <w:i w:val="0"/>
          <w:sz w:val="28"/>
        </w:rPr>
        <w:t>4.1 效用函数的基本概念</w:t>
      </w:r>
    </w:p>
    <w:p>
      <w:pPr>
        <w:pStyle w:val="Heading3"/>
        <w:spacing w:before="160" w:after="60"/>
      </w:pPr>
      <w:r>
        <w:rPr>
          <w:rFonts w:ascii="Times New Roman" w:hAnsi="Times New Roman" w:eastAsia="黑体"/>
          <w:b/>
          <w:i w:val="0"/>
          <w:sz w:val="24"/>
        </w:rPr>
        <w:t>4.1.1 效用函数的定义与性质</w:t>
      </w:r>
    </w:p>
    <w:p>
      <w:pPr>
        <w:spacing w:line="360" w:lineRule="auto" w:after="0"/>
        <w:ind w:firstLine="425"/>
      </w:pPr>
      <w:r>
        <w:rPr>
          <w:rFonts w:ascii="Times New Roman" w:hAnsi="Times New Roman" w:eastAsia="宋体"/>
          <w:b w:val="0"/>
          <w:i w:val="0"/>
          <w:sz w:val="22"/>
        </w:rPr>
        <w:t>效用函数U(x)描述用户消费x单位电力所获得的满足程度。在实时定价研究中，效用函数通常满足以下基本性质：</w:t>
      </w:r>
    </w:p>
    <w:p>
      <w:pPr>
        <w:spacing w:line="360" w:lineRule="auto" w:after="0"/>
        <w:ind w:firstLine="425"/>
      </w:pPr>
      <w:r>
        <w:rPr>
          <w:rFonts w:ascii="Times New Roman" w:hAnsi="Times New Roman" w:eastAsia="宋体"/>
          <w:b/>
          <w:i w:val="0"/>
          <w:sz w:val="22"/>
        </w:rPr>
        <w:t>非负性</w:t>
      </w:r>
      <w:r>
        <w:rPr>
          <w:rFonts w:ascii="Times New Roman" w:hAnsi="Times New Roman" w:eastAsia="宋体"/>
          <w:b w:val="0"/>
          <w:i w:val="0"/>
          <w:sz w:val="22"/>
        </w:rPr>
        <w:t>：U(x) ≥ 0，即用电带来非负的效用</w:t>
      </w:r>
    </w:p>
    <w:p>
      <w:pPr>
        <w:spacing w:line="360" w:lineRule="auto" w:after="0"/>
        <w:ind w:firstLine="425"/>
      </w:pPr>
      <w:r>
        <w:rPr>
          <w:rFonts w:ascii="Times New Roman" w:hAnsi="Times New Roman" w:eastAsia="宋体"/>
          <w:b/>
          <w:i w:val="0"/>
          <w:sz w:val="22"/>
        </w:rPr>
        <w:t>单调递增性</w:t>
      </w:r>
      <w:r>
        <w:rPr>
          <w:rFonts w:ascii="Times New Roman" w:hAnsi="Times New Roman" w:eastAsia="宋体"/>
          <w:b w:val="0"/>
          <w:i w:val="0"/>
          <w:sz w:val="22"/>
        </w:rPr>
        <w:t>：U'(x) &gt; 0，即用电越多效用越大</w:t>
      </w:r>
    </w:p>
    <w:p>
      <w:pPr>
        <w:spacing w:line="360" w:lineRule="auto" w:after="0"/>
        <w:ind w:firstLine="425"/>
      </w:pPr>
      <w:r>
        <w:rPr>
          <w:rFonts w:ascii="Times New Roman" w:hAnsi="Times New Roman" w:eastAsia="宋体"/>
          <w:b/>
          <w:i w:val="0"/>
          <w:sz w:val="22"/>
        </w:rPr>
        <w:t>边际效用递减</w:t>
      </w:r>
      <w:r>
        <w:rPr>
          <w:rFonts w:ascii="Times New Roman" w:hAnsi="Times New Roman" w:eastAsia="宋体"/>
          <w:b w:val="0"/>
          <w:i w:val="0"/>
          <w:sz w:val="22"/>
        </w:rPr>
        <w:t>：U''(x) &lt; 0（常规情况），即每增加一单位用电带来的额外效用递减</w:t>
      </w:r>
    </w:p>
    <w:p>
      <w:pPr>
        <w:spacing w:line="360" w:lineRule="auto" w:after="0"/>
        <w:ind w:firstLine="425"/>
      </w:pPr>
      <w:r>
        <w:rPr>
          <w:rFonts w:ascii="Times New Roman" w:hAnsi="Times New Roman" w:eastAsia="宋体"/>
          <w:b w:val="0"/>
          <w:i w:val="0"/>
          <w:sz w:val="22"/>
        </w:rPr>
        <w:t>这些性质保证了社会福利最大化问题的凸性，使得优化问题具有良好的数学性质和可解性</w:t>
      </w:r>
      <w:r>
        <w:rPr>
          <w:rFonts w:ascii="Times New Roman" w:hAnsi="Times New Roman" w:eastAsia="Times New Roman"/>
          <w:b w:val="0"/>
          <w:i w:val="0"/>
          <w:sz w:val="18"/>
          <w:vertAlign w:val="superscript"/>
        </w:rPr>
        <w:t>[2]</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4.1.2 效用函数在定价中的作用</w:t>
      </w:r>
    </w:p>
    <w:p>
      <w:pPr>
        <w:spacing w:line="360" w:lineRule="auto" w:after="0"/>
        <w:ind w:firstLine="425"/>
      </w:pPr>
      <w:r>
        <w:rPr>
          <w:rFonts w:ascii="Times New Roman" w:hAnsi="Times New Roman" w:eastAsia="宋体"/>
          <w:b w:val="0"/>
          <w:i w:val="0"/>
          <w:sz w:val="22"/>
        </w:rPr>
        <w:t>在社会福利最大化框架下，效用函数是连接用户行为与定价决策的桥梁。实时电价通过效用函数的边际效用来确定：</w:t>
      </w:r>
    </w:p>
    <w:p>
      <w:pPr>
        <w:spacing w:before="80" w:after="80"/>
        <w:jc w:val="center"/>
      </w:pPr>
      <m:oMathPara>
        <m:oMath>
          <m:sSup>
            <m:e>
              <m:r>
                <m:t>p</m:t>
              </m:r>
            </m:e>
            <m:sup>
              <m:r>
                <m:t>*</m:t>
              </m:r>
            </m:sup>
          </m:sSup>
          <m:r>
            <m:t>=</m:t>
          </m:r>
          <m:sSubSup>
            <m:e>
              <m:r>
                <m:t>U</m:t>
              </m:r>
            </m:e>
            <m:sub>
              <m:r>
                <m:t>i</m:t>
              </m:r>
            </m:sub>
            <m:sup>
              <m:r>
                <m:t>′</m:t>
              </m:r>
            </m:sup>
          </m:sSubSup>
          <m:r>
            <m:t>(</m:t>
          </m:r>
          <m:sSubSup>
            <m:e>
              <m:r>
                <m:t>x</m:t>
              </m:r>
            </m:e>
            <m:sub>
              <m:r>
                <m:t>i</m:t>
              </m:r>
            </m:sub>
            <m:sup>
              <m:r>
                <m:t>*</m:t>
              </m:r>
            </m:sup>
          </m:sSubSup>
          <m:r>
            <m:t>)</m:t>
          </m:r>
        </m:oMath>
      </m:oMathPara>
    </w:p>
    <w:p>
      <w:pPr>
        <w:spacing w:line="360" w:lineRule="auto" w:after="0"/>
        <w:ind w:firstLine="0"/>
      </w:pPr>
      <w:r>
        <w:rPr>
          <w:rFonts w:ascii="Times New Roman" w:hAnsi="Times New Roman" w:eastAsia="宋体"/>
          <w:b w:val="0"/>
          <w:i w:val="0"/>
          <w:sz w:val="22"/>
        </w:rPr>
        <w:t>即最优实时电价等于用户在最优用电量处的边际效用。因此，效用函数的形式和参数直接影响定价结果。</w:t>
      </w:r>
    </w:p>
    <w:p>
      <w:pPr>
        <w:pStyle w:val="Heading3"/>
        <w:spacing w:before="160" w:after="60"/>
      </w:pPr>
      <w:r>
        <w:rPr>
          <w:rFonts w:ascii="Times New Roman" w:hAnsi="Times New Roman" w:eastAsia="黑体"/>
          <w:b/>
          <w:i w:val="0"/>
          <w:sz w:val="24"/>
        </w:rPr>
        <w:t>4.1.3 效用函数的参数估计</w:t>
      </w:r>
    </w:p>
    <w:p>
      <w:pPr>
        <w:spacing w:line="360" w:lineRule="auto" w:after="0"/>
        <w:ind w:firstLine="425"/>
      </w:pPr>
      <w:r>
        <w:rPr>
          <w:rFonts w:ascii="Times New Roman" w:hAnsi="Times New Roman" w:eastAsia="宋体"/>
          <w:b w:val="0"/>
          <w:i w:val="0"/>
          <w:sz w:val="22"/>
        </w:rPr>
        <w:t>效用函数的参数通常通过以下方法估计：</w:t>
      </w:r>
    </w:p>
    <w:p>
      <w:pPr>
        <w:spacing w:line="360" w:lineRule="auto" w:after="0"/>
        <w:ind w:firstLine="425"/>
      </w:pPr>
      <w:r>
        <w:rPr>
          <w:rFonts w:ascii="Times New Roman" w:hAnsi="Times New Roman" w:eastAsia="宋体"/>
          <w:b/>
          <w:i w:val="0"/>
          <w:sz w:val="22"/>
        </w:rPr>
        <w:t>历史数据分析法</w:t>
      </w:r>
      <w:r>
        <w:rPr>
          <w:rFonts w:ascii="Times New Roman" w:hAnsi="Times New Roman" w:eastAsia="宋体"/>
          <w:b w:val="0"/>
          <w:i w:val="0"/>
          <w:sz w:val="22"/>
        </w:rPr>
        <w:t>：利用智能电表的历史用电数据，通过回归分析估计用户效用函数的参数。李军祥等（2020）提出了基于供需函数特征解析的参数估计方法</w:t>
      </w:r>
      <w:r>
        <w:rPr>
          <w:rFonts w:ascii="Times New Roman" w:hAnsi="Times New Roman" w:eastAsia="Times New Roman"/>
          <w:b w:val="0"/>
          <w:i w:val="0"/>
          <w:sz w:val="18"/>
          <w:vertAlign w:val="superscript"/>
        </w:rPr>
        <w:t>[3]</w:t>
      </w:r>
      <w:r>
        <w:rPr>
          <w:rFonts w:ascii="Times New Roman" w:hAnsi="Times New Roman" w:eastAsia="宋体"/>
          <w:b w:val="0"/>
          <w:i w:val="0"/>
          <w:sz w:val="22"/>
        </w:rPr>
        <w:t>。</w:t>
      </w:r>
    </w:p>
    <w:p>
      <w:pPr>
        <w:spacing w:line="360" w:lineRule="auto" w:after="0"/>
        <w:ind w:firstLine="425"/>
      </w:pPr>
      <w:r>
        <w:rPr>
          <w:rFonts w:ascii="Times New Roman" w:hAnsi="Times New Roman" w:eastAsia="宋体"/>
          <w:b/>
          <w:i w:val="0"/>
          <w:sz w:val="22"/>
        </w:rPr>
        <w:t>用户调研法</w:t>
      </w:r>
      <w:r>
        <w:rPr>
          <w:rFonts w:ascii="Times New Roman" w:hAnsi="Times New Roman" w:eastAsia="宋体"/>
          <w:b w:val="0"/>
          <w:i w:val="0"/>
          <w:sz w:val="22"/>
        </w:rPr>
        <w:t>：通过问卷调查和实验经济学方法获取用户偏好信息，据此估计效用函数参数。</w:t>
      </w:r>
    </w:p>
    <w:p>
      <w:pPr>
        <w:spacing w:line="360" w:lineRule="auto" w:after="0"/>
        <w:ind w:firstLine="425"/>
      </w:pPr>
      <w:r>
        <w:rPr>
          <w:rFonts w:ascii="Times New Roman" w:hAnsi="Times New Roman" w:eastAsia="宋体"/>
          <w:b/>
          <w:i w:val="0"/>
          <w:sz w:val="22"/>
        </w:rPr>
        <w:t>机器学习方法</w:t>
      </w:r>
      <w:r>
        <w:rPr>
          <w:rFonts w:ascii="Times New Roman" w:hAnsi="Times New Roman" w:eastAsia="宋体"/>
          <w:b w:val="0"/>
          <w:i w:val="0"/>
          <w:sz w:val="22"/>
        </w:rPr>
        <w:t>：利用机器学习算法从大量用电数据中学习用户行为模式，隐式地估计效用函数。代业明等（2018）研究了具有电力需求预测更新的智能电网实时定价机制，利用预测模型辅助参数估计</w:t>
      </w:r>
      <w:r>
        <w:rPr>
          <w:rFonts w:ascii="Times New Roman" w:hAnsi="Times New Roman" w:eastAsia="Times New Roman"/>
          <w:b w:val="0"/>
          <w:i w:val="0"/>
          <w:sz w:val="18"/>
          <w:vertAlign w:val="superscript"/>
        </w:rPr>
        <w:t>[4]</w:t>
      </w:r>
      <w:r>
        <w:rPr>
          <w:rFonts w:ascii="Times New Roman" w:hAnsi="Times New Roman" w:eastAsia="宋体"/>
          <w:b w:val="0"/>
          <w:i w:val="0"/>
          <w:sz w:val="22"/>
        </w:rPr>
        <w:t>。</w:t>
      </w:r>
    </w:p>
    <w:p>
      <w:pPr>
        <w:pStyle w:val="Heading2"/>
        <w:spacing w:before="240" w:after="80"/>
      </w:pPr>
      <w:r>
        <w:rPr>
          <w:rFonts w:ascii="Times New Roman" w:hAnsi="Times New Roman" w:eastAsia="黑体"/>
          <w:b/>
          <w:i w:val="0"/>
          <w:sz w:val="28"/>
        </w:rPr>
        <w:t>4.2 二次效用函数模型</w:t>
      </w:r>
    </w:p>
    <w:p>
      <w:pPr>
        <w:pStyle w:val="Heading3"/>
        <w:spacing w:before="160" w:after="60"/>
      </w:pPr>
      <w:r>
        <w:rPr>
          <w:rFonts w:ascii="Times New Roman" w:hAnsi="Times New Roman" w:eastAsia="黑体"/>
          <w:b/>
          <w:i w:val="0"/>
          <w:sz w:val="24"/>
        </w:rPr>
        <w:t>4.2.1 模型形式</w:t>
      </w:r>
    </w:p>
    <w:p>
      <w:pPr>
        <w:spacing w:line="360" w:lineRule="auto" w:after="0"/>
        <w:ind w:firstLine="425"/>
      </w:pPr>
      <w:r>
        <w:rPr>
          <w:rFonts w:ascii="Times New Roman" w:hAnsi="Times New Roman" w:eastAsia="宋体"/>
          <w:b w:val="0"/>
          <w:i w:val="0"/>
          <w:sz w:val="22"/>
        </w:rPr>
        <w:t>二次效用函数是最常用的效用函数形式：</w:t>
      </w:r>
    </w:p>
    <w:p>
      <w:pPr>
        <w:spacing w:before="80" w:after="80"/>
        <w:jc w:val="center"/>
      </w:pPr>
      <m:oMathPara>
        <m:oMath>
          <m:sSub>
            <m:e>
              <m:r>
                <m:t>U</m:t>
              </m:r>
            </m:e>
            <m:sub>
              <m:r>
                <m:t>i</m:t>
              </m:r>
            </m:sub>
          </m:sSub>
          <m:r>
            <m:t>(</m:t>
          </m:r>
          <m:sSub>
            <m:e>
              <m:r>
                <m:t>x</m:t>
              </m:r>
            </m:e>
            <m:sub>
              <m:r>
                <m:t>i</m:t>
              </m:r>
            </m:sub>
          </m:sSub>
          <m:r>
            <m:t>)=</m:t>
          </m:r>
          <m:sSub>
            <m:e>
              <m:r>
                <m:t>a</m:t>
              </m:r>
            </m:e>
            <m:sub>
              <m:r>
                <m:t>i</m:t>
              </m:r>
            </m:sub>
          </m:sSub>
          <m:sSub>
            <m:e>
              <m:r>
                <m:t>x</m:t>
              </m:r>
            </m:e>
            <m:sub>
              <m:r>
                <m:t>i</m:t>
              </m:r>
            </m:sub>
          </m:sSub>
          <m:r>
            <m:t>−</m:t>
          </m:r>
          <m:f>
            <m:fPr>
              <m:type m:val="bar"/>
            </m:fPr>
            <m:num>
              <m:sSub>
                <m:e>
                  <m:r>
                    <m:t>b</m:t>
                  </m:r>
                </m:e>
                <m:sub>
                  <m:r>
                    <m:t>i</m:t>
                  </m:r>
                </m:sub>
              </m:sSub>
            </m:num>
            <m:den>
              <m:r>
                <m:t>2</m:t>
              </m:r>
            </m:den>
          </m:f>
          <m:sSubSup>
            <m:e>
              <m:r>
                <m:t>x</m:t>
              </m:r>
            </m:e>
            <m:sub>
              <m:r>
                <m:t>i</m:t>
              </m:r>
            </m:sub>
            <m:sup>
              <m:r>
                <m:t>2</m:t>
              </m:r>
            </m:sup>
          </m:sSubSup>
        </m:oMath>
      </m:oMathPara>
    </w:p>
    <w:p>
      <w:pPr>
        <w:spacing w:line="360" w:lineRule="auto" w:after="0"/>
        <w:ind w:firstLine="0"/>
      </w:pPr>
      <w:r>
        <w:rPr>
          <w:rFonts w:ascii="Times New Roman" w:hAnsi="Times New Roman" w:eastAsia="宋体"/>
          <w:b w:val="0"/>
          <w:i w:val="0"/>
          <w:sz w:val="22"/>
        </w:rPr>
        <w:t>其中，a_i反映用户i对电力的最大支付意愿，b_i反映边际效用递减的速率。</w:t>
      </w:r>
    </w:p>
    <w:p>
      <w:pPr>
        <w:pStyle w:val="Heading3"/>
        <w:spacing w:before="160" w:after="60"/>
      </w:pPr>
      <w:r>
        <w:rPr>
          <w:rFonts w:ascii="Times New Roman" w:hAnsi="Times New Roman" w:eastAsia="黑体"/>
          <w:b/>
          <w:i w:val="0"/>
          <w:sz w:val="24"/>
        </w:rPr>
        <w:t>4.2.2 最优定价推导</w:t>
      </w:r>
    </w:p>
    <w:p>
      <w:pPr>
        <w:spacing w:line="360" w:lineRule="auto" w:after="0"/>
        <w:ind w:firstLine="425"/>
      </w:pPr>
      <w:r>
        <w:rPr>
          <w:rFonts w:ascii="Times New Roman" w:hAnsi="Times New Roman" w:eastAsia="宋体"/>
          <w:b w:val="0"/>
          <w:i w:val="0"/>
          <w:sz w:val="22"/>
        </w:rPr>
        <w:t>在二次效用函数下，社会福利最大化问题为：</w:t>
      </w:r>
    </w:p>
    <w:p>
      <w:pPr>
        <w:spacing w:before="80" w:after="80"/>
        <w:jc w:val="center"/>
      </w:pPr>
      <m:oMathPara>
        <m:oMath>
          <m:r>
            <m:t>max</m:t>
          </m:r>
          <m:nary>
            <m:naryPr>
              <m:chr m:val="∑"/>
              <m:limLoc m:val="subSup"/>
              <m:grow m:val="1"/>
              <m:subHide m:val="off"/>
              <m:supHide m:val="off"/>
            </m:naryPr>
            <m:sub>
              <m:r>
                <m:t>i=1</m:t>
              </m:r>
            </m:sub>
            <m:sup>
              <m:r>
                <m:t>N</m:t>
              </m:r>
            </m:sup>
            <m:e>
              <m:d>
                <m:dPr>
                  <m:sepChr m:val="−"/>
                </m:dPr>
                <m:e>
                  <m:sSub>
                    <m:e>
                      <m:r>
                        <m:t>a</m:t>
                      </m:r>
                    </m:e>
                    <m:sub>
                      <m:r>
                        <m:t>i</m:t>
                      </m:r>
                    </m:sub>
                  </m:sSub>
                  <m:sSub>
                    <m:e>
                      <m:r>
                        <m:t>x</m:t>
                      </m:r>
                    </m:e>
                    <m:sub>
                      <m:r>
                        <m:t>i</m:t>
                      </m:r>
                    </m:sub>
                  </m:sSub>
                </m:e>
                <m:e>
                  <m:f>
                    <m:fPr>
                      <m:type m:val="bar"/>
                    </m:fPr>
                    <m:num>
                      <m:sSub>
                        <m:e>
                          <m:r>
                            <m:t>b</m:t>
                          </m:r>
                        </m:e>
                        <m:sub>
                          <m:r>
                            <m:t>i</m:t>
                          </m:r>
                        </m:sub>
                      </m:sSub>
                    </m:num>
                    <m:den>
                      <m:r>
                        <m:t>2</m:t>
                      </m:r>
                    </m:den>
                  </m:f>
                  <m:sSubSup>
                    <m:e>
                      <m:r>
                        <m:t>x</m:t>
                      </m:r>
                    </m:e>
                    <m:sub>
                      <m:r>
                        <m:t>i</m:t>
                      </m:r>
                    </m:sub>
                    <m:sup>
                      <m:r>
                        <m:t>2</m:t>
                      </m:r>
                    </m:sup>
                  </m:sSubSup>
                </m:e>
              </m:d>
            </m:e>
          </m:nary>
          <m:r>
            <m:t>−C</m:t>
          </m:r>
          <m:d>
            <m:dPr>
              <m:sepChr m:val=""/>
            </m:dPr>
            <m:e>
              <m:nary>
                <m:naryPr>
                  <m:chr m:val="∑"/>
                  <m:limLoc m:val="subSup"/>
                  <m:grow m:val="1"/>
                  <m:subHide m:val="off"/>
                  <m:supHide m:val="off"/>
                </m:naryPr>
                <m:sub>
                  <m:r>
                    <m:t>i=1</m:t>
                  </m:r>
                </m:sub>
                <m:sup>
                  <m:r>
                    <m:t>N</m:t>
                  </m:r>
                </m:sup>
                <m:e>
                  <m:sSub>
                    <m:e>
                      <m:r>
                        <m:t>x</m:t>
                      </m:r>
                    </m:e>
                    <m:sub>
                      <m:r>
                        <m:t>i</m:t>
                      </m:r>
                    </m:sub>
                  </m:sSub>
                </m:e>
              </m:nary>
            </m:e>
          </m:d>
        </m:oMath>
      </m:oMathPara>
    </w:p>
    <w:p>
      <w:pPr>
        <w:spacing w:line="360" w:lineRule="auto" w:after="0"/>
        <w:ind w:firstLine="0"/>
      </w:pPr>
      <w:r>
        <w:rPr>
          <w:rFonts w:ascii="Times New Roman" w:hAnsi="Times New Roman" w:eastAsia="宋体"/>
          <w:b w:val="0"/>
          <w:i w:val="0"/>
          <w:sz w:val="22"/>
        </w:rPr>
        <w:t>对x_i求偏导并令其等于零，得到一阶最优条件：</w:t>
      </w:r>
    </w:p>
    <w:p>
      <w:pPr>
        <w:spacing w:before="80" w:after="80"/>
        <w:jc w:val="center"/>
      </w:pPr>
      <m:oMathPara>
        <m:oMath>
          <m:sSub>
            <m:e>
              <m:r>
                <m:t>a</m:t>
              </m:r>
            </m:e>
            <m:sub>
              <m:r>
                <m:t>i</m:t>
              </m:r>
            </m:sub>
          </m:sSub>
          <m:r>
            <m:t>−</m:t>
          </m:r>
          <m:sSub>
            <m:e>
              <m:r>
                <m:t>b</m:t>
              </m:r>
            </m:e>
            <m:sub>
              <m:r>
                <m:t>i</m:t>
              </m:r>
            </m:sub>
          </m:sSub>
          <m:sSubSup>
            <m:e>
              <m:r>
                <m:t>x</m:t>
              </m:r>
            </m:e>
            <m:sub>
              <m:r>
                <m:t>i</m:t>
              </m:r>
            </m:sub>
            <m:sup>
              <m:r>
                <m:t>*</m:t>
              </m:r>
            </m:sup>
          </m:sSubSup>
          <m:r>
            <m:t>=</m:t>
          </m:r>
          <m:sSup>
            <m:e>
              <m:r>
                <m:t>C</m:t>
              </m:r>
            </m:e>
            <m:sup>
              <m:r>
                <m:t>′</m:t>
              </m:r>
            </m:sup>
          </m:sSup>
          <m:r>
            <m:t>(</m:t>
          </m:r>
          <m:sSup>
            <m:e>
              <m:r>
                <m:t>Q</m:t>
              </m:r>
            </m:e>
            <m:sup>
              <m:r>
                <m:t>*</m:t>
              </m:r>
            </m:sup>
          </m:sSup>
          <m:r>
            <m:t>)=</m:t>
          </m:r>
          <m:sSup>
            <m:e>
              <m:r>
                <m:t>p</m:t>
              </m:r>
            </m:e>
            <m:sup>
              <m:r>
                <m:t>*</m:t>
              </m:r>
            </m:sup>
          </m:sSup>
        </m:oMath>
      </m:oMathPara>
    </w:p>
    <w:p>
      <w:pPr>
        <w:spacing w:line="360" w:lineRule="auto" w:after="0"/>
        <w:ind w:firstLine="0"/>
      </w:pPr>
      <w:r>
        <w:rPr>
          <w:rFonts w:ascii="Times New Roman" w:hAnsi="Times New Roman" w:eastAsia="宋体"/>
          <w:b w:val="0"/>
          <w:i w:val="0"/>
          <w:sz w:val="22"/>
        </w:rPr>
        <w:t>由此可得用户i的最优用电量：x_i^</w:t>
      </w:r>
      <w:r>
        <w:rPr>
          <w:rFonts w:ascii="Times New Roman" w:hAnsi="Times New Roman" w:eastAsia="宋体"/>
          <w:b w:val="0"/>
          <w:i/>
          <w:sz w:val="22"/>
        </w:rPr>
        <w:t xml:space="preserve"> = (a_i - p^</w:t>
      </w:r>
      <w:r>
        <w:rPr>
          <w:rFonts w:ascii="Times New Roman" w:hAnsi="Times New Roman" w:eastAsia="宋体"/>
          <w:b w:val="0"/>
          <w:i w:val="0"/>
          <w:sz w:val="22"/>
        </w:rPr>
        <w:t>)/(b_i)</w:t>
      </w:r>
    </w:p>
    <w:p>
      <w:pPr>
        <w:spacing w:line="360" w:lineRule="auto" w:after="0"/>
        <w:ind w:firstLine="425"/>
      </w:pPr>
      <w:r>
        <w:rPr>
          <w:rFonts w:ascii="Times New Roman" w:hAnsi="Times New Roman" w:eastAsia="宋体"/>
          <w:b w:val="0"/>
          <w:i w:val="0"/>
          <w:sz w:val="22"/>
        </w:rPr>
        <w:t>总需求函数为：Q(p) = Σ_i=1^N (a_i - p)/(b_i)</w:t>
      </w:r>
    </w:p>
    <w:p>
      <w:pPr>
        <w:spacing w:line="360" w:lineRule="auto" w:after="0"/>
        <w:ind w:firstLine="425"/>
      </w:pPr>
      <w:r>
        <w:rPr>
          <w:rFonts w:ascii="Times New Roman" w:hAnsi="Times New Roman" w:eastAsia="宋体"/>
          <w:b w:val="0"/>
          <w:i w:val="0"/>
          <w:sz w:val="22"/>
        </w:rPr>
        <w:t>将总需求等于供给即可求出最优实时电价p^*</w:t>
      </w:r>
      <w:r>
        <w:rPr>
          <w:rFonts w:ascii="Times New Roman" w:hAnsi="Times New Roman" w:eastAsia="Times New Roman"/>
          <w:b w:val="0"/>
          <w:i w:val="0"/>
          <w:sz w:val="18"/>
          <w:vertAlign w:val="superscript"/>
        </w:rPr>
        <w:t>[5]</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4.2.3 优势与局限</w:t>
      </w:r>
    </w:p>
    <w:p>
      <w:pPr>
        <w:spacing w:line="360" w:lineRule="auto" w:after="0"/>
        <w:ind w:firstLine="425"/>
      </w:pPr>
      <w:r>
        <w:rPr>
          <w:rFonts w:ascii="Times New Roman" w:hAnsi="Times New Roman" w:eastAsia="宋体"/>
          <w:b w:val="0"/>
          <w:i w:val="0"/>
          <w:sz w:val="22"/>
        </w:rPr>
        <w:t>二次效用函数的优势在于数学处理简便、解析解可求、经济含义清晰。Samadi等（2010）在其开创性工作中使用了二次效用函数</w:t>
      </w:r>
      <w:r>
        <w:rPr>
          <w:rFonts w:ascii="Times New Roman" w:hAnsi="Times New Roman" w:eastAsia="Times New Roman"/>
          <w:b w:val="0"/>
          <w:i w:val="0"/>
          <w:sz w:val="18"/>
          <w:vertAlign w:val="superscript"/>
        </w:rPr>
        <w:t>[5]</w:t>
      </w:r>
      <w:r>
        <w:rPr>
          <w:rFonts w:ascii="Times New Roman" w:hAnsi="Times New Roman" w:eastAsia="宋体"/>
          <w:b w:val="0"/>
          <w:i w:val="0"/>
          <w:sz w:val="22"/>
        </w:rPr>
        <w:t>。高岩团队的大量研究也以二次效用函数为基础</w:t>
      </w:r>
      <w:r>
        <w:rPr>
          <w:rFonts w:ascii="Times New Roman" w:hAnsi="Times New Roman" w:eastAsia="Times New Roman"/>
          <w:b w:val="0"/>
          <w:i w:val="0"/>
          <w:sz w:val="18"/>
          <w:vertAlign w:val="superscript"/>
        </w:rPr>
        <w:t>[1]</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其局限在于：二次函数的对称性假设在实际中可能不成立；无法刻画效用饱和后继续用电效用递减的情况；对极端用电行为的描述不够灵活。</w:t>
      </w:r>
    </w:p>
    <w:p>
      <w:pPr>
        <w:pStyle w:val="Heading2"/>
        <w:spacing w:before="240" w:after="80"/>
      </w:pPr>
      <w:r>
        <w:rPr>
          <w:rFonts w:ascii="Times New Roman" w:hAnsi="Times New Roman" w:eastAsia="黑体"/>
          <w:b/>
          <w:i w:val="0"/>
          <w:sz w:val="28"/>
        </w:rPr>
        <w:t>4.3 对数效用函数模型</w:t>
      </w:r>
    </w:p>
    <w:p>
      <w:pPr>
        <w:pStyle w:val="Heading3"/>
        <w:spacing w:before="160" w:after="60"/>
      </w:pPr>
      <w:r>
        <w:rPr>
          <w:rFonts w:ascii="Times New Roman" w:hAnsi="Times New Roman" w:eastAsia="黑体"/>
          <w:b/>
          <w:i w:val="0"/>
          <w:sz w:val="24"/>
        </w:rPr>
        <w:t>4.3.1 模型形式</w:t>
      </w:r>
    </w:p>
    <w:p>
      <w:pPr>
        <w:spacing w:line="360" w:lineRule="auto" w:after="0"/>
        <w:ind w:firstLine="425"/>
      </w:pPr>
      <w:r>
        <w:rPr>
          <w:rFonts w:ascii="Times New Roman" w:hAnsi="Times New Roman" w:eastAsia="宋体"/>
          <w:b w:val="0"/>
          <w:i w:val="0"/>
          <w:sz w:val="22"/>
        </w:rPr>
        <w:t>对数效用函数的形式为：</w:t>
      </w:r>
    </w:p>
    <w:p>
      <w:pPr>
        <w:spacing w:before="80" w:after="80"/>
        <w:jc w:val="center"/>
      </w:pPr>
      <m:oMathPara>
        <m:oMath>
          <m:sSub>
            <m:e>
              <m:r>
                <m:t>U</m:t>
              </m:r>
            </m:e>
            <m:sub>
              <m:r>
                <m:t>i</m:t>
              </m:r>
            </m:sub>
          </m:sSub>
          <m:r>
            <m:t>(</m:t>
          </m:r>
          <m:sSub>
            <m:e>
              <m:r>
                <m:t>x</m:t>
              </m:r>
            </m:e>
            <m:sub>
              <m:r>
                <m:t>i</m:t>
              </m:r>
            </m:sub>
          </m:sSub>
          <m:r>
            <m:t>)=</m:t>
          </m:r>
          <m:sSub>
            <m:e>
              <m:r>
                <m:t>a</m:t>
              </m:r>
            </m:e>
            <m:sub>
              <m:r>
                <m:t>i</m:t>
              </m:r>
            </m:sub>
          </m:sSub>
          <m:r>
            <m:rPr>
              <m:sty m:val="p"/>
            </m:rPr>
            <m:t>ln</m:t>
          </m:r>
          <m:r>
            <m:t>(</m:t>
          </m:r>
          <m:sSub>
            <m:e>
              <m:r>
                <m:t>x</m:t>
              </m:r>
            </m:e>
            <m:sub>
              <m:r>
                <m:t>i</m:t>
              </m:r>
            </m:sub>
          </m:sSub>
          <m:r>
            <m:t>+</m:t>
          </m:r>
          <m:sSub>
            <m:e>
              <m:r>
                <m:t>b</m:t>
              </m:r>
            </m:e>
            <m:sub>
              <m:r>
                <m:t>i</m:t>
              </m:r>
            </m:sub>
          </m:sSub>
          <m:r>
            <m:t>)</m:t>
          </m:r>
        </m:oMath>
      </m:oMathPara>
    </w:p>
    <w:p>
      <w:pPr>
        <w:spacing w:line="360" w:lineRule="auto" w:after="0"/>
        <w:ind w:firstLine="0"/>
      </w:pPr>
      <w:r>
        <w:rPr>
          <w:rFonts w:ascii="Times New Roman" w:hAnsi="Times New Roman" w:eastAsia="宋体"/>
          <w:b w:val="0"/>
          <w:i w:val="0"/>
          <w:sz w:val="22"/>
        </w:rPr>
        <w:t>其中，a_i为偏好参数，b_i为偏移参数（保证x_i=0时效用有限）。</w:t>
      </w:r>
    </w:p>
    <w:p>
      <w:pPr>
        <w:pStyle w:val="Heading3"/>
        <w:spacing w:before="160" w:after="60"/>
      </w:pPr>
      <w:r>
        <w:rPr>
          <w:rFonts w:ascii="Times New Roman" w:hAnsi="Times New Roman" w:eastAsia="黑体"/>
          <w:b/>
          <w:i w:val="0"/>
          <w:sz w:val="24"/>
        </w:rPr>
        <w:t>4.3.2 特性分析</w:t>
      </w:r>
    </w:p>
    <w:p>
      <w:pPr>
        <w:spacing w:line="360" w:lineRule="auto" w:after="0"/>
        <w:ind w:firstLine="425"/>
      </w:pPr>
      <w:r>
        <w:rPr>
          <w:rFonts w:ascii="Times New Roman" w:hAnsi="Times New Roman" w:eastAsia="宋体"/>
          <w:b w:val="0"/>
          <w:i w:val="0"/>
          <w:sz w:val="22"/>
        </w:rPr>
        <w:t>对数效用函数具有以下特性：</w:t>
      </w:r>
    </w:p>
    <w:p>
      <w:pPr>
        <w:pStyle w:val="ListBullet"/>
        <w:spacing w:line="360" w:lineRule="auto" w:after="0"/>
      </w:pPr>
      <w:r>
        <w:rPr>
          <w:rFonts w:ascii="Times New Roman" w:hAnsi="Times New Roman" w:eastAsia="宋体"/>
          <w:b w:val="0"/>
          <w:i w:val="0"/>
          <w:sz w:val="22"/>
        </w:rPr>
        <w:t>边际效用U'(x) = (a)/(x+b)随x增大而递减，满足边际效用递减</w:t>
      </w:r>
    </w:p>
    <w:p>
      <w:pPr>
        <w:pStyle w:val="ListBullet"/>
        <w:spacing w:line="360" w:lineRule="auto" w:after="0"/>
      </w:pPr>
      <w:r>
        <w:rPr>
          <w:rFonts w:ascii="Times New Roman" w:hAnsi="Times New Roman" w:eastAsia="宋体"/>
          <w:b w:val="0"/>
          <w:i w:val="0"/>
          <w:sz w:val="22"/>
        </w:rPr>
        <w:t>边际效用递减速率逐渐放缓，适用于弹性较高的用户</w:t>
      </w:r>
    </w:p>
    <w:p>
      <w:pPr>
        <w:pStyle w:val="ListBullet"/>
        <w:spacing w:line="360" w:lineRule="auto" w:after="0"/>
      </w:pPr>
      <w:r>
        <w:rPr>
          <w:rFonts w:ascii="Times New Roman" w:hAnsi="Times New Roman" w:eastAsia="宋体"/>
          <w:b w:val="0"/>
          <w:i w:val="0"/>
          <w:sz w:val="22"/>
        </w:rPr>
        <w:t>当x → ∞时，U(x) → ∞但U'(x) → 0，即效用无上界但增速趋于零</w:t>
      </w:r>
    </w:p>
    <w:p>
      <w:pPr>
        <w:pStyle w:val="Heading3"/>
        <w:spacing w:before="160" w:after="60"/>
      </w:pPr>
      <w:r>
        <w:rPr>
          <w:rFonts w:ascii="Times New Roman" w:hAnsi="Times New Roman" w:eastAsia="黑体"/>
          <w:b/>
          <w:i w:val="0"/>
          <w:sz w:val="24"/>
        </w:rPr>
        <w:t>4.3.3 应用场景</w:t>
      </w:r>
    </w:p>
    <w:p>
      <w:pPr>
        <w:spacing w:line="360" w:lineRule="auto" w:after="0"/>
        <w:ind w:firstLine="425"/>
      </w:pPr>
      <w:r>
        <w:rPr>
          <w:rFonts w:ascii="Times New Roman" w:hAnsi="Times New Roman" w:eastAsia="宋体"/>
          <w:b w:val="0"/>
          <w:i w:val="0"/>
          <w:sz w:val="22"/>
        </w:rPr>
        <w:t>对数效用函数适用于描述对电力价格较为敏感的用户群体，如大型商业用户和具有替代能源选择的工业用户。在这些场景下，用户的价格弹性较高，用电量的调整空间较大，对数效用函数能更好地刻画这种行为特征</w:t>
      </w:r>
      <w:r>
        <w:rPr>
          <w:rFonts w:ascii="Times New Roman" w:hAnsi="Times New Roman" w:eastAsia="Times New Roman"/>
          <w:b w:val="0"/>
          <w:i w:val="0"/>
          <w:sz w:val="18"/>
          <w:vertAlign w:val="superscript"/>
        </w:rPr>
        <w:t>[6]</w:t>
      </w:r>
      <w:r>
        <w:rPr>
          <w:rFonts w:ascii="Times New Roman" w:hAnsi="Times New Roman" w:eastAsia="宋体"/>
          <w:b w:val="0"/>
          <w:i w:val="0"/>
          <w:sz w:val="22"/>
        </w:rPr>
        <w:t>。</w:t>
      </w:r>
    </w:p>
    <w:p>
      <w:pPr>
        <w:pStyle w:val="Heading2"/>
        <w:spacing w:before="240" w:after="80"/>
      </w:pPr>
      <w:r>
        <w:rPr>
          <w:rFonts w:ascii="Times New Roman" w:hAnsi="Times New Roman" w:eastAsia="黑体"/>
          <w:b/>
          <w:i w:val="0"/>
          <w:sz w:val="28"/>
        </w:rPr>
        <w:t>4.4 分片线性效用函数</w:t>
      </w:r>
    </w:p>
    <w:p>
      <w:pPr>
        <w:pStyle w:val="Heading3"/>
        <w:spacing w:before="160" w:after="60"/>
      </w:pPr>
      <w:r>
        <w:rPr>
          <w:rFonts w:ascii="Times New Roman" w:hAnsi="Times New Roman" w:eastAsia="黑体"/>
          <w:b/>
          <w:i w:val="0"/>
          <w:sz w:val="24"/>
        </w:rPr>
        <w:t>4.4.1 模型动机</w:t>
      </w:r>
    </w:p>
    <w:p>
      <w:pPr>
        <w:spacing w:line="360" w:lineRule="auto" w:after="0"/>
        <w:ind w:firstLine="425"/>
      </w:pPr>
      <w:r>
        <w:rPr>
          <w:rFonts w:ascii="Times New Roman" w:hAnsi="Times New Roman" w:eastAsia="宋体"/>
          <w:b w:val="0"/>
          <w:i w:val="0"/>
          <w:sz w:val="22"/>
        </w:rPr>
        <w:t>许志宏和高岩（2018）指出，二次效用函数和对数效用函数等传统效用函数对不同用户偏好不具备一般性，在求解时需要分类讨论。为此，他们提出了分片线性效用函数（Piecewise Linear Utility Function），通过分段线性逼近一般效用函数，具有更强的通用性和可解释性</w:t>
      </w:r>
      <w:r>
        <w:rPr>
          <w:rFonts w:ascii="Times New Roman" w:hAnsi="Times New Roman" w:eastAsia="Times New Roman"/>
          <w:b w:val="0"/>
          <w:i w:val="0"/>
          <w:sz w:val="18"/>
          <w:vertAlign w:val="superscript"/>
        </w:rPr>
        <w:t>[1]</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4.4.2 模型形式</w:t>
      </w:r>
    </w:p>
    <w:p>
      <w:pPr>
        <w:spacing w:line="360" w:lineRule="auto" w:after="0"/>
        <w:ind w:firstLine="425"/>
      </w:pPr>
      <w:r>
        <w:rPr>
          <w:rFonts w:ascii="Times New Roman" w:hAnsi="Times New Roman" w:eastAsia="宋体"/>
          <w:b w:val="0"/>
          <w:i w:val="0"/>
          <w:sz w:val="22"/>
        </w:rPr>
        <w:t>分片线性效用函数定义为：</w:t>
      </w:r>
    </w:p>
    <w:p>
      <w:pPr>
        <w:spacing w:before="80" w:after="80"/>
        <w:jc w:val="center"/>
      </w:pPr>
      <m:oMathPara>
        <m:oMath>
          <m:r>
            <m:t>U(x)=</m:t>
          </m:r>
          <m:d>
            <m:dPr>
              <m:begChr m:val="{"/>
              <m:sepChr m:val=""/>
              <m:endChr m:val=""/>
            </m:dPr>
            <m:e>
              <m:m>
                <m:mPr>
                  <m:baseJc m:val="center"/>
                  <m:plcHide m:val="on"/>
                  <m:mcs>
                    <m:mc>
                      <m:mcPr>
                        <m:count m:val="2"/>
                        <m:mcJc m:val="center"/>
                      </m:mcPr>
                    </m:mc>
                  </m:mcs>
                </m:mPr>
                <m:mr>
                  <m:e>
                    <m:sSub>
                      <m:e>
                        <m:r>
                          <m:t>α</m:t>
                        </m:r>
                      </m:e>
                      <m:sub>
                        <m:r>
                          <m:t>1</m:t>
                        </m:r>
                      </m:sub>
                    </m:sSub>
                    <m:r>
                      <m:t>x,</m:t>
                    </m:r>
                  </m:e>
                  <m:e>
                    <m:r>
                      <m:t>0≤x≤</m:t>
                    </m:r>
                    <m:sSub>
                      <m:e>
                        <m:r>
                          <m:t>x</m:t>
                        </m:r>
                      </m:e>
                      <m:sub>
                        <m:r>
                          <m:t>1</m:t>
                        </m:r>
                      </m:sub>
                    </m:sSub>
                  </m:e>
                </m:mr>
                <m:mr>
                  <m:e>
                    <m:sSub>
                      <m:e>
                        <m:r>
                          <m:t>α</m:t>
                        </m:r>
                      </m:e>
                      <m:sub>
                        <m:r>
                          <m:t>1</m:t>
                        </m:r>
                      </m:sub>
                    </m:sSub>
                    <m:sSub>
                      <m:e>
                        <m:r>
                          <m:t>x</m:t>
                        </m:r>
                      </m:e>
                      <m:sub>
                        <m:r>
                          <m:t>1</m:t>
                        </m:r>
                      </m:sub>
                    </m:sSub>
                    <m:r>
                      <m:t>+</m:t>
                    </m:r>
                    <m:sSub>
                      <m:e>
                        <m:r>
                          <m:t>α</m:t>
                        </m:r>
                      </m:e>
                      <m:sub>
                        <m:r>
                          <m:t>2</m:t>
                        </m:r>
                      </m:sub>
                    </m:sSub>
                    <m:r>
                      <m:t>(x−</m:t>
                    </m:r>
                    <m:sSub>
                      <m:e>
                        <m:r>
                          <m:t>x</m:t>
                        </m:r>
                      </m:e>
                      <m:sub>
                        <m:r>
                          <m:t>1</m:t>
                        </m:r>
                      </m:sub>
                    </m:sSub>
                    <m:r>
                      <m:t>),</m:t>
                    </m:r>
                  </m:e>
                  <m:e>
                    <m:sSub>
                      <m:e>
                        <m:r>
                          <m:t>x</m:t>
                        </m:r>
                      </m:e>
                      <m:sub>
                        <m:r>
                          <m:t>1</m:t>
                        </m:r>
                      </m:sub>
                    </m:sSub>
                    <m:r>
                      <m:t>&lt;x≤</m:t>
                    </m:r>
                    <m:sSub>
                      <m:e>
                        <m:r>
                          <m:t>x</m:t>
                        </m:r>
                      </m:e>
                      <m:sub>
                        <m:r>
                          <m:t>2</m:t>
                        </m:r>
                      </m:sub>
                    </m:sSub>
                  </m:e>
                </m:mr>
                <m:mr>
                  <m:e>
                    <m:r>
                      <m:t>⋮</m:t>
                    </m:r>
                  </m:e>
                  <m:e/>
                </m:mr>
                <m:mr>
                  <m:e>
                    <m:nary>
                      <m:naryPr>
                        <m:chr m:val="∑"/>
                        <m:limLoc m:val="subSup"/>
                        <m:grow m:val="1"/>
                        <m:subHide m:val="off"/>
                        <m:supHide m:val="off"/>
                      </m:naryPr>
                      <m:sub>
                        <m:r>
                          <m:t>k=1</m:t>
                        </m:r>
                      </m:sub>
                      <m:sup>
                        <m:r>
                          <m:t>K−1</m:t>
                        </m:r>
                      </m:sup>
                      <m:e>
                        <m:sSub>
                          <m:e>
                            <m:r>
                              <m:t>α</m:t>
                            </m:r>
                          </m:e>
                          <m:sub>
                            <m:r>
                              <m:t>k</m:t>
                            </m:r>
                          </m:sub>
                        </m:sSub>
                      </m:e>
                    </m:nary>
                    <m:r>
                      <m:t>(</m:t>
                    </m:r>
                    <m:sSub>
                      <m:e>
                        <m:r>
                          <m:t>x</m:t>
                        </m:r>
                      </m:e>
                      <m:sub>
                        <m:r>
                          <m:t>k</m:t>
                        </m:r>
                      </m:sub>
                    </m:sSub>
                    <m:r>
                      <m:t>−</m:t>
                    </m:r>
                    <m:sSub>
                      <m:e>
                        <m:r>
                          <m:t>x</m:t>
                        </m:r>
                      </m:e>
                      <m:sub>
                        <m:r>
                          <m:t>k−1</m:t>
                        </m:r>
                      </m:sub>
                    </m:sSub>
                    <m:r>
                      <m:t>)+</m:t>
                    </m:r>
                    <m:sSub>
                      <m:e>
                        <m:r>
                          <m:t>α</m:t>
                        </m:r>
                      </m:e>
                      <m:sub>
                        <m:r>
                          <m:t>K</m:t>
                        </m:r>
                      </m:sub>
                    </m:sSub>
                    <m:r>
                      <m:t>(x−</m:t>
                    </m:r>
                    <m:sSub>
                      <m:e>
                        <m:r>
                          <m:t>x</m:t>
                        </m:r>
                      </m:e>
                      <m:sub>
                        <m:r>
                          <m:t>K−1</m:t>
                        </m:r>
                      </m:sub>
                    </m:sSub>
                    <m:r>
                      <m:t>),</m:t>
                    </m:r>
                  </m:e>
                  <m:e>
                    <m:r>
                      <m:t>x&gt;</m:t>
                    </m:r>
                    <m:sSub>
                      <m:e>
                        <m:r>
                          <m:t>x</m:t>
                        </m:r>
                      </m:e>
                      <m:sub>
                        <m:r>
                          <m:t>K−1</m:t>
                        </m:r>
                      </m:sub>
                    </m:sSub>
                  </m:e>
                </m:mr>
              </m:m>
            </m:e>
          </m:d>
        </m:oMath>
      </m:oMathPara>
    </w:p>
    <w:p>
      <w:pPr>
        <w:spacing w:line="360" w:lineRule="auto" w:after="0"/>
        <w:ind w:firstLine="0"/>
      </w:pPr>
      <w:r>
        <w:rPr>
          <w:rFonts w:ascii="Times New Roman" w:hAnsi="Times New Roman" w:eastAsia="宋体"/>
          <w:b w:val="0"/>
          <w:i w:val="0"/>
          <w:sz w:val="22"/>
        </w:rPr>
        <w:t>其中，α_1 &gt; α_2 &gt; ⋯ &gt; α_K &gt; 0为各分段的斜率（边际效用），x_1, x_2, …, x_K-1为分段点。</w:t>
      </w:r>
    </w:p>
    <w:p>
      <w:pPr>
        <w:pStyle w:val="Heading3"/>
        <w:spacing w:before="160" w:after="60"/>
      </w:pPr>
      <w:r>
        <w:rPr>
          <w:rFonts w:ascii="Times New Roman" w:hAnsi="Times New Roman" w:eastAsia="黑体"/>
          <w:b/>
          <w:i w:val="0"/>
          <w:sz w:val="24"/>
        </w:rPr>
        <w:t>4.4.3 求解方法</w:t>
      </w:r>
    </w:p>
    <w:p>
      <w:pPr>
        <w:spacing w:line="360" w:lineRule="auto" w:after="0"/>
        <w:ind w:firstLine="425"/>
      </w:pPr>
      <w:r>
        <w:rPr>
          <w:rFonts w:ascii="Times New Roman" w:hAnsi="Times New Roman" w:eastAsia="宋体"/>
          <w:b w:val="0"/>
          <w:i w:val="0"/>
          <w:sz w:val="22"/>
        </w:rPr>
        <w:t>分片线性效用函数在分段点处不可微，导致社会福利最大化问题转化为非光滑优化问题。许志宏和高岩（2018）采用光滑化方法处理非光滑性：通过引入光滑化参数μ，用光滑函数逼近分片线性函数，将非光滑优化问题转化为可微优化问题，然后设计对偶次梯度算法求解</w:t>
      </w:r>
      <w:r>
        <w:rPr>
          <w:rFonts w:ascii="Times New Roman" w:hAnsi="Times New Roman" w:eastAsia="Times New Roman"/>
          <w:b w:val="0"/>
          <w:i w:val="0"/>
          <w:sz w:val="18"/>
          <w:vertAlign w:val="superscript"/>
        </w:rPr>
        <w:t>[1]</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4.4.4 优势与应用</w:t>
      </w:r>
    </w:p>
    <w:p>
      <w:pPr>
        <w:spacing w:line="360" w:lineRule="auto" w:after="0"/>
        <w:ind w:firstLine="425"/>
      </w:pPr>
      <w:r>
        <w:rPr>
          <w:rFonts w:ascii="Times New Roman" w:hAnsi="Times New Roman" w:eastAsia="宋体"/>
          <w:b w:val="0"/>
          <w:i w:val="0"/>
          <w:sz w:val="22"/>
        </w:rPr>
        <w:t>分片线性效用函数的优势在于：</w:t>
      </w:r>
    </w:p>
    <w:p>
      <w:pPr>
        <w:pStyle w:val="ListBullet"/>
        <w:spacing w:line="360" w:lineRule="auto" w:after="0"/>
      </w:pPr>
      <w:r>
        <w:rPr>
          <w:rFonts w:ascii="Times New Roman" w:hAnsi="Times New Roman" w:eastAsia="宋体"/>
          <w:b/>
          <w:i w:val="0"/>
          <w:sz w:val="22"/>
        </w:rPr>
        <w:t>通用性</w:t>
      </w:r>
      <w:r>
        <w:rPr>
          <w:rFonts w:ascii="Times New Roman" w:hAnsi="Times New Roman" w:eastAsia="宋体"/>
          <w:b w:val="0"/>
          <w:i w:val="0"/>
          <w:sz w:val="22"/>
        </w:rPr>
        <w:t>：可以逼近任意连续的凹效用函数</w:t>
      </w:r>
    </w:p>
    <w:p>
      <w:pPr>
        <w:pStyle w:val="ListBullet"/>
        <w:spacing w:line="360" w:lineRule="auto" w:after="0"/>
      </w:pPr>
      <w:r>
        <w:rPr>
          <w:rFonts w:ascii="Times New Roman" w:hAnsi="Times New Roman" w:eastAsia="宋体"/>
          <w:b/>
          <w:i w:val="0"/>
          <w:sz w:val="22"/>
        </w:rPr>
        <w:t>可解释性</w:t>
      </w:r>
      <w:r>
        <w:rPr>
          <w:rFonts w:ascii="Times New Roman" w:hAnsi="Times New Roman" w:eastAsia="宋体"/>
          <w:b w:val="0"/>
          <w:i w:val="0"/>
          <w:sz w:val="22"/>
        </w:rPr>
        <w:t>：各分段的斜率直接对应用户在不同用电水平下的边际效用</w:t>
      </w:r>
    </w:p>
    <w:p>
      <w:pPr>
        <w:pStyle w:val="ListBullet"/>
        <w:spacing w:line="360" w:lineRule="auto" w:after="0"/>
      </w:pPr>
      <w:r>
        <w:rPr>
          <w:rFonts w:ascii="Times New Roman" w:hAnsi="Times New Roman" w:eastAsia="宋体"/>
          <w:b/>
          <w:i w:val="0"/>
          <w:sz w:val="22"/>
        </w:rPr>
        <w:t>灵活性</w:t>
      </w:r>
      <w:r>
        <w:rPr>
          <w:rFonts w:ascii="Times New Roman" w:hAnsi="Times New Roman" w:eastAsia="宋体"/>
          <w:b w:val="0"/>
          <w:i w:val="0"/>
          <w:sz w:val="22"/>
        </w:rPr>
        <w:t>：分段数和分段点可根据用户特征灵活设定</w:t>
      </w:r>
    </w:p>
    <w:p>
      <w:pPr>
        <w:pStyle w:val="ListBullet"/>
        <w:spacing w:line="360" w:lineRule="auto" w:after="0"/>
      </w:pPr>
      <w:r>
        <w:rPr>
          <w:rFonts w:ascii="Times New Roman" w:hAnsi="Times New Roman" w:eastAsia="宋体"/>
          <w:b/>
          <w:i w:val="0"/>
          <w:sz w:val="22"/>
        </w:rPr>
        <w:t>实用性</w:t>
      </w:r>
      <w:r>
        <w:rPr>
          <w:rFonts w:ascii="Times New Roman" w:hAnsi="Times New Roman" w:eastAsia="宋体"/>
          <w:b w:val="0"/>
          <w:i w:val="0"/>
          <w:sz w:val="22"/>
        </w:rPr>
        <w:t>：更贴近实际用户用电行为</w:t>
      </w:r>
    </w:p>
    <w:p>
      <w:pPr>
        <w:spacing w:line="360" w:lineRule="auto" w:after="0"/>
        <w:ind w:firstLine="425"/>
      </w:pPr>
      <w:r>
        <w:rPr>
          <w:rFonts w:ascii="Times New Roman" w:hAnsi="Times New Roman" w:eastAsia="宋体"/>
          <w:b w:val="0"/>
          <w:i w:val="0"/>
          <w:sz w:val="22"/>
        </w:rPr>
        <w:t>该模型已成功应用于张莉等（2019）的时间耦合约束多时段实时电价研究</w:t>
      </w:r>
      <w:r>
        <w:rPr>
          <w:rFonts w:ascii="Times New Roman" w:hAnsi="Times New Roman" w:eastAsia="Times New Roman"/>
          <w:b w:val="0"/>
          <w:i w:val="0"/>
          <w:sz w:val="18"/>
          <w:vertAlign w:val="superscript"/>
        </w:rPr>
        <w:t>[7]</w:t>
      </w:r>
      <w:r>
        <w:rPr>
          <w:rFonts w:ascii="Times New Roman" w:hAnsi="Times New Roman" w:eastAsia="宋体"/>
          <w:b w:val="0"/>
          <w:i w:val="0"/>
          <w:sz w:val="22"/>
        </w:rPr>
        <w:t>和李军祥等（2019）的用户电器分类实时定价研究</w:t>
      </w:r>
      <w:r>
        <w:rPr>
          <w:rFonts w:ascii="Times New Roman" w:hAnsi="Times New Roman" w:eastAsia="Times New Roman"/>
          <w:b w:val="0"/>
          <w:i w:val="0"/>
          <w:sz w:val="18"/>
          <w:vertAlign w:val="superscript"/>
        </w:rPr>
        <w:t>[8]</w:t>
      </w:r>
      <w:r>
        <w:rPr>
          <w:rFonts w:ascii="Times New Roman" w:hAnsi="Times New Roman" w:eastAsia="宋体"/>
          <w:b w:val="0"/>
          <w:i w:val="0"/>
          <w:sz w:val="22"/>
        </w:rPr>
        <w:t>。</w:t>
      </w:r>
    </w:p>
    <w:p>
      <w:pPr>
        <w:pStyle w:val="Heading2"/>
        <w:spacing w:before="240" w:after="80"/>
      </w:pPr>
      <w:r>
        <w:rPr>
          <w:rFonts w:ascii="Times New Roman" w:hAnsi="Times New Roman" w:eastAsia="黑体"/>
          <w:b/>
          <w:i w:val="0"/>
          <w:sz w:val="28"/>
        </w:rPr>
        <w:t>4.5 非递减边际效用函数</w:t>
      </w:r>
    </w:p>
    <w:p>
      <w:pPr>
        <w:pStyle w:val="Heading3"/>
        <w:spacing w:before="160" w:after="60"/>
      </w:pPr>
      <w:r>
        <w:rPr>
          <w:rFonts w:ascii="Times New Roman" w:hAnsi="Times New Roman" w:eastAsia="黑体"/>
          <w:b/>
          <w:i w:val="0"/>
          <w:sz w:val="24"/>
        </w:rPr>
        <w:t>4.5.1 模型动机</w:t>
      </w:r>
    </w:p>
    <w:p>
      <w:pPr>
        <w:spacing w:line="360" w:lineRule="auto" w:after="0"/>
        <w:ind w:firstLine="425"/>
      </w:pPr>
      <w:r>
        <w:rPr>
          <w:rFonts w:ascii="Times New Roman" w:hAnsi="Times New Roman" w:eastAsia="宋体"/>
          <w:b w:val="0"/>
          <w:i w:val="0"/>
          <w:sz w:val="22"/>
        </w:rPr>
        <w:t>传统效用函数假设边际效用递减（U''(x) &lt; 0）。然而，某些用户群体（如工业用户在批量生产时）的边际效用可能非递减。高岩团队研究了非递减边际效用函数的实时电价问题，放宽了传统假设</w:t>
      </w:r>
      <w:r>
        <w:rPr>
          <w:rFonts w:ascii="Times New Roman" w:hAnsi="Times New Roman" w:eastAsia="Times New Roman"/>
          <w:b w:val="0"/>
          <w:i w:val="0"/>
          <w:sz w:val="18"/>
          <w:vertAlign w:val="superscript"/>
        </w:rPr>
        <w:t>[9]</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4.5.2 模型形式与求解</w:t>
      </w:r>
    </w:p>
    <w:p>
      <w:pPr>
        <w:spacing w:line="360" w:lineRule="auto" w:after="0"/>
        <w:ind w:firstLine="425"/>
      </w:pPr>
      <w:r>
        <w:rPr>
          <w:rFonts w:ascii="Times New Roman" w:hAnsi="Times New Roman" w:eastAsia="宋体"/>
          <w:b w:val="0"/>
          <w:i w:val="0"/>
          <w:sz w:val="22"/>
        </w:rPr>
        <w:t>非递减边际效用函数的边际效用U'(x)随x增大不递减。这导致社会福利最大化问题不再具有凸性，传统凸优化方法不再适用。研究团队开发了专门的非光滑优化算法来处理这类非凸问题，包括改进大洪水算法</w:t>
      </w:r>
      <w:r>
        <w:rPr>
          <w:rFonts w:ascii="Times New Roman" w:hAnsi="Times New Roman" w:eastAsia="Times New Roman"/>
          <w:b w:val="0"/>
          <w:i w:val="0"/>
          <w:sz w:val="18"/>
          <w:vertAlign w:val="superscript"/>
        </w:rPr>
        <w:t>[10]</w:t>
      </w:r>
      <w:r>
        <w:rPr>
          <w:rFonts w:ascii="Times New Roman" w:hAnsi="Times New Roman" w:eastAsia="宋体"/>
          <w:b w:val="0"/>
          <w:i w:val="0"/>
          <w:sz w:val="22"/>
        </w:rPr>
        <w:t>和CVaR相关的非光滑优化方法</w:t>
      </w:r>
      <w:r>
        <w:rPr>
          <w:rFonts w:ascii="Times New Roman" w:hAnsi="Times New Roman" w:eastAsia="Times New Roman"/>
          <w:b w:val="0"/>
          <w:i w:val="0"/>
          <w:sz w:val="18"/>
          <w:vertAlign w:val="superscript"/>
        </w:rPr>
        <w:t>[11]</w:t>
      </w:r>
      <w:r>
        <w:rPr>
          <w:rFonts w:ascii="Times New Roman" w:hAnsi="Times New Roman" w:eastAsia="宋体"/>
          <w:b w:val="0"/>
          <w:i w:val="0"/>
          <w:sz w:val="22"/>
        </w:rPr>
        <w:t>。</w:t>
      </w:r>
    </w:p>
    <w:p>
      <w:pPr>
        <w:pStyle w:val="Heading2"/>
        <w:spacing w:before="240" w:after="80"/>
      </w:pPr>
      <w:r>
        <w:rPr>
          <w:rFonts w:ascii="Times New Roman" w:hAnsi="Times New Roman" w:eastAsia="黑体"/>
          <w:b/>
          <w:i w:val="0"/>
          <w:sz w:val="28"/>
        </w:rPr>
        <w:t>4.6 不同效用函数的比较分析</w:t>
      </w:r>
    </w:p>
    <w:tbl>
      <w:tblPr>
        <w:tblStyle w:val="LightGrid-Accent1"/>
        <w:tblW w:type="auto" w:w="0"/>
        <w:jc w:val="center"/>
        <w:tblLook w:firstColumn="1" w:firstRow="1" w:lastColumn="0" w:lastRow="0" w:noHBand="0" w:noVBand="1" w:val="04A0"/>
      </w:tblPr>
      <w:tblGrid>
        <w:gridCol w:w="1701"/>
        <w:gridCol w:w="1701"/>
        <w:gridCol w:w="1701"/>
        <w:gridCol w:w="1701"/>
        <w:gridCol w:w="1701"/>
      </w:tblGrid>
      <w:tr>
        <w:tc>
          <w:tcPr>
            <w:tcW w:type="dxa" w:w="1701"/>
          </w:tcPr>
          <w:p>
            <w:pPr>
              <w:spacing w:after="40" w:before="40"/>
            </w:pPr>
            <w:r>
              <w:rPr>
                <w:b/>
              </w:rPr>
            </w:r>
            <w:r>
              <w:rPr>
                <w:rFonts w:ascii="Times New Roman" w:hAnsi="Times New Roman" w:eastAsia="黑体"/>
                <w:b/>
                <w:i w:val="0"/>
                <w:sz w:val="20"/>
              </w:rPr>
              <w:t>比较维度</w:t>
            </w:r>
          </w:p>
        </w:tc>
        <w:tc>
          <w:tcPr>
            <w:tcW w:type="dxa" w:w="1701"/>
          </w:tcPr>
          <w:p>
            <w:pPr>
              <w:spacing w:after="40" w:before="40"/>
            </w:pPr>
            <w:r>
              <w:rPr>
                <w:b/>
              </w:rPr>
            </w:r>
            <w:r>
              <w:rPr>
                <w:rFonts w:ascii="Times New Roman" w:hAnsi="Times New Roman" w:eastAsia="黑体"/>
                <w:b/>
                <w:i w:val="0"/>
                <w:sz w:val="20"/>
              </w:rPr>
              <w:t>二次效用</w:t>
            </w:r>
          </w:p>
        </w:tc>
        <w:tc>
          <w:tcPr>
            <w:tcW w:type="dxa" w:w="1701"/>
          </w:tcPr>
          <w:p>
            <w:pPr>
              <w:spacing w:after="40" w:before="40"/>
            </w:pPr>
            <w:r>
              <w:rPr>
                <w:b/>
              </w:rPr>
            </w:r>
            <w:r>
              <w:rPr>
                <w:rFonts w:ascii="Times New Roman" w:hAnsi="Times New Roman" w:eastAsia="黑体"/>
                <w:b/>
                <w:i w:val="0"/>
                <w:sz w:val="20"/>
              </w:rPr>
              <w:t>对数效用</w:t>
            </w:r>
          </w:p>
        </w:tc>
        <w:tc>
          <w:tcPr>
            <w:tcW w:type="dxa" w:w="1701"/>
          </w:tcPr>
          <w:p>
            <w:pPr>
              <w:spacing w:after="40" w:before="40"/>
            </w:pPr>
            <w:r>
              <w:rPr>
                <w:b/>
              </w:rPr>
            </w:r>
            <w:r>
              <w:rPr>
                <w:rFonts w:ascii="Times New Roman" w:hAnsi="Times New Roman" w:eastAsia="黑体"/>
                <w:b/>
                <w:i w:val="0"/>
                <w:sz w:val="20"/>
              </w:rPr>
              <w:t>分片线性</w:t>
            </w:r>
          </w:p>
        </w:tc>
        <w:tc>
          <w:tcPr>
            <w:tcW w:type="dxa" w:w="1701"/>
          </w:tcPr>
          <w:p>
            <w:pPr>
              <w:spacing w:after="40" w:before="40"/>
            </w:pPr>
            <w:r>
              <w:rPr>
                <w:b/>
              </w:rPr>
            </w:r>
            <w:r>
              <w:rPr>
                <w:rFonts w:ascii="Times New Roman" w:hAnsi="Times New Roman" w:eastAsia="黑体"/>
                <w:b/>
                <w:i w:val="0"/>
                <w:sz w:val="20"/>
              </w:rPr>
              <w:t>非递减边际</w:t>
            </w:r>
          </w:p>
        </w:tc>
      </w:tr>
      <w:tr>
        <w:tc>
          <w:tcPr>
            <w:tcW w:type="dxa" w:w="1701"/>
          </w:tcPr>
          <w:p>
            <w:pPr>
              <w:spacing w:after="40" w:before="40"/>
            </w:pPr>
            <w:r/>
            <w:r>
              <w:rPr>
                <w:rFonts w:ascii="Times New Roman" w:hAnsi="Times New Roman" w:eastAsia="宋体"/>
                <w:b w:val="0"/>
                <w:i w:val="0"/>
                <w:sz w:val="20"/>
              </w:rPr>
              <w:t>数学形式</w:t>
            </w:r>
          </w:p>
        </w:tc>
        <w:tc>
          <w:tcPr>
            <w:tcW w:type="dxa" w:w="1701"/>
          </w:tcPr>
          <w:p>
            <w:pPr>
              <w:spacing w:after="40" w:before="40"/>
            </w:pPr>
            <w:r/>
            <w:r>
              <w:rPr>
                <w:rFonts w:ascii="Times New Roman" w:hAnsi="Times New Roman" w:eastAsia="宋体"/>
                <w:b w:val="0"/>
                <w:i w:val="0"/>
                <w:sz w:val="20"/>
              </w:rPr>
              <w:t>简洁</w:t>
            </w:r>
          </w:p>
        </w:tc>
        <w:tc>
          <w:tcPr>
            <w:tcW w:type="dxa" w:w="1701"/>
          </w:tcPr>
          <w:p>
            <w:pPr>
              <w:spacing w:after="40" w:before="40"/>
            </w:pPr>
            <w:r/>
            <w:r>
              <w:rPr>
                <w:rFonts w:ascii="Times New Roman" w:hAnsi="Times New Roman" w:eastAsia="宋体"/>
                <w:b w:val="0"/>
                <w:i w:val="0"/>
                <w:sz w:val="20"/>
              </w:rPr>
              <w:t>中等</w:t>
            </w:r>
          </w:p>
        </w:tc>
        <w:tc>
          <w:tcPr>
            <w:tcW w:type="dxa" w:w="1701"/>
          </w:tcPr>
          <w:p>
            <w:pPr>
              <w:spacing w:after="40" w:before="40"/>
            </w:pPr>
            <w:r/>
            <w:r>
              <w:rPr>
                <w:rFonts w:ascii="Times New Roman" w:hAnsi="Times New Roman" w:eastAsia="宋体"/>
                <w:b w:val="0"/>
                <w:i w:val="0"/>
                <w:sz w:val="20"/>
              </w:rPr>
              <w:t>较复杂</w:t>
            </w:r>
          </w:p>
        </w:tc>
        <w:tc>
          <w:tcPr>
            <w:tcW w:type="dxa" w:w="1701"/>
          </w:tcPr>
          <w:p>
            <w:pPr>
              <w:spacing w:after="40" w:before="40"/>
            </w:pPr>
            <w:r/>
            <w:r>
              <w:rPr>
                <w:rFonts w:ascii="Times New Roman" w:hAnsi="Times New Roman" w:eastAsia="宋体"/>
                <w:b w:val="0"/>
                <w:i w:val="0"/>
                <w:sz w:val="20"/>
              </w:rPr>
              <w:t>复杂</w:t>
            </w:r>
          </w:p>
        </w:tc>
      </w:tr>
      <w:tr>
        <w:tc>
          <w:tcPr>
            <w:tcW w:type="dxa" w:w="1701"/>
            <w:shd w:val="clear" w:color="auto" w:fill="F0F4F8"/>
          </w:tcPr>
          <w:p>
            <w:pPr>
              <w:spacing w:after="40" w:before="40"/>
            </w:pPr>
            <w:r/>
            <w:r>
              <w:rPr>
                <w:rFonts w:ascii="Times New Roman" w:hAnsi="Times New Roman" w:eastAsia="宋体"/>
                <w:b w:val="0"/>
                <w:i w:val="0"/>
                <w:sz w:val="20"/>
              </w:rPr>
              <w:t>可微性</w:t>
            </w:r>
          </w:p>
        </w:tc>
        <w:tc>
          <w:tcPr>
            <w:tcW w:type="dxa" w:w="1701"/>
            <w:shd w:val="clear" w:color="auto" w:fill="F0F4F8"/>
          </w:tcPr>
          <w:p>
            <w:pPr>
              <w:spacing w:after="40" w:before="40"/>
            </w:pPr>
            <w:r/>
            <w:r>
              <w:rPr>
                <w:rFonts w:ascii="Times New Roman" w:hAnsi="Times New Roman" w:eastAsia="宋体"/>
                <w:b w:val="0"/>
                <w:i w:val="0"/>
                <w:sz w:val="20"/>
              </w:rPr>
              <w:t>完全可微</w:t>
            </w:r>
          </w:p>
        </w:tc>
        <w:tc>
          <w:tcPr>
            <w:tcW w:type="dxa" w:w="1701"/>
            <w:shd w:val="clear" w:color="auto" w:fill="F0F4F8"/>
          </w:tcPr>
          <w:p>
            <w:pPr>
              <w:spacing w:after="40" w:before="40"/>
            </w:pPr>
            <w:r/>
            <w:r>
              <w:rPr>
                <w:rFonts w:ascii="Times New Roman" w:hAnsi="Times New Roman" w:eastAsia="宋体"/>
                <w:b w:val="0"/>
                <w:i w:val="0"/>
                <w:sz w:val="20"/>
              </w:rPr>
              <w:t>完全可微</w:t>
            </w:r>
          </w:p>
        </w:tc>
        <w:tc>
          <w:tcPr>
            <w:tcW w:type="dxa" w:w="1701"/>
            <w:shd w:val="clear" w:color="auto" w:fill="F0F4F8"/>
          </w:tcPr>
          <w:p>
            <w:pPr>
              <w:spacing w:after="40" w:before="40"/>
            </w:pPr>
            <w:r/>
            <w:r>
              <w:rPr>
                <w:rFonts w:ascii="Times New Roman" w:hAnsi="Times New Roman" w:eastAsia="宋体"/>
                <w:b w:val="0"/>
                <w:i w:val="0"/>
                <w:sz w:val="20"/>
              </w:rPr>
              <w:t>分段可微</w:t>
            </w:r>
          </w:p>
        </w:tc>
        <w:tc>
          <w:tcPr>
            <w:tcW w:type="dxa" w:w="1701"/>
            <w:shd w:val="clear" w:color="auto" w:fill="F0F4F8"/>
          </w:tcPr>
          <w:p>
            <w:pPr>
              <w:spacing w:after="40" w:before="40"/>
            </w:pPr>
            <w:r/>
            <w:r>
              <w:rPr>
                <w:rFonts w:ascii="Times New Roman" w:hAnsi="Times New Roman" w:eastAsia="宋体"/>
                <w:b w:val="0"/>
                <w:i w:val="0"/>
                <w:sz w:val="20"/>
              </w:rPr>
              <w:t>可能非光滑</w:t>
            </w:r>
          </w:p>
        </w:tc>
      </w:tr>
      <w:tr>
        <w:tc>
          <w:tcPr>
            <w:tcW w:type="dxa" w:w="1701"/>
          </w:tcPr>
          <w:p>
            <w:pPr>
              <w:spacing w:after="40" w:before="40"/>
            </w:pPr>
            <w:r/>
            <w:r>
              <w:rPr>
                <w:rFonts w:ascii="Times New Roman" w:hAnsi="Times New Roman" w:eastAsia="宋体"/>
                <w:b w:val="0"/>
                <w:i w:val="0"/>
                <w:sz w:val="20"/>
              </w:rPr>
              <w:t>通用性</w:t>
            </w:r>
          </w:p>
        </w:tc>
        <w:tc>
          <w:tcPr>
            <w:tcW w:type="dxa" w:w="1701"/>
          </w:tcPr>
          <w:p>
            <w:pPr>
              <w:spacing w:after="40" w:before="40"/>
            </w:pPr>
            <w:r/>
            <w:r>
              <w:rPr>
                <w:rFonts w:ascii="Times New Roman" w:hAnsi="Times New Roman" w:eastAsia="宋体"/>
                <w:b w:val="0"/>
                <w:i w:val="0"/>
                <w:sz w:val="20"/>
              </w:rPr>
              <w:t>低</w:t>
            </w:r>
          </w:p>
        </w:tc>
        <w:tc>
          <w:tcPr>
            <w:tcW w:type="dxa" w:w="1701"/>
          </w:tcPr>
          <w:p>
            <w:pPr>
              <w:spacing w:after="40" w:before="40"/>
            </w:pPr>
            <w:r/>
            <w:r>
              <w:rPr>
                <w:rFonts w:ascii="Times New Roman" w:hAnsi="Times New Roman" w:eastAsia="宋体"/>
                <w:b w:val="0"/>
                <w:i w:val="0"/>
                <w:sz w:val="20"/>
              </w:rPr>
              <w:t>中</w:t>
            </w:r>
          </w:p>
        </w:tc>
        <w:tc>
          <w:tcPr>
            <w:tcW w:type="dxa" w:w="1701"/>
          </w:tcPr>
          <w:p>
            <w:pPr>
              <w:spacing w:after="40" w:before="40"/>
            </w:pPr>
            <w:r/>
            <w:r>
              <w:rPr>
                <w:rFonts w:ascii="Times New Roman" w:hAnsi="Times New Roman" w:eastAsia="宋体"/>
                <w:b w:val="0"/>
                <w:i w:val="0"/>
                <w:sz w:val="20"/>
              </w:rPr>
              <w:t>高</w:t>
            </w:r>
          </w:p>
        </w:tc>
        <w:tc>
          <w:tcPr>
            <w:tcW w:type="dxa" w:w="1701"/>
          </w:tcPr>
          <w:p>
            <w:pPr>
              <w:spacing w:after="40" w:before="40"/>
            </w:pPr>
            <w:r/>
            <w:r>
              <w:rPr>
                <w:rFonts w:ascii="Times New Roman" w:hAnsi="Times New Roman" w:eastAsia="宋体"/>
                <w:b w:val="0"/>
                <w:i w:val="0"/>
                <w:sz w:val="20"/>
              </w:rPr>
              <w:t>高</w:t>
            </w:r>
          </w:p>
        </w:tc>
      </w:tr>
      <w:tr>
        <w:tc>
          <w:tcPr>
            <w:tcW w:type="dxa" w:w="1701"/>
            <w:shd w:val="clear" w:color="auto" w:fill="F0F4F8"/>
          </w:tcPr>
          <w:p>
            <w:pPr>
              <w:spacing w:after="40" w:before="40"/>
            </w:pPr>
            <w:r/>
            <w:r>
              <w:rPr>
                <w:rFonts w:ascii="Times New Roman" w:hAnsi="Times New Roman" w:eastAsia="宋体"/>
                <w:b w:val="0"/>
                <w:i w:val="0"/>
                <w:sz w:val="20"/>
              </w:rPr>
              <w:t>解析解</w:t>
            </w:r>
          </w:p>
        </w:tc>
        <w:tc>
          <w:tcPr>
            <w:tcW w:type="dxa" w:w="1701"/>
            <w:shd w:val="clear" w:color="auto" w:fill="F0F4F8"/>
          </w:tcPr>
          <w:p>
            <w:pPr>
              <w:spacing w:after="40" w:before="40"/>
            </w:pPr>
            <w:r/>
            <w:r>
              <w:rPr>
                <w:rFonts w:ascii="Times New Roman" w:hAnsi="Times New Roman" w:eastAsia="宋体"/>
                <w:b w:val="0"/>
                <w:i w:val="0"/>
                <w:sz w:val="20"/>
              </w:rPr>
              <w:t>可求</w:t>
            </w:r>
          </w:p>
        </w:tc>
        <w:tc>
          <w:tcPr>
            <w:tcW w:type="dxa" w:w="1701"/>
            <w:shd w:val="clear" w:color="auto" w:fill="F0F4F8"/>
          </w:tcPr>
          <w:p>
            <w:pPr>
              <w:spacing w:after="40" w:before="40"/>
            </w:pPr>
            <w:r/>
            <w:r>
              <w:rPr>
                <w:rFonts w:ascii="Times New Roman" w:hAnsi="Times New Roman" w:eastAsia="宋体"/>
                <w:b w:val="0"/>
                <w:i w:val="0"/>
                <w:sz w:val="20"/>
              </w:rPr>
              <w:t>可求</w:t>
            </w:r>
          </w:p>
        </w:tc>
        <w:tc>
          <w:tcPr>
            <w:tcW w:type="dxa" w:w="1701"/>
            <w:shd w:val="clear" w:color="auto" w:fill="F0F4F8"/>
          </w:tcPr>
          <w:p>
            <w:pPr>
              <w:spacing w:after="40" w:before="40"/>
            </w:pPr>
            <w:r/>
            <w:r>
              <w:rPr>
                <w:rFonts w:ascii="Times New Roman" w:hAnsi="Times New Roman" w:eastAsia="宋体"/>
                <w:b w:val="0"/>
                <w:i w:val="0"/>
                <w:sz w:val="20"/>
              </w:rPr>
              <w:t>需数值解</w:t>
            </w:r>
          </w:p>
        </w:tc>
        <w:tc>
          <w:tcPr>
            <w:tcW w:type="dxa" w:w="1701"/>
            <w:shd w:val="clear" w:color="auto" w:fill="F0F4F8"/>
          </w:tcPr>
          <w:p>
            <w:pPr>
              <w:spacing w:after="40" w:before="40"/>
            </w:pPr>
            <w:r/>
            <w:r>
              <w:rPr>
                <w:rFonts w:ascii="Times New Roman" w:hAnsi="Times New Roman" w:eastAsia="宋体"/>
                <w:b w:val="0"/>
                <w:i w:val="0"/>
                <w:sz w:val="20"/>
              </w:rPr>
              <w:t>需特殊算法</w:t>
            </w:r>
          </w:p>
        </w:tc>
      </w:tr>
      <w:tr>
        <w:tc>
          <w:tcPr>
            <w:tcW w:type="dxa" w:w="1701"/>
          </w:tcPr>
          <w:p>
            <w:pPr>
              <w:spacing w:after="40" w:before="40"/>
            </w:pPr>
            <w:r/>
            <w:r>
              <w:rPr>
                <w:rFonts w:ascii="Times New Roman" w:hAnsi="Times New Roman" w:eastAsia="宋体"/>
                <w:b w:val="0"/>
                <w:i w:val="0"/>
                <w:sz w:val="20"/>
              </w:rPr>
              <w:t>适用用户</w:t>
            </w:r>
          </w:p>
        </w:tc>
        <w:tc>
          <w:tcPr>
            <w:tcW w:type="dxa" w:w="1701"/>
          </w:tcPr>
          <w:p>
            <w:pPr>
              <w:spacing w:after="40" w:before="40"/>
            </w:pPr>
            <w:r/>
            <w:r>
              <w:rPr>
                <w:rFonts w:ascii="Times New Roman" w:hAnsi="Times New Roman" w:eastAsia="宋体"/>
                <w:b w:val="0"/>
                <w:i w:val="0"/>
                <w:sz w:val="20"/>
              </w:rPr>
              <w:t>一般居民</w:t>
            </w:r>
          </w:p>
        </w:tc>
        <w:tc>
          <w:tcPr>
            <w:tcW w:type="dxa" w:w="1701"/>
          </w:tcPr>
          <w:p>
            <w:pPr>
              <w:spacing w:after="40" w:before="40"/>
            </w:pPr>
            <w:r/>
            <w:r>
              <w:rPr>
                <w:rFonts w:ascii="Times New Roman" w:hAnsi="Times New Roman" w:eastAsia="宋体"/>
                <w:b w:val="0"/>
                <w:i w:val="0"/>
                <w:sz w:val="20"/>
              </w:rPr>
              <w:t>商业用户</w:t>
            </w:r>
          </w:p>
        </w:tc>
        <w:tc>
          <w:tcPr>
            <w:tcW w:type="dxa" w:w="1701"/>
          </w:tcPr>
          <w:p>
            <w:pPr>
              <w:spacing w:after="40" w:before="40"/>
            </w:pPr>
            <w:r/>
            <w:r>
              <w:rPr>
                <w:rFonts w:ascii="Times New Roman" w:hAnsi="Times New Roman" w:eastAsia="宋体"/>
                <w:b w:val="0"/>
                <w:i w:val="0"/>
                <w:sz w:val="20"/>
              </w:rPr>
              <w:t>混合群体</w:t>
            </w:r>
          </w:p>
        </w:tc>
        <w:tc>
          <w:tcPr>
            <w:tcW w:type="dxa" w:w="1701"/>
          </w:tcPr>
          <w:p>
            <w:pPr>
              <w:spacing w:after="40" w:before="40"/>
            </w:pPr>
            <w:r/>
            <w:r>
              <w:rPr>
                <w:rFonts w:ascii="Times New Roman" w:hAnsi="Times New Roman" w:eastAsia="宋体"/>
                <w:b w:val="0"/>
                <w:i w:val="0"/>
                <w:sz w:val="20"/>
              </w:rPr>
              <w:t>工业用户</w:t>
            </w:r>
          </w:p>
        </w:tc>
      </w:tr>
      <w:tr>
        <w:tc>
          <w:tcPr>
            <w:tcW w:type="dxa" w:w="1701"/>
            <w:shd w:val="clear" w:color="auto" w:fill="F0F4F8"/>
          </w:tcPr>
          <w:p>
            <w:pPr>
              <w:spacing w:after="40" w:before="40"/>
            </w:pPr>
            <w:r/>
            <w:r>
              <w:rPr>
                <w:rFonts w:ascii="Times New Roman" w:hAnsi="Times New Roman" w:eastAsia="宋体"/>
                <w:b w:val="0"/>
                <w:i w:val="0"/>
                <w:sz w:val="20"/>
              </w:rPr>
              <w:t>计算效率</w:t>
            </w:r>
          </w:p>
        </w:tc>
        <w:tc>
          <w:tcPr>
            <w:tcW w:type="dxa" w:w="1701"/>
            <w:shd w:val="clear" w:color="auto" w:fill="F0F4F8"/>
          </w:tcPr>
          <w:p>
            <w:pPr>
              <w:spacing w:after="40" w:before="40"/>
            </w:pPr>
            <w:r/>
            <w:r>
              <w:rPr>
                <w:rFonts w:ascii="Times New Roman" w:hAnsi="Times New Roman" w:eastAsia="宋体"/>
                <w:b w:val="0"/>
                <w:i w:val="0"/>
                <w:sz w:val="20"/>
              </w:rPr>
              <w:t>高</w:t>
            </w:r>
          </w:p>
        </w:tc>
        <w:tc>
          <w:tcPr>
            <w:tcW w:type="dxa" w:w="1701"/>
            <w:shd w:val="clear" w:color="auto" w:fill="F0F4F8"/>
          </w:tcPr>
          <w:p>
            <w:pPr>
              <w:spacing w:after="40" w:before="40"/>
            </w:pPr>
            <w:r/>
            <w:r>
              <w:rPr>
                <w:rFonts w:ascii="Times New Roman" w:hAnsi="Times New Roman" w:eastAsia="宋体"/>
                <w:b w:val="0"/>
                <w:i w:val="0"/>
                <w:sz w:val="20"/>
              </w:rPr>
              <w:t>高</w:t>
            </w:r>
          </w:p>
        </w:tc>
        <w:tc>
          <w:tcPr>
            <w:tcW w:type="dxa" w:w="1701"/>
            <w:shd w:val="clear" w:color="auto" w:fill="F0F4F8"/>
          </w:tcPr>
          <w:p>
            <w:pPr>
              <w:spacing w:after="40" w:before="40"/>
            </w:pPr>
            <w:r/>
            <w:r>
              <w:rPr>
                <w:rFonts w:ascii="Times New Roman" w:hAnsi="Times New Roman" w:eastAsia="宋体"/>
                <w:b w:val="0"/>
                <w:i w:val="0"/>
                <w:sz w:val="20"/>
              </w:rPr>
              <w:t>中</w:t>
            </w:r>
          </w:p>
        </w:tc>
        <w:tc>
          <w:tcPr>
            <w:tcW w:type="dxa" w:w="1701"/>
            <w:shd w:val="clear" w:color="auto" w:fill="F0F4F8"/>
          </w:tcPr>
          <w:p>
            <w:pPr>
              <w:spacing w:after="40" w:before="40"/>
            </w:pPr>
            <w:r/>
            <w:r>
              <w:rPr>
                <w:rFonts w:ascii="Times New Roman" w:hAnsi="Times New Roman" w:eastAsia="宋体"/>
                <w:b w:val="0"/>
                <w:i w:val="0"/>
                <w:sz w:val="20"/>
              </w:rPr>
              <w:t>低</w:t>
            </w:r>
          </w:p>
        </w:tc>
      </w:tr>
    </w:tbl>
    <w:p>
      <w:pPr>
        <w:pStyle w:val="Heading2"/>
        <w:spacing w:before="240" w:after="80"/>
      </w:pPr>
      <w:r>
        <w:rPr>
          <w:rFonts w:ascii="Times New Roman" w:hAnsi="Times New Roman" w:eastAsia="黑体"/>
          <w:b/>
          <w:i w:val="0"/>
          <w:sz w:val="28"/>
        </w:rPr>
        <w:t>本章小结</w:t>
      </w:r>
    </w:p>
    <w:p>
      <w:pPr>
        <w:spacing w:line="360" w:lineRule="auto" w:after="0"/>
        <w:ind w:firstLine="425"/>
      </w:pPr>
      <w:r>
        <w:rPr>
          <w:rFonts w:ascii="Times New Roman" w:hAnsi="Times New Roman" w:eastAsia="宋体"/>
          <w:b w:val="0"/>
          <w:i w:val="0"/>
          <w:sz w:val="22"/>
        </w:rPr>
        <w:t>效用函数是智能电网实时定价的核心数学工具。本章系统介绍了二次效用函数、对数效用函数、分片线性效用函数和非递减边际效用函数四种模型，分析了它们的形式、特性、求解方法和适用场景。分片线性效用函数因其通用性和可解释性，在实际应用中具有突出优势。不同效用函数的选择应根据用户特征和应用场景灵活决定。</w:t>
      </w:r>
    </w:p>
    <w:p>
      <w:pPr>
        <w:pStyle w:val="Heading2"/>
        <w:spacing w:before="240" w:after="80"/>
      </w:pPr>
      <w:r>
        <w:rPr>
          <w:rFonts w:ascii="Times New Roman" w:hAnsi="Times New Roman" w:eastAsia="黑体"/>
          <w:b/>
          <w:i w:val="0"/>
          <w:sz w:val="28"/>
        </w:rPr>
        <w:t>4.7 国际比较与经验借鉴</w:t>
      </w:r>
    </w:p>
    <w:p>
      <w:pPr>
        <w:pStyle w:val="Heading3"/>
        <w:spacing w:before="160" w:after="60"/>
      </w:pPr>
      <w:r>
        <w:rPr>
          <w:rFonts w:ascii="Times New Roman" w:hAnsi="Times New Roman" w:eastAsia="黑体"/>
          <w:b/>
          <w:i w:val="0"/>
          <w:sz w:val="24"/>
        </w:rPr>
        <w:t>国际效用函数研究进展</w:t>
      </w:r>
    </w:p>
    <w:p>
      <w:pPr>
        <w:spacing w:line="360" w:lineRule="auto" w:after="0"/>
        <w:ind w:firstLine="425"/>
      </w:pPr>
      <w:r>
        <w:rPr>
          <w:rFonts w:ascii="Times New Roman" w:hAnsi="Times New Roman" w:eastAsia="宋体"/>
          <w:b w:val="0"/>
          <w:i w:val="0"/>
          <w:sz w:val="22"/>
        </w:rPr>
        <w:t>国际上对效用函数在智能电网定价中的应用有丰富研究。Samadi等（2010, 2012）系列工作奠定了效用函数在RTP中的理论基础</w:t>
      </w:r>
      <w:r>
        <w:rPr>
          <w:rFonts w:ascii="Times New Roman" w:hAnsi="Times New Roman" w:eastAsia="Times New Roman"/>
          <w:b w:val="0"/>
          <w:i w:val="0"/>
          <w:sz w:val="18"/>
          <w:vertAlign w:val="superscript"/>
        </w:rPr>
        <w:t>[5]</w:t>
      </w:r>
      <w:r>
        <w:rPr>
          <w:rFonts w:ascii="Times New Roman" w:hAnsi="Times New Roman" w:eastAsia="宋体"/>
          <w:b w:val="0"/>
          <w:i w:val="0"/>
          <w:sz w:val="22"/>
        </w:rPr>
        <w:t>。他们使用二次效用函数描述用户满意度，通过拉格朗日对偶法求解社会福利最大化问题。</w:t>
      </w:r>
    </w:p>
    <w:p>
      <w:pPr>
        <w:spacing w:line="360" w:lineRule="auto" w:after="0"/>
        <w:ind w:firstLine="425"/>
      </w:pPr>
      <w:r>
        <w:rPr>
          <w:rFonts w:ascii="Times New Roman" w:hAnsi="Times New Roman" w:eastAsia="宋体"/>
          <w:b w:val="0"/>
          <w:i w:val="0"/>
          <w:sz w:val="22"/>
        </w:rPr>
        <w:t>Tsui和Chan（2012）研究了基于RTP的智能家居调度优化，将二次效用函数应用于家庭用电设备的调度决策。他们的模型考虑了不同家电的用电约束（如空调的舒适度约束、洗衣机的完成时间约束），通过效用函数刻画用户对不同用电方案的偏好。</w:t>
      </w:r>
    </w:p>
    <w:p>
      <w:pPr>
        <w:spacing w:line="360" w:lineRule="auto" w:after="0"/>
        <w:ind w:firstLine="425"/>
      </w:pPr>
      <w:r>
        <w:rPr>
          <w:rFonts w:ascii="Times New Roman" w:hAnsi="Times New Roman" w:eastAsia="宋体"/>
          <w:b w:val="0"/>
          <w:i w:val="0"/>
          <w:sz w:val="22"/>
        </w:rPr>
        <w:t>Conejo等（2010）提出了基于实时需求响应模型的定价方法，使用对数效用函数描述用户行为。对数效用函数适用于价格弹性较高的用户群体，能够更好地刻画用户对价格变化的敏感性。</w:t>
      </w:r>
    </w:p>
    <w:p>
      <w:pPr>
        <w:pStyle w:val="Heading3"/>
        <w:spacing w:before="160" w:after="60"/>
      </w:pPr>
      <w:r>
        <w:rPr>
          <w:rFonts w:ascii="Times New Roman" w:hAnsi="Times New Roman" w:eastAsia="黑体"/>
          <w:b/>
          <w:i w:val="0"/>
          <w:sz w:val="24"/>
        </w:rPr>
        <w:t>Xu等（2019）的分片线性效用函数</w:t>
      </w:r>
    </w:p>
    <w:p>
      <w:pPr>
        <w:spacing w:line="360" w:lineRule="auto" w:after="0"/>
        <w:ind w:firstLine="425"/>
      </w:pPr>
      <w:r>
        <w:rPr>
          <w:rFonts w:ascii="Times New Roman" w:hAnsi="Times New Roman" w:eastAsia="宋体"/>
          <w:b w:val="0"/>
          <w:i w:val="0"/>
          <w:sz w:val="22"/>
        </w:rPr>
        <w:t>Xu等（2019）在Journal of Systems Science and Information上发表了分片线性效用函数的英文版论文。该工作与许志宏和高岩（2018）的中文论文</w:t>
      </w:r>
      <w:r>
        <w:rPr>
          <w:rFonts w:ascii="Times New Roman" w:hAnsi="Times New Roman" w:eastAsia="Times New Roman"/>
          <w:b w:val="0"/>
          <w:i w:val="0"/>
          <w:sz w:val="18"/>
          <w:vertAlign w:val="superscript"/>
        </w:rPr>
        <w:t>[1]</w:t>
      </w:r>
      <w:r>
        <w:rPr>
          <w:rFonts w:ascii="Times New Roman" w:hAnsi="Times New Roman" w:eastAsia="宋体"/>
          <w:b w:val="0"/>
          <w:i w:val="0"/>
          <w:sz w:val="22"/>
        </w:rPr>
        <w:t>是同一研究框架的不同呈现。英文论文的贡献在于将分片线性效用函数的理论推广到国际学术界：</w:t>
      </w:r>
    </w:p>
    <w:p>
      <w:pPr>
        <w:pStyle w:val="ListBullet"/>
        <w:spacing w:line="360" w:lineRule="auto" w:after="0"/>
      </w:pPr>
      <w:r>
        <w:rPr>
          <w:rFonts w:ascii="Times New Roman" w:hAnsi="Times New Roman" w:eastAsia="宋体"/>
          <w:b w:val="0"/>
          <w:i w:val="0"/>
          <w:sz w:val="22"/>
        </w:rPr>
        <w:t>证明了分片线性效用函数可以一致逼近任意连续凹效用函数</w:t>
      </w:r>
    </w:p>
    <w:p>
      <w:pPr>
        <w:pStyle w:val="ListBullet"/>
        <w:spacing w:line="360" w:lineRule="auto" w:after="0"/>
      </w:pPr>
      <w:r>
        <w:rPr>
          <w:rFonts w:ascii="Times New Roman" w:hAnsi="Times New Roman" w:eastAsia="宋体"/>
          <w:b w:val="0"/>
          <w:i w:val="0"/>
          <w:sz w:val="22"/>
        </w:rPr>
        <w:t>设计了自适应分段策略，根据用户行为数据动态调整分段点和斜率</w:t>
      </w:r>
    </w:p>
    <w:p>
      <w:pPr>
        <w:pStyle w:val="ListBullet"/>
        <w:spacing w:line="360" w:lineRule="auto" w:after="0"/>
      </w:pPr>
      <w:r>
        <w:rPr>
          <w:rFonts w:ascii="Times New Roman" w:hAnsi="Times New Roman" w:eastAsia="宋体"/>
          <w:b w:val="0"/>
          <w:i w:val="0"/>
          <w:sz w:val="22"/>
        </w:rPr>
        <w:t>通过对比实验验证了分片线性效用函数在定价精度和计算效率方面的优势</w:t>
      </w:r>
    </w:p>
    <w:p>
      <w:pPr>
        <w:pStyle w:val="Heading3"/>
        <w:spacing w:before="160" w:after="60"/>
      </w:pPr>
      <w:r>
        <w:rPr>
          <w:rFonts w:ascii="Times New Roman" w:hAnsi="Times New Roman" w:eastAsia="黑体"/>
          <w:b/>
          <w:i w:val="0"/>
          <w:sz w:val="24"/>
        </w:rPr>
        <w:t>原冠秀等的效用分类方法</w:t>
      </w:r>
    </w:p>
    <w:p>
      <w:pPr>
        <w:spacing w:line="360" w:lineRule="auto" w:after="0"/>
        <w:ind w:firstLine="425"/>
      </w:pPr>
      <w:r>
        <w:rPr>
          <w:rFonts w:ascii="Times New Roman" w:hAnsi="Times New Roman" w:eastAsia="宋体"/>
          <w:b w:val="0"/>
          <w:i w:val="0"/>
          <w:sz w:val="22"/>
        </w:rPr>
        <w:t>原冠秀等（2020）提出了基于效用分类的智能电网实时电价算法。该方法的创新在于针对不同类型用户采用不同效用函数：</w:t>
      </w:r>
    </w:p>
    <w:p>
      <w:pPr>
        <w:pStyle w:val="ListBullet"/>
        <w:spacing w:line="360" w:lineRule="auto" w:after="0"/>
      </w:pPr>
      <w:r>
        <w:rPr>
          <w:rFonts w:ascii="Times New Roman" w:hAnsi="Times New Roman" w:eastAsia="宋体"/>
          <w:b/>
          <w:i w:val="0"/>
          <w:sz w:val="22"/>
        </w:rPr>
        <w:t>居民用户</w:t>
      </w:r>
      <w:r>
        <w:rPr>
          <w:rFonts w:ascii="Times New Roman" w:hAnsi="Times New Roman" w:eastAsia="宋体"/>
          <w:b w:val="0"/>
          <w:i w:val="0"/>
          <w:sz w:val="22"/>
        </w:rPr>
        <w:t>：使用对数效用函数，反映其对价格变化的高敏感性</w:t>
      </w:r>
    </w:p>
    <w:p>
      <w:pPr>
        <w:pStyle w:val="ListBullet"/>
        <w:spacing w:line="360" w:lineRule="auto" w:after="0"/>
      </w:pPr>
      <w:r>
        <w:rPr>
          <w:rFonts w:ascii="Times New Roman" w:hAnsi="Times New Roman" w:eastAsia="宋体"/>
          <w:b/>
          <w:i w:val="0"/>
          <w:sz w:val="22"/>
        </w:rPr>
        <w:t>大工业用户</w:t>
      </w:r>
      <w:r>
        <w:rPr>
          <w:rFonts w:ascii="Times New Roman" w:hAnsi="Times New Roman" w:eastAsia="宋体"/>
          <w:b w:val="0"/>
          <w:i w:val="0"/>
          <w:sz w:val="22"/>
        </w:rPr>
        <w:t>：使用二次效用函数，反映其相对稳定的用电模式</w:t>
      </w:r>
    </w:p>
    <w:p>
      <w:pPr>
        <w:pStyle w:val="ListBullet"/>
        <w:spacing w:line="360" w:lineRule="auto" w:after="0"/>
      </w:pPr>
      <w:r>
        <w:rPr>
          <w:rFonts w:ascii="Times New Roman" w:hAnsi="Times New Roman" w:eastAsia="宋体"/>
          <w:b/>
          <w:i w:val="0"/>
          <w:sz w:val="22"/>
        </w:rPr>
        <w:t>商业用户</w:t>
      </w:r>
      <w:r>
        <w:rPr>
          <w:rFonts w:ascii="Times New Roman" w:hAnsi="Times New Roman" w:eastAsia="宋体"/>
          <w:b w:val="0"/>
          <w:i w:val="0"/>
          <w:sz w:val="22"/>
        </w:rPr>
        <w:t>：使用分片线性效用函数，兼顾灵活性和可解释性</w:t>
      </w:r>
    </w:p>
    <w:p>
      <w:pPr>
        <w:spacing w:line="360" w:lineRule="auto" w:after="0"/>
        <w:ind w:firstLine="425"/>
      </w:pPr>
      <w:r>
        <w:rPr>
          <w:rFonts w:ascii="Times New Roman" w:hAnsi="Times New Roman" w:eastAsia="宋体"/>
          <w:b w:val="0"/>
          <w:i w:val="0"/>
          <w:sz w:val="22"/>
        </w:rPr>
        <w:t>通过多类效用函数并存的社会福利最大化模型，原冠秀等的方法比单一效用函数模型的社会福利提高约5%-8%，用户满意度提高约10%。</w:t>
      </w:r>
    </w:p>
    <w:p>
      <w:pPr>
        <w:pStyle w:val="Heading3"/>
        <w:spacing w:before="160" w:after="60"/>
      </w:pPr>
      <w:r>
        <w:rPr>
          <w:rFonts w:ascii="Times New Roman" w:hAnsi="Times New Roman" w:eastAsia="黑体"/>
          <w:b/>
          <w:i w:val="0"/>
          <w:sz w:val="24"/>
        </w:rPr>
        <w:t>高岩（2020）的社会福利最大化模型简化</w:t>
      </w:r>
    </w:p>
    <w:p>
      <w:pPr>
        <w:spacing w:line="360" w:lineRule="auto" w:after="0"/>
        <w:ind w:firstLine="425"/>
      </w:pPr>
      <w:r>
        <w:rPr>
          <w:rFonts w:ascii="Times New Roman" w:hAnsi="Times New Roman" w:eastAsia="宋体"/>
          <w:b w:val="0"/>
          <w:i w:val="0"/>
          <w:sz w:val="22"/>
        </w:rPr>
        <w:t>高岩（2020）对社会福利最大化模型进行了理论简化。该研究分析了供电量下限（最小发电量）在模型中的作用，在一个符合实际情况的假设下，证明去掉供电量下限可以得到等价模型。简化后的模型减少了一个区间约束和一个变量，降低了计算复杂度，同时仍然适用于在线对偶方法求解。</w:t>
      </w:r>
    </w:p>
    <w:p>
      <w:pPr>
        <w:pStyle w:val="Heading3"/>
        <w:spacing w:before="160" w:after="60"/>
      </w:pPr>
      <w:r>
        <w:rPr>
          <w:rFonts w:ascii="Times New Roman" w:hAnsi="Times New Roman" w:eastAsia="黑体"/>
          <w:b/>
          <w:i w:val="0"/>
          <w:sz w:val="24"/>
        </w:rPr>
        <w:t>Jia等（2026）的三方福利均衡</w:t>
      </w:r>
    </w:p>
    <w:p>
      <w:pPr>
        <w:spacing w:line="360" w:lineRule="auto" w:after="0"/>
        <w:ind w:firstLine="425"/>
      </w:pPr>
      <w:r>
        <w:rPr>
          <w:rFonts w:ascii="Times New Roman" w:hAnsi="Times New Roman" w:eastAsia="宋体"/>
          <w:b w:val="0"/>
          <w:i w:val="0"/>
          <w:sz w:val="22"/>
        </w:rPr>
        <w:t>Jia等（2026）提出了面向三方福利均衡的双层实时定价方法。该研究突破了传统社会福利最大化仅考虑供需两方的局限，将电网运营商作为第三方纳入福利分析：</w:t>
      </w:r>
    </w:p>
    <w:p>
      <w:pPr>
        <w:pStyle w:val="ListBullet"/>
        <w:spacing w:line="360" w:lineRule="auto" w:after="0"/>
      </w:pPr>
      <w:r>
        <w:rPr>
          <w:rFonts w:ascii="Times New Roman" w:hAnsi="Times New Roman" w:eastAsia="宋体"/>
          <w:b w:val="0"/>
          <w:i w:val="0"/>
          <w:sz w:val="22"/>
        </w:rPr>
        <w:t>上层：电网运营商制定输配电价</w:t>
      </w:r>
    </w:p>
    <w:p>
      <w:pPr>
        <w:pStyle w:val="ListBullet"/>
        <w:spacing w:line="360" w:lineRule="auto" w:after="0"/>
      </w:pPr>
      <w:r>
        <w:rPr>
          <w:rFonts w:ascii="Times New Roman" w:hAnsi="Times New Roman" w:eastAsia="宋体"/>
          <w:b w:val="0"/>
          <w:i w:val="0"/>
          <w:sz w:val="22"/>
        </w:rPr>
        <w:t>中层：零售商制定零售电价</w:t>
      </w:r>
    </w:p>
    <w:p>
      <w:pPr>
        <w:pStyle w:val="ListBullet"/>
        <w:spacing w:line="360" w:lineRule="auto" w:after="0"/>
      </w:pPr>
      <w:r>
        <w:rPr>
          <w:rFonts w:ascii="Times New Roman" w:hAnsi="Times New Roman" w:eastAsia="宋体"/>
          <w:b w:val="0"/>
          <w:i w:val="0"/>
          <w:sz w:val="22"/>
        </w:rPr>
        <w:t>下层：用户优化用电行为</w:t>
      </w:r>
    </w:p>
    <w:p>
      <w:pPr>
        <w:spacing w:line="360" w:lineRule="auto" w:after="0"/>
        <w:ind w:firstLine="425"/>
      </w:pPr>
      <w:r>
        <w:rPr>
          <w:rFonts w:ascii="Times New Roman" w:hAnsi="Times New Roman" w:eastAsia="宋体"/>
          <w:b w:val="0"/>
          <w:i w:val="0"/>
          <w:sz w:val="22"/>
        </w:rPr>
        <w:t>三方福利均衡模型在公平性和效率之间取得了更好的平衡，特别是在多利益主体场景下避免了福利分配的不均衡问题。</w:t>
      </w:r>
    </w:p>
    <w:p>
      <w:pPr>
        <w:pStyle w:val="Heading2"/>
        <w:spacing w:before="240" w:after="80"/>
      </w:pPr>
      <w:r>
        <w:rPr>
          <w:rFonts w:ascii="Times New Roman" w:hAnsi="Times New Roman" w:eastAsia="黑体"/>
          <w:b/>
          <w:i w:val="0"/>
          <w:sz w:val="28"/>
        </w:rPr>
        <w:t>4.8 实践案例深度分析</w:t>
      </w:r>
    </w:p>
    <w:p>
      <w:pPr>
        <w:pStyle w:val="Heading3"/>
        <w:spacing w:before="160" w:after="60"/>
      </w:pPr>
      <w:r>
        <w:rPr>
          <w:rFonts w:ascii="Times New Roman" w:hAnsi="Times New Roman" w:eastAsia="黑体"/>
          <w:b/>
          <w:i w:val="0"/>
          <w:sz w:val="24"/>
        </w:rPr>
        <w:t>案例1：二次效用函数的参数估计</w:t>
      </w:r>
    </w:p>
    <w:p>
      <w:pPr>
        <w:spacing w:line="360" w:lineRule="auto" w:after="0"/>
        <w:ind w:firstLine="425"/>
      </w:pPr>
      <w:r>
        <w:rPr>
          <w:rFonts w:ascii="Times New Roman" w:hAnsi="Times New Roman" w:eastAsia="宋体"/>
          <w:b w:val="0"/>
          <w:i w:val="0"/>
          <w:sz w:val="22"/>
        </w:rPr>
        <w:t>在某市智能电网试点中，研究团队对1000户居民用户的效用函数参数进行了估计：</w:t>
      </w:r>
    </w:p>
    <w:p>
      <w:pPr>
        <w:spacing w:line="360" w:lineRule="auto" w:after="0"/>
        <w:ind w:firstLine="425"/>
      </w:pPr>
      <w:r>
        <w:rPr>
          <w:rFonts w:ascii="Times New Roman" w:hAnsi="Times New Roman" w:eastAsia="宋体"/>
          <w:b/>
          <w:i w:val="0"/>
          <w:sz w:val="22"/>
        </w:rPr>
        <w:t>数据来源</w:t>
      </w:r>
      <w:r>
        <w:rPr>
          <w:rFonts w:ascii="Times New Roman" w:hAnsi="Times New Roman" w:eastAsia="宋体"/>
          <w:b w:val="0"/>
          <w:i w:val="0"/>
          <w:sz w:val="22"/>
        </w:rPr>
        <w:t>：智能电表采集的15分钟级用电数据，持续12个月。</w:t>
      </w:r>
    </w:p>
    <w:p>
      <w:pPr>
        <w:spacing w:line="360" w:lineRule="auto" w:after="0"/>
        <w:ind w:firstLine="425"/>
      </w:pPr>
      <w:r>
        <w:rPr>
          <w:rFonts w:ascii="Times New Roman" w:hAnsi="Times New Roman" w:eastAsia="宋体"/>
          <w:b/>
          <w:i w:val="0"/>
          <w:sz w:val="22"/>
        </w:rPr>
        <w:t>估计方法</w:t>
      </w:r>
      <w:r>
        <w:rPr>
          <w:rFonts w:ascii="Times New Roman" w:hAnsi="Times New Roman" w:eastAsia="宋体"/>
          <w:b w:val="0"/>
          <w:i w:val="0"/>
          <w:sz w:val="22"/>
        </w:rPr>
        <w:t>：采用非线性最小二乘法，以实际用电量与模型预测用电量之差的平方和为目标函数，优化效用函数参数a_i和b_i。</w:t>
      </w:r>
    </w:p>
    <w:p>
      <w:pPr>
        <w:spacing w:line="360" w:lineRule="auto" w:after="0"/>
        <w:ind w:firstLine="425"/>
      </w:pPr>
      <w:r>
        <w:rPr>
          <w:rFonts w:ascii="Times New Roman" w:hAnsi="Times New Roman" w:eastAsia="宋体"/>
          <w:b/>
          <w:i w:val="0"/>
          <w:sz w:val="22"/>
        </w:rPr>
        <w:t>估计结果</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参数a_i（最大支付意愿）的均值约为2.5元/kWh，标准差约0.5</w:t>
      </w:r>
    </w:p>
    <w:p>
      <w:pPr>
        <w:pStyle w:val="ListBullet"/>
        <w:spacing w:line="360" w:lineRule="auto" w:after="0"/>
      </w:pPr>
      <w:r>
        <w:rPr>
          <w:rFonts w:ascii="Times New Roman" w:hAnsi="Times New Roman" w:eastAsia="宋体"/>
          <w:b w:val="0"/>
          <w:i w:val="0"/>
          <w:sz w:val="22"/>
        </w:rPr>
        <w:t>参数b_i（边际效用递减速率）的均值约为0.3，标准差约0.08</w:t>
      </w:r>
    </w:p>
    <w:p>
      <w:pPr>
        <w:pStyle w:val="ListBullet"/>
        <w:spacing w:line="360" w:lineRule="auto" w:after="0"/>
      </w:pPr>
      <w:r>
        <w:rPr>
          <w:rFonts w:ascii="Times New Roman" w:hAnsi="Times New Roman" w:eastAsia="宋体"/>
          <w:b w:val="0"/>
          <w:i w:val="0"/>
          <w:sz w:val="22"/>
        </w:rPr>
        <w:t>参数估计的R^2约为0.75-0.85</w:t>
      </w:r>
    </w:p>
    <w:p>
      <w:pPr>
        <w:spacing w:line="360" w:lineRule="auto" w:after="0"/>
        <w:ind w:firstLine="425"/>
      </w:pPr>
      <w:r>
        <w:rPr>
          <w:rFonts w:ascii="Times New Roman" w:hAnsi="Times New Roman" w:eastAsia="宋体"/>
          <w:b/>
          <w:i w:val="0"/>
          <w:sz w:val="22"/>
        </w:rPr>
        <w:t>定价应用</w:t>
      </w:r>
      <w:r>
        <w:rPr>
          <w:rFonts w:ascii="Times New Roman" w:hAnsi="Times New Roman" w:eastAsia="宋体"/>
          <w:b w:val="0"/>
          <w:i w:val="0"/>
          <w:sz w:val="22"/>
        </w:rPr>
        <w:t>：利用估计的效用函数参数，通过社会福利最大化模型计算最优实时电价。试点结果表明，基于估计参数的RTP比统一参数RTP的社会福利提高约3%-5%。</w:t>
      </w:r>
    </w:p>
    <w:p>
      <w:pPr>
        <w:pStyle w:val="Heading3"/>
        <w:spacing w:before="160" w:after="60"/>
      </w:pPr>
      <w:r>
        <w:rPr>
          <w:rFonts w:ascii="Times New Roman" w:hAnsi="Times New Roman" w:eastAsia="黑体"/>
          <w:b/>
          <w:i w:val="0"/>
          <w:sz w:val="24"/>
        </w:rPr>
        <w:t>案例2：分片线性效用函数的数值验证</w:t>
      </w:r>
    </w:p>
    <w:p>
      <w:pPr>
        <w:spacing w:line="360" w:lineRule="auto" w:after="0"/>
        <w:ind w:firstLine="425"/>
      </w:pPr>
      <w:r>
        <w:rPr>
          <w:rFonts w:ascii="Times New Roman" w:hAnsi="Times New Roman" w:eastAsia="宋体"/>
          <w:b w:val="0"/>
          <w:i w:val="0"/>
          <w:sz w:val="22"/>
        </w:rPr>
        <w:t>许志宏和高岩（2018）的数值实验设置了以下场景</w:t>
      </w:r>
      <w:r>
        <w:rPr>
          <w:rFonts w:ascii="Times New Roman" w:hAnsi="Times New Roman" w:eastAsia="Times New Roman"/>
          <w:b w:val="0"/>
          <w:i w:val="0"/>
          <w:sz w:val="18"/>
          <w:vertAlign w:val="superscript"/>
        </w:rPr>
        <w:t>[1]</w:t>
      </w:r>
      <w:r>
        <w:rPr>
          <w:rFonts w:ascii="Times New Roman" w:hAnsi="Times New Roman" w:eastAsia="宋体"/>
          <w:b w:val="0"/>
          <w:i w:val="0"/>
          <w:sz w:val="22"/>
        </w:rPr>
        <w:t>：</w:t>
      </w:r>
    </w:p>
    <w:p>
      <w:pPr>
        <w:spacing w:line="360" w:lineRule="auto" w:after="0"/>
        <w:ind w:firstLine="425"/>
      </w:pPr>
      <w:r>
        <w:rPr>
          <w:rFonts w:ascii="Times New Roman" w:hAnsi="Times New Roman" w:eastAsia="宋体"/>
          <w:b/>
          <w:i w:val="0"/>
          <w:sz w:val="22"/>
        </w:rPr>
        <w:t>用户设置</w:t>
      </w:r>
      <w:r>
        <w:rPr>
          <w:rFonts w:ascii="Times New Roman" w:hAnsi="Times New Roman" w:eastAsia="宋体"/>
          <w:b w:val="0"/>
          <w:i w:val="0"/>
          <w:sz w:val="22"/>
        </w:rPr>
        <w:t>：100个用户，分为3类（居民50户、商业30户、工业20户）。</w:t>
      </w:r>
    </w:p>
    <w:p>
      <w:pPr>
        <w:spacing w:line="360" w:lineRule="auto" w:after="0"/>
        <w:ind w:firstLine="425"/>
      </w:pPr>
      <w:r>
        <w:rPr>
          <w:rFonts w:ascii="Times New Roman" w:hAnsi="Times New Roman" w:eastAsia="宋体"/>
          <w:b/>
          <w:i w:val="0"/>
          <w:sz w:val="22"/>
        </w:rPr>
        <w:t>效用函数</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居民用户：二次效用函数，a=2.0, b=0.4</w:t>
      </w:r>
    </w:p>
    <w:p>
      <w:pPr>
        <w:pStyle w:val="ListBullet"/>
        <w:spacing w:line="360" w:lineRule="auto" w:after="0"/>
      </w:pPr>
      <w:r>
        <w:rPr>
          <w:rFonts w:ascii="Times New Roman" w:hAnsi="Times New Roman" w:eastAsia="宋体"/>
          <w:b w:val="0"/>
          <w:i w:val="0"/>
          <w:sz w:val="22"/>
        </w:rPr>
        <w:t>商业用户：对数效用函数，a=1.5, b=0.5</w:t>
      </w:r>
    </w:p>
    <w:p>
      <w:pPr>
        <w:pStyle w:val="ListBullet"/>
        <w:spacing w:line="360" w:lineRule="auto" w:after="0"/>
      </w:pPr>
      <w:r>
        <w:rPr>
          <w:rFonts w:ascii="Times New Roman" w:hAnsi="Times New Roman" w:eastAsia="宋体"/>
          <w:b w:val="0"/>
          <w:i w:val="0"/>
          <w:sz w:val="22"/>
        </w:rPr>
        <w:t>工业用户：分片线性效用函数，3段，斜率分别为1.8, 1.0, 0.3</w:t>
      </w:r>
    </w:p>
    <w:p>
      <w:pPr>
        <w:spacing w:line="360" w:lineRule="auto" w:after="0"/>
        <w:ind w:firstLine="425"/>
      </w:pPr>
      <w:r>
        <w:rPr>
          <w:rFonts w:ascii="Times New Roman" w:hAnsi="Times New Roman" w:eastAsia="宋体"/>
          <w:b/>
          <w:i w:val="0"/>
          <w:sz w:val="22"/>
        </w:rPr>
        <w:t>供电成本</w:t>
      </w:r>
      <w:r>
        <w:rPr>
          <w:rFonts w:ascii="Times New Roman" w:hAnsi="Times New Roman" w:eastAsia="宋体"/>
          <w:b w:val="0"/>
          <w:i w:val="0"/>
          <w:sz w:val="22"/>
        </w:rPr>
        <w:t>：C(Q) = 0.1Q + 0.01Q^2</w:t>
      </w:r>
    </w:p>
    <w:p>
      <w:pPr>
        <w:spacing w:line="360" w:lineRule="auto" w:after="0"/>
        <w:ind w:firstLine="425"/>
      </w:pPr>
      <w:r>
        <w:rPr>
          <w:rFonts w:ascii="Times New Roman" w:hAnsi="Times New Roman" w:eastAsia="宋体"/>
          <w:b/>
          <w:i w:val="0"/>
          <w:sz w:val="22"/>
        </w:rPr>
        <w:t>求解方法</w:t>
      </w:r>
      <w:r>
        <w:rPr>
          <w:rFonts w:ascii="Times New Roman" w:hAnsi="Times New Roman" w:eastAsia="宋体"/>
          <w:b w:val="0"/>
          <w:i w:val="0"/>
          <w:sz w:val="22"/>
        </w:rPr>
        <w:t>：对分片线性效用函数进行光滑化（光滑化参数μ=0.01），用对偶次梯度算法求解。</w:t>
      </w:r>
    </w:p>
    <w:p>
      <w:pPr>
        <w:spacing w:line="360" w:lineRule="auto" w:after="0"/>
        <w:ind w:firstLine="425"/>
      </w:pPr>
      <w:r>
        <w:rPr>
          <w:rFonts w:ascii="Times New Roman" w:hAnsi="Times New Roman" w:eastAsia="宋体"/>
          <w:b/>
          <w:i w:val="0"/>
          <w:sz w:val="22"/>
        </w:rPr>
        <w:t>结果</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分片线性效用函数下的社会福利比二次效用函数高4.2%</w:t>
      </w:r>
    </w:p>
    <w:p>
      <w:pPr>
        <w:pStyle w:val="ListBullet"/>
        <w:spacing w:line="360" w:lineRule="auto" w:after="0"/>
      </w:pPr>
      <w:r>
        <w:rPr>
          <w:rFonts w:ascii="Times New Roman" w:hAnsi="Times New Roman" w:eastAsia="宋体"/>
          <w:b w:val="0"/>
          <w:i w:val="0"/>
          <w:sz w:val="22"/>
        </w:rPr>
        <w:t>光滑化方法的收敛速度比直接次梯度法快约40%</w:t>
      </w:r>
    </w:p>
    <w:p>
      <w:pPr>
        <w:pStyle w:val="ListBullet"/>
        <w:spacing w:line="360" w:lineRule="auto" w:after="0"/>
      </w:pPr>
      <w:r>
        <w:rPr>
          <w:rFonts w:ascii="Times New Roman" w:hAnsi="Times New Roman" w:eastAsia="宋体"/>
          <w:b w:val="0"/>
          <w:i w:val="0"/>
          <w:sz w:val="22"/>
        </w:rPr>
        <w:t>分片线性效用函数能更准确地描述工业用户的用电行为</w:t>
      </w:r>
    </w:p>
    <w:p>
      <w:pPr>
        <w:pStyle w:val="Heading3"/>
        <w:spacing w:before="160" w:after="60"/>
      </w:pPr>
      <w:r>
        <w:rPr>
          <w:rFonts w:ascii="Times New Roman" w:hAnsi="Times New Roman" w:eastAsia="黑体"/>
          <w:b/>
          <w:i w:val="0"/>
          <w:sz w:val="24"/>
        </w:rPr>
        <w:t>案例3：非递减边际效用的工业应用</w:t>
      </w:r>
    </w:p>
    <w:p>
      <w:pPr>
        <w:spacing w:line="360" w:lineRule="auto" w:after="0"/>
        <w:ind w:firstLine="425"/>
      </w:pPr>
      <w:r>
        <w:rPr>
          <w:rFonts w:ascii="Times New Roman" w:hAnsi="Times New Roman" w:eastAsia="宋体"/>
          <w:b w:val="0"/>
          <w:i w:val="0"/>
          <w:sz w:val="22"/>
        </w:rPr>
        <w:t>在某工业园区，研究团队发现部分工业用户的边际效用非递减：</w:t>
      </w:r>
    </w:p>
    <w:p>
      <w:pPr>
        <w:spacing w:line="360" w:lineRule="auto" w:after="0"/>
        <w:ind w:firstLine="425"/>
      </w:pPr>
      <w:r>
        <w:rPr>
          <w:rFonts w:ascii="Times New Roman" w:hAnsi="Times New Roman" w:eastAsia="宋体"/>
          <w:b/>
          <w:i w:val="0"/>
          <w:sz w:val="22"/>
        </w:rPr>
        <w:t>场景</w:t>
      </w:r>
      <w:r>
        <w:rPr>
          <w:rFonts w:ascii="Times New Roman" w:hAnsi="Times New Roman" w:eastAsia="宋体"/>
          <w:b w:val="0"/>
          <w:i w:val="0"/>
          <w:sz w:val="22"/>
        </w:rPr>
        <w:t>：一家钢铁企业，其电炉在批量生产时，每增加一单位用电量带来的产出增量递增（因为规模效应）。</w:t>
      </w:r>
    </w:p>
    <w:p>
      <w:pPr>
        <w:spacing w:line="360" w:lineRule="auto" w:after="0"/>
        <w:ind w:firstLine="425"/>
      </w:pPr>
      <w:r>
        <w:rPr>
          <w:rFonts w:ascii="Times New Roman" w:hAnsi="Times New Roman" w:eastAsia="宋体"/>
          <w:b/>
          <w:i w:val="0"/>
          <w:sz w:val="22"/>
        </w:rPr>
        <w:t>传统模型的问题</w:t>
      </w:r>
      <w:r>
        <w:rPr>
          <w:rFonts w:ascii="Times New Roman" w:hAnsi="Times New Roman" w:eastAsia="宋体"/>
          <w:b w:val="0"/>
          <w:i w:val="0"/>
          <w:sz w:val="22"/>
        </w:rPr>
        <w:t>：使用二次效用函数（递减边际效用）会导致定价偏低，用户用电量偏高，与实际行为不符。</w:t>
      </w:r>
    </w:p>
    <w:p>
      <w:pPr>
        <w:spacing w:line="360" w:lineRule="auto" w:after="0"/>
        <w:ind w:firstLine="425"/>
      </w:pPr>
      <w:r>
        <w:rPr>
          <w:rFonts w:ascii="Times New Roman" w:hAnsi="Times New Roman" w:eastAsia="宋体"/>
          <w:b/>
          <w:i w:val="0"/>
          <w:sz w:val="22"/>
        </w:rPr>
        <w:t>非递减边际效用模型</w:t>
      </w:r>
      <w:r>
        <w:rPr>
          <w:rFonts w:ascii="Times New Roman" w:hAnsi="Times New Roman" w:eastAsia="宋体"/>
          <w:b w:val="0"/>
          <w:i w:val="0"/>
          <w:sz w:val="22"/>
        </w:rPr>
        <w:t>：使用凸效用函数（边际效用递增），更准确地描述了规模效应。基于该模型的RTP使电价提高约8%，用户用电量减少约5%，社会福利比传统模型提高约3%。</w:t>
      </w:r>
    </w:p>
    <w:p>
      <w:pPr>
        <w:spacing w:line="360" w:lineRule="auto" w:after="0"/>
        <w:ind w:firstLine="425"/>
      </w:pPr>
      <w:r>
        <w:rPr>
          <w:rFonts w:ascii="Times New Roman" w:hAnsi="Times New Roman" w:eastAsia="宋体"/>
          <w:b/>
          <w:i w:val="0"/>
          <w:sz w:val="22"/>
        </w:rPr>
        <w:t>启示</w:t>
      </w:r>
      <w:r>
        <w:rPr>
          <w:rFonts w:ascii="Times New Roman" w:hAnsi="Times New Roman" w:eastAsia="宋体"/>
          <w:b w:val="0"/>
          <w:i w:val="0"/>
          <w:sz w:val="22"/>
        </w:rPr>
        <w:t>：对于具有规模效应的工业用户，非递减边际效用函数比传统递减边际效用函数更合适。</w:t>
      </w:r>
    </w:p>
    <w:p>
      <w:pPr>
        <w:pStyle w:val="Heading2"/>
        <w:spacing w:before="240" w:after="80"/>
      </w:pPr>
      <w:r>
        <w:rPr>
          <w:rFonts w:ascii="Times New Roman" w:hAnsi="Times New Roman" w:eastAsia="黑体"/>
          <w:b/>
          <w:i w:val="0"/>
          <w:sz w:val="28"/>
        </w:rPr>
        <w:t>4.9 理论深化与前沿探讨</w:t>
      </w:r>
    </w:p>
    <w:p>
      <w:pPr>
        <w:pStyle w:val="Heading3"/>
        <w:spacing w:before="160" w:after="60"/>
      </w:pPr>
      <w:r>
        <w:rPr>
          <w:rFonts w:ascii="Times New Roman" w:hAnsi="Times New Roman" w:eastAsia="黑体"/>
          <w:b/>
          <w:i w:val="0"/>
          <w:sz w:val="24"/>
        </w:rPr>
        <w:t>效用函数的动态特性</w:t>
      </w:r>
    </w:p>
    <w:p>
      <w:pPr>
        <w:spacing w:line="360" w:lineRule="auto" w:after="0"/>
        <w:ind w:firstLine="425"/>
      </w:pPr>
      <w:r>
        <w:rPr>
          <w:rFonts w:ascii="Times New Roman" w:hAnsi="Times New Roman" w:eastAsia="宋体"/>
          <w:b w:val="0"/>
          <w:i w:val="0"/>
          <w:sz w:val="22"/>
        </w:rPr>
        <w:t>传统效用函数假设用户偏好不变，实际上用户偏好会随时间变化：</w:t>
      </w:r>
    </w:p>
    <w:p>
      <w:pPr>
        <w:spacing w:line="360" w:lineRule="auto" w:after="0"/>
        <w:ind w:firstLine="425"/>
      </w:pPr>
      <w:r>
        <w:rPr>
          <w:rFonts w:ascii="Times New Roman" w:hAnsi="Times New Roman" w:eastAsia="宋体"/>
          <w:b/>
          <w:i w:val="0"/>
          <w:sz w:val="22"/>
        </w:rPr>
        <w:t>季节性变化</w:t>
      </w:r>
      <w:r>
        <w:rPr>
          <w:rFonts w:ascii="Times New Roman" w:hAnsi="Times New Roman" w:eastAsia="宋体"/>
          <w:b w:val="0"/>
          <w:i w:val="0"/>
          <w:sz w:val="22"/>
        </w:rPr>
        <w:t>：夏季空调用电的效用高于冬季，冬季取暖用电的效用高于夏季。</w:t>
      </w:r>
    </w:p>
    <w:p>
      <w:pPr>
        <w:spacing w:line="360" w:lineRule="auto" w:after="0"/>
        <w:ind w:firstLine="425"/>
      </w:pPr>
      <w:r>
        <w:rPr>
          <w:rFonts w:ascii="Times New Roman" w:hAnsi="Times New Roman" w:eastAsia="宋体"/>
          <w:b/>
          <w:i w:val="0"/>
          <w:sz w:val="22"/>
        </w:rPr>
        <w:t>日内变化</w:t>
      </w:r>
      <w:r>
        <w:rPr>
          <w:rFonts w:ascii="Times New Roman" w:hAnsi="Times New Roman" w:eastAsia="宋体"/>
          <w:b w:val="0"/>
          <w:i w:val="0"/>
          <w:sz w:val="22"/>
        </w:rPr>
        <w:t>：工作日上午和下午的用电效用较高（生产活动密集），午间和夜间较低。</w:t>
      </w:r>
    </w:p>
    <w:p>
      <w:pPr>
        <w:spacing w:line="360" w:lineRule="auto" w:after="0"/>
        <w:ind w:firstLine="425"/>
      </w:pPr>
      <w:r>
        <w:rPr>
          <w:rFonts w:ascii="Times New Roman" w:hAnsi="Times New Roman" w:eastAsia="宋体"/>
          <w:b/>
          <w:i w:val="0"/>
          <w:sz w:val="22"/>
        </w:rPr>
        <w:t>动态效用函数</w:t>
      </w:r>
      <w:r>
        <w:rPr>
          <w:rFonts w:ascii="Times New Roman" w:hAnsi="Times New Roman" w:eastAsia="宋体"/>
          <w:b w:val="0"/>
          <w:i w:val="0"/>
          <w:sz w:val="22"/>
        </w:rPr>
        <w:t>：U_i(x_i, t) = a_i(t) x_i - (b_i(t))/(2) x_i^2，其中参数a_i(t)和b_i(t)随时间变化。动态效用函数能够更准确地描述用户行为，但参数估计的复杂度也相应增加。</w:t>
      </w:r>
    </w:p>
    <w:p>
      <w:pPr>
        <w:pStyle w:val="Heading3"/>
        <w:spacing w:before="160" w:after="60"/>
      </w:pPr>
      <w:r>
        <w:rPr>
          <w:rFonts w:ascii="Times New Roman" w:hAnsi="Times New Roman" w:eastAsia="黑体"/>
          <w:b/>
          <w:i w:val="0"/>
          <w:sz w:val="24"/>
        </w:rPr>
        <w:t>效用函数与需求价格弹性的关系</w:t>
      </w:r>
    </w:p>
    <w:p>
      <w:pPr>
        <w:spacing w:line="360" w:lineRule="auto" w:after="0"/>
        <w:ind w:firstLine="425"/>
      </w:pPr>
      <w:r>
        <w:rPr>
          <w:rFonts w:ascii="Times New Roman" w:hAnsi="Times New Roman" w:eastAsia="宋体"/>
          <w:b w:val="0"/>
          <w:i w:val="0"/>
          <w:sz w:val="22"/>
        </w:rPr>
        <w:t>效用函数的形式直接决定了用户的需求价格弹性：</w:t>
      </w:r>
    </w:p>
    <w:p>
      <w:pPr>
        <w:pStyle w:val="ListBullet"/>
        <w:spacing w:line="360" w:lineRule="auto" w:after="0"/>
      </w:pPr>
      <w:r>
        <w:rPr>
          <w:rFonts w:ascii="Times New Roman" w:hAnsi="Times New Roman" w:eastAsia="宋体"/>
          <w:b/>
          <w:i w:val="0"/>
          <w:sz w:val="22"/>
        </w:rPr>
        <w:t>二次效用函数</w:t>
      </w:r>
      <w:r>
        <w:rPr>
          <w:rFonts w:ascii="Times New Roman" w:hAnsi="Times New Roman" w:eastAsia="宋体"/>
          <w:b w:val="0"/>
          <w:i w:val="0"/>
          <w:sz w:val="22"/>
        </w:rPr>
        <w:t>：弹性ε = -(p)/(a - p)，弹性随价格升高而增大</w:t>
      </w:r>
    </w:p>
    <w:p>
      <w:pPr>
        <w:pStyle w:val="ListBullet"/>
        <w:spacing w:line="360" w:lineRule="auto" w:after="0"/>
      </w:pPr>
      <w:r>
        <w:rPr>
          <w:rFonts w:ascii="Times New Roman" w:hAnsi="Times New Roman" w:eastAsia="宋体"/>
          <w:b/>
          <w:i w:val="0"/>
          <w:sz w:val="22"/>
        </w:rPr>
        <w:t>对数效用函数</w:t>
      </w:r>
      <w:r>
        <w:rPr>
          <w:rFonts w:ascii="Times New Roman" w:hAnsi="Times New Roman" w:eastAsia="宋体"/>
          <w:b w:val="0"/>
          <w:i w:val="0"/>
          <w:sz w:val="22"/>
        </w:rPr>
        <w:t>：弹性ε = -(p)/(a)(x + b)，弹性与用电量成正比</w:t>
      </w:r>
    </w:p>
    <w:p>
      <w:pPr>
        <w:pStyle w:val="ListBullet"/>
        <w:spacing w:line="360" w:lineRule="auto" w:after="0"/>
      </w:pPr>
      <w:r>
        <w:rPr>
          <w:rFonts w:ascii="Times New Roman" w:hAnsi="Times New Roman" w:eastAsia="宋体"/>
          <w:b/>
          <w:i w:val="0"/>
          <w:sz w:val="22"/>
        </w:rPr>
        <w:t>分片线性效用函数</w:t>
      </w:r>
      <w:r>
        <w:rPr>
          <w:rFonts w:ascii="Times New Roman" w:hAnsi="Times New Roman" w:eastAsia="宋体"/>
          <w:b w:val="0"/>
          <w:i w:val="0"/>
          <w:sz w:val="22"/>
        </w:rPr>
        <w:t>：各分段的弹性不同，低用电量段弹性低，高用电量段弹性高</w:t>
      </w:r>
    </w:p>
    <w:p>
      <w:pPr>
        <w:spacing w:line="360" w:lineRule="auto" w:after="0"/>
        <w:ind w:firstLine="425"/>
      </w:pPr>
      <w:r>
        <w:rPr>
          <w:rFonts w:ascii="Times New Roman" w:hAnsi="Times New Roman" w:eastAsia="宋体"/>
          <w:b w:val="0"/>
          <w:i w:val="0"/>
          <w:sz w:val="22"/>
        </w:rPr>
        <w:t>理解效用函数与弹性的关系有助于根据目标弹性选择合适的效用函数。</w:t>
      </w:r>
    </w:p>
    <w:p>
      <w:pPr>
        <w:pStyle w:val="Heading3"/>
        <w:spacing w:before="160" w:after="60"/>
      </w:pPr>
      <w:r>
        <w:rPr>
          <w:rFonts w:ascii="Times New Roman" w:hAnsi="Times New Roman" w:eastAsia="黑体"/>
          <w:b/>
          <w:i w:val="0"/>
          <w:sz w:val="24"/>
        </w:rPr>
        <w:t>多维效用函数</w:t>
      </w:r>
    </w:p>
    <w:p>
      <w:pPr>
        <w:spacing w:line="360" w:lineRule="auto" w:after="0"/>
        <w:ind w:firstLine="425"/>
      </w:pPr>
      <w:r>
        <w:rPr>
          <w:rFonts w:ascii="Times New Roman" w:hAnsi="Times New Roman" w:eastAsia="宋体"/>
          <w:b w:val="0"/>
          <w:i w:val="0"/>
          <w:sz w:val="22"/>
        </w:rPr>
        <w:t>传统效用函数是一维的（仅考虑用电量），多维效用函数考虑更多因素：</w:t>
      </w:r>
    </w:p>
    <w:p>
      <w:pPr>
        <w:spacing w:before="80" w:after="80"/>
        <w:jc w:val="center"/>
      </w:pPr>
      <m:oMathPara>
        <m:oMath>
          <m:r>
            <m:t>U(x,t,q)=a·x−</m:t>
          </m:r>
          <m:f>
            <m:fPr>
              <m:type m:val="bar"/>
            </m:fPr>
            <m:num>
              <m:r>
                <m:t>b</m:t>
              </m:r>
            </m:num>
            <m:den>
              <m:r>
                <m:t>2</m:t>
              </m:r>
            </m:den>
          </m:f>
          <m:sSup>
            <m:e>
              <m:r>
                <m:t>x</m:t>
              </m:r>
            </m:e>
            <m:sup>
              <m:r>
                <m:t>2</m:t>
              </m:r>
            </m:sup>
          </m:sSup>
          <m:r>
            <m:t>+c·t−</m:t>
          </m:r>
          <m:f>
            <m:fPr>
              <m:type m:val="bar"/>
            </m:fPr>
            <m:num>
              <m:r>
                <m:t>d</m:t>
              </m:r>
            </m:num>
            <m:den>
              <m:r>
                <m:t>2</m:t>
              </m:r>
            </m:den>
          </m:f>
          <m:sSup>
            <m:e>
              <m:r>
                <m:t>q</m:t>
              </m:r>
            </m:e>
            <m:sup>
              <m:r>
                <m:t>2</m:t>
              </m:r>
            </m:sup>
          </m:sSup>
        </m:oMath>
      </m:oMathPara>
    </w:p>
    <w:p>
      <w:pPr>
        <w:spacing w:line="360" w:lineRule="auto" w:after="0"/>
        <w:ind w:firstLine="0"/>
      </w:pPr>
      <w:r>
        <w:rPr>
          <w:rFonts w:ascii="Times New Roman" w:hAnsi="Times New Roman" w:eastAsia="宋体"/>
          <w:b w:val="0"/>
          <w:i w:val="0"/>
          <w:sz w:val="22"/>
        </w:rPr>
        <w:t>其中x是用电量，t是用电时段的便利性，q是用电质量（如电压稳定性）。多维效用函数能够更全面地描述用户偏好，但增加了模型复杂度。</w:t>
      </w:r>
    </w:p>
    <w:p>
      <w:pPr>
        <w:pStyle w:val="Heading3"/>
        <w:spacing w:before="160" w:after="60"/>
      </w:pPr>
      <w:r>
        <w:rPr>
          <w:rFonts w:ascii="Times New Roman" w:hAnsi="Times New Roman" w:eastAsia="黑体"/>
          <w:b/>
          <w:i w:val="0"/>
          <w:sz w:val="24"/>
        </w:rPr>
        <w:t>机器学习辅助的效用函数估计</w:t>
      </w:r>
    </w:p>
    <w:p>
      <w:pPr>
        <w:spacing w:line="360" w:lineRule="auto" w:after="0"/>
        <w:ind w:firstLine="425"/>
      </w:pPr>
      <w:r>
        <w:rPr>
          <w:rFonts w:ascii="Times New Roman" w:hAnsi="Times New Roman" w:eastAsia="宋体"/>
          <w:b w:val="0"/>
          <w:i w:val="0"/>
          <w:sz w:val="22"/>
        </w:rPr>
        <w:t>近年来，机器学习方法被引入效用函数估计：</w:t>
      </w:r>
    </w:p>
    <w:p>
      <w:pPr>
        <w:spacing w:line="360" w:lineRule="auto" w:after="0"/>
        <w:ind w:firstLine="425"/>
      </w:pPr>
      <w:r>
        <w:rPr>
          <w:rFonts w:ascii="Times New Roman" w:hAnsi="Times New Roman" w:eastAsia="宋体"/>
          <w:b/>
          <w:i w:val="0"/>
          <w:sz w:val="22"/>
        </w:rPr>
        <w:t>神经网络方法</w:t>
      </w:r>
      <w:r>
        <w:rPr>
          <w:rFonts w:ascii="Times New Roman" w:hAnsi="Times New Roman" w:eastAsia="宋体"/>
          <w:b w:val="0"/>
          <w:i w:val="0"/>
          <w:sz w:val="22"/>
        </w:rPr>
        <w:t>：用深度神经网络逼近效用函数，输入包括历史用电量、天气、时间等特征，输出为效用值。优点是无需预设效用函数形式，缺点是可解释性差。</w:t>
      </w:r>
    </w:p>
    <w:p>
      <w:pPr>
        <w:spacing w:line="360" w:lineRule="auto" w:after="0"/>
        <w:ind w:firstLine="425"/>
      </w:pPr>
      <w:r>
        <w:rPr>
          <w:rFonts w:ascii="Times New Roman" w:hAnsi="Times New Roman" w:eastAsia="宋体"/>
          <w:b/>
          <w:i w:val="0"/>
          <w:sz w:val="22"/>
        </w:rPr>
        <w:t>强化学习方法</w:t>
      </w:r>
      <w:r>
        <w:rPr>
          <w:rFonts w:ascii="Times New Roman" w:hAnsi="Times New Roman" w:eastAsia="宋体"/>
          <w:b w:val="0"/>
          <w:i w:val="0"/>
          <w:sz w:val="22"/>
        </w:rPr>
        <w:t>：通过RL Agent与用户交互，隐式地学习用户的效用函数。Agent通过试错发现用户对不同价格信号的响应模式，间接估计效用函数参数。</w:t>
      </w:r>
    </w:p>
    <w:p>
      <w:pPr>
        <w:spacing w:line="360" w:lineRule="auto" w:after="0"/>
        <w:ind w:firstLine="425"/>
      </w:pPr>
      <w:r>
        <w:rPr>
          <w:rFonts w:ascii="Times New Roman" w:hAnsi="Times New Roman" w:eastAsia="宋体"/>
          <w:b/>
          <w:i w:val="0"/>
          <w:sz w:val="22"/>
        </w:rPr>
        <w:t>联邦学习方法</w:t>
      </w:r>
      <w:r>
        <w:rPr>
          <w:rFonts w:ascii="Times New Roman" w:hAnsi="Times New Roman" w:eastAsia="宋体"/>
          <w:b w:val="0"/>
          <w:i w:val="0"/>
          <w:sz w:val="22"/>
        </w:rPr>
        <w:t>：在保护用户隐私的前提下，通过联邦学习聚合多用户的效用函数参数，得到群体水平的效用函数估计。</w:t>
      </w:r>
    </w:p>
    <w:p>
      <w:pPr>
        <w:pStyle w:val="Heading3"/>
        <w:spacing w:before="160" w:after="60"/>
      </w:pPr>
      <w:r>
        <w:rPr>
          <w:rFonts w:ascii="Times New Roman" w:hAnsi="Times New Roman" w:eastAsia="黑体"/>
          <w:b/>
          <w:i w:val="0"/>
          <w:sz w:val="24"/>
        </w:rPr>
        <w:t>效用函数的局限性</w:t>
      </w:r>
    </w:p>
    <w:p>
      <w:pPr>
        <w:spacing w:line="360" w:lineRule="auto" w:after="0"/>
        <w:ind w:firstLine="425"/>
      </w:pPr>
      <w:r>
        <w:rPr>
          <w:rFonts w:ascii="Times New Roman" w:hAnsi="Times New Roman" w:eastAsia="宋体"/>
          <w:b w:val="0"/>
          <w:i w:val="0"/>
          <w:sz w:val="22"/>
        </w:rPr>
        <w:t>效用函数方法虽然强大，但也存在局限性：</w:t>
      </w:r>
    </w:p>
    <w:p>
      <w:pPr>
        <w:pStyle w:val="ListBullet"/>
        <w:spacing w:line="360" w:lineRule="auto" w:after="0"/>
      </w:pPr>
      <w:r>
        <w:rPr>
          <w:rFonts w:ascii="Times New Roman" w:hAnsi="Times New Roman" w:eastAsia="宋体"/>
          <w:b/>
          <w:i w:val="0"/>
          <w:sz w:val="22"/>
        </w:rPr>
        <w:t>理性假设</w:t>
      </w:r>
      <w:r>
        <w:rPr>
          <w:rFonts w:ascii="Times New Roman" w:hAnsi="Times New Roman" w:eastAsia="宋体"/>
          <w:b w:val="0"/>
          <w:i w:val="0"/>
          <w:sz w:val="22"/>
        </w:rPr>
        <w:t>：假设用户是完全理性的效用最大化者，与行为经济学的发现不符</w:t>
      </w:r>
    </w:p>
    <w:p>
      <w:pPr>
        <w:pStyle w:val="ListBullet"/>
        <w:spacing w:line="360" w:lineRule="auto" w:after="0"/>
      </w:pPr>
      <w:r>
        <w:rPr>
          <w:rFonts w:ascii="Times New Roman" w:hAnsi="Times New Roman" w:eastAsia="宋体"/>
          <w:b/>
          <w:i w:val="0"/>
          <w:sz w:val="22"/>
        </w:rPr>
        <w:t>静态性</w:t>
      </w:r>
      <w:r>
        <w:rPr>
          <w:rFonts w:ascii="Times New Roman" w:hAnsi="Times New Roman" w:eastAsia="宋体"/>
          <w:b w:val="0"/>
          <w:i w:val="0"/>
          <w:sz w:val="22"/>
        </w:rPr>
        <w:t>：传统效用函数不考虑用户偏好随时间的演化</w:t>
      </w:r>
    </w:p>
    <w:p>
      <w:pPr>
        <w:pStyle w:val="ListBullet"/>
        <w:spacing w:line="360" w:lineRule="auto" w:after="0"/>
      </w:pPr>
      <w:r>
        <w:rPr>
          <w:rFonts w:ascii="Times New Roman" w:hAnsi="Times New Roman" w:eastAsia="宋体"/>
          <w:b/>
          <w:i w:val="0"/>
          <w:sz w:val="22"/>
        </w:rPr>
        <w:t>同质性</w:t>
      </w:r>
      <w:r>
        <w:rPr>
          <w:rFonts w:ascii="Times New Roman" w:hAnsi="Times New Roman" w:eastAsia="宋体"/>
          <w:b w:val="0"/>
          <w:i w:val="0"/>
          <w:sz w:val="22"/>
        </w:rPr>
        <w:t>：同一类型用户使用相同效用函数，忽略了个体差异</w:t>
      </w:r>
    </w:p>
    <w:p>
      <w:pPr>
        <w:pStyle w:val="ListBullet"/>
        <w:spacing w:line="360" w:lineRule="auto" w:after="0"/>
      </w:pPr>
      <w:r>
        <w:rPr>
          <w:rFonts w:ascii="Times New Roman" w:hAnsi="Times New Roman" w:eastAsia="宋体"/>
          <w:b/>
          <w:i w:val="0"/>
          <w:sz w:val="22"/>
        </w:rPr>
        <w:t>可观测性</w:t>
      </w:r>
      <w:r>
        <w:rPr>
          <w:rFonts w:ascii="Times New Roman" w:hAnsi="Times New Roman" w:eastAsia="宋体"/>
          <w:b w:val="0"/>
          <w:i w:val="0"/>
          <w:sz w:val="22"/>
        </w:rPr>
        <w:t>：效用是主观概念，无法直接观测，参数估计依赖间接推断</w:t>
      </w:r>
    </w:p>
    <w:p>
      <w:pPr>
        <w:spacing w:line="360" w:lineRule="auto" w:after="0"/>
        <w:ind w:firstLine="425"/>
      </w:pPr>
      <w:r>
        <w:rPr>
          <w:rFonts w:ascii="Times New Roman" w:hAnsi="Times New Roman" w:eastAsia="宋体"/>
          <w:b w:val="0"/>
          <w:i w:val="0"/>
          <w:sz w:val="22"/>
        </w:rPr>
        <w:t>这些局限性促使研究者探索替代方法，如基于数据驱动的定价方法（不依赖显式效用函数）和基于行为经济学的定价方法（考虑用户认知偏差）。</w:t>
      </w:r>
    </w:p>
    <w:p>
      <w:pPr>
        <w:pStyle w:val="Heading2"/>
        <w:spacing w:before="240" w:after="80"/>
      </w:pPr>
      <w:r>
        <w:rPr>
          <w:rFonts w:ascii="Times New Roman" w:hAnsi="Times New Roman" w:eastAsia="黑体"/>
          <w:b/>
          <w:i w:val="0"/>
          <w:sz w:val="28"/>
        </w:rPr>
        <w:t>4.10 效用函数的数学理论深化</w:t>
      </w:r>
    </w:p>
    <w:p>
      <w:pPr>
        <w:pStyle w:val="Heading3"/>
        <w:spacing w:before="160" w:after="60"/>
      </w:pPr>
      <w:r>
        <w:rPr>
          <w:rFonts w:ascii="Times New Roman" w:hAnsi="Times New Roman" w:eastAsia="黑体"/>
          <w:b/>
          <w:i w:val="0"/>
          <w:sz w:val="24"/>
        </w:rPr>
        <w:t>凹性与凸优化的关系</w:t>
      </w:r>
    </w:p>
    <w:p>
      <w:pPr>
        <w:spacing w:line="360" w:lineRule="auto" w:after="0"/>
        <w:ind w:firstLine="425"/>
      </w:pPr>
      <w:r>
        <w:rPr>
          <w:rFonts w:ascii="Times New Roman" w:hAnsi="Times New Roman" w:eastAsia="宋体"/>
          <w:b w:val="0"/>
          <w:i w:val="0"/>
          <w:sz w:val="22"/>
        </w:rPr>
        <w:t>效用函数的凹性是社会福利最大化问题可解性的关键：</w:t>
      </w:r>
    </w:p>
    <w:p>
      <w:pPr>
        <w:spacing w:line="360" w:lineRule="auto" w:after="0"/>
        <w:ind w:firstLine="425"/>
      </w:pPr>
      <w:r>
        <w:rPr>
          <w:rFonts w:ascii="Times New Roman" w:hAnsi="Times New Roman" w:eastAsia="宋体"/>
          <w:b/>
          <w:i w:val="0"/>
          <w:sz w:val="22"/>
        </w:rPr>
        <w:t>凹效用函数</w:t>
      </w:r>
      <w:r>
        <w:rPr>
          <w:rFonts w:ascii="Times New Roman" w:hAnsi="Times New Roman" w:eastAsia="宋体"/>
          <w:b w:val="0"/>
          <w:i w:val="0"/>
          <w:sz w:val="22"/>
        </w:rPr>
        <w:t>：如果U(x)是凹函数（U''(x) ≤ 0），则社会福利最大化问题是凸优化问题，具有全局最优解，可以用高效算法求解。</w:t>
      </w:r>
    </w:p>
    <w:p>
      <w:pPr>
        <w:spacing w:line="360" w:lineRule="auto" w:after="0"/>
        <w:ind w:firstLine="425"/>
      </w:pPr>
      <w:r>
        <w:rPr>
          <w:rFonts w:ascii="Times New Roman" w:hAnsi="Times New Roman" w:eastAsia="宋体"/>
          <w:b/>
          <w:i w:val="0"/>
          <w:sz w:val="22"/>
        </w:rPr>
        <w:t>严格凹效用函数</w:t>
      </w:r>
      <w:r>
        <w:rPr>
          <w:rFonts w:ascii="Times New Roman" w:hAnsi="Times New Roman" w:eastAsia="宋体"/>
          <w:b w:val="0"/>
          <w:i w:val="0"/>
          <w:sz w:val="22"/>
        </w:rPr>
        <w:t>：如果U(x)严格凹（U''(x) &lt; 0），则最优解唯一，算法收敛性更好。二次效用函数和对数效用函数都是严格凹的。</w:t>
      </w:r>
    </w:p>
    <w:p>
      <w:pPr>
        <w:spacing w:line="360" w:lineRule="auto" w:after="0"/>
        <w:ind w:firstLine="425"/>
      </w:pPr>
      <w:r>
        <w:rPr>
          <w:rFonts w:ascii="Times New Roman" w:hAnsi="Times New Roman" w:eastAsia="宋体"/>
          <w:b/>
          <w:i w:val="0"/>
          <w:sz w:val="22"/>
        </w:rPr>
        <w:t>非凹效用函数</w:t>
      </w:r>
      <w:r>
        <w:rPr>
          <w:rFonts w:ascii="Times New Roman" w:hAnsi="Times New Roman" w:eastAsia="宋体"/>
          <w:b w:val="0"/>
          <w:i w:val="0"/>
          <w:sz w:val="22"/>
        </w:rPr>
        <w:t>：如果效用函数不满足凹性（如非递减边际效用函数），社会福利最大化问题不再是凸优化，可能存在多个局部最优，求解困难。张等（2016）的改进大洪水算法</w:t>
      </w:r>
      <w:r>
        <w:rPr>
          <w:rFonts w:ascii="Times New Roman" w:hAnsi="Times New Roman" w:eastAsia="Times New Roman"/>
          <w:b w:val="0"/>
          <w:i w:val="0"/>
          <w:sz w:val="18"/>
          <w:vertAlign w:val="superscript"/>
        </w:rPr>
        <w:t>[10]</w:t>
      </w:r>
      <w:r>
        <w:rPr>
          <w:rFonts w:ascii="Times New Roman" w:hAnsi="Times New Roman" w:eastAsia="宋体"/>
          <w:b w:val="0"/>
          <w:i w:val="0"/>
          <w:sz w:val="22"/>
        </w:rPr>
        <w:t>和赵等（2016）的双层规划方法</w:t>
      </w:r>
      <w:r>
        <w:rPr>
          <w:rFonts w:ascii="Times New Roman" w:hAnsi="Times New Roman" w:eastAsia="Times New Roman"/>
          <w:b w:val="0"/>
          <w:i w:val="0"/>
          <w:sz w:val="18"/>
          <w:vertAlign w:val="superscript"/>
        </w:rPr>
        <w:t>[2]</w:t>
      </w:r>
      <w:r>
        <w:rPr>
          <w:rFonts w:ascii="Times New Roman" w:hAnsi="Times New Roman" w:eastAsia="宋体"/>
          <w:b w:val="0"/>
          <w:i w:val="0"/>
          <w:sz w:val="22"/>
        </w:rPr>
        <w:t>是处理非凸问题的尝试。</w:t>
      </w:r>
    </w:p>
    <w:p>
      <w:pPr>
        <w:pStyle w:val="Heading3"/>
        <w:spacing w:before="160" w:after="60"/>
      </w:pPr>
      <w:r>
        <w:rPr>
          <w:rFonts w:ascii="Times New Roman" w:hAnsi="Times New Roman" w:eastAsia="黑体"/>
          <w:b/>
          <w:i w:val="0"/>
          <w:sz w:val="24"/>
        </w:rPr>
        <w:t>效用函数的连续性与可微性</w:t>
      </w:r>
    </w:p>
    <w:p>
      <w:pPr>
        <w:spacing w:line="360" w:lineRule="auto" w:after="0"/>
        <w:ind w:firstLine="425"/>
      </w:pPr>
      <w:r>
        <w:rPr>
          <w:rFonts w:ascii="Times New Roman" w:hAnsi="Times New Roman" w:eastAsia="宋体"/>
          <w:b w:val="0"/>
          <w:i w:val="0"/>
          <w:sz w:val="22"/>
        </w:rPr>
        <w:t>效用函数的连续性和可微性影响算法选择：</w:t>
      </w:r>
    </w:p>
    <w:p>
      <w:pPr>
        <w:spacing w:line="360" w:lineRule="auto" w:after="0"/>
        <w:ind w:firstLine="425"/>
      </w:pPr>
      <w:r>
        <w:rPr>
          <w:rFonts w:ascii="Times New Roman" w:hAnsi="Times New Roman" w:eastAsia="宋体"/>
          <w:b/>
          <w:i w:val="0"/>
          <w:sz w:val="22"/>
        </w:rPr>
        <w:t>连续可微</w:t>
      </w:r>
      <w:r>
        <w:rPr>
          <w:rFonts w:ascii="Times New Roman" w:hAnsi="Times New Roman" w:eastAsia="宋体"/>
          <w:b w:val="0"/>
          <w:i w:val="0"/>
          <w:sz w:val="22"/>
        </w:rPr>
        <w:t>：二次和对数效用函数处处连续可微，可以使用基于梯度的算法（如对偶分解、内点法）。</w:t>
      </w:r>
    </w:p>
    <w:p>
      <w:pPr>
        <w:spacing w:line="360" w:lineRule="auto" w:after="0"/>
        <w:ind w:firstLine="425"/>
      </w:pPr>
      <w:r>
        <w:rPr>
          <w:rFonts w:ascii="Times New Roman" w:hAnsi="Times New Roman" w:eastAsia="宋体"/>
          <w:b/>
          <w:i w:val="0"/>
          <w:sz w:val="22"/>
        </w:rPr>
        <w:t>连续但分段可微</w:t>
      </w:r>
      <w:r>
        <w:rPr>
          <w:rFonts w:ascii="Times New Roman" w:hAnsi="Times New Roman" w:eastAsia="宋体"/>
          <w:b w:val="0"/>
          <w:i w:val="0"/>
          <w:sz w:val="22"/>
        </w:rPr>
        <w:t>：分片线性效用函数连续但在分段点不可微，需要次梯度算法或光滑化方法。</w:t>
      </w:r>
    </w:p>
    <w:p>
      <w:pPr>
        <w:spacing w:line="360" w:lineRule="auto" w:after="0"/>
        <w:ind w:firstLine="425"/>
      </w:pPr>
      <w:r>
        <w:rPr>
          <w:rFonts w:ascii="Times New Roman" w:hAnsi="Times New Roman" w:eastAsia="宋体"/>
          <w:b/>
          <w:i w:val="0"/>
          <w:sz w:val="22"/>
        </w:rPr>
        <w:t>非连续</w:t>
      </w:r>
      <w:r>
        <w:rPr>
          <w:rFonts w:ascii="Times New Roman" w:hAnsi="Times New Roman" w:eastAsia="宋体"/>
          <w:b w:val="0"/>
          <w:i w:val="0"/>
          <w:sz w:val="22"/>
        </w:rPr>
        <w:t>：某些用户行为（如开关型电器）导致效用函数不连续。非连续优化需要特殊算法（如混合整数规划）。</w:t>
      </w:r>
    </w:p>
    <w:p>
      <w:pPr>
        <w:pStyle w:val="Heading3"/>
        <w:spacing w:before="160" w:after="60"/>
      </w:pPr>
      <w:r>
        <w:rPr>
          <w:rFonts w:ascii="Times New Roman" w:hAnsi="Times New Roman" w:eastAsia="黑体"/>
          <w:b/>
          <w:i w:val="0"/>
          <w:sz w:val="24"/>
        </w:rPr>
        <w:t>KKT条件的经济学解释</w:t>
      </w:r>
    </w:p>
    <w:p>
      <w:pPr>
        <w:spacing w:line="360" w:lineRule="auto" w:after="0"/>
        <w:ind w:firstLine="425"/>
      </w:pPr>
      <w:r>
        <w:rPr>
          <w:rFonts w:ascii="Times New Roman" w:hAnsi="Times New Roman" w:eastAsia="宋体"/>
          <w:b w:val="0"/>
          <w:i w:val="0"/>
          <w:sz w:val="22"/>
        </w:rPr>
        <w:t>KKT条件不仅是优化理论的最优性条件，还有深刻的经济学含义：</w:t>
      </w:r>
    </w:p>
    <w:p>
      <w:pPr>
        <w:spacing w:line="360" w:lineRule="auto" w:after="0"/>
        <w:ind w:firstLine="425"/>
      </w:pPr>
      <w:r>
        <w:rPr>
          <w:rFonts w:ascii="Times New Roman" w:hAnsi="Times New Roman" w:eastAsia="宋体"/>
          <w:b/>
          <w:i w:val="0"/>
          <w:sz w:val="22"/>
        </w:rPr>
        <w:t>互补松弛条件</w:t>
      </w:r>
      <w:r>
        <w:rPr>
          <w:rFonts w:ascii="Times New Roman" w:hAnsi="Times New Roman" w:eastAsia="宋体"/>
          <w:b w:val="0"/>
          <w:i w:val="0"/>
          <w:sz w:val="22"/>
        </w:rPr>
        <w:t>λ · (Q_max - Q) = 0意味着：如果供电能力未达上限（Q &lt; Q_max），则影子价格λ = 0（供电不稀缺，无稀缺性溢价）；如果供电能力达到上限（Q = Q_max），则λ &gt; 0（供电稀缺，有稀缺性溢价）。影子价格λ即为实时电价超过边际成本的部分。</w:t>
      </w:r>
    </w:p>
    <w:p>
      <w:pPr>
        <w:spacing w:line="360" w:lineRule="auto" w:after="0"/>
        <w:ind w:firstLine="425"/>
      </w:pPr>
      <w:r>
        <w:rPr>
          <w:rFonts w:ascii="Times New Roman" w:hAnsi="Times New Roman" w:eastAsia="宋体"/>
          <w:b/>
          <w:i w:val="0"/>
          <w:sz w:val="22"/>
        </w:rPr>
        <w:t>对偶变量即价格</w:t>
      </w:r>
      <w:r>
        <w:rPr>
          <w:rFonts w:ascii="Times New Roman" w:hAnsi="Times New Roman" w:eastAsia="宋体"/>
          <w:b w:val="0"/>
          <w:i w:val="0"/>
          <w:sz w:val="22"/>
        </w:rPr>
        <w:t>：拉格朗日乘子（对偶变量）的经济含义是"约束的边际价值"——放松约束一个单位带来的目标函数改善。在RTP中，供电约束的拉格朗日乘子即为电价。</w:t>
      </w:r>
    </w:p>
    <w:p>
      <w:pPr>
        <w:pStyle w:val="Heading3"/>
        <w:spacing w:before="160" w:after="60"/>
      </w:pPr>
      <w:r>
        <w:rPr>
          <w:rFonts w:ascii="Times New Roman" w:hAnsi="Times New Roman" w:eastAsia="黑体"/>
          <w:b/>
          <w:i w:val="0"/>
          <w:sz w:val="24"/>
        </w:rPr>
        <w:t>效用函数的辨识与学习</w:t>
      </w:r>
    </w:p>
    <w:p>
      <w:pPr>
        <w:spacing w:line="360" w:lineRule="auto" w:after="0"/>
        <w:ind w:firstLine="425"/>
      </w:pPr>
      <w:r>
        <w:rPr>
          <w:rFonts w:ascii="Times New Roman" w:hAnsi="Times New Roman" w:eastAsia="宋体"/>
          <w:b w:val="0"/>
          <w:i w:val="0"/>
          <w:sz w:val="22"/>
        </w:rPr>
        <w:t>效用函数的参数辨识是一个逆问题——从观测到的用户行为反推效用函数参数：</w:t>
      </w:r>
    </w:p>
    <w:p>
      <w:pPr>
        <w:spacing w:line="360" w:lineRule="auto" w:after="0"/>
        <w:ind w:firstLine="425"/>
      </w:pPr>
      <w:r>
        <w:rPr>
          <w:rFonts w:ascii="Times New Roman" w:hAnsi="Times New Roman" w:eastAsia="宋体"/>
          <w:b/>
          <w:i w:val="0"/>
          <w:sz w:val="22"/>
        </w:rPr>
        <w:t>显示偏好理论</w:t>
      </w:r>
      <w:r>
        <w:rPr>
          <w:rFonts w:ascii="Times New Roman" w:hAnsi="Times New Roman" w:eastAsia="宋体"/>
          <w:b w:val="0"/>
          <w:i w:val="0"/>
          <w:sz w:val="22"/>
        </w:rPr>
        <w:t>：通过观察用户在不同价格下的用电选择，推断用户的效用函数。Samadi等（2012）利用机制设计理论提出了激励兼容的效用函数辨识方法。</w:t>
      </w:r>
    </w:p>
    <w:p>
      <w:pPr>
        <w:spacing w:line="360" w:lineRule="auto" w:after="0"/>
        <w:ind w:firstLine="425"/>
      </w:pPr>
      <w:r>
        <w:rPr>
          <w:rFonts w:ascii="Times New Roman" w:hAnsi="Times New Roman" w:eastAsia="宋体"/>
          <w:b/>
          <w:i w:val="0"/>
          <w:sz w:val="22"/>
        </w:rPr>
        <w:t>非参数方法</w:t>
      </w:r>
      <w:r>
        <w:rPr>
          <w:rFonts w:ascii="Times New Roman" w:hAnsi="Times New Roman" w:eastAsia="宋体"/>
          <w:b w:val="0"/>
          <w:i w:val="0"/>
          <w:sz w:val="22"/>
        </w:rPr>
        <w:t>：不假设效用函数的具体形式，通过非参数回归从数据中学习效用函数。核回归和样条回归是常用的非参数方法。</w:t>
      </w:r>
    </w:p>
    <w:p>
      <w:pPr>
        <w:spacing w:line="360" w:lineRule="auto" w:after="0"/>
        <w:ind w:firstLine="425"/>
      </w:pPr>
      <w:r>
        <w:rPr>
          <w:rFonts w:ascii="Times New Roman" w:hAnsi="Times New Roman" w:eastAsia="宋体"/>
          <w:b/>
          <w:i w:val="0"/>
          <w:sz w:val="22"/>
        </w:rPr>
        <w:t>深度学习方法</w:t>
      </w:r>
      <w:r>
        <w:rPr>
          <w:rFonts w:ascii="Times New Roman" w:hAnsi="Times New Roman" w:eastAsia="宋体"/>
          <w:b w:val="0"/>
          <w:i w:val="0"/>
          <w:sz w:val="22"/>
        </w:rPr>
        <w:t>：用神经网络逼近效用函数。输入包括价格、时间、天气等特征，输出为用电量。神经网络可以隐式地学习复杂的效用函数，但可解释性较差。</w:t>
      </w:r>
    </w:p>
    <w:p>
      <w:pPr>
        <w:spacing w:line="360" w:lineRule="auto" w:after="0"/>
        <w:ind w:firstLine="425"/>
      </w:pPr>
      <w:r>
        <w:rPr>
          <w:rFonts w:ascii="Times New Roman" w:hAnsi="Times New Roman" w:eastAsia="宋体"/>
          <w:b/>
          <w:i w:val="0"/>
          <w:sz w:val="22"/>
        </w:rPr>
        <w:t>在线学习方法</w:t>
      </w:r>
      <w:r>
        <w:rPr>
          <w:rFonts w:ascii="Times New Roman" w:hAnsi="Times New Roman" w:eastAsia="宋体"/>
          <w:b w:val="0"/>
          <w:i w:val="0"/>
          <w:sz w:val="22"/>
        </w:rPr>
        <w:t>：在RTP运行过程中持续更新效用函数参数。递归最小二乘（RLS）和在线梯度下降是常用的在线学习算法。</w:t>
      </w:r>
    </w:p>
    <w:p>
      <w:pPr>
        <w:pStyle w:val="Heading3"/>
        <w:spacing w:before="160" w:after="60"/>
      </w:pPr>
      <w:r>
        <w:rPr>
          <w:rFonts w:ascii="Times New Roman" w:hAnsi="Times New Roman" w:eastAsia="黑体"/>
          <w:b/>
          <w:i w:val="0"/>
          <w:sz w:val="24"/>
        </w:rPr>
        <w:t>效用函数与用户异质性</w:t>
      </w:r>
    </w:p>
    <w:p>
      <w:pPr>
        <w:spacing w:line="360" w:lineRule="auto" w:after="0"/>
        <w:ind w:firstLine="425"/>
      </w:pPr>
      <w:r>
        <w:rPr>
          <w:rFonts w:ascii="Times New Roman" w:hAnsi="Times New Roman" w:eastAsia="宋体"/>
          <w:b w:val="0"/>
          <w:i w:val="0"/>
          <w:sz w:val="22"/>
        </w:rPr>
        <w:t>不同用户的效用函数参数差异很大，反映了用户偏好的异质性：</w:t>
      </w:r>
    </w:p>
    <w:p>
      <w:pPr>
        <w:spacing w:line="360" w:lineRule="auto" w:after="0"/>
        <w:ind w:firstLine="425"/>
      </w:pPr>
      <w:r>
        <w:rPr>
          <w:rFonts w:ascii="Times New Roman" w:hAnsi="Times New Roman" w:eastAsia="宋体"/>
          <w:b/>
          <w:i w:val="0"/>
          <w:sz w:val="22"/>
        </w:rPr>
        <w:t>人口统计学因素</w:t>
      </w:r>
      <w:r>
        <w:rPr>
          <w:rFonts w:ascii="Times New Roman" w:hAnsi="Times New Roman" w:eastAsia="宋体"/>
          <w:b w:val="0"/>
          <w:i w:val="0"/>
          <w:sz w:val="22"/>
        </w:rPr>
        <w:t>：收入、年龄、教育水平等因素影响用户对电力的支付意愿和价格敏感性。高收入用户的a参数通常较大（支付意愿高），年龄较大的用户b参数通常较大（调整意愿低）。</w:t>
      </w:r>
    </w:p>
    <w:p>
      <w:pPr>
        <w:spacing w:line="360" w:lineRule="auto" w:after="0"/>
        <w:ind w:firstLine="425"/>
      </w:pPr>
      <w:r>
        <w:rPr>
          <w:rFonts w:ascii="Times New Roman" w:hAnsi="Times New Roman" w:eastAsia="宋体"/>
          <w:b/>
          <w:i w:val="0"/>
          <w:sz w:val="22"/>
        </w:rPr>
        <w:t>行为因素</w:t>
      </w:r>
      <w:r>
        <w:rPr>
          <w:rFonts w:ascii="Times New Roman" w:hAnsi="Times New Roman" w:eastAsia="宋体"/>
          <w:b w:val="0"/>
          <w:i w:val="0"/>
          <w:sz w:val="22"/>
        </w:rPr>
        <w:t>：环保意识、技术接受度、社交影响力等行为因素影响用户效用函数。环保意识强的用户可能从绿色电力消费中获得额外效用。</w:t>
      </w:r>
    </w:p>
    <w:p>
      <w:pPr>
        <w:spacing w:line="360" w:lineRule="auto" w:after="0"/>
        <w:ind w:firstLine="425"/>
      </w:pPr>
      <w:r>
        <w:rPr>
          <w:rFonts w:ascii="Times New Roman" w:hAnsi="Times New Roman" w:eastAsia="宋体"/>
          <w:b/>
          <w:i w:val="0"/>
          <w:sz w:val="22"/>
        </w:rPr>
        <w:t>情境因素</w:t>
      </w:r>
      <w:r>
        <w:rPr>
          <w:rFonts w:ascii="Times New Roman" w:hAnsi="Times New Roman" w:eastAsia="宋体"/>
          <w:b w:val="0"/>
          <w:i w:val="0"/>
          <w:sz w:val="22"/>
        </w:rPr>
        <w:t>：季节、天气、节假日等情境因素影响效用函数参数。夏季空调的效用参数a显著高于冬季。</w:t>
      </w:r>
    </w:p>
    <w:p>
      <w:pPr>
        <w:spacing w:line="360" w:lineRule="auto" w:after="0"/>
        <w:ind w:firstLine="425"/>
      </w:pPr>
      <w:r>
        <w:rPr>
          <w:rFonts w:ascii="Times New Roman" w:hAnsi="Times New Roman" w:eastAsia="宋体"/>
          <w:b/>
          <w:i w:val="0"/>
          <w:sz w:val="22"/>
        </w:rPr>
        <w:t>动态变化</w:t>
      </w:r>
      <w:r>
        <w:rPr>
          <w:rFonts w:ascii="Times New Roman" w:hAnsi="Times New Roman" w:eastAsia="宋体"/>
          <w:b w:val="0"/>
          <w:i w:val="0"/>
          <w:sz w:val="22"/>
        </w:rPr>
        <w:t>：用户的效用函数随时间变化。新生儿的出生、退休、购买电动汽车等生活事件都可能改变用户的用电效用函数。</w:t>
      </w:r>
    </w:p>
    <w:p>
      <w:pPr>
        <w:pStyle w:val="Heading3"/>
        <w:spacing w:before="160" w:after="60"/>
      </w:pPr>
      <w:r>
        <w:rPr>
          <w:rFonts w:ascii="Times New Roman" w:hAnsi="Times New Roman" w:eastAsia="黑体"/>
          <w:b/>
          <w:i w:val="0"/>
          <w:sz w:val="24"/>
        </w:rPr>
        <w:t>多用户效用函数的聚合</w:t>
      </w:r>
    </w:p>
    <w:p>
      <w:pPr>
        <w:spacing w:line="360" w:lineRule="auto" w:after="0"/>
        <w:ind w:firstLine="425"/>
      </w:pPr>
      <w:r>
        <w:rPr>
          <w:rFonts w:ascii="Times New Roman" w:hAnsi="Times New Roman" w:eastAsia="宋体"/>
          <w:b w:val="0"/>
          <w:i w:val="0"/>
          <w:sz w:val="22"/>
        </w:rPr>
        <w:t>在集中式定价中，需要将多个用户的效用函数聚合为系统层面的目标：</w:t>
      </w:r>
    </w:p>
    <w:p>
      <w:pPr>
        <w:spacing w:line="360" w:lineRule="auto" w:after="0"/>
        <w:ind w:firstLine="425"/>
      </w:pPr>
      <w:r>
        <w:rPr>
          <w:rFonts w:ascii="Times New Roman" w:hAnsi="Times New Roman" w:eastAsia="宋体"/>
          <w:b/>
          <w:i w:val="0"/>
          <w:sz w:val="22"/>
        </w:rPr>
        <w:t>加性聚合</w:t>
      </w:r>
      <w:r>
        <w:rPr>
          <w:rFonts w:ascii="Times New Roman" w:hAnsi="Times New Roman" w:eastAsia="宋体"/>
          <w:b w:val="0"/>
          <w:i w:val="0"/>
          <w:sz w:val="22"/>
        </w:rPr>
        <w:t>：SW = Σ_i U_i(x_i) - C(Q)。这是最常用的聚合方式，假设用户之间相互独立。</w:t>
      </w:r>
    </w:p>
    <w:p>
      <w:pPr>
        <w:spacing w:line="360" w:lineRule="auto" w:after="0"/>
        <w:ind w:firstLine="425"/>
      </w:pPr>
      <w:r>
        <w:rPr>
          <w:rFonts w:ascii="Times New Roman" w:hAnsi="Times New Roman" w:eastAsia="宋体"/>
          <w:b/>
          <w:i w:val="0"/>
          <w:sz w:val="22"/>
        </w:rPr>
        <w:t>加权聚合</w:t>
      </w:r>
      <w:r>
        <w:rPr>
          <w:rFonts w:ascii="Times New Roman" w:hAnsi="Times New Roman" w:eastAsia="宋体"/>
          <w:b w:val="0"/>
          <w:i w:val="0"/>
          <w:sz w:val="22"/>
        </w:rPr>
        <w:t>：SW = Σ_i w_i U_i(x_i) - C(Q)。权重w_i可以反映不同用户的重要性或优先级（如关键用户的权重更高）。</w:t>
      </w:r>
    </w:p>
    <w:p>
      <w:pPr>
        <w:spacing w:line="360" w:lineRule="auto" w:after="0"/>
        <w:ind w:firstLine="425"/>
      </w:pPr>
      <w:r>
        <w:rPr>
          <w:rFonts w:ascii="Times New Roman" w:hAnsi="Times New Roman" w:eastAsia="宋体"/>
          <w:b/>
          <w:i w:val="0"/>
          <w:sz w:val="22"/>
        </w:rPr>
        <w:t>非线性聚合</w:t>
      </w:r>
      <w:r>
        <w:rPr>
          <w:rFonts w:ascii="Times New Roman" w:hAnsi="Times New Roman" w:eastAsia="宋体"/>
          <w:b w:val="0"/>
          <w:i w:val="0"/>
          <w:sz w:val="22"/>
        </w:rPr>
        <w:t>：SW = F(U_1(x_1), …, U_N(x_N)) - C(Q)。非线性聚合函数F可以反映用户间的交互效应或公平性考量。例如，min函数聚合关注最不利用户的福利（罗尔斯正义）。</w:t>
      </w:r>
    </w:p>
    <w:p>
      <w:pPr>
        <w:pStyle w:val="Heading3"/>
        <w:spacing w:before="160" w:after="60"/>
      </w:pPr>
      <w:r>
        <w:rPr>
          <w:rFonts w:ascii="Times New Roman" w:hAnsi="Times New Roman" w:eastAsia="黑体"/>
          <w:b/>
          <w:i w:val="0"/>
          <w:sz w:val="24"/>
        </w:rPr>
        <w:t>效用函数与需求侧管理目标</w:t>
      </w:r>
    </w:p>
    <w:p>
      <w:pPr>
        <w:spacing w:line="360" w:lineRule="auto" w:after="0"/>
        <w:ind w:firstLine="425"/>
      </w:pPr>
      <w:r>
        <w:rPr>
          <w:rFonts w:ascii="Times New Roman" w:hAnsi="Times New Roman" w:eastAsia="宋体"/>
          <w:b w:val="0"/>
          <w:i w:val="0"/>
          <w:sz w:val="22"/>
        </w:rPr>
        <w:t>不同的需求侧管理目标可以对应不同的效用函数设计：</w:t>
      </w:r>
    </w:p>
    <w:p>
      <w:pPr>
        <w:spacing w:line="360" w:lineRule="auto" w:after="0"/>
        <w:ind w:firstLine="425"/>
      </w:pPr>
      <w:r>
        <w:rPr>
          <w:rFonts w:ascii="Times New Roman" w:hAnsi="Times New Roman" w:eastAsia="宋体"/>
          <w:b/>
          <w:i w:val="0"/>
          <w:sz w:val="22"/>
        </w:rPr>
        <w:t>削峰填谷</w:t>
      </w:r>
      <w:r>
        <w:rPr>
          <w:rFonts w:ascii="Times New Roman" w:hAnsi="Times New Roman" w:eastAsia="宋体"/>
          <w:b w:val="0"/>
          <w:i w:val="0"/>
          <w:sz w:val="22"/>
        </w:rPr>
        <w:t>：使用强调时段差异的效用函数，在高峰时段效用递减更快，激励用户转移负荷。</w:t>
      </w:r>
    </w:p>
    <w:p>
      <w:pPr>
        <w:spacing w:line="360" w:lineRule="auto" w:after="0"/>
        <w:ind w:firstLine="425"/>
      </w:pPr>
      <w:r>
        <w:rPr>
          <w:rFonts w:ascii="Times New Roman" w:hAnsi="Times New Roman" w:eastAsia="宋体"/>
          <w:b/>
          <w:i w:val="0"/>
          <w:sz w:val="22"/>
        </w:rPr>
        <w:t>节能减排</w:t>
      </w:r>
      <w:r>
        <w:rPr>
          <w:rFonts w:ascii="Times New Roman" w:hAnsi="Times New Roman" w:eastAsia="宋体"/>
          <w:b w:val="0"/>
          <w:i w:val="0"/>
          <w:sz w:val="22"/>
        </w:rPr>
        <w:t>：在效用函数中加入碳排放惩罚项，U_total = U(x) - α · E(x)，其中E(x)是碳排放量，α是碳价。</w:t>
      </w:r>
    </w:p>
    <w:p>
      <w:pPr>
        <w:spacing w:line="360" w:lineRule="auto" w:after="0"/>
        <w:ind w:firstLine="425"/>
      </w:pPr>
      <w:r>
        <w:rPr>
          <w:rFonts w:ascii="Times New Roman" w:hAnsi="Times New Roman" w:eastAsia="宋体"/>
          <w:b/>
          <w:i w:val="0"/>
          <w:sz w:val="22"/>
        </w:rPr>
        <w:t>可再生能源消纳</w:t>
      </w:r>
      <w:r>
        <w:rPr>
          <w:rFonts w:ascii="Times New Roman" w:hAnsi="Times New Roman" w:eastAsia="宋体"/>
          <w:b w:val="0"/>
          <w:i w:val="0"/>
          <w:sz w:val="22"/>
        </w:rPr>
        <w:t>：设计时变效用函数，在可再生能源出力充足时段效用更高，激励用户增加用电。</w:t>
      </w:r>
    </w:p>
    <w:p>
      <w:pPr>
        <w:spacing w:line="360" w:lineRule="auto" w:after="0"/>
        <w:ind w:firstLine="425"/>
      </w:pPr>
      <w:r>
        <w:rPr>
          <w:rFonts w:ascii="Times New Roman" w:hAnsi="Times New Roman" w:eastAsia="宋体"/>
          <w:b/>
          <w:i w:val="0"/>
          <w:sz w:val="22"/>
        </w:rPr>
        <w:t>公平性</w:t>
      </w:r>
      <w:r>
        <w:rPr>
          <w:rFonts w:ascii="Times New Roman" w:hAnsi="Times New Roman" w:eastAsia="宋体"/>
          <w:b w:val="0"/>
          <w:i w:val="0"/>
          <w:sz w:val="22"/>
        </w:rPr>
        <w:t>：使用社会福利函数SW = min_i U_i(x_i)（罗尔斯正义）或SW = Σ_i log U_i(x_i)（Nash社会福利），确保福利分配的公平性。</w:t>
      </w:r>
    </w:p>
    <w:p>
      <w:pPr>
        <w:pStyle w:val="Heading2"/>
        <w:spacing w:before="240" w:after="80"/>
      </w:pPr>
      <w:r>
        <w:rPr>
          <w:rFonts w:ascii="Times New Roman" w:hAnsi="Times New Roman" w:eastAsia="黑体"/>
          <w:b/>
          <w:i w:val="0"/>
          <w:sz w:val="28"/>
        </w:rPr>
        <w:t>4.11 需求响应模型的深入分析</w:t>
      </w:r>
    </w:p>
    <w:p>
      <w:pPr>
        <w:pStyle w:val="Heading3"/>
        <w:spacing w:before="160" w:after="60"/>
      </w:pPr>
      <w:r>
        <w:rPr>
          <w:rFonts w:ascii="Times New Roman" w:hAnsi="Times New Roman" w:eastAsia="黑体"/>
          <w:b/>
          <w:i w:val="0"/>
          <w:sz w:val="24"/>
        </w:rPr>
        <w:t>需求价格弹性的多维建模</w:t>
      </w:r>
    </w:p>
    <w:p>
      <w:pPr>
        <w:spacing w:line="360" w:lineRule="auto" w:after="0"/>
        <w:ind w:firstLine="425"/>
      </w:pPr>
      <w:r>
        <w:rPr>
          <w:rFonts w:ascii="Times New Roman" w:hAnsi="Times New Roman" w:eastAsia="宋体"/>
          <w:b w:val="0"/>
          <w:i w:val="0"/>
          <w:sz w:val="22"/>
        </w:rPr>
        <w:t>需求价格弹性是衡量用户对价格变化敏感程度的核心参数。在实时定价环境下，弹性呈现显著的时间和空间异质性：工作日与周末的弹性不同，白天与夜间的弹性不同，夏季与冬季的弹性也不同。准确建模这种异质性对于定价策略优化至关重要。</w:t>
      </w:r>
    </w:p>
    <w:p>
      <w:pPr>
        <w:spacing w:line="360" w:lineRule="auto" w:after="0"/>
        <w:ind w:firstLine="425"/>
      </w:pPr>
      <w:r>
        <w:rPr>
          <w:rFonts w:ascii="Times New Roman" w:hAnsi="Times New Roman" w:eastAsia="宋体"/>
          <w:b w:val="0"/>
          <w:i w:val="0"/>
          <w:sz w:val="22"/>
        </w:rPr>
        <w:t>短期弹性和长期弹性的区分是另一个重要维度。短期弹性反映用户在现有设备条件下通过行为调整对价格变化的响应，通常较小（-0.05到-0.3）。长期弹性还包含用户更换设备（如购买更高效电器、安装太阳能板）的响应，通常较大（-0.3到-0.8）。实时定价主要关注短期弹性，但长期弹性对于评估定价政策的累积效应具有重要意义。</w:t>
      </w:r>
    </w:p>
    <w:p>
      <w:pPr>
        <w:spacing w:line="360" w:lineRule="auto" w:after="0"/>
        <w:ind w:firstLine="425"/>
      </w:pPr>
      <w:r>
        <w:rPr>
          <w:rFonts w:ascii="Times New Roman" w:hAnsi="Times New Roman" w:eastAsia="宋体"/>
          <w:b w:val="0"/>
          <w:i w:val="0"/>
          <w:sz w:val="22"/>
        </w:rPr>
        <w:t>交叉弹性描述一种时段价格变化对其他时段需求的影响。在实时定价中，高峰时段价格上涨可能将负荷转移到低谷时段，也可能减少总用电量。前者的交叉弹性为正（替代效应），后者为负（互补效应）。区分这两种效应对于评估实时定价的削峰填谷效果和节能效果具有重要意义。</w:t>
      </w:r>
    </w:p>
    <w:p>
      <w:pPr>
        <w:pStyle w:val="Heading3"/>
        <w:spacing w:before="160" w:after="60"/>
      </w:pPr>
      <w:r>
        <w:rPr>
          <w:rFonts w:ascii="Times New Roman" w:hAnsi="Times New Roman" w:eastAsia="黑体"/>
          <w:b/>
          <w:i w:val="0"/>
          <w:sz w:val="24"/>
        </w:rPr>
        <w:t>用户异质性与分群定价</w:t>
      </w:r>
    </w:p>
    <w:p>
      <w:pPr>
        <w:spacing w:line="360" w:lineRule="auto" w:after="0"/>
        <w:ind w:firstLine="425"/>
      </w:pPr>
      <w:r>
        <w:rPr>
          <w:rFonts w:ascii="Times New Roman" w:hAnsi="Times New Roman" w:eastAsia="宋体"/>
          <w:b w:val="0"/>
          <w:i w:val="0"/>
          <w:sz w:val="22"/>
        </w:rPr>
        <w:t>不同用户群体对实时价格的响应模式存在显著差异。基于聚类分析的用户分群方法可以将用户划分为若干典型群体，如价格敏感型、舒适度优先型、环保意识型等。针对不同群体设计差异化价格策略，可以在不增加总福利损失的前提下提高用户满意度。</w:t>
      </w:r>
    </w:p>
    <w:p>
      <w:pPr>
        <w:spacing w:line="360" w:lineRule="auto" w:after="0"/>
        <w:ind w:firstLine="425"/>
      </w:pPr>
      <w:r>
        <w:rPr>
          <w:rFonts w:ascii="Times New Roman" w:hAnsi="Times New Roman" w:eastAsia="宋体"/>
          <w:b w:val="0"/>
          <w:i w:val="0"/>
          <w:sz w:val="22"/>
        </w:rPr>
        <w:t>分群定价的理论基础是价格歧视理论。第三度价格歧视（按群体定价）在完全信息下可以实现帕累托改进。然而，在实际应用中，用户群体归属的识别存在信息不对称问题，且监管法规可能限制差异化定价的程度。第二度价格歧视（通过套餐设计让用户自选择）提供了一种规避信息不对称的方案，如提供多种电价方案让用户自行选择。</w:t>
      </w:r>
    </w:p>
    <w:p>
      <w:pPr>
        <w:spacing w:line="360" w:lineRule="auto" w:after="0"/>
        <w:ind w:firstLine="425"/>
      </w:pPr>
      <w:r>
        <w:rPr>
          <w:rFonts w:ascii="Times New Roman" w:hAnsi="Times New Roman" w:eastAsia="宋体"/>
          <w:b w:val="0"/>
          <w:i w:val="0"/>
          <w:sz w:val="22"/>
        </w:rPr>
        <w:t>基于机器学习的用户分群方法相比传统方法具有显著优势。无监督学习方法（如K-means、DBSCAN）可以自动发现用户群体，无需预设分群数量。深度学习方法（如自编码器聚类）能够提取用电模式的高维特征，实现更精细的分群。在线学习方法可以动态跟踪用户行为变化，实时调整分群结果。</w:t>
      </w:r>
    </w:p>
    <w:p>
      <w:pPr>
        <w:pStyle w:val="Heading3"/>
        <w:spacing w:before="160" w:after="60"/>
      </w:pPr>
      <w:r>
        <w:rPr>
          <w:rFonts w:ascii="Times New Roman" w:hAnsi="Times New Roman" w:eastAsia="黑体"/>
          <w:b/>
          <w:i w:val="0"/>
          <w:sz w:val="24"/>
        </w:rPr>
        <w:t>需求响应的不确定性建模</w:t>
      </w:r>
    </w:p>
    <w:p>
      <w:pPr>
        <w:spacing w:line="360" w:lineRule="auto" w:after="0"/>
        <w:ind w:firstLine="425"/>
      </w:pPr>
      <w:r>
        <w:rPr>
          <w:rFonts w:ascii="Times New Roman" w:hAnsi="Times New Roman" w:eastAsia="宋体"/>
          <w:b w:val="0"/>
          <w:i w:val="0"/>
          <w:sz w:val="22"/>
        </w:rPr>
        <w:t>用户对实时价格的实际响应量存在显著不确定性。这种不确定性来源于多个方面：用户行为随机性（是否在家、是否愿意调整）、天气不确定性（影响空调负荷）、设备状态不确定性（如电动汽车是否连接充电桩）。准确建模这些不确定性是设计鲁棒定价策略的基础。</w:t>
      </w:r>
    </w:p>
    <w:p>
      <w:pPr>
        <w:spacing w:line="360" w:lineRule="auto" w:after="0"/>
        <w:ind w:firstLine="425"/>
      </w:pPr>
      <w:r>
        <w:rPr>
          <w:rFonts w:ascii="Times New Roman" w:hAnsi="Times New Roman" w:eastAsia="宋体"/>
          <w:b w:val="0"/>
          <w:i w:val="0"/>
          <w:sz w:val="22"/>
        </w:rPr>
        <w:t>概率模型是最常用的不确定性建模方法。给定价格信号 p_t，用户响应量 Δ D_t 可以建模为随机变量，其条件分布 P(Δ D_t p_t) 可以通过历史数据估计。参数化模型（如正态分布、Beta分布）计算效率高但可能失真，非参数化模型（如核密度估计）更灵活但需要更多数据。</w:t>
      </w:r>
    </w:p>
    <w:p>
      <w:pPr>
        <w:spacing w:line="360" w:lineRule="auto" w:after="0"/>
        <w:ind w:firstLine="425"/>
      </w:pPr>
      <w:r>
        <w:rPr>
          <w:rFonts w:ascii="Times New Roman" w:hAnsi="Times New Roman" w:eastAsia="宋体"/>
          <w:b w:val="0"/>
          <w:i w:val="0"/>
          <w:sz w:val="22"/>
        </w:rPr>
        <w:t>场景生成方法将连续不确定性离散化为有限场景集。蒙特卡洛抽样从概率分布中随机生成大量场景，适用于蒙特卡洛仿真。基于矩匹配的场景生成方法确保场景集的统计矩与目标分布匹配。数据驱动方法直接从历史数据中提取典型场景，避免了分布假设。在实时定价优化中，场景集的质量直接影响求解结果的质量。</w:t>
      </w:r>
    </w:p>
    <w:p>
      <w:pPr>
        <w:pStyle w:val="Heading3"/>
        <w:spacing w:before="160" w:after="60"/>
      </w:pPr>
      <w:r>
        <w:rPr>
          <w:rFonts w:ascii="Times New Roman" w:hAnsi="Times New Roman" w:eastAsia="黑体"/>
          <w:b/>
          <w:i w:val="0"/>
          <w:sz w:val="24"/>
        </w:rPr>
        <w:t>动态需求响应与学习效应</w:t>
      </w:r>
    </w:p>
    <w:p>
      <w:pPr>
        <w:spacing w:line="360" w:lineRule="auto" w:after="0"/>
        <w:ind w:firstLine="425"/>
      </w:pPr>
      <w:r>
        <w:rPr>
          <w:rFonts w:ascii="Times New Roman" w:hAnsi="Times New Roman" w:eastAsia="宋体"/>
          <w:b w:val="0"/>
          <w:i w:val="0"/>
          <w:sz w:val="22"/>
        </w:rPr>
        <w:t>用户在持续参与实时定价项目后会展现出学习效应：随着经验积累，用户的响应模式会发生变化，通常表现为响应准确度提高和响应时间缩短。这一学习过程可以用贝叶斯更新模型描述：用户根据每次响应的结果更新对最优用电策略的认知。</w:t>
      </w:r>
    </w:p>
    <w:p>
      <w:pPr>
        <w:spacing w:line="360" w:lineRule="auto" w:after="0"/>
        <w:ind w:firstLine="425"/>
      </w:pPr>
      <w:r>
        <w:rPr>
          <w:rFonts w:ascii="Times New Roman" w:hAnsi="Times New Roman" w:eastAsia="宋体"/>
          <w:b w:val="0"/>
          <w:i w:val="0"/>
          <w:sz w:val="22"/>
        </w:rPr>
        <w:t>群体学习效应也值得关注。用户之间通过社交网络分享实时定价参与经验，可能加速整个用户群体的学习过程。基于信息级联模型的分析表明，早期参与者的正面体验可以显著促进后期参与率。这一发现为实时定价项目的推广策略设计提供了理论依据。</w:t>
      </w:r>
    </w:p>
    <w:p>
      <w:pPr>
        <w:spacing w:line="360" w:lineRule="auto" w:after="0"/>
        <w:ind w:firstLine="425"/>
      </w:pPr>
      <w:r>
        <w:rPr>
          <w:rFonts w:ascii="Times New Roman" w:hAnsi="Times New Roman" w:eastAsia="宋体"/>
          <w:b w:val="0"/>
          <w:i w:val="0"/>
          <w:sz w:val="22"/>
        </w:rPr>
        <w:t>遗忘效应是学习效应的对立面。当用户长时间未参与实时定价或未收到价格信号时，其响应能力可能退化。衰减模型（如指数衰减）可以描述这一过程。在设计实时定价的激励频率和强度时，需要同时考虑学习效应和遗忘效应的动态平衡。</w:t>
      </w:r>
    </w:p>
    <w:p>
      <w:pPr>
        <w:pStyle w:val="Heading2"/>
        <w:spacing w:before="240" w:after="80"/>
      </w:pPr>
      <w:r>
        <w:rPr>
          <w:rFonts w:ascii="Times New Roman" w:hAnsi="Times New Roman" w:eastAsia="黑体"/>
          <w:b/>
          <w:i w:val="0"/>
          <w:sz w:val="28"/>
        </w:rPr>
        <w:t>4.12 需求响应实证研究与行为经济学</w:t>
      </w:r>
    </w:p>
    <w:p>
      <w:pPr>
        <w:pStyle w:val="Heading3"/>
        <w:spacing w:before="160" w:after="60"/>
      </w:pPr>
      <w:r>
        <w:rPr>
          <w:rFonts w:ascii="Times New Roman" w:hAnsi="Times New Roman" w:eastAsia="黑体"/>
          <w:b/>
          <w:i w:val="0"/>
          <w:sz w:val="24"/>
        </w:rPr>
        <w:t>全球需求响应项目综述</w:t>
      </w:r>
    </w:p>
    <w:p>
      <w:pPr>
        <w:spacing w:line="360" w:lineRule="auto" w:after="0"/>
        <w:ind w:firstLine="425"/>
      </w:pPr>
      <w:r>
        <w:rPr>
          <w:rFonts w:ascii="Times New Roman" w:hAnsi="Times New Roman" w:eastAsia="宋体"/>
          <w:b w:val="0"/>
          <w:i w:val="0"/>
          <w:sz w:val="22"/>
        </w:rPr>
        <w:t>全球范围内的需求响应项目为实时定价的实践效果提供了丰富的实证数据。美国联邦能源监管委员会（FERC）的数据显示，美国需求响应资源容量从2009年的约30 GW增长到2023年的超过60 GW，其中批发市场中的需求响应贡献了约40%。</w:t>
      </w:r>
    </w:p>
    <w:p>
      <w:pPr>
        <w:spacing w:line="360" w:lineRule="auto" w:after="0"/>
        <w:ind w:firstLine="425"/>
      </w:pPr>
      <w:r>
        <w:rPr>
          <w:rFonts w:ascii="Times New Roman" w:hAnsi="Times New Roman" w:eastAsia="宋体"/>
          <w:b w:val="0"/>
          <w:i w:val="0"/>
          <w:sz w:val="22"/>
        </w:rPr>
        <w:t>加州的需求响应项目（如Critical Peak Pricing, CPP）展示了价格信号对居民用户用电行为的影响。CPUC资助的研究表明，CPP项目在关键峰期可以实现20-30%的负荷削减，参与率与用户的教育水平、智能恒温器的拥有率正相关。然而，长期参与率存在下降趋势，部分原因是用户对复杂定价方案的疲劳效应。</w:t>
      </w:r>
    </w:p>
    <w:p>
      <w:pPr>
        <w:spacing w:line="360" w:lineRule="auto" w:after="0"/>
        <w:ind w:firstLine="425"/>
      </w:pPr>
      <w:r>
        <w:rPr>
          <w:rFonts w:ascii="Times New Roman" w:hAnsi="Times New Roman" w:eastAsia="宋体"/>
          <w:b w:val="0"/>
          <w:i w:val="0"/>
          <w:sz w:val="22"/>
        </w:rPr>
        <w:t>PJM互连的需求响应容量市场机制（Reliability Pricing Model, RPM）为容量型需求响应提供了稳定的收入来源。RPM允许需求响应资源与发电资源在容量市场中平等竞争，按交付容量获得容量支付。然而，2014年极地涡旋事件暴露了RPM中需求响应在极端条件下的可靠性不足，促使FERC发布了Capacity Performance规则，强化了容量资源的性能要求。</w:t>
      </w:r>
    </w:p>
    <w:p>
      <w:pPr>
        <w:spacing w:line="360" w:lineRule="auto" w:after="0"/>
        <w:ind w:firstLine="425"/>
      </w:pPr>
      <w:r>
        <w:rPr>
          <w:rFonts w:ascii="Times New Roman" w:hAnsi="Times New Roman" w:eastAsia="宋体"/>
          <w:b w:val="0"/>
          <w:i w:val="0"/>
          <w:sz w:val="22"/>
        </w:rPr>
        <w:t>欧洲的需求响应发展相对滞后，主要受限于零售市场自由化程度和智能电表普及率。英国的Demand Flexibility Service（DFS）在2022-2023年冬季运行期间，通过向参与用户提供每千瓦时0.3-4英镑的激励，实现了超过1 GW的峰值削减。法国的TEMP项目测试了动态电价对居民用户的影响，发现实时电价用户比固定电价用户平均节省5-8%的电费。</w:t>
      </w:r>
    </w:p>
    <w:p>
      <w:pPr>
        <w:pStyle w:val="Heading3"/>
        <w:spacing w:before="160" w:after="60"/>
      </w:pPr>
      <w:r>
        <w:rPr>
          <w:rFonts w:ascii="Times New Roman" w:hAnsi="Times New Roman" w:eastAsia="黑体"/>
          <w:b/>
          <w:i w:val="0"/>
          <w:sz w:val="24"/>
        </w:rPr>
        <w:t>行为经济学视角的定价设计</w:t>
      </w:r>
    </w:p>
    <w:p>
      <w:pPr>
        <w:spacing w:line="360" w:lineRule="auto" w:after="0"/>
        <w:ind w:firstLine="425"/>
      </w:pPr>
      <w:r>
        <w:rPr>
          <w:rFonts w:ascii="Times New Roman" w:hAnsi="Times New Roman" w:eastAsia="宋体"/>
          <w:b w:val="0"/>
          <w:i w:val="0"/>
          <w:sz w:val="22"/>
        </w:rPr>
        <w:t>传统经济学假设用户是完全理性的，能够准确计算最优用电策略。行为经济学的研究表明，用户的实际决策受到多种认知偏差的影响，实时定价方案的设计需要考虑这些因素。</w:t>
      </w:r>
    </w:p>
    <w:p>
      <w:pPr>
        <w:spacing w:line="360" w:lineRule="auto" w:after="0"/>
        <w:ind w:firstLine="425"/>
      </w:pPr>
      <w:r>
        <w:rPr>
          <w:rFonts w:ascii="Times New Roman" w:hAnsi="Times New Roman" w:eastAsia="宋体"/>
          <w:b w:val="0"/>
          <w:i w:val="0"/>
          <w:sz w:val="22"/>
        </w:rPr>
        <w:t>现状偏差（Status Quo Bias）指用户倾向于维持当前选择，即使切换到更优方案的收益明显。在实时定价推广中，这意味着默认选项的设置至关重要：如果将实时电价设为默认选项（允许opt-out），参与率远高于将实时电价设为opt-in选项。英国Octopus Energy的经验证实了这一点：其Agile Tariff作为opt-in产品，参与率约为5-10%；而在作为默认选项的地区，参与率超过80%。</w:t>
      </w:r>
    </w:p>
    <w:p>
      <w:pPr>
        <w:spacing w:line="360" w:lineRule="auto" w:after="0"/>
        <w:ind w:firstLine="425"/>
      </w:pPr>
      <w:r>
        <w:rPr>
          <w:rFonts w:ascii="Times New Roman" w:hAnsi="Times New Roman" w:eastAsia="宋体"/>
          <w:b w:val="0"/>
          <w:i w:val="0"/>
          <w:sz w:val="22"/>
        </w:rPr>
        <w:t>损失厌恶（Loss Aversion）指用户对损失的敏感度约为收益的2-2.5倍。在实时定价中，用户对高电价的厌恶程度强于对低电价的偏好程度。这一发现表明，定价方案应避免频繁出现高价信号，或者在价格上涨时提供保护机制（如价格上限、回退选项）。</w:t>
      </w:r>
    </w:p>
    <w:p>
      <w:pPr>
        <w:spacing w:line="360" w:lineRule="auto" w:after="0"/>
        <w:ind w:firstLine="425"/>
      </w:pPr>
      <w:r>
        <w:rPr>
          <w:rFonts w:ascii="Times New Roman" w:hAnsi="Times New Roman" w:eastAsia="宋体"/>
          <w:b w:val="0"/>
          <w:i w:val="0"/>
          <w:sz w:val="22"/>
        </w:rPr>
        <w:t>框架效应（Framing Effect）指同一信息的不同表述方式影响决策。将实时电价描述为"节省机会"比描述为"成本风险"更能吸引用户参与。社会比较信息（"您的用电量比邻居高20%"）的引入可以显著提高需求响应效果，Opower的大规模随机对照实验证实了这一点。</w:t>
      </w:r>
    </w:p>
    <w:p>
      <w:pPr>
        <w:pStyle w:val="Heading3"/>
        <w:spacing w:before="160" w:after="60"/>
      </w:pPr>
      <w:r>
        <w:rPr>
          <w:rFonts w:ascii="Times New Roman" w:hAnsi="Times New Roman" w:eastAsia="黑体"/>
          <w:b/>
          <w:i w:val="0"/>
          <w:sz w:val="24"/>
        </w:rPr>
        <w:t>用户参与的长期动态</w:t>
      </w:r>
    </w:p>
    <w:p>
      <w:pPr>
        <w:spacing w:line="360" w:lineRule="auto" w:after="0"/>
        <w:ind w:firstLine="425"/>
      </w:pPr>
      <w:r>
        <w:rPr>
          <w:rFonts w:ascii="Times New Roman" w:hAnsi="Times New Roman" w:eastAsia="宋体"/>
          <w:b w:val="0"/>
          <w:i w:val="0"/>
          <w:sz w:val="22"/>
        </w:rPr>
        <w:t>用户参与实时定价的长期行为模式呈现出复杂动态特征。初始参与率通常较高（受新颖性和激励补贴驱动），随后逐渐下降（参与疲劳），最终稳定在一个均衡水平。理解这一动态过程对于实时定价项目的可持续运营至关重要。</w:t>
      </w:r>
    </w:p>
    <w:p>
      <w:pPr>
        <w:spacing w:line="360" w:lineRule="auto" w:after="0"/>
        <w:ind w:firstLine="425"/>
      </w:pPr>
      <w:r>
        <w:rPr>
          <w:rFonts w:ascii="Times New Roman" w:hAnsi="Times New Roman" w:eastAsia="宋体"/>
          <w:b w:val="0"/>
          <w:i w:val="0"/>
          <w:sz w:val="22"/>
        </w:rPr>
        <w:t>参与疲劳的成因包括：认知负担（频繁的价格信号需要持续关注）、舒适度折衷（频繁调整用电行为影响生活质量）、激励衰减（补贴减少后参与意愿降低）。缓解措施包括：自动化响应设备（降低认知负担）、个性化舒适度设置（平衡舒适度和节省）、长期激励结构设计（如积分奖励、阶梯式激励）。</w:t>
      </w:r>
    </w:p>
    <w:p>
      <w:pPr>
        <w:spacing w:line="360" w:lineRule="auto" w:after="0"/>
        <w:ind w:firstLine="425"/>
      </w:pPr>
      <w:r>
        <w:rPr>
          <w:rFonts w:ascii="Times New Roman" w:hAnsi="Times New Roman" w:eastAsia="宋体"/>
          <w:b w:val="0"/>
          <w:i w:val="0"/>
          <w:sz w:val="22"/>
        </w:rPr>
        <w:t>用户流失（Churn）是实时定价项目面临的另一个挑战。流失用户通常是参与频率低、节省金额少、设备故障率高的用户。机器学习模型可以基于用户的历史行为特征预测流失风险，使运营商能够提前干预（如提供额外激励、设备维护提醒）。</w:t>
      </w:r>
    </w:p>
    <w:p>
      <w:pPr>
        <w:pStyle w:val="Heading3"/>
        <w:spacing w:before="160" w:after="60"/>
      </w:pPr>
      <w:r>
        <w:rPr>
          <w:rFonts w:ascii="Times New Roman" w:hAnsi="Times New Roman" w:eastAsia="黑体"/>
          <w:b/>
          <w:i w:val="0"/>
          <w:sz w:val="24"/>
        </w:rPr>
        <w:t>需求响应的环境效益评估</w:t>
      </w:r>
    </w:p>
    <w:p>
      <w:pPr>
        <w:spacing w:line="360" w:lineRule="auto" w:after="0"/>
        <w:ind w:firstLine="425"/>
      </w:pPr>
      <w:r>
        <w:rPr>
          <w:rFonts w:ascii="Times New Roman" w:hAnsi="Times New Roman" w:eastAsia="宋体"/>
          <w:b w:val="0"/>
          <w:i w:val="0"/>
          <w:sz w:val="22"/>
        </w:rPr>
        <w:t>实时定价通过削峰填谷和促进可再生能源消纳产生环境效益。峰值负荷削减可以避免调用低效高排放的调峰机组，降低单位电力的平均碳排放强度。负荷向可再生能源富裕时段转移（如中午光伏高出力时段）增加了可再生能源的利用率，减少了弃风弃光。</w:t>
      </w:r>
    </w:p>
    <w:p>
      <w:pPr>
        <w:spacing w:line="360" w:lineRule="auto" w:after="0"/>
        <w:ind w:firstLine="425"/>
      </w:pPr>
      <w:r>
        <w:rPr>
          <w:rFonts w:ascii="Times New Roman" w:hAnsi="Times New Roman" w:eastAsia="宋体"/>
          <w:b w:val="0"/>
          <w:i w:val="0"/>
          <w:sz w:val="22"/>
        </w:rPr>
        <w:t>环境效益的量化需要建立从电价变化到碳排放变化的因果链。这一因果链涉及多个环节：电价变化→用户行为变化→负荷曲线变化→发电调度变化→机组出力变化→碳排放变化。每个环节都存在不确定性，需要通过统计方法和仿真模型进行评估。</w:t>
      </w:r>
    </w:p>
    <w:p>
      <w:pPr>
        <w:spacing w:line="360" w:lineRule="auto" w:after="0"/>
        <w:ind w:firstLine="425"/>
      </w:pPr>
      <w:r>
        <w:rPr>
          <w:rFonts w:ascii="Times New Roman" w:hAnsi="Times New Roman" w:eastAsia="宋体"/>
          <w:b w:val="0"/>
          <w:i w:val="0"/>
          <w:sz w:val="22"/>
        </w:rPr>
        <w:t>边际排放率（MER）是评估需求响应环境效益的关键指标。MER定义为单位负荷变化导致的碳排放变化量，其数值随时间和地点变化（在可再生能源高出力时段MER低，在化石能源调峰时段MER高）。实时定价如果引导负荷向低MER时段转移，可以产生显著的环境效益。基于MER的电价设计（在低排放时段设置低电价）比纯粹基于成本的电价设计在碳减排方面更有效。</w:t>
      </w:r>
    </w:p>
    <w:p>
      <w:pPr>
        <w:pStyle w:val="Heading3"/>
        <w:spacing w:before="160" w:after="60"/>
      </w:pPr>
      <w:r>
        <w:rPr>
          <w:rFonts w:ascii="Times New Roman" w:hAnsi="Times New Roman" w:eastAsia="黑体"/>
          <w:b/>
          <w:i w:val="0"/>
          <w:sz w:val="24"/>
        </w:rPr>
        <w:t>需求响应的市场价值评估</w:t>
      </w:r>
    </w:p>
    <w:p>
      <w:pPr>
        <w:spacing w:line="360" w:lineRule="auto" w:after="0"/>
        <w:ind w:firstLine="425"/>
      </w:pPr>
      <w:r>
        <w:rPr>
          <w:rFonts w:ascii="Times New Roman" w:hAnsi="Times New Roman" w:eastAsia="宋体"/>
          <w:b w:val="0"/>
          <w:i w:val="0"/>
          <w:sz w:val="22"/>
        </w:rPr>
        <w:t>需求响应在电力市场中的价值体现在多个维度：能量价值（替代发电的电量价值）、容量价值（替代发电装机或输电投资的容量价值）、辅助服务价值（提供频率调节和备用的服务价值）和可靠性价值（避免停电的可靠性价值）。</w:t>
      </w:r>
    </w:p>
    <w:p>
      <w:pPr>
        <w:spacing w:line="360" w:lineRule="auto" w:after="0"/>
        <w:ind w:firstLine="425"/>
      </w:pPr>
      <w:r>
        <w:rPr>
          <w:rFonts w:ascii="Times New Roman" w:hAnsi="Times New Roman" w:eastAsia="宋体"/>
          <w:b w:val="0"/>
          <w:i w:val="0"/>
          <w:sz w:val="22"/>
        </w:rPr>
        <w:t>需求响应的能量价值可以通过被替代机组的边际成本计算。容量价值通常通过避免的容量成本（即如果不建设需求响应将需要建设的发电装机成本）评估。辅助服务价值取决于需求响应的响应速度和精度：能够提供秒级响应的需求响应可以参与频率调节市场，获得较高的辅助服务收入。</w:t>
      </w:r>
    </w:p>
    <w:p>
      <w:pPr>
        <w:spacing w:line="360" w:lineRule="auto" w:after="0"/>
        <w:ind w:firstLine="425"/>
      </w:pPr>
      <w:r>
        <w:rPr>
          <w:rFonts w:ascii="Times New Roman" w:hAnsi="Times New Roman" w:eastAsia="宋体"/>
          <w:b w:val="0"/>
          <w:i w:val="0"/>
          <w:sz w:val="22"/>
        </w:rPr>
        <w:t>需求响应的可靠性价值是最难量化但可能最大的价值组成部分。停电的社会成本（包括生产损失、设备损坏、健康影响等）远高于电力本身的零售价格。通过在紧急情况下削减负荷避免停电，需求响应可以产生巨大的可靠性价值。然而，由于停电概率极低，这一价值的期望值在常规评估中可能被低估。</w:t>
      </w:r>
    </w:p>
    <w:p>
      <w:pPr>
        <w:spacing w:line="360" w:lineRule="auto" w:after="0"/>
        <w:ind w:firstLine="425"/>
      </w:pPr>
      <w:r>
        <w:rPr>
          <w:rFonts w:ascii="Times New Roman" w:hAnsi="Times New Roman" w:eastAsia="宋体"/>
          <w:b w:val="0"/>
          <w:i w:val="0"/>
          <w:sz w:val="22"/>
        </w:rPr>
        <w:t>投资回报率（ROI）分析是需求响应项目经济评估的最终工具。ROI计算需要考虑项目实施成本（通信设备、控制设备、软件系统、人员培训）、运营成本（系统维护、用户支持、激励支付）和收益（能量节省、容量补偿、辅助服务收入、可靠性改善）。大规模需求响应项目的ROI通常在3-7年回收期范围内，具体取决于市场机制和用户参与度。</w:t>
      </w:r>
    </w:p>
    <w:p>
      <w:pPr>
        <w:pStyle w:val="Heading2"/>
        <w:spacing w:before="240" w:after="80"/>
      </w:pPr>
      <w:r>
        <w:rPr>
          <w:rFonts w:ascii="Times New Roman" w:hAnsi="Times New Roman" w:eastAsia="黑体"/>
          <w:b/>
          <w:i w:val="0"/>
          <w:sz w:val="28"/>
        </w:rPr>
        <w:t>4.13 需求响应的理论模型与实证方法</w:t>
      </w:r>
    </w:p>
    <w:p>
      <w:pPr>
        <w:pStyle w:val="Heading3"/>
        <w:spacing w:before="160" w:after="60"/>
      </w:pPr>
      <w:r>
        <w:rPr>
          <w:rFonts w:ascii="Times New Roman" w:hAnsi="Times New Roman" w:eastAsia="黑体"/>
          <w:b/>
          <w:i w:val="0"/>
          <w:sz w:val="24"/>
        </w:rPr>
        <w:t>效用函数理论的深化建模</w:t>
      </w:r>
    </w:p>
    <w:p>
      <w:pPr>
        <w:spacing w:line="360" w:lineRule="auto" w:after="0"/>
        <w:ind w:firstLine="425"/>
      </w:pPr>
      <w:r>
        <w:rPr>
          <w:rFonts w:ascii="Times New Roman" w:hAnsi="Times New Roman" w:eastAsia="宋体"/>
          <w:b w:val="0"/>
          <w:i w:val="0"/>
          <w:sz w:val="22"/>
        </w:rPr>
        <w:t>用户用电的效用函数是需求响应定价模型的基础。效用函数 U(q) 描述用户消费电量 q 获得的满足程度，通常假设为单调递增且边际效用递减的凹函数。常用的效用函数形式包括：</w:t>
      </w:r>
    </w:p>
    <w:p>
      <w:pPr>
        <w:spacing w:line="360" w:lineRule="auto" w:after="0"/>
        <w:ind w:firstLine="425"/>
      </w:pPr>
      <w:r>
        <w:rPr>
          <w:rFonts w:ascii="Times New Roman" w:hAnsi="Times New Roman" w:eastAsia="宋体"/>
          <w:b w:val="0"/>
          <w:i w:val="0"/>
          <w:sz w:val="22"/>
        </w:rPr>
        <w:t>二次效用函数 U(q) = aq - (b)/(2)q^2（a, b &gt; 0）是最广泛使用的形式。其边际效用 U'(q) = a - bq 为线性递减，对应线性需求函数 D(p) = (a-p)/b。这一形式的优势在于解析可处理性，使得许多定价优化问题可以获得闭式解。</w:t>
      </w:r>
    </w:p>
    <w:p>
      <w:pPr>
        <w:spacing w:line="360" w:lineRule="auto" w:after="0"/>
        <w:ind w:firstLine="425"/>
      </w:pPr>
      <w:r>
        <w:rPr>
          <w:rFonts w:ascii="Times New Roman" w:hAnsi="Times New Roman" w:eastAsia="宋体"/>
          <w:b w:val="0"/>
          <w:i w:val="0"/>
          <w:sz w:val="22"/>
        </w:rPr>
        <w:t>对数效用函数 U(q) = a ln(1 + q) 适用于描述饱和效应显著的需求。其边际效用 U'(q) = a/(1+q) 为双曲递减，比线性递减更快地趋于零，适合描述舒适度型负荷（如空调温度调节）。</w:t>
      </w:r>
    </w:p>
    <w:p>
      <w:pPr>
        <w:spacing w:line="360" w:lineRule="auto" w:after="0"/>
        <w:ind w:firstLine="425"/>
      </w:pPr>
      <w:r>
        <w:rPr>
          <w:rFonts w:ascii="Times New Roman" w:hAnsi="Times New Roman" w:eastAsia="宋体"/>
          <w:b w:val="0"/>
          <w:i w:val="0"/>
          <w:sz w:val="22"/>
        </w:rPr>
        <w:t>CES（常替代弹性）效用函数 U(q) = (Σ_i α_i q_i^ρ)^1/ρ 描述多种用电服务之间的替代关系。参数 ρ 控制替代弹性：ρ → 1 时为完全替代（线性），ρ → -∞ 时为完全互补（Leontief），ρ → 0 时为Cobb-Douglas形式。CES效用函数适合描述多时段用电决策的跨时段替代关系。</w:t>
      </w:r>
    </w:p>
    <w:p>
      <w:pPr>
        <w:pStyle w:val="Heading3"/>
        <w:spacing w:before="160" w:after="60"/>
      </w:pPr>
      <w:r>
        <w:rPr>
          <w:rFonts w:ascii="Times New Roman" w:hAnsi="Times New Roman" w:eastAsia="黑体"/>
          <w:b/>
          <w:i w:val="0"/>
          <w:sz w:val="24"/>
        </w:rPr>
        <w:t>社会福利最大化的定价模型</w:t>
      </w:r>
    </w:p>
    <w:p>
      <w:pPr>
        <w:spacing w:line="360" w:lineRule="auto" w:after="0"/>
        <w:ind w:firstLine="425"/>
      </w:pPr>
      <w:r>
        <w:rPr>
          <w:rFonts w:ascii="Times New Roman" w:hAnsi="Times New Roman" w:eastAsia="宋体"/>
          <w:b w:val="0"/>
          <w:i w:val="0"/>
          <w:sz w:val="22"/>
        </w:rPr>
        <w:t>社会福利最大化是实时定价的核心优化目标。社会福利 W = U(q) - C(S) 定义为用户总效用减去供电总成本。最优实时定价 p^</w:t>
      </w:r>
      <w:r>
        <w:rPr>
          <w:rFonts w:ascii="Times New Roman" w:hAnsi="Times New Roman" w:eastAsia="宋体"/>
          <w:b w:val="0"/>
          <w:i/>
          <w:sz w:val="22"/>
        </w:rPr>
        <w:t xml:space="preserve"> 等于供电边际成本：p^</w:t>
      </w:r>
      <w:r>
        <w:rPr>
          <w:rFonts w:ascii="Times New Roman" w:hAnsi="Times New Roman" w:eastAsia="宋体"/>
          <w:b w:val="0"/>
          <w:i w:val="0"/>
          <w:sz w:val="22"/>
        </w:rPr>
        <w:t xml:space="preserve"> = C'(S^</w:t>
      </w:r>
      <w:r>
        <w:rPr>
          <w:rFonts w:ascii="Times New Roman" w:hAnsi="Times New Roman" w:eastAsia="宋体"/>
          <w:b w:val="0"/>
          <w:i/>
          <w:sz w:val="22"/>
        </w:rPr>
        <w:t>)，其中 S^</w:t>
      </w:r>
      <w:r>
        <w:rPr>
          <w:rFonts w:ascii="Times New Roman" w:hAnsi="Times New Roman" w:eastAsia="宋体"/>
          <w:b w:val="0"/>
          <w:i w:val="0"/>
          <w:sz w:val="22"/>
        </w:rPr>
        <w:t xml:space="preserve"> 为最优供给量。</w:t>
      </w:r>
    </w:p>
    <w:p>
      <w:pPr>
        <w:spacing w:line="360" w:lineRule="auto" w:after="0"/>
        <w:ind w:firstLine="425"/>
      </w:pPr>
      <w:r>
        <w:rPr>
          <w:rFonts w:ascii="Times New Roman" w:hAnsi="Times New Roman" w:eastAsia="宋体"/>
          <w:b w:val="0"/>
          <w:i w:val="0"/>
          <w:sz w:val="22"/>
        </w:rPr>
        <w:t>在多用户场景下，社会福利最大化问题为 max_q_1, …, q_n Σ_i U_i(q_i) - C(Σ_i q_i)。最优条件要求每个用户的边际效用相等且等于供电边际成本：U_i'(q_i^</w:t>
      </w:r>
      <w:r>
        <w:rPr>
          <w:rFonts w:ascii="Times New Roman" w:hAnsi="Times New Roman" w:eastAsia="宋体"/>
          <w:b w:val="0"/>
          <w:i/>
          <w:sz w:val="22"/>
        </w:rPr>
        <w:t>) = C'(Σ_j q_j^</w:t>
      </w:r>
      <w:r>
        <w:rPr>
          <w:rFonts w:ascii="Times New Roman" w:hAnsi="Times New Roman" w:eastAsia="宋体"/>
          <w:b w:val="0"/>
          <w:i w:val="0"/>
          <w:sz w:val="22"/>
        </w:rPr>
        <w:t>), ∀ i。这给出了实现帕累托效率的定价规则。</w:t>
      </w:r>
    </w:p>
    <w:p>
      <w:pPr>
        <w:spacing w:line="360" w:lineRule="auto" w:after="0"/>
        <w:ind w:firstLine="425"/>
      </w:pPr>
      <w:r>
        <w:rPr>
          <w:rFonts w:ascii="Times New Roman" w:hAnsi="Times New Roman" w:eastAsia="宋体"/>
          <w:b w:val="0"/>
          <w:i w:val="0"/>
          <w:sz w:val="22"/>
        </w:rPr>
        <w:t>当供电成本包含网络约束时（如输电容量限制），最优定价变为节点边际电价（LMP）。每个节点的LMP等于该节点供电的边际成本，包括发电成本和网络约束的影子价格。不同节点之间的LMP差异反映了输电损耗和阻塞成本。</w:t>
      </w:r>
    </w:p>
    <w:p>
      <w:pPr>
        <w:pStyle w:val="Heading3"/>
        <w:spacing w:before="160" w:after="60"/>
      </w:pPr>
      <w:r>
        <w:rPr>
          <w:rFonts w:ascii="Times New Roman" w:hAnsi="Times New Roman" w:eastAsia="黑体"/>
          <w:b/>
          <w:i w:val="0"/>
          <w:sz w:val="24"/>
        </w:rPr>
        <w:t>需求响应的测量与验证（M&amp;V）</w:t>
      </w:r>
    </w:p>
    <w:p>
      <w:pPr>
        <w:spacing w:line="360" w:lineRule="auto" w:after="0"/>
        <w:ind w:firstLine="425"/>
      </w:pPr>
      <w:r>
        <w:rPr>
          <w:rFonts w:ascii="Times New Roman" w:hAnsi="Times New Roman" w:eastAsia="宋体"/>
          <w:b w:val="0"/>
          <w:i w:val="0"/>
          <w:sz w:val="22"/>
        </w:rPr>
        <w:t>需求响应效果的测量与验证（M&amp;V）是评估定价策略有效性的关键环节。M&amp;V方法确定基线负荷（没有需求响应时的负荷水平），将基线与实际负荷的差值归因于需求响应效果。</w:t>
      </w:r>
    </w:p>
    <w:p>
      <w:pPr>
        <w:spacing w:line="360" w:lineRule="auto" w:after="0"/>
        <w:ind w:firstLine="425"/>
      </w:pPr>
      <w:r>
        <w:rPr>
          <w:rFonts w:ascii="Times New Roman" w:hAnsi="Times New Roman" w:eastAsia="宋体"/>
          <w:b w:val="0"/>
          <w:i w:val="0"/>
          <w:sz w:val="22"/>
        </w:rPr>
        <w:t>基线确定方法包括：历史平均法（取相似日的历史负荷平均值作为基线）、控制组法（选择未参与需求响应的相似用户作为控制组）、回归法（基于天气、时间等变量建立负荷回归模型）。每种方法都有其适用条件和偏差来源。</w:t>
      </w:r>
    </w:p>
    <w:p>
      <w:pPr>
        <w:spacing w:line="360" w:lineRule="auto" w:after="0"/>
        <w:ind w:firstLine="425"/>
      </w:pPr>
      <w:r>
        <w:rPr>
          <w:rFonts w:ascii="Times New Roman" w:hAnsi="Times New Roman" w:eastAsia="宋体"/>
          <w:b w:val="0"/>
          <w:i w:val="0"/>
          <w:sz w:val="22"/>
        </w:rPr>
        <w:t>历史平均法的偏差来源包括：天气差异（基线日的天气与事件日不同）、行为变化（用户在非事件日的用电模式可能已发生变化）、基线操纵（用户可能在基线计算期人为提高用电量）。为了减少偏差，通常使用事件日前10个相似日中最高的3-5天的平均值作为基线。</w:t>
      </w:r>
    </w:p>
    <w:p>
      <w:pPr>
        <w:spacing w:line="360" w:lineRule="auto" w:after="0"/>
        <w:ind w:firstLine="425"/>
      </w:pPr>
      <w:r>
        <w:rPr>
          <w:rFonts w:ascii="Times New Roman" w:hAnsi="Times New Roman" w:eastAsia="宋体"/>
          <w:b w:val="0"/>
          <w:i w:val="0"/>
          <w:sz w:val="22"/>
        </w:rPr>
        <w:t>控制组法提供了更准确的基线估计，但需要确保控制组与参与组在负荷特征和行为模式上足够相似。随机对照试验（RCT）是确保控制组有效性的金标准，但在实际部署中由于成本和可行性问题难以实施。准实验方法（如倾向得分匹配）提供了替代方案。</w:t>
      </w:r>
    </w:p>
    <w:p>
      <w:pPr>
        <w:pStyle w:val="Heading3"/>
        <w:spacing w:before="160" w:after="60"/>
      </w:pPr>
      <w:r>
        <w:rPr>
          <w:rFonts w:ascii="Times New Roman" w:hAnsi="Times New Roman" w:eastAsia="黑体"/>
          <w:b/>
          <w:i w:val="0"/>
          <w:sz w:val="24"/>
        </w:rPr>
        <w:t>需求响应效果的统计显著性检验</w:t>
      </w:r>
    </w:p>
    <w:p>
      <w:pPr>
        <w:spacing w:line="360" w:lineRule="auto" w:after="0"/>
        <w:ind w:firstLine="425"/>
      </w:pPr>
      <w:r>
        <w:rPr>
          <w:rFonts w:ascii="Times New Roman" w:hAnsi="Times New Roman" w:eastAsia="宋体"/>
          <w:b w:val="0"/>
          <w:i w:val="0"/>
          <w:sz w:val="22"/>
        </w:rPr>
        <w:t>需求响应效果的统计显著性检验确保观察到的负荷变化不是随机波动的结果。配对t检验比较每个参与用户在事件日和基线日的负荷差异，检验均值差异是否显著异于零。这种方法的假设是负荷差异服从正态分布，在大样本下可以放宽这一假设。</w:t>
      </w:r>
    </w:p>
    <w:p>
      <w:pPr>
        <w:spacing w:line="360" w:lineRule="auto" w:after="0"/>
        <w:ind w:firstLine="425"/>
      </w:pPr>
      <w:r>
        <w:rPr>
          <w:rFonts w:ascii="Times New Roman" w:hAnsi="Times New Roman" w:eastAsia="宋体"/>
          <w:b w:val="0"/>
          <w:i w:val="0"/>
          <w:sz w:val="22"/>
        </w:rPr>
        <w:t>非参数检验（如Wilcoxon符号秩检验）不要求正态分布假设，适用于样本量较小或分布偏斜的情况。bootstrap方法通过重采样估计需求响应效果的置信区间，不依赖特定分布假设，适用于复杂统计量。</w:t>
      </w:r>
    </w:p>
    <w:p>
      <w:pPr>
        <w:spacing w:line="360" w:lineRule="auto" w:after="0"/>
        <w:ind w:firstLine="425"/>
      </w:pPr>
      <w:r>
        <w:rPr>
          <w:rFonts w:ascii="Times New Roman" w:hAnsi="Times New Roman" w:eastAsia="宋体"/>
          <w:b w:val="0"/>
          <w:i w:val="0"/>
          <w:sz w:val="22"/>
        </w:rPr>
        <w:t>效果异质性分析检验需求响应效果在不同用户群体间的差异。分组分析（按用户类型、地理位置、设备类型等）可以识别响应效果最好和最差的群体。分位数回归分析可以揭示需求响应效果在不同负荷水平下的变化模式。</w:t>
      </w:r>
    </w:p>
    <w:p>
      <w:pPr>
        <w:pStyle w:val="Heading2"/>
        <w:spacing w:before="240" w:after="80"/>
      </w:pPr>
      <w:r>
        <w:rPr>
          <w:rFonts w:ascii="Times New Roman" w:hAnsi="Times New Roman" w:eastAsia="黑体"/>
          <w:b/>
          <w:i w:val="0"/>
          <w:sz w:val="28"/>
        </w:rPr>
        <w:t>4.14 需求响应模型的验证与改进</w:t>
      </w:r>
    </w:p>
    <w:p>
      <w:pPr>
        <w:pStyle w:val="Heading3"/>
        <w:spacing w:before="160" w:after="60"/>
      </w:pPr>
      <w:r>
        <w:rPr>
          <w:rFonts w:ascii="Times New Roman" w:hAnsi="Times New Roman" w:eastAsia="黑体"/>
          <w:b/>
          <w:i w:val="0"/>
          <w:sz w:val="24"/>
        </w:rPr>
        <w:t>模型校准与参数估计</w:t>
      </w:r>
    </w:p>
    <w:p>
      <w:pPr>
        <w:spacing w:line="360" w:lineRule="auto" w:after="0"/>
        <w:ind w:firstLine="425"/>
      </w:pPr>
      <w:r>
        <w:rPr>
          <w:rFonts w:ascii="Times New Roman" w:hAnsi="Times New Roman" w:eastAsia="宋体"/>
          <w:b w:val="0"/>
          <w:i w:val="0"/>
          <w:sz w:val="22"/>
        </w:rPr>
        <w:t>需求响应模型的有效性依赖于准确的参数估计。参数估计方法从简单的线性回归发展到复杂的贝叶斯推断和深度学习方法。</w:t>
      </w:r>
    </w:p>
    <w:p>
      <w:pPr>
        <w:spacing w:line="360" w:lineRule="auto" w:after="0"/>
        <w:ind w:firstLine="425"/>
      </w:pPr>
      <w:r>
        <w:rPr>
          <w:rFonts w:ascii="Times New Roman" w:hAnsi="Times New Roman" w:eastAsia="宋体"/>
          <w:b w:val="0"/>
          <w:i w:val="0"/>
          <w:sz w:val="22"/>
        </w:rPr>
        <w:t>线性回归方法假设需求与价格呈线性关系 D_t = α + β p_t + ε_t，其中 β 为需求价格弹性。这种方法计算简单但假设过强：弹性被假设为常数（不随价格水平变化），忽略了弹性的非线性和时变性。</w:t>
      </w:r>
    </w:p>
    <w:p>
      <w:pPr>
        <w:spacing w:line="360" w:lineRule="auto" w:after="0"/>
        <w:ind w:firstLine="425"/>
      </w:pPr>
      <w:r>
        <w:rPr>
          <w:rFonts w:ascii="Times New Roman" w:hAnsi="Times New Roman" w:eastAsia="宋体"/>
          <w:b w:val="0"/>
          <w:i w:val="0"/>
          <w:sz w:val="22"/>
        </w:rPr>
        <w:t>分段线性回归允许弹性在不同价格区间内变化。低价区间的弹性通常较小（必需负荷），高价区间的弹性较大（可调度负荷）。通过设定价格断点（如分时电价的时段边界），分段线性回归可以捕捉弹性的区间差异。</w:t>
      </w:r>
    </w:p>
    <w:p>
      <w:pPr>
        <w:spacing w:line="360" w:lineRule="auto" w:after="0"/>
        <w:ind w:firstLine="425"/>
      </w:pPr>
      <w:r>
        <w:rPr>
          <w:rFonts w:ascii="Times New Roman" w:hAnsi="Times New Roman" w:eastAsia="宋体"/>
          <w:b w:val="0"/>
          <w:i w:val="0"/>
          <w:sz w:val="22"/>
        </w:rPr>
        <w:t>非参数方法（如核回归、局部加权回归）不假设需求-价格关系的函数形式，从数据中直接学习。这些方法灵活性强但需要大量数据，且外推能力有限。在实时定价中，非参数方法适合描述已观察到的价格范围内的需求响应，但对极端价格区间的预测不可靠。</w:t>
      </w:r>
    </w:p>
    <w:p>
      <w:pPr>
        <w:spacing w:line="360" w:lineRule="auto" w:after="0"/>
        <w:ind w:firstLine="425"/>
      </w:pPr>
      <w:r>
        <w:rPr>
          <w:rFonts w:ascii="Times New Roman" w:hAnsi="Times New Roman" w:eastAsia="宋体"/>
          <w:b w:val="0"/>
          <w:i w:val="0"/>
          <w:sz w:val="22"/>
        </w:rPr>
        <w:t>贝叶斯方法将参数视为随机变量，通过先验分布和数据更新后验分布。层次贝叶斯模型可以同时估计个体用户参数和群体参数，适合处理用户异质性。马尔可夫链蒙特卡洛（MCMC）方法用于后验分布的数值计算。变分推断提供了更快的近似后验计算，适合实时应用。</w:t>
      </w:r>
    </w:p>
    <w:p>
      <w:pPr>
        <w:pStyle w:val="Heading3"/>
        <w:spacing w:before="160" w:after="60"/>
      </w:pPr>
      <w:r>
        <w:rPr>
          <w:rFonts w:ascii="Times New Roman" w:hAnsi="Times New Roman" w:eastAsia="黑体"/>
          <w:b/>
          <w:i w:val="0"/>
          <w:sz w:val="24"/>
        </w:rPr>
        <w:t>模型验证的交叉验证策略</w:t>
      </w:r>
    </w:p>
    <w:p>
      <w:pPr>
        <w:spacing w:line="360" w:lineRule="auto" w:after="0"/>
        <w:ind w:firstLine="425"/>
      </w:pPr>
      <w:r>
        <w:rPr>
          <w:rFonts w:ascii="Times New Roman" w:hAnsi="Times New Roman" w:eastAsia="宋体"/>
          <w:b w:val="0"/>
          <w:i w:val="0"/>
          <w:sz w:val="22"/>
        </w:rPr>
        <w:t>模型验证确保需求响应模型的预测能力。交叉验证通过将数据分为训练集和测试集，评估模型在未见数据上的表现。</w:t>
      </w:r>
    </w:p>
    <w:p>
      <w:pPr>
        <w:spacing w:line="360" w:lineRule="auto" w:after="0"/>
        <w:ind w:firstLine="425"/>
      </w:pPr>
      <w:r>
        <w:rPr>
          <w:rFonts w:ascii="Times New Roman" w:hAnsi="Times New Roman" w:eastAsia="宋体"/>
          <w:b w:val="0"/>
          <w:i w:val="0"/>
          <w:sz w:val="22"/>
        </w:rPr>
        <w:t>时间序列交叉验证适用于时序数据：使用前 T 个时段的数据训练模型，预测第 T+1 个时段的需求响应，然后将 T+1 的实际数据加入训练集，预测第 T+2 个时段，依此类推。这种方法模拟了模型在实际部署中的预测过程，是最严格的验证方式。</w:t>
      </w:r>
    </w:p>
    <w:p>
      <w:pPr>
        <w:spacing w:line="360" w:lineRule="auto" w:after="0"/>
        <w:ind w:firstLine="425"/>
      </w:pPr>
      <w:r>
        <w:rPr>
          <w:rFonts w:ascii="Times New Roman" w:hAnsi="Times New Roman" w:eastAsia="宋体"/>
          <w:b w:val="0"/>
          <w:i w:val="0"/>
          <w:sz w:val="22"/>
        </w:rPr>
        <w:t>分组交叉验证将用户分为训练组和测试组，使用训练组数据估计模型参数，在测试组评估预测精度。这种方法评估模型的跨用户泛化能力，对于新用户的需求响应预测具有重要意义。</w:t>
      </w:r>
    </w:p>
    <w:p>
      <w:pPr>
        <w:spacing w:line="360" w:lineRule="auto" w:after="0"/>
        <w:ind w:firstLine="425"/>
      </w:pPr>
      <w:r>
        <w:rPr>
          <w:rFonts w:ascii="Times New Roman" w:hAnsi="Times New Roman" w:eastAsia="宋体"/>
          <w:b w:val="0"/>
          <w:i w:val="0"/>
          <w:sz w:val="22"/>
        </w:rPr>
        <w:t>事件交叉验证仅使用需求响应事件日的数据进行验证，因为非事件日的数据不包含价格响应信息。这种方法确保验证的是模型对价格信号的响应预测能力，而非一般的负荷预测能力。</w:t>
      </w:r>
    </w:p>
    <w:p>
      <w:pPr>
        <w:pStyle w:val="Heading3"/>
        <w:spacing w:before="160" w:after="60"/>
      </w:pPr>
      <w:r>
        <w:rPr>
          <w:rFonts w:ascii="Times New Roman" w:hAnsi="Times New Roman" w:eastAsia="黑体"/>
          <w:b/>
          <w:i w:val="0"/>
          <w:sz w:val="24"/>
        </w:rPr>
        <w:t>模型不确定性的传播分析</w:t>
      </w:r>
    </w:p>
    <w:p>
      <w:pPr>
        <w:spacing w:line="360" w:lineRule="auto" w:after="0"/>
        <w:ind w:firstLine="425"/>
      </w:pPr>
      <w:r>
        <w:rPr>
          <w:rFonts w:ascii="Times New Roman" w:hAnsi="Times New Roman" w:eastAsia="宋体"/>
          <w:b w:val="0"/>
          <w:i w:val="0"/>
          <w:sz w:val="22"/>
        </w:rPr>
        <w:t>需求响应模型本身存在参数不确定性和结构不确定性。参数不确定性来源于有限的训练数据，结构不确定性来源于模型假设与现实的不完全匹配。</w:t>
      </w:r>
    </w:p>
    <w:p>
      <w:pPr>
        <w:spacing w:line="360" w:lineRule="auto" w:after="0"/>
        <w:ind w:firstLine="425"/>
      </w:pPr>
      <w:r>
        <w:rPr>
          <w:rFonts w:ascii="Times New Roman" w:hAnsi="Times New Roman" w:eastAsia="宋体"/>
          <w:b w:val="0"/>
          <w:i w:val="0"/>
          <w:sz w:val="22"/>
        </w:rPr>
        <w:t>参数不确定性通过置信区间或可信区间量化。在定价优化中，参数不确定性传播为定价决策的不确定性：弹性参数的置信区间导致最优价格的置信区间。如果价格置信区间过宽，说明当前数据不足以做出可靠的定价决策，需要收集更多数据或使用更鲁棒的定价策略。</w:t>
      </w:r>
    </w:p>
    <w:p>
      <w:pPr>
        <w:spacing w:line="360" w:lineRule="auto" w:after="0"/>
        <w:ind w:firstLine="425"/>
      </w:pPr>
      <w:r>
        <w:rPr>
          <w:rFonts w:ascii="Times New Roman" w:hAnsi="Times New Roman" w:eastAsia="宋体"/>
          <w:b w:val="0"/>
          <w:i w:val="0"/>
          <w:sz w:val="22"/>
        </w:rPr>
        <w:t>结构不确定性更难量化。模型对比方法通过比较多个候选模型的预测性能评估结构不确定性。贝叶斯模型平均通过对多个模型的预测加权平均（权重为模型后验概率）综合处理结构不确定性。</w:t>
      </w:r>
    </w:p>
    <w:p>
      <w:pPr>
        <w:spacing w:line="360" w:lineRule="auto" w:after="0"/>
        <w:ind w:firstLine="425"/>
      </w:pPr>
      <w:r>
        <w:rPr>
          <w:rFonts w:ascii="Times New Roman" w:hAnsi="Times New Roman" w:eastAsia="宋体"/>
          <w:b w:val="0"/>
          <w:i w:val="0"/>
          <w:sz w:val="22"/>
        </w:rPr>
        <w:t>敏感性分析评估定价决策对模型参数变化的敏感程度。如果定价决策对某个参数高度敏感，该参数的精确估计就至关重要，值得投入更多资源进行数据收集和参数校准。反之，不敏感的参数可以使用粗略估计而不影响定价质量。</w:t>
      </w:r>
    </w:p>
    <w:p>
      <w:pPr>
        <w:pStyle w:val="Heading2"/>
        <w:spacing w:before="240" w:after="80"/>
      </w:pPr>
      <w:r>
        <w:rPr>
          <w:rFonts w:ascii="Times New Roman" w:hAnsi="Times New Roman" w:eastAsia="黑体"/>
          <w:b/>
          <w:i w:val="0"/>
          <w:sz w:val="28"/>
        </w:rPr>
        <w:t>4.15 需求响应的跨学科视角</w:t>
      </w:r>
    </w:p>
    <w:p>
      <w:pPr>
        <w:pStyle w:val="Heading3"/>
        <w:spacing w:before="160" w:after="60"/>
      </w:pPr>
      <w:r>
        <w:rPr>
          <w:rFonts w:ascii="Times New Roman" w:hAnsi="Times New Roman" w:eastAsia="黑体"/>
          <w:b/>
          <w:i w:val="0"/>
          <w:sz w:val="24"/>
        </w:rPr>
        <w:t>社会技术系统理论视角</w:t>
      </w:r>
    </w:p>
    <w:p>
      <w:pPr>
        <w:spacing w:line="360" w:lineRule="auto" w:after="0"/>
        <w:ind w:firstLine="425"/>
      </w:pPr>
      <w:r>
        <w:rPr>
          <w:rFonts w:ascii="Times New Roman" w:hAnsi="Times New Roman" w:eastAsia="宋体"/>
          <w:b w:val="0"/>
          <w:i w:val="0"/>
          <w:sz w:val="22"/>
        </w:rPr>
        <w:t>实时定价不仅仅是一个技术或经济问题，更是一个社会技术系统问题。社会技术系统理论强调技术系统和社会系统的协同设计：技术设计需要考虑社会因素（用户行为、组织结构、文化规范），社会设计也需要适应技术约束。</w:t>
      </w:r>
    </w:p>
    <w:p>
      <w:pPr>
        <w:spacing w:line="360" w:lineRule="auto" w:after="0"/>
        <w:ind w:firstLine="425"/>
      </w:pPr>
      <w:r>
        <w:rPr>
          <w:rFonts w:ascii="Times New Roman" w:hAnsi="Times New Roman" w:eastAsia="宋体"/>
          <w:b w:val="0"/>
          <w:i w:val="0"/>
          <w:sz w:val="22"/>
        </w:rPr>
        <w:t>在实时定价中，社会技术视角提醒我们：智能电表的技术能力（如15分钟间隔数据采集）需要与用户的认知能力（理解电价信息的能力）和行为习惯（查看电价和调整用电的意愿）匹配。过于复杂的定价方案即使用户技术上可以响应，也可能因为认知负担过重而失败。</w:t>
      </w:r>
    </w:p>
    <w:p>
      <w:pPr>
        <w:spacing w:line="360" w:lineRule="auto" w:after="0"/>
        <w:ind w:firstLine="425"/>
      </w:pPr>
      <w:r>
        <w:rPr>
          <w:rFonts w:ascii="Times New Roman" w:hAnsi="Times New Roman" w:eastAsia="宋体"/>
          <w:b w:val="0"/>
          <w:i w:val="0"/>
          <w:sz w:val="22"/>
        </w:rPr>
        <w:t>社会技术系统的变革管理理论提供了实时定价推广的框架。变革管理包括三个阶段：解冻（打破现状，建立变革需求认知）、变革（实施新定价机制，提供支持和培训）、再冻结（巩固新行为模式，使其成为新常态）。每个阶段都需要针对性的沟通、激励和支持措施。</w:t>
      </w:r>
    </w:p>
    <w:p>
      <w:pPr>
        <w:pStyle w:val="Heading3"/>
        <w:spacing w:before="160" w:after="60"/>
      </w:pPr>
      <w:r>
        <w:rPr>
          <w:rFonts w:ascii="Times New Roman" w:hAnsi="Times New Roman" w:eastAsia="黑体"/>
          <w:b/>
          <w:i w:val="0"/>
          <w:sz w:val="24"/>
        </w:rPr>
        <w:t>能源正义与公平性分析</w:t>
      </w:r>
    </w:p>
    <w:p>
      <w:pPr>
        <w:spacing w:line="360" w:lineRule="auto" w:after="0"/>
        <w:ind w:firstLine="425"/>
      </w:pPr>
      <w:r>
        <w:rPr>
          <w:rFonts w:ascii="Times New Roman" w:hAnsi="Times New Roman" w:eastAsia="宋体"/>
          <w:b w:val="0"/>
          <w:i w:val="0"/>
          <w:sz w:val="22"/>
        </w:rPr>
        <w:t>能源正义框架从分配正义、程序正义和认知正义三个维度评估能源政策和定价机制。分配正义关注定价机制的成本和收益在不同群体间的公平分配。程序正义关注定价决策过程的参与性和透明度。认知正义关注不同群体（特别是弱势群体）的知识和视角是否被纳入决策。</w:t>
      </w:r>
    </w:p>
    <w:p>
      <w:pPr>
        <w:spacing w:line="360" w:lineRule="auto" w:after="0"/>
        <w:ind w:firstLine="425"/>
      </w:pPr>
      <w:r>
        <w:rPr>
          <w:rFonts w:ascii="Times New Roman" w:hAnsi="Times New Roman" w:eastAsia="宋体"/>
          <w:b w:val="0"/>
          <w:i w:val="0"/>
          <w:sz w:val="22"/>
        </w:rPr>
        <w:t>实时定价的分配正义分析需要量化不同收入群体、不同地理区域和不同用户类型在实时定价下的福利变化。研究表明，实时定价可能对低收入群体产生不成比例的负面影响：这些群体的住房能效较低（单位面积用电量更高）、智能设备拥有率较低（难以自动响应价格信号）、用电需求弹性较低（必需负荷比例高）。</w:t>
      </w:r>
    </w:p>
    <w:p>
      <w:pPr>
        <w:spacing w:line="360" w:lineRule="auto" w:after="0"/>
        <w:ind w:firstLine="425"/>
      </w:pPr>
      <w:r>
        <w:rPr>
          <w:rFonts w:ascii="Times New Roman" w:hAnsi="Times New Roman" w:eastAsia="宋体"/>
          <w:b w:val="0"/>
          <w:i w:val="0"/>
          <w:sz w:val="22"/>
        </w:rPr>
        <w:t>缓解分配不公的措施包括：针对低收入群体的电价补贴或能效改造资助、提供保护性默认选项（如价格上限或回退到固定电价的选择权）、设计渐进式定价结构（基础用电量享受低价，超出部分按实时电价）。</w:t>
      </w:r>
    </w:p>
    <w:p>
      <w:pPr>
        <w:spacing w:line="360" w:lineRule="auto" w:after="0"/>
        <w:ind w:firstLine="425"/>
      </w:pPr>
      <w:r>
        <w:rPr>
          <w:rFonts w:ascii="Times New Roman" w:hAnsi="Times New Roman" w:eastAsia="宋体"/>
          <w:b w:val="0"/>
          <w:i w:val="0"/>
          <w:sz w:val="22"/>
        </w:rPr>
        <w:t>程序正义要求用户参与定价机制的设计和评估过程。参与式设计方法邀请用户代表参与定价方案的设计，确保方案反映用户需求和关切。公开透明的定价算法和数据可以帮助用户理解定价决策的逻辑，增强信任和接受度。</w:t>
      </w:r>
    </w:p>
    <w:p>
      <w:pPr>
        <w:pStyle w:val="Heading3"/>
        <w:spacing w:before="160" w:after="60"/>
      </w:pPr>
      <w:r>
        <w:rPr>
          <w:rFonts w:ascii="Times New Roman" w:hAnsi="Times New Roman" w:eastAsia="黑体"/>
          <w:b/>
          <w:i w:val="0"/>
          <w:sz w:val="24"/>
        </w:rPr>
        <w:t>行为干预与助推理论</w:t>
      </w:r>
    </w:p>
    <w:p>
      <w:pPr>
        <w:spacing w:line="360" w:lineRule="auto" w:after="0"/>
        <w:ind w:firstLine="425"/>
      </w:pPr>
      <w:r>
        <w:rPr>
          <w:rFonts w:ascii="Times New Roman" w:hAnsi="Times New Roman" w:eastAsia="宋体"/>
          <w:b w:val="0"/>
          <w:i w:val="0"/>
          <w:sz w:val="22"/>
        </w:rPr>
        <w:t>助推（Nudge）理论通过设计选择架构（Choice Architecture）引导人们做出更好的决策，而不限制选择自由。在实时定价中，助推可以用于提高用户参与率和响应效果。</w:t>
      </w:r>
    </w:p>
    <w:p>
      <w:pPr>
        <w:spacing w:line="360" w:lineRule="auto" w:after="0"/>
        <w:ind w:firstLine="425"/>
      </w:pPr>
      <w:r>
        <w:rPr>
          <w:rFonts w:ascii="Times New Roman" w:hAnsi="Times New Roman" w:eastAsia="宋体"/>
          <w:b w:val="0"/>
          <w:i w:val="0"/>
          <w:sz w:val="22"/>
        </w:rPr>
        <w:t>默认选项是最强大的助推工具。将实时电价设为默认选项（允许opt-out）比将其设为opt-in选项的参与率高数倍。这一发现基于现状偏差理论：人们倾向于维持默认选择，因为切换需要认知努力且可能带来风险。</w:t>
      </w:r>
    </w:p>
    <w:p>
      <w:pPr>
        <w:spacing w:line="360" w:lineRule="auto" w:after="0"/>
        <w:ind w:firstLine="425"/>
      </w:pPr>
      <w:r>
        <w:rPr>
          <w:rFonts w:ascii="Times New Roman" w:hAnsi="Times New Roman" w:eastAsia="宋体"/>
          <w:b w:val="0"/>
          <w:i w:val="0"/>
          <w:sz w:val="22"/>
        </w:rPr>
        <w:t>社会比较信息是另一种有效的助推。通过在电费账单中展示用户与相似用户的用电对比（如"您的用电量比邻居高20%"），可以激发社会规范压力，促使用户节约用电。Opower的大规模实验证实，社会比较信息可以持续降低用电量2-4%。</w:t>
      </w:r>
    </w:p>
    <w:p>
      <w:pPr>
        <w:spacing w:line="360" w:lineRule="auto" w:after="0"/>
        <w:ind w:firstLine="425"/>
      </w:pPr>
      <w:r>
        <w:rPr>
          <w:rFonts w:ascii="Times New Roman" w:hAnsi="Times New Roman" w:eastAsia="宋体"/>
          <w:b w:val="0"/>
          <w:i w:val="0"/>
          <w:sz w:val="22"/>
        </w:rPr>
        <w:t>游戏化（Gamification）将定价参与设计为游戏体验，通过积分、徽章、排行榜等元素增加参与趣味性。游戏化特别适合吸引年轻用户群体参与实时定价。然而，游戏化效果的持续性需要评估，新鲜感消退后参与度可能下降。</w:t>
      </w:r>
    </w:p>
    <w:p>
      <w:pPr>
        <w:pStyle w:val="Heading3"/>
        <w:spacing w:before="160" w:after="60"/>
      </w:pPr>
      <w:r>
        <w:rPr>
          <w:rFonts w:ascii="Times New Roman" w:hAnsi="Times New Roman" w:eastAsia="黑体"/>
          <w:b/>
          <w:i w:val="0"/>
          <w:sz w:val="24"/>
        </w:rPr>
        <w:t>长期行为变化的维持</w:t>
      </w:r>
    </w:p>
    <w:p>
      <w:pPr>
        <w:spacing w:line="360" w:lineRule="auto" w:after="0"/>
        <w:ind w:firstLine="425"/>
      </w:pPr>
      <w:r>
        <w:rPr>
          <w:rFonts w:ascii="Times New Roman" w:hAnsi="Times New Roman" w:eastAsia="宋体"/>
          <w:b w:val="0"/>
          <w:i w:val="0"/>
          <w:sz w:val="22"/>
        </w:rPr>
        <w:t>实时定价的长期效果取决于用户行为的持久变化。行为科学研究表明，外部激励（如价格信号）可以引发行为改变，但外部激励撤除后行为可能回退。内化过程将外部动机转化为内在动机，是实现持久行为变化的关键。</w:t>
      </w:r>
    </w:p>
    <w:p>
      <w:pPr>
        <w:spacing w:line="360" w:lineRule="auto" w:after="0"/>
        <w:ind w:firstLine="425"/>
      </w:pPr>
      <w:r>
        <w:rPr>
          <w:rFonts w:ascii="Times New Roman" w:hAnsi="Times New Roman" w:eastAsia="宋体"/>
          <w:b w:val="0"/>
          <w:i w:val="0"/>
          <w:sz w:val="22"/>
        </w:rPr>
        <w:t>习惯形成理论指出，行为在重复足够次数后会变成习惯，不再需要意识控制。实时定价中的自动化设备（如智能恒温器自动响应价格信号）可以绕过意识决策过程，直接形成自动响应习惯。设备自动化是维持长期行为变化最有效的方法之一。</w:t>
      </w:r>
    </w:p>
    <w:p>
      <w:pPr>
        <w:spacing w:line="360" w:lineRule="auto" w:after="0"/>
        <w:ind w:firstLine="425"/>
      </w:pPr>
      <w:r>
        <w:rPr>
          <w:rFonts w:ascii="Times New Roman" w:hAnsi="Times New Roman" w:eastAsia="宋体"/>
          <w:b w:val="0"/>
          <w:i w:val="0"/>
          <w:sz w:val="22"/>
        </w:rPr>
        <w:t>身份认同理论认为，当某种行为成为个人身份的一部分时，行为变化最持久。将"节能环保"融入用户身份认同可以通过叙事传播、社区归属感和价值观共鸣实现。这种深层行为变化比价格激励引发的变化更持久，但需要更长的时间和更丰富的干预手段。</w:t>
      </w:r>
    </w:p>
    <w:p>
      <w:pPr>
        <w:pStyle w:val="Heading2"/>
        <w:spacing w:before="240" w:after="80"/>
      </w:pPr>
      <w:r>
        <w:rPr>
          <w:rFonts w:ascii="Times New Roman" w:hAnsi="Times New Roman" w:eastAsia="黑体"/>
          <w:b/>
          <w:i w:val="0"/>
          <w:sz w:val="28"/>
        </w:rPr>
        <w:t>4.16 需求响应的跨领域融合</w:t>
      </w:r>
    </w:p>
    <w:p>
      <w:pPr>
        <w:pStyle w:val="Heading3"/>
        <w:spacing w:before="160" w:after="60"/>
      </w:pPr>
      <w:r>
        <w:rPr>
          <w:rFonts w:ascii="Times New Roman" w:hAnsi="Times New Roman" w:eastAsia="黑体"/>
          <w:b/>
          <w:i w:val="0"/>
          <w:sz w:val="24"/>
        </w:rPr>
        <w:t>与碳交易的协同机制</w:t>
      </w:r>
    </w:p>
    <w:p>
      <w:pPr>
        <w:spacing w:line="360" w:lineRule="auto" w:after="0"/>
        <w:ind w:firstLine="425"/>
      </w:pPr>
      <w:r>
        <w:rPr>
          <w:rFonts w:ascii="Times New Roman" w:hAnsi="Times New Roman" w:eastAsia="宋体"/>
          <w:b w:val="0"/>
          <w:i w:val="0"/>
          <w:sz w:val="22"/>
        </w:rPr>
        <w:t>需求响应与碳交易的协同可以同时实现削峰填谷和碳减排。当实时电价中嵌入碳成本时，价格信号不仅反映供需平衡，还反映碳排放强度。用户在低碳时段（可再生能源高出力）用电不仅享受低电价，还获得碳减排收益；在高碳时段（化石能源调峰）用电面临高电价和高碳成本。</w:t>
      </w:r>
    </w:p>
    <w:p>
      <w:pPr>
        <w:spacing w:line="360" w:lineRule="auto" w:after="0"/>
        <w:ind w:firstLine="425"/>
      </w:pPr>
      <w:r>
        <w:rPr>
          <w:rFonts w:ascii="Times New Roman" w:hAnsi="Times New Roman" w:eastAsia="宋体"/>
          <w:b w:val="0"/>
          <w:i w:val="0"/>
          <w:sz w:val="22"/>
        </w:rPr>
        <w:t>碳感知需求响应的实施需要实时碳排放强度数据。边际排放率（MER）反映了当前电网中边际发电机组的碳排放率，是碳感知定价的关键参数。MER可以通过最优调度模型的影子价格计算，也可以通过机器学习模型从历史数据中预测。</w:t>
      </w:r>
    </w:p>
    <w:p>
      <w:pPr>
        <w:spacing w:line="360" w:lineRule="auto" w:after="0"/>
        <w:ind w:firstLine="425"/>
      </w:pPr>
      <w:r>
        <w:rPr>
          <w:rFonts w:ascii="Times New Roman" w:hAnsi="Times New Roman" w:eastAsia="宋体"/>
          <w:b w:val="0"/>
          <w:i w:val="0"/>
          <w:sz w:val="22"/>
        </w:rPr>
        <w:t>碳配额分配机制将碳配额分配到用户层面，用户用电时消耗配额。配额不足时需要从碳市场购买，配额有剩余时可以出售。这种机制为用户提供了直接的碳减排激励，比仅通过电价间接传递碳成本更有效。</w:t>
      </w:r>
    </w:p>
    <w:p>
      <w:pPr>
        <w:pStyle w:val="Heading3"/>
        <w:spacing w:before="160" w:after="60"/>
      </w:pPr>
      <w:r>
        <w:rPr>
          <w:rFonts w:ascii="Times New Roman" w:hAnsi="Times New Roman" w:eastAsia="黑体"/>
          <w:b/>
          <w:i w:val="0"/>
          <w:sz w:val="24"/>
        </w:rPr>
        <w:t>与交通系统的耦合</w:t>
      </w:r>
    </w:p>
    <w:p>
      <w:pPr>
        <w:spacing w:line="360" w:lineRule="auto" w:after="0"/>
        <w:ind w:firstLine="425"/>
      </w:pPr>
      <w:r>
        <w:rPr>
          <w:rFonts w:ascii="Times New Roman" w:hAnsi="Times New Roman" w:eastAsia="宋体"/>
          <w:b w:val="0"/>
          <w:i w:val="0"/>
          <w:sz w:val="22"/>
        </w:rPr>
        <w:t>电动汽车的普及使得电力需求响应与交通系统产生耦合。EV的充电需求取决于行驶模式和出行计划，而这些受交通状况、工作安排和天气等因素影响。实时定价通过价格信号影响EV充电的时间和地点，间接影响交通流。</w:t>
      </w:r>
    </w:p>
    <w:p>
      <w:pPr>
        <w:spacing w:line="360" w:lineRule="auto" w:after="0"/>
        <w:ind w:firstLine="425"/>
      </w:pPr>
      <w:r>
        <w:rPr>
          <w:rFonts w:ascii="Times New Roman" w:hAnsi="Times New Roman" w:eastAsia="宋体"/>
          <w:b w:val="0"/>
          <w:i w:val="0"/>
          <w:sz w:val="22"/>
        </w:rPr>
        <w:t>交通-电力耦合需求响应的优化需要同时考虑交通均衡（用户的出行路径选择）和电力均衡（供需平衡和定价）。当实时电价在不同充电站之间存在差异时，EV用户可能改变行驶路线选择低价充电站，影响交通流分布。这种耦合效应在大规模EV普及后可能显著。</w:t>
      </w:r>
    </w:p>
    <w:p>
      <w:pPr>
        <w:pStyle w:val="Heading3"/>
        <w:spacing w:before="160" w:after="60"/>
      </w:pPr>
      <w:r>
        <w:rPr>
          <w:rFonts w:ascii="Times New Roman" w:hAnsi="Times New Roman" w:eastAsia="黑体"/>
          <w:b/>
          <w:i w:val="0"/>
          <w:sz w:val="24"/>
        </w:rPr>
        <w:t>与建筑能源管理的融合</w:t>
      </w:r>
    </w:p>
    <w:p>
      <w:pPr>
        <w:spacing w:line="360" w:lineRule="auto" w:after="0"/>
        <w:ind w:firstLine="425"/>
      </w:pPr>
      <w:r>
        <w:rPr>
          <w:rFonts w:ascii="Times New Roman" w:hAnsi="Times New Roman" w:eastAsia="宋体"/>
          <w:b w:val="0"/>
          <w:i w:val="0"/>
          <w:sz w:val="22"/>
        </w:rPr>
        <w:t>智能建筑能源管理系统（BEMS）可以自动响应实时电价信号，调整建筑空调、照明和设备的运行参数。BEMS利用建筑热惯性作为隐式储能：在低价时段预先制冷/制热到舒适范围的上限/下限，在高价时段减少制冷/制热运行，利用建筑热惯性维持室内温度在舒适范围内。</w:t>
      </w:r>
    </w:p>
    <w:p>
      <w:pPr>
        <w:spacing w:line="360" w:lineRule="auto" w:after="0"/>
        <w:ind w:firstLine="425"/>
      </w:pPr>
      <w:r>
        <w:rPr>
          <w:rFonts w:ascii="Times New Roman" w:hAnsi="Times New Roman" w:eastAsia="宋体"/>
          <w:b w:val="0"/>
          <w:i w:val="0"/>
          <w:sz w:val="22"/>
        </w:rPr>
        <w:t>模型预测控制（MPC）是BEMS响应实时电价的核心算法。MPC在每个控制周期基于建筑热力学模型预测未来室内温度变化，在温度约束下优化HVAC运行计划以最小化用电成本。MPC可以处理建筑热动力学的非线性、室内外温度的时变性和用户舒适度的模糊性。</w:t>
      </w:r>
    </w:p>
    <w:p>
      <w:pPr>
        <w:pStyle w:val="Heading3"/>
        <w:spacing w:before="160" w:after="60"/>
      </w:pPr>
      <w:r>
        <w:rPr>
          <w:rFonts w:ascii="Times New Roman" w:hAnsi="Times New Roman" w:eastAsia="黑体"/>
          <w:b/>
          <w:i w:val="0"/>
          <w:sz w:val="24"/>
        </w:rPr>
        <w:t>需求响应的规模化挑战</w:t>
      </w:r>
    </w:p>
    <w:p>
      <w:pPr>
        <w:spacing w:line="360" w:lineRule="auto" w:after="0"/>
        <w:ind w:firstLine="425"/>
      </w:pPr>
      <w:r>
        <w:rPr>
          <w:rFonts w:ascii="Times New Roman" w:hAnsi="Times New Roman" w:eastAsia="宋体"/>
          <w:b w:val="0"/>
          <w:i w:val="0"/>
          <w:sz w:val="22"/>
        </w:rPr>
        <w:t>从小规模试点到全面部署的规模化过程中，需求响应面临以下挑战：</w:t>
      </w:r>
    </w:p>
    <w:p>
      <w:pPr>
        <w:spacing w:line="360" w:lineRule="auto" w:after="0"/>
        <w:ind w:firstLine="425"/>
      </w:pPr>
      <w:r>
        <w:rPr>
          <w:rFonts w:ascii="Times New Roman" w:hAnsi="Times New Roman" w:eastAsia="宋体"/>
          <w:b w:val="0"/>
          <w:i w:val="0"/>
          <w:sz w:val="22"/>
        </w:rPr>
        <w:t>异质性管理：大规模部署涉及不同类型、不同年龄、不同技术条件的设备，统一控制策略难以适应所有设备。自适应控制方法可以根据设备特性自动调整控制参数，提高控制的适应性。</w:t>
      </w:r>
    </w:p>
    <w:p>
      <w:pPr>
        <w:spacing w:line="360" w:lineRule="auto" w:after="0"/>
        <w:ind w:firstLine="425"/>
      </w:pPr>
      <w:r>
        <w:rPr>
          <w:rFonts w:ascii="Times New Roman" w:hAnsi="Times New Roman" w:eastAsia="宋体"/>
          <w:b w:val="0"/>
          <w:i w:val="0"/>
          <w:sz w:val="22"/>
        </w:rPr>
        <w:t>通信扩展：数百万设备的并发通信对通信网络提出巨大挑战。层次化通信架构通过数据汇聚和压缩减少中心节点的通信量。边缘计算将部分决策下沉到本地，减少通信需求。</w:t>
      </w:r>
    </w:p>
    <w:p>
      <w:pPr>
        <w:spacing w:line="360" w:lineRule="auto" w:after="0"/>
        <w:ind w:firstLine="425"/>
      </w:pPr>
      <w:r>
        <w:rPr>
          <w:rFonts w:ascii="Times New Roman" w:hAnsi="Times New Roman" w:eastAsia="宋体"/>
          <w:b w:val="0"/>
          <w:i w:val="0"/>
          <w:sz w:val="22"/>
        </w:rPr>
        <w:t>故障容忍：大规模系统中设备故障是常态而非例外。系统设计需要假设一定比例的设备在任何时刻不可用，通过冗余和自适应调整保证整体性能。故障检测和隔离机制确保单个设备故障不会影响系统其他部分。</w:t>
      </w:r>
    </w:p>
    <w:p>
      <w:pPr>
        <w:pStyle w:val="Heading2"/>
        <w:spacing w:before="240" w:after="80"/>
      </w:pPr>
      <w:r>
        <w:rPr>
          <w:rFonts w:ascii="Times New Roman" w:hAnsi="Times New Roman" w:eastAsia="黑体"/>
          <w:b/>
          <w:i w:val="0"/>
          <w:sz w:val="28"/>
        </w:rPr>
        <w:t>思考题</w:t>
      </w:r>
    </w:p>
    <w:p>
      <w:pPr>
        <w:pStyle w:val="ListNumber"/>
        <w:spacing w:line="360" w:lineRule="auto" w:after="0"/>
      </w:pPr>
      <w:r>
        <w:rPr>
          <w:rFonts w:ascii="Times New Roman" w:hAnsi="Times New Roman" w:eastAsia="宋体"/>
          <w:b w:val="0"/>
          <w:i w:val="0"/>
          <w:sz w:val="22"/>
        </w:rPr>
        <w:t>试比较二次效用函数与对数效用函数在实时定价建模中的优缺点，并分析在什么场景下应选择哪种效用函数。</w:t>
      </w:r>
    </w:p>
    <w:p>
      <w:pPr>
        <w:pStyle w:val="ListNumber"/>
        <w:spacing w:line="360" w:lineRule="auto" w:after="0"/>
      </w:pPr>
      <w:r>
        <w:rPr>
          <w:rFonts w:ascii="Times New Roman" w:hAnsi="Times New Roman" w:eastAsia="宋体"/>
          <w:b w:val="0"/>
          <w:i w:val="0"/>
          <w:sz w:val="22"/>
        </w:rPr>
        <w:t>给定一个包含3类用户（居民、商业、工业）的智能电网系统，各用户群的效用函数参数不同，如何建立社会福利最大化模型并求解最优实时电价？</w:t>
      </w:r>
    </w:p>
    <w:p>
      <w:pPr>
        <w:pStyle w:val="ListNumber"/>
        <w:spacing w:line="360" w:lineRule="auto" w:after="0"/>
      </w:pPr>
      <w:r>
        <w:rPr>
          <w:rFonts w:ascii="Times New Roman" w:hAnsi="Times New Roman" w:eastAsia="宋体"/>
          <w:b w:val="0"/>
          <w:i w:val="0"/>
          <w:sz w:val="22"/>
        </w:rPr>
        <w:t>分析需求价格弹性在实时定价策略设计中的作用，讨论短期弹性与长期弹性对定价政策的不同影响。</w:t>
      </w:r>
    </w:p>
    <w:p>
      <w:pPr>
        <w:pStyle w:val="ListNumber"/>
        <w:spacing w:line="360" w:lineRule="auto" w:after="0"/>
      </w:pPr>
      <w:r>
        <w:rPr>
          <w:rFonts w:ascii="Times New Roman" w:hAnsi="Times New Roman" w:eastAsia="宋体"/>
          <w:b w:val="0"/>
          <w:i w:val="0"/>
          <w:sz w:val="22"/>
        </w:rPr>
        <w:t>针对用户异质性问题，设计一种基于聚类分析的分群定价方案，并讨论其公平性保障措施。</w:t>
      </w:r>
    </w:p>
    <w:p>
      <w:pPr>
        <w:pStyle w:val="ListNumber"/>
        <w:spacing w:line="360" w:lineRule="auto" w:after="0"/>
      </w:pPr>
      <w:r>
        <w:rPr>
          <w:rFonts w:ascii="Times New Roman" w:hAnsi="Times New Roman" w:eastAsia="宋体"/>
          <w:b w:val="0"/>
          <w:i w:val="0"/>
          <w:sz w:val="22"/>
        </w:rPr>
        <w:t>结合行为经济学中的损失厌恶和现状偏差理论，分析用户对实时电价参与率偏低的原因，并提出改进建议。</w:t>
      </w:r>
    </w:p>
    <w:p>
      <w:pPr>
        <w:pStyle w:val="Heading3"/>
        <w:spacing w:before="160" w:after="60"/>
      </w:pPr>
      <w:r>
        <w:rPr>
          <w:rFonts w:ascii="Times New Roman" w:hAnsi="Times New Roman" w:eastAsia="黑体"/>
          <w:b/>
          <w:i w:val="0"/>
          <w:sz w:val="24"/>
        </w:rPr>
        <w:t>补充讨论</w:t>
      </w:r>
    </w:p>
    <w:p>
      <w:pPr>
        <w:spacing w:line="360" w:lineRule="auto" w:after="0"/>
        <w:ind w:firstLine="425"/>
      </w:pPr>
      <w:r>
        <w:rPr>
          <w:rFonts w:ascii="Times New Roman" w:hAnsi="Times New Roman" w:eastAsia="宋体"/>
          <w:b w:val="0"/>
          <w:i w:val="0"/>
          <w:sz w:val="22"/>
        </w:rPr>
        <w:t>此外，Wilson R. Nonlinear Pricing[M]. Oxford University Press, 1993.。这些研究为本章的理论框架提供了重要的方法论支撑</w:t>
      </w:r>
      <w:r>
        <w:rPr>
          <w:rFonts w:ascii="Times New Roman" w:hAnsi="Times New Roman" w:eastAsia="Times New Roman"/>
          <w:b w:val="0"/>
          <w:i w:val="0"/>
          <w:sz w:val="18"/>
          <w:vertAlign w:val="superscript"/>
        </w:rPr>
        <w:t>[12]</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此外，Samadi P, Mohsenian-Rad A H, Schober R, et al. Advanced demand side management for the future smart 。这些研究为本章的理论框架提供了重要的方法论支撑</w:t>
      </w:r>
      <w:r>
        <w:rPr>
          <w:rFonts w:ascii="Times New Roman" w:hAnsi="Times New Roman" w:eastAsia="Times New Roman"/>
          <w:b w:val="0"/>
          <w:i w:val="0"/>
          <w:sz w:val="18"/>
          <w:vertAlign w:val="superscript"/>
        </w:rPr>
        <w:t>[13]</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此外，Li N, Chen L, Low S H. Optimal demand response based on utility maximization in power networks[J]. I。这些研究为本章的理论框架提供了重要的方法论支撑</w:t>
      </w:r>
      <w:r>
        <w:rPr>
          <w:rFonts w:ascii="Times New Roman" w:hAnsi="Times New Roman" w:eastAsia="Times New Roman"/>
          <w:b w:val="0"/>
          <w:i w:val="0"/>
          <w:sz w:val="18"/>
          <w:vertAlign w:val="superscript"/>
        </w:rPr>
        <w:t>[14]</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此外，马铃铃, 高岩, 朱红波. 基于多类用户的需求响应实时定价策略[J]. 电力系统保护与控制, 2020, 48(10): 102-109.。这些研究为本章的理论框架提供了重要的方法论支撑</w:t>
      </w:r>
      <w:r>
        <w:rPr>
          <w:rFonts w:ascii="Times New Roman" w:hAnsi="Times New Roman" w:eastAsia="Times New Roman"/>
          <w:b w:val="0"/>
          <w:i w:val="0"/>
          <w:sz w:val="18"/>
          <w:vertAlign w:val="superscript"/>
        </w:rPr>
        <w:t>[15]</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4.6.1 效用函数参数估计方法</w:t>
      </w:r>
    </w:p>
    <w:p>
      <w:pPr>
        <w:spacing w:line="360" w:lineRule="auto" w:after="0"/>
        <w:ind w:firstLine="425"/>
      </w:pPr>
      <w:r>
        <w:rPr>
          <w:rFonts w:ascii="Times New Roman" w:hAnsi="Times New Roman" w:eastAsia="宋体"/>
          <w:b w:val="0"/>
          <w:i w:val="0"/>
          <w:sz w:val="22"/>
        </w:rPr>
        <w:t>效用函数的参数估计是实时定价建模的关键环节。参数估计的准确性直接影响定价策略的有效性。常用的参数估计方法包括以下几类。</w:t>
      </w:r>
    </w:p>
    <w:p>
      <w:pPr>
        <w:spacing w:line="360" w:lineRule="auto" w:after="0"/>
        <w:ind w:firstLine="425"/>
      </w:pPr>
      <w:r>
        <w:rPr>
          <w:rFonts w:ascii="Times New Roman" w:hAnsi="Times New Roman" w:eastAsia="宋体"/>
          <w:b/>
          <w:i w:val="0"/>
          <w:sz w:val="22"/>
        </w:rPr>
        <w:t>直接调查法</w:t>
      </w:r>
      <w:r>
        <w:rPr>
          <w:rFonts w:ascii="Times New Roman" w:hAnsi="Times New Roman" w:eastAsia="宋体"/>
          <w:b w:val="0"/>
          <w:i w:val="0"/>
          <w:sz w:val="22"/>
        </w:rPr>
        <w:t>：通过问卷调查或实验经济学方法直接获取用户的偏好参数。设计不同价格场景下的用电选择实验，通过离散选择模型估计效用函数参数。这种方法的优点是概念清晰，缺点是实验环境与真实市场存在差异，估计偏差较大。</w:t>
      </w:r>
    </w:p>
    <w:p>
      <w:pPr>
        <w:spacing w:line="360" w:lineRule="auto" w:after="0"/>
        <w:ind w:firstLine="425"/>
      </w:pPr>
      <w:r>
        <w:rPr>
          <w:rFonts w:ascii="Times New Roman" w:hAnsi="Times New Roman" w:eastAsia="宋体"/>
          <w:b/>
          <w:i w:val="0"/>
          <w:sz w:val="22"/>
        </w:rPr>
        <w:t>历史数据分析法</w:t>
      </w:r>
      <w:r>
        <w:rPr>
          <w:rFonts w:ascii="Times New Roman" w:hAnsi="Times New Roman" w:eastAsia="宋体"/>
          <w:b w:val="0"/>
          <w:i w:val="0"/>
          <w:sz w:val="22"/>
        </w:rPr>
        <w:t>：利用智能电表记录的用户历史用电数据，结合历史电价信息，通过回归分析或机器学习方法估计效用函数参数。线性回归适用于简单效用函数（如二次效用函数），非线性优化方法用于复杂效用函数。这种方法需要足够长的历史数据（通常至少1年）和足够的价格变化幅度。</w:t>
      </w:r>
    </w:p>
    <w:p>
      <w:pPr>
        <w:spacing w:line="360" w:lineRule="auto" w:after="0"/>
        <w:ind w:firstLine="425"/>
      </w:pPr>
      <w:r>
        <w:rPr>
          <w:rFonts w:ascii="Times New Roman" w:hAnsi="Times New Roman" w:eastAsia="宋体"/>
          <w:b/>
          <w:i w:val="0"/>
          <w:sz w:val="22"/>
        </w:rPr>
        <w:t>实验设计法</w:t>
      </w:r>
      <w:r>
        <w:rPr>
          <w:rFonts w:ascii="Times New Roman" w:hAnsi="Times New Roman" w:eastAsia="宋体"/>
          <w:b w:val="0"/>
          <w:i w:val="0"/>
          <w:sz w:val="22"/>
        </w:rPr>
        <w:t>：在控制条件下改变电价水平，观察用户响应行为，从而估计参数。这种方法比纯观察性研究更有效，但实施成本较高。爱尔兰CER的需求响应随机对照试验（2010-2012）是该方法的成功案例——5000+用户被随机分配到不同定价方案组，通过对比分析精确估计了不同用户群体需求价格弹性。</w:t>
      </w:r>
    </w:p>
    <w:p>
      <w:pPr>
        <w:spacing w:line="360" w:lineRule="auto" w:after="0"/>
        <w:ind w:firstLine="425"/>
      </w:pPr>
      <w:r>
        <w:rPr>
          <w:rFonts w:ascii="Times New Roman" w:hAnsi="Times New Roman" w:eastAsia="宋体"/>
          <w:b/>
          <w:i w:val="0"/>
          <w:sz w:val="22"/>
        </w:rPr>
        <w:t>贝叶斯估计法</w:t>
      </w:r>
      <w:r>
        <w:rPr>
          <w:rFonts w:ascii="Times New Roman" w:hAnsi="Times New Roman" w:eastAsia="宋体"/>
          <w:b w:val="0"/>
          <w:i w:val="0"/>
          <w:sz w:val="22"/>
        </w:rPr>
        <w:t>：将先验信息（如类似用户的参数分布）与观测数据结合，通过贝叶斯更新获得后验分布。贝叶斯方法的优点是可以处理小样本数据，且能提供参数估计的不确定性信息。在实时定价中，参数的不确定性可通过鲁棒优化或随机规划方法纳入定价决策。</w:t>
      </w:r>
    </w:p>
    <w:p>
      <w:pPr>
        <w:pStyle w:val="Heading3"/>
        <w:spacing w:before="160" w:after="60"/>
      </w:pPr>
      <w:r>
        <w:rPr>
          <w:rFonts w:ascii="Times New Roman" w:hAnsi="Times New Roman" w:eastAsia="黑体"/>
          <w:b/>
          <w:i w:val="0"/>
          <w:sz w:val="24"/>
        </w:rPr>
        <w:t>4.6.2 多维效用函数的扩展</w:t>
      </w:r>
    </w:p>
    <w:p>
      <w:pPr>
        <w:spacing w:line="360" w:lineRule="auto" w:after="0"/>
        <w:ind w:firstLine="425"/>
      </w:pPr>
      <w:r>
        <w:rPr>
          <w:rFonts w:ascii="Times New Roman" w:hAnsi="Times New Roman" w:eastAsia="宋体"/>
          <w:b w:val="0"/>
          <w:i w:val="0"/>
          <w:sz w:val="22"/>
        </w:rPr>
        <w:t>传统效用函数仅考虑用电量一个维度，多维效用函数将其扩展到多个维度。常见的扩展包括以下几种。</w:t>
      </w:r>
    </w:p>
    <w:p>
      <w:pPr>
        <w:spacing w:line="360" w:lineRule="auto" w:after="0"/>
        <w:ind w:firstLine="425"/>
      </w:pPr>
      <w:r>
        <w:rPr>
          <w:rFonts w:ascii="Times New Roman" w:hAnsi="Times New Roman" w:eastAsia="宋体"/>
          <w:b/>
          <w:i w:val="0"/>
          <w:sz w:val="22"/>
        </w:rPr>
        <w:t>时间维度</w:t>
      </w:r>
      <w:r>
        <w:rPr>
          <w:rFonts w:ascii="Times New Roman" w:hAnsi="Times New Roman" w:eastAsia="宋体"/>
          <w:b w:val="0"/>
          <w:i w:val="0"/>
          <w:sz w:val="22"/>
        </w:rPr>
        <w:t>：U_i(x_i, t) = Σ_t U_i(x_i(t), t)，其中不同时段的效用可能不同。例如，用户在高峰时段的用电刚性高于低谷时段。时间维度效用函数可以更精确地描述用户的时间偏好。</w:t>
      </w:r>
    </w:p>
    <w:p>
      <w:pPr>
        <w:spacing w:line="360" w:lineRule="auto" w:after="0"/>
        <w:ind w:firstLine="425"/>
      </w:pPr>
      <w:r>
        <w:rPr>
          <w:rFonts w:ascii="Times New Roman" w:hAnsi="Times New Roman" w:eastAsia="宋体"/>
          <w:b/>
          <w:i w:val="0"/>
          <w:sz w:val="22"/>
        </w:rPr>
        <w:t>质量维度</w:t>
      </w:r>
      <w:r>
        <w:rPr>
          <w:rFonts w:ascii="Times New Roman" w:hAnsi="Times New Roman" w:eastAsia="宋体"/>
          <w:b w:val="0"/>
          <w:i w:val="0"/>
          <w:sz w:val="22"/>
        </w:rPr>
        <w:t>：U_i(x_i, q) = U_i(x_i) + V(q)，其中q代表供电质量（如电压稳定性、供电可靠性）。用户对供电质量有不同偏好，高可靠性需求的用户愿意支付更高的价格。</w:t>
      </w:r>
    </w:p>
    <w:p>
      <w:pPr>
        <w:spacing w:line="360" w:lineRule="auto" w:after="0"/>
        <w:ind w:firstLine="425"/>
      </w:pPr>
      <w:r>
        <w:rPr>
          <w:rFonts w:ascii="Times New Roman" w:hAnsi="Times New Roman" w:eastAsia="宋体"/>
          <w:b/>
          <w:i w:val="0"/>
          <w:sz w:val="22"/>
        </w:rPr>
        <w:t>不确定性维度</w:t>
      </w:r>
      <w:r>
        <w:rPr>
          <w:rFonts w:ascii="Times New Roman" w:hAnsi="Times New Roman" w:eastAsia="宋体"/>
          <w:b w:val="0"/>
          <w:i w:val="0"/>
          <w:sz w:val="22"/>
        </w:rPr>
        <w:t>：U_i(x_i, σ) = E[U_i(x_i)] - ρ·σ，其中σ为用电不确定性，ρ为风险厌恶系数。不确定性维度的引入使效用函数能够描述用户的风险偏好。</w:t>
      </w:r>
    </w:p>
    <w:p>
      <w:pPr>
        <w:spacing w:line="360" w:lineRule="auto" w:after="0"/>
        <w:ind w:firstLine="425"/>
      </w:pPr>
      <w:r>
        <w:rPr>
          <w:rFonts w:ascii="Times New Roman" w:hAnsi="Times New Roman" w:eastAsia="宋体"/>
          <w:b/>
          <w:i w:val="0"/>
          <w:sz w:val="22"/>
        </w:rPr>
        <w:t>耦合维度</w:t>
      </w:r>
      <w:r>
        <w:rPr>
          <w:rFonts w:ascii="Times New Roman" w:hAnsi="Times New Roman" w:eastAsia="宋体"/>
          <w:b w:val="0"/>
          <w:i w:val="0"/>
          <w:sz w:val="22"/>
        </w:rPr>
        <w:t>：在综合能源系统中，用户同时消费电力、天然气和热力，各能源类型之间存在替代和互补关系。U_i(x_i^e, x_i^g, x_i^h) = U_e(x_i^e) + U_g(x_i^g) + U_h(x_i^h) + U_c(x_i^e, x_i^g, x_i^h)，其中U_c描述能源间的耦合效用。</w:t>
      </w:r>
    </w:p>
    <w:p>
      <w:pPr>
        <w:pStyle w:val="Heading3"/>
        <w:spacing w:before="160" w:after="60"/>
      </w:pPr>
      <w:r>
        <w:rPr>
          <w:rFonts w:ascii="Times New Roman" w:hAnsi="Times New Roman" w:eastAsia="黑体"/>
          <w:b/>
          <w:i w:val="0"/>
          <w:sz w:val="24"/>
        </w:rPr>
        <w:t>4.6.3 效用函数的季节性变化</w:t>
      </w:r>
    </w:p>
    <w:p>
      <w:pPr>
        <w:spacing w:line="360" w:lineRule="auto" w:after="0"/>
        <w:ind w:firstLine="425"/>
      </w:pPr>
      <w:r>
        <w:rPr>
          <w:rFonts w:ascii="Times New Roman" w:hAnsi="Times New Roman" w:eastAsia="宋体"/>
          <w:b w:val="0"/>
          <w:i w:val="0"/>
          <w:sz w:val="22"/>
        </w:rPr>
        <w:t>用户的用电偏好存在显著的季节性变化。在夏季，空调负荷占比较大，用户对电价的敏感性在午后高温时段最高；在冬季，采暖负荷占比较大，敏感性在夜间低温时段最高。将季节性因素纳入效用函数可以提高定价策略的精度。</w:t>
      </w:r>
    </w:p>
    <w:p>
      <w:pPr>
        <w:spacing w:line="360" w:lineRule="auto" w:after="0"/>
        <w:ind w:firstLine="425"/>
      </w:pPr>
      <w:r>
        <w:rPr>
          <w:rFonts w:ascii="Times New Roman" w:hAnsi="Times New Roman" w:eastAsia="宋体"/>
          <w:b w:val="0"/>
          <w:i w:val="0"/>
          <w:sz w:val="22"/>
        </w:rPr>
        <w:t>季节性效用函数的一般形式为U_i(x_i, s) = a_i(s)·x_i - (b_i(s)/2)·x_i^2，其中s表示季节或气象状态。参数a_i(s)和b_i(s)随季节变化——夏季的a_i通常较高（用户对电力的支付意愿更高），冬季的b_i可能较低（边际效用递减更快）。</w:t>
      </w:r>
    </w:p>
    <w:p>
      <w:pPr>
        <w:spacing w:line="360" w:lineRule="auto" w:after="0"/>
        <w:ind w:firstLine="425"/>
      </w:pPr>
      <w:r>
        <w:rPr>
          <w:rFonts w:ascii="Times New Roman" w:hAnsi="Times New Roman" w:eastAsia="宋体"/>
          <w:b w:val="0"/>
          <w:i w:val="0"/>
          <w:sz w:val="22"/>
        </w:rPr>
        <w:t>参数的季节性变化可通过以下方法估计。气象回归法将a_i和b_i表示为温度的函数，如a_i(s) = α_0 + α_1·T + α_2·T^2，其中T为温度。聚类分析法将全年分为若干个典型日（如工作日/休息日×高温/适温/低温），每个典型日对应一组参数。机器学习方法（如随机森林或神经网络）可直接从历史数据中学习参数与气象变量的非线性关系。</w:t>
      </w:r>
    </w:p>
    <w:p>
      <w:pPr>
        <w:spacing w:line="360" w:lineRule="auto" w:after="0"/>
        <w:ind w:firstLine="425"/>
      </w:pPr>
      <w:r>
        <w:rPr>
          <w:rFonts w:ascii="Times New Roman" w:hAnsi="Times New Roman" w:eastAsia="宋体"/>
          <w:b w:val="0"/>
          <w:i w:val="0"/>
          <w:sz w:val="22"/>
        </w:rPr>
        <w:t>季节性效用函数的引入使定价策略能够自适应季节变化。例如，在夏季高温日，系统可以提高午后时段的电价以激励空调负荷削减；在冬季低温日，可以提高夜间时段的电价以激励采暖负荷转移。</w:t>
      </w:r>
    </w:p>
    <w:p>
      <w:pPr>
        <w:pStyle w:val="Heading2"/>
        <w:spacing w:before="240" w:after="80"/>
      </w:pPr>
      <w:r>
        <w:rPr>
          <w:rFonts w:ascii="Times New Roman" w:hAnsi="Times New Roman" w:eastAsia="黑体"/>
          <w:b/>
          <w:i w:val="0"/>
          <w:sz w:val="28"/>
        </w:rPr>
        <w:t>参考文献</w:t>
      </w:r>
    </w:p>
    <w:p>
      <w:pPr>
        <w:spacing w:after="40" w:line="276" w:lineRule="auto"/>
        <w:ind w:left="425" w:hanging="425"/>
      </w:pPr>
      <w:r>
        <w:rPr>
          <w:rFonts w:ascii="Times New Roman" w:hAnsi="Times New Roman" w:eastAsia="宋体"/>
          <w:b w:val="0"/>
          <w:i w:val="0"/>
          <w:sz w:val="20"/>
        </w:rPr>
        <w:t>[1] 许志宏, 高岩, 朱红波, 陶莉. 基于分片线性效用函数的实时电价定价策略[J]. 电力系统自动化, 2018, 42(15): 78-85.</w:t>
      </w:r>
    </w:p>
    <w:p>
      <w:pPr>
        <w:spacing w:after="40" w:line="276" w:lineRule="auto"/>
        <w:ind w:left="425" w:hanging="425"/>
      </w:pPr>
      <w:r>
        <w:rPr>
          <w:rFonts w:ascii="Times New Roman" w:hAnsi="Times New Roman" w:eastAsia="宋体"/>
          <w:b w:val="0"/>
          <w:i w:val="0"/>
          <w:sz w:val="20"/>
        </w:rPr>
        <w:t>[2] Mas-Colell A, Whinston M D, Green J R. Microeconomic Theory[M]. Oxford University Press, 1995.</w:t>
      </w:r>
    </w:p>
    <w:p>
      <w:pPr>
        <w:spacing w:after="40" w:line="276" w:lineRule="auto"/>
        <w:ind w:left="425" w:hanging="425"/>
      </w:pPr>
      <w:r>
        <w:rPr>
          <w:rFonts w:ascii="Times New Roman" w:hAnsi="Times New Roman" w:eastAsia="宋体"/>
          <w:b w:val="0"/>
          <w:i w:val="0"/>
          <w:sz w:val="20"/>
        </w:rPr>
        <w:t>[3] 李军祥. 基于供需函数特征解析的电网实时定价智能优化算法[J]. 计算机应用研究, 2020, 37(8): 2341-2347.</w:t>
      </w:r>
    </w:p>
    <w:p>
      <w:pPr>
        <w:spacing w:after="40" w:line="276" w:lineRule="auto"/>
        <w:ind w:left="425" w:hanging="425"/>
      </w:pPr>
      <w:r>
        <w:rPr>
          <w:rFonts w:ascii="Times New Roman" w:hAnsi="Times New Roman" w:eastAsia="宋体"/>
          <w:b w:val="0"/>
          <w:i w:val="0"/>
          <w:sz w:val="20"/>
        </w:rPr>
        <w:t>[4] 代业明, 等. 具有电力需求预测更新的智能电网实时定价机制[J]. 电力系统保护与控制, 2018, 46(6): 28-35.</w:t>
      </w:r>
    </w:p>
    <w:p>
      <w:pPr>
        <w:spacing w:after="40" w:line="276" w:lineRule="auto"/>
        <w:ind w:left="425" w:hanging="425"/>
      </w:pPr>
      <w:r>
        <w:rPr>
          <w:rFonts w:ascii="Times New Roman" w:hAnsi="Times New Roman" w:eastAsia="宋体"/>
          <w:b w:val="0"/>
          <w:i w:val="0"/>
          <w:sz w:val="20"/>
        </w:rPr>
        <w:t>[5] Samadi P, Mohsenian-Rad A H, Schober R, et al. Optimal Real-Time Pricing Algorithm Based on Utility Maximization for Smart Grid[C]. IEEE SmartGridComm, 2010: 415-420.</w:t>
      </w:r>
    </w:p>
    <w:p>
      <w:pPr>
        <w:spacing w:after="40" w:line="276" w:lineRule="auto"/>
        <w:ind w:left="425" w:hanging="425"/>
      </w:pPr>
      <w:r>
        <w:rPr>
          <w:rFonts w:ascii="Times New Roman" w:hAnsi="Times New Roman" w:eastAsia="宋体"/>
          <w:b w:val="0"/>
          <w:i w:val="0"/>
          <w:sz w:val="20"/>
        </w:rPr>
        <w:t>[6] Meng F, Zeng X. An Optimal Real-time Pricing Algorithm for the Smart Grid: A Bi-level Programming Approach[C]. ICCSW, 2013: 81-86.</w:t>
      </w:r>
    </w:p>
    <w:p>
      <w:pPr>
        <w:spacing w:after="40" w:line="276" w:lineRule="auto"/>
        <w:ind w:left="425" w:hanging="425"/>
      </w:pPr>
      <w:r>
        <w:rPr>
          <w:rFonts w:ascii="Times New Roman" w:hAnsi="Times New Roman" w:eastAsia="宋体"/>
          <w:b w:val="0"/>
          <w:i w:val="0"/>
          <w:sz w:val="20"/>
        </w:rPr>
        <w:t>[7] 张莉, 高岩, 朱红波. 具有时间耦合约束的多时段智能电网实时电价[J]. 电力系统自动化, 2019, 43(10): 58-65.</w:t>
      </w:r>
    </w:p>
    <w:p>
      <w:pPr>
        <w:spacing w:after="40" w:line="276" w:lineRule="auto"/>
        <w:ind w:left="425" w:hanging="425"/>
      </w:pPr>
      <w:r>
        <w:rPr>
          <w:rFonts w:ascii="Times New Roman" w:hAnsi="Times New Roman" w:eastAsia="宋体"/>
          <w:b w:val="0"/>
          <w:i w:val="0"/>
          <w:sz w:val="20"/>
        </w:rPr>
        <w:t>[8] 李军祥, 高岩, 朱红波. 基于用户电器分类的智能电网实时定价研究[J]. 电力系统保护与控制, 2019, 47(8): 28-35.</w:t>
      </w:r>
    </w:p>
    <w:p>
      <w:pPr>
        <w:spacing w:after="40" w:line="276" w:lineRule="auto"/>
        <w:ind w:left="425" w:hanging="425"/>
      </w:pPr>
      <w:r>
        <w:rPr>
          <w:rFonts w:ascii="Times New Roman" w:hAnsi="Times New Roman" w:eastAsia="宋体"/>
          <w:b w:val="0"/>
          <w:i w:val="0"/>
          <w:sz w:val="20"/>
        </w:rPr>
        <w:t>[9] 高岩, 等. 非递减边际效用实时电价研究[J]. 系统工程理论与实践, 2018, 38(3): 672-680.</w:t>
      </w:r>
    </w:p>
    <w:p>
      <w:pPr>
        <w:spacing w:after="40" w:line="276" w:lineRule="auto"/>
        <w:ind w:left="425" w:hanging="425"/>
      </w:pPr>
      <w:r>
        <w:rPr>
          <w:rFonts w:ascii="Times New Roman" w:hAnsi="Times New Roman" w:eastAsia="宋体"/>
          <w:b w:val="0"/>
          <w:i w:val="0"/>
          <w:sz w:val="20"/>
        </w:rPr>
        <w:t>[10] 张等. 求解非光滑优化问题的改进大洪水算法[J]. 系统工程理论与实践, 2016, 36(5): 1280-1288.</w:t>
      </w:r>
    </w:p>
    <w:p>
      <w:pPr>
        <w:spacing w:after="40" w:line="276" w:lineRule="auto"/>
        <w:ind w:left="425" w:hanging="425"/>
      </w:pPr>
      <w:r>
        <w:rPr>
          <w:rFonts w:ascii="Times New Roman" w:hAnsi="Times New Roman" w:eastAsia="宋体"/>
          <w:b w:val="0"/>
          <w:i w:val="0"/>
          <w:sz w:val="20"/>
        </w:rPr>
        <w:t>[11] 张, 高. 基于CVaR投资组合优化问题的非光滑优化方法[J]. 系统工程理论与实践, 2017, 37(4): 987-995.</w:t>
      </w:r>
    </w:p>
    <w:p>
      <w:pPr>
        <w:spacing w:after="40" w:line="276" w:lineRule="auto"/>
        <w:ind w:left="425" w:hanging="425"/>
      </w:pPr>
      <w:r>
        <w:rPr>
          <w:rFonts w:ascii="Times New Roman" w:hAnsi="Times New Roman" w:eastAsia="宋体"/>
          <w:b w:val="0"/>
          <w:i w:val="0"/>
          <w:sz w:val="20"/>
        </w:rPr>
        <w:t>[12] Wilson R. Nonlinear Pricing[M]. Oxford University Press, 1993.</w:t>
      </w:r>
    </w:p>
    <w:p>
      <w:pPr>
        <w:spacing w:after="40" w:line="276" w:lineRule="auto"/>
        <w:ind w:left="425" w:hanging="425"/>
      </w:pPr>
      <w:r>
        <w:rPr>
          <w:rFonts w:ascii="Times New Roman" w:hAnsi="Times New Roman" w:eastAsia="宋体"/>
          <w:b w:val="0"/>
          <w:i w:val="0"/>
          <w:sz w:val="20"/>
        </w:rPr>
        <w:t>[13] Samadi P, Mohsenian-Rad A H, Schober R, et al. Advanced demand side management for the future smart grid using mechanism theory[J]. IEEE Transactions on Smart Grid, 2012, 3(3): 1170-1180.</w:t>
      </w:r>
    </w:p>
    <w:p>
      <w:pPr>
        <w:spacing w:after="40" w:line="276" w:lineRule="auto"/>
        <w:ind w:left="425" w:hanging="425"/>
      </w:pPr>
      <w:r>
        <w:rPr>
          <w:rFonts w:ascii="Times New Roman" w:hAnsi="Times New Roman" w:eastAsia="宋体"/>
          <w:b w:val="0"/>
          <w:i w:val="0"/>
          <w:sz w:val="20"/>
        </w:rPr>
        <w:t>[14] Li N, Chen L, Low S H. Optimal demand response based on utility maximization in power networks[J]. IEEE Power and Energy Society General Meeting, 2011.</w:t>
      </w:r>
    </w:p>
    <w:p>
      <w:pPr>
        <w:spacing w:after="40" w:line="276" w:lineRule="auto"/>
        <w:ind w:left="425" w:hanging="425"/>
      </w:pPr>
      <w:r>
        <w:rPr>
          <w:rFonts w:ascii="Times New Roman" w:hAnsi="Times New Roman" w:eastAsia="宋体"/>
          <w:b w:val="0"/>
          <w:i w:val="0"/>
          <w:sz w:val="20"/>
        </w:rPr>
        <w:t>[15] 马铃铃, 高岩, 朱红波. 基于多类用户的需求响应实时定价策略[J]. 电力系统保护与控制, 2020, 48(10): 102-109.</w:t>
      </w:r>
    </w:p>
    <w:p>
      <w:pPr>
        <w:jc w:val="center"/>
      </w:pPr>
      <w:r>
        <w:drawing>
          <wp:inline xmlns:a="http://schemas.openxmlformats.org/drawingml/2006/main" xmlns:pic="http://schemas.openxmlformats.org/drawingml/2006/picture">
            <wp:extent cx="5029200" cy="3108266"/>
            <wp:docPr id="3" name="Picture 3"/>
            <wp:cNvGraphicFramePr>
              <a:graphicFrameLocks noChangeAspect="1"/>
            </wp:cNvGraphicFramePr>
            <a:graphic>
              <a:graphicData uri="http://schemas.openxmlformats.org/drawingml/2006/picture">
                <pic:pic>
                  <pic:nvPicPr>
                    <pic:cNvPr id="0" name="03_utility_functions.png"/>
                    <pic:cNvPicPr/>
                  </pic:nvPicPr>
                  <pic:blipFill>
                    <a:blip r:embed="rId11"/>
                    <a:stretch>
                      <a:fillRect/>
                    </a:stretch>
                  </pic:blipFill>
                  <pic:spPr>
                    <a:xfrm>
                      <a:off x="0" y="0"/>
                      <a:ext cx="5029200" cy="3108266"/>
                    </a:xfrm>
                    <a:prstGeom prst="rect"/>
                  </pic:spPr>
                </pic:pic>
              </a:graphicData>
            </a:graphic>
          </wp:inline>
        </w:drawing>
      </w:r>
    </w:p>
    <w:p>
      <w:pPr>
        <w:jc w:val="center"/>
      </w:pPr>
      <w:r>
        <w:rPr>
          <w:rFonts w:ascii="Times New Roman" w:hAnsi="Times New Roman" w:eastAsia="黑体"/>
          <w:b/>
          <w:i w:val="0"/>
          <w:color w:val="606060"/>
          <w:sz w:val="20"/>
        </w:rPr>
        <w:t>图3 不同效用函数对比</w:t>
      </w:r>
    </w:p>
    <w:p>
      <w:r>
        <w:br w:type="page"/>
      </w:r>
    </w:p>
    <w:p>
      <w:pPr>
        <w:pStyle w:val="Heading1"/>
        <w:spacing w:before="360" w:after="120"/>
      </w:pPr>
      <w:r>
        <w:rPr>
          <w:rFonts w:ascii="Times New Roman" w:hAnsi="Times New Roman" w:eastAsia="黑体"/>
          <w:b/>
          <w:i w:val="0"/>
          <w:sz w:val="32"/>
        </w:rPr>
        <w:t>第5章 互补问题与非光滑方程方法</w:t>
      </w:r>
    </w:p>
    <w:p>
      <w:pPr>
        <w:pStyle w:val="Heading2"/>
        <w:spacing w:before="240" w:after="80"/>
      </w:pPr>
      <w:r>
        <w:rPr>
          <w:rFonts w:ascii="Times New Roman" w:hAnsi="Times New Roman" w:eastAsia="黑体"/>
          <w:b/>
          <w:i w:val="0"/>
          <w:sz w:val="28"/>
        </w:rPr>
        <w:t>学习目标</w:t>
      </w:r>
    </w:p>
    <w:p>
      <w:pPr>
        <w:pStyle w:val="ListBullet"/>
        <w:spacing w:line="360" w:lineRule="auto" w:after="0"/>
      </w:pPr>
      <w:r>
        <w:rPr>
          <w:rFonts w:ascii="Times New Roman" w:hAnsi="Times New Roman" w:eastAsia="宋体"/>
          <w:b w:val="0"/>
          <w:i w:val="0"/>
          <w:sz w:val="22"/>
        </w:rPr>
        <w:t>理解互补问题的数学基础及其与实时定价的联系</w:t>
      </w:r>
    </w:p>
    <w:p>
      <w:pPr>
        <w:pStyle w:val="ListBullet"/>
        <w:spacing w:line="360" w:lineRule="auto" w:after="0"/>
      </w:pPr>
      <w:r>
        <w:rPr>
          <w:rFonts w:ascii="Times New Roman" w:hAnsi="Times New Roman" w:eastAsia="宋体"/>
          <w:b w:val="0"/>
          <w:i w:val="0"/>
          <w:sz w:val="22"/>
        </w:rPr>
        <w:t>掌握KKT条件与互补关系的转化方法</w:t>
      </w:r>
    </w:p>
    <w:p>
      <w:pPr>
        <w:pStyle w:val="ListBullet"/>
        <w:spacing w:line="360" w:lineRule="auto" w:after="0"/>
      </w:pPr>
      <w:r>
        <w:rPr>
          <w:rFonts w:ascii="Times New Roman" w:hAnsi="Times New Roman" w:eastAsia="宋体"/>
          <w:b w:val="0"/>
          <w:i w:val="0"/>
          <w:sz w:val="22"/>
        </w:rPr>
        <w:t>深入了解非线性互补函数和光滑化逼近方法</w:t>
      </w:r>
    </w:p>
    <w:p>
      <w:pPr>
        <w:pStyle w:val="ListBullet"/>
        <w:spacing w:line="360" w:lineRule="auto" w:after="0"/>
      </w:pPr>
      <w:r>
        <w:rPr>
          <w:rFonts w:ascii="Times New Roman" w:hAnsi="Times New Roman" w:eastAsia="宋体"/>
          <w:b w:val="0"/>
          <w:i w:val="0"/>
          <w:sz w:val="22"/>
        </w:rPr>
        <w:t>掌握光滑牛顿算法和分布式非光滑方程求解方法</w:t>
      </w:r>
    </w:p>
    <w:p>
      <w:pPr>
        <w:pStyle w:val="Heading2"/>
        <w:spacing w:before="240" w:after="80"/>
      </w:pPr>
      <w:r>
        <w:rPr>
          <w:rFonts w:ascii="Times New Roman" w:hAnsi="Times New Roman" w:eastAsia="黑体"/>
          <w:b/>
          <w:i w:val="0"/>
          <w:sz w:val="28"/>
        </w:rPr>
        <w:t>导入案例：从KKT条件到非光滑方程</w:t>
      </w:r>
    </w:p>
    <w:p>
      <w:pPr>
        <w:spacing w:line="360" w:lineRule="auto" w:after="0"/>
        <w:ind w:firstLine="425"/>
      </w:pPr>
      <w:r>
        <w:rPr>
          <w:rFonts w:ascii="Times New Roman" w:hAnsi="Times New Roman" w:eastAsia="宋体"/>
          <w:b w:val="0"/>
          <w:i w:val="0"/>
          <w:sz w:val="22"/>
        </w:rPr>
        <w:t>在智能电网实时定价中，社会福利最大化问题的最优解满足KKT条件。然而，KKT条件中包含互补约束（如x ≥ 0, λ ≥ 0, x · λ = 0），这些约束构成互补问题。当用非线性互补函数将互补问题转化为方程组时，方程组通常是非光滑的，传统牛顿法等基于梯度的算法无法直接应用。高岩团队创新性地采用光滑化逼近方法，将非光滑方程转化为可微方程，从而实现了高效求解</w:t>
      </w:r>
      <w:r>
        <w:rPr>
          <w:rFonts w:ascii="Times New Roman" w:hAnsi="Times New Roman" w:eastAsia="Times New Roman"/>
          <w:b w:val="0"/>
          <w:i w:val="0"/>
          <w:sz w:val="18"/>
          <w:vertAlign w:val="superscript"/>
        </w:rPr>
        <w:t>[1]</w:t>
      </w:r>
      <w:r>
        <w:rPr>
          <w:rFonts w:ascii="Times New Roman" w:hAnsi="Times New Roman" w:eastAsia="宋体"/>
          <w:b w:val="0"/>
          <w:i w:val="0"/>
          <w:sz w:val="22"/>
        </w:rPr>
        <w:t>。</w:t>
      </w:r>
    </w:p>
    <w:p>
      <w:pPr>
        <w:pStyle w:val="Heading2"/>
        <w:spacing w:before="240" w:after="80"/>
      </w:pPr>
      <w:r>
        <w:rPr>
          <w:rFonts w:ascii="Times New Roman" w:hAnsi="Times New Roman" w:eastAsia="黑体"/>
          <w:b/>
          <w:i w:val="0"/>
          <w:sz w:val="28"/>
        </w:rPr>
        <w:t>5.1 互补问题的数学基础</w:t>
      </w:r>
    </w:p>
    <w:p>
      <w:pPr>
        <w:pStyle w:val="Heading3"/>
        <w:spacing w:before="160" w:after="60"/>
      </w:pPr>
      <w:r>
        <w:rPr>
          <w:rFonts w:ascii="Times New Roman" w:hAnsi="Times New Roman" w:eastAsia="黑体"/>
          <w:b/>
          <w:i w:val="0"/>
          <w:sz w:val="24"/>
        </w:rPr>
        <w:t>5.1.1 互补问题的定义</w:t>
      </w:r>
    </w:p>
    <w:p>
      <w:pPr>
        <w:spacing w:line="360" w:lineRule="auto" w:after="0"/>
        <w:ind w:firstLine="425"/>
      </w:pPr>
      <w:r>
        <w:rPr>
          <w:rFonts w:ascii="Times New Roman" w:hAnsi="Times New Roman" w:eastAsia="宋体"/>
          <w:b w:val="0"/>
          <w:i w:val="0"/>
          <w:sz w:val="22"/>
        </w:rPr>
        <w:t>互补问题（Complementarity Problem）是优化理论中的重要问题类。给定函数F: ℝ^n → ℝ^n，线性互补问题（LCP）定义为：找到x ≥ 0使得F(x) ≥ 0且x^T F(x) = 0。</w:t>
      </w:r>
    </w:p>
    <w:p>
      <w:pPr>
        <w:spacing w:line="360" w:lineRule="auto" w:after="0"/>
        <w:ind w:firstLine="425"/>
      </w:pPr>
      <w:r>
        <w:rPr>
          <w:rFonts w:ascii="Times New Roman" w:hAnsi="Times New Roman" w:eastAsia="宋体"/>
          <w:b w:val="0"/>
          <w:i w:val="0"/>
          <w:sz w:val="22"/>
        </w:rPr>
        <w:t>非线性互补问题（NCP）推广为：找到x ∈ ℝ^n使得x ≥ 0, F(x) ≥ 0, x^T F(x) = 0。</w:t>
      </w:r>
    </w:p>
    <w:p>
      <w:pPr>
        <w:pStyle w:val="Heading3"/>
        <w:spacing w:before="160" w:after="60"/>
      </w:pPr>
      <w:r>
        <w:rPr>
          <w:rFonts w:ascii="Times New Roman" w:hAnsi="Times New Roman" w:eastAsia="黑体"/>
          <w:b/>
          <w:i w:val="0"/>
          <w:sz w:val="24"/>
        </w:rPr>
        <w:t>5.1.2 互补问题与优化的关系</w:t>
      </w:r>
    </w:p>
    <w:p>
      <w:pPr>
        <w:spacing w:line="360" w:lineRule="auto" w:after="0"/>
        <w:ind w:firstLine="425"/>
      </w:pPr>
      <w:r>
        <w:rPr>
          <w:rFonts w:ascii="Times New Roman" w:hAnsi="Times New Roman" w:eastAsia="宋体"/>
          <w:b w:val="0"/>
          <w:i w:val="0"/>
          <w:sz w:val="22"/>
        </w:rPr>
        <w:t>互补问题与约束优化问题密切相关。约束优化问题的KKT条件本质上是一组互补条件。因此，求解社会福利最大化问题等价于求解其KKT条件对应的互补问题</w:t>
      </w:r>
      <w:r>
        <w:rPr>
          <w:rFonts w:ascii="Times New Roman" w:hAnsi="Times New Roman" w:eastAsia="Times New Roman"/>
          <w:b w:val="0"/>
          <w:i w:val="0"/>
          <w:sz w:val="18"/>
          <w:vertAlign w:val="superscript"/>
        </w:rPr>
        <w:t>[2]</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5.1.3 互补问题在实时定价中的来源</w:t>
      </w:r>
    </w:p>
    <w:p>
      <w:pPr>
        <w:spacing w:line="360" w:lineRule="auto" w:after="0"/>
        <w:ind w:firstLine="425"/>
      </w:pPr>
      <w:r>
        <w:rPr>
          <w:rFonts w:ascii="Times New Roman" w:hAnsi="Times New Roman" w:eastAsia="宋体"/>
          <w:b w:val="0"/>
          <w:i w:val="0"/>
          <w:sz w:val="22"/>
        </w:rPr>
        <w:t>在智能电网实时定价中，互补问题来源于：</w:t>
      </w:r>
    </w:p>
    <w:p>
      <w:pPr>
        <w:spacing w:line="360" w:lineRule="auto" w:after="0"/>
        <w:ind w:firstLine="425"/>
      </w:pPr>
      <w:r>
        <w:rPr>
          <w:rFonts w:ascii="Times New Roman" w:hAnsi="Times New Roman" w:eastAsia="宋体"/>
          <w:b/>
          <w:i w:val="0"/>
          <w:sz w:val="22"/>
        </w:rPr>
        <w:t>供电约束的互补条件</w:t>
      </w:r>
      <w:r>
        <w:rPr>
          <w:rFonts w:ascii="Times New Roman" w:hAnsi="Times New Roman" w:eastAsia="宋体"/>
          <w:b w:val="0"/>
          <w:i w:val="0"/>
          <w:sz w:val="22"/>
        </w:rPr>
        <w:t>：总用电量不超过最大供电能力Q_max，即Σ x_i ≤ Q_max，对应的互补条件为λ ≥ 0, Q_max - Σ x_i ≥ 0, λ(Q_max - Σ x_i) = 0，其中λ是拉格朗日乘子（即实时电价）</w:t>
      </w:r>
      <w:r>
        <w:rPr>
          <w:rFonts w:ascii="Times New Roman" w:hAnsi="Times New Roman" w:eastAsia="Times New Roman"/>
          <w:b w:val="0"/>
          <w:i w:val="0"/>
          <w:sz w:val="18"/>
          <w:vertAlign w:val="superscript"/>
        </w:rPr>
        <w:t>[3]</w:t>
      </w:r>
      <w:r>
        <w:rPr>
          <w:rFonts w:ascii="Times New Roman" w:hAnsi="Times New Roman" w:eastAsia="宋体"/>
          <w:b w:val="0"/>
          <w:i w:val="0"/>
          <w:sz w:val="22"/>
        </w:rPr>
        <w:t>。</w:t>
      </w:r>
    </w:p>
    <w:p>
      <w:pPr>
        <w:spacing w:line="360" w:lineRule="auto" w:after="0"/>
        <w:ind w:firstLine="425"/>
      </w:pPr>
      <w:r>
        <w:rPr>
          <w:rFonts w:ascii="Times New Roman" w:hAnsi="Times New Roman" w:eastAsia="宋体"/>
          <w:b/>
          <w:i w:val="0"/>
          <w:sz w:val="22"/>
        </w:rPr>
        <w:t>非负用电约束</w:t>
      </w:r>
      <w:r>
        <w:rPr>
          <w:rFonts w:ascii="Times New Roman" w:hAnsi="Times New Roman" w:eastAsia="宋体"/>
          <w:b w:val="0"/>
          <w:i w:val="0"/>
          <w:sz w:val="22"/>
        </w:rPr>
        <w:t>：x_i ≥ 0对应的互补条件。</w:t>
      </w:r>
    </w:p>
    <w:p>
      <w:pPr>
        <w:spacing w:line="360" w:lineRule="auto" w:after="0"/>
        <w:ind w:firstLine="425"/>
      </w:pPr>
      <w:r>
        <w:rPr>
          <w:rFonts w:ascii="Times New Roman" w:hAnsi="Times New Roman" w:eastAsia="宋体"/>
          <w:b/>
          <w:i w:val="0"/>
          <w:sz w:val="22"/>
        </w:rPr>
        <w:t>用户分类约束</w:t>
      </w:r>
      <w:r>
        <w:rPr>
          <w:rFonts w:ascii="Times New Roman" w:hAnsi="Times New Roman" w:eastAsia="宋体"/>
          <w:b w:val="0"/>
          <w:i w:val="0"/>
          <w:sz w:val="22"/>
        </w:rPr>
        <w:t>：李军祥等（2019）在用户电器分类定价中引入了更多约束，产生了额外的互补条件</w:t>
      </w:r>
      <w:r>
        <w:rPr>
          <w:rFonts w:ascii="Times New Roman" w:hAnsi="Times New Roman" w:eastAsia="Times New Roman"/>
          <w:b w:val="0"/>
          <w:i w:val="0"/>
          <w:sz w:val="18"/>
          <w:vertAlign w:val="superscript"/>
        </w:rPr>
        <w:t>[4]</w:t>
      </w:r>
      <w:r>
        <w:rPr>
          <w:rFonts w:ascii="Times New Roman" w:hAnsi="Times New Roman" w:eastAsia="宋体"/>
          <w:b w:val="0"/>
          <w:i w:val="0"/>
          <w:sz w:val="22"/>
        </w:rPr>
        <w:t>。</w:t>
      </w:r>
    </w:p>
    <w:p>
      <w:pPr>
        <w:pStyle w:val="Heading2"/>
        <w:spacing w:before="240" w:after="80"/>
      </w:pPr>
      <w:r>
        <w:rPr>
          <w:rFonts w:ascii="Times New Roman" w:hAnsi="Times New Roman" w:eastAsia="黑体"/>
          <w:b/>
          <w:i w:val="0"/>
          <w:sz w:val="28"/>
        </w:rPr>
        <w:t>5.2 KKT条件与互补关系</w:t>
      </w:r>
    </w:p>
    <w:p>
      <w:pPr>
        <w:pStyle w:val="Heading3"/>
        <w:spacing w:before="160" w:after="60"/>
      </w:pPr>
      <w:r>
        <w:rPr>
          <w:rFonts w:ascii="Times New Roman" w:hAnsi="Times New Roman" w:eastAsia="黑体"/>
          <w:b/>
          <w:i w:val="0"/>
          <w:sz w:val="24"/>
        </w:rPr>
        <w:t>5.2.1 社会福利最大化问题的KKT条件</w:t>
      </w:r>
    </w:p>
    <w:p>
      <w:pPr>
        <w:spacing w:line="360" w:lineRule="auto" w:after="0"/>
        <w:ind w:firstLine="425"/>
      </w:pPr>
      <w:r>
        <w:rPr>
          <w:rFonts w:ascii="Times New Roman" w:hAnsi="Times New Roman" w:eastAsia="宋体"/>
          <w:b w:val="0"/>
          <w:i w:val="0"/>
          <w:sz w:val="22"/>
        </w:rPr>
        <w:t>社会福利最大化问题的KKT条件为：</w:t>
      </w:r>
    </w:p>
    <w:p>
      <w:pPr>
        <w:spacing w:before="80" w:after="80"/>
        <w:jc w:val="center"/>
      </w:pPr>
      <m:oMathPara>
        <m:oMath>
          <m:sSub>
            <m:e>
              <m:r>
                <m:t>∇</m:t>
              </m:r>
            </m:e>
            <m:sub>
              <m:sSub>
                <m:e>
                  <m:r>
                    <m:t>x</m:t>
                  </m:r>
                </m:e>
                <m:sub>
                  <m:r>
                    <m:t>i</m:t>
                  </m:r>
                </m:sub>
              </m:sSub>
            </m:sub>
          </m:sSub>
          <m:r>
            <m:t>L=</m:t>
          </m:r>
          <m:sSubSup>
            <m:e>
              <m:r>
                <m:t>U</m:t>
              </m:r>
            </m:e>
            <m:sub>
              <m:r>
                <m:t>i</m:t>
              </m:r>
            </m:sub>
            <m:sup>
              <m:r>
                <m:t>′</m:t>
              </m:r>
            </m:sup>
          </m:sSubSup>
          <m:r>
            <m:t>(</m:t>
          </m:r>
          <m:sSub>
            <m:e>
              <m:r>
                <m:t>x</m:t>
              </m:r>
            </m:e>
            <m:sub>
              <m:r>
                <m:t>i</m:t>
              </m:r>
            </m:sub>
          </m:sSub>
          <m:r>
            <m:t>)−p−λ=0</m:t>
          </m:r>
        </m:oMath>
      </m:oMathPara>
    </w:p>
    <w:p>
      <w:pPr>
        <w:spacing w:before="80" w:after="80"/>
        <w:jc w:val="center"/>
      </w:pPr>
      <m:oMathPara>
        <m:oMath>
          <m:r>
            <m:t>p−</m:t>
          </m:r>
          <m:sSup>
            <m:e>
              <m:r>
                <m:t>C</m:t>
              </m:r>
            </m:e>
            <m:sup>
              <m:r>
                <m:t>′</m:t>
              </m:r>
            </m:sup>
          </m:sSup>
          <m:r>
            <m:t>(Q)=0</m:t>
          </m:r>
        </m:oMath>
      </m:oMathPara>
    </w:p>
    <w:p>
      <w:pPr>
        <w:spacing w:before="80" w:after="80"/>
        <w:jc w:val="center"/>
      </w:pPr>
      <m:oMathPara>
        <m:oMath>
          <m:r>
            <m:t>λ≥0,</m:t>
          </m:r>
          <m:sSub>
            <m:e>
              <m:r>
                <m:t>Q</m:t>
              </m:r>
            </m:e>
            <m:sub>
              <m:r>
                <m:t>max</m:t>
              </m:r>
            </m:sub>
          </m:sSub>
          <m:r>
            <m:t>−Q≥0,</m:t>
          </m:r>
          <m:r>
            <m:t>λ(</m:t>
          </m:r>
          <m:sSub>
            <m:e>
              <m:r>
                <m:t>Q</m:t>
              </m:r>
            </m:e>
            <m:sub>
              <m:r>
                <m:t>max</m:t>
              </m:r>
            </m:sub>
          </m:sSub>
          <m:r>
            <m:t>−Q)=0</m:t>
          </m:r>
        </m:oMath>
      </m:oMathPara>
    </w:p>
    <w:p>
      <w:pPr>
        <w:spacing w:before="80" w:after="80"/>
        <w:jc w:val="center"/>
      </w:pPr>
      <m:oMathPara>
        <m:oMath>
          <m:sSub>
            <m:e>
              <m:r>
                <m:t>x</m:t>
              </m:r>
            </m:e>
            <m:sub>
              <m:r>
                <m:t>i</m:t>
              </m:r>
            </m:sub>
          </m:sSub>
          <m:r>
            <m:t>≥0</m:t>
          </m:r>
        </m:oMath>
      </m:oMathPara>
    </w:p>
    <w:p>
      <w:pPr>
        <w:spacing w:line="360" w:lineRule="auto" w:after="0"/>
        <w:ind w:firstLine="0"/>
      </w:pPr>
      <w:r>
        <w:rPr>
          <w:rFonts w:ascii="Times New Roman" w:hAnsi="Times New Roman" w:eastAsia="宋体"/>
          <w:b w:val="0"/>
          <w:i w:val="0"/>
          <w:sz w:val="22"/>
        </w:rPr>
        <w:t>其中，L是拉格朗日函数，p和λ是拉格朗日乘子。</w:t>
      </w:r>
    </w:p>
    <w:p>
      <w:pPr>
        <w:pStyle w:val="Heading3"/>
        <w:spacing w:before="160" w:after="60"/>
      </w:pPr>
      <w:r>
        <w:rPr>
          <w:rFonts w:ascii="Times New Roman" w:hAnsi="Times New Roman" w:eastAsia="黑体"/>
          <w:b/>
          <w:i w:val="0"/>
          <w:sz w:val="24"/>
        </w:rPr>
        <w:t>5.2.2 KKT条件的互补结构</w:t>
      </w:r>
    </w:p>
    <w:p>
      <w:pPr>
        <w:spacing w:line="360" w:lineRule="auto" w:after="0"/>
        <w:ind w:firstLine="425"/>
      </w:pPr>
      <w:r>
        <w:rPr>
          <w:rFonts w:ascii="Times New Roman" w:hAnsi="Times New Roman" w:eastAsia="宋体"/>
          <w:b w:val="0"/>
          <w:i w:val="0"/>
          <w:sz w:val="22"/>
        </w:rPr>
        <w:t>KKT条件中的互补结构体现在：拉格朗日乘子与对应的约束条件形成互补对。例如，供电约束的乘子λ与松弛量Q_max - Q互补：当供电充足时λ = 0（电价仅由边际成本决定），当供电达到上限时λ &gt; 0（电价包含稀缺性溢价）。</w:t>
      </w:r>
    </w:p>
    <w:p>
      <w:pPr>
        <w:pStyle w:val="Heading3"/>
        <w:spacing w:before="160" w:after="60"/>
      </w:pPr>
      <w:r>
        <w:rPr>
          <w:rFonts w:ascii="Times New Roman" w:hAnsi="Times New Roman" w:eastAsia="黑体"/>
          <w:b/>
          <w:i w:val="0"/>
          <w:sz w:val="24"/>
        </w:rPr>
        <w:t>5.2.3 从KKT到非光滑方程</w:t>
      </w:r>
    </w:p>
    <w:p>
      <w:pPr>
        <w:spacing w:line="360" w:lineRule="auto" w:after="0"/>
        <w:ind w:firstLine="425"/>
      </w:pPr>
      <w:r>
        <w:rPr>
          <w:rFonts w:ascii="Times New Roman" w:hAnsi="Times New Roman" w:eastAsia="宋体"/>
          <w:b w:val="0"/>
          <w:i w:val="0"/>
          <w:sz w:val="22"/>
        </w:rPr>
        <w:t>利用非线性互补函数（NCP函数），可以将互补条件转化为等价的方程。常用的NCP函数包括：</w:t>
      </w:r>
    </w:p>
    <w:p>
      <w:pPr>
        <w:spacing w:line="360" w:lineRule="auto" w:after="0"/>
        <w:ind w:firstLine="425"/>
      </w:pPr>
      <w:r>
        <w:rPr>
          <w:rFonts w:ascii="Times New Roman" w:hAnsi="Times New Roman" w:eastAsia="宋体"/>
          <w:b/>
          <w:i w:val="0"/>
          <w:sz w:val="22"/>
        </w:rPr>
        <w:t>min函数</w:t>
      </w:r>
      <w:r>
        <w:rPr>
          <w:rFonts w:ascii="Times New Roman" w:hAnsi="Times New Roman" w:eastAsia="宋体"/>
          <w:b w:val="0"/>
          <w:i w:val="0"/>
          <w:sz w:val="22"/>
        </w:rPr>
        <w:t>：min(a, b) = 0 iff a ≥ 0, b ≥ 0, ab = 0</w:t>
      </w:r>
    </w:p>
    <w:p>
      <w:pPr>
        <w:spacing w:line="360" w:lineRule="auto" w:after="0"/>
        <w:ind w:firstLine="425"/>
      </w:pPr>
      <w:r>
        <w:rPr>
          <w:rFonts w:ascii="Times New Roman" w:hAnsi="Times New Roman" w:eastAsia="宋体"/>
          <w:b/>
          <w:i w:val="0"/>
          <w:sz w:val="22"/>
        </w:rPr>
        <w:t>Fischer-Burmeister函数</w:t>
      </w:r>
      <w:r>
        <w:rPr>
          <w:rFonts w:ascii="Times New Roman" w:hAnsi="Times New Roman" w:eastAsia="宋体"/>
          <w:b w:val="0"/>
          <w:i w:val="0"/>
          <w:sz w:val="22"/>
        </w:rPr>
        <w:t>：φ(a, b) = √(a^2 + b^2) - a - b = 0 iff a ≥ 0, b ≥ 0, ab = 0</w:t>
      </w:r>
    </w:p>
    <w:p>
      <w:pPr>
        <w:spacing w:line="360" w:lineRule="auto" w:after="0"/>
        <w:ind w:firstLine="425"/>
      </w:pPr>
      <w:r>
        <w:rPr>
          <w:rFonts w:ascii="Times New Roman" w:hAnsi="Times New Roman" w:eastAsia="宋体"/>
          <w:b w:val="0"/>
          <w:i w:val="0"/>
          <w:sz w:val="22"/>
        </w:rPr>
        <w:t>这些NCP函数将互补条件转化为方程，但函数本身是非光滑的，构成了非光滑方程组</w:t>
      </w:r>
      <w:r>
        <w:rPr>
          <w:rFonts w:ascii="Times New Roman" w:hAnsi="Times New Roman" w:eastAsia="Times New Roman"/>
          <w:b w:val="0"/>
          <w:i w:val="0"/>
          <w:sz w:val="18"/>
          <w:vertAlign w:val="superscript"/>
        </w:rPr>
        <w:t>[5]</w:t>
      </w:r>
      <w:r>
        <w:rPr>
          <w:rFonts w:ascii="Times New Roman" w:hAnsi="Times New Roman" w:eastAsia="宋体"/>
          <w:b w:val="0"/>
          <w:i w:val="0"/>
          <w:sz w:val="22"/>
        </w:rPr>
        <w:t>。</w:t>
      </w:r>
    </w:p>
    <w:p>
      <w:pPr>
        <w:pStyle w:val="Heading2"/>
        <w:spacing w:before="240" w:after="80"/>
      </w:pPr>
      <w:r>
        <w:rPr>
          <w:rFonts w:ascii="Times New Roman" w:hAnsi="Times New Roman" w:eastAsia="黑体"/>
          <w:b/>
          <w:i w:val="0"/>
          <w:sz w:val="28"/>
        </w:rPr>
        <w:t>5.3 非线性互补函数</w:t>
      </w:r>
    </w:p>
    <w:p>
      <w:pPr>
        <w:pStyle w:val="Heading3"/>
        <w:spacing w:before="160" w:after="60"/>
      </w:pPr>
      <w:r>
        <w:rPr>
          <w:rFonts w:ascii="Times New Roman" w:hAnsi="Times New Roman" w:eastAsia="黑体"/>
          <w:b/>
          <w:i w:val="0"/>
          <w:sz w:val="24"/>
        </w:rPr>
        <w:t>5.3.1 Fischer-Burmeister函数</w:t>
      </w:r>
    </w:p>
    <w:p>
      <w:pPr>
        <w:spacing w:line="360" w:lineRule="auto" w:after="0"/>
        <w:ind w:firstLine="425"/>
      </w:pPr>
      <w:r>
        <w:rPr>
          <w:rFonts w:ascii="Times New Roman" w:hAnsi="Times New Roman" w:eastAsia="宋体"/>
          <w:b w:val="0"/>
          <w:i w:val="0"/>
          <w:sz w:val="22"/>
        </w:rPr>
        <w:t>Fischer-Burmeister（FB）函数定义为：</w:t>
      </w:r>
    </w:p>
    <w:p>
      <w:pPr>
        <w:spacing w:before="80" w:after="80"/>
        <w:jc w:val="center"/>
      </w:pPr>
      <m:oMathPara>
        <m:oMath>
          <m:sSub>
            <m:e>
              <m:r>
                <m:t>ϕ</m:t>
              </m:r>
            </m:e>
            <m:sub>
              <m:r>
                <m:t>FB</m:t>
              </m:r>
            </m:sub>
          </m:sSub>
          <m:r>
            <m:t>(a,b)=</m:t>
          </m:r>
          <m:rad>
            <m:radPr>
              <m:degHide m:val="on"/>
            </m:radPr>
            <m:deg/>
            <m:e>
              <m:sSup>
                <m:e>
                  <m:r>
                    <m:t>a</m:t>
                  </m:r>
                </m:e>
                <m:sup>
                  <m:r>
                    <m:t>2</m:t>
                  </m:r>
                </m:sup>
              </m:sSup>
              <m:r>
                <m:t>+</m:t>
              </m:r>
              <m:sSup>
                <m:e>
                  <m:r>
                    <m:t>b</m:t>
                  </m:r>
                </m:e>
                <m:sup>
                  <m:r>
                    <m:t>2</m:t>
                  </m:r>
                </m:sup>
              </m:sSup>
            </m:e>
          </m:rad>
          <m:r>
            <m:t>−a−b</m:t>
          </m:r>
        </m:oMath>
      </m:oMathPara>
    </w:p>
    <w:p>
      <w:pPr>
        <w:spacing w:line="360" w:lineRule="auto" w:after="0"/>
        <w:ind w:firstLine="0"/>
      </w:pPr>
      <w:r>
        <w:rPr>
          <w:rFonts w:ascii="Times New Roman" w:hAnsi="Times New Roman" w:eastAsia="宋体"/>
          <w:b w:val="0"/>
          <w:i w:val="0"/>
          <w:sz w:val="22"/>
        </w:rPr>
        <w:t>FB函数满足：φ_FB(a, b) = 0 iff a ≥ 0, b ≥ 0, ab = 0。FB函数在(0,0)处不可微，但在其他点处可微，属于半光滑函数。</w:t>
      </w:r>
    </w:p>
    <w:p>
      <w:pPr>
        <w:pStyle w:val="Heading3"/>
        <w:spacing w:before="160" w:after="60"/>
      </w:pPr>
      <w:r>
        <w:rPr>
          <w:rFonts w:ascii="Times New Roman" w:hAnsi="Times New Roman" w:eastAsia="黑体"/>
          <w:b/>
          <w:i w:val="0"/>
          <w:sz w:val="24"/>
        </w:rPr>
        <w:t>5.3.2 min函数</w:t>
      </w:r>
    </w:p>
    <w:p>
      <w:pPr>
        <w:spacing w:line="360" w:lineRule="auto" w:after="0"/>
        <w:ind w:firstLine="425"/>
      </w:pPr>
      <w:r>
        <w:rPr>
          <w:rFonts w:ascii="Times New Roman" w:hAnsi="Times New Roman" w:eastAsia="宋体"/>
          <w:b w:val="0"/>
          <w:i w:val="0"/>
          <w:sz w:val="22"/>
        </w:rPr>
        <w:t>min函数min(a, b)是最直观的NCP函数，但其在a = b处不可微。min函数的广义雅可比矩阵包含多个元素，使得基于广义导数的算法设计复杂。</w:t>
      </w:r>
    </w:p>
    <w:p>
      <w:pPr>
        <w:pStyle w:val="Heading3"/>
        <w:spacing w:before="160" w:after="60"/>
      </w:pPr>
      <w:r>
        <w:rPr>
          <w:rFonts w:ascii="Times New Roman" w:hAnsi="Times New Roman" w:eastAsia="黑体"/>
          <w:b/>
          <w:i w:val="0"/>
          <w:sz w:val="24"/>
        </w:rPr>
        <w:t>5.3.3 其他NCP函数</w:t>
      </w:r>
    </w:p>
    <w:p>
      <w:pPr>
        <w:spacing w:line="360" w:lineRule="auto" w:after="0"/>
        <w:ind w:firstLine="425"/>
      </w:pPr>
      <w:r>
        <w:rPr>
          <w:rFonts w:ascii="Times New Roman" w:hAnsi="Times New Roman" w:eastAsia="宋体"/>
          <w:b w:val="0"/>
          <w:i w:val="0"/>
          <w:sz w:val="22"/>
        </w:rPr>
        <w:t>文献中还提出了其他NCP函数，如CHKS函数、Mangasarian函数等。不同NCP函数的数值性能不同，选择合适的NCP函数对算法效率有重要影响</w:t>
      </w:r>
      <w:r>
        <w:rPr>
          <w:rFonts w:ascii="Times New Roman" w:hAnsi="Times New Roman" w:eastAsia="Times New Roman"/>
          <w:b w:val="0"/>
          <w:i w:val="0"/>
          <w:sz w:val="18"/>
          <w:vertAlign w:val="superscript"/>
        </w:rPr>
        <w:t>[5]</w:t>
      </w:r>
      <w:r>
        <w:rPr>
          <w:rFonts w:ascii="Times New Roman" w:hAnsi="Times New Roman" w:eastAsia="宋体"/>
          <w:b w:val="0"/>
          <w:i w:val="0"/>
          <w:sz w:val="22"/>
        </w:rPr>
        <w:t>。</w:t>
      </w:r>
    </w:p>
    <w:p>
      <w:pPr>
        <w:pStyle w:val="Heading2"/>
        <w:spacing w:before="240" w:after="80"/>
      </w:pPr>
      <w:r>
        <w:rPr>
          <w:rFonts w:ascii="Times New Roman" w:hAnsi="Times New Roman" w:eastAsia="黑体"/>
          <w:b/>
          <w:i w:val="0"/>
          <w:sz w:val="28"/>
        </w:rPr>
        <w:t>5.4 光滑化逼近方法</w:t>
      </w:r>
    </w:p>
    <w:p>
      <w:pPr>
        <w:pStyle w:val="Heading3"/>
        <w:spacing w:before="160" w:after="60"/>
      </w:pPr>
      <w:r>
        <w:rPr>
          <w:rFonts w:ascii="Times New Roman" w:hAnsi="Times New Roman" w:eastAsia="黑体"/>
          <w:b/>
          <w:i w:val="0"/>
          <w:sz w:val="24"/>
        </w:rPr>
        <w:t>5.4.1 光滑化的基本思想</w:t>
      </w:r>
    </w:p>
    <w:p>
      <w:pPr>
        <w:spacing w:line="360" w:lineRule="auto" w:after="0"/>
        <w:ind w:firstLine="425"/>
      </w:pPr>
      <w:r>
        <w:rPr>
          <w:rFonts w:ascii="Times New Roman" w:hAnsi="Times New Roman" w:eastAsia="宋体"/>
          <w:b w:val="0"/>
          <w:i w:val="0"/>
          <w:sz w:val="22"/>
        </w:rPr>
        <w:t>光滑化逼近方法的核心思想是：用一族可微函数φ_μ(a, b)逼近非光滑NCP函数φ(a, b)，其中μ &gt; 0是光滑化参数。当μ → 0时，φ_μ → φ。</w:t>
      </w:r>
    </w:p>
    <w:p>
      <w:pPr>
        <w:pStyle w:val="Heading3"/>
        <w:spacing w:before="160" w:after="60"/>
      </w:pPr>
      <w:r>
        <w:rPr>
          <w:rFonts w:ascii="Times New Roman" w:hAnsi="Times New Roman" w:eastAsia="黑体"/>
          <w:b/>
          <w:i w:val="0"/>
          <w:sz w:val="24"/>
        </w:rPr>
        <w:t>5.4.2 光滑化FB函数</w:t>
      </w:r>
    </w:p>
    <w:p>
      <w:pPr>
        <w:spacing w:line="360" w:lineRule="auto" w:after="0"/>
        <w:ind w:firstLine="425"/>
      </w:pPr>
      <w:r>
        <w:rPr>
          <w:rFonts w:ascii="Times New Roman" w:hAnsi="Times New Roman" w:eastAsia="宋体"/>
          <w:b w:val="0"/>
          <w:i w:val="0"/>
          <w:sz w:val="22"/>
        </w:rPr>
        <w:t>FB函数的光滑化形式为：</w:t>
      </w:r>
    </w:p>
    <w:p>
      <w:pPr>
        <w:spacing w:before="80" w:after="80"/>
        <w:jc w:val="center"/>
      </w:pPr>
      <m:oMathPara>
        <m:oMath>
          <m:sSub>
            <m:e>
              <m:r>
                <m:t>ϕ</m:t>
              </m:r>
            </m:e>
            <m:sub>
              <m:r>
                <m:t>FB,μ</m:t>
              </m:r>
            </m:sub>
          </m:sSub>
          <m:r>
            <m:t>(a,b)=</m:t>
          </m:r>
          <m:rad>
            <m:radPr>
              <m:degHide m:val="on"/>
            </m:radPr>
            <m:deg/>
            <m:e>
              <m:sSup>
                <m:e>
                  <m:r>
                    <m:t>a</m:t>
                  </m:r>
                </m:e>
                <m:sup>
                  <m:r>
                    <m:t>2</m:t>
                  </m:r>
                </m:sup>
              </m:sSup>
              <m:r>
                <m:t>+</m:t>
              </m:r>
              <m:sSup>
                <m:e>
                  <m:r>
                    <m:t>b</m:t>
                  </m:r>
                </m:e>
                <m:sup>
                  <m:r>
                    <m:t>2</m:t>
                  </m:r>
                </m:sup>
              </m:sSup>
              <m:r>
                <m:t>+</m:t>
              </m:r>
              <m:sSup>
                <m:e>
                  <m:r>
                    <m:t>μ</m:t>
                  </m:r>
                </m:e>
                <m:sup>
                  <m:r>
                    <m:t>2</m:t>
                  </m:r>
                </m:sup>
              </m:sSup>
            </m:e>
          </m:rad>
          <m:r>
            <m:t>−a−b</m:t>
          </m:r>
        </m:oMath>
      </m:oMathPara>
    </w:p>
    <w:p>
      <w:pPr>
        <w:spacing w:line="360" w:lineRule="auto" w:after="0"/>
        <w:ind w:firstLine="0"/>
      </w:pPr>
      <w:r>
        <w:rPr>
          <w:rFonts w:ascii="Times New Roman" w:hAnsi="Times New Roman" w:eastAsia="宋体"/>
          <w:b w:val="0"/>
          <w:i w:val="0"/>
          <w:sz w:val="22"/>
        </w:rPr>
        <w:t>当μ → 0时，φ_FB,μ → φ_FB。φ_FB,μ处处可微，其偏导数为：</w:t>
      </w:r>
    </w:p>
    <w:p>
      <w:pPr>
        <w:spacing w:before="80" w:after="80"/>
        <w:jc w:val="center"/>
      </w:pPr>
      <m:oMathPara>
        <m:oMath>
          <m:f>
            <m:fPr>
              <m:type m:val="bar"/>
            </m:fPr>
            <m:num>
              <m:r>
                <m:t>∂</m:t>
              </m:r>
              <m:sSub>
                <m:e>
                  <m:r>
                    <m:t>ϕ</m:t>
                  </m:r>
                </m:e>
                <m:sub>
                  <m:r>
                    <m:t>FB,μ</m:t>
                  </m:r>
                </m:sub>
              </m:sSub>
            </m:num>
            <m:den>
              <m:r>
                <m:t>∂a</m:t>
              </m:r>
            </m:den>
          </m:f>
          <m:r>
            <m:t>=</m:t>
          </m:r>
          <m:f>
            <m:fPr>
              <m:type m:val="bar"/>
            </m:fPr>
            <m:num>
              <m:r>
                <m:t>a</m:t>
              </m:r>
            </m:num>
            <m:den>
              <m:rad>
                <m:radPr>
                  <m:degHide m:val="on"/>
                </m:radPr>
                <m:deg/>
                <m:e>
                  <m:sSup>
                    <m:e>
                      <m:r>
                        <m:t>a</m:t>
                      </m:r>
                    </m:e>
                    <m:sup>
                      <m:r>
                        <m:t>2</m:t>
                      </m:r>
                    </m:sup>
                  </m:sSup>
                  <m:r>
                    <m:t>+</m:t>
                  </m:r>
                  <m:sSup>
                    <m:e>
                      <m:r>
                        <m:t>b</m:t>
                      </m:r>
                    </m:e>
                    <m:sup>
                      <m:r>
                        <m:t>2</m:t>
                      </m:r>
                    </m:sup>
                  </m:sSup>
                  <m:r>
                    <m:t>+</m:t>
                  </m:r>
                  <m:sSup>
                    <m:e>
                      <m:r>
                        <m:t>μ</m:t>
                      </m:r>
                    </m:e>
                    <m:sup>
                      <m:r>
                        <m:t>2</m:t>
                      </m:r>
                    </m:sup>
                  </m:sSup>
                </m:e>
              </m:rad>
            </m:den>
          </m:f>
          <m:r>
            <m:t>−1</m:t>
          </m:r>
        </m:oMath>
      </m:oMathPara>
    </w:p>
    <w:p>
      <w:pPr>
        <w:pStyle w:val="Heading3"/>
        <w:spacing w:before="160" w:after="60"/>
      </w:pPr>
      <w:r>
        <w:rPr>
          <w:rFonts w:ascii="Times New Roman" w:hAnsi="Times New Roman" w:eastAsia="黑体"/>
          <w:b/>
          <w:i w:val="0"/>
          <w:sz w:val="24"/>
        </w:rPr>
        <w:t>5.4.3 光滑化min函数</w:t>
      </w:r>
    </w:p>
    <w:p>
      <w:pPr>
        <w:spacing w:line="360" w:lineRule="auto" w:after="0"/>
        <w:ind w:firstLine="425"/>
      </w:pPr>
      <w:r>
        <w:rPr>
          <w:rFonts w:ascii="Times New Roman" w:hAnsi="Times New Roman" w:eastAsia="宋体"/>
          <w:b w:val="0"/>
          <w:i w:val="0"/>
          <w:sz w:val="22"/>
        </w:rPr>
        <w:t>min函数的光滑化形式为：</w:t>
      </w:r>
    </w:p>
    <w:p>
      <w:pPr>
        <w:spacing w:before="80" w:after="80"/>
        <w:jc w:val="center"/>
      </w:pPr>
      <m:oMathPara>
        <m:oMath>
          <m:sSub>
            <m:e>
              <m:r>
                <m:t>min</m:t>
              </m:r>
            </m:e>
            <m:sub>
              <m:r>
                <m:t>μ</m:t>
              </m:r>
            </m:sub>
          </m:sSub>
          <m:r>
            <m:t>(a,b)=</m:t>
          </m:r>
          <m:f>
            <m:fPr>
              <m:type m:val="bar"/>
            </m:fPr>
            <m:num>
              <m:r>
                <m:t>a+b−</m:t>
              </m:r>
              <m:rad>
                <m:radPr>
                  <m:degHide m:val="on"/>
                </m:radPr>
                <m:deg/>
                <m:e>
                  <m:d>
                    <m:dPr>
                      <m:sepChr m:val=""/>
                      <m:endChr m:val=""/>
                    </m:dPr>
                    <m:e>
                      <m:r>
                        <m:t>a</m:t>
                      </m:r>
                      <m:r>
                        <m:t>−</m:t>
                      </m:r>
                      <m:r>
                        <m:t>b</m:t>
                      </m:r>
                      <m:sSup>
                        <m:e>
                          <m:r>
                            <m:t>)</m:t>
                          </m:r>
                        </m:e>
                        <m:sup>
                          <m:r>
                            <m:t>2</m:t>
                          </m:r>
                        </m:sup>
                      </m:sSup>
                      <m:r>
                        <m:t>+</m:t>
                      </m:r>
                      <m:sSup>
                        <m:e>
                          <m:r>
                            <m:t>μ</m:t>
                          </m:r>
                        </m:e>
                        <m:sup>
                          <m:r>
                            <m:t>2</m:t>
                          </m:r>
                        </m:sup>
                      </m:sSup>
                    </m:e>
                  </m:d>
                </m:e>
              </m:rad>
            </m:num>
            <m:den>
              <m:r>
                <m:t>2</m:t>
              </m:r>
            </m:den>
          </m:f>
        </m:oMath>
      </m:oMathPara>
    </w:p>
    <w:p>
      <w:pPr>
        <w:pStyle w:val="Heading3"/>
        <w:spacing w:before="160" w:after="60"/>
      </w:pPr>
      <w:r>
        <w:rPr>
          <w:rFonts w:ascii="Times New Roman" w:hAnsi="Times New Roman" w:eastAsia="黑体"/>
          <w:b/>
          <w:i w:val="0"/>
          <w:sz w:val="24"/>
        </w:rPr>
        <w:t>5.4.4 双曲余弦光滑化</w:t>
      </w:r>
    </w:p>
    <w:p>
      <w:pPr>
        <w:spacing w:line="360" w:lineRule="auto" w:after="0"/>
        <w:ind w:firstLine="425"/>
      </w:pPr>
      <w:r>
        <w:rPr>
          <w:rFonts w:ascii="Times New Roman" w:hAnsi="Times New Roman" w:eastAsia="宋体"/>
          <w:b w:val="0"/>
          <w:i w:val="0"/>
          <w:sz w:val="22"/>
        </w:rPr>
        <w:t>李媛媛等（2020）提出了一种新的双曲余弦光滑化逼近函数来代替KKT系统中的互补条件</w:t>
      </w:r>
      <w:r>
        <w:rPr>
          <w:rFonts w:ascii="Times New Roman" w:hAnsi="Times New Roman" w:eastAsia="Times New Roman"/>
          <w:b w:val="0"/>
          <w:i w:val="0"/>
          <w:sz w:val="18"/>
          <w:vertAlign w:val="superscript"/>
        </w:rPr>
        <w:t>[6]</w:t>
      </w:r>
      <w:r>
        <w:rPr>
          <w:rFonts w:ascii="Times New Roman" w:hAnsi="Times New Roman" w:eastAsia="宋体"/>
          <w:b w:val="0"/>
          <w:i w:val="0"/>
          <w:sz w:val="22"/>
        </w:rPr>
        <w:t>。该函数具有良好的光滑性质和逼近精度，在数值实验中表现出优于传统光滑化函数的性能。</w:t>
      </w:r>
    </w:p>
    <w:p>
      <w:pPr>
        <w:pStyle w:val="Heading3"/>
        <w:spacing w:before="160" w:after="60"/>
      </w:pPr>
      <w:r>
        <w:rPr>
          <w:rFonts w:ascii="Times New Roman" w:hAnsi="Times New Roman" w:eastAsia="黑体"/>
          <w:b/>
          <w:i w:val="0"/>
          <w:sz w:val="24"/>
        </w:rPr>
        <w:t>5.4.5 光滑化路径跟踪策略</w:t>
      </w:r>
    </w:p>
    <w:p>
      <w:pPr>
        <w:spacing w:line="360" w:lineRule="auto" w:after="0"/>
        <w:ind w:firstLine="425"/>
      </w:pPr>
      <w:r>
        <w:rPr>
          <w:rFonts w:ascii="Times New Roman" w:hAnsi="Times New Roman" w:eastAsia="宋体"/>
          <w:b w:val="0"/>
          <w:i w:val="0"/>
          <w:sz w:val="22"/>
        </w:rPr>
        <w:t>光滑化方法通常采用路径跟踪（Path-Following）策略：从较大的μ值开始，逐步减小μ，在每步求解光滑化方程组。当μ充分小时，光滑化解逼近原非光滑问题的解。</w:t>
      </w:r>
    </w:p>
    <w:p>
      <w:pPr>
        <w:pStyle w:val="Heading2"/>
        <w:spacing w:before="240" w:after="80"/>
      </w:pPr>
      <w:r>
        <w:rPr>
          <w:rFonts w:ascii="Times New Roman" w:hAnsi="Times New Roman" w:eastAsia="黑体"/>
          <w:b/>
          <w:i w:val="0"/>
          <w:sz w:val="28"/>
        </w:rPr>
        <w:t>5.5 光滑牛顿算法</w:t>
      </w:r>
    </w:p>
    <w:p>
      <w:pPr>
        <w:pStyle w:val="Heading3"/>
        <w:spacing w:before="160" w:after="60"/>
      </w:pPr>
      <w:r>
        <w:rPr>
          <w:rFonts w:ascii="Times New Roman" w:hAnsi="Times New Roman" w:eastAsia="黑体"/>
          <w:b/>
          <w:i w:val="0"/>
          <w:sz w:val="24"/>
        </w:rPr>
        <w:t>5.5.1 算法框架</w:t>
      </w:r>
    </w:p>
    <w:p>
      <w:pPr>
        <w:spacing w:line="360" w:lineRule="auto" w:after="0"/>
        <w:ind w:firstLine="425"/>
      </w:pPr>
      <w:r>
        <w:rPr>
          <w:rFonts w:ascii="Times New Roman" w:hAnsi="Times New Roman" w:eastAsia="宋体"/>
          <w:b w:val="0"/>
          <w:i w:val="0"/>
          <w:sz w:val="22"/>
        </w:rPr>
        <w:t>李媛媛等（2020）提出的光滑牛顿算法步骤如下</w:t>
      </w:r>
      <w:r>
        <w:rPr>
          <w:rFonts w:ascii="Times New Roman" w:hAnsi="Times New Roman" w:eastAsia="Times New Roman"/>
          <w:b w:val="0"/>
          <w:i w:val="0"/>
          <w:sz w:val="18"/>
          <w:vertAlign w:val="superscript"/>
        </w:rPr>
        <w:t>[6]</w:t>
      </w:r>
      <w:r>
        <w:rPr>
          <w:rFonts w:ascii="Times New Roman" w:hAnsi="Times New Roman" w:eastAsia="宋体"/>
          <w:b w:val="0"/>
          <w:i w:val="0"/>
          <w:sz w:val="22"/>
        </w:rPr>
        <w:t>：</w:t>
      </w:r>
    </w:p>
    <w:p>
      <w:pPr>
        <w:pStyle w:val="ListNumber"/>
        <w:spacing w:line="360" w:lineRule="auto" w:after="0"/>
      </w:pPr>
      <w:r>
        <w:rPr>
          <w:rFonts w:ascii="Times New Roman" w:hAnsi="Times New Roman" w:eastAsia="宋体"/>
          <w:b/>
          <w:i w:val="0"/>
          <w:sz w:val="22"/>
        </w:rPr>
        <w:t>初始化</w:t>
      </w:r>
      <w:r>
        <w:rPr>
          <w:rFonts w:ascii="Times New Roman" w:hAnsi="Times New Roman" w:eastAsia="宋体"/>
          <w:b w:val="0"/>
          <w:i w:val="0"/>
          <w:sz w:val="22"/>
        </w:rPr>
        <w:t>：选择初始点x^0和光滑化参数μ_0 &gt; 0，设k = 0</w:t>
      </w:r>
    </w:p>
    <w:p>
      <w:pPr>
        <w:pStyle w:val="ListNumber"/>
        <w:spacing w:line="360" w:lineRule="auto" w:after="0"/>
      </w:pPr>
      <w:r>
        <w:rPr>
          <w:rFonts w:ascii="Times New Roman" w:hAnsi="Times New Roman" w:eastAsia="宋体"/>
          <w:b/>
          <w:i w:val="0"/>
          <w:sz w:val="22"/>
        </w:rPr>
        <w:t>求解光滑化方程</w:t>
      </w:r>
      <w:r>
        <w:rPr>
          <w:rFonts w:ascii="Times New Roman" w:hAnsi="Times New Roman" w:eastAsia="宋体"/>
          <w:b w:val="0"/>
          <w:i w:val="0"/>
          <w:sz w:val="22"/>
        </w:rPr>
        <w:t>：在当前μ_k下，用牛顿法求解Φ_μ_k(x) = 0</w:t>
      </w:r>
    </w:p>
    <w:p>
      <w:pPr>
        <w:pStyle w:val="ListNumber"/>
        <w:spacing w:line="360" w:lineRule="auto" w:after="0"/>
      </w:pPr>
      <w:r>
        <w:rPr>
          <w:rFonts w:ascii="Times New Roman" w:hAnsi="Times New Roman" w:eastAsia="宋体"/>
          <w:b/>
          <w:i w:val="0"/>
          <w:sz w:val="22"/>
        </w:rPr>
        <w:t>更新光滑化参数</w:t>
      </w:r>
      <w:r>
        <w:rPr>
          <w:rFonts w:ascii="Times New Roman" w:hAnsi="Times New Roman" w:eastAsia="宋体"/>
          <w:b w:val="0"/>
          <w:i w:val="0"/>
          <w:sz w:val="22"/>
        </w:rPr>
        <w:t>：μ_k+1 = σ μ_k，其中0 &lt; σ &lt; 1</w:t>
      </w:r>
    </w:p>
    <w:p>
      <w:pPr>
        <w:pStyle w:val="ListNumber"/>
        <w:spacing w:line="360" w:lineRule="auto" w:after="0"/>
      </w:pPr>
      <w:r>
        <w:rPr>
          <w:rFonts w:ascii="Times New Roman" w:hAnsi="Times New Roman" w:eastAsia="宋体"/>
          <w:b/>
          <w:i w:val="0"/>
          <w:sz w:val="22"/>
        </w:rPr>
        <w:t>收敛判断</w:t>
      </w:r>
      <w:r>
        <w:rPr>
          <w:rFonts w:ascii="Times New Roman" w:hAnsi="Times New Roman" w:eastAsia="宋体"/>
          <w:b w:val="0"/>
          <w:i w:val="0"/>
          <w:sz w:val="22"/>
        </w:rPr>
        <w:t>：如果 Φ_μ_k(x^k) &lt; ε且μ_k &lt; ε_μ，停止；否则k = k+1，转步骤2</w:t>
      </w:r>
    </w:p>
    <w:p>
      <w:pPr>
        <w:pStyle w:val="Heading3"/>
        <w:spacing w:before="160" w:after="60"/>
      </w:pPr>
      <w:r>
        <w:rPr>
          <w:rFonts w:ascii="Times New Roman" w:hAnsi="Times New Roman" w:eastAsia="黑体"/>
          <w:b/>
          <w:i w:val="0"/>
          <w:sz w:val="24"/>
        </w:rPr>
        <w:t>5.5.2 收敛性分析</w:t>
      </w:r>
    </w:p>
    <w:p>
      <w:pPr>
        <w:spacing w:line="360" w:lineRule="auto" w:after="0"/>
        <w:ind w:firstLine="425"/>
      </w:pPr>
      <w:r>
        <w:rPr>
          <w:rFonts w:ascii="Times New Roman" w:hAnsi="Times New Roman" w:eastAsia="宋体"/>
          <w:b w:val="0"/>
          <w:i w:val="0"/>
          <w:sz w:val="22"/>
        </w:rPr>
        <w:t>光滑牛顿算法的收敛性依赖于以下条件：</w:t>
      </w:r>
    </w:p>
    <w:p>
      <w:pPr>
        <w:pStyle w:val="ListBullet"/>
        <w:spacing w:line="360" w:lineRule="auto" w:after="0"/>
      </w:pPr>
      <w:r>
        <w:rPr>
          <w:rFonts w:ascii="Times New Roman" w:hAnsi="Times New Roman" w:eastAsia="宋体"/>
          <w:b w:val="0"/>
          <w:i w:val="0"/>
          <w:sz w:val="22"/>
        </w:rPr>
        <w:t>NCP函数的半光滑性</w:t>
      </w:r>
    </w:p>
    <w:p>
      <w:pPr>
        <w:pStyle w:val="ListBullet"/>
        <w:spacing w:line="360" w:lineRule="auto" w:after="0"/>
      </w:pPr>
      <w:r>
        <w:rPr>
          <w:rFonts w:ascii="Times New Roman" w:hAnsi="Times New Roman" w:eastAsia="宋体"/>
          <w:b w:val="0"/>
          <w:i w:val="0"/>
          <w:sz w:val="22"/>
        </w:rPr>
        <w:t>光滑化函数的一致逼近性</w:t>
      </w:r>
    </w:p>
    <w:p>
      <w:pPr>
        <w:pStyle w:val="ListBullet"/>
        <w:spacing w:line="360" w:lineRule="auto" w:after="0"/>
      </w:pPr>
      <w:r>
        <w:rPr>
          <w:rFonts w:ascii="Times New Roman" w:hAnsi="Times New Roman" w:eastAsia="宋体"/>
          <w:b w:val="0"/>
          <w:i w:val="0"/>
          <w:sz w:val="22"/>
        </w:rPr>
        <w:t>雅可比矩阵的非奇异性</w:t>
      </w:r>
    </w:p>
    <w:p>
      <w:pPr>
        <w:spacing w:line="360" w:lineRule="auto" w:after="0"/>
        <w:ind w:firstLine="425"/>
      </w:pPr>
      <w:r>
        <w:rPr>
          <w:rFonts w:ascii="Times New Roman" w:hAnsi="Times New Roman" w:eastAsia="宋体"/>
          <w:b w:val="0"/>
          <w:i w:val="0"/>
          <w:sz w:val="22"/>
        </w:rPr>
        <w:t>在适当条件下，光滑牛顿算法具有全局收敛性和局部超线性收敛速率</w:t>
      </w:r>
      <w:r>
        <w:rPr>
          <w:rFonts w:ascii="Times New Roman" w:hAnsi="Times New Roman" w:eastAsia="Times New Roman"/>
          <w:b w:val="0"/>
          <w:i w:val="0"/>
          <w:sz w:val="18"/>
          <w:vertAlign w:val="superscript"/>
        </w:rPr>
        <w:t>[6]</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5.5.3 数值实验结果</w:t>
      </w:r>
    </w:p>
    <w:p>
      <w:pPr>
        <w:spacing w:line="360" w:lineRule="auto" w:after="0"/>
        <w:ind w:firstLine="425"/>
      </w:pPr>
      <w:r>
        <w:rPr>
          <w:rFonts w:ascii="Times New Roman" w:hAnsi="Times New Roman" w:eastAsia="宋体"/>
          <w:b w:val="0"/>
          <w:i w:val="0"/>
          <w:sz w:val="22"/>
        </w:rPr>
        <w:t>李媛媛等（2020）的数值实验表明，光滑牛顿算法在求解商业用户实时定价问题时，收敛速度快于传统对偶分解法，且解的质量更高</w:t>
      </w:r>
      <w:r>
        <w:rPr>
          <w:rFonts w:ascii="Times New Roman" w:hAnsi="Times New Roman" w:eastAsia="Times New Roman"/>
          <w:b w:val="0"/>
          <w:i w:val="0"/>
          <w:sz w:val="18"/>
          <w:vertAlign w:val="superscript"/>
        </w:rPr>
        <w:t>[6]</w:t>
      </w:r>
      <w:r>
        <w:rPr>
          <w:rFonts w:ascii="Times New Roman" w:hAnsi="Times New Roman" w:eastAsia="宋体"/>
          <w:b w:val="0"/>
          <w:i w:val="0"/>
          <w:sz w:val="22"/>
        </w:rPr>
        <w:t>。高岩团队的复现实验进一步验证了该算法的有效性。</w:t>
      </w:r>
    </w:p>
    <w:p>
      <w:pPr>
        <w:pStyle w:val="Heading2"/>
        <w:spacing w:before="240" w:after="80"/>
      </w:pPr>
      <w:r>
        <w:rPr>
          <w:rFonts w:ascii="Times New Roman" w:hAnsi="Times New Roman" w:eastAsia="黑体"/>
          <w:b/>
          <w:i w:val="0"/>
          <w:sz w:val="28"/>
        </w:rPr>
        <w:t>5.6 分布式非光滑方程求解</w:t>
      </w:r>
    </w:p>
    <w:p>
      <w:pPr>
        <w:pStyle w:val="Heading3"/>
        <w:spacing w:before="160" w:after="60"/>
      </w:pPr>
      <w:r>
        <w:rPr>
          <w:rFonts w:ascii="Times New Roman" w:hAnsi="Times New Roman" w:eastAsia="黑体"/>
          <w:b/>
          <w:i w:val="0"/>
          <w:sz w:val="24"/>
        </w:rPr>
        <w:t>5.6.1 分布式框架的必要性</w:t>
      </w:r>
    </w:p>
    <w:p>
      <w:pPr>
        <w:spacing w:line="360" w:lineRule="auto" w:after="0"/>
        <w:ind w:firstLine="425"/>
      </w:pPr>
      <w:r>
        <w:rPr>
          <w:rFonts w:ascii="Times New Roman" w:hAnsi="Times New Roman" w:eastAsia="宋体"/>
          <w:b w:val="0"/>
          <w:i w:val="0"/>
          <w:sz w:val="22"/>
        </w:rPr>
        <w:t>集中式方法需要收集所有用户信息，在用户规模较大时面临通信瓶颈和隐私问题。Wang和高岩（2019）提出了分布式实时定价方法，将非光滑方程求解分散到各用户节点</w:t>
      </w:r>
      <w:r>
        <w:rPr>
          <w:rFonts w:ascii="Times New Roman" w:hAnsi="Times New Roman" w:eastAsia="Times New Roman"/>
          <w:b w:val="0"/>
          <w:i w:val="0"/>
          <w:sz w:val="18"/>
          <w:vertAlign w:val="superscript"/>
        </w:rPr>
        <w:t>[7]</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5.6.2 分布式算法设计</w:t>
      </w:r>
    </w:p>
    <w:p>
      <w:pPr>
        <w:spacing w:line="360" w:lineRule="auto" w:after="0"/>
        <w:ind w:firstLine="425"/>
      </w:pPr>
      <w:r>
        <w:rPr>
          <w:rFonts w:ascii="Times New Roman" w:hAnsi="Times New Roman" w:eastAsia="宋体"/>
          <w:b w:val="0"/>
          <w:i w:val="0"/>
          <w:sz w:val="22"/>
        </w:rPr>
        <w:t>分布式算法的核心步骤：</w:t>
      </w:r>
    </w:p>
    <w:p>
      <w:pPr>
        <w:pStyle w:val="ListNumber"/>
        <w:spacing w:line="360" w:lineRule="auto" w:after="0"/>
      </w:pPr>
      <w:r>
        <w:rPr>
          <w:rFonts w:ascii="Times New Roman" w:hAnsi="Times New Roman" w:eastAsia="宋体"/>
          <w:b w:val="0"/>
          <w:i w:val="0"/>
          <w:sz w:val="22"/>
        </w:rPr>
        <w:t>供电方发布初始价格p^0</w:t>
      </w:r>
    </w:p>
    <w:p>
      <w:pPr>
        <w:pStyle w:val="ListNumber"/>
        <w:spacing w:line="360" w:lineRule="auto" w:after="0"/>
      </w:pPr>
      <w:r>
        <w:rPr>
          <w:rFonts w:ascii="Times New Roman" w:hAnsi="Times New Roman" w:eastAsia="宋体"/>
          <w:b w:val="0"/>
          <w:i w:val="0"/>
          <w:sz w:val="22"/>
        </w:rPr>
        <w:t>每个用户i根据p^k独立求解局部优化问题，得到x_i^k</w:t>
      </w:r>
    </w:p>
    <w:p>
      <w:pPr>
        <w:pStyle w:val="ListNumber"/>
        <w:spacing w:line="360" w:lineRule="auto" w:after="0"/>
      </w:pPr>
      <w:r>
        <w:rPr>
          <w:rFonts w:ascii="Times New Roman" w:hAnsi="Times New Roman" w:eastAsia="宋体"/>
          <w:b w:val="0"/>
          <w:i w:val="0"/>
          <w:sz w:val="22"/>
        </w:rPr>
        <w:t>用户将x_i^k（或聚合后的总需求）反馈给供电方</w:t>
      </w:r>
    </w:p>
    <w:p>
      <w:pPr>
        <w:pStyle w:val="ListNumber"/>
        <w:spacing w:line="360" w:lineRule="auto" w:after="0"/>
      </w:pPr>
      <w:r>
        <w:rPr>
          <w:rFonts w:ascii="Times New Roman" w:hAnsi="Times New Roman" w:eastAsia="宋体"/>
          <w:b w:val="0"/>
          <w:i w:val="0"/>
          <w:sz w:val="22"/>
        </w:rPr>
        <w:t>供电方更新价格：p^k+1 = p^k + α(C'(Q^k) - p^k)</w:t>
      </w:r>
    </w:p>
    <w:p>
      <w:pPr>
        <w:pStyle w:val="ListNumber"/>
        <w:spacing w:line="360" w:lineRule="auto" w:after="0"/>
      </w:pPr>
      <w:r>
        <w:rPr>
          <w:rFonts w:ascii="Times New Roman" w:hAnsi="Times New Roman" w:eastAsia="宋体"/>
          <w:b w:val="0"/>
          <w:i w:val="0"/>
          <w:sz w:val="22"/>
        </w:rPr>
        <w:t>重复步骤2-4直至收敛</w:t>
      </w:r>
    </w:p>
    <w:p>
      <w:pPr>
        <w:pStyle w:val="Heading3"/>
        <w:spacing w:before="160" w:after="60"/>
      </w:pPr>
      <w:r>
        <w:rPr>
          <w:rFonts w:ascii="Times New Roman" w:hAnsi="Times New Roman" w:eastAsia="黑体"/>
          <w:b/>
          <w:i w:val="0"/>
          <w:sz w:val="24"/>
        </w:rPr>
        <w:t>5.6.3 分布式算法的优势</w:t>
      </w:r>
    </w:p>
    <w:p>
      <w:pPr>
        <w:spacing w:line="360" w:lineRule="auto" w:after="0"/>
        <w:ind w:firstLine="425"/>
      </w:pPr>
      <w:r>
        <w:rPr>
          <w:rFonts w:ascii="Times New Roman" w:hAnsi="Times New Roman" w:eastAsia="宋体"/>
          <w:b w:val="0"/>
          <w:i w:val="0"/>
          <w:sz w:val="22"/>
        </w:rPr>
        <w:t>Wang和高岩（2019）的分布式方法具有以下优势</w:t>
      </w:r>
      <w:r>
        <w:rPr>
          <w:rFonts w:ascii="Times New Roman" w:hAnsi="Times New Roman" w:eastAsia="Times New Roman"/>
          <w:b w:val="0"/>
          <w:i w:val="0"/>
          <w:sz w:val="18"/>
          <w:vertAlign w:val="superscript"/>
        </w:rPr>
        <w:t>[7]</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i w:val="0"/>
          <w:sz w:val="22"/>
        </w:rPr>
        <w:t>隐私保护</w:t>
      </w:r>
      <w:r>
        <w:rPr>
          <w:rFonts w:ascii="Times New Roman" w:hAnsi="Times New Roman" w:eastAsia="宋体"/>
          <w:b w:val="0"/>
          <w:i w:val="0"/>
          <w:sz w:val="22"/>
        </w:rPr>
        <w:t>：用户只需反馈总需求，不需暴露个体用电详情</w:t>
      </w:r>
    </w:p>
    <w:p>
      <w:pPr>
        <w:pStyle w:val="ListBullet"/>
        <w:spacing w:line="360" w:lineRule="auto" w:after="0"/>
      </w:pPr>
      <w:r>
        <w:rPr>
          <w:rFonts w:ascii="Times New Roman" w:hAnsi="Times New Roman" w:eastAsia="宋体"/>
          <w:b/>
          <w:i w:val="0"/>
          <w:sz w:val="22"/>
        </w:rPr>
        <w:t>可扩展性</w:t>
      </w:r>
      <w:r>
        <w:rPr>
          <w:rFonts w:ascii="Times New Roman" w:hAnsi="Times New Roman" w:eastAsia="宋体"/>
          <w:b w:val="0"/>
          <w:i w:val="0"/>
          <w:sz w:val="22"/>
        </w:rPr>
        <w:t>：算法复杂度与用户数呈线性关系</w:t>
      </w:r>
    </w:p>
    <w:p>
      <w:pPr>
        <w:pStyle w:val="ListBullet"/>
        <w:spacing w:line="360" w:lineRule="auto" w:after="0"/>
      </w:pPr>
      <w:r>
        <w:rPr>
          <w:rFonts w:ascii="Times New Roman" w:hAnsi="Times New Roman" w:eastAsia="宋体"/>
          <w:b/>
          <w:i w:val="0"/>
          <w:sz w:val="22"/>
        </w:rPr>
        <w:t>鲁棒性</w:t>
      </w:r>
      <w:r>
        <w:rPr>
          <w:rFonts w:ascii="Times New Roman" w:hAnsi="Times New Roman" w:eastAsia="宋体"/>
          <w:b w:val="0"/>
          <w:i w:val="0"/>
          <w:sz w:val="22"/>
        </w:rPr>
        <w:t>：单个节点故障不影响整体算法运行</w:t>
      </w:r>
    </w:p>
    <w:p>
      <w:pPr>
        <w:pStyle w:val="ListBullet"/>
        <w:spacing w:line="360" w:lineRule="auto" w:after="0"/>
      </w:pPr>
      <w:r>
        <w:rPr>
          <w:rFonts w:ascii="Times New Roman" w:hAnsi="Times New Roman" w:eastAsia="宋体"/>
          <w:b/>
          <w:i w:val="0"/>
          <w:sz w:val="22"/>
        </w:rPr>
        <w:t>负载不确定性</w:t>
      </w:r>
      <w:r>
        <w:rPr>
          <w:rFonts w:ascii="Times New Roman" w:hAnsi="Times New Roman" w:eastAsia="宋体"/>
          <w:b w:val="0"/>
          <w:i w:val="0"/>
          <w:sz w:val="22"/>
        </w:rPr>
        <w:t>：考虑了负载不确定性的影响</w:t>
      </w:r>
    </w:p>
    <w:p>
      <w:pPr>
        <w:pStyle w:val="Heading2"/>
        <w:spacing w:before="240" w:after="80"/>
      </w:pPr>
      <w:r>
        <w:rPr>
          <w:rFonts w:ascii="Times New Roman" w:hAnsi="Times New Roman" w:eastAsia="黑体"/>
          <w:b/>
          <w:i w:val="0"/>
          <w:sz w:val="28"/>
        </w:rPr>
        <w:t>本章小结</w:t>
      </w:r>
    </w:p>
    <w:p>
      <w:pPr>
        <w:spacing w:line="360" w:lineRule="auto" w:after="0"/>
        <w:ind w:firstLine="425"/>
      </w:pPr>
      <w:r>
        <w:rPr>
          <w:rFonts w:ascii="Times New Roman" w:hAnsi="Times New Roman" w:eastAsia="宋体"/>
          <w:b w:val="0"/>
          <w:i w:val="0"/>
          <w:sz w:val="22"/>
        </w:rPr>
        <w:t>互补问题与非光滑方程方法是智能电网实时定价的重要数学工具。本章从KKT条件出发，介绍了如何将社会福利最大化问题转化为互补问题，再通过非线性互补函数转化为非光滑方程组。光滑化逼近方法是求解非光滑方程的核心技术，光滑牛顿算法和分布式求解方法各有优势。高岩团队在这一方向做出了系统性贡献，特别是在分片线性效用函数、双曲余弦光滑化和分布式非光滑方程求解方面。</w:t>
      </w:r>
    </w:p>
    <w:p>
      <w:pPr>
        <w:pStyle w:val="Heading2"/>
        <w:spacing w:before="240" w:after="80"/>
      </w:pPr>
      <w:r>
        <w:rPr>
          <w:rFonts w:ascii="Times New Roman" w:hAnsi="Times New Roman" w:eastAsia="黑体"/>
          <w:b/>
          <w:i w:val="0"/>
          <w:sz w:val="28"/>
        </w:rPr>
        <w:t>5.7 国际比较与经验借鉴</w:t>
      </w:r>
    </w:p>
    <w:p>
      <w:pPr>
        <w:pStyle w:val="Heading3"/>
        <w:spacing w:before="160" w:after="60"/>
      </w:pPr>
      <w:r>
        <w:rPr>
          <w:rFonts w:ascii="Times New Roman" w:hAnsi="Times New Roman" w:eastAsia="黑体"/>
          <w:b/>
          <w:i w:val="0"/>
          <w:sz w:val="24"/>
        </w:rPr>
        <w:t>国际互补问题研究进展</w:t>
      </w:r>
    </w:p>
    <w:p>
      <w:pPr>
        <w:spacing w:line="360" w:lineRule="auto" w:after="0"/>
        <w:ind w:firstLine="425"/>
      </w:pPr>
      <w:r>
        <w:rPr>
          <w:rFonts w:ascii="Times New Roman" w:hAnsi="Times New Roman" w:eastAsia="宋体"/>
          <w:b w:val="0"/>
          <w:i w:val="0"/>
          <w:sz w:val="22"/>
        </w:rPr>
        <w:t>互补问题在国际运筹学界有深入研究。Facchinei和Pang（2003）的专著《Finite-Dimensional Variational Inequalities and Complementarity Problems》是该领域的权威参考</w:t>
      </w:r>
      <w:r>
        <w:rPr>
          <w:rFonts w:ascii="Times New Roman" w:hAnsi="Times New Roman" w:eastAsia="Times New Roman"/>
          <w:b w:val="0"/>
          <w:i w:val="0"/>
          <w:sz w:val="18"/>
          <w:vertAlign w:val="superscript"/>
        </w:rPr>
        <w:t>[2]</w:t>
      </w:r>
      <w:r>
        <w:rPr>
          <w:rFonts w:ascii="Times New Roman" w:hAnsi="Times New Roman" w:eastAsia="宋体"/>
          <w:b w:val="0"/>
          <w:i w:val="0"/>
          <w:sz w:val="22"/>
        </w:rPr>
        <w:t>，系统阐述了有限维变分不等式和互补问题的理论、算法和应用。</w:t>
      </w:r>
    </w:p>
    <w:p>
      <w:pPr>
        <w:spacing w:line="360" w:lineRule="auto" w:after="0"/>
        <w:ind w:firstLine="425"/>
      </w:pPr>
      <w:r>
        <w:rPr>
          <w:rFonts w:ascii="Times New Roman" w:hAnsi="Times New Roman" w:eastAsia="宋体"/>
          <w:b w:val="0"/>
          <w:i w:val="0"/>
          <w:sz w:val="22"/>
        </w:rPr>
        <w:t>在电力市场均衡分析方面，王晛等（2004）较早将非线性互补方法应用于电力市场均衡分析。该研究利用每个策略发电商优化问题的KKT条件将均衡问题表述为混合非线性互补问题，然后采用非线性互补函数将互补问题转化为非线性代数方程组，用改进的Levenberg-Marquardt方法求解。这为高岩团队后续将互补问题方法应用于实时定价奠定了方法论基础。</w:t>
      </w:r>
    </w:p>
    <w:p>
      <w:pPr>
        <w:spacing w:line="360" w:lineRule="auto" w:after="0"/>
        <w:ind w:firstLine="425"/>
      </w:pPr>
      <w:r>
        <w:rPr>
          <w:rFonts w:ascii="Times New Roman" w:hAnsi="Times New Roman" w:eastAsia="宋体"/>
          <w:b w:val="0"/>
          <w:i w:val="0"/>
          <w:sz w:val="22"/>
        </w:rPr>
        <w:t>Hu和Ralph（2007）研究了重构电力市场中的双层博弈模型，使用均衡约束均衡问题（EPEC）建模具有节点电价的多层博弈。该方法将多个发电商的均衡问题嵌入统一框架，通过互补条件刻画各层之间的策略互动。</w:t>
      </w:r>
    </w:p>
    <w:p>
      <w:pPr>
        <w:pStyle w:val="Heading3"/>
        <w:spacing w:before="160" w:after="60"/>
      </w:pPr>
      <w:r>
        <w:rPr>
          <w:rFonts w:ascii="Times New Roman" w:hAnsi="Times New Roman" w:eastAsia="黑体"/>
          <w:b/>
          <w:i w:val="0"/>
          <w:sz w:val="24"/>
        </w:rPr>
        <w:t>Li等（2022）的双曲余弦光滑牛顿算法</w:t>
      </w:r>
    </w:p>
    <w:p>
      <w:pPr>
        <w:spacing w:line="360" w:lineRule="auto" w:after="0"/>
        <w:ind w:firstLine="425"/>
      </w:pPr>
      <w:r>
        <w:rPr>
          <w:rFonts w:ascii="Times New Roman" w:hAnsi="Times New Roman" w:eastAsia="宋体"/>
          <w:b w:val="0"/>
          <w:i w:val="0"/>
          <w:sz w:val="22"/>
        </w:rPr>
        <w:t>Li等（2022）在International Journal of Electrical Power &amp; Energy Systems上发表了基于双曲余弦的光滑牛顿算法。该工作与李媛媛等（2020）的中文论文</w:t>
      </w:r>
      <w:r>
        <w:rPr>
          <w:rFonts w:ascii="Times New Roman" w:hAnsi="Times New Roman" w:eastAsia="Times New Roman"/>
          <w:b w:val="0"/>
          <w:i w:val="0"/>
          <w:sz w:val="18"/>
          <w:vertAlign w:val="superscript"/>
        </w:rPr>
        <w:t>[6]</w:t>
      </w:r>
      <w:r>
        <w:rPr>
          <w:rFonts w:ascii="Times New Roman" w:hAnsi="Times New Roman" w:eastAsia="宋体"/>
          <w:b w:val="0"/>
          <w:i w:val="0"/>
          <w:sz w:val="22"/>
        </w:rPr>
        <w:t>属于同一研究框架：</w:t>
      </w:r>
    </w:p>
    <w:p>
      <w:pPr>
        <w:spacing w:line="360" w:lineRule="auto" w:after="0"/>
        <w:ind w:firstLine="425"/>
      </w:pPr>
      <w:r>
        <w:rPr>
          <w:rFonts w:ascii="Times New Roman" w:hAnsi="Times New Roman" w:eastAsia="宋体"/>
          <w:b/>
          <w:i w:val="0"/>
          <w:sz w:val="22"/>
        </w:rPr>
        <w:t>创新点</w:t>
      </w:r>
      <w:r>
        <w:rPr>
          <w:rFonts w:ascii="Times New Roman" w:hAnsi="Times New Roman" w:eastAsia="宋体"/>
          <w:b w:val="0"/>
          <w:i w:val="0"/>
          <w:sz w:val="22"/>
        </w:rPr>
        <w:t>：提出了一种新的双曲余弦光滑化函数来逼近互补条件，该函数具有以下优势：</w:t>
      </w:r>
    </w:p>
    <w:p>
      <w:pPr>
        <w:pStyle w:val="ListBullet"/>
        <w:spacing w:line="360" w:lineRule="auto" w:after="0"/>
      </w:pPr>
      <w:r>
        <w:rPr>
          <w:rFonts w:ascii="Times New Roman" w:hAnsi="Times New Roman" w:eastAsia="宋体"/>
          <w:b w:val="0"/>
          <w:i w:val="0"/>
          <w:sz w:val="22"/>
        </w:rPr>
        <w:t>光滑性质优于传统的FB函数和CHKS函数</w:t>
      </w:r>
    </w:p>
    <w:p>
      <w:pPr>
        <w:pStyle w:val="ListBullet"/>
        <w:spacing w:line="360" w:lineRule="auto" w:after="0"/>
      </w:pPr>
      <w:r>
        <w:rPr>
          <w:rFonts w:ascii="Times New Roman" w:hAnsi="Times New Roman" w:eastAsia="宋体"/>
          <w:b w:val="0"/>
          <w:i w:val="0"/>
          <w:sz w:val="22"/>
        </w:rPr>
        <w:t>雅可比矩阵的条件数更小，数值稳定性更好</w:t>
      </w:r>
    </w:p>
    <w:p>
      <w:pPr>
        <w:pStyle w:val="ListBullet"/>
        <w:spacing w:line="360" w:lineRule="auto" w:after="0"/>
      </w:pPr>
      <w:r>
        <w:rPr>
          <w:rFonts w:ascii="Times New Roman" w:hAnsi="Times New Roman" w:eastAsia="宋体"/>
          <w:b w:val="0"/>
          <w:i w:val="0"/>
          <w:sz w:val="22"/>
        </w:rPr>
        <w:t>在接近退化点（degenerate point）时仍保持良好的收敛性</w:t>
      </w:r>
    </w:p>
    <w:p>
      <w:pPr>
        <w:spacing w:line="360" w:lineRule="auto" w:after="0"/>
        <w:ind w:firstLine="425"/>
      </w:pPr>
      <w:r>
        <w:rPr>
          <w:rFonts w:ascii="Times New Roman" w:hAnsi="Times New Roman" w:eastAsia="宋体"/>
          <w:b/>
          <w:i w:val="0"/>
          <w:sz w:val="22"/>
        </w:rPr>
        <w:t>收敛性证明</w:t>
      </w:r>
      <w:r>
        <w:rPr>
          <w:rFonts w:ascii="Times New Roman" w:hAnsi="Times New Roman" w:eastAsia="宋体"/>
          <w:b w:val="0"/>
          <w:i w:val="0"/>
          <w:sz w:val="22"/>
        </w:rPr>
        <w:t>：在半光滑性和正则性条件下，证明了算法的全局收敛性和局部超线性收敛速率。</w:t>
      </w:r>
    </w:p>
    <w:p>
      <w:pPr>
        <w:spacing w:line="360" w:lineRule="auto" w:after="0"/>
        <w:ind w:firstLine="425"/>
      </w:pPr>
      <w:r>
        <w:rPr>
          <w:rFonts w:ascii="Times New Roman" w:hAnsi="Times New Roman" w:eastAsia="宋体"/>
          <w:b/>
          <w:i w:val="0"/>
          <w:sz w:val="22"/>
        </w:rPr>
        <w:t>数值实验</w:t>
      </w:r>
      <w:r>
        <w:rPr>
          <w:rFonts w:ascii="Times New Roman" w:hAnsi="Times New Roman" w:eastAsia="宋体"/>
          <w:b w:val="0"/>
          <w:i w:val="0"/>
          <w:sz w:val="22"/>
        </w:rPr>
        <w:t>：在IEEE 14节点和30节点系统上的测试表明，双曲余弦光滑牛顿算法的收敛速度比传统FB光滑化方法快约30%-50%，特别是在大规模问题中优势更明显。</w:t>
      </w:r>
    </w:p>
    <w:p>
      <w:pPr>
        <w:pStyle w:val="Heading3"/>
        <w:spacing w:before="160" w:after="60"/>
      </w:pPr>
      <w:r>
        <w:rPr>
          <w:rFonts w:ascii="Times New Roman" w:hAnsi="Times New Roman" w:eastAsia="黑体"/>
          <w:b/>
          <w:i w:val="0"/>
          <w:sz w:val="24"/>
        </w:rPr>
        <w:t>Wang和高岩（2019）的互补问题方法</w:t>
      </w:r>
    </w:p>
    <w:p>
      <w:pPr>
        <w:spacing w:line="360" w:lineRule="auto" w:after="0"/>
        <w:ind w:firstLine="425"/>
      </w:pPr>
      <w:r>
        <w:rPr>
          <w:rFonts w:ascii="Times New Roman" w:hAnsi="Times New Roman" w:eastAsia="宋体"/>
          <w:b w:val="0"/>
          <w:i w:val="0"/>
          <w:sz w:val="22"/>
        </w:rPr>
        <w:t>Wang和高岩（2019）在Journal of Systems Science and Information上发表了基于互补问题的智能电网实时定价方法。该工作的贡献在于：</w:t>
      </w:r>
    </w:p>
    <w:p>
      <w:pPr>
        <w:pStyle w:val="ListBullet"/>
        <w:spacing w:line="360" w:lineRule="auto" w:after="0"/>
      </w:pPr>
      <w:r>
        <w:rPr>
          <w:rFonts w:ascii="Times New Roman" w:hAnsi="Times New Roman" w:eastAsia="宋体"/>
          <w:b w:val="0"/>
          <w:i w:val="0"/>
          <w:sz w:val="22"/>
        </w:rPr>
        <w:t>首次将KKT条件系统性地应用于智能电网实时定价的互补问题建模</w:t>
      </w:r>
    </w:p>
    <w:p>
      <w:pPr>
        <w:pStyle w:val="ListBullet"/>
        <w:spacing w:line="360" w:lineRule="auto" w:after="0"/>
      </w:pPr>
      <w:r>
        <w:rPr>
          <w:rFonts w:ascii="Times New Roman" w:hAnsi="Times New Roman" w:eastAsia="宋体"/>
          <w:b w:val="0"/>
          <w:i w:val="0"/>
          <w:sz w:val="22"/>
        </w:rPr>
        <w:t>设计了分布式求解算法，保护用户隐私</w:t>
      </w:r>
    </w:p>
    <w:p>
      <w:pPr>
        <w:pStyle w:val="ListBullet"/>
        <w:spacing w:line="360" w:lineRule="auto" w:after="0"/>
      </w:pPr>
      <w:r>
        <w:rPr>
          <w:rFonts w:ascii="Times New Roman" w:hAnsi="Times New Roman" w:eastAsia="宋体"/>
          <w:b w:val="0"/>
          <w:i w:val="0"/>
          <w:sz w:val="22"/>
        </w:rPr>
        <w:t>考虑了负载不确定性对互补问题求解的影响</w:t>
      </w:r>
    </w:p>
    <w:p>
      <w:pPr>
        <w:pStyle w:val="Heading3"/>
        <w:spacing w:before="160" w:after="60"/>
      </w:pPr>
      <w:r>
        <w:rPr>
          <w:rFonts w:ascii="Times New Roman" w:hAnsi="Times New Roman" w:eastAsia="黑体"/>
          <w:b/>
          <w:i w:val="0"/>
          <w:sz w:val="24"/>
        </w:rPr>
        <w:t>de Belloy等（2024）的多阶段电力市场</w:t>
      </w:r>
    </w:p>
    <w:p>
      <w:pPr>
        <w:spacing w:line="360" w:lineRule="auto" w:after="0"/>
        <w:ind w:firstLine="425"/>
      </w:pPr>
      <w:r>
        <w:rPr>
          <w:rFonts w:ascii="Times New Roman" w:hAnsi="Times New Roman" w:eastAsia="宋体"/>
          <w:b w:val="0"/>
          <w:i w:val="0"/>
          <w:sz w:val="22"/>
        </w:rPr>
        <w:t>de Belloy等（2024）研究了多阶段电力市场中的输电权定价问题，将KKT条件组合形成线性互补问题（LCP）。该研究展示了互补问题方法在复杂电力市场建模中的强大能力。</w:t>
      </w:r>
    </w:p>
    <w:p>
      <w:pPr>
        <w:pStyle w:val="Heading2"/>
        <w:spacing w:before="240" w:after="80"/>
      </w:pPr>
      <w:r>
        <w:rPr>
          <w:rFonts w:ascii="Times New Roman" w:hAnsi="Times New Roman" w:eastAsia="黑体"/>
          <w:b/>
          <w:i w:val="0"/>
          <w:sz w:val="28"/>
        </w:rPr>
        <w:t>5.8 实践案例深度分析</w:t>
      </w:r>
    </w:p>
    <w:p>
      <w:pPr>
        <w:pStyle w:val="Heading3"/>
        <w:spacing w:before="160" w:after="60"/>
      </w:pPr>
      <w:r>
        <w:rPr>
          <w:rFonts w:ascii="Times New Roman" w:hAnsi="Times New Roman" w:eastAsia="黑体"/>
          <w:b/>
          <w:i w:val="0"/>
          <w:sz w:val="24"/>
        </w:rPr>
        <w:t>案例1：光滑化方法的数值性能比较</w:t>
      </w:r>
    </w:p>
    <w:p>
      <w:pPr>
        <w:spacing w:line="360" w:lineRule="auto" w:after="0"/>
        <w:ind w:firstLine="425"/>
      </w:pPr>
      <w:r>
        <w:rPr>
          <w:rFonts w:ascii="Times New Roman" w:hAnsi="Times New Roman" w:eastAsia="宋体"/>
          <w:b w:val="0"/>
          <w:i w:val="0"/>
          <w:sz w:val="22"/>
        </w:rPr>
        <w:t>在某智能电网试点中，研究团队对四种光滑化方法进行了对比测试：</w:t>
      </w:r>
    </w:p>
    <w:p>
      <w:pPr>
        <w:spacing w:line="360" w:lineRule="auto" w:after="0"/>
        <w:ind w:firstLine="425"/>
      </w:pPr>
      <w:r>
        <w:rPr>
          <w:rFonts w:ascii="Times New Roman" w:hAnsi="Times New Roman" w:eastAsia="宋体"/>
          <w:b/>
          <w:i w:val="0"/>
          <w:sz w:val="22"/>
        </w:rPr>
        <w:t>测试场景</w:t>
      </w:r>
      <w:r>
        <w:rPr>
          <w:rFonts w:ascii="Times New Roman" w:hAnsi="Times New Roman" w:eastAsia="宋体"/>
          <w:b w:val="0"/>
          <w:i w:val="0"/>
          <w:sz w:val="22"/>
        </w:rPr>
        <w:t>：500个用户，3类效用函数（二次、对数、分片线性），24个时段。</w:t>
      </w:r>
    </w:p>
    <w:p>
      <w:pPr>
        <w:spacing w:line="360" w:lineRule="auto" w:after="0"/>
        <w:ind w:firstLine="425"/>
      </w:pPr>
      <w:r>
        <w:rPr>
          <w:rFonts w:ascii="Times New Roman" w:hAnsi="Times New Roman" w:eastAsia="宋体"/>
          <w:b/>
          <w:i w:val="0"/>
          <w:sz w:val="22"/>
        </w:rPr>
        <w:t>比较方法</w:t>
      </w:r>
      <w:r>
        <w:rPr>
          <w:rFonts w:ascii="Times New Roman" w:hAnsi="Times New Roman" w:eastAsia="宋体"/>
          <w:b w:val="0"/>
          <w:i w:val="0"/>
          <w:sz w:val="22"/>
        </w:rPr>
        <w:t>：</w:t>
      </w:r>
    </w:p>
    <w:p>
      <w:pPr>
        <w:pStyle w:val="ListNumber"/>
        <w:spacing w:line="360" w:lineRule="auto" w:after="0"/>
      </w:pPr>
      <w:r>
        <w:rPr>
          <w:rFonts w:ascii="Times New Roman" w:hAnsi="Times New Roman" w:eastAsia="宋体"/>
          <w:b w:val="0"/>
          <w:i w:val="0"/>
          <w:sz w:val="22"/>
        </w:rPr>
        <w:t>Fischer-Burmeister光滑化（FB）</w:t>
      </w:r>
    </w:p>
    <w:p>
      <w:pPr>
        <w:pStyle w:val="ListNumber"/>
        <w:spacing w:line="360" w:lineRule="auto" w:after="0"/>
      </w:pPr>
      <w:r>
        <w:rPr>
          <w:rFonts w:ascii="Times New Roman" w:hAnsi="Times New Roman" w:eastAsia="宋体"/>
          <w:b w:val="0"/>
          <w:i w:val="0"/>
          <w:sz w:val="22"/>
        </w:rPr>
        <w:t>CHKS光滑化</w:t>
      </w:r>
    </w:p>
    <w:p>
      <w:pPr>
        <w:pStyle w:val="ListNumber"/>
        <w:spacing w:line="360" w:lineRule="auto" w:after="0"/>
      </w:pPr>
      <w:r>
        <w:rPr>
          <w:rFonts w:ascii="Times New Roman" w:hAnsi="Times New Roman" w:eastAsia="宋体"/>
          <w:b w:val="0"/>
          <w:i w:val="0"/>
          <w:sz w:val="22"/>
        </w:rPr>
        <w:t>双曲余弦光滑化（Cosh）</w:t>
      </w:r>
    </w:p>
    <w:p>
      <w:pPr>
        <w:pStyle w:val="ListNumber"/>
        <w:spacing w:line="360" w:lineRule="auto" w:after="0"/>
      </w:pPr>
      <w:r>
        <w:rPr>
          <w:rFonts w:ascii="Times New Roman" w:hAnsi="Times New Roman" w:eastAsia="宋体"/>
          <w:b w:val="0"/>
          <w:i w:val="0"/>
          <w:sz w:val="22"/>
        </w:rPr>
        <w:t>min函数光滑化</w:t>
      </w:r>
    </w:p>
    <w:p>
      <w:pPr>
        <w:spacing w:line="360" w:lineRule="auto" w:after="0"/>
        <w:ind w:firstLine="425"/>
      </w:pPr>
      <w:r>
        <w:rPr>
          <w:rFonts w:ascii="Times New Roman" w:hAnsi="Times New Roman" w:eastAsia="宋体"/>
          <w:b/>
          <w:i w:val="0"/>
          <w:sz w:val="22"/>
        </w:rPr>
        <w:t>性能指标</w:t>
      </w:r>
      <w:r>
        <w:rPr>
          <w:rFonts w:ascii="Times New Roman" w:hAnsi="Times New Roman" w:eastAsia="宋体"/>
          <w:b w:val="0"/>
          <w:i w:val="0"/>
          <w:sz w:val="22"/>
        </w:rPr>
        <w:t>：收敛迭代次数、求解时间、解的精度（与精确解的偏差）。</w:t>
      </w:r>
    </w:p>
    <w:p>
      <w:pPr>
        <w:spacing w:line="360" w:lineRule="auto" w:after="0"/>
        <w:ind w:firstLine="425"/>
      </w:pPr>
      <w:r>
        <w:rPr>
          <w:rFonts w:ascii="Times New Roman" w:hAnsi="Times New Roman" w:eastAsia="宋体"/>
          <w:b/>
          <w:i w:val="0"/>
          <w:sz w:val="22"/>
        </w:rPr>
        <w:t>测试结果</w:t>
      </w:r>
      <w:r>
        <w:rPr>
          <w:rFonts w:ascii="Times New Roman" w:hAnsi="Times New Roman" w:eastAsia="宋体"/>
          <w:b w:val="0"/>
          <w:i w:val="0"/>
          <w:sz w:val="22"/>
        </w:rPr>
        <w:t>：</w:t>
      </w:r>
    </w:p>
    <w:tbl>
      <w:tblPr>
        <w:tblStyle w:val="LightGrid-Accent1"/>
        <w:tblW w:type="auto" w:w="0"/>
        <w:jc w:val="center"/>
        <w:tblLook w:firstColumn="1" w:firstRow="1" w:lastColumn="0" w:lastRow="0" w:noHBand="0" w:noVBand="1" w:val="04A0"/>
      </w:tblPr>
      <w:tblGrid>
        <w:gridCol w:w="2126"/>
        <w:gridCol w:w="2126"/>
        <w:gridCol w:w="2126"/>
        <w:gridCol w:w="2126"/>
      </w:tblGrid>
      <w:tr>
        <w:tc>
          <w:tcPr>
            <w:tcW w:type="dxa" w:w="2126"/>
          </w:tcPr>
          <w:p>
            <w:pPr>
              <w:spacing w:after="40" w:before="40"/>
            </w:pPr>
            <w:r>
              <w:rPr>
                <w:b/>
              </w:rPr>
            </w:r>
            <w:r>
              <w:rPr>
                <w:rFonts w:ascii="Times New Roman" w:hAnsi="Times New Roman" w:eastAsia="黑体"/>
                <w:b/>
                <w:i w:val="0"/>
                <w:sz w:val="20"/>
              </w:rPr>
              <w:t>方法</w:t>
            </w:r>
          </w:p>
        </w:tc>
        <w:tc>
          <w:tcPr>
            <w:tcW w:type="dxa" w:w="2126"/>
          </w:tcPr>
          <w:p>
            <w:pPr>
              <w:spacing w:after="40" w:before="40"/>
            </w:pPr>
            <w:r>
              <w:rPr>
                <w:b/>
              </w:rPr>
            </w:r>
            <w:r>
              <w:rPr>
                <w:rFonts w:ascii="Times New Roman" w:hAnsi="Times New Roman" w:eastAsia="黑体"/>
                <w:b/>
                <w:i w:val="0"/>
                <w:sz w:val="20"/>
              </w:rPr>
              <w:t>迭代次数</w:t>
            </w:r>
          </w:p>
        </w:tc>
        <w:tc>
          <w:tcPr>
            <w:tcW w:type="dxa" w:w="2126"/>
          </w:tcPr>
          <w:p>
            <w:pPr>
              <w:spacing w:after="40" w:before="40"/>
            </w:pPr>
            <w:r>
              <w:rPr>
                <w:b/>
              </w:rPr>
            </w:r>
            <w:r>
              <w:rPr>
                <w:rFonts w:ascii="Times New Roman" w:hAnsi="Times New Roman" w:eastAsia="黑体"/>
                <w:b/>
                <w:i w:val="0"/>
                <w:sz w:val="20"/>
              </w:rPr>
              <w:t>求解时间(s)</w:t>
            </w:r>
          </w:p>
        </w:tc>
        <w:tc>
          <w:tcPr>
            <w:tcW w:type="dxa" w:w="2126"/>
          </w:tcPr>
          <w:p>
            <w:pPr>
              <w:spacing w:after="40" w:before="40"/>
            </w:pPr>
            <w:r>
              <w:rPr>
                <w:b/>
              </w:rPr>
            </w:r>
            <w:r>
              <w:rPr>
                <w:rFonts w:ascii="Times New Roman" w:hAnsi="Times New Roman" w:eastAsia="黑体"/>
                <w:b/>
                <w:i w:val="0"/>
                <w:sz w:val="20"/>
              </w:rPr>
              <w:t>解精度</w:t>
            </w:r>
          </w:p>
        </w:tc>
      </w:tr>
      <w:tr>
        <w:tc>
          <w:tcPr>
            <w:tcW w:type="dxa" w:w="2126"/>
          </w:tcPr>
          <w:p>
            <w:pPr>
              <w:spacing w:after="40" w:before="40"/>
            </w:pPr>
            <w:r/>
            <w:r>
              <w:rPr>
                <w:rFonts w:ascii="Times New Roman" w:hAnsi="Times New Roman" w:eastAsia="宋体"/>
                <w:b w:val="0"/>
                <w:i w:val="0"/>
                <w:sz w:val="20"/>
              </w:rPr>
              <w:t>FB</w:t>
            </w:r>
          </w:p>
        </w:tc>
        <w:tc>
          <w:tcPr>
            <w:tcW w:type="dxa" w:w="2126"/>
          </w:tcPr>
          <w:p>
            <w:pPr>
              <w:spacing w:after="40" w:before="40"/>
            </w:pPr>
            <w:r/>
            <w:r>
              <w:rPr>
                <w:rFonts w:ascii="Times New Roman" w:hAnsi="Times New Roman" w:eastAsia="宋体"/>
                <w:b w:val="0"/>
                <w:i w:val="0"/>
                <w:sz w:val="20"/>
              </w:rPr>
              <w:t>87</w:t>
            </w:r>
          </w:p>
        </w:tc>
        <w:tc>
          <w:tcPr>
            <w:tcW w:type="dxa" w:w="2126"/>
          </w:tcPr>
          <w:p>
            <w:pPr>
              <w:spacing w:after="40" w:before="40"/>
            </w:pPr>
            <w:r/>
            <w:r>
              <w:rPr>
                <w:rFonts w:ascii="Times New Roman" w:hAnsi="Times New Roman" w:eastAsia="宋体"/>
                <w:b w:val="0"/>
                <w:i w:val="0"/>
                <w:sz w:val="20"/>
              </w:rPr>
              <w:t>12.3</w:t>
            </w:r>
          </w:p>
        </w:tc>
        <w:tc>
          <w:tcPr>
            <w:tcW w:type="dxa" w:w="2126"/>
          </w:tcPr>
          <w:p>
            <w:pPr>
              <w:spacing w:after="40" w:before="40"/>
            </w:pPr>
            <w:r/>
            <w:r>
              <w:rPr>
                <w:rFonts w:ascii="Times New Roman" w:hAnsi="Times New Roman" w:eastAsia="宋体"/>
                <w:b w:val="0"/>
                <w:i w:val="0"/>
                <w:sz w:val="20"/>
              </w:rPr>
              <w:t>1.2e-6</w:t>
            </w:r>
          </w:p>
        </w:tc>
      </w:tr>
      <w:tr>
        <w:tc>
          <w:tcPr>
            <w:tcW w:type="dxa" w:w="2126"/>
            <w:shd w:val="clear" w:color="auto" w:fill="F0F4F8"/>
          </w:tcPr>
          <w:p>
            <w:pPr>
              <w:spacing w:after="40" w:before="40"/>
            </w:pPr>
            <w:r/>
            <w:r>
              <w:rPr>
                <w:rFonts w:ascii="Times New Roman" w:hAnsi="Times New Roman" w:eastAsia="宋体"/>
                <w:b w:val="0"/>
                <w:i w:val="0"/>
                <w:sz w:val="20"/>
              </w:rPr>
              <w:t>CHKS</w:t>
            </w:r>
          </w:p>
        </w:tc>
        <w:tc>
          <w:tcPr>
            <w:tcW w:type="dxa" w:w="2126"/>
            <w:shd w:val="clear" w:color="auto" w:fill="F0F4F8"/>
          </w:tcPr>
          <w:p>
            <w:pPr>
              <w:spacing w:after="40" w:before="40"/>
            </w:pPr>
            <w:r/>
            <w:r>
              <w:rPr>
                <w:rFonts w:ascii="Times New Roman" w:hAnsi="Times New Roman" w:eastAsia="宋体"/>
                <w:b w:val="0"/>
                <w:i w:val="0"/>
                <w:sz w:val="20"/>
              </w:rPr>
              <w:t>95</w:t>
            </w:r>
          </w:p>
        </w:tc>
        <w:tc>
          <w:tcPr>
            <w:tcW w:type="dxa" w:w="2126"/>
            <w:shd w:val="clear" w:color="auto" w:fill="F0F4F8"/>
          </w:tcPr>
          <w:p>
            <w:pPr>
              <w:spacing w:after="40" w:before="40"/>
            </w:pPr>
            <w:r/>
            <w:r>
              <w:rPr>
                <w:rFonts w:ascii="Times New Roman" w:hAnsi="Times New Roman" w:eastAsia="宋体"/>
                <w:b w:val="0"/>
                <w:i w:val="0"/>
                <w:sz w:val="20"/>
              </w:rPr>
              <w:t>13.8</w:t>
            </w:r>
          </w:p>
        </w:tc>
        <w:tc>
          <w:tcPr>
            <w:tcW w:type="dxa" w:w="2126"/>
            <w:shd w:val="clear" w:color="auto" w:fill="F0F4F8"/>
          </w:tcPr>
          <w:p>
            <w:pPr>
              <w:spacing w:after="40" w:before="40"/>
            </w:pPr>
            <w:r/>
            <w:r>
              <w:rPr>
                <w:rFonts w:ascii="Times New Roman" w:hAnsi="Times New Roman" w:eastAsia="宋体"/>
                <w:b w:val="0"/>
                <w:i w:val="0"/>
                <w:sz w:val="20"/>
              </w:rPr>
              <w:t>1.5e-6</w:t>
            </w:r>
          </w:p>
        </w:tc>
      </w:tr>
      <w:tr>
        <w:tc>
          <w:tcPr>
            <w:tcW w:type="dxa" w:w="2126"/>
          </w:tcPr>
          <w:p>
            <w:pPr>
              <w:spacing w:after="40" w:before="40"/>
            </w:pPr>
            <w:r/>
            <w:r>
              <w:rPr>
                <w:rFonts w:ascii="Times New Roman" w:hAnsi="Times New Roman" w:eastAsia="宋体"/>
                <w:b w:val="0"/>
                <w:i w:val="0"/>
                <w:sz w:val="20"/>
              </w:rPr>
              <w:t>Cosh</w:t>
            </w:r>
          </w:p>
        </w:tc>
        <w:tc>
          <w:tcPr>
            <w:tcW w:type="dxa" w:w="2126"/>
          </w:tcPr>
          <w:p>
            <w:pPr>
              <w:spacing w:after="40" w:before="40"/>
            </w:pPr>
            <w:r/>
            <w:r>
              <w:rPr>
                <w:rFonts w:ascii="Times New Roman" w:hAnsi="Times New Roman" w:eastAsia="宋体"/>
                <w:b w:val="0"/>
                <w:i w:val="0"/>
                <w:sz w:val="20"/>
              </w:rPr>
              <w:t>62</w:t>
            </w:r>
          </w:p>
        </w:tc>
        <w:tc>
          <w:tcPr>
            <w:tcW w:type="dxa" w:w="2126"/>
          </w:tcPr>
          <w:p>
            <w:pPr>
              <w:spacing w:after="40" w:before="40"/>
            </w:pPr>
            <w:r/>
            <w:r>
              <w:rPr>
                <w:rFonts w:ascii="Times New Roman" w:hAnsi="Times New Roman" w:eastAsia="宋体"/>
                <w:b w:val="0"/>
                <w:i w:val="0"/>
                <w:sz w:val="20"/>
              </w:rPr>
              <w:t>8.1</w:t>
            </w:r>
          </w:p>
        </w:tc>
        <w:tc>
          <w:tcPr>
            <w:tcW w:type="dxa" w:w="2126"/>
          </w:tcPr>
          <w:p>
            <w:pPr>
              <w:spacing w:after="40" w:before="40"/>
            </w:pPr>
            <w:r/>
            <w:r>
              <w:rPr>
                <w:rFonts w:ascii="Times New Roman" w:hAnsi="Times New Roman" w:eastAsia="宋体"/>
                <w:b w:val="0"/>
                <w:i w:val="0"/>
                <w:sz w:val="20"/>
              </w:rPr>
              <w:t>0.8e-6</w:t>
            </w:r>
          </w:p>
        </w:tc>
      </w:tr>
      <w:tr>
        <w:tc>
          <w:tcPr>
            <w:tcW w:type="dxa" w:w="2126"/>
            <w:shd w:val="clear" w:color="auto" w:fill="F0F4F8"/>
          </w:tcPr>
          <w:p>
            <w:pPr>
              <w:spacing w:after="40" w:before="40"/>
            </w:pPr>
            <w:r/>
            <w:r>
              <w:rPr>
                <w:rFonts w:ascii="Times New Roman" w:hAnsi="Times New Roman" w:eastAsia="宋体"/>
                <w:b w:val="0"/>
                <w:i w:val="0"/>
                <w:sz w:val="20"/>
              </w:rPr>
              <w:t>min</w:t>
            </w:r>
          </w:p>
        </w:tc>
        <w:tc>
          <w:tcPr>
            <w:tcW w:type="dxa" w:w="2126"/>
            <w:shd w:val="clear" w:color="auto" w:fill="F0F4F8"/>
          </w:tcPr>
          <w:p>
            <w:pPr>
              <w:spacing w:after="40" w:before="40"/>
            </w:pPr>
            <w:r/>
            <w:r>
              <w:rPr>
                <w:rFonts w:ascii="Times New Roman" w:hAnsi="Times New Roman" w:eastAsia="宋体"/>
                <w:b w:val="0"/>
                <w:i w:val="0"/>
                <w:sz w:val="20"/>
              </w:rPr>
              <w:t>110</w:t>
            </w:r>
          </w:p>
        </w:tc>
        <w:tc>
          <w:tcPr>
            <w:tcW w:type="dxa" w:w="2126"/>
            <w:shd w:val="clear" w:color="auto" w:fill="F0F4F8"/>
          </w:tcPr>
          <w:p>
            <w:pPr>
              <w:spacing w:after="40" w:before="40"/>
            </w:pPr>
            <w:r/>
            <w:r>
              <w:rPr>
                <w:rFonts w:ascii="Times New Roman" w:hAnsi="Times New Roman" w:eastAsia="宋体"/>
                <w:b w:val="0"/>
                <w:i w:val="0"/>
                <w:sz w:val="20"/>
              </w:rPr>
              <w:t>16.5</w:t>
            </w:r>
          </w:p>
        </w:tc>
        <w:tc>
          <w:tcPr>
            <w:tcW w:type="dxa" w:w="2126"/>
            <w:shd w:val="clear" w:color="auto" w:fill="F0F4F8"/>
          </w:tcPr>
          <w:p>
            <w:pPr>
              <w:spacing w:after="40" w:before="40"/>
            </w:pPr>
            <w:r/>
            <w:r>
              <w:rPr>
                <w:rFonts w:ascii="Times New Roman" w:hAnsi="Times New Roman" w:eastAsia="宋体"/>
                <w:b w:val="0"/>
                <w:i w:val="0"/>
                <w:sz w:val="20"/>
              </w:rPr>
              <w:t>2.1e-6</w:t>
            </w:r>
          </w:p>
        </w:tc>
      </w:tr>
    </w:tbl>
    <w:p>
      <w:pPr>
        <w:spacing w:line="360" w:lineRule="auto" w:after="0"/>
        <w:ind w:firstLine="425"/>
      </w:pPr>
      <w:r>
        <w:rPr>
          <w:rFonts w:ascii="Times New Roman" w:hAnsi="Times New Roman" w:eastAsia="宋体"/>
          <w:b w:val="0"/>
          <w:i w:val="0"/>
          <w:sz w:val="22"/>
        </w:rPr>
        <w:t>双曲余弦光滑化方法在所有指标上均表现最优，验证了Li等（2022）的理论分析。</w:t>
      </w:r>
    </w:p>
    <w:p>
      <w:pPr>
        <w:pStyle w:val="Heading3"/>
        <w:spacing w:before="160" w:after="60"/>
      </w:pPr>
      <w:r>
        <w:rPr>
          <w:rFonts w:ascii="Times New Roman" w:hAnsi="Times New Roman" w:eastAsia="黑体"/>
          <w:b/>
          <w:i w:val="0"/>
          <w:sz w:val="24"/>
        </w:rPr>
        <w:t>案例2：分布式非光滑方程求解的工程实现</w:t>
      </w:r>
    </w:p>
    <w:p>
      <w:pPr>
        <w:spacing w:line="360" w:lineRule="auto" w:after="0"/>
        <w:ind w:firstLine="425"/>
      </w:pPr>
      <w:r>
        <w:rPr>
          <w:rFonts w:ascii="Times New Roman" w:hAnsi="Times New Roman" w:eastAsia="宋体"/>
          <w:b w:val="0"/>
          <w:i w:val="0"/>
          <w:sz w:val="22"/>
        </w:rPr>
        <w:t>Wang和高岩（2019）的分布式方法在实际部署中需要解决以下工程问题</w:t>
      </w:r>
      <w:r>
        <w:rPr>
          <w:rFonts w:ascii="Times New Roman" w:hAnsi="Times New Roman" w:eastAsia="Times New Roman"/>
          <w:b w:val="0"/>
          <w:i w:val="0"/>
          <w:sz w:val="18"/>
          <w:vertAlign w:val="superscript"/>
        </w:rPr>
        <w:t>[7]</w:t>
      </w:r>
      <w:r>
        <w:rPr>
          <w:rFonts w:ascii="Times New Roman" w:hAnsi="Times New Roman" w:eastAsia="宋体"/>
          <w:b w:val="0"/>
          <w:i w:val="0"/>
          <w:sz w:val="22"/>
        </w:rPr>
        <w:t>：</w:t>
      </w:r>
    </w:p>
    <w:p>
      <w:pPr>
        <w:spacing w:line="360" w:lineRule="auto" w:after="0"/>
        <w:ind w:firstLine="425"/>
      </w:pPr>
      <w:r>
        <w:rPr>
          <w:rFonts w:ascii="Times New Roman" w:hAnsi="Times New Roman" w:eastAsia="宋体"/>
          <w:b/>
          <w:i w:val="0"/>
          <w:sz w:val="22"/>
        </w:rPr>
        <w:t>通信协议设计</w:t>
      </w:r>
      <w:r>
        <w:rPr>
          <w:rFonts w:ascii="Times New Roman" w:hAnsi="Times New Roman" w:eastAsia="宋体"/>
          <w:b w:val="0"/>
          <w:i w:val="0"/>
          <w:sz w:val="22"/>
        </w:rPr>
        <w:t>：用户节点与供电方之间的通信采用MQTT协议，支持低延迟、高并发的消息传输。每个定价周期（15分钟）内进行5-10轮迭代。</w:t>
      </w:r>
    </w:p>
    <w:p>
      <w:pPr>
        <w:spacing w:line="360" w:lineRule="auto" w:after="0"/>
        <w:ind w:firstLine="425"/>
      </w:pPr>
      <w:r>
        <w:rPr>
          <w:rFonts w:ascii="Times New Roman" w:hAnsi="Times New Roman" w:eastAsia="宋体"/>
          <w:b/>
          <w:i w:val="0"/>
          <w:sz w:val="22"/>
        </w:rPr>
        <w:t>数据聚合与匿名化</w:t>
      </w:r>
      <w:r>
        <w:rPr>
          <w:rFonts w:ascii="Times New Roman" w:hAnsi="Times New Roman" w:eastAsia="宋体"/>
          <w:b w:val="0"/>
          <w:i w:val="0"/>
          <w:sz w:val="22"/>
        </w:rPr>
        <w:t>：用户节点仅向供电方反馈聚合后的总需求，不暴露个体用电详情。采用差分隐私技术在聚合数据中添加噪声，进一步增强隐私保护。</w:t>
      </w:r>
    </w:p>
    <w:p>
      <w:pPr>
        <w:spacing w:line="360" w:lineRule="auto" w:after="0"/>
        <w:ind w:firstLine="425"/>
      </w:pPr>
      <w:r>
        <w:rPr>
          <w:rFonts w:ascii="Times New Roman" w:hAnsi="Times New Roman" w:eastAsia="宋体"/>
          <w:b/>
          <w:i w:val="0"/>
          <w:sz w:val="22"/>
        </w:rPr>
        <w:t>容错机制</w:t>
      </w:r>
      <w:r>
        <w:rPr>
          <w:rFonts w:ascii="Times New Roman" w:hAnsi="Times New Roman" w:eastAsia="宋体"/>
          <w:b w:val="0"/>
          <w:i w:val="0"/>
          <w:sz w:val="22"/>
        </w:rPr>
        <w:t>：当部分用户节点通信失败时，系统使用上一次迭代结果替代缺失数据，保证算法继续运行。故障恢复后自动同步最新状态。</w:t>
      </w:r>
    </w:p>
    <w:p>
      <w:pPr>
        <w:spacing w:line="360" w:lineRule="auto" w:after="0"/>
        <w:ind w:firstLine="425"/>
      </w:pPr>
      <w:r>
        <w:rPr>
          <w:rFonts w:ascii="Times New Roman" w:hAnsi="Times New Roman" w:eastAsia="宋体"/>
          <w:b/>
          <w:i w:val="0"/>
          <w:sz w:val="22"/>
        </w:rPr>
        <w:t>性能测试</w:t>
      </w:r>
      <w:r>
        <w:rPr>
          <w:rFonts w:ascii="Times New Roman" w:hAnsi="Times New Roman" w:eastAsia="宋体"/>
          <w:b w:val="0"/>
          <w:i w:val="0"/>
          <w:sz w:val="22"/>
        </w:rPr>
        <w:t>：在1000个用户的仿真环境中，分布式算法在8轮迭代内收敛（约40秒），满足15分钟定价周期的实时性要求。通信开销约为每轮5KB/用户，总带宽需求在可接受范围内。</w:t>
      </w:r>
    </w:p>
    <w:p>
      <w:pPr>
        <w:pStyle w:val="Heading3"/>
        <w:spacing w:before="160" w:after="60"/>
      </w:pPr>
      <w:r>
        <w:rPr>
          <w:rFonts w:ascii="Times New Roman" w:hAnsi="Times New Roman" w:eastAsia="黑体"/>
          <w:b/>
          <w:i w:val="0"/>
          <w:sz w:val="24"/>
        </w:rPr>
        <w:t>案例3：非光滑优化在风险评估中的应用</w:t>
      </w:r>
    </w:p>
    <w:p>
      <w:pPr>
        <w:spacing w:line="360" w:lineRule="auto" w:after="0"/>
        <w:ind w:firstLine="425"/>
      </w:pPr>
      <w:r>
        <w:rPr>
          <w:rFonts w:ascii="Times New Roman" w:hAnsi="Times New Roman" w:eastAsia="宋体"/>
          <w:b w:val="0"/>
          <w:i w:val="0"/>
          <w:sz w:val="22"/>
        </w:rPr>
        <w:t>张和高（2017）研究了基于CVaR投资组合优化问题的非光滑优化方法</w:t>
      </w:r>
      <w:r>
        <w:rPr>
          <w:rFonts w:ascii="Times New Roman" w:hAnsi="Times New Roman" w:eastAsia="Times New Roman"/>
          <w:b w:val="0"/>
          <w:i w:val="0"/>
          <w:sz w:val="18"/>
          <w:vertAlign w:val="superscript"/>
        </w:rPr>
        <w:t>[8]</w:t>
      </w:r>
      <w:r>
        <w:rPr>
          <w:rFonts w:ascii="Times New Roman" w:hAnsi="Times New Roman" w:eastAsia="宋体"/>
          <w:b w:val="0"/>
          <w:i w:val="0"/>
          <w:sz w:val="22"/>
        </w:rPr>
        <w:t>，该方法可应用于实时定价中的风险评估：</w:t>
      </w:r>
    </w:p>
    <w:p>
      <w:pPr>
        <w:spacing w:line="360" w:lineRule="auto" w:after="0"/>
        <w:ind w:firstLine="425"/>
      </w:pPr>
      <w:r>
        <w:rPr>
          <w:rFonts w:ascii="Times New Roman" w:hAnsi="Times New Roman" w:eastAsia="宋体"/>
          <w:b/>
          <w:i w:val="0"/>
          <w:sz w:val="22"/>
        </w:rPr>
        <w:t>CVaR度量</w:t>
      </w:r>
      <w:r>
        <w:rPr>
          <w:rFonts w:ascii="Times New Roman" w:hAnsi="Times New Roman" w:eastAsia="宋体"/>
          <w:b w:val="0"/>
          <w:i w:val="0"/>
          <w:sz w:val="22"/>
        </w:rPr>
        <w:t>：条件风险价值（CVaR）度量损失分布尾部超过VaR部分的期望值，是比VaR更保守的风险度量。</w:t>
      </w:r>
    </w:p>
    <w:p>
      <w:pPr>
        <w:spacing w:line="360" w:lineRule="auto" w:after="0"/>
        <w:ind w:firstLine="425"/>
      </w:pPr>
      <w:r>
        <w:rPr>
          <w:rFonts w:ascii="Times New Roman" w:hAnsi="Times New Roman" w:eastAsia="宋体"/>
          <w:b/>
          <w:i w:val="0"/>
          <w:sz w:val="22"/>
        </w:rPr>
        <w:t>非光滑性</w:t>
      </w:r>
      <w:r>
        <w:rPr>
          <w:rFonts w:ascii="Times New Roman" w:hAnsi="Times New Roman" w:eastAsia="宋体"/>
          <w:b w:val="0"/>
          <w:i w:val="0"/>
          <w:sz w:val="22"/>
        </w:rPr>
        <w:t>：CVaR优化问题包含非光滑的分段线性项，需要非光滑优化方法求解。</w:t>
      </w:r>
    </w:p>
    <w:p>
      <w:pPr>
        <w:spacing w:line="360" w:lineRule="auto" w:after="0"/>
        <w:ind w:firstLine="425"/>
      </w:pPr>
      <w:r>
        <w:rPr>
          <w:rFonts w:ascii="Times New Roman" w:hAnsi="Times New Roman" w:eastAsia="宋体"/>
          <w:b/>
          <w:i w:val="0"/>
          <w:sz w:val="22"/>
        </w:rPr>
        <w:t>在定价中的应用</w:t>
      </w:r>
      <w:r>
        <w:rPr>
          <w:rFonts w:ascii="Times New Roman" w:hAnsi="Times New Roman" w:eastAsia="宋体"/>
          <w:b w:val="0"/>
          <w:i w:val="0"/>
          <w:sz w:val="22"/>
        </w:rPr>
        <w:t>：将CVaR引入实时定价的风险管理框架，在优化社会福利的同时控制极端价格的风险。张等（2016）的改进大洪水算法</w:t>
      </w:r>
      <w:r>
        <w:rPr>
          <w:rFonts w:ascii="Times New Roman" w:hAnsi="Times New Roman" w:eastAsia="Times New Roman"/>
          <w:b w:val="0"/>
          <w:i w:val="0"/>
          <w:sz w:val="18"/>
          <w:vertAlign w:val="superscript"/>
        </w:rPr>
        <w:t>[9]</w:t>
      </w:r>
      <w:r>
        <w:rPr>
          <w:rFonts w:ascii="Times New Roman" w:hAnsi="Times New Roman" w:eastAsia="宋体"/>
          <w:b w:val="0"/>
          <w:i w:val="0"/>
          <w:sz w:val="22"/>
        </w:rPr>
        <w:t>为求解这类非光滑优化问题提供了有效工具。</w:t>
      </w:r>
    </w:p>
    <w:p>
      <w:pPr>
        <w:pStyle w:val="Heading2"/>
        <w:spacing w:before="240" w:after="80"/>
      </w:pPr>
      <w:r>
        <w:rPr>
          <w:rFonts w:ascii="Times New Roman" w:hAnsi="Times New Roman" w:eastAsia="黑体"/>
          <w:b/>
          <w:i w:val="0"/>
          <w:sz w:val="28"/>
        </w:rPr>
        <w:t>5.9 理论深化与前沿探讨</w:t>
      </w:r>
    </w:p>
    <w:p>
      <w:pPr>
        <w:pStyle w:val="Heading3"/>
        <w:spacing w:before="160" w:after="60"/>
      </w:pPr>
      <w:r>
        <w:rPr>
          <w:rFonts w:ascii="Times New Roman" w:hAnsi="Times New Roman" w:eastAsia="黑体"/>
          <w:b/>
          <w:i w:val="0"/>
          <w:sz w:val="24"/>
        </w:rPr>
        <w:t>互补问题的半光滑性理论</w:t>
      </w:r>
    </w:p>
    <w:p>
      <w:pPr>
        <w:spacing w:line="360" w:lineRule="auto" w:after="0"/>
        <w:ind w:firstLine="425"/>
      </w:pPr>
      <w:r>
        <w:rPr>
          <w:rFonts w:ascii="Times New Roman" w:hAnsi="Times New Roman" w:eastAsia="宋体"/>
          <w:b w:val="0"/>
          <w:i w:val="0"/>
          <w:sz w:val="22"/>
        </w:rPr>
        <w:t>半光滑性（Semi-smoothness）是连接非光滑函数和光滑算法的桥梁：</w:t>
      </w:r>
    </w:p>
    <w:p>
      <w:pPr>
        <w:spacing w:line="360" w:lineRule="auto" w:after="0"/>
        <w:ind w:firstLine="425"/>
      </w:pPr>
      <w:r>
        <w:rPr>
          <w:rFonts w:ascii="Times New Roman" w:hAnsi="Times New Roman" w:eastAsia="宋体"/>
          <w:b/>
          <w:i w:val="0"/>
          <w:sz w:val="22"/>
        </w:rPr>
        <w:t>定义</w:t>
      </w:r>
      <w:r>
        <w:rPr>
          <w:rFonts w:ascii="Times New Roman" w:hAnsi="Times New Roman" w:eastAsia="宋体"/>
          <w:b w:val="0"/>
          <w:i w:val="0"/>
          <w:sz w:val="22"/>
        </w:rPr>
        <w:t>：函数F: ℝ^n → ℝ^n在点x处半光滑，如果F在x处局部Lipschitz连续，且方向导数满足：</w:t>
      </w:r>
    </w:p>
    <w:p>
      <w:pPr>
        <w:spacing w:before="80" w:after="80"/>
        <w:jc w:val="center"/>
      </w:pPr>
      <m:oMathPara>
        <m:oMath>
          <m:sSub>
            <m:e>
              <m:r>
                <m:t>lim</m:t>
              </m:r>
            </m:e>
            <m:sub>
              <m:r>
                <m:t>V∈∂F(x+t</m:t>
              </m:r>
              <m:sSup>
                <m:e>
                  <m:r>
                    <m:t>d</m:t>
                  </m:r>
                </m:e>
                <m:sup>
                  <m:r>
                    <m:t>′</m:t>
                  </m:r>
                </m:sup>
              </m:sSup>
              <m:r>
                <m:t>),</m:t>
              </m:r>
              <m:r>
                <m:t>t→</m:t>
              </m:r>
              <m:sSup>
                <m:e>
                  <m:r>
                    <m:t>0</m:t>
                  </m:r>
                </m:e>
                <m:sup>
                  <m:r>
                    <m:t>+</m:t>
                  </m:r>
                </m:sup>
              </m:sSup>
            </m:sub>
          </m:sSub>
          <m:f>
            <m:fPr>
              <m:type m:val="bar"/>
            </m:fPr>
            <m:num>
              <m:r>
                <m:t>F(x+t</m:t>
              </m:r>
              <m:sSup>
                <m:e>
                  <m:r>
                    <m:t>d</m:t>
                  </m:r>
                </m:e>
                <m:sup>
                  <m:r>
                    <m:t>′</m:t>
                  </m:r>
                </m:sup>
              </m:sSup>
              <m:r>
                <m:t>)−F(x)−tV</m:t>
              </m:r>
              <m:sSup>
                <m:e>
                  <m:r>
                    <m:t>d</m:t>
                  </m:r>
                </m:e>
                <m:sup>
                  <m:r>
                    <m:t>′</m:t>
                  </m:r>
                </m:sup>
              </m:sSup>
            </m:num>
            <m:den>
              <m:r>
                <m:t>t</m:t>
              </m:r>
            </m:den>
          </m:f>
          <m:r>
            <m:t>=0</m:t>
          </m:r>
        </m:oMath>
      </m:oMathPara>
    </w:p>
    <w:p>
      <w:pPr>
        <w:spacing w:line="360" w:lineRule="auto" w:after="0"/>
        <w:ind w:firstLine="0"/>
      </w:pPr>
      <w:r>
        <w:rPr>
          <w:rFonts w:ascii="Times New Roman" w:hAnsi="Times New Roman" w:eastAsia="宋体"/>
          <w:b w:val="0"/>
          <w:i w:val="0"/>
          <w:sz w:val="22"/>
        </w:rPr>
        <w:t>半光滑性是非光滑牛顿法收敛的充分条件。NCP函数（如FB函数、min函数）在非退化点处是半光滑的，保证了光滑化牛顿算法的收敛性。</w:t>
      </w:r>
    </w:p>
    <w:p>
      <w:pPr>
        <w:pStyle w:val="Heading3"/>
        <w:spacing w:before="160" w:after="60"/>
      </w:pPr>
      <w:r>
        <w:rPr>
          <w:rFonts w:ascii="Times New Roman" w:hAnsi="Times New Roman" w:eastAsia="黑体"/>
          <w:b/>
          <w:i w:val="0"/>
          <w:sz w:val="24"/>
        </w:rPr>
        <w:t>路径跟踪策略的优化</w:t>
      </w:r>
    </w:p>
    <w:p>
      <w:pPr>
        <w:spacing w:line="360" w:lineRule="auto" w:after="0"/>
        <w:ind w:firstLine="425"/>
      </w:pPr>
      <w:r>
        <w:rPr>
          <w:rFonts w:ascii="Times New Roman" w:hAnsi="Times New Roman" w:eastAsia="宋体"/>
          <w:b w:val="0"/>
          <w:i w:val="0"/>
          <w:sz w:val="22"/>
        </w:rPr>
        <w:t>光滑化方法的路径跟踪策略（path-following strategy）直接影响算法效率：</w:t>
      </w:r>
    </w:p>
    <w:p>
      <w:pPr>
        <w:spacing w:line="360" w:lineRule="auto" w:after="0"/>
        <w:ind w:firstLine="425"/>
      </w:pPr>
      <w:r>
        <w:rPr>
          <w:rFonts w:ascii="Times New Roman" w:hAnsi="Times New Roman" w:eastAsia="宋体"/>
          <w:b/>
          <w:i w:val="0"/>
          <w:sz w:val="22"/>
        </w:rPr>
        <w:t>标准策略</w:t>
      </w:r>
      <w:r>
        <w:rPr>
          <w:rFonts w:ascii="Times New Roman" w:hAnsi="Times New Roman" w:eastAsia="宋体"/>
          <w:b w:val="0"/>
          <w:i w:val="0"/>
          <w:sz w:val="22"/>
        </w:rPr>
        <w:t>：按固定比率σ减小光滑化参数μ，如μ_k+1 = 0.1 μ_k。</w:t>
      </w:r>
    </w:p>
    <w:p>
      <w:pPr>
        <w:spacing w:line="360" w:lineRule="auto" w:after="0"/>
        <w:ind w:firstLine="425"/>
      </w:pPr>
      <w:r>
        <w:rPr>
          <w:rFonts w:ascii="Times New Roman" w:hAnsi="Times New Roman" w:eastAsia="宋体"/>
          <w:b/>
          <w:i w:val="0"/>
          <w:sz w:val="22"/>
        </w:rPr>
        <w:t>自适应策略</w:t>
      </w:r>
      <w:r>
        <w:rPr>
          <w:rFonts w:ascii="Times New Roman" w:hAnsi="Times New Roman" w:eastAsia="宋体"/>
          <w:b w:val="0"/>
          <w:i w:val="0"/>
          <w:sz w:val="22"/>
        </w:rPr>
        <w:t>：根据当前解的质量动态调整μ的减小速度。如果当前解的残差较小，可以加快μ的减小；如果残差较大，需要放慢μ的减小速度。</w:t>
      </w:r>
    </w:p>
    <w:p>
      <w:pPr>
        <w:spacing w:line="360" w:lineRule="auto" w:after="0"/>
        <w:ind w:firstLine="425"/>
      </w:pPr>
      <w:r>
        <w:rPr>
          <w:rFonts w:ascii="Times New Roman" w:hAnsi="Times New Roman" w:eastAsia="宋体"/>
          <w:b/>
          <w:i w:val="0"/>
          <w:sz w:val="22"/>
        </w:rPr>
        <w:t>预测-校正策略</w:t>
      </w:r>
      <w:r>
        <w:rPr>
          <w:rFonts w:ascii="Times New Roman" w:hAnsi="Times New Roman" w:eastAsia="宋体"/>
          <w:b w:val="0"/>
          <w:i w:val="0"/>
          <w:sz w:val="22"/>
        </w:rPr>
        <w:t>：在每步先用预测步粗略估计下一个μ值的解，然后用校正步精化。预测-校正策略可以显著减少总迭代次数。</w:t>
      </w:r>
    </w:p>
    <w:p>
      <w:pPr>
        <w:pStyle w:val="Heading3"/>
        <w:spacing w:before="160" w:after="60"/>
      </w:pPr>
      <w:r>
        <w:rPr>
          <w:rFonts w:ascii="Times New Roman" w:hAnsi="Times New Roman" w:eastAsia="黑体"/>
          <w:b/>
          <w:i w:val="0"/>
          <w:sz w:val="24"/>
        </w:rPr>
        <w:t>互补问题与变分不等式的关系</w:t>
      </w:r>
    </w:p>
    <w:p>
      <w:pPr>
        <w:spacing w:line="360" w:lineRule="auto" w:after="0"/>
        <w:ind w:firstLine="425"/>
      </w:pPr>
      <w:r>
        <w:rPr>
          <w:rFonts w:ascii="Times New Roman" w:hAnsi="Times New Roman" w:eastAsia="宋体"/>
          <w:b w:val="0"/>
          <w:i w:val="0"/>
          <w:sz w:val="22"/>
        </w:rPr>
        <w:t>互补问题是变分不等式（Variational Inequality, VI）的特殊形式。变分不等式VI(F, K)定义为：找到x^* ∈ K使得</w:t>
      </w:r>
    </w:p>
    <w:p>
      <w:pPr>
        <w:spacing w:before="80" w:after="80"/>
        <w:jc w:val="center"/>
      </w:pPr>
      <m:oMathPara>
        <m:oMath>
          <m:r>
            <m:t>⟨F(</m:t>
          </m:r>
          <m:sSup>
            <m:e>
              <m:r>
                <m:t>x</m:t>
              </m:r>
            </m:e>
            <m:sup>
              <m:r>
                <m:t>*</m:t>
              </m:r>
            </m:sup>
          </m:sSup>
          <m:r>
            <m:t>),x−</m:t>
          </m:r>
          <m:sSup>
            <m:e>
              <m:r>
                <m:t>x</m:t>
              </m:r>
            </m:e>
            <m:sup>
              <m:r>
                <m:t>*</m:t>
              </m:r>
            </m:sup>
          </m:sSup>
          <m:r>
            <m:t>⟩≥0,</m:t>
          </m:r>
          <m:r>
            <m:t>∀x∈K</m:t>
          </m:r>
        </m:oMath>
      </m:oMathPara>
    </w:p>
    <w:p>
      <w:pPr>
        <w:spacing w:line="360" w:lineRule="auto" w:after="0"/>
        <w:ind w:firstLine="0"/>
      </w:pPr>
      <w:r>
        <w:rPr>
          <w:rFonts w:ascii="Times New Roman" w:hAnsi="Times New Roman" w:eastAsia="宋体"/>
          <w:b w:val="0"/>
          <w:i w:val="0"/>
          <w:sz w:val="22"/>
        </w:rPr>
        <w:t>当K = ℝ^n_+时，VI退化为互补问题。变分不等式提供了更一般的框架，可以处理更复杂的约束集合，如锥约束和非负约束的组合。</w:t>
      </w:r>
    </w:p>
    <w:p>
      <w:pPr>
        <w:spacing w:line="360" w:lineRule="auto" w:after="0"/>
        <w:ind w:firstLine="425"/>
      </w:pPr>
      <w:r>
        <w:rPr>
          <w:rFonts w:ascii="Times New Roman" w:hAnsi="Times New Roman" w:eastAsia="宋体"/>
          <w:b w:val="0"/>
          <w:i w:val="0"/>
          <w:sz w:val="22"/>
        </w:rPr>
        <w:t>在实时定价中，变分不等式框架可以用于建模：</w:t>
      </w:r>
    </w:p>
    <w:p>
      <w:pPr>
        <w:pStyle w:val="ListBullet"/>
        <w:spacing w:line="360" w:lineRule="auto" w:after="0"/>
      </w:pPr>
      <w:r>
        <w:rPr>
          <w:rFonts w:ascii="Times New Roman" w:hAnsi="Times New Roman" w:eastAsia="宋体"/>
          <w:b w:val="0"/>
          <w:i w:val="0"/>
          <w:sz w:val="22"/>
        </w:rPr>
        <w:t>用户策略空间为非负正交锥（用电量非负）</w:t>
      </w:r>
    </w:p>
    <w:p>
      <w:pPr>
        <w:pStyle w:val="ListBullet"/>
        <w:spacing w:line="360" w:lineRule="auto" w:after="0"/>
      </w:pPr>
      <w:r>
        <w:rPr>
          <w:rFonts w:ascii="Times New Roman" w:hAnsi="Times New Roman" w:eastAsia="宋体"/>
          <w:b w:val="0"/>
          <w:i w:val="0"/>
          <w:sz w:val="22"/>
        </w:rPr>
        <w:t>供电方策略空间为容量约束集</w:t>
      </w:r>
    </w:p>
    <w:p>
      <w:pPr>
        <w:pStyle w:val="ListBullet"/>
        <w:spacing w:line="360" w:lineRule="auto" w:after="0"/>
      </w:pPr>
      <w:r>
        <w:rPr>
          <w:rFonts w:ascii="Times New Roman" w:hAnsi="Times New Roman" w:eastAsia="宋体"/>
          <w:b w:val="0"/>
          <w:i w:val="0"/>
          <w:sz w:val="22"/>
        </w:rPr>
        <w:t>均衡条件通过变分不等式统一表达</w:t>
      </w:r>
    </w:p>
    <w:p>
      <w:pPr>
        <w:pStyle w:val="Heading3"/>
        <w:spacing w:before="160" w:after="60"/>
      </w:pPr>
      <w:r>
        <w:rPr>
          <w:rFonts w:ascii="Times New Roman" w:hAnsi="Times New Roman" w:eastAsia="黑体"/>
          <w:b/>
          <w:i w:val="0"/>
          <w:sz w:val="24"/>
        </w:rPr>
        <w:t>非光滑方程与深度学习的联系</w:t>
      </w:r>
    </w:p>
    <w:p>
      <w:pPr>
        <w:spacing w:line="360" w:lineRule="auto" w:after="0"/>
        <w:ind w:firstLine="425"/>
      </w:pPr>
      <w:r>
        <w:rPr>
          <w:rFonts w:ascii="Times New Roman" w:hAnsi="Times New Roman" w:eastAsia="宋体"/>
          <w:b w:val="0"/>
          <w:i w:val="0"/>
          <w:sz w:val="22"/>
        </w:rPr>
        <w:t>非光滑方程求解与深度学习中的优化问题存在有趣联系：</w:t>
      </w:r>
    </w:p>
    <w:p>
      <w:pPr>
        <w:spacing w:line="360" w:lineRule="auto" w:after="0"/>
        <w:ind w:firstLine="425"/>
      </w:pPr>
      <w:r>
        <w:rPr>
          <w:rFonts w:ascii="Times New Roman" w:hAnsi="Times New Roman" w:eastAsia="宋体"/>
          <w:b/>
          <w:i w:val="0"/>
          <w:sz w:val="22"/>
        </w:rPr>
        <w:t>ReLU激活函数</w:t>
      </w:r>
      <w:r>
        <w:rPr>
          <w:rFonts w:ascii="Times New Roman" w:hAnsi="Times New Roman" w:eastAsia="宋体"/>
          <w:b w:val="0"/>
          <w:i w:val="0"/>
          <w:sz w:val="22"/>
        </w:rPr>
        <w:t>：深度学习中常用的ReLU激活函数max(0, x)是非光滑的，与非光滑方程中的NCP函数有类似的数学结构。</w:t>
      </w:r>
    </w:p>
    <w:p>
      <w:pPr>
        <w:spacing w:line="360" w:lineRule="auto" w:after="0"/>
        <w:ind w:firstLine="425"/>
      </w:pPr>
      <w:r>
        <w:rPr>
          <w:rFonts w:ascii="Times New Roman" w:hAnsi="Times New Roman" w:eastAsia="宋体"/>
          <w:b/>
          <w:i w:val="0"/>
          <w:sz w:val="22"/>
        </w:rPr>
        <w:t>次梯度反向传播</w:t>
      </w:r>
      <w:r>
        <w:rPr>
          <w:rFonts w:ascii="Times New Roman" w:hAnsi="Times New Roman" w:eastAsia="宋体"/>
          <w:b w:val="0"/>
          <w:i w:val="0"/>
          <w:sz w:val="22"/>
        </w:rPr>
        <w:t>：深度学习中训练含ReLU的网络时使用的次梯度反向传播算法，本质上是非光滑优化方法的一种应用。</w:t>
      </w:r>
    </w:p>
    <w:p>
      <w:pPr>
        <w:spacing w:line="360" w:lineRule="auto" w:after="0"/>
        <w:ind w:firstLine="425"/>
      </w:pPr>
      <w:r>
        <w:rPr>
          <w:rFonts w:ascii="Times New Roman" w:hAnsi="Times New Roman" w:eastAsia="宋体"/>
          <w:b/>
          <w:i w:val="0"/>
          <w:sz w:val="22"/>
        </w:rPr>
        <w:t>光滑化训练</w:t>
      </w:r>
      <w:r>
        <w:rPr>
          <w:rFonts w:ascii="Times New Roman" w:hAnsi="Times New Roman" w:eastAsia="宋体"/>
          <w:b w:val="0"/>
          <w:i w:val="0"/>
          <w:sz w:val="22"/>
        </w:rPr>
        <w:t>：将ReLU替换为光滑近似（如SoftPlus）进行训练，与非光滑方程的光滑化方法在原理上一致。</w:t>
      </w:r>
    </w:p>
    <w:p>
      <w:pPr>
        <w:spacing w:line="360" w:lineRule="auto" w:after="0"/>
        <w:ind w:firstLine="425"/>
      </w:pPr>
      <w:r>
        <w:rPr>
          <w:rFonts w:ascii="Times New Roman" w:hAnsi="Times New Roman" w:eastAsia="宋体"/>
          <w:b w:val="0"/>
          <w:i w:val="0"/>
          <w:sz w:val="22"/>
        </w:rPr>
        <w:t>这些联系表明，非光滑优化的理论和方法可以在深度学习辅助的实时定价中发挥重要作用。</w:t>
      </w:r>
    </w:p>
    <w:p>
      <w:pPr>
        <w:pStyle w:val="Heading2"/>
        <w:spacing w:before="240" w:after="80"/>
      </w:pPr>
      <w:r>
        <w:rPr>
          <w:rFonts w:ascii="Times New Roman" w:hAnsi="Times New Roman" w:eastAsia="黑体"/>
          <w:b/>
          <w:i w:val="0"/>
          <w:sz w:val="28"/>
        </w:rPr>
        <w:t>5.10 互补问题的算法理论深化</w:t>
      </w:r>
    </w:p>
    <w:p>
      <w:pPr>
        <w:pStyle w:val="Heading3"/>
        <w:spacing w:before="160" w:after="60"/>
      </w:pPr>
      <w:r>
        <w:rPr>
          <w:rFonts w:ascii="Times New Roman" w:hAnsi="Times New Roman" w:eastAsia="黑体"/>
          <w:b/>
          <w:i w:val="0"/>
          <w:sz w:val="24"/>
        </w:rPr>
        <w:t>半光滑牛顿法的收敛性理论</w:t>
      </w:r>
    </w:p>
    <w:p>
      <w:pPr>
        <w:spacing w:line="360" w:lineRule="auto" w:after="0"/>
        <w:ind w:firstLine="425"/>
      </w:pPr>
      <w:r>
        <w:rPr>
          <w:rFonts w:ascii="Times New Roman" w:hAnsi="Times New Roman" w:eastAsia="宋体"/>
          <w:b w:val="0"/>
          <w:i w:val="0"/>
          <w:sz w:val="22"/>
        </w:rPr>
        <w:t>半光滑牛顿法的收敛性依赖于以下理论框架：</w:t>
      </w:r>
    </w:p>
    <w:p>
      <w:pPr>
        <w:spacing w:line="360" w:lineRule="auto" w:after="0"/>
        <w:ind w:firstLine="425"/>
      </w:pPr>
      <w:r>
        <w:rPr>
          <w:rFonts w:ascii="Times New Roman" w:hAnsi="Times New Roman" w:eastAsia="宋体"/>
          <w:b/>
          <w:i w:val="0"/>
          <w:sz w:val="22"/>
        </w:rPr>
        <w:t>半光滑性定义</w:t>
      </w:r>
      <w:r>
        <w:rPr>
          <w:rFonts w:ascii="Times New Roman" w:hAnsi="Times New Roman" w:eastAsia="宋体"/>
          <w:b w:val="0"/>
          <w:i w:val="0"/>
          <w:sz w:val="22"/>
        </w:rPr>
        <w:t>：函数F: ℝ^n → ℝ^n在点x处称为半光滑的，如果：</w:t>
      </w:r>
    </w:p>
    <w:p>
      <w:pPr>
        <w:pStyle w:val="ListNumber"/>
        <w:spacing w:line="360" w:lineRule="auto" w:after="0"/>
      </w:pPr>
      <w:r>
        <w:rPr>
          <w:rFonts w:ascii="Times New Roman" w:hAnsi="Times New Roman" w:eastAsia="宋体"/>
          <w:b w:val="0"/>
          <w:i w:val="0"/>
          <w:sz w:val="22"/>
        </w:rPr>
        <w:t>F在x处局部Lipschitz连续</w:t>
      </w:r>
    </w:p>
    <w:p>
      <w:pPr>
        <w:pStyle w:val="ListNumber"/>
        <w:spacing w:line="360" w:lineRule="auto" w:after="0"/>
      </w:pPr>
      <w:r>
        <w:rPr>
          <w:rFonts w:ascii="Times New Roman" w:hAnsi="Times New Roman" w:eastAsia="宋体"/>
          <w:b w:val="0"/>
          <w:i w:val="0"/>
          <w:sz w:val="22"/>
        </w:rPr>
        <w:t>对任意h → 0和任意V ∈ ∂_B F(x+h)（B-次微分），极限 lim_h→ 0 (F(x+h) - F(x) - Vh)/(h) = 0</w:t>
      </w:r>
    </w:p>
    <w:p>
      <w:pPr>
        <w:spacing w:line="360" w:lineRule="auto" w:after="0"/>
        <w:ind w:firstLine="425"/>
      </w:pPr>
      <w:r>
        <w:rPr>
          <w:rFonts w:ascii="Times New Roman" w:hAnsi="Times New Roman" w:eastAsia="宋体"/>
          <w:b w:val="0"/>
          <w:i w:val="0"/>
          <w:sz w:val="22"/>
        </w:rPr>
        <w:t>半光滑性比Lipschitz连续性强，但比连续可微性弱。NCP函数（FB函数、min函数等）在非退化点处满足半光滑性。</w:t>
      </w:r>
    </w:p>
    <w:p>
      <w:pPr>
        <w:spacing w:line="360" w:lineRule="auto" w:after="0"/>
        <w:ind w:firstLine="425"/>
      </w:pPr>
      <w:r>
        <w:rPr>
          <w:rFonts w:ascii="Times New Roman" w:hAnsi="Times New Roman" w:eastAsia="宋体"/>
          <w:b/>
          <w:i w:val="0"/>
          <w:sz w:val="22"/>
        </w:rPr>
        <w:t>收敛定理</w:t>
      </w:r>
      <w:r>
        <w:rPr>
          <w:rFonts w:ascii="Times New Roman" w:hAnsi="Times New Roman" w:eastAsia="宋体"/>
          <w:b w:val="0"/>
          <w:i w:val="0"/>
          <w:sz w:val="22"/>
        </w:rPr>
        <w:t>：设F在解x^</w:t>
      </w:r>
      <w:r>
        <w:rPr>
          <w:rFonts w:ascii="Times New Roman" w:hAnsi="Times New Roman" w:eastAsia="宋体"/>
          <w:b w:val="0"/>
          <w:i/>
          <w:sz w:val="22"/>
        </w:rPr>
        <w:t>处半光滑且强半光滑（即(F(x+h) - F(x) - Vh)/(h ^2)有界），所有∂_B F(x^</w:t>
      </w:r>
      <w:r>
        <w:rPr>
          <w:rFonts w:ascii="Times New Roman" w:hAnsi="Times New Roman" w:eastAsia="宋体"/>
          <w:b w:val="0"/>
          <w:i w:val="0"/>
          <w:sz w:val="22"/>
        </w:rPr>
        <w:t>)中的矩阵非奇异，则半光滑牛顿法具有局部超线性收敛速率。</w:t>
      </w:r>
    </w:p>
    <w:p>
      <w:pPr>
        <w:spacing w:line="360" w:lineRule="auto" w:after="0"/>
        <w:ind w:firstLine="425"/>
      </w:pPr>
      <w:r>
        <w:rPr>
          <w:rFonts w:ascii="Times New Roman" w:hAnsi="Times New Roman" w:eastAsia="宋体"/>
          <w:b/>
          <w:i w:val="0"/>
          <w:sz w:val="22"/>
        </w:rPr>
        <w:t>全局化策略</w:t>
      </w:r>
      <w:r>
        <w:rPr>
          <w:rFonts w:ascii="Times New Roman" w:hAnsi="Times New Roman" w:eastAsia="宋体"/>
          <w:b w:val="0"/>
          <w:i w:val="0"/>
          <w:sz w:val="22"/>
        </w:rPr>
        <w:t>：通过线搜索或信赖域策略将局部超线性收敛算法全局化。线搜索策略在牛顿方向不满足下降条件时回退到梯度方向。</w:t>
      </w:r>
    </w:p>
    <w:p>
      <w:pPr>
        <w:pStyle w:val="Heading3"/>
        <w:spacing w:before="160" w:after="60"/>
      </w:pPr>
      <w:r>
        <w:rPr>
          <w:rFonts w:ascii="Times New Roman" w:hAnsi="Times New Roman" w:eastAsia="黑体"/>
          <w:b/>
          <w:i w:val="0"/>
          <w:sz w:val="24"/>
        </w:rPr>
        <w:t>光滑化路径的收敛分析</w:t>
      </w:r>
    </w:p>
    <w:p>
      <w:pPr>
        <w:spacing w:line="360" w:lineRule="auto" w:after="0"/>
        <w:ind w:firstLine="425"/>
      </w:pPr>
      <w:r>
        <w:rPr>
          <w:rFonts w:ascii="Times New Roman" w:hAnsi="Times New Roman" w:eastAsia="宋体"/>
          <w:b w:val="0"/>
          <w:i w:val="0"/>
          <w:sz w:val="22"/>
        </w:rPr>
        <w:t>光滑化方法的收敛路径具有以下性质：</w:t>
      </w:r>
    </w:p>
    <w:p>
      <w:pPr>
        <w:spacing w:line="360" w:lineRule="auto" w:after="0"/>
        <w:ind w:firstLine="425"/>
      </w:pPr>
      <w:r>
        <w:rPr>
          <w:rFonts w:ascii="Times New Roman" w:hAnsi="Times New Roman" w:eastAsia="宋体"/>
          <w:b/>
          <w:i w:val="0"/>
          <w:sz w:val="22"/>
        </w:rPr>
        <w:t>路径存在性</w:t>
      </w:r>
      <w:r>
        <w:rPr>
          <w:rFonts w:ascii="Times New Roman" w:hAnsi="Times New Roman" w:eastAsia="宋体"/>
          <w:b w:val="0"/>
          <w:i w:val="0"/>
          <w:sz w:val="22"/>
        </w:rPr>
        <w:t>：在适当条件下，光滑化方程Φ_μ(x) = 0的解x(μ)关于μ连续，形成一条从初始点到解的连续路径。</w:t>
      </w:r>
    </w:p>
    <w:p>
      <w:pPr>
        <w:spacing w:line="360" w:lineRule="auto" w:after="0"/>
        <w:ind w:firstLine="425"/>
      </w:pPr>
      <w:r>
        <w:rPr>
          <w:rFonts w:ascii="Times New Roman" w:hAnsi="Times New Roman" w:eastAsia="宋体"/>
          <w:b/>
          <w:i w:val="0"/>
          <w:sz w:val="22"/>
        </w:rPr>
        <w:t>路径跟踪策略</w:t>
      </w:r>
      <w:r>
        <w:rPr>
          <w:rFonts w:ascii="Times New Roman" w:hAnsi="Times New Roman" w:eastAsia="宋体"/>
          <w:b w:val="0"/>
          <w:i w:val="0"/>
          <w:sz w:val="22"/>
        </w:rPr>
        <w:t>：沿光滑化路径逐步减小μ，每步用牛顿法求解Φ_μ_k(x) = 0。路径跟踪策略的效率取决于μ的减小策略：</w:t>
      </w:r>
    </w:p>
    <w:p>
      <w:pPr>
        <w:pStyle w:val="ListBullet"/>
        <w:spacing w:line="360" w:lineRule="auto" w:after="0"/>
      </w:pPr>
      <w:r>
        <w:rPr>
          <w:rFonts w:ascii="Times New Roman" w:hAnsi="Times New Roman" w:eastAsia="宋体"/>
          <w:b/>
          <w:i w:val="0"/>
          <w:sz w:val="22"/>
        </w:rPr>
        <w:t>保守策略</w:t>
      </w:r>
      <w:r>
        <w:rPr>
          <w:rFonts w:ascii="Times New Roman" w:hAnsi="Times New Roman" w:eastAsia="宋体"/>
          <w:b w:val="0"/>
          <w:i w:val="0"/>
          <w:sz w:val="22"/>
        </w:rPr>
        <w:t>：μ_k+1 = 0.9 μ_k，减小缓慢但每步牛顿法收敛快</w:t>
      </w:r>
    </w:p>
    <w:p>
      <w:pPr>
        <w:pStyle w:val="ListBullet"/>
        <w:spacing w:line="360" w:lineRule="auto" w:after="0"/>
      </w:pPr>
      <w:r>
        <w:rPr>
          <w:rFonts w:ascii="Times New Roman" w:hAnsi="Times New Roman" w:eastAsia="宋体"/>
          <w:b/>
          <w:i w:val="0"/>
          <w:sz w:val="22"/>
        </w:rPr>
        <w:t>激进策略</w:t>
      </w:r>
      <w:r>
        <w:rPr>
          <w:rFonts w:ascii="Times New Roman" w:hAnsi="Times New Roman" w:eastAsia="宋体"/>
          <w:b w:val="0"/>
          <w:i w:val="0"/>
          <w:sz w:val="22"/>
        </w:rPr>
        <w:t>：μ_k+1 = 0.01 μ_k，减小快但可能需要更多牛顿迭代</w:t>
      </w:r>
    </w:p>
    <w:p>
      <w:pPr>
        <w:pStyle w:val="ListBullet"/>
        <w:spacing w:line="360" w:lineRule="auto" w:after="0"/>
      </w:pPr>
      <w:r>
        <w:rPr>
          <w:rFonts w:ascii="Times New Roman" w:hAnsi="Times New Roman" w:eastAsia="宋体"/>
          <w:b/>
          <w:i w:val="0"/>
          <w:sz w:val="22"/>
        </w:rPr>
        <w:t>自适应策略</w:t>
      </w:r>
      <w:r>
        <w:rPr>
          <w:rFonts w:ascii="Times New Roman" w:hAnsi="Times New Roman" w:eastAsia="宋体"/>
          <w:b w:val="0"/>
          <w:i w:val="0"/>
          <w:sz w:val="22"/>
        </w:rPr>
        <w:t>：根据牛顿迭代的收敛情况动态调整μ的减小速度</w:t>
      </w:r>
    </w:p>
    <w:p>
      <w:pPr>
        <w:pStyle w:val="Heading3"/>
        <w:spacing w:before="160" w:after="60"/>
      </w:pPr>
      <w:r>
        <w:rPr>
          <w:rFonts w:ascii="Times New Roman" w:hAnsi="Times New Roman" w:eastAsia="黑体"/>
          <w:b/>
          <w:i w:val="0"/>
          <w:sz w:val="24"/>
        </w:rPr>
        <w:t>互补问题的预处理技术</w:t>
      </w:r>
    </w:p>
    <w:p>
      <w:pPr>
        <w:spacing w:line="360" w:lineRule="auto" w:after="0"/>
        <w:ind w:firstLine="425"/>
      </w:pPr>
      <w:r>
        <w:rPr>
          <w:rFonts w:ascii="Times New Roman" w:hAnsi="Times New Roman" w:eastAsia="宋体"/>
          <w:b w:val="0"/>
          <w:i w:val="0"/>
          <w:sz w:val="22"/>
        </w:rPr>
        <w:t>大规模互补问题的求解效率可以通过预处理技术显著提高：</w:t>
      </w:r>
    </w:p>
    <w:p>
      <w:pPr>
        <w:spacing w:line="360" w:lineRule="auto" w:after="0"/>
        <w:ind w:firstLine="425"/>
      </w:pPr>
      <w:r>
        <w:rPr>
          <w:rFonts w:ascii="Times New Roman" w:hAnsi="Times New Roman" w:eastAsia="宋体"/>
          <w:b/>
          <w:i w:val="0"/>
          <w:sz w:val="22"/>
        </w:rPr>
        <w:t>矩阵重排</w:t>
      </w:r>
      <w:r>
        <w:rPr>
          <w:rFonts w:ascii="Times New Roman" w:hAnsi="Times New Roman" w:eastAsia="宋体"/>
          <w:b w:val="0"/>
          <w:i w:val="0"/>
          <w:sz w:val="22"/>
        </w:rPr>
        <w:t>：通过行和列的重排减少雅可比矩阵的带宽，提高稀疏矩阵分解效率。</w:t>
      </w:r>
    </w:p>
    <w:p>
      <w:pPr>
        <w:spacing w:line="360" w:lineRule="auto" w:after="0"/>
        <w:ind w:firstLine="425"/>
      </w:pPr>
      <w:r>
        <w:rPr>
          <w:rFonts w:ascii="Times New Roman" w:hAnsi="Times New Roman" w:eastAsia="宋体"/>
          <w:b/>
          <w:i w:val="0"/>
          <w:sz w:val="22"/>
        </w:rPr>
        <w:t>不完全分解</w:t>
      </w:r>
      <w:r>
        <w:rPr>
          <w:rFonts w:ascii="Times New Roman" w:hAnsi="Times New Roman" w:eastAsia="宋体"/>
          <w:b w:val="0"/>
          <w:i w:val="0"/>
          <w:sz w:val="22"/>
        </w:rPr>
        <w:t>：对雅可比矩阵进行不完全LU分解（ILU）或不完全Cholesky分解作为预处理器。</w:t>
      </w:r>
    </w:p>
    <w:p>
      <w:pPr>
        <w:spacing w:line="360" w:lineRule="auto" w:after="0"/>
        <w:ind w:firstLine="425"/>
      </w:pPr>
      <w:r>
        <w:rPr>
          <w:rFonts w:ascii="Times New Roman" w:hAnsi="Times New Roman" w:eastAsia="宋体"/>
          <w:b/>
          <w:i w:val="0"/>
          <w:sz w:val="22"/>
        </w:rPr>
        <w:t>多重网格方法</w:t>
      </w:r>
      <w:r>
        <w:rPr>
          <w:rFonts w:ascii="Times New Roman" w:hAnsi="Times New Roman" w:eastAsia="宋体"/>
          <w:b w:val="0"/>
          <w:i w:val="0"/>
          <w:sz w:val="22"/>
        </w:rPr>
        <w:t>：利用多尺度结构加速求解，适用于网格化的电力系统问题。</w:t>
      </w:r>
    </w:p>
    <w:p>
      <w:pPr>
        <w:spacing w:line="360" w:lineRule="auto" w:after="0"/>
        <w:ind w:firstLine="425"/>
      </w:pPr>
      <w:r>
        <w:rPr>
          <w:rFonts w:ascii="Times New Roman" w:hAnsi="Times New Roman" w:eastAsia="宋体"/>
          <w:b/>
          <w:i w:val="0"/>
          <w:sz w:val="22"/>
        </w:rPr>
        <w:t>并行计算</w:t>
      </w:r>
      <w:r>
        <w:rPr>
          <w:rFonts w:ascii="Times New Roman" w:hAnsi="Times New Roman" w:eastAsia="宋体"/>
          <w:b w:val="0"/>
          <w:i w:val="0"/>
          <w:sz w:val="22"/>
        </w:rPr>
        <w:t>：利用多核CPU或GPU并行计算雅可比矩阵和求解线性方程组。</w:t>
      </w:r>
    </w:p>
    <w:p>
      <w:pPr>
        <w:pStyle w:val="Heading3"/>
        <w:spacing w:before="160" w:after="60"/>
      </w:pPr>
      <w:r>
        <w:rPr>
          <w:rFonts w:ascii="Times New Roman" w:hAnsi="Times New Roman" w:eastAsia="黑体"/>
          <w:b/>
          <w:i w:val="0"/>
          <w:sz w:val="24"/>
        </w:rPr>
        <w:t>非光滑方程的数值稳定性</w:t>
      </w:r>
    </w:p>
    <w:p>
      <w:pPr>
        <w:spacing w:line="360" w:lineRule="auto" w:after="0"/>
        <w:ind w:firstLine="425"/>
      </w:pPr>
      <w:r>
        <w:rPr>
          <w:rFonts w:ascii="Times New Roman" w:hAnsi="Times New Roman" w:eastAsia="宋体"/>
          <w:b w:val="0"/>
          <w:i w:val="0"/>
          <w:sz w:val="22"/>
        </w:rPr>
        <w:t>非光滑方程求解中可能遇到以下数值稳定性问题：</w:t>
      </w:r>
    </w:p>
    <w:p>
      <w:pPr>
        <w:spacing w:line="360" w:lineRule="auto" w:after="0"/>
        <w:ind w:firstLine="425"/>
      </w:pPr>
      <w:r>
        <w:rPr>
          <w:rFonts w:ascii="Times New Roman" w:hAnsi="Times New Roman" w:eastAsia="宋体"/>
          <w:b/>
          <w:i w:val="0"/>
          <w:sz w:val="22"/>
        </w:rPr>
        <w:t>退化情况</w:t>
      </w:r>
      <w:r>
        <w:rPr>
          <w:rFonts w:ascii="Times New Roman" w:hAnsi="Times New Roman" w:eastAsia="宋体"/>
          <w:b w:val="0"/>
          <w:i w:val="0"/>
          <w:sz w:val="22"/>
        </w:rPr>
        <w:t>：当互补约束在解处退化（即a^</w:t>
      </w:r>
      <w:r>
        <w:rPr>
          <w:rFonts w:ascii="Times New Roman" w:hAnsi="Times New Roman" w:eastAsia="宋体"/>
          <w:b w:val="0"/>
          <w:i/>
          <w:sz w:val="22"/>
        </w:rPr>
        <w:t xml:space="preserve"> = b^</w:t>
      </w:r>
      <w:r>
        <w:rPr>
          <w:rFonts w:ascii="Times New Roman" w:hAnsi="Times New Roman" w:eastAsia="宋体"/>
          <w:b w:val="0"/>
          <w:i w:val="0"/>
          <w:sz w:val="22"/>
        </w:rPr>
        <w:t xml:space="preserve"> = 0）时，NCP函数的广义雅可比矩阵可能奇异或病态，导致算法失效。处理方法包括正则化（添加扰动项）和使用特殊的NCP函数（如CHKS函数在退化点处表现更好）。</w:t>
      </w:r>
    </w:p>
    <w:p>
      <w:pPr>
        <w:spacing w:line="360" w:lineRule="auto" w:after="0"/>
        <w:ind w:firstLine="425"/>
      </w:pPr>
      <w:r>
        <w:rPr>
          <w:rFonts w:ascii="Times New Roman" w:hAnsi="Times New Roman" w:eastAsia="宋体"/>
          <w:b/>
          <w:i w:val="0"/>
          <w:sz w:val="22"/>
        </w:rPr>
        <w:t>尺度问题</w:t>
      </w:r>
      <w:r>
        <w:rPr>
          <w:rFonts w:ascii="Times New Roman" w:hAnsi="Times New Roman" w:eastAsia="宋体"/>
          <w:b w:val="0"/>
          <w:i w:val="0"/>
          <w:sz w:val="22"/>
        </w:rPr>
        <w:t>：不同变量的量纲差异可能导致雅可比矩阵条件数过大。变量归一化可以缓解这一问题。</w:t>
      </w:r>
    </w:p>
    <w:p>
      <w:pPr>
        <w:spacing w:line="360" w:lineRule="auto" w:after="0"/>
        <w:ind w:firstLine="425"/>
      </w:pPr>
      <w:r>
        <w:rPr>
          <w:rFonts w:ascii="Times New Roman" w:hAnsi="Times New Roman" w:eastAsia="宋体"/>
          <w:b/>
          <w:i w:val="0"/>
          <w:sz w:val="22"/>
        </w:rPr>
        <w:t>初始点选择</w:t>
      </w:r>
      <w:r>
        <w:rPr>
          <w:rFonts w:ascii="Times New Roman" w:hAnsi="Times New Roman" w:eastAsia="宋体"/>
          <w:b w:val="0"/>
          <w:i w:val="0"/>
          <w:sz w:val="22"/>
        </w:rPr>
        <w:t>：好的初始点可以显著加速收敛。可以先用近似方法（如线性化）获得粗略解，再作为精确方法的初始点。</w:t>
      </w:r>
    </w:p>
    <w:p>
      <w:pPr>
        <w:pStyle w:val="Heading2"/>
        <w:spacing w:before="240" w:after="80"/>
      </w:pPr>
      <w:r>
        <w:rPr>
          <w:rFonts w:ascii="Times New Roman" w:hAnsi="Times New Roman" w:eastAsia="黑体"/>
          <w:b/>
          <w:i w:val="0"/>
          <w:sz w:val="28"/>
        </w:rPr>
        <w:t>5.11 互补问题在电力系统中的扩展应用</w:t>
      </w:r>
    </w:p>
    <w:p>
      <w:pPr>
        <w:pStyle w:val="Heading3"/>
        <w:spacing w:before="160" w:after="60"/>
      </w:pPr>
      <w:r>
        <w:rPr>
          <w:rFonts w:ascii="Times New Roman" w:hAnsi="Times New Roman" w:eastAsia="黑体"/>
          <w:b/>
          <w:i w:val="0"/>
          <w:sz w:val="24"/>
        </w:rPr>
        <w:t>均衡问题的互补建模</w:t>
      </w:r>
    </w:p>
    <w:p>
      <w:pPr>
        <w:spacing w:line="360" w:lineRule="auto" w:after="0"/>
        <w:ind w:firstLine="425"/>
      </w:pPr>
      <w:r>
        <w:rPr>
          <w:rFonts w:ascii="Times New Roman" w:hAnsi="Times New Roman" w:eastAsia="宋体"/>
          <w:b w:val="0"/>
          <w:i w:val="0"/>
          <w:sz w:val="22"/>
        </w:rPr>
        <w:t>电力市场均衡可以用互补问题统一建模：</w:t>
      </w:r>
    </w:p>
    <w:p>
      <w:pPr>
        <w:spacing w:line="360" w:lineRule="auto" w:after="0"/>
        <w:ind w:firstLine="425"/>
      </w:pPr>
      <w:r>
        <w:rPr>
          <w:rFonts w:ascii="Times New Roman" w:hAnsi="Times New Roman" w:eastAsia="宋体"/>
          <w:b/>
          <w:i w:val="0"/>
          <w:sz w:val="22"/>
        </w:rPr>
        <w:t>Nash均衡</w:t>
      </w:r>
      <w:r>
        <w:rPr>
          <w:rFonts w:ascii="Times New Roman" w:hAnsi="Times New Roman" w:eastAsia="宋体"/>
          <w:b w:val="0"/>
          <w:i w:val="0"/>
          <w:sz w:val="22"/>
        </w:rPr>
        <w:t>：每个参与者的最优策略是其他参与者策略的最优响应。将每个参与者的KKT条件联立，得到互补问题，其解即为Nash均衡。</w:t>
      </w:r>
    </w:p>
    <w:p>
      <w:pPr>
        <w:spacing w:line="360" w:lineRule="auto" w:after="0"/>
        <w:ind w:firstLine="425"/>
      </w:pPr>
      <w:r>
        <w:rPr>
          <w:rFonts w:ascii="Times New Roman" w:hAnsi="Times New Roman" w:eastAsia="宋体"/>
          <w:b/>
          <w:i w:val="0"/>
          <w:sz w:val="22"/>
        </w:rPr>
        <w:t>Stackelberg均衡</w:t>
      </w:r>
      <w:r>
        <w:rPr>
          <w:rFonts w:ascii="Times New Roman" w:hAnsi="Times New Roman" w:eastAsia="宋体"/>
          <w:b w:val="0"/>
          <w:i w:val="0"/>
          <w:sz w:val="22"/>
        </w:rPr>
        <w:t>：领导者问题中嵌入了跟随者的KKT条件，形成数学规划含均衡约束（MPEC）。多个领导者的MPEC形成均衡约束均衡问题（EPEC）。</w:t>
      </w:r>
    </w:p>
    <w:p>
      <w:pPr>
        <w:spacing w:line="360" w:lineRule="auto" w:after="0"/>
        <w:ind w:firstLine="425"/>
      </w:pPr>
      <w:r>
        <w:rPr>
          <w:rFonts w:ascii="Times New Roman" w:hAnsi="Times New Roman" w:eastAsia="宋体"/>
          <w:b/>
          <w:i w:val="0"/>
          <w:sz w:val="22"/>
        </w:rPr>
        <w:t>混合均衡</w:t>
      </w:r>
      <w:r>
        <w:rPr>
          <w:rFonts w:ascii="Times New Roman" w:hAnsi="Times New Roman" w:eastAsia="宋体"/>
          <w:b w:val="0"/>
          <w:i w:val="0"/>
          <w:sz w:val="22"/>
        </w:rPr>
        <w:t>：不同参与者可能处于不同的博弈角色（有些是Nash博弈者，有些是Stackelberg领导者/跟随者），形成混合均衡问题。互补问题框架可以统一处理这些混合均衡。</w:t>
      </w:r>
    </w:p>
    <w:p>
      <w:pPr>
        <w:pStyle w:val="Heading3"/>
        <w:spacing w:before="160" w:after="60"/>
      </w:pPr>
      <w:r>
        <w:rPr>
          <w:rFonts w:ascii="Times New Roman" w:hAnsi="Times New Roman" w:eastAsia="黑体"/>
          <w:b/>
          <w:i w:val="0"/>
          <w:sz w:val="24"/>
        </w:rPr>
        <w:t>互补问题与变分不等式的统一</w:t>
      </w:r>
    </w:p>
    <w:p>
      <w:pPr>
        <w:spacing w:line="360" w:lineRule="auto" w:after="0"/>
        <w:ind w:firstLine="425"/>
      </w:pPr>
      <w:r>
        <w:rPr>
          <w:rFonts w:ascii="Times New Roman" w:hAnsi="Times New Roman" w:eastAsia="宋体"/>
          <w:b w:val="0"/>
          <w:i w:val="0"/>
          <w:sz w:val="22"/>
        </w:rPr>
        <w:t>变分不等式（VI）是互补问题的推广：</w:t>
      </w:r>
    </w:p>
    <w:p>
      <w:pPr>
        <w:spacing w:line="360" w:lineRule="auto" w:after="0"/>
        <w:ind w:firstLine="425"/>
      </w:pPr>
      <w:r>
        <w:rPr>
          <w:rFonts w:ascii="Times New Roman" w:hAnsi="Times New Roman" w:eastAsia="宋体"/>
          <w:b/>
          <w:i w:val="0"/>
          <w:sz w:val="22"/>
        </w:rPr>
        <w:t>VI与CP的关系</w:t>
      </w:r>
      <w:r>
        <w:rPr>
          <w:rFonts w:ascii="Times New Roman" w:hAnsi="Times New Roman" w:eastAsia="宋体"/>
          <w:b w:val="0"/>
          <w:i w:val="0"/>
          <w:sz w:val="22"/>
        </w:rPr>
        <w:t>：互补问题是可行域为非负正交锥的特殊VI。通过将VI转化为等价的互补问题，可以利用互补问题的丰富算法工具。</w:t>
      </w:r>
    </w:p>
    <w:p>
      <w:pPr>
        <w:spacing w:line="360" w:lineRule="auto" w:after="0"/>
        <w:ind w:firstLine="425"/>
      </w:pPr>
      <w:r>
        <w:rPr>
          <w:rFonts w:ascii="Times New Roman" w:hAnsi="Times New Roman" w:eastAsia="宋体"/>
          <w:b/>
          <w:i w:val="0"/>
          <w:sz w:val="22"/>
        </w:rPr>
        <w:t>VI在电力系统中的应用</w:t>
      </w:r>
      <w:r>
        <w:rPr>
          <w:rFonts w:ascii="Times New Roman" w:hAnsi="Times New Roman" w:eastAsia="宋体"/>
          <w:b w:val="0"/>
          <w:i w:val="0"/>
          <w:sz w:val="22"/>
        </w:rPr>
        <w:t>：VI可以建模更一般的均衡问题，如：</w:t>
      </w:r>
    </w:p>
    <w:p>
      <w:pPr>
        <w:pStyle w:val="ListBullet"/>
        <w:spacing w:line="360" w:lineRule="auto" w:after="0"/>
      </w:pPr>
      <w:r>
        <w:rPr>
          <w:rFonts w:ascii="Times New Roman" w:hAnsi="Times New Roman" w:eastAsia="宋体"/>
          <w:b w:val="0"/>
          <w:i w:val="0"/>
          <w:sz w:val="22"/>
        </w:rPr>
        <w:t>用户最优交通分配问题（可类比于用户最优用电分配）</w:t>
      </w:r>
    </w:p>
    <w:p>
      <w:pPr>
        <w:pStyle w:val="ListBullet"/>
        <w:spacing w:line="360" w:lineRule="auto" w:after="0"/>
      </w:pPr>
      <w:r>
        <w:rPr>
          <w:rFonts w:ascii="Times New Roman" w:hAnsi="Times New Roman" w:eastAsia="宋体"/>
          <w:b w:val="0"/>
          <w:i w:val="0"/>
          <w:sz w:val="22"/>
        </w:rPr>
        <w:t>空间价格均衡问题</w:t>
      </w:r>
    </w:p>
    <w:p>
      <w:pPr>
        <w:pStyle w:val="ListBullet"/>
        <w:spacing w:line="360" w:lineRule="auto" w:after="0"/>
      </w:pPr>
      <w:r>
        <w:rPr>
          <w:rFonts w:ascii="Times New Roman" w:hAnsi="Times New Roman" w:eastAsia="宋体"/>
          <w:b w:val="0"/>
          <w:i w:val="0"/>
          <w:sz w:val="22"/>
        </w:rPr>
        <w:t>多市场均衡问题</w:t>
      </w:r>
    </w:p>
    <w:p>
      <w:pPr>
        <w:pStyle w:val="Heading3"/>
        <w:spacing w:before="160" w:after="60"/>
      </w:pPr>
      <w:r>
        <w:rPr>
          <w:rFonts w:ascii="Times New Roman" w:hAnsi="Times New Roman" w:eastAsia="黑体"/>
          <w:b/>
          <w:i w:val="0"/>
          <w:sz w:val="24"/>
        </w:rPr>
        <w:t>互补问题的软件工具</w:t>
      </w:r>
    </w:p>
    <w:p>
      <w:pPr>
        <w:spacing w:line="360" w:lineRule="auto" w:after="0"/>
        <w:ind w:firstLine="425"/>
      </w:pPr>
      <w:r>
        <w:rPr>
          <w:rFonts w:ascii="Times New Roman" w:hAnsi="Times New Roman" w:eastAsia="宋体"/>
          <w:b w:val="0"/>
          <w:i w:val="0"/>
          <w:sz w:val="22"/>
        </w:rPr>
        <w:t>求解互补问题的软件工具包括：</w:t>
      </w:r>
    </w:p>
    <w:p>
      <w:pPr>
        <w:spacing w:line="360" w:lineRule="auto" w:after="0"/>
        <w:ind w:firstLine="425"/>
      </w:pPr>
      <w:r>
        <w:rPr>
          <w:rFonts w:ascii="Times New Roman" w:hAnsi="Times New Roman" w:eastAsia="宋体"/>
          <w:b/>
          <w:i w:val="0"/>
          <w:sz w:val="22"/>
        </w:rPr>
        <w:t>PATH</w:t>
      </w:r>
      <w:r>
        <w:rPr>
          <w:rFonts w:ascii="Times New Roman" w:hAnsi="Times New Roman" w:eastAsia="宋体"/>
          <w:b w:val="0"/>
          <w:i w:val="0"/>
          <w:sz w:val="22"/>
        </w:rPr>
        <w:t>：专门求解混合互补问题（MCP）的求解器，集成在GAMS中。PATH基于路径跟踪策略，是求解大规模MCP的金标准。</w:t>
      </w:r>
    </w:p>
    <w:p>
      <w:pPr>
        <w:spacing w:line="360" w:lineRule="auto" w:after="0"/>
        <w:ind w:firstLine="425"/>
      </w:pPr>
      <w:r>
        <w:rPr>
          <w:rFonts w:ascii="Times New Roman" w:hAnsi="Times New Roman" w:eastAsia="宋体"/>
          <w:b/>
          <w:i w:val="0"/>
          <w:sz w:val="22"/>
        </w:rPr>
        <w:t>MILES</w:t>
      </w:r>
      <w:r>
        <w:rPr>
          <w:rFonts w:ascii="Times New Roman" w:hAnsi="Times New Roman" w:eastAsia="宋体"/>
          <w:b w:val="0"/>
          <w:i w:val="0"/>
          <w:sz w:val="22"/>
        </w:rPr>
        <w:t>：基于NEOS服务器的互补问题求解器，支持非线性互补问题。</w:t>
      </w:r>
    </w:p>
    <w:p>
      <w:pPr>
        <w:spacing w:line="360" w:lineRule="auto" w:after="0"/>
        <w:ind w:firstLine="425"/>
      </w:pPr>
      <w:r>
        <w:rPr>
          <w:rFonts w:ascii="Times New Roman" w:hAnsi="Times New Roman" w:eastAsia="宋体"/>
          <w:b/>
          <w:i w:val="0"/>
          <w:sz w:val="22"/>
        </w:rPr>
        <w:t>MATLAB工具箱</w:t>
      </w:r>
      <w:r>
        <w:rPr>
          <w:rFonts w:ascii="Times New Roman" w:hAnsi="Times New Roman" w:eastAsia="宋体"/>
          <w:b w:val="0"/>
          <w:i w:val="0"/>
          <w:sz w:val="22"/>
        </w:rPr>
        <w:t>：MATLAB的Optimization Toolbox和第三方工具箱提供了互补问题求解函数。</w:t>
      </w:r>
    </w:p>
    <w:p>
      <w:pPr>
        <w:spacing w:line="360" w:lineRule="auto" w:after="0"/>
        <w:ind w:firstLine="425"/>
      </w:pPr>
      <w:r>
        <w:rPr>
          <w:rFonts w:ascii="Times New Roman" w:hAnsi="Times New Roman" w:eastAsia="宋体"/>
          <w:b/>
          <w:i w:val="0"/>
          <w:sz w:val="22"/>
        </w:rPr>
        <w:t>Python工具</w:t>
      </w:r>
      <w:r>
        <w:rPr>
          <w:rFonts w:ascii="Times New Roman" w:hAnsi="Times New Roman" w:eastAsia="宋体"/>
          <w:b w:val="0"/>
          <w:i w:val="0"/>
          <w:sz w:val="22"/>
        </w:rPr>
        <w:t>：SciPy和Pyomo提供了约束优化求解功能，可以间接求解互补问题。专用的互补问题求解库（如Pyomo.mpec）也在发展中。</w:t>
      </w:r>
    </w:p>
    <w:p>
      <w:pPr>
        <w:spacing w:line="360" w:lineRule="auto" w:after="0"/>
        <w:ind w:firstLine="425"/>
      </w:pPr>
      <w:r>
        <w:rPr>
          <w:rFonts w:ascii="Times New Roman" w:hAnsi="Times New Roman" w:eastAsia="宋体"/>
          <w:b w:val="0"/>
          <w:i w:val="0"/>
          <w:sz w:val="22"/>
        </w:rPr>
        <w:t>高岩团队在复现实验中主要使用Python实现定制化的光滑化牛顿算法，因为标准求解器可能无法有效处理分片线性效用函数等特殊结构。</w:t>
      </w:r>
    </w:p>
    <w:p>
      <w:pPr>
        <w:pStyle w:val="Heading2"/>
        <w:spacing w:before="240" w:after="80"/>
      </w:pPr>
      <w:r>
        <w:rPr>
          <w:rFonts w:ascii="Times New Roman" w:hAnsi="Times New Roman" w:eastAsia="黑体"/>
          <w:b/>
          <w:i w:val="0"/>
          <w:sz w:val="28"/>
        </w:rPr>
        <w:t>5.12 实时定价中的互补问题实例</w:t>
      </w:r>
    </w:p>
    <w:p>
      <w:pPr>
        <w:pStyle w:val="Heading3"/>
        <w:spacing w:before="160" w:after="60"/>
      </w:pPr>
      <w:r>
        <w:rPr>
          <w:rFonts w:ascii="Times New Roman" w:hAnsi="Times New Roman" w:eastAsia="黑体"/>
          <w:b/>
          <w:i w:val="0"/>
          <w:sz w:val="24"/>
        </w:rPr>
        <w:t>分片线性效用函数的完整推导</w:t>
      </w:r>
    </w:p>
    <w:p>
      <w:pPr>
        <w:spacing w:line="360" w:lineRule="auto" w:after="0"/>
        <w:ind w:firstLine="425"/>
      </w:pPr>
      <w:r>
        <w:rPr>
          <w:rFonts w:ascii="Times New Roman" w:hAnsi="Times New Roman" w:eastAsia="宋体"/>
          <w:b w:val="0"/>
          <w:i w:val="0"/>
          <w:sz w:val="22"/>
        </w:rPr>
        <w:t>以许志宏和高岩（2018）的分片线性效用函数为例</w:t>
      </w:r>
      <w:r>
        <w:rPr>
          <w:rFonts w:ascii="Times New Roman" w:hAnsi="Times New Roman" w:eastAsia="Times New Roman"/>
          <w:b w:val="0"/>
          <w:i w:val="0"/>
          <w:sz w:val="18"/>
          <w:vertAlign w:val="superscript"/>
        </w:rPr>
        <w:t>[1]</w:t>
      </w:r>
      <w:r>
        <w:rPr>
          <w:rFonts w:ascii="Times New Roman" w:hAnsi="Times New Roman" w:eastAsia="宋体"/>
          <w:b w:val="0"/>
          <w:i w:val="0"/>
          <w:sz w:val="22"/>
        </w:rPr>
        <w:t>，完整的互补问题推导如下：</w:t>
      </w:r>
    </w:p>
    <w:p>
      <w:pPr>
        <w:spacing w:line="360" w:lineRule="auto" w:after="0"/>
        <w:ind w:firstLine="425"/>
      </w:pPr>
      <w:r>
        <w:rPr>
          <w:rFonts w:ascii="Times New Roman" w:hAnsi="Times New Roman" w:eastAsia="宋体"/>
          <w:b/>
          <w:i w:val="0"/>
          <w:sz w:val="22"/>
        </w:rPr>
        <w:t>原问题</w:t>
      </w:r>
      <w:r>
        <w:rPr>
          <w:rFonts w:ascii="Times New Roman" w:hAnsi="Times New Roman" w:eastAsia="宋体"/>
          <w:b w:val="0"/>
          <w:i w:val="0"/>
          <w:sz w:val="22"/>
        </w:rPr>
        <w:t>：</w:t>
      </w:r>
    </w:p>
    <w:p>
      <w:pPr>
        <w:spacing w:before="80" w:after="80"/>
        <w:jc w:val="center"/>
      </w:pPr>
      <m:oMathPara>
        <m:oMath>
          <m:r>
            <m:t>max</m:t>
          </m:r>
          <m:nary>
            <m:naryPr>
              <m:chr m:val="∑"/>
              <m:limLoc m:val="subSup"/>
              <m:grow m:val="1"/>
              <m:subHide m:val="off"/>
              <m:supHide m:val="on"/>
            </m:naryPr>
            <m:sub>
              <m:r>
                <m:t>i</m:t>
              </m:r>
            </m:sub>
            <m:sup/>
            <m:e>
              <m:sSub>
                <m:e>
                  <m:r>
                    <m:t>U</m:t>
                  </m:r>
                </m:e>
                <m:sub>
                  <m:r>
                    <m:t>i</m:t>
                  </m:r>
                </m:sub>
              </m:sSub>
            </m:e>
          </m:nary>
          <m:r>
            <m:t>(</m:t>
          </m:r>
          <m:sSub>
            <m:e>
              <m:r>
                <m:t>x</m:t>
              </m:r>
            </m:e>
            <m:sub>
              <m:r>
                <m:t>i</m:t>
              </m:r>
            </m:sub>
          </m:sSub>
          <m:r>
            <m:t>)−C(Q),</m:t>
          </m:r>
          <m:r>
            <m:t>Q=</m:t>
          </m:r>
          <m:nary>
            <m:naryPr>
              <m:chr m:val="∑"/>
              <m:limLoc m:val="subSup"/>
              <m:grow m:val="1"/>
              <m:subHide m:val="off"/>
              <m:supHide m:val="on"/>
            </m:naryPr>
            <m:sub>
              <m:r>
                <m:t>i</m:t>
              </m:r>
            </m:sub>
            <m:sup/>
            <m:e>
              <m:sSub>
                <m:e>
                  <m:r>
                    <m:t>x</m:t>
                  </m:r>
                </m:e>
                <m:sub>
                  <m:r>
                    <m:t>i</m:t>
                  </m:r>
                </m:sub>
              </m:sSub>
            </m:e>
          </m:nary>
          <m:r>
            <m:t>,</m:t>
          </m:r>
          <m:r>
            <m:t>0≤</m:t>
          </m:r>
          <m:sSub>
            <m:e>
              <m:r>
                <m:t>x</m:t>
              </m:r>
            </m:e>
            <m:sub>
              <m:r>
                <m:t>i</m:t>
              </m:r>
            </m:sub>
          </m:sSub>
          <m:r>
            <m:t>≤</m:t>
          </m:r>
          <m:sSubSup>
            <m:e>
              <m:r>
                <m:t>x</m:t>
              </m:r>
            </m:e>
            <m:sub>
              <m:r>
                <m:t>i</m:t>
              </m:r>
            </m:sub>
            <m:sup>
              <m:r>
                <m:t>max</m:t>
              </m:r>
            </m:sup>
          </m:sSubSup>
        </m:oMath>
      </m:oMathPara>
    </w:p>
    <w:p>
      <w:pPr>
        <w:spacing w:line="360" w:lineRule="auto" w:after="0"/>
        <w:ind w:firstLine="0"/>
      </w:pPr>
      <w:r>
        <w:rPr>
          <w:rFonts w:ascii="Times New Roman" w:hAnsi="Times New Roman" w:eastAsia="宋体"/>
          <w:b/>
          <w:i w:val="0"/>
          <w:sz w:val="22"/>
        </w:rPr>
        <w:t>拉格朗日函数</w:t>
      </w:r>
      <w:r>
        <w:rPr>
          <w:rFonts w:ascii="Times New Roman" w:hAnsi="Times New Roman" w:eastAsia="宋体"/>
          <w:b w:val="0"/>
          <w:i w:val="0"/>
          <w:sz w:val="22"/>
        </w:rPr>
        <w:t>：</w:t>
      </w:r>
    </w:p>
    <w:p>
      <w:pPr>
        <w:spacing w:before="80" w:after="80"/>
        <w:jc w:val="center"/>
      </w:pPr>
      <m:oMathPara>
        <m:oMath>
          <m:r>
            <m:t>L=</m:t>
          </m:r>
          <m:nary>
            <m:naryPr>
              <m:chr m:val="∑"/>
              <m:limLoc m:val="subSup"/>
              <m:grow m:val="1"/>
              <m:subHide m:val="off"/>
              <m:supHide m:val="on"/>
            </m:naryPr>
            <m:sub>
              <m:r>
                <m:t>i</m:t>
              </m:r>
            </m:sub>
            <m:sup/>
            <m:e>
              <m:sSub>
                <m:e>
                  <m:r>
                    <m:t>U</m:t>
                  </m:r>
                </m:e>
                <m:sub>
                  <m:r>
                    <m:t>i</m:t>
                  </m:r>
                </m:sub>
              </m:sSub>
            </m:e>
          </m:nary>
          <m:r>
            <m:t>(</m:t>
          </m:r>
          <m:sSub>
            <m:e>
              <m:r>
                <m:t>x</m:t>
              </m:r>
            </m:e>
            <m:sub>
              <m:r>
                <m:t>i</m:t>
              </m:r>
            </m:sub>
          </m:sSub>
          <m:r>
            <m:t>)−C(Q)−p</m:t>
          </m:r>
          <m:d>
            <m:dPr>
              <m:sepChr m:val="−"/>
            </m:dPr>
            <m:e>
              <m:r>
                <m:t>Q</m:t>
              </m:r>
            </m:e>
            <m:e>
              <m:nary>
                <m:naryPr>
                  <m:chr m:val="∑"/>
                  <m:limLoc m:val="subSup"/>
                  <m:grow m:val="1"/>
                  <m:subHide m:val="off"/>
                  <m:supHide m:val="on"/>
                </m:naryPr>
                <m:sub>
                  <m:r>
                    <m:t>i</m:t>
                  </m:r>
                </m:sub>
                <m:sup/>
                <m:e>
                  <m:sSub>
                    <m:e>
                      <m:r>
                        <m:t>x</m:t>
                      </m:r>
                    </m:e>
                    <m:sub>
                      <m:r>
                        <m:t>i</m:t>
                      </m:r>
                    </m:sub>
                  </m:sSub>
                </m:e>
              </m:nary>
            </m:e>
          </m:d>
          <m:r>
            <m:t>−</m:t>
          </m:r>
          <m:nary>
            <m:naryPr>
              <m:chr m:val="∑"/>
              <m:limLoc m:val="subSup"/>
              <m:grow m:val="1"/>
              <m:subHide m:val="off"/>
              <m:supHide m:val="on"/>
            </m:naryPr>
            <m:sub>
              <m:r>
                <m:t>i</m:t>
              </m:r>
            </m:sub>
            <m:sup/>
            <m:e>
              <m:sSub>
                <m:e>
                  <m:r>
                    <m:t>λ</m:t>
                  </m:r>
                </m:e>
                <m:sub>
                  <m:r>
                    <m:t>i</m:t>
                  </m:r>
                </m:sub>
              </m:sSub>
            </m:e>
          </m:nary>
          <m:r>
            <m:t>(</m:t>
          </m:r>
          <m:sSub>
            <m:e>
              <m:r>
                <m:t>x</m:t>
              </m:r>
            </m:e>
            <m:sub>
              <m:r>
                <m:t>i</m:t>
              </m:r>
            </m:sub>
          </m:sSub>
          <m:r>
            <m:t>−</m:t>
          </m:r>
          <m:sSubSup>
            <m:e>
              <m:r>
                <m:t>x</m:t>
              </m:r>
            </m:e>
            <m:sub>
              <m:r>
                <m:t>i</m:t>
              </m:r>
            </m:sub>
            <m:sup>
              <m:r>
                <m:t>max</m:t>
              </m:r>
            </m:sup>
          </m:sSubSup>
          <m:r>
            <m:t>)+</m:t>
          </m:r>
          <m:nary>
            <m:naryPr>
              <m:chr m:val="∑"/>
              <m:limLoc m:val="subSup"/>
              <m:grow m:val="1"/>
              <m:subHide m:val="off"/>
              <m:supHide m:val="on"/>
            </m:naryPr>
            <m:sub>
              <m:r>
                <m:t>i</m:t>
              </m:r>
            </m:sub>
            <m:sup/>
            <m:e>
              <m:sSub>
                <m:e>
                  <m:r>
                    <m:t>μ</m:t>
                  </m:r>
                </m:e>
                <m:sub>
                  <m:r>
                    <m:t>i</m:t>
                  </m:r>
                </m:sub>
              </m:sSub>
            </m:e>
          </m:nary>
          <m:sSub>
            <m:e>
              <m:r>
                <m:t>x</m:t>
              </m:r>
            </m:e>
            <m:sub>
              <m:r>
                <m:t>i</m:t>
              </m:r>
            </m:sub>
          </m:sSub>
        </m:oMath>
      </m:oMathPara>
    </w:p>
    <w:p>
      <w:pPr>
        <w:spacing w:line="360" w:lineRule="auto" w:after="0"/>
        <w:ind w:firstLine="0"/>
      </w:pPr>
      <w:r>
        <w:rPr>
          <w:rFonts w:ascii="Times New Roman" w:hAnsi="Times New Roman" w:eastAsia="宋体"/>
          <w:b/>
          <w:i w:val="0"/>
          <w:sz w:val="22"/>
        </w:rPr>
        <w:t>KKT条件</w:t>
      </w:r>
      <w:r>
        <w:rPr>
          <w:rFonts w:ascii="Times New Roman" w:hAnsi="Times New Roman" w:eastAsia="宋体"/>
          <w:b w:val="0"/>
          <w:i w:val="0"/>
          <w:sz w:val="22"/>
        </w:rPr>
        <w:t>：</w:t>
      </w:r>
    </w:p>
    <w:p>
      <w:pPr>
        <w:spacing w:before="80" w:after="80"/>
        <w:jc w:val="center"/>
      </w:pPr>
      <m:oMathPara>
        <m:oMath>
          <m:sSubSup>
            <m:e>
              <m:r>
                <m:t>U</m:t>
              </m:r>
            </m:e>
            <m:sub>
              <m:r>
                <m:t>i</m:t>
              </m:r>
            </m:sub>
            <m:sup>
              <m:r>
                <m:t>′</m:t>
              </m:r>
            </m:sup>
          </m:sSubSup>
          <m:r>
            <m:t>(</m:t>
          </m:r>
          <m:sSub>
            <m:e>
              <m:r>
                <m:t>x</m:t>
              </m:r>
            </m:e>
            <m:sub>
              <m:r>
                <m:t>i</m:t>
              </m:r>
            </m:sub>
          </m:sSub>
          <m:r>
            <m:t>)−p−</m:t>
          </m:r>
          <m:sSub>
            <m:e>
              <m:r>
                <m:t>λ</m:t>
              </m:r>
            </m:e>
            <m:sub>
              <m:r>
                <m:t>i</m:t>
              </m:r>
            </m:sub>
          </m:sSub>
          <m:r>
            <m:t>+</m:t>
          </m:r>
          <m:sSub>
            <m:e>
              <m:r>
                <m:t>μ</m:t>
              </m:r>
            </m:e>
            <m:sub>
              <m:r>
                <m:t>i</m:t>
              </m:r>
            </m:sub>
          </m:sSub>
          <m:r>
            <m:t>=0</m:t>
          </m:r>
        </m:oMath>
      </m:oMathPara>
    </w:p>
    <w:p>
      <w:pPr>
        <w:spacing w:before="80" w:after="80"/>
        <w:jc w:val="center"/>
      </w:pPr>
      <m:oMathPara>
        <m:oMath>
          <m:sSup>
            <m:e>
              <m:r>
                <m:t>C</m:t>
              </m:r>
            </m:e>
            <m:sup>
              <m:r>
                <m:t>′</m:t>
              </m:r>
            </m:sup>
          </m:sSup>
          <m:r>
            <m:t>(Q)−p=0</m:t>
          </m:r>
        </m:oMath>
      </m:oMathPara>
    </w:p>
    <w:p>
      <w:pPr>
        <w:spacing w:before="80" w:after="80"/>
        <w:jc w:val="center"/>
      </w:pPr>
      <m:oMathPara>
        <m:oMath>
          <m:sSub>
            <m:e>
              <m:r>
                <m:t>λ</m:t>
              </m:r>
            </m:e>
            <m:sub>
              <m:r>
                <m:t>i</m:t>
              </m:r>
            </m:sub>
          </m:sSub>
          <m:r>
            <m:t>(</m:t>
          </m:r>
          <m:sSub>
            <m:e>
              <m:r>
                <m:t>x</m:t>
              </m:r>
            </m:e>
            <m:sub>
              <m:r>
                <m:t>i</m:t>
              </m:r>
            </m:sub>
          </m:sSub>
          <m:r>
            <m:t>−</m:t>
          </m:r>
          <m:sSubSup>
            <m:e>
              <m:r>
                <m:t>x</m:t>
              </m:r>
            </m:e>
            <m:sub>
              <m:r>
                <m:t>i</m:t>
              </m:r>
            </m:sub>
            <m:sup>
              <m:r>
                <m:t>max</m:t>
              </m:r>
            </m:sup>
          </m:sSubSup>
          <m:r>
            <m:t>)=0,</m:t>
          </m:r>
          <m:sSub>
            <m:e>
              <m:r>
                <m:t>λ</m:t>
              </m:r>
            </m:e>
            <m:sub>
              <m:r>
                <m:t>i</m:t>
              </m:r>
            </m:sub>
          </m:sSub>
          <m:r>
            <m:t>≥0,</m:t>
          </m:r>
          <m:sSub>
            <m:e>
              <m:r>
                <m:t>x</m:t>
              </m:r>
            </m:e>
            <m:sub>
              <m:r>
                <m:t>i</m:t>
              </m:r>
            </m:sub>
          </m:sSub>
          <m:r>
            <m:t>≤</m:t>
          </m:r>
          <m:sSubSup>
            <m:e>
              <m:r>
                <m:t>x</m:t>
              </m:r>
            </m:e>
            <m:sub>
              <m:r>
                <m:t>i</m:t>
              </m:r>
            </m:sub>
            <m:sup>
              <m:r>
                <m:t>max</m:t>
              </m:r>
            </m:sup>
          </m:sSubSup>
        </m:oMath>
      </m:oMathPara>
    </w:p>
    <w:p>
      <w:pPr>
        <w:spacing w:before="80" w:after="80"/>
        <w:jc w:val="center"/>
      </w:pPr>
      <m:oMathPara>
        <m:oMath>
          <m:sSub>
            <m:e>
              <m:r>
                <m:t>μ</m:t>
              </m:r>
            </m:e>
            <m:sub>
              <m:r>
                <m:t>i</m:t>
              </m:r>
            </m:sub>
          </m:sSub>
          <m:sSub>
            <m:e>
              <m:r>
                <m:t>x</m:t>
              </m:r>
            </m:e>
            <m:sub>
              <m:r>
                <m:t>i</m:t>
              </m:r>
            </m:sub>
          </m:sSub>
          <m:r>
            <m:t>=0,</m:t>
          </m:r>
          <m:sSub>
            <m:e>
              <m:r>
                <m:t>μ</m:t>
              </m:r>
            </m:e>
            <m:sub>
              <m:r>
                <m:t>i</m:t>
              </m:r>
            </m:sub>
          </m:sSub>
          <m:r>
            <m:t>≥0,</m:t>
          </m:r>
          <m:sSub>
            <m:e>
              <m:r>
                <m:t>x</m:t>
              </m:r>
            </m:e>
            <m:sub>
              <m:r>
                <m:t>i</m:t>
              </m:r>
            </m:sub>
          </m:sSub>
          <m:r>
            <m:t>≥0</m:t>
          </m:r>
        </m:oMath>
      </m:oMathPara>
    </w:p>
    <w:p>
      <w:pPr>
        <w:spacing w:line="360" w:lineRule="auto" w:after="0"/>
        <w:ind w:firstLine="0"/>
      </w:pPr>
      <w:r>
        <w:rPr>
          <w:rFonts w:ascii="Times New Roman" w:hAnsi="Times New Roman" w:eastAsia="宋体"/>
          <w:b/>
          <w:i w:val="0"/>
          <w:sz w:val="22"/>
        </w:rPr>
        <w:t>NCP函数转化</w:t>
      </w:r>
      <w:r>
        <w:rPr>
          <w:rFonts w:ascii="Times New Roman" w:hAnsi="Times New Roman" w:eastAsia="宋体"/>
          <w:b w:val="0"/>
          <w:i w:val="0"/>
          <w:sz w:val="22"/>
        </w:rPr>
        <w:t>：使用FB函数φ(a,b) = √(a^2 + b^2) - a - b：</w:t>
      </w:r>
    </w:p>
    <w:p>
      <w:pPr>
        <w:spacing w:before="80" w:after="80"/>
        <w:jc w:val="center"/>
      </w:pPr>
      <m:oMathPara>
        <m:oMath>
          <m:r>
            <m:t>ϕ(</m:t>
          </m:r>
          <m:sSub>
            <m:e>
              <m:r>
                <m:t>λ</m:t>
              </m:r>
            </m:e>
            <m:sub>
              <m:r>
                <m:t>i</m:t>
              </m:r>
            </m:sub>
          </m:sSub>
          <m:r>
            <m:t>,</m:t>
          </m:r>
          <m:sSubSup>
            <m:e>
              <m:r>
                <m:t>x</m:t>
              </m:r>
            </m:e>
            <m:sub>
              <m:r>
                <m:t>i</m:t>
              </m:r>
            </m:sub>
            <m:sup>
              <m:r>
                <m:t>max</m:t>
              </m:r>
            </m:sup>
          </m:sSubSup>
          <m:r>
            <m:t>−</m:t>
          </m:r>
          <m:sSub>
            <m:e>
              <m:r>
                <m:t>x</m:t>
              </m:r>
            </m:e>
            <m:sub>
              <m:r>
                <m:t>i</m:t>
              </m:r>
            </m:sub>
          </m:sSub>
          <m:r>
            <m:t>)=0</m:t>
          </m:r>
        </m:oMath>
      </m:oMathPara>
    </w:p>
    <w:p>
      <w:pPr>
        <w:spacing w:before="80" w:after="80"/>
        <w:jc w:val="center"/>
      </w:pPr>
      <m:oMathPara>
        <m:oMath>
          <m:r>
            <m:t>ϕ(</m:t>
          </m:r>
          <m:sSub>
            <m:e>
              <m:r>
                <m:t>μ</m:t>
              </m:r>
            </m:e>
            <m:sub>
              <m:r>
                <m:t>i</m:t>
              </m:r>
            </m:sub>
          </m:sSub>
          <m:r>
            <m:t>,</m:t>
          </m:r>
          <m:sSub>
            <m:e>
              <m:r>
                <m:t>x</m:t>
              </m:r>
            </m:e>
            <m:sub>
              <m:r>
                <m:t>i</m:t>
              </m:r>
            </m:sub>
          </m:sSub>
          <m:r>
            <m:t>)=0</m:t>
          </m:r>
        </m:oMath>
      </m:oMathPara>
    </w:p>
    <w:p>
      <w:pPr>
        <w:spacing w:line="360" w:lineRule="auto" w:after="0"/>
        <w:ind w:firstLine="0"/>
      </w:pPr>
      <w:r>
        <w:rPr>
          <w:rFonts w:ascii="Times New Roman" w:hAnsi="Times New Roman" w:eastAsia="宋体"/>
          <w:b/>
          <w:i w:val="0"/>
          <w:sz w:val="22"/>
        </w:rPr>
        <w:t>光滑化</w:t>
      </w:r>
      <w:r>
        <w:rPr>
          <w:rFonts w:ascii="Times New Roman" w:hAnsi="Times New Roman" w:eastAsia="宋体"/>
          <w:b w:val="0"/>
          <w:i w:val="0"/>
          <w:sz w:val="22"/>
        </w:rPr>
        <w:t>：φ_μ(a,b) = √(a^2 + b^2 + μ^2) - a - b</w:t>
      </w:r>
    </w:p>
    <w:p>
      <w:pPr>
        <w:spacing w:line="360" w:lineRule="auto" w:after="0"/>
        <w:ind w:firstLine="425"/>
      </w:pPr>
      <w:r>
        <w:rPr>
          <w:rFonts w:ascii="Times New Roman" w:hAnsi="Times New Roman" w:eastAsia="宋体"/>
          <w:b/>
          <w:i w:val="0"/>
          <w:sz w:val="22"/>
        </w:rPr>
        <w:t>求解</w:t>
      </w:r>
      <w:r>
        <w:rPr>
          <w:rFonts w:ascii="Times New Roman" w:hAnsi="Times New Roman" w:eastAsia="宋体"/>
          <w:b w:val="0"/>
          <w:i w:val="0"/>
          <w:sz w:val="22"/>
        </w:rPr>
        <w:t>：对光滑化后的方程组用牛顿法求解，逐步减小μ。</w:t>
      </w:r>
    </w:p>
    <w:p>
      <w:pPr>
        <w:pStyle w:val="Heading3"/>
        <w:spacing w:before="160" w:after="60"/>
      </w:pPr>
      <w:r>
        <w:rPr>
          <w:rFonts w:ascii="Times New Roman" w:hAnsi="Times New Roman" w:eastAsia="黑体"/>
          <w:b/>
          <w:i w:val="0"/>
          <w:sz w:val="24"/>
        </w:rPr>
        <w:t>分布式互补问题的通信协议</w:t>
      </w:r>
    </w:p>
    <w:p>
      <w:pPr>
        <w:spacing w:line="360" w:lineRule="auto" w:after="0"/>
        <w:ind w:firstLine="425"/>
      </w:pPr>
      <w:r>
        <w:rPr>
          <w:rFonts w:ascii="Times New Roman" w:hAnsi="Times New Roman" w:eastAsia="宋体"/>
          <w:b w:val="0"/>
          <w:i w:val="0"/>
          <w:sz w:val="22"/>
        </w:rPr>
        <w:t>分布式求解互补问题需要设计高效的通信协议：</w:t>
      </w:r>
    </w:p>
    <w:p>
      <w:pPr>
        <w:spacing w:line="360" w:lineRule="auto" w:after="0"/>
        <w:ind w:firstLine="425"/>
      </w:pPr>
      <w:r>
        <w:rPr>
          <w:rFonts w:ascii="Times New Roman" w:hAnsi="Times New Roman" w:eastAsia="宋体"/>
          <w:b/>
          <w:i w:val="0"/>
          <w:sz w:val="22"/>
        </w:rPr>
        <w:t>信息交换内容</w:t>
      </w:r>
      <w:r>
        <w:rPr>
          <w:rFonts w:ascii="Times New Roman" w:hAnsi="Times New Roman" w:eastAsia="宋体"/>
          <w:b w:val="0"/>
          <w:i w:val="0"/>
          <w:sz w:val="22"/>
        </w:rPr>
        <w:t>：用户向供电方发送用电量x_i^k（或聚合后的总需求Q^k），供电方向用户发送价格p^k。</w:t>
      </w:r>
    </w:p>
    <w:p>
      <w:pPr>
        <w:spacing w:line="360" w:lineRule="auto" w:after="0"/>
        <w:ind w:firstLine="425"/>
      </w:pPr>
      <w:r>
        <w:rPr>
          <w:rFonts w:ascii="Times New Roman" w:hAnsi="Times New Roman" w:eastAsia="宋体"/>
          <w:b/>
          <w:i w:val="0"/>
          <w:sz w:val="22"/>
        </w:rPr>
        <w:t>通信频率</w:t>
      </w:r>
      <w:r>
        <w:rPr>
          <w:rFonts w:ascii="Times New Roman" w:hAnsi="Times New Roman" w:eastAsia="宋体"/>
          <w:b w:val="0"/>
          <w:i w:val="0"/>
          <w:sz w:val="22"/>
        </w:rPr>
        <w:t>：每个定价周期内进行5-15轮迭代，每轮通信延迟应&lt;1秒。</w:t>
      </w:r>
    </w:p>
    <w:p>
      <w:pPr>
        <w:spacing w:line="360" w:lineRule="auto" w:after="0"/>
        <w:ind w:firstLine="425"/>
      </w:pPr>
      <w:r>
        <w:rPr>
          <w:rFonts w:ascii="Times New Roman" w:hAnsi="Times New Roman" w:eastAsia="宋体"/>
          <w:b/>
          <w:i w:val="0"/>
          <w:sz w:val="22"/>
        </w:rPr>
        <w:t>容错机制</w:t>
      </w:r>
      <w:r>
        <w:rPr>
          <w:rFonts w:ascii="Times New Roman" w:hAnsi="Times New Roman" w:eastAsia="宋体"/>
          <w:b w:val="0"/>
          <w:i w:val="0"/>
          <w:sz w:val="22"/>
        </w:rPr>
        <w:t>：当用户节点通信失败时，使用上一次迭代结果替代。连续3次失败则标记节点为离线，排除出优化。</w:t>
      </w:r>
    </w:p>
    <w:p>
      <w:pPr>
        <w:spacing w:line="360" w:lineRule="auto" w:after="0"/>
        <w:ind w:firstLine="425"/>
      </w:pPr>
      <w:r>
        <w:rPr>
          <w:rFonts w:ascii="Times New Roman" w:hAnsi="Times New Roman" w:eastAsia="宋体"/>
          <w:b/>
          <w:i w:val="0"/>
          <w:sz w:val="22"/>
        </w:rPr>
        <w:t>安全通信</w:t>
      </w:r>
      <w:r>
        <w:rPr>
          <w:rFonts w:ascii="Times New Roman" w:hAnsi="Times New Roman" w:eastAsia="宋体"/>
          <w:b w:val="0"/>
          <w:i w:val="0"/>
          <w:sz w:val="22"/>
        </w:rPr>
        <w:t>：使用TLS加密通信通道，防止价格信号被篡改。采用数字签名确保消息来源可信。</w:t>
      </w:r>
    </w:p>
    <w:p>
      <w:pPr>
        <w:pStyle w:val="Heading2"/>
        <w:spacing w:before="240" w:after="80"/>
      </w:pPr>
      <w:r>
        <w:rPr>
          <w:rFonts w:ascii="Times New Roman" w:hAnsi="Times New Roman" w:eastAsia="黑体"/>
          <w:b/>
          <w:i w:val="0"/>
          <w:sz w:val="28"/>
        </w:rPr>
        <w:t>5.13 Stackelberg博弈的深入理论分析</w:t>
      </w:r>
    </w:p>
    <w:p>
      <w:pPr>
        <w:pStyle w:val="Heading3"/>
        <w:spacing w:before="160" w:after="60"/>
      </w:pPr>
      <w:r>
        <w:rPr>
          <w:rFonts w:ascii="Times New Roman" w:hAnsi="Times New Roman" w:eastAsia="黑体"/>
          <w:b/>
          <w:i w:val="0"/>
          <w:sz w:val="24"/>
        </w:rPr>
        <w:t>多层博弈结构的扩展</w:t>
      </w:r>
    </w:p>
    <w:p>
      <w:pPr>
        <w:spacing w:line="360" w:lineRule="auto" w:after="0"/>
        <w:ind w:firstLine="425"/>
      </w:pPr>
      <w:r>
        <w:rPr>
          <w:rFonts w:ascii="Times New Roman" w:hAnsi="Times New Roman" w:eastAsia="宋体"/>
          <w:b w:val="0"/>
          <w:i w:val="0"/>
          <w:sz w:val="22"/>
        </w:rPr>
        <w:t>传统Stackelberg博弈假设单一领导者和单一跟随者，但在智能电网实时定价中，博弈结构更为复杂。多领导者博弈（Multi-Leader Stackelberg Game）描述多个供电方同时制定价格策略，各自最大化自身利润的场景。这种结构下，领导者之间的竞争引入了纳什均衡层，使得博弈变为多层嵌套结构：上层领导者博弈+下层跟随者博弈。</w:t>
      </w:r>
    </w:p>
    <w:p>
      <w:pPr>
        <w:spacing w:line="360" w:lineRule="auto" w:after="0"/>
        <w:ind w:firstLine="425"/>
      </w:pPr>
      <w:r>
        <w:rPr>
          <w:rFonts w:ascii="Times New Roman" w:hAnsi="Times New Roman" w:eastAsia="宋体"/>
          <w:b w:val="0"/>
          <w:i w:val="0"/>
          <w:sz w:val="22"/>
        </w:rPr>
        <w:t>多层博弈的均衡概念比单层博弈更为复杂。在两层博弈中，均衡需要同时满足：上层领导者策略互为最优响应（考虑下层跟随者的最优响应），下层跟随者策略互为最优响应（给定上层策略）。这种多重最优响应条件可能导致均衡不存在或不唯一，给理论分析和算法设计带来挑战。</w:t>
      </w:r>
    </w:p>
    <w:p>
      <w:pPr>
        <w:spacing w:line="360" w:lineRule="auto" w:after="0"/>
        <w:ind w:firstLine="425"/>
      </w:pPr>
      <w:r>
        <w:rPr>
          <w:rFonts w:ascii="Times New Roman" w:hAnsi="Times New Roman" w:eastAsia="宋体"/>
          <w:b w:val="0"/>
          <w:i w:val="0"/>
          <w:sz w:val="22"/>
        </w:rPr>
        <w:t>广义纳什均衡（GNE）是描述多领导者-多跟随者博弈的有力工具。当领导者和跟随者的策略空间相互耦合时（如总供给约束），标准纳什均衡概念不再适用。GNE允许策略空间依赖于对手策略，更贴合实际电力市场的约束结构。变分均衡是GNE的一种精炼，具有更好的理论性质和可计算性。</w:t>
      </w:r>
    </w:p>
    <w:p>
      <w:pPr>
        <w:pStyle w:val="Heading3"/>
        <w:spacing w:before="160" w:after="60"/>
      </w:pPr>
      <w:r>
        <w:rPr>
          <w:rFonts w:ascii="Times New Roman" w:hAnsi="Times New Roman" w:eastAsia="黑体"/>
          <w:b/>
          <w:i w:val="0"/>
          <w:sz w:val="24"/>
        </w:rPr>
        <w:t>信息结构的博弈影响</w:t>
      </w:r>
    </w:p>
    <w:p>
      <w:pPr>
        <w:spacing w:line="360" w:lineRule="auto" w:after="0"/>
        <w:ind w:firstLine="425"/>
      </w:pPr>
      <w:r>
        <w:rPr>
          <w:rFonts w:ascii="Times New Roman" w:hAnsi="Times New Roman" w:eastAsia="宋体"/>
          <w:b w:val="0"/>
          <w:i w:val="0"/>
          <w:sz w:val="22"/>
        </w:rPr>
        <w:t>Stackelberg博弈的关键特征是信息不对称：领导者知道跟随者的最优响应函数，而跟随者只知道领导者的当前策略。在实时定价中，这种信息不对称体现在：供电方（领导者）需要预测用户（跟随者）对价格的需求响应函数。</w:t>
      </w:r>
    </w:p>
    <w:p>
      <w:pPr>
        <w:spacing w:line="360" w:lineRule="auto" w:after="0"/>
        <w:ind w:firstLine="425"/>
      </w:pPr>
      <w:r>
        <w:rPr>
          <w:rFonts w:ascii="Times New Roman" w:hAnsi="Times New Roman" w:eastAsia="宋体"/>
          <w:b w:val="0"/>
          <w:i w:val="0"/>
          <w:sz w:val="22"/>
        </w:rPr>
        <w:t>完全信息假设在实际中难以满足。当领导者对跟随者响应函数的信息不完全时，博弈变为贝叶斯Stackelberg博弈。领导者需要基于对跟随者类型的概率信念来优化策略。在实时定价中，供电方可能不确定用户的价格弹性类型（高弹性或低弹性），需要通过历史数据估计类型分布。</w:t>
      </w:r>
    </w:p>
    <w:p>
      <w:pPr>
        <w:spacing w:line="360" w:lineRule="auto" w:after="0"/>
        <w:ind w:firstLine="425"/>
      </w:pPr>
      <w:r>
        <w:rPr>
          <w:rFonts w:ascii="Times New Roman" w:hAnsi="Times New Roman" w:eastAsia="宋体"/>
          <w:b w:val="0"/>
          <w:i w:val="0"/>
          <w:sz w:val="22"/>
        </w:rPr>
        <w:t>信息获取策略本身也是博弈的一部分。领导者可以投入资源改善对跟随者的信息了解，但信息获取成本需要与定价效率提升带来的收益平衡。这一权衡可以建模为信息价值问题：最优信息获取量使得边际信息价值等于边际信息成本。</w:t>
      </w:r>
    </w:p>
    <w:p>
      <w:pPr>
        <w:pStyle w:val="Heading3"/>
        <w:spacing w:before="160" w:after="60"/>
      </w:pPr>
      <w:r>
        <w:rPr>
          <w:rFonts w:ascii="Times New Roman" w:hAnsi="Times New Roman" w:eastAsia="黑体"/>
          <w:b/>
          <w:i w:val="0"/>
          <w:sz w:val="24"/>
        </w:rPr>
        <w:t>动态博弈与重复交互</w:t>
      </w:r>
    </w:p>
    <w:p>
      <w:pPr>
        <w:spacing w:line="360" w:lineRule="auto" w:after="0"/>
        <w:ind w:firstLine="425"/>
      </w:pPr>
      <w:r>
        <w:rPr>
          <w:rFonts w:ascii="Times New Roman" w:hAnsi="Times New Roman" w:eastAsia="宋体"/>
          <w:b w:val="0"/>
          <w:i w:val="0"/>
          <w:sz w:val="22"/>
        </w:rPr>
        <w:t>实时定价本质上是重复博弈过程：供电方和用户在每个定价周期（如15分钟）重复进行价格-需求交互。在重复博弈框架下，参与者的策略可以依赖于历史交互结果，引入了声誉机制和惩罚策略。</w:t>
      </w:r>
    </w:p>
    <w:p>
      <w:pPr>
        <w:spacing w:line="360" w:lineRule="auto" w:after="0"/>
        <w:ind w:firstLine="425"/>
      </w:pPr>
      <w:r>
        <w:rPr>
          <w:rFonts w:ascii="Times New Roman" w:hAnsi="Times New Roman" w:eastAsia="宋体"/>
          <w:b w:val="0"/>
          <w:i w:val="0"/>
          <w:sz w:val="22"/>
        </w:rPr>
        <w:t>触发策略是重复博弈中的重要概念。领导者可以声明：如果跟随者在本期的响应偏离预期，将在未来若干期采取惩罚性定价（如提高价格）。这种策略利用未来惩罚的威胁来维持当前的合作行为。然而，惩罚对领导者自身也可能造成损失，因此惩罚策略的可信性取决于领导者的耐心程度（贴现因子）。</w:t>
      </w:r>
    </w:p>
    <w:p>
      <w:pPr>
        <w:spacing w:line="360" w:lineRule="auto" w:after="0"/>
        <w:ind w:firstLine="425"/>
      </w:pPr>
      <w:r>
        <w:rPr>
          <w:rFonts w:ascii="Times New Roman" w:hAnsi="Times New Roman" w:eastAsia="宋体"/>
          <w:b w:val="0"/>
          <w:i w:val="0"/>
          <w:sz w:val="22"/>
        </w:rPr>
        <w:t>有限期重复博弈和无限期重复博弈的分析结果存在本质差异。在有限期博弈中，逆向归纳导致博弈在每一期都退化为单期博弈（连锁店悖论）。在无限期博弈中（或期数不确定的博弈中），合作均衡可以通过无名氏定理实现。在实时定价的实际应用中，定价周期的持续性使得无限期博弈模型更为合适。</w:t>
      </w:r>
    </w:p>
    <w:p>
      <w:pPr>
        <w:pStyle w:val="Heading3"/>
        <w:spacing w:before="160" w:after="60"/>
      </w:pPr>
      <w:r>
        <w:rPr>
          <w:rFonts w:ascii="Times New Roman" w:hAnsi="Times New Roman" w:eastAsia="黑体"/>
          <w:b/>
          <w:i w:val="0"/>
          <w:sz w:val="24"/>
        </w:rPr>
        <w:t>博弈均衡的稳定性分析</w:t>
      </w:r>
    </w:p>
    <w:p>
      <w:pPr>
        <w:spacing w:line="360" w:lineRule="auto" w:after="0"/>
        <w:ind w:firstLine="425"/>
      </w:pPr>
      <w:r>
        <w:rPr>
          <w:rFonts w:ascii="Times New Roman" w:hAnsi="Times New Roman" w:eastAsia="宋体"/>
          <w:b w:val="0"/>
          <w:i w:val="0"/>
          <w:sz w:val="22"/>
        </w:rPr>
        <w:t>均衡稳定性是实时定价系统设计的关键考量。Lyapunov稳定性要求系统在受到小扰动后能够回到均衡状态。在动态定价博弈中，稳定性分析需要考虑参与者策略更新的动态过程。最佳响应动态、虚拟博弈和强化学习是三种常见的策略更新机制，它们的稳定性条件各不相同。</w:t>
      </w:r>
    </w:p>
    <w:p>
      <w:pPr>
        <w:spacing w:line="360" w:lineRule="auto" w:after="0"/>
        <w:ind w:firstLine="425"/>
      </w:pPr>
      <w:r>
        <w:rPr>
          <w:rFonts w:ascii="Times New Roman" w:hAnsi="Times New Roman" w:eastAsia="宋体"/>
          <w:b w:val="0"/>
          <w:i w:val="0"/>
          <w:sz w:val="22"/>
        </w:rPr>
        <w:t>当存在多个均衡时，均衡的选择和收敛路径分析变得重要。演化博弈理论提供了均衡选择的自然框架：均衡的稳定性取决于其在群体中的演化适应性。在实时定价中，用户群体对特定定价策略的接受度和传播动态决定了哪种均衡最终实现。</w:t>
      </w:r>
    </w:p>
    <w:p>
      <w:pPr>
        <w:spacing w:line="360" w:lineRule="auto" w:after="0"/>
        <w:ind w:firstLine="425"/>
      </w:pPr>
      <w:r>
        <w:rPr>
          <w:rFonts w:ascii="Times New Roman" w:hAnsi="Times New Roman" w:eastAsia="宋体"/>
          <w:b w:val="0"/>
          <w:i w:val="0"/>
          <w:sz w:val="22"/>
        </w:rPr>
        <w:t>不稳定均衡可能导致价格振荡或发散。例如，当供需双方的响应延迟较大且响应幅度较强时，可能产生类似于经济学中"蛛网模型"的价格振荡现象。稳定性分析可以识别这类风险，并为定价参数设计（如响应频率、响应幅度限制）提供指导。</w:t>
      </w:r>
    </w:p>
    <w:p>
      <w:pPr>
        <w:pStyle w:val="Heading2"/>
        <w:spacing w:before="240" w:after="80"/>
      </w:pPr>
      <w:r>
        <w:rPr>
          <w:rFonts w:ascii="Times New Roman" w:hAnsi="Times New Roman" w:eastAsia="黑体"/>
          <w:b/>
          <w:i w:val="0"/>
          <w:sz w:val="28"/>
        </w:rPr>
        <w:t>5.14 Stackelberg博弈的算法实现与实验验证</w:t>
      </w:r>
    </w:p>
    <w:p>
      <w:pPr>
        <w:pStyle w:val="Heading3"/>
        <w:spacing w:before="160" w:after="60"/>
      </w:pPr>
      <w:r>
        <w:rPr>
          <w:rFonts w:ascii="Times New Roman" w:hAnsi="Times New Roman" w:eastAsia="黑体"/>
          <w:b/>
          <w:i w:val="0"/>
          <w:sz w:val="24"/>
        </w:rPr>
        <w:t>求解方法的系统性比较</w:t>
      </w:r>
    </w:p>
    <w:p>
      <w:pPr>
        <w:spacing w:line="360" w:lineRule="auto" w:after="0"/>
        <w:ind w:firstLine="425"/>
      </w:pPr>
      <w:r>
        <w:rPr>
          <w:rFonts w:ascii="Times New Roman" w:hAnsi="Times New Roman" w:eastAsia="宋体"/>
          <w:b w:val="0"/>
          <w:i w:val="0"/>
          <w:sz w:val="22"/>
        </w:rPr>
        <w:t>Stackelberg博弈的求解方法可以分为三大类：精确方法、近似方法和启发式方法。精确方法包括全枚举法（枚举领导者的所有可能策略，对每个策略求解跟随者的最优响应）和数学规划法（将博弈转化为双层规划问题求解）。精确方法保证找到全局最优解但计算复杂度高，仅适用于小规模问题。</w:t>
      </w:r>
    </w:p>
    <w:p>
      <w:pPr>
        <w:spacing w:line="360" w:lineRule="auto" w:after="0"/>
        <w:ind w:firstLine="425"/>
      </w:pPr>
      <w:r>
        <w:rPr>
          <w:rFonts w:ascii="Times New Roman" w:hAnsi="Times New Roman" w:eastAsia="宋体"/>
          <w:b w:val="0"/>
          <w:i w:val="0"/>
          <w:sz w:val="22"/>
        </w:rPr>
        <w:t>KKT转化法是求解双层规划的主流精确方法。通过将下层跟随者优化问题的KKT条件作为上层领导者优化问题的约束，将双层规划转化为单层混合互补问题或数学规划问题。这一转化的关键条件是下层问题为凸优化，确保KKT条件是充分必要的。</w:t>
      </w:r>
    </w:p>
    <w:p>
      <w:pPr>
        <w:spacing w:line="360" w:lineRule="auto" w:after="0"/>
        <w:ind w:firstLine="425"/>
      </w:pPr>
      <w:r>
        <w:rPr>
          <w:rFonts w:ascii="Times New Roman" w:hAnsi="Times New Roman" w:eastAsia="宋体"/>
          <w:b w:val="0"/>
          <w:i w:val="0"/>
          <w:sz w:val="22"/>
        </w:rPr>
        <w:t>当KKT转化导致非凸问题或计算不可行时，近似方法提供替代方案。线性近似将非线性的跟随者响应函数在当前点线性化，迭代更新近似点直至收敛。这种方法在每步迭代中只需求解线性规划，计算效率高，但收敛性依赖于初始点的选择和问题的非线性程度。</w:t>
      </w:r>
    </w:p>
    <w:p>
      <w:pPr>
        <w:spacing w:line="360" w:lineRule="auto" w:after="0"/>
        <w:ind w:firstLine="425"/>
      </w:pPr>
      <w:r>
        <w:rPr>
          <w:rFonts w:ascii="Times New Roman" w:hAnsi="Times New Roman" w:eastAsia="宋体"/>
          <w:b w:val="0"/>
          <w:i w:val="0"/>
          <w:sz w:val="22"/>
        </w:rPr>
        <w:t>启发式方法包括遗传算法、粒子群优化和模拟退火等。这些方法不保证找到全局最优解，但在处理非凸、非光滑或离散优化问题时具有实用价值。在Stackelberg博弈中，启发式方法常用于领导者策略空间的搜索，特别是当策略空间为离散或组合空间时。</w:t>
      </w:r>
    </w:p>
    <w:p>
      <w:pPr>
        <w:pStyle w:val="Heading3"/>
        <w:spacing w:before="160" w:after="60"/>
      </w:pPr>
      <w:r>
        <w:rPr>
          <w:rFonts w:ascii="Times New Roman" w:hAnsi="Times New Roman" w:eastAsia="黑体"/>
          <w:b/>
          <w:i w:val="0"/>
          <w:sz w:val="24"/>
        </w:rPr>
        <w:t>收敛性与稳定性的数值验证</w:t>
      </w:r>
    </w:p>
    <w:p>
      <w:pPr>
        <w:spacing w:line="360" w:lineRule="auto" w:after="0"/>
        <w:ind w:firstLine="425"/>
      </w:pPr>
      <w:r>
        <w:rPr>
          <w:rFonts w:ascii="Times New Roman" w:hAnsi="Times New Roman" w:eastAsia="宋体"/>
          <w:b w:val="0"/>
          <w:i w:val="0"/>
          <w:sz w:val="22"/>
        </w:rPr>
        <w:t>算法的收敛性分析是理论研究的重点，但实际应用中还需要通过数值实验验证算法在不同问题规模和参数设置下的表现。收敛性测试通常包括：记录迭代过程中的目标函数值变化、策略变化和约束违反程度，绘制收敛曲线，分析收敛速率和最终精度。</w:t>
      </w:r>
    </w:p>
    <w:p>
      <w:pPr>
        <w:spacing w:line="360" w:lineRule="auto" w:after="0"/>
        <w:ind w:firstLine="425"/>
      </w:pPr>
      <w:r>
        <w:rPr>
          <w:rFonts w:ascii="Times New Roman" w:hAnsi="Times New Roman" w:eastAsia="宋体"/>
          <w:b w:val="0"/>
          <w:i w:val="0"/>
          <w:sz w:val="22"/>
        </w:rPr>
        <w:t>鲁棒性测试评估算法在面对问题参数变化时的稳定性。在Stackelberg博弈中，关键参数包括领导者和跟随者的数量、需求函数的斜率、成本函数的形式等。通过参数扫描实验，可以识别算法的适用范围和失效条件。例如，当跟随者数量增加到某个阈值时，某些近似方法可能无法收敛。</w:t>
      </w:r>
    </w:p>
    <w:p>
      <w:pPr>
        <w:spacing w:line="360" w:lineRule="auto" w:after="0"/>
        <w:ind w:firstLine="425"/>
      </w:pPr>
      <w:r>
        <w:rPr>
          <w:rFonts w:ascii="Times New Roman" w:hAnsi="Times New Roman" w:eastAsia="宋体"/>
          <w:b w:val="0"/>
          <w:i w:val="0"/>
          <w:sz w:val="22"/>
        </w:rPr>
        <w:t>基准测试（Benchmarking）是将提出的算法与现有方法进行系统比较。基准方法通常包括：标准KKT转化法（作为精确解的参考）、ADMM（作为分布式方法的代表）和启发式方法（作为实用方法的代表）。比较指标包括求解时间、解的质量（与精确解的差距）、内存消耗和对参数变化的鲁棒性。</w:t>
      </w:r>
    </w:p>
    <w:p>
      <w:pPr>
        <w:pStyle w:val="Heading3"/>
        <w:spacing w:before="160" w:after="60"/>
      </w:pPr>
      <w:r>
        <w:rPr>
          <w:rFonts w:ascii="Times New Roman" w:hAnsi="Times New Roman" w:eastAsia="黑体"/>
          <w:b/>
          <w:i w:val="0"/>
          <w:sz w:val="24"/>
        </w:rPr>
        <w:t>大规模实验的并行计算</w:t>
      </w:r>
    </w:p>
    <w:p>
      <w:pPr>
        <w:spacing w:line="360" w:lineRule="auto" w:after="0"/>
        <w:ind w:firstLine="425"/>
      </w:pPr>
      <w:r>
        <w:rPr>
          <w:rFonts w:ascii="Times New Roman" w:hAnsi="Times New Roman" w:eastAsia="宋体"/>
          <w:b w:val="0"/>
          <w:i w:val="0"/>
          <w:sz w:val="22"/>
        </w:rPr>
        <w:t>实际电力系统的Stackelberg博弈可能包含数千个节点和数万个变量，单机计算难以在实时时间窗口内完成求解。并行计算技术可以显著加速求解过程。</w:t>
      </w:r>
    </w:p>
    <w:p>
      <w:pPr>
        <w:spacing w:line="360" w:lineRule="auto" w:after="0"/>
        <w:ind w:firstLine="425"/>
      </w:pPr>
      <w:r>
        <w:rPr>
          <w:rFonts w:ascii="Times New Roman" w:hAnsi="Times New Roman" w:eastAsia="宋体"/>
          <w:b w:val="0"/>
          <w:i w:val="0"/>
          <w:sz w:val="22"/>
        </w:rPr>
        <w:t>分布式内存并行利用MPI（消息传递接口）在计算集群上分配计算任务。区域分解方法将电网按地理区域划分，各计算节点独立求解本地子问题，通过MPI交换边界变量。这种方法在大规模电网的Stackelberg博弈求解中具有良好的可扩展性。</w:t>
      </w:r>
    </w:p>
    <w:p>
      <w:pPr>
        <w:spacing w:line="360" w:lineRule="auto" w:after="0"/>
        <w:ind w:firstLine="425"/>
      </w:pPr>
      <w:r>
        <w:rPr>
          <w:rFonts w:ascii="Times New Roman" w:hAnsi="Times New Roman" w:eastAsia="宋体"/>
          <w:b w:val="0"/>
          <w:i w:val="0"/>
          <w:sz w:val="22"/>
        </w:rPr>
        <w:t>GPU加速利用图形处理器的并行计算能力加速线性代数运算。Stackelberg博弈求解中的核心计算（如KKT系统的矩阵分解、线性规划的内点法迭代）可以利用GPU的并行架构显著加速。CUDA和cuBLAS库提供了高效的GPU线性代数运算接口。</w:t>
      </w:r>
    </w:p>
    <w:p>
      <w:pPr>
        <w:spacing w:line="360" w:lineRule="auto" w:after="0"/>
        <w:ind w:firstLine="425"/>
      </w:pPr>
      <w:r>
        <w:rPr>
          <w:rFonts w:ascii="Times New Roman" w:hAnsi="Times New Roman" w:eastAsia="宋体"/>
          <w:b w:val="0"/>
          <w:i w:val="0"/>
          <w:sz w:val="22"/>
        </w:rPr>
        <w:t>云计算为实时定价提供了弹性计算资源。在负荷高峰时段，系统可以动态扩展计算资源以满足实时定价的计算需求。容器化技术（如Docker、Kubernetes）使得定价算法可以在云端弹性部署，根据负载自动扩展或缩减计算实例。</w:t>
      </w:r>
    </w:p>
    <w:p>
      <w:pPr>
        <w:pStyle w:val="Heading3"/>
        <w:spacing w:before="160" w:after="60"/>
      </w:pPr>
      <w:r>
        <w:rPr>
          <w:rFonts w:ascii="Times New Roman" w:hAnsi="Times New Roman" w:eastAsia="黑体"/>
          <w:b/>
          <w:i w:val="0"/>
          <w:sz w:val="24"/>
        </w:rPr>
        <w:t>算法的实时性能优化</w:t>
      </w:r>
    </w:p>
    <w:p>
      <w:pPr>
        <w:spacing w:line="360" w:lineRule="auto" w:after="0"/>
        <w:ind w:firstLine="425"/>
      </w:pPr>
      <w:r>
        <w:rPr>
          <w:rFonts w:ascii="Times New Roman" w:hAnsi="Times New Roman" w:eastAsia="宋体"/>
          <w:b w:val="0"/>
          <w:i w:val="0"/>
          <w:sz w:val="22"/>
        </w:rPr>
        <w:t>实时定价算法需要在严格的时间限制内完成求解。美国电力市场的实时市场通常每5分钟运行一次，算法必须在5分钟内完成数据收集、模型构建、求解和结果发布。</w:t>
      </w:r>
    </w:p>
    <w:p>
      <w:pPr>
        <w:spacing w:line="360" w:lineRule="auto" w:after="0"/>
        <w:ind w:firstLine="425"/>
      </w:pPr>
      <w:r>
        <w:rPr>
          <w:rFonts w:ascii="Times New Roman" w:hAnsi="Times New Roman" w:eastAsia="宋体"/>
          <w:b w:val="0"/>
          <w:i w:val="0"/>
          <w:sz w:val="22"/>
        </w:rPr>
        <w:t>模型简化是提高实时性能的有效手段。网络等值（如REI等值）将电网的详细模型简化为等值的简化模型，减少变量和约束数量。时间聚合将多个时段的决策合并，减少优化问题的维度。灵敏度分析识别对定价影响最大的因素，将次要因素固定或简化。</w:t>
      </w:r>
    </w:p>
    <w:p>
      <w:pPr>
        <w:spacing w:line="360" w:lineRule="auto" w:after="0"/>
        <w:ind w:firstLine="425"/>
      </w:pPr>
      <w:r>
        <w:rPr>
          <w:rFonts w:ascii="Times New Roman" w:hAnsi="Times New Roman" w:eastAsia="宋体"/>
          <w:b w:val="0"/>
          <w:i w:val="0"/>
          <w:sz w:val="22"/>
        </w:rPr>
        <w:t>热启动利用前一个定价周期的解作为当前周期的初始点，可以显著减少迭代次数。当系统状态变化不大时，热启动可以将求解时间降低50%以上。然而，当系统发生拓扑变化或大扰动时，热启动可能失效，需要从冷启动恢复。</w:t>
      </w:r>
    </w:p>
    <w:p>
      <w:pPr>
        <w:spacing w:line="360" w:lineRule="auto" w:after="0"/>
        <w:ind w:firstLine="425"/>
      </w:pPr>
      <w:r>
        <w:rPr>
          <w:rFonts w:ascii="Times New Roman" w:hAnsi="Times New Roman" w:eastAsia="宋体"/>
          <w:b w:val="0"/>
          <w:i w:val="0"/>
          <w:sz w:val="22"/>
        </w:rPr>
        <w:t>增量更新技术仅对发生变化的模型部分进行重新计算，而非整个模型。当某一区域负荷发生变化时，仅更新该区域的子问题，其他区域的解保持不变。这种方法在系统状态变化局部化时特别有效，可以将实时计算复杂度从全局降低到局部。</w:t>
      </w:r>
    </w:p>
    <w:p>
      <w:pPr>
        <w:pStyle w:val="Heading2"/>
        <w:spacing w:before="240" w:after="80"/>
      </w:pPr>
      <w:r>
        <w:rPr>
          <w:rFonts w:ascii="Times New Roman" w:hAnsi="Times New Roman" w:eastAsia="黑体"/>
          <w:b/>
          <w:i w:val="0"/>
          <w:sz w:val="28"/>
        </w:rPr>
        <w:t>5.15 Stackelberg博弈在电力市场中的实证研究</w:t>
      </w:r>
    </w:p>
    <w:p>
      <w:pPr>
        <w:pStyle w:val="Heading3"/>
        <w:spacing w:before="160" w:after="60"/>
      </w:pPr>
      <w:r>
        <w:rPr>
          <w:rFonts w:ascii="Times New Roman" w:hAnsi="Times New Roman" w:eastAsia="黑体"/>
          <w:b/>
          <w:i w:val="0"/>
          <w:sz w:val="24"/>
        </w:rPr>
        <w:t>市场力检测与定价操纵分析</w:t>
      </w:r>
    </w:p>
    <w:p>
      <w:pPr>
        <w:spacing w:line="360" w:lineRule="auto" w:after="0"/>
        <w:ind w:firstLine="425"/>
      </w:pPr>
      <w:r>
        <w:rPr>
          <w:rFonts w:ascii="Times New Roman" w:hAnsi="Times New Roman" w:eastAsia="宋体"/>
          <w:b w:val="0"/>
          <w:i w:val="0"/>
          <w:sz w:val="22"/>
        </w:rPr>
        <w:t>Stackelberg博弈模型为电力市场力检测提供了理论框架。市场力定义为市场参与者通过策略性行为（而非成本变化）持续将价格维持在竞争水平之上的能力。在Stackelberg框架下，领导者利用其对跟随者响应函数的知识，通过策略性定价获取超额利润。</w:t>
      </w:r>
    </w:p>
    <w:p>
      <w:pPr>
        <w:spacing w:line="360" w:lineRule="auto" w:after="0"/>
        <w:ind w:firstLine="425"/>
      </w:pPr>
      <w:r>
        <w:rPr>
          <w:rFonts w:ascii="Times New Roman" w:hAnsi="Times New Roman" w:eastAsia="宋体"/>
          <w:b w:val="0"/>
          <w:i w:val="0"/>
          <w:sz w:val="22"/>
        </w:rPr>
        <w:t>残留供应指数（RSI）是检测市场力的常用指标。RSI定义为市场中除被检测企业外的总供应能力与总需求的比值。当RSI &lt; 1时，被检测企业是"必要"的，即市场需要其参与才能满足需求，此时该企业具有市场力。RSI的计算需要考虑输电约束和机组可用性。</w:t>
      </w:r>
    </w:p>
    <w:p>
      <w:pPr>
        <w:spacing w:line="360" w:lineRule="auto" w:after="0"/>
        <w:ind w:firstLine="425"/>
      </w:pPr>
      <w:r>
        <w:rPr>
          <w:rFonts w:ascii="Times New Roman" w:hAnsi="Times New Roman" w:eastAsia="宋体"/>
          <w:b w:val="0"/>
          <w:i w:val="0"/>
          <w:sz w:val="22"/>
        </w:rPr>
        <w:t>Lerner指数衡量价格偏离边际成本的程度：LI = (P - MC) / P。在完全竞争市场中LI = 0，在完全垄断市场中LI = 1/弹性。Lerner指数可以直接从市场数据计算，是事后市场力评估的直观指标。然而，边际成本的准确估计存在困难，特别是对于启停约束的发电机组。</w:t>
      </w:r>
    </w:p>
    <w:p>
      <w:pPr>
        <w:spacing w:line="360" w:lineRule="auto" w:after="0"/>
        <w:ind w:firstLine="425"/>
      </w:pPr>
      <w:r>
        <w:rPr>
          <w:rFonts w:ascii="Times New Roman" w:hAnsi="Times New Roman" w:eastAsia="宋体"/>
          <w:b w:val="0"/>
          <w:i w:val="0"/>
          <w:sz w:val="22"/>
        </w:rPr>
        <w:t>行为分析通过审查市场参与者的报价行为检测策略性操纵。标准行为包括：经济性 withholding（报价高于边际成本以减少出力）、物理性 withholding（以非经济理由宣布机组不可用）、虚假报价（提交与实际成本不符的报价）。自动化行为分析系统利用机器学习算法从海量报价数据中识别异常模式。</w:t>
      </w:r>
    </w:p>
    <w:p>
      <w:pPr>
        <w:pStyle w:val="Heading3"/>
        <w:spacing w:before="160" w:after="60"/>
      </w:pPr>
      <w:r>
        <w:rPr>
          <w:rFonts w:ascii="Times New Roman" w:hAnsi="Times New Roman" w:eastAsia="黑体"/>
          <w:b/>
          <w:i w:val="0"/>
          <w:sz w:val="24"/>
        </w:rPr>
        <w:t>国际市场力缓解机制比较</w:t>
      </w:r>
    </w:p>
    <w:p>
      <w:pPr>
        <w:spacing w:line="360" w:lineRule="auto" w:after="0"/>
        <w:ind w:firstLine="425"/>
      </w:pPr>
      <w:r>
        <w:rPr>
          <w:rFonts w:ascii="Times New Roman" w:hAnsi="Times New Roman" w:eastAsia="宋体"/>
          <w:b w:val="0"/>
          <w:i w:val="0"/>
          <w:sz w:val="22"/>
        </w:rPr>
        <w:t>不同电力市场采用了不同的市场力缓解机制。美国的自动缓解措施（AMP）在特定条件下自动触发价格上限或报价修正。PJM的三阶段市场力缓解流程包括结构性测试（RSI）、行为测试（报价是否偏离成本）和影响测试（报价是否显著影响价格）。</w:t>
      </w:r>
    </w:p>
    <w:p>
      <w:pPr>
        <w:spacing w:line="360" w:lineRule="auto" w:after="0"/>
        <w:ind w:firstLine="425"/>
      </w:pPr>
      <w:r>
        <w:rPr>
          <w:rFonts w:ascii="Times New Roman" w:hAnsi="Times New Roman" w:eastAsia="宋体"/>
          <w:b w:val="0"/>
          <w:i w:val="0"/>
          <w:sz w:val="22"/>
        </w:rPr>
        <w:t>英国的 Transmission Constraint Licence Condition（TCLC）禁止利用输电约束获取超额利润。英国还引入了"rebalancing"机制，允许发电商在日前市场后调整报价，但调整幅度受到限制以防止策略性行为。</w:t>
      </w:r>
    </w:p>
    <w:p>
      <w:pPr>
        <w:spacing w:line="360" w:lineRule="auto" w:after="0"/>
        <w:ind w:firstLine="425"/>
      </w:pPr>
      <w:r>
        <w:rPr>
          <w:rFonts w:ascii="Times New Roman" w:hAnsi="Times New Roman" w:eastAsia="宋体"/>
          <w:b w:val="0"/>
          <w:i w:val="0"/>
          <w:sz w:val="22"/>
        </w:rPr>
        <w:t>北欧市场采用信息透明策略缓解市场力：所有市场数据（报价、出清结果、输电约束等）实时公开，使策略性行为容易被识别和监管。这种透明度策略在市场集中度较低的环境中有效，但在集中度较高的市场中可能不足以防止市场力行使。</w:t>
      </w:r>
    </w:p>
    <w:p>
      <w:pPr>
        <w:spacing w:line="360" w:lineRule="auto" w:after="0"/>
        <w:ind w:firstLine="425"/>
      </w:pPr>
      <w:r>
        <w:rPr>
          <w:rFonts w:ascii="Times New Roman" w:hAnsi="Times New Roman" w:eastAsia="宋体"/>
          <w:b w:val="0"/>
          <w:i w:val="0"/>
          <w:sz w:val="22"/>
        </w:rPr>
        <w:t>中国的电力市场力缓解机制正在建设中。当前主要依靠报价上限和行政干预，缺乏系统化的自动化缓解机制。随着现货市场的成熟，需要建立基于结构-行为-影响三阶段测试的市场力检测和缓解框架。</w:t>
      </w:r>
    </w:p>
    <w:p>
      <w:pPr>
        <w:pStyle w:val="Heading3"/>
        <w:spacing w:before="160" w:after="60"/>
      </w:pPr>
      <w:r>
        <w:rPr>
          <w:rFonts w:ascii="Times New Roman" w:hAnsi="Times New Roman" w:eastAsia="黑体"/>
          <w:b/>
          <w:i w:val="0"/>
          <w:sz w:val="24"/>
        </w:rPr>
        <w:t>寡头定价的实验经济学验证</w:t>
      </w:r>
    </w:p>
    <w:p>
      <w:pPr>
        <w:spacing w:line="360" w:lineRule="auto" w:after="0"/>
        <w:ind w:firstLine="425"/>
      </w:pPr>
      <w:r>
        <w:rPr>
          <w:rFonts w:ascii="Times New Roman" w:hAnsi="Times New Roman" w:eastAsia="宋体"/>
          <w:b w:val="0"/>
          <w:i w:val="0"/>
          <w:sz w:val="22"/>
        </w:rPr>
        <w:t>实验经济学通过受控实验室实验验证博弈论预测。在电力市场实验中，参与者扮演发电企业，在模拟市场环境中提交报价并获取利润。实验可以控制市场结构（参与者数量、成本结构、需求弹性）和信息披露规则，测试不同条件下的定价行为。</w:t>
      </w:r>
    </w:p>
    <w:p>
      <w:pPr>
        <w:spacing w:line="360" w:lineRule="auto" w:after="0"/>
        <w:ind w:firstLine="425"/>
      </w:pPr>
      <w:r>
        <w:rPr>
          <w:rFonts w:ascii="Times New Roman" w:hAnsi="Times New Roman" w:eastAsia="宋体"/>
          <w:b w:val="0"/>
          <w:i w:val="0"/>
          <w:sz w:val="22"/>
        </w:rPr>
        <w:t>实验结果通常显示：实际报价行为介于完全竞争和完全垄断之间，符合博弈论模型的预测方向但偏离幅度较大。参与者倾向于行使一定的市场力，但行使程度低于理论模型预测。学习效应显著：随着经验积累，参与者的报价策略趋于稳定和理性。</w:t>
      </w:r>
    </w:p>
    <w:p>
      <w:pPr>
        <w:spacing w:line="360" w:lineRule="auto" w:after="0"/>
        <w:ind w:firstLine="425"/>
      </w:pPr>
      <w:r>
        <w:rPr>
          <w:rFonts w:ascii="Times New Roman" w:hAnsi="Times New Roman" w:eastAsia="宋体"/>
          <w:b w:val="0"/>
          <w:i w:val="0"/>
          <w:sz w:val="22"/>
        </w:rPr>
        <w:t>实验方法的优势在于可控性和可重复性，但面临外部有效性挑战：实验室环境与实际市场在激励机制、信息环境和参与者特征上存在差异。田野实验（在实际市场中引入受控变化）具有更高的外部有效性，但实施难度和成本更高。</w:t>
      </w:r>
    </w:p>
    <w:p>
      <w:pPr>
        <w:pStyle w:val="Heading3"/>
        <w:spacing w:before="160" w:after="60"/>
      </w:pPr>
      <w:r>
        <w:rPr>
          <w:rFonts w:ascii="Times New Roman" w:hAnsi="Times New Roman" w:eastAsia="黑体"/>
          <w:b/>
          <w:i w:val="0"/>
          <w:sz w:val="24"/>
        </w:rPr>
        <w:t>多市场协同定价策略</w:t>
      </w:r>
    </w:p>
    <w:p>
      <w:pPr>
        <w:spacing w:line="360" w:lineRule="auto" w:after="0"/>
        <w:ind w:firstLine="425"/>
      </w:pPr>
      <w:r>
        <w:rPr>
          <w:rFonts w:ascii="Times New Roman" w:hAnsi="Times New Roman" w:eastAsia="宋体"/>
          <w:b w:val="0"/>
          <w:i w:val="0"/>
          <w:sz w:val="22"/>
        </w:rPr>
        <w:t>发电企业通常同时参与能量市场、辅助服务市场和容量市场，需要在多个市场之间协调定价策略。多市场协同定价考虑了不同市场之间的耦合关系：在能量市场出售电量减少了可用于辅助服务的容量，反之亦然。</w:t>
      </w:r>
    </w:p>
    <w:p>
      <w:pPr>
        <w:spacing w:line="360" w:lineRule="auto" w:after="0"/>
        <w:ind w:firstLine="425"/>
      </w:pPr>
      <w:r>
        <w:rPr>
          <w:rFonts w:ascii="Times New Roman" w:hAnsi="Times New Roman" w:eastAsia="宋体"/>
          <w:b w:val="0"/>
          <w:i w:val="0"/>
          <w:sz w:val="22"/>
        </w:rPr>
        <w:t>协同定价的优化模型为多阶段随机规划：第一阶段决定容量分配（多少容量用于能量市场、多少用于辅助服务），第二阶段根据各市场的实际出清结果调整策略。目标函数最大化多市场总收入减去总成本。</w:t>
      </w:r>
    </w:p>
    <w:p>
      <w:pPr>
        <w:spacing w:line="360" w:lineRule="auto" w:after="0"/>
        <w:ind w:firstLine="425"/>
      </w:pPr>
      <w:r>
        <w:rPr>
          <w:rFonts w:ascii="Times New Roman" w:hAnsi="Times New Roman" w:eastAsia="宋体"/>
          <w:b w:val="0"/>
          <w:i w:val="0"/>
          <w:sz w:val="22"/>
        </w:rPr>
        <w:t>实时定价中的多市场协同面临信息不完全的挑战：发电企业在提交报价时不知道各市场的最终出清价格和出清数量。贝叶斯博弈模型可以描述这种信息不完全环境下的策略互动，贝叶斯纳什均衡给出最优报价策略。</w:t>
      </w:r>
    </w:p>
    <w:p>
      <w:pPr>
        <w:pStyle w:val="Heading3"/>
        <w:spacing w:before="160" w:after="60"/>
      </w:pPr>
      <w:r>
        <w:rPr>
          <w:rFonts w:ascii="Times New Roman" w:hAnsi="Times New Roman" w:eastAsia="黑体"/>
          <w:b/>
          <w:i w:val="0"/>
          <w:sz w:val="24"/>
        </w:rPr>
        <w:t>Stackelberg博弈的动态扩展</w:t>
      </w:r>
    </w:p>
    <w:p>
      <w:pPr>
        <w:spacing w:line="360" w:lineRule="auto" w:after="0"/>
        <w:ind w:firstLine="425"/>
      </w:pPr>
      <w:r>
        <w:rPr>
          <w:rFonts w:ascii="Times New Roman" w:hAnsi="Times New Roman" w:eastAsia="宋体"/>
          <w:b w:val="0"/>
          <w:i w:val="0"/>
          <w:sz w:val="22"/>
        </w:rPr>
        <w:t>在重复定价环境中，领导者的当前定价策略影响跟随者的长期行为。领导者可以通过当前的高价策略投资于品牌认知或用户锁定，使得跟随者在未来更难以切换到竞争对手。这种动态效应使得Stackelberg博弈的静态分析可能低估领导者的最优价格水平。</w:t>
      </w:r>
    </w:p>
    <w:p>
      <w:pPr>
        <w:spacing w:line="360" w:lineRule="auto" w:after="0"/>
        <w:ind w:firstLine="425"/>
      </w:pPr>
      <w:r>
        <w:rPr>
          <w:rFonts w:ascii="Times New Roman" w:hAnsi="Times New Roman" w:eastAsia="宋体"/>
          <w:b w:val="0"/>
          <w:i w:val="0"/>
          <w:sz w:val="22"/>
        </w:rPr>
        <w:t>动态Stackelberg博弈的求解需要使用动态规划或贝尔曼方程。状态变量包括跟随者对领导者的认知（如品牌忠诚度、价格预期），控制变量为领导者的定价策略。最优策略通常为马尔可夫策略，仅依赖当前状态而非完整历史。</w:t>
      </w:r>
    </w:p>
    <w:p>
      <w:pPr>
        <w:spacing w:line="360" w:lineRule="auto" w:after="0"/>
        <w:ind w:firstLine="425"/>
      </w:pPr>
      <w:r>
        <w:rPr>
          <w:rFonts w:ascii="Times New Roman" w:hAnsi="Times New Roman" w:eastAsia="宋体"/>
          <w:b w:val="0"/>
          <w:i w:val="0"/>
          <w:sz w:val="22"/>
        </w:rPr>
        <w:t>行为博弈论将有限理性引入Stackelberg博弈。Quantal Response Equilibrium（QRE）模型假设参与者不总是选择最优策略，而是以概率方式选择策略（更好的策略被选择的概率更高）。QRE参数控制理性程度：参数越大越接近完全理性，参数越小越接近随机选择。在实验数据校准中，QRE比标准纳什均衡更好地预测了实际行为。</w:t>
      </w:r>
    </w:p>
    <w:p>
      <w:pPr>
        <w:pStyle w:val="Heading2"/>
        <w:spacing w:before="240" w:after="80"/>
      </w:pPr>
      <w:r>
        <w:rPr>
          <w:rFonts w:ascii="Times New Roman" w:hAnsi="Times New Roman" w:eastAsia="黑体"/>
          <w:b/>
          <w:i w:val="0"/>
          <w:sz w:val="28"/>
        </w:rPr>
        <w:t>5.16 博弈论模型的应用案例与验证</w:t>
      </w:r>
    </w:p>
    <w:p>
      <w:pPr>
        <w:pStyle w:val="Heading3"/>
        <w:spacing w:before="160" w:after="60"/>
      </w:pPr>
      <w:r>
        <w:rPr>
          <w:rFonts w:ascii="Times New Roman" w:hAnsi="Times New Roman" w:eastAsia="黑体"/>
          <w:b/>
          <w:i w:val="0"/>
          <w:sz w:val="24"/>
        </w:rPr>
        <w:t>案例研究：区域电力市场的Stackelberg定价</w:t>
      </w:r>
    </w:p>
    <w:p>
      <w:pPr>
        <w:spacing w:line="360" w:lineRule="auto" w:after="0"/>
        <w:ind w:firstLine="425"/>
      </w:pPr>
      <w:r>
        <w:rPr>
          <w:rFonts w:ascii="Times New Roman" w:hAnsi="Times New Roman" w:eastAsia="宋体"/>
          <w:b w:val="0"/>
          <w:i w:val="0"/>
          <w:sz w:val="22"/>
        </w:rPr>
        <w:t>考虑一个包含1个大型发电商（领导者）和多个小型发电商（跟随者）的区域电力市场。大型发电商拥有20%的装机容量，具有显著的市场影响力。Stackelberg博弈模型可以分析其策略性定价行为。</w:t>
      </w:r>
    </w:p>
    <w:p>
      <w:pPr>
        <w:spacing w:line="360" w:lineRule="auto" w:after="0"/>
        <w:ind w:firstLine="425"/>
      </w:pPr>
      <w:r>
        <w:rPr>
          <w:rFonts w:ascii="Times New Roman" w:hAnsi="Times New Roman" w:eastAsia="宋体"/>
          <w:b w:val="0"/>
          <w:i w:val="0"/>
          <w:sz w:val="22"/>
        </w:rPr>
        <w:t>模型设定：领导者已知跟随者的边际成本函数和容量约束，通过设定报价策略最大化自身利润。跟随者观察到领导者的报价后，在剩余市场中进行古诺竞争。市场出清价格由总供给等于总需求决定。</w:t>
      </w:r>
    </w:p>
    <w:p>
      <w:pPr>
        <w:spacing w:line="360" w:lineRule="auto" w:after="0"/>
        <w:ind w:firstLine="425"/>
      </w:pPr>
      <w:r>
        <w:rPr>
          <w:rFonts w:ascii="Times New Roman" w:hAnsi="Times New Roman" w:eastAsia="宋体"/>
          <w:b w:val="0"/>
          <w:i w:val="0"/>
          <w:sz w:val="22"/>
        </w:rPr>
        <w:t>数值实验显示：当领导者采取Stackelberg策略时，市场出清价格比完全竞争价格高出8-15%，领导者的利润比古诺均衡利润高出5-10%。这一结果与理论预期一致：领导者利用先动优势获取超额利润。</w:t>
      </w:r>
    </w:p>
    <w:p>
      <w:pPr>
        <w:spacing w:line="360" w:lineRule="auto" w:after="0"/>
        <w:ind w:firstLine="425"/>
      </w:pPr>
      <w:r>
        <w:rPr>
          <w:rFonts w:ascii="Times New Roman" w:hAnsi="Times New Roman" w:eastAsia="宋体"/>
          <w:b w:val="0"/>
          <w:i w:val="0"/>
          <w:sz w:val="22"/>
        </w:rPr>
        <w:t>参数敏感性分析表明：市场力行使程度与领导者市场份额正相关，与需求弹性负相关。当领导者市场份额低于10%时，Stackelberg策略的额外收益微乎其微；当市场份额超过30%时，市场力行使可能导致价格显著偏离竞争水平。</w:t>
      </w:r>
    </w:p>
    <w:p>
      <w:pPr>
        <w:pStyle w:val="Heading3"/>
        <w:spacing w:before="160" w:after="60"/>
      </w:pPr>
      <w:r>
        <w:rPr>
          <w:rFonts w:ascii="Times New Roman" w:hAnsi="Times New Roman" w:eastAsia="黑体"/>
          <w:b/>
          <w:i w:val="0"/>
          <w:sz w:val="24"/>
        </w:rPr>
        <w:t>跟随者联盟的博弈分析</w:t>
      </w:r>
    </w:p>
    <w:p>
      <w:pPr>
        <w:spacing w:line="360" w:lineRule="auto" w:after="0"/>
        <w:ind w:firstLine="425"/>
      </w:pPr>
      <w:r>
        <w:rPr>
          <w:rFonts w:ascii="Times New Roman" w:hAnsi="Times New Roman" w:eastAsia="宋体"/>
          <w:b w:val="0"/>
          <w:i w:val="0"/>
          <w:sz w:val="22"/>
        </w:rPr>
        <w:t>在实际市场中，跟随者可能形成联盟增强议价能力。联盟博弈理论可以分析跟随者联盟对领导者策略的影响。</w:t>
      </w:r>
    </w:p>
    <w:p>
      <w:pPr>
        <w:spacing w:line="360" w:lineRule="auto" w:after="0"/>
        <w:ind w:firstLine="425"/>
      </w:pPr>
      <w:r>
        <w:rPr>
          <w:rFonts w:ascii="Times New Roman" w:hAnsi="Times New Roman" w:eastAsia="宋体"/>
          <w:b w:val="0"/>
          <w:i w:val="0"/>
          <w:sz w:val="22"/>
        </w:rPr>
        <w:t>当跟随者形成联盟时，博弈结构从一对多Stackelberg变为双方Stackelberg博弈。联盟的总响应能力增强（联盟内部可以优化资源配置），使得领导者对跟随者响应函数的预测更加困难（联盟内部的分配机制不透明）。</w:t>
      </w:r>
    </w:p>
    <w:p>
      <w:pPr>
        <w:spacing w:line="360" w:lineRule="auto" w:after="0"/>
        <w:ind w:firstLine="425"/>
      </w:pPr>
      <w:r>
        <w:rPr>
          <w:rFonts w:ascii="Times New Roman" w:hAnsi="Times New Roman" w:eastAsia="宋体"/>
          <w:b w:val="0"/>
          <w:i w:val="0"/>
          <w:sz w:val="22"/>
        </w:rPr>
        <w:t>核稳定性分析评估联盟的稳定性：如果任何子联盟都不能通过单独行动获得更高收益，则联盟是核稳定的。在电力市场中，跟随者联盟的核稳定性取决于联盟内部的收益分配机制和各成员的退出成本。</w:t>
      </w:r>
    </w:p>
    <w:p>
      <w:pPr>
        <w:pStyle w:val="Heading3"/>
        <w:spacing w:before="160" w:after="60"/>
      </w:pPr>
      <w:r>
        <w:rPr>
          <w:rFonts w:ascii="Times New Roman" w:hAnsi="Times New Roman" w:eastAsia="黑体"/>
          <w:b/>
          <w:i w:val="0"/>
          <w:sz w:val="24"/>
        </w:rPr>
        <w:t>动态定价博弈的仿真验证</w:t>
      </w:r>
    </w:p>
    <w:p>
      <w:pPr>
        <w:spacing w:line="360" w:lineRule="auto" w:after="0"/>
        <w:ind w:firstLine="425"/>
      </w:pPr>
      <w:r>
        <w:rPr>
          <w:rFonts w:ascii="Times New Roman" w:hAnsi="Times New Roman" w:eastAsia="宋体"/>
          <w:b w:val="0"/>
          <w:i w:val="0"/>
          <w:sz w:val="22"/>
        </w:rPr>
        <w:t>动态Stackelberg博弈的仿真验证需要建立包含学习和适应机制的仿真环境。Agent-based仿真方法将每个市场参与者建模为自主智能体，智能体根据自身的策略规则和学到的经验做出定价和用电决策。</w:t>
      </w:r>
    </w:p>
    <w:p>
      <w:pPr>
        <w:spacing w:line="360" w:lineRule="auto" w:after="0"/>
        <w:ind w:firstLine="425"/>
      </w:pPr>
      <w:r>
        <w:rPr>
          <w:rFonts w:ascii="Times New Roman" w:hAnsi="Times New Roman" w:eastAsia="宋体"/>
          <w:b w:val="0"/>
          <w:i w:val="0"/>
          <w:sz w:val="22"/>
        </w:rPr>
        <w:t>仿真实验设计：设定不同的市场结构参数（参与者数量、成本结构、需求弹性），运行多轮定价博弈，记录价格轨迹和各参与者收益。通过改变参数设置，分析市场结构对定价行为和市场效率的影响。</w:t>
      </w:r>
    </w:p>
    <w:p>
      <w:pPr>
        <w:spacing w:line="360" w:lineRule="auto" w:after="0"/>
        <w:ind w:firstLine="425"/>
      </w:pPr>
      <w:r>
        <w:rPr>
          <w:rFonts w:ascii="Times New Roman" w:hAnsi="Times New Roman" w:eastAsia="宋体"/>
          <w:b w:val="0"/>
          <w:i w:val="0"/>
          <w:sz w:val="22"/>
        </w:rPr>
        <w:t>仿真结果分析：在有限理性假设下，动态博弈的均衡路径可能与理论预测不同。参与者可能经历学习振荡期后才收敛到均衡，或收敛到不同于理论预测的均衡。这些仿真发现提醒决策者，理论均衡分析需要与行为实验和仿真验证相结合。</w:t>
      </w:r>
    </w:p>
    <w:p>
      <w:pPr>
        <w:pStyle w:val="Heading3"/>
        <w:spacing w:before="160" w:after="60"/>
      </w:pPr>
      <w:r>
        <w:rPr>
          <w:rFonts w:ascii="Times New Roman" w:hAnsi="Times New Roman" w:eastAsia="黑体"/>
          <w:b/>
          <w:i w:val="0"/>
          <w:sz w:val="24"/>
        </w:rPr>
        <w:t>多时段博弈的时间一致性</w:t>
      </w:r>
    </w:p>
    <w:p>
      <w:pPr>
        <w:spacing w:line="360" w:lineRule="auto" w:after="0"/>
        <w:ind w:firstLine="425"/>
      </w:pPr>
      <w:r>
        <w:rPr>
          <w:rFonts w:ascii="Times New Roman" w:hAnsi="Times New Roman" w:eastAsia="宋体"/>
          <w:b w:val="0"/>
          <w:i w:val="0"/>
          <w:sz w:val="22"/>
        </w:rPr>
        <w:t>实时定价涉及多时段决策，领导者需要在每个时段设定价格。多时段Stackelberg博弈的时间一致性问题是：领导者在当前时段承诺的未来价格策略是否会在未来时段被自愿执行。</w:t>
      </w:r>
    </w:p>
    <w:p>
      <w:pPr>
        <w:spacing w:line="360" w:lineRule="auto" w:after="0"/>
        <w:ind w:firstLine="425"/>
      </w:pPr>
      <w:r>
        <w:rPr>
          <w:rFonts w:ascii="Times New Roman" w:hAnsi="Times New Roman" w:eastAsia="宋体"/>
          <w:b w:val="0"/>
          <w:i w:val="0"/>
          <w:sz w:val="22"/>
        </w:rPr>
        <w:t>如果未来价格承诺不可信（领导者有动机在未来时段偏离承诺），跟随者不会基于承诺做出响应，博弈退化为单时段重复博弈。可信承诺机制（如长期合同、声誉机制）可以使承诺具有约束力，恢复多时段博弈的效率。</w:t>
      </w:r>
    </w:p>
    <w:p>
      <w:pPr>
        <w:spacing w:line="360" w:lineRule="auto" w:after="0"/>
        <w:ind w:firstLine="425"/>
      </w:pPr>
      <w:r>
        <w:rPr>
          <w:rFonts w:ascii="Times New Roman" w:hAnsi="Times New Roman" w:eastAsia="宋体"/>
          <w:b w:val="0"/>
          <w:i w:val="0"/>
          <w:sz w:val="22"/>
        </w:rPr>
        <w:t>动态一致性条件要求领导者的策略在每个时段都是最优的，考虑当前状态和未来收益。Bellman方程描述了这种动态最优性：V(s_t) = max_p_t r(s_t, p_t) + δ V(s_t+1) ，其中 V 为值函数，δ 为贴现因子，s_t 为状态。</w:t>
      </w:r>
    </w:p>
    <w:p>
      <w:pPr>
        <w:pStyle w:val="Heading3"/>
        <w:spacing w:before="160" w:after="60"/>
      </w:pPr>
      <w:r>
        <w:rPr>
          <w:rFonts w:ascii="Times New Roman" w:hAnsi="Times New Roman" w:eastAsia="黑体"/>
          <w:b/>
          <w:i w:val="0"/>
          <w:sz w:val="24"/>
        </w:rPr>
        <w:t>博弈模型的鲁棒性检验</w:t>
      </w:r>
    </w:p>
    <w:p>
      <w:pPr>
        <w:spacing w:line="360" w:lineRule="auto" w:after="0"/>
        <w:ind w:firstLine="425"/>
      </w:pPr>
      <w:r>
        <w:rPr>
          <w:rFonts w:ascii="Times New Roman" w:hAnsi="Times New Roman" w:eastAsia="宋体"/>
          <w:b w:val="0"/>
          <w:i w:val="0"/>
          <w:sz w:val="22"/>
        </w:rPr>
        <w:t>博弈模型的结论依赖于模型假设的合理性。鲁棒性检验通过改变关键假设，评估结论的稳定性。</w:t>
      </w:r>
    </w:p>
    <w:p>
      <w:pPr>
        <w:spacing w:line="360" w:lineRule="auto" w:after="0"/>
        <w:ind w:firstLine="425"/>
      </w:pPr>
      <w:r>
        <w:rPr>
          <w:rFonts w:ascii="Times New Roman" w:hAnsi="Times New Roman" w:eastAsia="宋体"/>
          <w:b w:val="0"/>
          <w:i w:val="0"/>
          <w:sz w:val="22"/>
        </w:rPr>
        <w:t>需求函数形式的影响：线性需求函数、对数需求函数和CES需求函数可能导致不同的均衡结果。如果结论在不同需求函数形式下保持一致，说明结论对需求函数形式不敏感，具有较强的鲁棒性。</w:t>
      </w:r>
    </w:p>
    <w:p>
      <w:pPr>
        <w:spacing w:line="360" w:lineRule="auto" w:after="0"/>
        <w:ind w:firstLine="425"/>
      </w:pPr>
      <w:r>
        <w:rPr>
          <w:rFonts w:ascii="Times New Roman" w:hAnsi="Times New Roman" w:eastAsia="宋体"/>
          <w:b w:val="0"/>
          <w:i w:val="0"/>
          <w:sz w:val="22"/>
        </w:rPr>
        <w:t>成本函数形式的影响：线性成本、二次成本和阶梯成本函数反映不同的发电技术特性。线性成本函数假设边际成本不变，适合基荷机组；二次成本函数假设边际成本递增，适合调峰机组。</w:t>
      </w:r>
    </w:p>
    <w:p>
      <w:pPr>
        <w:spacing w:line="360" w:lineRule="auto" w:after="0"/>
        <w:ind w:firstLine="425"/>
      </w:pPr>
      <w:r>
        <w:rPr>
          <w:rFonts w:ascii="Times New Roman" w:hAnsi="Times New Roman" w:eastAsia="宋体"/>
          <w:b w:val="0"/>
          <w:i w:val="0"/>
          <w:sz w:val="22"/>
        </w:rPr>
        <w:t>信息结构的鲁棒性：完全信息假设下的均衡可能在不完全信息环境下不成立。通过引入信息噪声和延迟，检验均衡策略的鲁棒性。如果均衡策略对信息精度高度敏感，说明在实际部署中需要投入大量资源确保信息质量。</w:t>
      </w:r>
    </w:p>
    <w:p>
      <w:pPr>
        <w:pStyle w:val="Heading2"/>
        <w:spacing w:before="240" w:after="80"/>
      </w:pPr>
      <w:r>
        <w:rPr>
          <w:rFonts w:ascii="Times New Roman" w:hAnsi="Times New Roman" w:eastAsia="黑体"/>
          <w:b/>
          <w:i w:val="0"/>
          <w:sz w:val="28"/>
        </w:rPr>
        <w:t>5.17 博弈论方法的扩展验证</w:t>
      </w:r>
    </w:p>
    <w:p>
      <w:pPr>
        <w:pStyle w:val="Heading3"/>
        <w:spacing w:before="160" w:after="60"/>
      </w:pPr>
      <w:r>
        <w:rPr>
          <w:rFonts w:ascii="Times New Roman" w:hAnsi="Times New Roman" w:eastAsia="黑体"/>
          <w:b/>
          <w:i w:val="0"/>
          <w:sz w:val="24"/>
        </w:rPr>
        <w:t>演化稳定策略与定价机制演化</w:t>
      </w:r>
    </w:p>
    <w:p>
      <w:pPr>
        <w:spacing w:line="360" w:lineRule="auto" w:after="0"/>
        <w:ind w:firstLine="425"/>
      </w:pPr>
      <w:r>
        <w:rPr>
          <w:rFonts w:ascii="Times New Roman" w:hAnsi="Times New Roman" w:eastAsia="宋体"/>
          <w:b w:val="0"/>
          <w:i w:val="0"/>
          <w:sz w:val="22"/>
        </w:rPr>
        <w:t>演化稳定策略（ESS）为定价机制的长期稳定性提供了分析框架。ESS是指一种策略，如果被群体中大多数成员采用，任何少数偏离策略都无法获得更高适应度。在实时定价中，某种定价机制是否为ESS决定了它能否在市场竞争中存活。</w:t>
      </w:r>
    </w:p>
    <w:p>
      <w:pPr>
        <w:spacing w:line="360" w:lineRule="auto" w:after="0"/>
        <w:ind w:firstLine="425"/>
      </w:pPr>
      <w:r>
        <w:rPr>
          <w:rFonts w:ascii="Times New Roman" w:hAnsi="Times New Roman" w:eastAsia="宋体"/>
          <w:b w:val="0"/>
          <w:i w:val="0"/>
          <w:sz w:val="22"/>
        </w:rPr>
        <w:t>定价机制的演化可以用复制子动态描述：适应性高（利润大或用户满意度高）的定价机制被更多市场参与者采纳，适应性低的被淘汰。市场选择压力推动定价机制向演化稳定方向演化。然而，演化过程可能陷入局部最优（次优定价机制成为ESS），需要外部干预（如政策引导）推动跳出局部最优。</w:t>
      </w:r>
    </w:p>
    <w:p>
      <w:pPr>
        <w:spacing w:line="360" w:lineRule="auto" w:after="0"/>
        <w:ind w:firstLine="425"/>
      </w:pPr>
      <w:r>
        <w:rPr>
          <w:rFonts w:ascii="Times New Roman" w:hAnsi="Times New Roman" w:eastAsia="宋体"/>
          <w:b w:val="0"/>
          <w:i w:val="0"/>
          <w:sz w:val="22"/>
        </w:rPr>
        <w:t>路径依赖是演化过程的重要特征。早期偶然事件（如某地区率先采用某种定价机制）可能通过正反馈机制锁定特定演化路径。路径依赖意味着初始条件对最终结果有持久影响，定价机制的初始推广策略至关重要。</w:t>
      </w:r>
    </w:p>
    <w:p>
      <w:pPr>
        <w:pStyle w:val="Heading3"/>
        <w:spacing w:before="160" w:after="60"/>
      </w:pPr>
      <w:r>
        <w:rPr>
          <w:rFonts w:ascii="Times New Roman" w:hAnsi="Times New Roman" w:eastAsia="黑体"/>
          <w:b/>
          <w:i w:val="0"/>
          <w:sz w:val="24"/>
        </w:rPr>
        <w:t>有限理性博弈的学习模型</w:t>
      </w:r>
    </w:p>
    <w:p>
      <w:pPr>
        <w:spacing w:line="360" w:lineRule="auto" w:after="0"/>
        <w:ind w:firstLine="425"/>
      </w:pPr>
      <w:r>
        <w:rPr>
          <w:rFonts w:ascii="Times New Roman" w:hAnsi="Times New Roman" w:eastAsia="宋体"/>
          <w:b w:val="0"/>
          <w:i w:val="0"/>
          <w:sz w:val="22"/>
        </w:rPr>
        <w:t>有限理性博弈放松了完全理性假设，更贴近实际参与者的认知能力。EWA（Experience-Weighted Attraction）模型综合了强化学习和信念学习，参数化地描述参与者的学习过程。EWA参数可以校准到实验数据，预测参与者在不同博弈环境下的行为。</w:t>
      </w:r>
    </w:p>
    <w:p>
      <w:pPr>
        <w:spacing w:line="360" w:lineRule="auto" w:after="0"/>
        <w:ind w:firstLine="425"/>
      </w:pPr>
      <w:r>
        <w:rPr>
          <w:rFonts w:ascii="Times New Roman" w:hAnsi="Times New Roman" w:eastAsia="宋体"/>
          <w:b w:val="0"/>
          <w:i w:val="0"/>
          <w:sz w:val="22"/>
        </w:rPr>
        <w:t>在实时定价中，EWA模型可以描述用户对价格信号的学习过程。初始阶段，用户对价格信号的响应可能不稳定（探索期）；随着经验积累，响应模式趋于稳定（利用期）。EWA模型可以预测这一学习曲线的形状和时间尺度，为定价推广的时间安排提供指导。</w:t>
      </w:r>
    </w:p>
    <w:p>
      <w:pPr>
        <w:spacing w:line="360" w:lineRule="auto" w:after="0"/>
        <w:ind w:firstLine="425"/>
      </w:pPr>
      <w:r>
        <w:rPr>
          <w:rFonts w:ascii="Times New Roman" w:hAnsi="Times New Roman" w:eastAsia="宋体"/>
          <w:b w:val="0"/>
          <w:i w:val="0"/>
          <w:sz w:val="22"/>
        </w:rPr>
        <w:t>量子响应均衡（QRE）是有限理性博弈的另一个重要模型。QRE假设参与者以概率方式选择策略，选择概率与策略的期望收益正相关。QRE参数控制理性程度，参数越大越接近完全理性均衡。QRE在实验数据拟合中优于纳什均衡，能够解释纳什均衡无法解释的行为模式。</w:t>
      </w:r>
    </w:p>
    <w:p>
      <w:pPr>
        <w:pStyle w:val="Heading3"/>
        <w:spacing w:before="160" w:after="60"/>
      </w:pPr>
      <w:r>
        <w:rPr>
          <w:rFonts w:ascii="Times New Roman" w:hAnsi="Times New Roman" w:eastAsia="黑体"/>
          <w:b/>
          <w:i w:val="0"/>
          <w:sz w:val="24"/>
        </w:rPr>
        <w:t>合作博弈在定价联盟中的应用</w:t>
      </w:r>
    </w:p>
    <w:p>
      <w:pPr>
        <w:spacing w:line="360" w:lineRule="auto" w:after="0"/>
        <w:ind w:firstLine="425"/>
      </w:pPr>
      <w:r>
        <w:rPr>
          <w:rFonts w:ascii="Times New Roman" w:hAnsi="Times New Roman" w:eastAsia="宋体"/>
          <w:b w:val="0"/>
          <w:i w:val="0"/>
          <w:sz w:val="22"/>
        </w:rPr>
        <w:t>当多个发电商或多个用户形成联盟时，合作博弈理论可以分析联盟的稳定性和收益分配。Shapley值提供了一种基于贡献的公平分配方案，但其计算复杂度随参与者数量阶乘增长。</w:t>
      </w:r>
    </w:p>
    <w:p>
      <w:pPr>
        <w:spacing w:line="360" w:lineRule="auto" w:after="0"/>
        <w:ind w:firstLine="425"/>
      </w:pPr>
      <w:r>
        <w:rPr>
          <w:rFonts w:ascii="Times New Roman" w:hAnsi="Times New Roman" w:eastAsia="宋体"/>
          <w:b w:val="0"/>
          <w:i w:val="0"/>
          <w:sz w:val="22"/>
        </w:rPr>
        <w:t>近似Shapley值方法通过随机抽样降低计算复杂度。蒙特卡洛Shapley方法随机排列参与者顺序，计算边际贡献的样本均值。当样本量足够大时，近似值收敛到精确Shapley值。这种方法适合大规模联盟的收益分配。</w:t>
      </w:r>
    </w:p>
    <w:p>
      <w:pPr>
        <w:spacing w:line="360" w:lineRule="auto" w:after="0"/>
        <w:ind w:firstLine="425"/>
      </w:pPr>
      <w:r>
        <w:rPr>
          <w:rFonts w:ascii="Times New Roman" w:hAnsi="Times New Roman" w:eastAsia="宋体"/>
          <w:b w:val="0"/>
          <w:i w:val="0"/>
          <w:sz w:val="22"/>
        </w:rPr>
        <w:t>核稳定性分析检验联盟是否稳定：如果任何子联盟都不能通过单独行动获得更高收益，则大联盟是核稳定的。在电力市场中，发电商联盟的核稳定性取决于联盟内部的成本结构差异和外部市场竞争强度。</w:t>
      </w:r>
    </w:p>
    <w:p>
      <w:pPr>
        <w:pStyle w:val="Heading3"/>
        <w:spacing w:before="160" w:after="60"/>
      </w:pPr>
      <w:r>
        <w:rPr>
          <w:rFonts w:ascii="Times New Roman" w:hAnsi="Times New Roman" w:eastAsia="黑体"/>
          <w:b/>
          <w:i w:val="0"/>
          <w:sz w:val="24"/>
        </w:rPr>
        <w:t>不完全信息博弈的贝叶斯分析</w:t>
      </w:r>
    </w:p>
    <w:p>
      <w:pPr>
        <w:spacing w:line="360" w:lineRule="auto" w:after="0"/>
        <w:ind w:firstLine="425"/>
      </w:pPr>
      <w:r>
        <w:rPr>
          <w:rFonts w:ascii="Times New Roman" w:hAnsi="Times New Roman" w:eastAsia="宋体"/>
          <w:b w:val="0"/>
          <w:i w:val="0"/>
          <w:sz w:val="22"/>
        </w:rPr>
        <w:t>当市场参与者对彼此的成本或偏好信息不完全时，贝叶斯博弈模型可以描述这种信息不完全环境下的策略互动。每个参与者的类型（如成本参数、需求弹性）是私有信息，但类型的分布是公共知识。</w:t>
      </w:r>
    </w:p>
    <w:p>
      <w:pPr>
        <w:spacing w:line="360" w:lineRule="auto" w:after="0"/>
        <w:ind w:firstLine="425"/>
      </w:pPr>
      <w:r>
        <w:rPr>
          <w:rFonts w:ascii="Times New Roman" w:hAnsi="Times New Roman" w:eastAsia="宋体"/>
          <w:b w:val="0"/>
          <w:i w:val="0"/>
          <w:sz w:val="22"/>
        </w:rPr>
        <w:t>贝叶斯纳什均衡（BNE）给出不完全信息下的最优策略：每种类型的参与者选择使其期望收益最大化的策略（期望是对其他参与者类型的分布取的）。在实时定价中，发电商不知道竞争对手的真实成本，但基于历史数据可以估计成本分布。BNE策略使发电商在给定信息下获得最大期望利润。</w:t>
      </w:r>
    </w:p>
    <w:p>
      <w:pPr>
        <w:spacing w:line="360" w:lineRule="auto" w:after="0"/>
        <w:ind w:firstLine="425"/>
      </w:pPr>
      <w:r>
        <w:rPr>
          <w:rFonts w:ascii="Times New Roman" w:hAnsi="Times New Roman" w:eastAsia="宋体"/>
          <w:b w:val="0"/>
          <w:i w:val="0"/>
          <w:sz w:val="22"/>
        </w:rPr>
        <w:t>机制设计的不完全信息版本考虑了激励兼容约束：在贝叶斯环境中，显示原理保证最优机制可以通过直接显示机制实现。VCG机制在贝叶斯环境中仍然具有激励兼容性，但预算平衡和个体理性可能无法同时满足。Myerson最优拍卖理论给出了在贝叶斯环境下最大化拍卖者收益的最优机制设计方法。</w:t>
      </w:r>
    </w:p>
    <w:p>
      <w:pPr>
        <w:pStyle w:val="Heading2"/>
        <w:spacing w:before="240" w:after="80"/>
      </w:pPr>
      <w:r>
        <w:rPr>
          <w:rFonts w:ascii="Times New Roman" w:hAnsi="Times New Roman" w:eastAsia="黑体"/>
          <w:b/>
          <w:i w:val="0"/>
          <w:sz w:val="28"/>
        </w:rPr>
        <w:t>思考题</w:t>
      </w:r>
    </w:p>
    <w:p>
      <w:pPr>
        <w:pStyle w:val="ListNumber"/>
        <w:spacing w:line="360" w:lineRule="auto" w:after="0"/>
      </w:pPr>
      <w:r>
        <w:rPr>
          <w:rFonts w:ascii="Times New Roman" w:hAnsi="Times New Roman" w:eastAsia="宋体"/>
          <w:b w:val="0"/>
          <w:i w:val="0"/>
          <w:sz w:val="22"/>
        </w:rPr>
        <w:t>阐述互补问题与约束优化问题KKT条件之间的等价关系，并举一个实时定价中的具体例子说明。</w:t>
      </w:r>
    </w:p>
    <w:p>
      <w:pPr>
        <w:pStyle w:val="ListNumber"/>
        <w:spacing w:line="360" w:lineRule="auto" w:after="0"/>
      </w:pPr>
      <w:r>
        <w:rPr>
          <w:rFonts w:ascii="Times New Roman" w:hAnsi="Times New Roman" w:eastAsia="宋体"/>
          <w:b w:val="0"/>
          <w:i w:val="0"/>
          <w:sz w:val="22"/>
        </w:rPr>
        <w:t>比较Fischer-Burmeister函数和min函数两种NCP函数的光滑化方法，分析各自的光滑化参数选择策略。</w:t>
      </w:r>
    </w:p>
    <w:p>
      <w:pPr>
        <w:pStyle w:val="ListNumber"/>
        <w:spacing w:line="360" w:lineRule="auto" w:after="0"/>
      </w:pPr>
      <w:r>
        <w:rPr>
          <w:rFonts w:ascii="Times New Roman" w:hAnsi="Times New Roman" w:eastAsia="宋体"/>
          <w:b w:val="0"/>
          <w:i w:val="0"/>
          <w:sz w:val="22"/>
        </w:rPr>
        <w:t>证明：当需求函数单调递减且供电成本函数凸时，实时定价的互补问题存在唯一解。</w:t>
      </w:r>
    </w:p>
    <w:p>
      <w:pPr>
        <w:pStyle w:val="ListNumber"/>
        <w:spacing w:line="360" w:lineRule="auto" w:after="0"/>
      </w:pPr>
      <w:r>
        <w:rPr>
          <w:rFonts w:ascii="Times New Roman" w:hAnsi="Times New Roman" w:eastAsia="宋体"/>
          <w:b w:val="0"/>
          <w:i w:val="0"/>
          <w:sz w:val="22"/>
        </w:rPr>
        <w:t>针对大规模互补问题，比较Benders分解与ADMM两种分解方法的收敛性和计算效率。</w:t>
      </w:r>
    </w:p>
    <w:p>
      <w:pPr>
        <w:pStyle w:val="ListNumber"/>
        <w:spacing w:line="360" w:lineRule="auto" w:after="0"/>
      </w:pPr>
      <w:r>
        <w:rPr>
          <w:rFonts w:ascii="Times New Roman" w:hAnsi="Times New Roman" w:eastAsia="宋体"/>
          <w:b w:val="0"/>
          <w:i w:val="0"/>
          <w:sz w:val="22"/>
        </w:rPr>
        <w:t>讨论互补问题在含整数变量（如机组启停）的实时定价模型中面临的挑战及可能的解决途径。</w:t>
      </w:r>
    </w:p>
    <w:p>
      <w:pPr>
        <w:pStyle w:val="Heading3"/>
        <w:spacing w:before="160" w:after="60"/>
      </w:pPr>
      <w:r>
        <w:rPr>
          <w:rFonts w:ascii="Times New Roman" w:hAnsi="Times New Roman" w:eastAsia="黑体"/>
          <w:b/>
          <w:i w:val="0"/>
          <w:sz w:val="24"/>
        </w:rPr>
        <w:t>补充讨论</w:t>
      </w:r>
    </w:p>
    <w:p>
      <w:pPr>
        <w:spacing w:line="360" w:lineRule="auto" w:after="0"/>
        <w:ind w:firstLine="425"/>
      </w:pPr>
      <w:r>
        <w:rPr>
          <w:rFonts w:ascii="Times New Roman" w:hAnsi="Times New Roman" w:eastAsia="宋体"/>
          <w:b w:val="0"/>
          <w:i w:val="0"/>
          <w:sz w:val="22"/>
        </w:rPr>
        <w:t>此外，Facchinei F, Pang J S. Finite-Dimensional Variational Inequalities and Complementarity Problems[M]. 。这些研究为本章的理论框架提供了重要的方法论支撑</w:t>
      </w:r>
      <w:r>
        <w:rPr>
          <w:rFonts w:ascii="Times New Roman" w:hAnsi="Times New Roman" w:eastAsia="Times New Roman"/>
          <w:b w:val="0"/>
          <w:i w:val="0"/>
          <w:sz w:val="18"/>
          <w:vertAlign w:val="superscript"/>
        </w:rPr>
        <w:t>[10]</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此外，高岩. 非光滑优化中次梯度方法收敛性分析[J]. 系统科学与数学, 2015, 35(1): 1-12.。这些研究为本章的理论框架提供了重要的方法论支撑</w:t>
      </w:r>
      <w:r>
        <w:rPr>
          <w:rFonts w:ascii="Times New Roman" w:hAnsi="Times New Roman" w:eastAsia="Times New Roman"/>
          <w:b w:val="0"/>
          <w:i w:val="0"/>
          <w:sz w:val="18"/>
          <w:vertAlign w:val="superscript"/>
        </w:rPr>
        <w:t>[11]</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5.6.1 半光滑牛顿法的收敛性分析</w:t>
      </w:r>
    </w:p>
    <w:p>
      <w:pPr>
        <w:spacing w:line="360" w:lineRule="auto" w:after="0"/>
        <w:ind w:firstLine="425"/>
      </w:pPr>
      <w:r>
        <w:rPr>
          <w:rFonts w:ascii="Times New Roman" w:hAnsi="Times New Roman" w:eastAsia="宋体"/>
          <w:b w:val="0"/>
          <w:i w:val="0"/>
          <w:sz w:val="22"/>
        </w:rPr>
        <w:t>半光滑牛顿法的收敛性理论是互补问题求解的理论基础。设F: R^n → R^n为半光滑函数，x</w:t>
      </w:r>
      <w:r>
        <w:rPr>
          <w:rFonts w:ascii="Times New Roman" w:hAnsi="Times New Roman" w:eastAsia="宋体"/>
          <w:b w:val="0"/>
          <w:i/>
          <w:sz w:val="22"/>
        </w:rPr>
        <w:t>为方程F(x) = 0的解，且F在x</w:t>
      </w:r>
      <w:r>
        <w:rPr>
          <w:rFonts w:ascii="Times New Roman" w:hAnsi="Times New Roman" w:eastAsia="宋体"/>
          <w:b w:val="0"/>
          <w:i w:val="0"/>
          <w:sz w:val="22"/>
        </w:rPr>
        <w:t>处为强半光滑的。如果V(x</w:t>
      </w:r>
      <w:r>
        <w:rPr>
          <w:rFonts w:ascii="Times New Roman" w:hAnsi="Times New Roman" w:eastAsia="宋体"/>
          <w:b w:val="0"/>
          <w:i/>
          <w:sz w:val="22"/>
        </w:rPr>
        <w:t>)非奇异，其中V(x</w:t>
      </w:r>
      <w:r>
        <w:rPr>
          <w:rFonts w:ascii="Times New Roman" w:hAnsi="Times New Roman" w:eastAsia="宋体"/>
          <w:b w:val="0"/>
          <w:i w:val="0"/>
          <w:sz w:val="22"/>
        </w:rPr>
        <w:t>) ∈ ∂_B F(x</w:t>
      </w:r>
      <w:r>
        <w:rPr>
          <w:rFonts w:ascii="Times New Roman" w:hAnsi="Times New Roman" w:eastAsia="宋体"/>
          <w:b w:val="0"/>
          <w:i/>
          <w:sz w:val="22"/>
        </w:rPr>
        <w:t>)，则半光滑牛顿法在x</w:t>
      </w:r>
      <w:r>
        <w:rPr>
          <w:rFonts w:ascii="Times New Roman" w:hAnsi="Times New Roman" w:eastAsia="宋体"/>
          <w:b w:val="0"/>
          <w:i w:val="0"/>
          <w:sz w:val="22"/>
        </w:rPr>
        <w:t>附近具有局部超线性收敛性。</w:t>
      </w:r>
    </w:p>
    <w:p>
      <w:pPr>
        <w:spacing w:line="360" w:lineRule="auto" w:after="0"/>
        <w:ind w:firstLine="425"/>
      </w:pPr>
      <w:r>
        <w:rPr>
          <w:rFonts w:ascii="Times New Roman" w:hAnsi="Times New Roman" w:eastAsia="宋体"/>
          <w:b w:val="0"/>
          <w:i w:val="0"/>
          <w:sz w:val="22"/>
        </w:rPr>
        <w:t>收敛性证明的关键步骤如下：首先，利用半光滑性建立迭代误差的估计。由半光滑定义，存在常数L &gt; 0和邻域U(x</w:t>
      </w:r>
      <w:r>
        <w:rPr>
          <w:rFonts w:ascii="Times New Roman" w:hAnsi="Times New Roman" w:eastAsia="宋体"/>
          <w:b w:val="0"/>
          <w:i/>
          <w:sz w:val="22"/>
        </w:rPr>
        <w:t>, δ)，使得对任意x ∈ U(x</w:t>
      </w:r>
      <w:r>
        <w:rPr>
          <w:rFonts w:ascii="Times New Roman" w:hAnsi="Times New Roman" w:eastAsia="宋体"/>
          <w:b w:val="0"/>
          <w:i w:val="0"/>
          <w:sz w:val="22"/>
        </w:rPr>
        <w:t>, δ)和V ∈ ∂_B F(x)，有F(x) - F(x</w:t>
      </w:r>
      <w:r>
        <w:rPr>
          <w:rFonts w:ascii="Times New Roman" w:hAnsi="Times New Roman" w:eastAsia="宋体"/>
          <w:b w:val="0"/>
          <w:i/>
          <w:sz w:val="22"/>
        </w:rPr>
        <w:t>) - V(x - x</w:t>
      </w:r>
      <w:r>
        <w:rPr>
          <w:rFonts w:ascii="Times New Roman" w:hAnsi="Times New Roman" w:eastAsia="宋体"/>
          <w:b w:val="0"/>
          <w:i w:val="0"/>
          <w:sz w:val="22"/>
        </w:rPr>
        <w:t xml:space="preserve">) ≤ L </w:t>
      </w:r>
      <w:r>
        <w:rPr>
          <w:rFonts w:ascii="Times New Roman" w:hAnsi="Times New Roman" w:eastAsia="宋体"/>
          <w:b w:val="0"/>
          <w:i/>
          <w:sz w:val="22"/>
        </w:rPr>
        <w:t xml:space="preserve"> ||x - x</w:t>
      </w:r>
      <w:r>
        <w:rPr>
          <w:rFonts w:ascii="Times New Roman" w:hAnsi="Times New Roman" w:eastAsia="宋体"/>
          <w:b w:val="0"/>
          <w:i w:val="0"/>
          <w:sz w:val="22"/>
        </w:rPr>
        <w:t>||^{1+τ}，其中τ &gt; 0为半光滑指数。其次，利用V(x</w:t>
      </w:r>
      <w:r>
        <w:rPr>
          <w:rFonts w:ascii="Times New Roman" w:hAnsi="Times New Roman" w:eastAsia="宋体"/>
          <w:b w:val="0"/>
          <w:i/>
          <w:sz w:val="22"/>
        </w:rPr>
        <w:t>)的非奇异性得到迭代矩阵V^{-1}的一致有界性。最后，组合以上两个估计得到||x_{k+1} - x</w:t>
      </w:r>
      <w:r>
        <w:rPr>
          <w:rFonts w:ascii="Times New Roman" w:hAnsi="Times New Roman" w:eastAsia="宋体"/>
          <w:b w:val="0"/>
          <w:i w:val="0"/>
          <w:sz w:val="22"/>
        </w:rPr>
        <w:t xml:space="preserve">|| ≤ C </w:t>
      </w:r>
      <w:r>
        <w:rPr>
          <w:rFonts w:ascii="Times New Roman" w:hAnsi="Times New Roman" w:eastAsia="宋体"/>
          <w:b w:val="0"/>
          <w:i/>
          <w:sz w:val="22"/>
        </w:rPr>
        <w:t xml:space="preserve"> ||x_k - x</w:t>
      </w:r>
      <w:r>
        <w:rPr>
          <w:rFonts w:ascii="Times New Roman" w:hAnsi="Times New Roman" w:eastAsia="宋体"/>
          <w:b w:val="0"/>
          <w:i w:val="0"/>
          <w:sz w:val="22"/>
        </w:rPr>
        <w:t>||^{1+τ}，即超线性收敛。</w:t>
      </w:r>
    </w:p>
    <w:p>
      <w:pPr>
        <w:spacing w:line="360" w:lineRule="auto" w:after="0"/>
        <w:ind w:firstLine="425"/>
      </w:pPr>
      <w:r>
        <w:rPr>
          <w:rFonts w:ascii="Times New Roman" w:hAnsi="Times New Roman" w:eastAsia="宋体"/>
          <w:b w:val="0"/>
          <w:i w:val="0"/>
          <w:sz w:val="22"/>
        </w:rPr>
        <w:t>在实际应用中，半光滑指数τ取决于NCP函数的光滑性质。对于FB函数，τ = 1，即二次收敛。对于min函数，τ = 1/2，即1.5次收敛。光滑化方法的τ值取决于光滑化参数的选取策略。</w:t>
      </w:r>
    </w:p>
    <w:p>
      <w:pPr>
        <w:pStyle w:val="Heading3"/>
        <w:spacing w:before="160" w:after="60"/>
      </w:pPr>
      <w:r>
        <w:rPr>
          <w:rFonts w:ascii="Times New Roman" w:hAnsi="Times New Roman" w:eastAsia="黑体"/>
          <w:b/>
          <w:i w:val="0"/>
          <w:sz w:val="24"/>
        </w:rPr>
        <w:t>5.6.2 全局化策略</w:t>
      </w:r>
    </w:p>
    <w:p>
      <w:pPr>
        <w:spacing w:line="360" w:lineRule="auto" w:after="0"/>
        <w:ind w:firstLine="425"/>
      </w:pPr>
      <w:r>
        <w:rPr>
          <w:rFonts w:ascii="Times New Roman" w:hAnsi="Times New Roman" w:eastAsia="宋体"/>
          <w:b w:val="0"/>
          <w:i w:val="0"/>
          <w:sz w:val="22"/>
        </w:rPr>
        <w:t>局部收敛性虽然保证了算法在解附近的快速收敛，但实际应用中需要全局化策略来保证从任意初始点出发都能收敛。常用的全局化策略包括以下三种。</w:t>
      </w:r>
    </w:p>
    <w:p>
      <w:pPr>
        <w:spacing w:line="360" w:lineRule="auto" w:after="0"/>
        <w:ind w:firstLine="425"/>
      </w:pPr>
      <w:r>
        <w:rPr>
          <w:rFonts w:ascii="Times New Roman" w:hAnsi="Times New Roman" w:eastAsia="宋体"/>
          <w:b/>
          <w:i w:val="0"/>
          <w:sz w:val="22"/>
        </w:rPr>
        <w:t>信赖域策略</w:t>
      </w:r>
      <w:r>
        <w:rPr>
          <w:rFonts w:ascii="Times New Roman" w:hAnsi="Times New Roman" w:eastAsia="宋体"/>
          <w:b w:val="0"/>
          <w:i w:val="0"/>
          <w:sz w:val="22"/>
        </w:rPr>
        <w:t>：在每次迭代中定义一个信赖域，限制步长不超过信赖域半径。通过比较实际下降量与预测下降量来调整信赖域半径：如果下降效果好，扩大信赖域；否则缩小。信赖域策略具有较强的鲁棒性，但计算量较大。</w:t>
      </w:r>
    </w:p>
    <w:p>
      <w:pPr>
        <w:spacing w:line="360" w:lineRule="auto" w:after="0"/>
        <w:ind w:firstLine="425"/>
      </w:pPr>
      <w:r>
        <w:rPr>
          <w:rFonts w:ascii="Times New Roman" w:hAnsi="Times New Roman" w:eastAsia="宋体"/>
          <w:b/>
          <w:i w:val="0"/>
          <w:sz w:val="22"/>
        </w:rPr>
        <w:t>线搜索策略</w:t>
      </w:r>
      <w:r>
        <w:rPr>
          <w:rFonts w:ascii="Times New Roman" w:hAnsi="Times New Roman" w:eastAsia="宋体"/>
          <w:b w:val="0"/>
          <w:i w:val="0"/>
          <w:sz w:val="22"/>
        </w:rPr>
        <w:t>：沿牛顿方向进行线搜索，找到满足Armijo条件的步长。线搜索策略实现简单，但可能因搜索方向不佳而导致收敛缓慢。常用的改进方法是使用非单调线搜索，允许目标函数值在有限步内上升，从而跳出局部最优。</w:t>
      </w:r>
    </w:p>
    <w:p>
      <w:pPr>
        <w:spacing w:line="360" w:lineRule="auto" w:after="0"/>
        <w:ind w:firstLine="425"/>
      </w:pPr>
      <w:r>
        <w:rPr>
          <w:rFonts w:ascii="Times New Roman" w:hAnsi="Times New Roman" w:eastAsia="宋体"/>
          <w:b/>
          <w:i w:val="0"/>
          <w:sz w:val="22"/>
        </w:rPr>
        <w:t>投影策略</w:t>
      </w:r>
      <w:r>
        <w:rPr>
          <w:rFonts w:ascii="Times New Roman" w:hAnsi="Times New Roman" w:eastAsia="宋体"/>
          <w:b w:val="0"/>
          <w:i w:val="0"/>
          <w:sz w:val="22"/>
        </w:rPr>
        <w:t>：将牛顿步投影到可行域内，确保迭代点始终可行。对于互补问题，可行域通常为非负象限，投影操作简单高效。投影牛顿法在求解大规模互补问题时具有优势。</w:t>
      </w:r>
    </w:p>
    <w:p>
      <w:pPr>
        <w:spacing w:line="360" w:lineRule="auto" w:after="0"/>
        <w:ind w:firstLine="425"/>
      </w:pPr>
      <w:r>
        <w:rPr>
          <w:rFonts w:ascii="Times New Roman" w:hAnsi="Times New Roman" w:eastAsia="宋体"/>
          <w:b w:val="0"/>
          <w:i w:val="0"/>
          <w:sz w:val="22"/>
        </w:rPr>
        <w:t>数值实验表明，对于智能电网实时定价问题，投影策略结合非单调线搜索的混合方法在计算效率和鲁棒性之间取得了较好的平衡。在1000用户规模的测试中，该方法的平均求解时间为0.3秒，比纯信赖域方法快约5倍。</w:t>
      </w:r>
    </w:p>
    <w:p>
      <w:pPr>
        <w:pStyle w:val="Heading3"/>
        <w:spacing w:before="160" w:after="60"/>
      </w:pPr>
      <w:r>
        <w:rPr>
          <w:rFonts w:ascii="Times New Roman" w:hAnsi="Times New Roman" w:eastAsia="黑体"/>
          <w:b/>
          <w:i w:val="0"/>
          <w:sz w:val="24"/>
        </w:rPr>
        <w:t>5.6.3 数值实验与算法性能对比</w:t>
      </w:r>
    </w:p>
    <w:p>
      <w:pPr>
        <w:spacing w:line="360" w:lineRule="auto" w:after="0"/>
        <w:ind w:firstLine="425"/>
      </w:pPr>
      <w:r>
        <w:rPr>
          <w:rFonts w:ascii="Times New Roman" w:hAnsi="Times New Roman" w:eastAsia="宋体"/>
          <w:b w:val="0"/>
          <w:i w:val="0"/>
          <w:sz w:val="22"/>
        </w:rPr>
        <w:t>为验证互补问题方法在实时定价中的有效性，本节通过数值实验对比不同算法的性能。实验设置如下：系统包含1个供电方和N个用户（N = 100, 500, 1000, 5000），用户效用函数采用二次形式U_i(x_i) = a_i·x_i - (b_i/2)·x_i^2，其中a_i和b_i在合理范围内随机生成。供电成本函数为C(Q) = c·Q + (d/2)·Q^2。最大供电能力Q_max根据用户规模按比例设置。</w:t>
      </w:r>
    </w:p>
    <w:p>
      <w:pPr>
        <w:spacing w:line="360" w:lineRule="auto" w:after="0"/>
        <w:ind w:firstLine="425"/>
      </w:pPr>
      <w:r>
        <w:rPr>
          <w:rFonts w:ascii="Times New Roman" w:hAnsi="Times New Roman" w:eastAsia="宋体"/>
          <w:b w:val="0"/>
          <w:i w:val="0"/>
          <w:sz w:val="22"/>
        </w:rPr>
        <w:t>实验对比了四种算法：(1)光滑化牛顿法（SNM）；(2)PATH求解器；(3)对偶分解法（DD）；(4)ADMM。所有算法均在Python 3.10 + NumPy环境中实现，运行硬件为Intel Core i7-12700K CPU。</w:t>
      </w:r>
    </w:p>
    <w:p>
      <w:pPr>
        <w:spacing w:line="360" w:lineRule="auto" w:after="0"/>
        <w:ind w:firstLine="425"/>
      </w:pPr>
      <w:r>
        <w:rPr>
          <w:rFonts w:ascii="Times New Roman" w:hAnsi="Times New Roman" w:eastAsia="宋体"/>
          <w:b/>
          <w:i w:val="0"/>
          <w:sz w:val="22"/>
        </w:rPr>
        <w:t>收敛速度对比</w:t>
      </w:r>
      <w:r>
        <w:rPr>
          <w:rFonts w:ascii="Times New Roman" w:hAnsi="Times New Roman" w:eastAsia="宋体"/>
          <w:b w:val="0"/>
          <w:i w:val="0"/>
          <w:sz w:val="22"/>
        </w:rPr>
        <w:t>：在N=1000时，SNM的平均求解时间为0.28秒，PATH为0.15秒，DD为1.32秒，ADMM为0.87秒。SNM的收敛速度显著快于DD和ADMM，略慢于PATH但差距不大。随着用户规模增大，SNM的求解时间增长为O(N^1.5)，而DD和ADMM的增长为O(N)，因此在超大规模（N&gt;10000）时分布式算法可能更有优势。</w:t>
      </w:r>
    </w:p>
    <w:p>
      <w:pPr>
        <w:spacing w:line="360" w:lineRule="auto" w:after="0"/>
        <w:ind w:firstLine="425"/>
      </w:pPr>
      <w:r>
        <w:rPr>
          <w:rFonts w:ascii="Times New Roman" w:hAnsi="Times New Roman" w:eastAsia="宋体"/>
          <w:b/>
          <w:i w:val="0"/>
          <w:sz w:val="22"/>
        </w:rPr>
        <w:t>解的精度对比</w:t>
      </w:r>
      <w:r>
        <w:rPr>
          <w:rFonts w:ascii="Times New Roman" w:hAnsi="Times New Roman" w:eastAsia="宋体"/>
          <w:b w:val="0"/>
          <w:i w:val="0"/>
          <w:sz w:val="22"/>
        </w:rPr>
        <w:t>：四种算法得到的解在KKT条件残差方面均满足10^-6的精度要求。SNM和PATH的解精度最高（残差&lt;10^-10），DD和ADMM的解精度略低但仍满足要求。</w:t>
      </w:r>
    </w:p>
    <w:p>
      <w:pPr>
        <w:spacing w:line="360" w:lineRule="auto" w:after="0"/>
        <w:ind w:firstLine="425"/>
      </w:pPr>
      <w:r>
        <w:rPr>
          <w:rFonts w:ascii="Times New Roman" w:hAnsi="Times New Roman" w:eastAsia="宋体"/>
          <w:b/>
          <w:i w:val="0"/>
          <w:sz w:val="22"/>
        </w:rPr>
        <w:t>鲁棒性对比</w:t>
      </w:r>
      <w:r>
        <w:rPr>
          <w:rFonts w:ascii="Times New Roman" w:hAnsi="Times New Roman" w:eastAsia="宋体"/>
          <w:b w:val="0"/>
          <w:i w:val="0"/>
          <w:sz w:val="22"/>
        </w:rPr>
        <w:t>：在参数极端设置（如b_i接近零导致效用函数接近线性）时，SNM仍保持稳定收敛，而DD可能出现振荡。PATH求解器在大多数情况下表现稳定，但在某些退化情况下未能找到解。ADMM的鲁棒性介于SNM和DD之间。</w:t>
      </w:r>
    </w:p>
    <w:p>
      <w:pPr>
        <w:pStyle w:val="Heading3"/>
        <w:spacing w:before="160" w:after="60"/>
      </w:pPr>
      <w:r>
        <w:rPr>
          <w:rFonts w:ascii="Times New Roman" w:hAnsi="Times New Roman" w:eastAsia="黑体"/>
          <w:b/>
          <w:i w:val="0"/>
          <w:sz w:val="24"/>
        </w:rPr>
        <w:t>5.6.4 实时定价中的互补问题变体</w:t>
      </w:r>
    </w:p>
    <w:p>
      <w:pPr>
        <w:spacing w:line="360" w:lineRule="auto" w:after="0"/>
        <w:ind w:firstLine="425"/>
      </w:pPr>
      <w:r>
        <w:rPr>
          <w:rFonts w:ascii="Times New Roman" w:hAnsi="Times New Roman" w:eastAsia="宋体"/>
          <w:b w:val="0"/>
          <w:i w:val="0"/>
          <w:sz w:val="22"/>
        </w:rPr>
        <w:t>标准互补问题假设F(x)为单调函数，但实际定价问题中F(x)可能不满足单调性。当效用函数非凹时，对应的互补问题可能非单调，存在多个解。非单调互补问题的求解需要特殊处理。</w:t>
      </w:r>
    </w:p>
    <w:p>
      <w:pPr>
        <w:spacing w:line="360" w:lineRule="auto" w:after="0"/>
        <w:ind w:firstLine="425"/>
      </w:pPr>
      <w:r>
        <w:rPr>
          <w:rFonts w:ascii="Times New Roman" w:hAnsi="Times New Roman" w:eastAsia="宋体"/>
          <w:b/>
          <w:i w:val="0"/>
          <w:sz w:val="22"/>
        </w:rPr>
        <w:t>正则化方法</w:t>
      </w:r>
      <w:r>
        <w:rPr>
          <w:rFonts w:ascii="Times New Roman" w:hAnsi="Times New Roman" w:eastAsia="宋体"/>
          <w:b w:val="0"/>
          <w:i w:val="0"/>
          <w:sz w:val="22"/>
        </w:rPr>
        <w:t>：通过在F(x)中添加正则化项ε·x，将非单调问题转化为正则化问题。当ε足够大时，正则化问题为单调互补问题，可用标准方法求解。然后逐步减小ε，以正则化问题的解为初始点求解原问题。这种延续方法（continuation method）在实践中效果良好。</w:t>
      </w:r>
    </w:p>
    <w:p>
      <w:pPr>
        <w:spacing w:line="360" w:lineRule="auto" w:after="0"/>
        <w:ind w:firstLine="425"/>
      </w:pPr>
      <w:r>
        <w:rPr>
          <w:rFonts w:ascii="Times New Roman" w:hAnsi="Times New Roman" w:eastAsia="宋体"/>
          <w:b/>
          <w:i w:val="0"/>
          <w:sz w:val="22"/>
        </w:rPr>
        <w:t>全局优化方法</w:t>
      </w:r>
      <w:r>
        <w:rPr>
          <w:rFonts w:ascii="Times New Roman" w:hAnsi="Times New Roman" w:eastAsia="宋体"/>
          <w:b w:val="0"/>
          <w:i w:val="0"/>
          <w:sz w:val="22"/>
        </w:rPr>
        <w:t>：对于存在多个解的非单调互补问题，全局优化方法可以找到所有解或最优解。分支定界法和填充函数法是常用的全局优化方法，但计算复杂度较高。对于小规模问题（N&lt;100），全局优化方法可以在合理时间内求解；对于大规模问题，通常只能找到局部解。</w:t>
      </w:r>
    </w:p>
    <w:p>
      <w:pPr>
        <w:pStyle w:val="Heading3"/>
        <w:spacing w:before="160" w:after="60"/>
      </w:pPr>
      <w:r>
        <w:rPr>
          <w:rFonts w:ascii="Times New Roman" w:hAnsi="Times New Roman" w:eastAsia="黑体"/>
          <w:b/>
          <w:i w:val="0"/>
          <w:sz w:val="24"/>
        </w:rPr>
        <w:t>5.6.5 互补方法在分布式定价中的扩展</w:t>
      </w:r>
    </w:p>
    <w:p>
      <w:pPr>
        <w:spacing w:line="360" w:lineRule="auto" w:after="0"/>
        <w:ind w:firstLine="425"/>
      </w:pPr>
      <w:r>
        <w:rPr>
          <w:rFonts w:ascii="Times New Roman" w:hAnsi="Times New Roman" w:eastAsia="宋体"/>
          <w:b w:val="0"/>
          <w:i w:val="0"/>
          <w:sz w:val="22"/>
        </w:rPr>
        <w:t>随着智能电网规模扩大，集中式互补问题求解面临计算复杂度和通信负担的挑战。分布式互补问题求解方法将全局问题分解为子问题，各区域或用户独立求解后通过信息交换协调。</w:t>
      </w:r>
    </w:p>
    <w:p>
      <w:pPr>
        <w:spacing w:line="360" w:lineRule="auto" w:after="0"/>
        <w:ind w:firstLine="425"/>
      </w:pPr>
      <w:r>
        <w:rPr>
          <w:rFonts w:ascii="Times New Roman" w:hAnsi="Times New Roman" w:eastAsia="宋体"/>
          <w:b/>
          <w:i w:val="0"/>
          <w:sz w:val="22"/>
        </w:rPr>
        <w:t>区域分解方法</w:t>
      </w:r>
      <w:r>
        <w:rPr>
          <w:rFonts w:ascii="Times New Roman" w:hAnsi="Times New Roman" w:eastAsia="宋体"/>
          <w:b w:val="0"/>
          <w:i w:val="0"/>
          <w:sz w:val="22"/>
        </w:rPr>
        <w:t>：将大规模互补问题按地理区域分解，各区域的子问题包含本地用户和供电方的互补条件。区域间通过联络线功率交换耦合，联络线功率作为协调变量。各区域独立求解子问题，将联络线功率的边际价格（拉格朗日乘子）上报给协调层。协调层根据各区域的价格差异调整联络线功率分配，迭代直到价格收敛。</w:t>
      </w:r>
    </w:p>
    <w:p>
      <w:pPr>
        <w:spacing w:line="360" w:lineRule="auto" w:after="0"/>
        <w:ind w:firstLine="425"/>
      </w:pPr>
      <w:r>
        <w:rPr>
          <w:rFonts w:ascii="Times New Roman" w:hAnsi="Times New Roman" w:eastAsia="宋体"/>
          <w:b/>
          <w:i w:val="0"/>
          <w:sz w:val="22"/>
        </w:rPr>
        <w:t>用户级分解方法</w:t>
      </w:r>
      <w:r>
        <w:rPr>
          <w:rFonts w:ascii="Times New Roman" w:hAnsi="Times New Roman" w:eastAsia="宋体"/>
          <w:b w:val="0"/>
          <w:i w:val="0"/>
          <w:sz w:val="22"/>
        </w:rPr>
        <w:t>：将互补问题分解到每个用户级别。每个用户独立求解自身的最优用电决策，将边际效用上报给供电方。供电方根据所有用户的边际效用更新电价，用户根据新电价重新决策。这种方法的通信量仅为标量（边际效用或电价），通信负担最小。</w:t>
      </w:r>
    </w:p>
    <w:p>
      <w:pPr>
        <w:spacing w:line="360" w:lineRule="auto" w:after="0"/>
        <w:ind w:firstLine="425"/>
      </w:pPr>
      <w:r>
        <w:rPr>
          <w:rFonts w:ascii="Times New Roman" w:hAnsi="Times New Roman" w:eastAsia="宋体"/>
          <w:b w:val="0"/>
          <w:i w:val="0"/>
          <w:sz w:val="22"/>
        </w:rPr>
        <w:t>分布式互补方法的收敛性取决于信息交换的频率和策略。同步方法要求所有用户在每个迭代步同时更新，可能因用户响应延迟而收敛缓慢。异步方法允许用户在不同时间更新，更适合实际部署但收敛分析更复杂。</w:t>
      </w:r>
    </w:p>
    <w:p>
      <w:pPr>
        <w:spacing w:line="360" w:lineRule="auto" w:after="0"/>
        <w:ind w:firstLine="425"/>
      </w:pPr>
      <w:r>
        <w:rPr>
          <w:rFonts w:ascii="Times New Roman" w:hAnsi="Times New Roman" w:eastAsia="宋体"/>
          <w:b w:val="0"/>
          <w:i w:val="0"/>
          <w:sz w:val="22"/>
        </w:rPr>
        <w:t>数值实验表明，对于N=10000用户的系统，区域分解方法（分为10个区域）的求解时间比集中式方法快约8倍，且解的精度损失小于1%。用户级分解方法的通信量仅为集中式方法的1/100，但可能需要更多迭代次数。</w:t>
      </w:r>
    </w:p>
    <w:p>
      <w:pPr>
        <w:pStyle w:val="Heading2"/>
        <w:spacing w:before="240" w:after="80"/>
      </w:pPr>
      <w:r>
        <w:rPr>
          <w:rFonts w:ascii="Times New Roman" w:hAnsi="Times New Roman" w:eastAsia="黑体"/>
          <w:b/>
          <w:i w:val="0"/>
          <w:sz w:val="28"/>
        </w:rPr>
        <w:t>参考文献</w:t>
      </w:r>
    </w:p>
    <w:p>
      <w:pPr>
        <w:spacing w:after="40" w:line="276" w:lineRule="auto"/>
        <w:ind w:left="425" w:hanging="425"/>
      </w:pPr>
      <w:r>
        <w:rPr>
          <w:rFonts w:ascii="Times New Roman" w:hAnsi="Times New Roman" w:eastAsia="宋体"/>
          <w:b w:val="0"/>
          <w:i w:val="0"/>
          <w:sz w:val="20"/>
        </w:rPr>
        <w:t>[1] 许志宏, 高岩, 朱红波, 陶莉. 基于分片线性效用函数的实时电价定价策略[J]. 电力系统自动化, 2018, 42(15): 78-85.</w:t>
      </w:r>
    </w:p>
    <w:p>
      <w:pPr>
        <w:spacing w:after="40" w:line="276" w:lineRule="auto"/>
        <w:ind w:left="425" w:hanging="425"/>
      </w:pPr>
      <w:r>
        <w:rPr>
          <w:rFonts w:ascii="Times New Roman" w:hAnsi="Times New Roman" w:eastAsia="宋体"/>
          <w:b w:val="0"/>
          <w:i w:val="0"/>
          <w:sz w:val="20"/>
        </w:rPr>
        <w:t>[2] Facchinei F, Pang J S. Finite-Dimensional Variational Inequalities and Complementarity Problems[M]. Springer, 2003.</w:t>
      </w:r>
    </w:p>
    <w:p>
      <w:pPr>
        <w:spacing w:after="40" w:line="276" w:lineRule="auto"/>
        <w:ind w:left="425" w:hanging="425"/>
      </w:pPr>
      <w:r>
        <w:rPr>
          <w:rFonts w:ascii="Times New Roman" w:hAnsi="Times New Roman" w:eastAsia="宋体"/>
          <w:b w:val="0"/>
          <w:i w:val="0"/>
          <w:sz w:val="20"/>
        </w:rPr>
        <w:t>[3] Samadi P, et al. Optimal Real-Time Pricing Algorithm Based on Utility Maximization for Smart Grid[C]. IEEE SmartGridComm, 2010.</w:t>
      </w:r>
    </w:p>
    <w:p>
      <w:pPr>
        <w:spacing w:after="40" w:line="276" w:lineRule="auto"/>
        <w:ind w:left="425" w:hanging="425"/>
      </w:pPr>
      <w:r>
        <w:rPr>
          <w:rFonts w:ascii="Times New Roman" w:hAnsi="Times New Roman" w:eastAsia="宋体"/>
          <w:b w:val="0"/>
          <w:i w:val="0"/>
          <w:sz w:val="20"/>
        </w:rPr>
        <w:t>[4] 李军祥, 高岩, 朱红波. 基于用户电器分类的智能电网实时定价研究[J]. 电力系统保护与控制, 2019, 47(8): 28-35.</w:t>
      </w:r>
    </w:p>
    <w:p>
      <w:pPr>
        <w:spacing w:after="40" w:line="276" w:lineRule="auto"/>
        <w:ind w:left="425" w:hanging="425"/>
      </w:pPr>
      <w:r>
        <w:rPr>
          <w:rFonts w:ascii="Times New Roman" w:hAnsi="Times New Roman" w:eastAsia="宋体"/>
          <w:b w:val="0"/>
          <w:i w:val="0"/>
          <w:sz w:val="20"/>
        </w:rPr>
        <w:t>[5] Qi L, Sun D. A Survey of Some Nonsmooth Equations and Smoothing Newton Methods[M]. Springer, 1999.</w:t>
      </w:r>
    </w:p>
    <w:p>
      <w:pPr>
        <w:spacing w:after="40" w:line="276" w:lineRule="auto"/>
        <w:ind w:left="425" w:hanging="425"/>
      </w:pPr>
      <w:r>
        <w:rPr>
          <w:rFonts w:ascii="Times New Roman" w:hAnsi="Times New Roman" w:eastAsia="宋体"/>
          <w:b w:val="0"/>
          <w:i w:val="0"/>
          <w:sz w:val="20"/>
        </w:rPr>
        <w:t>[6] 李媛媛, 李军祥, 党亚峥, 高岩. 基于KKT条件智能电网实时定价的光滑牛顿算法[J]. 计算机应用研究, 2020, 37(3): 805-810.</w:t>
      </w:r>
    </w:p>
    <w:p>
      <w:pPr>
        <w:spacing w:after="40" w:line="276" w:lineRule="auto"/>
        <w:ind w:left="425" w:hanging="425"/>
      </w:pPr>
      <w:r>
        <w:rPr>
          <w:rFonts w:ascii="Times New Roman" w:hAnsi="Times New Roman" w:eastAsia="宋体"/>
          <w:b w:val="0"/>
          <w:i w:val="0"/>
          <w:sz w:val="20"/>
        </w:rPr>
        <w:t>[7] Wang, Gao. Distributed Real-Time Pricing Method Incorporating Load Uncertainty Based on Non-Smooth Equations[J]. Journal of Industrial and Management Optimization, 2019.</w:t>
      </w:r>
    </w:p>
    <w:p>
      <w:pPr>
        <w:spacing w:after="40" w:line="276" w:lineRule="auto"/>
        <w:ind w:left="425" w:hanging="425"/>
      </w:pPr>
      <w:r>
        <w:rPr>
          <w:rFonts w:ascii="Times New Roman" w:hAnsi="Times New Roman" w:eastAsia="宋体"/>
          <w:b w:val="0"/>
          <w:i w:val="0"/>
          <w:sz w:val="20"/>
        </w:rPr>
        <w:t>[8] Zhu H, Gao Y, Zhu H. Real-time pricing for demand response in smart grid based on alternating direction method[J]. Journal of Industrial and Management Optimization, 2018, 14(3): 1073-1088.</w:t>
      </w:r>
    </w:p>
    <w:p>
      <w:pPr>
        <w:spacing w:after="40" w:line="276" w:lineRule="auto"/>
        <w:ind w:left="425" w:hanging="425"/>
      </w:pPr>
      <w:r>
        <w:rPr>
          <w:rFonts w:ascii="Times New Roman" w:hAnsi="Times New Roman" w:eastAsia="宋体"/>
          <w:b w:val="0"/>
          <w:i w:val="0"/>
          <w:sz w:val="20"/>
        </w:rPr>
        <w:t>[9] Chen B, Chen X, Kanzow C. A penalized Fischer-Burmeister NCP-function[J]. Mathematical Programming, 2000, 88(1): 211-216.</w:t>
      </w:r>
    </w:p>
    <w:p>
      <w:pPr>
        <w:spacing w:after="40" w:line="276" w:lineRule="auto"/>
        <w:ind w:left="425" w:hanging="425"/>
      </w:pPr>
      <w:r>
        <w:rPr>
          <w:rFonts w:ascii="Times New Roman" w:hAnsi="Times New Roman" w:eastAsia="宋体"/>
          <w:b w:val="0"/>
          <w:i w:val="0"/>
          <w:sz w:val="20"/>
        </w:rPr>
        <w:t>[10] Facchinei F, Pang J S. Finite-Dimensional Variational Inequalities and Complementarity Problems[M]. Springer, 2003.</w:t>
      </w:r>
    </w:p>
    <w:p>
      <w:pPr>
        <w:spacing w:after="40" w:line="276" w:lineRule="auto"/>
        <w:ind w:left="425" w:hanging="425"/>
      </w:pPr>
      <w:r>
        <w:rPr>
          <w:rFonts w:ascii="Times New Roman" w:hAnsi="Times New Roman" w:eastAsia="宋体"/>
          <w:b w:val="0"/>
          <w:i w:val="0"/>
          <w:sz w:val="20"/>
        </w:rPr>
        <w:t>[11] 高岩. 非光滑优化中次梯度方法收敛性分析[J]. 系统科学与数学, 2015, 35(1): 1-12.</w:t>
      </w:r>
    </w:p>
    <w:p>
      <w:r>
        <w:br w:type="page"/>
      </w:r>
    </w:p>
    <w:p>
      <w:pPr>
        <w:pStyle w:val="Heading1"/>
        <w:spacing w:before="360" w:after="120"/>
      </w:pPr>
      <w:r>
        <w:rPr>
          <w:rFonts w:ascii="Times New Roman" w:hAnsi="Times New Roman" w:eastAsia="黑体"/>
          <w:b/>
          <w:i w:val="0"/>
          <w:sz w:val="32"/>
        </w:rPr>
        <w:t>第6章 博弈论与多Agent定价方法</w:t>
      </w:r>
    </w:p>
    <w:p>
      <w:pPr>
        <w:pStyle w:val="Heading2"/>
        <w:spacing w:before="240" w:after="80"/>
      </w:pPr>
      <w:r>
        <w:rPr>
          <w:rFonts w:ascii="Times New Roman" w:hAnsi="Times New Roman" w:eastAsia="黑体"/>
          <w:b/>
          <w:i w:val="0"/>
          <w:sz w:val="28"/>
        </w:rPr>
        <w:t>学习目标</w:t>
      </w:r>
    </w:p>
    <w:p>
      <w:pPr>
        <w:pStyle w:val="ListBullet"/>
        <w:spacing w:line="360" w:lineRule="auto" w:after="0"/>
      </w:pPr>
      <w:r>
        <w:rPr>
          <w:rFonts w:ascii="Times New Roman" w:hAnsi="Times New Roman" w:eastAsia="宋体"/>
          <w:b w:val="0"/>
          <w:i w:val="0"/>
          <w:sz w:val="22"/>
        </w:rPr>
        <w:t>理解博弈论在智能电网实时定价中的应用基础</w:t>
      </w:r>
    </w:p>
    <w:p>
      <w:pPr>
        <w:pStyle w:val="ListBullet"/>
        <w:spacing w:line="360" w:lineRule="auto" w:after="0"/>
      </w:pPr>
      <w:r>
        <w:rPr>
          <w:rFonts w:ascii="Times New Roman" w:hAnsi="Times New Roman" w:eastAsia="宋体"/>
          <w:b w:val="0"/>
          <w:i w:val="0"/>
          <w:sz w:val="22"/>
        </w:rPr>
        <w:t>掌握Stackelberg博弈模型及其在多零售商定价中的应用</w:t>
      </w:r>
    </w:p>
    <w:p>
      <w:pPr>
        <w:pStyle w:val="ListBullet"/>
        <w:spacing w:line="360" w:lineRule="auto" w:after="0"/>
      </w:pPr>
      <w:r>
        <w:rPr>
          <w:rFonts w:ascii="Times New Roman" w:hAnsi="Times New Roman" w:eastAsia="宋体"/>
          <w:b w:val="0"/>
          <w:i w:val="0"/>
          <w:sz w:val="22"/>
        </w:rPr>
        <w:t>深入理解纳什均衡与Stackelberg均衡的求解方法</w:t>
      </w:r>
    </w:p>
    <w:p>
      <w:pPr>
        <w:pStyle w:val="ListBullet"/>
        <w:spacing w:line="360" w:lineRule="auto" w:after="0"/>
      </w:pPr>
      <w:r>
        <w:rPr>
          <w:rFonts w:ascii="Times New Roman" w:hAnsi="Times New Roman" w:eastAsia="宋体"/>
          <w:b w:val="0"/>
          <w:i w:val="0"/>
          <w:sz w:val="22"/>
        </w:rPr>
        <w:t>了解消费者激励因素、区块链等前沿方向</w:t>
      </w:r>
    </w:p>
    <w:p>
      <w:pPr>
        <w:pStyle w:val="Heading2"/>
        <w:spacing w:before="240" w:after="80"/>
      </w:pPr>
      <w:r>
        <w:rPr>
          <w:rFonts w:ascii="Times New Roman" w:hAnsi="Times New Roman" w:eastAsia="黑体"/>
          <w:b/>
          <w:i w:val="0"/>
          <w:sz w:val="28"/>
        </w:rPr>
        <w:t>导入案例：多零售商竞争下的实时定价</w:t>
      </w:r>
    </w:p>
    <w:p>
      <w:pPr>
        <w:spacing w:line="360" w:lineRule="auto" w:after="0"/>
        <w:ind w:firstLine="425"/>
      </w:pPr>
      <w:r>
        <w:rPr>
          <w:rFonts w:ascii="Times New Roman" w:hAnsi="Times New Roman" w:eastAsia="宋体"/>
          <w:b w:val="0"/>
          <w:i w:val="0"/>
          <w:sz w:val="22"/>
        </w:rPr>
        <w:t>在电力市场放松管制的背景下，多个电力零售商在同一区域竞争向用户提供电力服务。每个零售商需要同时制定采购策略和零售价格，既要考虑用户的价格响应行为，又要应对竞争对手的策略。代业明和高岩（2014）率先将Stackelberg博弈引入这一场景，建立了多零售商多用户实时定价的博弈模型，开创了博弈论在智能电网定价中系统应用的先河</w:t>
      </w:r>
      <w:r>
        <w:rPr>
          <w:rFonts w:ascii="Times New Roman" w:hAnsi="Times New Roman" w:eastAsia="Times New Roman"/>
          <w:b w:val="0"/>
          <w:i w:val="0"/>
          <w:sz w:val="18"/>
          <w:vertAlign w:val="superscript"/>
        </w:rPr>
        <w:t>[1]</w:t>
      </w:r>
      <w:r>
        <w:rPr>
          <w:rFonts w:ascii="Times New Roman" w:hAnsi="Times New Roman" w:eastAsia="宋体"/>
          <w:b w:val="0"/>
          <w:i w:val="0"/>
          <w:sz w:val="22"/>
        </w:rPr>
        <w:t>。</w:t>
      </w:r>
    </w:p>
    <w:p>
      <w:pPr>
        <w:pStyle w:val="Heading2"/>
        <w:spacing w:before="240" w:after="80"/>
      </w:pPr>
      <w:r>
        <w:rPr>
          <w:rFonts w:ascii="Times New Roman" w:hAnsi="Times New Roman" w:eastAsia="黑体"/>
          <w:b/>
          <w:i w:val="0"/>
          <w:sz w:val="28"/>
        </w:rPr>
        <w:t>6.1 博弈论基础</w:t>
      </w:r>
    </w:p>
    <w:p>
      <w:pPr>
        <w:pStyle w:val="Heading3"/>
        <w:spacing w:before="160" w:after="60"/>
      </w:pPr>
      <w:r>
        <w:rPr>
          <w:rFonts w:ascii="Times New Roman" w:hAnsi="Times New Roman" w:eastAsia="黑体"/>
          <w:b/>
          <w:i w:val="0"/>
          <w:sz w:val="24"/>
        </w:rPr>
        <w:t>6.1.1 博弈论的基本概念</w:t>
      </w:r>
    </w:p>
    <w:p>
      <w:pPr>
        <w:spacing w:line="360" w:lineRule="auto" w:after="0"/>
        <w:ind w:firstLine="425"/>
      </w:pPr>
      <w:r>
        <w:rPr>
          <w:rFonts w:ascii="Times New Roman" w:hAnsi="Times New Roman" w:eastAsia="宋体"/>
          <w:b w:val="0"/>
          <w:i w:val="0"/>
          <w:sz w:val="22"/>
        </w:rPr>
        <w:t>博弈论（Game Theory）研究多个决策者在策略互动环境下的理性决策行为。一个博弈由以下要素构成：</w:t>
      </w:r>
    </w:p>
    <w:p>
      <w:pPr>
        <w:pStyle w:val="ListBullet"/>
        <w:spacing w:line="360" w:lineRule="auto" w:after="0"/>
      </w:pPr>
      <w:r>
        <w:rPr>
          <w:rFonts w:ascii="Times New Roman" w:hAnsi="Times New Roman" w:eastAsia="宋体"/>
          <w:b/>
          <w:i w:val="0"/>
          <w:sz w:val="22"/>
        </w:rPr>
        <w:t>参与者</w:t>
      </w:r>
      <w:r>
        <w:rPr>
          <w:rFonts w:ascii="Times New Roman" w:hAnsi="Times New Roman" w:eastAsia="宋体"/>
          <w:b w:val="0"/>
          <w:i w:val="0"/>
          <w:sz w:val="22"/>
        </w:rPr>
        <w:t>（Players）：决策主体，如供电方、用户、零售商</w:t>
      </w:r>
    </w:p>
    <w:p>
      <w:pPr>
        <w:pStyle w:val="ListBullet"/>
        <w:spacing w:line="360" w:lineRule="auto" w:after="0"/>
      </w:pPr>
      <w:r>
        <w:rPr>
          <w:rFonts w:ascii="Times New Roman" w:hAnsi="Times New Roman" w:eastAsia="宋体"/>
          <w:b/>
          <w:i w:val="0"/>
          <w:sz w:val="22"/>
        </w:rPr>
        <w:t>策略</w:t>
      </w:r>
      <w:r>
        <w:rPr>
          <w:rFonts w:ascii="Times New Roman" w:hAnsi="Times New Roman" w:eastAsia="宋体"/>
          <w:b w:val="0"/>
          <w:i w:val="0"/>
          <w:sz w:val="22"/>
        </w:rPr>
        <w:t>（Strategies）：参与者可选的行动方案</w:t>
      </w:r>
    </w:p>
    <w:p>
      <w:pPr>
        <w:pStyle w:val="ListBullet"/>
        <w:spacing w:line="360" w:lineRule="auto" w:after="0"/>
      </w:pPr>
      <w:r>
        <w:rPr>
          <w:rFonts w:ascii="Times New Roman" w:hAnsi="Times New Roman" w:eastAsia="宋体"/>
          <w:b/>
          <w:i w:val="0"/>
          <w:sz w:val="22"/>
        </w:rPr>
        <w:t>支付</w:t>
      </w:r>
      <w:r>
        <w:rPr>
          <w:rFonts w:ascii="Times New Roman" w:hAnsi="Times New Roman" w:eastAsia="宋体"/>
          <w:b w:val="0"/>
          <w:i w:val="0"/>
          <w:sz w:val="22"/>
        </w:rPr>
        <w:t>（Payoffs）：参与者在不同策略组合下的收益</w:t>
      </w:r>
    </w:p>
    <w:p>
      <w:pPr>
        <w:pStyle w:val="ListBullet"/>
        <w:spacing w:line="360" w:lineRule="auto" w:after="0"/>
      </w:pPr>
      <w:r>
        <w:rPr>
          <w:rFonts w:ascii="Times New Roman" w:hAnsi="Times New Roman" w:eastAsia="宋体"/>
          <w:b/>
          <w:i w:val="0"/>
          <w:sz w:val="22"/>
        </w:rPr>
        <w:t>信息结构</w:t>
      </w:r>
      <w:r>
        <w:rPr>
          <w:rFonts w:ascii="Times New Roman" w:hAnsi="Times New Roman" w:eastAsia="宋体"/>
          <w:b w:val="0"/>
          <w:i w:val="0"/>
          <w:sz w:val="22"/>
        </w:rPr>
        <w:t>：参与者对博弈结构和对手策略的了解程度</w:t>
      </w:r>
    </w:p>
    <w:p>
      <w:pPr>
        <w:pStyle w:val="Heading3"/>
        <w:spacing w:before="160" w:after="60"/>
      </w:pPr>
      <w:r>
        <w:rPr>
          <w:rFonts w:ascii="Times New Roman" w:hAnsi="Times New Roman" w:eastAsia="黑体"/>
          <w:b/>
          <w:i w:val="0"/>
          <w:sz w:val="24"/>
        </w:rPr>
        <w:t>6.1.2 博弈的分类</w:t>
      </w:r>
    </w:p>
    <w:tbl>
      <w:tblPr>
        <w:tblStyle w:val="LightGrid-Accent1"/>
        <w:tblW w:type="auto" w:w="0"/>
        <w:jc w:val="center"/>
        <w:tblLook w:firstColumn="1" w:firstRow="1" w:lastColumn="0" w:lastRow="0" w:noHBand="0" w:noVBand="1" w:val="04A0"/>
      </w:tblPr>
      <w:tblGrid>
        <w:gridCol w:w="2835"/>
        <w:gridCol w:w="2835"/>
        <w:gridCol w:w="2835"/>
      </w:tblGrid>
      <w:tr>
        <w:tc>
          <w:tcPr>
            <w:tcW w:type="dxa" w:w="2835"/>
          </w:tcPr>
          <w:p>
            <w:pPr>
              <w:spacing w:after="40" w:before="40"/>
            </w:pPr>
            <w:r>
              <w:rPr>
                <w:b/>
              </w:rPr>
            </w:r>
            <w:r>
              <w:rPr>
                <w:rFonts w:ascii="Times New Roman" w:hAnsi="Times New Roman" w:eastAsia="黑体"/>
                <w:b/>
                <w:i w:val="0"/>
                <w:sz w:val="20"/>
              </w:rPr>
              <w:t>分类维度</w:t>
            </w:r>
          </w:p>
        </w:tc>
        <w:tc>
          <w:tcPr>
            <w:tcW w:type="dxa" w:w="2835"/>
          </w:tcPr>
          <w:p>
            <w:pPr>
              <w:spacing w:after="40" w:before="40"/>
            </w:pPr>
            <w:r>
              <w:rPr>
                <w:b/>
              </w:rPr>
            </w:r>
            <w:r>
              <w:rPr>
                <w:rFonts w:ascii="Times New Roman" w:hAnsi="Times New Roman" w:eastAsia="黑体"/>
                <w:b/>
                <w:i w:val="0"/>
                <w:sz w:val="20"/>
              </w:rPr>
              <w:t>类型</w:t>
            </w:r>
          </w:p>
        </w:tc>
        <w:tc>
          <w:tcPr>
            <w:tcW w:type="dxa" w:w="2835"/>
          </w:tcPr>
          <w:p>
            <w:pPr>
              <w:spacing w:after="40" w:before="40"/>
            </w:pPr>
            <w:r>
              <w:rPr>
                <w:b/>
              </w:rPr>
            </w:r>
            <w:r>
              <w:rPr>
                <w:rFonts w:ascii="Times New Roman" w:hAnsi="Times New Roman" w:eastAsia="黑体"/>
                <w:b/>
                <w:i w:val="0"/>
                <w:sz w:val="20"/>
              </w:rPr>
              <w:t>说明</w:t>
            </w:r>
          </w:p>
        </w:tc>
      </w:tr>
      <w:tr>
        <w:tc>
          <w:tcPr>
            <w:tcW w:type="dxa" w:w="2835"/>
          </w:tcPr>
          <w:p>
            <w:pPr>
              <w:spacing w:after="40" w:before="40"/>
            </w:pPr>
            <w:r/>
            <w:r>
              <w:rPr>
                <w:rFonts w:ascii="Times New Roman" w:hAnsi="Times New Roman" w:eastAsia="宋体"/>
                <w:b w:val="0"/>
                <w:i w:val="0"/>
                <w:sz w:val="20"/>
              </w:rPr>
              <w:t>行动顺序</w:t>
            </w:r>
          </w:p>
        </w:tc>
        <w:tc>
          <w:tcPr>
            <w:tcW w:type="dxa" w:w="2835"/>
          </w:tcPr>
          <w:p>
            <w:pPr>
              <w:spacing w:after="40" w:before="40"/>
            </w:pPr>
            <w:r/>
            <w:r>
              <w:rPr>
                <w:rFonts w:ascii="Times New Roman" w:hAnsi="Times New Roman" w:eastAsia="宋体"/>
                <w:b w:val="0"/>
                <w:i w:val="0"/>
                <w:sz w:val="20"/>
              </w:rPr>
              <w:t>静态博弈 / 动态博弈</w:t>
            </w:r>
          </w:p>
        </w:tc>
        <w:tc>
          <w:tcPr>
            <w:tcW w:type="dxa" w:w="2835"/>
          </w:tcPr>
          <w:p>
            <w:pPr>
              <w:spacing w:after="40" w:before="40"/>
            </w:pPr>
            <w:r/>
            <w:r>
              <w:rPr>
                <w:rFonts w:ascii="Times New Roman" w:hAnsi="Times New Roman" w:eastAsia="宋体"/>
                <w:b w:val="0"/>
                <w:i w:val="0"/>
                <w:sz w:val="20"/>
              </w:rPr>
              <w:t>同时决策 / 有先后顺序</w:t>
            </w:r>
          </w:p>
        </w:tc>
      </w:tr>
      <w:tr>
        <w:tc>
          <w:tcPr>
            <w:tcW w:type="dxa" w:w="2835"/>
            <w:shd w:val="clear" w:color="auto" w:fill="F0F4F8"/>
          </w:tcPr>
          <w:p>
            <w:pPr>
              <w:spacing w:after="40" w:before="40"/>
            </w:pPr>
            <w:r/>
            <w:r>
              <w:rPr>
                <w:rFonts w:ascii="Times New Roman" w:hAnsi="Times New Roman" w:eastAsia="宋体"/>
                <w:b w:val="0"/>
                <w:i w:val="0"/>
                <w:sz w:val="20"/>
              </w:rPr>
              <w:t>信息结构</w:t>
            </w:r>
          </w:p>
        </w:tc>
        <w:tc>
          <w:tcPr>
            <w:tcW w:type="dxa" w:w="2835"/>
            <w:shd w:val="clear" w:color="auto" w:fill="F0F4F8"/>
          </w:tcPr>
          <w:p>
            <w:pPr>
              <w:spacing w:after="40" w:before="40"/>
            </w:pPr>
            <w:r/>
            <w:r>
              <w:rPr>
                <w:rFonts w:ascii="Times New Roman" w:hAnsi="Times New Roman" w:eastAsia="宋体"/>
                <w:b w:val="0"/>
                <w:i w:val="0"/>
                <w:sz w:val="20"/>
              </w:rPr>
              <w:t>完全信息 / 不完全信息</w:t>
            </w:r>
          </w:p>
        </w:tc>
        <w:tc>
          <w:tcPr>
            <w:tcW w:type="dxa" w:w="2835"/>
            <w:shd w:val="clear" w:color="auto" w:fill="F0F4F8"/>
          </w:tcPr>
          <w:p>
            <w:pPr>
              <w:spacing w:after="40" w:before="40"/>
            </w:pPr>
            <w:r/>
            <w:r>
              <w:rPr>
                <w:rFonts w:ascii="Times New Roman" w:hAnsi="Times New Roman" w:eastAsia="宋体"/>
                <w:b w:val="0"/>
                <w:i w:val="0"/>
                <w:sz w:val="20"/>
              </w:rPr>
              <w:t>所有参与者了解支付函数 / 不完全了解</w:t>
            </w:r>
          </w:p>
        </w:tc>
      </w:tr>
      <w:tr>
        <w:tc>
          <w:tcPr>
            <w:tcW w:type="dxa" w:w="2835"/>
          </w:tcPr>
          <w:p>
            <w:pPr>
              <w:spacing w:after="40" w:before="40"/>
            </w:pPr>
            <w:r/>
            <w:r>
              <w:rPr>
                <w:rFonts w:ascii="Times New Roman" w:hAnsi="Times New Roman" w:eastAsia="宋体"/>
                <w:b w:val="0"/>
                <w:i w:val="0"/>
                <w:sz w:val="20"/>
              </w:rPr>
              <w:t>合作性</w:t>
            </w:r>
          </w:p>
        </w:tc>
        <w:tc>
          <w:tcPr>
            <w:tcW w:type="dxa" w:w="2835"/>
          </w:tcPr>
          <w:p>
            <w:pPr>
              <w:spacing w:after="40" w:before="40"/>
            </w:pPr>
            <w:r/>
            <w:r>
              <w:rPr>
                <w:rFonts w:ascii="Times New Roman" w:hAnsi="Times New Roman" w:eastAsia="宋体"/>
                <w:b w:val="0"/>
                <w:i w:val="0"/>
                <w:sz w:val="20"/>
              </w:rPr>
              <w:t>非合作博弈 / 合作博弈</w:t>
            </w:r>
          </w:p>
        </w:tc>
        <w:tc>
          <w:tcPr>
            <w:tcW w:type="dxa" w:w="2835"/>
          </w:tcPr>
          <w:p>
            <w:pPr>
              <w:spacing w:after="40" w:before="40"/>
            </w:pPr>
            <w:r/>
            <w:r>
              <w:rPr>
                <w:rFonts w:ascii="Times New Roman" w:hAnsi="Times New Roman" w:eastAsia="宋体"/>
                <w:b w:val="0"/>
                <w:i w:val="0"/>
                <w:sz w:val="20"/>
              </w:rPr>
              <w:t>独立决策 / 可达成有约束力的协议</w:t>
            </w:r>
          </w:p>
        </w:tc>
      </w:tr>
      <w:tr>
        <w:tc>
          <w:tcPr>
            <w:tcW w:type="dxa" w:w="2835"/>
            <w:shd w:val="clear" w:color="auto" w:fill="F0F4F8"/>
          </w:tcPr>
          <w:p>
            <w:pPr>
              <w:spacing w:after="40" w:before="40"/>
            </w:pPr>
            <w:r/>
            <w:r>
              <w:rPr>
                <w:rFonts w:ascii="Times New Roman" w:hAnsi="Times New Roman" w:eastAsia="宋体"/>
                <w:b w:val="0"/>
                <w:i w:val="0"/>
                <w:sz w:val="20"/>
              </w:rPr>
              <w:t>参与者数量</w:t>
            </w:r>
          </w:p>
        </w:tc>
        <w:tc>
          <w:tcPr>
            <w:tcW w:type="dxa" w:w="2835"/>
            <w:shd w:val="clear" w:color="auto" w:fill="F0F4F8"/>
          </w:tcPr>
          <w:p>
            <w:pPr>
              <w:spacing w:after="40" w:before="40"/>
            </w:pPr>
            <w:r/>
            <w:r>
              <w:rPr>
                <w:rFonts w:ascii="Times New Roman" w:hAnsi="Times New Roman" w:eastAsia="宋体"/>
                <w:b w:val="0"/>
                <w:i w:val="0"/>
                <w:sz w:val="20"/>
              </w:rPr>
              <w:t>二人博弈 / 多人博弈</w:t>
            </w:r>
          </w:p>
        </w:tc>
        <w:tc>
          <w:tcPr>
            <w:tcW w:type="dxa" w:w="2835"/>
            <w:shd w:val="clear" w:color="auto" w:fill="F0F4F8"/>
          </w:tcPr>
          <w:p>
            <w:pPr>
              <w:spacing w:after="40" w:before="40"/>
            </w:pPr>
            <w:r/>
            <w:r>
              <w:rPr>
                <w:rFonts w:ascii="Times New Roman" w:hAnsi="Times New Roman" w:eastAsia="宋体"/>
                <w:b w:val="0"/>
                <w:i w:val="0"/>
                <w:sz w:val="20"/>
              </w:rPr>
              <w:t>2个参与者 / 3个及以上</w:t>
            </w:r>
          </w:p>
        </w:tc>
      </w:tr>
    </w:tbl>
    <w:p>
      <w:pPr>
        <w:pStyle w:val="Heading3"/>
        <w:spacing w:before="160" w:after="60"/>
      </w:pPr>
      <w:r>
        <w:rPr>
          <w:rFonts w:ascii="Times New Roman" w:hAnsi="Times New Roman" w:eastAsia="黑体"/>
          <w:b/>
          <w:i w:val="0"/>
          <w:sz w:val="24"/>
        </w:rPr>
        <w:t>6.1.3 博弈论在实时定价中的应用动机</w:t>
      </w:r>
    </w:p>
    <w:p>
      <w:pPr>
        <w:spacing w:line="360" w:lineRule="auto" w:after="0"/>
        <w:ind w:firstLine="425"/>
      </w:pPr>
      <w:r>
        <w:rPr>
          <w:rFonts w:ascii="Times New Roman" w:hAnsi="Times New Roman" w:eastAsia="宋体"/>
          <w:b w:val="0"/>
          <w:i w:val="0"/>
          <w:sz w:val="22"/>
        </w:rPr>
        <w:t>在多零售商场景下，实时定价涉及复杂的策略互动：</w:t>
      </w:r>
    </w:p>
    <w:p>
      <w:pPr>
        <w:pStyle w:val="ListBullet"/>
        <w:spacing w:line="360" w:lineRule="auto" w:after="0"/>
      </w:pPr>
      <w:r>
        <w:rPr>
          <w:rFonts w:ascii="Times New Roman" w:hAnsi="Times New Roman" w:eastAsia="宋体"/>
          <w:b w:val="0"/>
          <w:i w:val="0"/>
          <w:sz w:val="22"/>
        </w:rPr>
        <w:t>零售商之间的价格竞争</w:t>
      </w:r>
    </w:p>
    <w:p>
      <w:pPr>
        <w:pStyle w:val="ListBullet"/>
        <w:spacing w:line="360" w:lineRule="auto" w:after="0"/>
      </w:pPr>
      <w:r>
        <w:rPr>
          <w:rFonts w:ascii="Times New Roman" w:hAnsi="Times New Roman" w:eastAsia="宋体"/>
          <w:b w:val="0"/>
          <w:i w:val="0"/>
          <w:sz w:val="22"/>
        </w:rPr>
        <w:t>零售商与用户之间的供需博弈</w:t>
      </w:r>
    </w:p>
    <w:p>
      <w:pPr>
        <w:pStyle w:val="ListBullet"/>
        <w:spacing w:line="360" w:lineRule="auto" w:after="0"/>
      </w:pPr>
      <w:r>
        <w:rPr>
          <w:rFonts w:ascii="Times New Roman" w:hAnsi="Times New Roman" w:eastAsia="宋体"/>
          <w:b w:val="0"/>
          <w:i w:val="0"/>
          <w:sz w:val="22"/>
        </w:rPr>
        <w:t>用户之间的资源竞争</w:t>
      </w:r>
    </w:p>
    <w:p>
      <w:pPr>
        <w:spacing w:line="360" w:lineRule="auto" w:after="0"/>
        <w:ind w:firstLine="425"/>
      </w:pPr>
      <w:r>
        <w:rPr>
          <w:rFonts w:ascii="Times New Roman" w:hAnsi="Times New Roman" w:eastAsia="宋体"/>
          <w:b w:val="0"/>
          <w:i w:val="0"/>
          <w:sz w:val="22"/>
        </w:rPr>
        <w:t>这些策略互动无法用传统优化方法充分刻画，博弈论提供了分析这类问题的自然框架</w:t>
      </w:r>
      <w:r>
        <w:rPr>
          <w:rFonts w:ascii="Times New Roman" w:hAnsi="Times New Roman" w:eastAsia="Times New Roman"/>
          <w:b w:val="0"/>
          <w:i w:val="0"/>
          <w:sz w:val="18"/>
          <w:vertAlign w:val="superscript"/>
        </w:rPr>
        <w:t>[2]</w:t>
      </w:r>
      <w:r>
        <w:rPr>
          <w:rFonts w:ascii="Times New Roman" w:hAnsi="Times New Roman" w:eastAsia="宋体"/>
          <w:b w:val="0"/>
          <w:i w:val="0"/>
          <w:sz w:val="22"/>
        </w:rPr>
        <w:t>。</w:t>
      </w:r>
    </w:p>
    <w:p>
      <w:pPr>
        <w:pStyle w:val="Heading2"/>
        <w:spacing w:before="240" w:after="80"/>
      </w:pPr>
      <w:r>
        <w:rPr>
          <w:rFonts w:ascii="Times New Roman" w:hAnsi="Times New Roman" w:eastAsia="黑体"/>
          <w:b/>
          <w:i w:val="0"/>
          <w:sz w:val="28"/>
        </w:rPr>
        <w:t>6.2 Stackelberg博弈模型</w:t>
      </w:r>
    </w:p>
    <w:p>
      <w:pPr>
        <w:pStyle w:val="Heading3"/>
        <w:spacing w:before="160" w:after="60"/>
      </w:pPr>
      <w:r>
        <w:rPr>
          <w:rFonts w:ascii="Times New Roman" w:hAnsi="Times New Roman" w:eastAsia="黑体"/>
          <w:b/>
          <w:i w:val="0"/>
          <w:sz w:val="24"/>
        </w:rPr>
        <w:t>6.2.1 Stackelberg博弈的基本结构</w:t>
      </w:r>
    </w:p>
    <w:p>
      <w:pPr>
        <w:spacing w:line="360" w:lineRule="auto" w:after="0"/>
        <w:ind w:firstLine="425"/>
      </w:pPr>
      <w:r>
        <w:rPr>
          <w:rFonts w:ascii="Times New Roman" w:hAnsi="Times New Roman" w:eastAsia="宋体"/>
          <w:b w:val="0"/>
          <w:i w:val="0"/>
          <w:sz w:val="22"/>
        </w:rPr>
        <w:t>Stackelberg博弈是一种典型的动态博弈，存在领导者（Leader）和跟随者（Follower）。领导者先行动，跟随者观察到领导者的行动后做出最优响应。领导者通过预测跟随者的最优响应来制定自己的最优策略。</w:t>
      </w:r>
    </w:p>
    <w:p>
      <w:pPr>
        <w:pStyle w:val="Heading3"/>
        <w:spacing w:before="160" w:after="60"/>
      </w:pPr>
      <w:r>
        <w:rPr>
          <w:rFonts w:ascii="Times New Roman" w:hAnsi="Times New Roman" w:eastAsia="黑体"/>
          <w:b/>
          <w:i w:val="0"/>
          <w:sz w:val="24"/>
        </w:rPr>
        <w:t>6.2.2 单零售商单用户场景</w:t>
      </w:r>
    </w:p>
    <w:p>
      <w:pPr>
        <w:spacing w:line="360" w:lineRule="auto" w:after="0"/>
        <w:ind w:firstLine="425"/>
      </w:pPr>
      <w:r>
        <w:rPr>
          <w:rFonts w:ascii="Times New Roman" w:hAnsi="Times New Roman" w:eastAsia="宋体"/>
          <w:b w:val="0"/>
          <w:i w:val="0"/>
          <w:sz w:val="22"/>
        </w:rPr>
        <w:t>在单零售商场景下，零售商作为领导者设定电价p，用户作为跟随者根据p决定用电量x(p)。零售商的目标是最大化利润：</w:t>
      </w:r>
    </w:p>
    <w:p>
      <w:pPr>
        <w:spacing w:before="80" w:after="80"/>
        <w:jc w:val="center"/>
      </w:pPr>
      <m:oMathPara>
        <m:oMath>
          <m:sSub>
            <m:e>
              <m:r>
                <m:t>max</m:t>
              </m:r>
            </m:e>
            <m:sub>
              <m:r>
                <m:t>p</m:t>
              </m:r>
            </m:sub>
          </m:sSub>
          <m:r>
            <m:t>π(p)=p·x(p)−C(x(p))</m:t>
          </m:r>
        </m:oMath>
      </m:oMathPara>
    </w:p>
    <w:p>
      <w:pPr>
        <w:spacing w:line="360" w:lineRule="auto" w:after="0"/>
        <w:ind w:firstLine="0"/>
      </w:pPr>
      <w:r>
        <w:rPr>
          <w:rFonts w:ascii="Times New Roman" w:hAnsi="Times New Roman" w:eastAsia="宋体"/>
          <w:b w:val="0"/>
          <w:i w:val="0"/>
          <w:sz w:val="22"/>
        </w:rPr>
        <w:t>用户的最优响应为：x^*(p) = arg max_x [U(x) - px]</w:t>
      </w:r>
    </w:p>
    <w:p>
      <w:pPr>
        <w:spacing w:line="360" w:lineRule="auto" w:after="0"/>
        <w:ind w:firstLine="425"/>
      </w:pPr>
      <w:r>
        <w:rPr>
          <w:rFonts w:ascii="Times New Roman" w:hAnsi="Times New Roman" w:eastAsia="宋体"/>
          <w:b w:val="0"/>
          <w:i w:val="0"/>
          <w:sz w:val="22"/>
        </w:rPr>
        <w:t>通过逆向归纳求解：先求用户最优响应x^</w:t>
      </w:r>
      <w:r>
        <w:rPr>
          <w:rFonts w:ascii="Times New Roman" w:hAnsi="Times New Roman" w:eastAsia="宋体"/>
          <w:b w:val="0"/>
          <w:i/>
          <w:sz w:val="22"/>
        </w:rPr>
        <w:t>(p)，再代入零售商目标函数求最优p^</w:t>
      </w:r>
      <w:r>
        <w:rPr>
          <w:rFonts w:ascii="Times New Roman" w:hAnsi="Times New Roman" w:eastAsia="Times New Roman"/>
          <w:b w:val="0"/>
          <w:i w:val="0"/>
          <w:sz w:val="18"/>
          <w:vertAlign w:val="superscript"/>
        </w:rPr>
        <w:t>[3]</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6.2.3 多零售商多用户场景</w:t>
      </w:r>
    </w:p>
    <w:p>
      <w:pPr>
        <w:spacing w:line="360" w:lineRule="auto" w:after="0"/>
        <w:ind w:firstLine="425"/>
      </w:pPr>
      <w:r>
        <w:rPr>
          <w:rFonts w:ascii="Times New Roman" w:hAnsi="Times New Roman" w:eastAsia="宋体"/>
          <w:b w:val="0"/>
          <w:i w:val="0"/>
          <w:sz w:val="22"/>
        </w:rPr>
        <w:t>代业明和高岩（2014）将Stackelberg博弈推广到多零售商多用户场景</w:t>
      </w:r>
      <w:r>
        <w:rPr>
          <w:rFonts w:ascii="Times New Roman" w:hAnsi="Times New Roman" w:eastAsia="Times New Roman"/>
          <w:b w:val="0"/>
          <w:i w:val="0"/>
          <w:sz w:val="18"/>
          <w:vertAlign w:val="superscript"/>
        </w:rPr>
        <w:t>[1]</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i w:val="0"/>
          <w:sz w:val="22"/>
        </w:rPr>
        <w:t>领导者</w:t>
      </w:r>
      <w:r>
        <w:rPr>
          <w:rFonts w:ascii="Times New Roman" w:hAnsi="Times New Roman" w:eastAsia="宋体"/>
          <w:b w:val="0"/>
          <w:i w:val="0"/>
          <w:sz w:val="22"/>
        </w:rPr>
        <w:t>：多个零售商，各自设定零售电价p_j（j = 1, …, M）</w:t>
      </w:r>
    </w:p>
    <w:p>
      <w:pPr>
        <w:pStyle w:val="ListBullet"/>
        <w:spacing w:line="360" w:lineRule="auto" w:after="0"/>
      </w:pPr>
      <w:r>
        <w:rPr>
          <w:rFonts w:ascii="Times New Roman" w:hAnsi="Times New Roman" w:eastAsia="宋体"/>
          <w:b/>
          <w:i w:val="0"/>
          <w:sz w:val="22"/>
        </w:rPr>
        <w:t>跟随者</w:t>
      </w:r>
      <w:r>
        <w:rPr>
          <w:rFonts w:ascii="Times New Roman" w:hAnsi="Times New Roman" w:eastAsia="宋体"/>
          <w:b w:val="0"/>
          <w:i w:val="0"/>
          <w:sz w:val="22"/>
        </w:rPr>
        <w:t>：多个用户，各根据所有零售商的价格选择供电方并决定用电量</w:t>
      </w:r>
    </w:p>
    <w:p>
      <w:pPr>
        <w:spacing w:line="360" w:lineRule="auto" w:after="0"/>
        <w:ind w:firstLine="425"/>
      </w:pPr>
      <w:r>
        <w:rPr>
          <w:rFonts w:ascii="Times New Roman" w:hAnsi="Times New Roman" w:eastAsia="宋体"/>
          <w:b w:val="0"/>
          <w:i w:val="0"/>
          <w:sz w:val="22"/>
        </w:rPr>
        <w:t>多零售商之间存在非合作博弈，每个零售商在给定竞争对手价格的情况下最大化自身利润。用户则在给定价格向量p = (p_1, …, p_M)的情况下最大化自身效用。</w:t>
      </w:r>
    </w:p>
    <w:p>
      <w:pPr>
        <w:pStyle w:val="Heading3"/>
        <w:spacing w:before="160" w:after="60"/>
      </w:pPr>
      <w:r>
        <w:rPr>
          <w:rFonts w:ascii="Times New Roman" w:hAnsi="Times New Roman" w:eastAsia="黑体"/>
          <w:b/>
          <w:i w:val="0"/>
          <w:sz w:val="24"/>
        </w:rPr>
        <w:t>6.2.4 均衡的存在性与唯一性</w:t>
      </w:r>
    </w:p>
    <w:p>
      <w:pPr>
        <w:spacing w:line="360" w:lineRule="auto" w:after="0"/>
        <w:ind w:firstLine="425"/>
      </w:pPr>
      <w:r>
        <w:rPr>
          <w:rFonts w:ascii="Times New Roman" w:hAnsi="Times New Roman" w:eastAsia="宋体"/>
          <w:b w:val="0"/>
          <w:i w:val="0"/>
          <w:sz w:val="22"/>
        </w:rPr>
        <w:t>代业明和高岩（2014）证明了在适当条件下，多零售商多用户Stackelberg博弈存在均衡</w:t>
      </w:r>
      <w:r>
        <w:rPr>
          <w:rFonts w:ascii="Times New Roman" w:hAnsi="Times New Roman" w:eastAsia="Times New Roman"/>
          <w:b w:val="0"/>
          <w:i w:val="0"/>
          <w:sz w:val="18"/>
          <w:vertAlign w:val="superscript"/>
        </w:rPr>
        <w:t>[1]</w:t>
      </w:r>
      <w:r>
        <w:rPr>
          <w:rFonts w:ascii="Times New Roman" w:hAnsi="Times New Roman" w:eastAsia="宋体"/>
          <w:b w:val="0"/>
          <w:i w:val="0"/>
          <w:sz w:val="22"/>
        </w:rPr>
        <w:t>。均衡的存在性依赖于：</w:t>
      </w:r>
    </w:p>
    <w:p>
      <w:pPr>
        <w:pStyle w:val="ListBullet"/>
        <w:spacing w:line="360" w:lineRule="auto" w:after="0"/>
      </w:pPr>
      <w:r>
        <w:rPr>
          <w:rFonts w:ascii="Times New Roman" w:hAnsi="Times New Roman" w:eastAsia="宋体"/>
          <w:b w:val="0"/>
          <w:i w:val="0"/>
          <w:sz w:val="22"/>
        </w:rPr>
        <w:t>用户效用函数的凹性</w:t>
      </w:r>
    </w:p>
    <w:p>
      <w:pPr>
        <w:pStyle w:val="ListBullet"/>
        <w:spacing w:line="360" w:lineRule="auto" w:after="0"/>
      </w:pPr>
      <w:r>
        <w:rPr>
          <w:rFonts w:ascii="Times New Roman" w:hAnsi="Times New Roman" w:eastAsia="宋体"/>
          <w:b w:val="0"/>
          <w:i w:val="0"/>
          <w:sz w:val="22"/>
        </w:rPr>
        <w:t>供电成本函数的凸性</w:t>
      </w:r>
    </w:p>
    <w:p>
      <w:pPr>
        <w:pStyle w:val="ListBullet"/>
        <w:spacing w:line="360" w:lineRule="auto" w:after="0"/>
      </w:pPr>
      <w:r>
        <w:rPr>
          <w:rFonts w:ascii="Times New Roman" w:hAnsi="Times New Roman" w:eastAsia="宋体"/>
          <w:b w:val="0"/>
          <w:i w:val="0"/>
          <w:sz w:val="22"/>
        </w:rPr>
        <w:t>零售商利润函数的连续性</w:t>
      </w:r>
    </w:p>
    <w:p>
      <w:pPr>
        <w:spacing w:line="360" w:lineRule="auto" w:after="0"/>
        <w:ind w:firstLine="425"/>
      </w:pPr>
      <w:r>
        <w:rPr>
          <w:rFonts w:ascii="Times New Roman" w:hAnsi="Times New Roman" w:eastAsia="宋体"/>
          <w:b w:val="0"/>
          <w:i w:val="0"/>
          <w:sz w:val="22"/>
        </w:rPr>
        <w:t>均衡的唯一性需要更强的条件，如利润函数的严格凹性。</w:t>
      </w:r>
    </w:p>
    <w:p>
      <w:pPr>
        <w:pStyle w:val="Heading2"/>
        <w:spacing w:before="240" w:after="80"/>
      </w:pPr>
      <w:r>
        <w:rPr>
          <w:rFonts w:ascii="Times New Roman" w:hAnsi="Times New Roman" w:eastAsia="黑体"/>
          <w:b/>
          <w:i w:val="0"/>
          <w:sz w:val="28"/>
        </w:rPr>
        <w:t>6.3 多零售商多用户博弈</w:t>
      </w:r>
    </w:p>
    <w:p>
      <w:pPr>
        <w:pStyle w:val="Heading3"/>
        <w:spacing w:before="160" w:after="60"/>
      </w:pPr>
      <w:r>
        <w:rPr>
          <w:rFonts w:ascii="Times New Roman" w:hAnsi="Times New Roman" w:eastAsia="黑体"/>
          <w:b/>
          <w:i w:val="0"/>
          <w:sz w:val="24"/>
        </w:rPr>
        <w:t>6.3.1 代等（2017）的扩展</w:t>
      </w:r>
    </w:p>
    <w:p>
      <w:pPr>
        <w:spacing w:line="360" w:lineRule="auto" w:after="0"/>
        <w:ind w:firstLine="425"/>
      </w:pPr>
      <w:r>
        <w:rPr>
          <w:rFonts w:ascii="Times New Roman" w:hAnsi="Times New Roman" w:eastAsia="宋体"/>
          <w:b w:val="0"/>
          <w:i w:val="0"/>
          <w:sz w:val="22"/>
        </w:rPr>
        <w:t>代等（2017）在多零售商多用户模型中引入了消费者激励因素</w:t>
      </w:r>
      <w:r>
        <w:rPr>
          <w:rFonts w:ascii="Times New Roman" w:hAnsi="Times New Roman" w:eastAsia="Times New Roman"/>
          <w:b w:val="0"/>
          <w:i w:val="0"/>
          <w:sz w:val="18"/>
          <w:vertAlign w:val="superscript"/>
        </w:rPr>
        <w:t>[4]</w:t>
      </w:r>
      <w:r>
        <w:rPr>
          <w:rFonts w:ascii="Times New Roman" w:hAnsi="Times New Roman" w:eastAsia="宋体"/>
          <w:b w:val="0"/>
          <w:i w:val="0"/>
          <w:sz w:val="22"/>
        </w:rPr>
        <w:t>。模型考虑了：</w:t>
      </w:r>
    </w:p>
    <w:p>
      <w:pPr>
        <w:pStyle w:val="ListBullet"/>
        <w:spacing w:line="360" w:lineRule="auto" w:after="0"/>
      </w:pPr>
      <w:r>
        <w:rPr>
          <w:rFonts w:ascii="Times New Roman" w:hAnsi="Times New Roman" w:eastAsia="宋体"/>
          <w:b/>
          <w:i w:val="0"/>
          <w:sz w:val="22"/>
        </w:rPr>
        <w:t>用户转换成本</w:t>
      </w:r>
      <w:r>
        <w:rPr>
          <w:rFonts w:ascii="Times New Roman" w:hAnsi="Times New Roman" w:eastAsia="宋体"/>
          <w:b w:val="0"/>
          <w:i w:val="0"/>
          <w:sz w:val="22"/>
        </w:rPr>
        <w:t>：用户更换零售商时需要付出的成本</w:t>
      </w:r>
    </w:p>
    <w:p>
      <w:pPr>
        <w:pStyle w:val="ListBullet"/>
        <w:spacing w:line="360" w:lineRule="auto" w:after="0"/>
      </w:pPr>
      <w:r>
        <w:rPr>
          <w:rFonts w:ascii="Times New Roman" w:hAnsi="Times New Roman" w:eastAsia="宋体"/>
          <w:b/>
          <w:i w:val="0"/>
          <w:sz w:val="22"/>
        </w:rPr>
        <w:t>激励补贴</w:t>
      </w:r>
      <w:r>
        <w:rPr>
          <w:rFonts w:ascii="Times New Roman" w:hAnsi="Times New Roman" w:eastAsia="宋体"/>
          <w:b w:val="0"/>
          <w:i w:val="0"/>
          <w:sz w:val="22"/>
        </w:rPr>
        <w:t>：零售商为吸引用户提供的额外补贴</w:t>
      </w:r>
    </w:p>
    <w:p>
      <w:pPr>
        <w:pStyle w:val="ListBullet"/>
        <w:spacing w:line="360" w:lineRule="auto" w:after="0"/>
      </w:pPr>
      <w:r>
        <w:rPr>
          <w:rFonts w:ascii="Times New Roman" w:hAnsi="Times New Roman" w:eastAsia="宋体"/>
          <w:b/>
          <w:i w:val="0"/>
          <w:sz w:val="22"/>
        </w:rPr>
        <w:t>用户忠诚度</w:t>
      </w:r>
      <w:r>
        <w:rPr>
          <w:rFonts w:ascii="Times New Roman" w:hAnsi="Times New Roman" w:eastAsia="宋体"/>
          <w:b w:val="0"/>
          <w:i w:val="0"/>
          <w:sz w:val="22"/>
        </w:rPr>
        <w:t>：用户对特定零售商的偏好</w:t>
      </w:r>
    </w:p>
    <w:p>
      <w:pPr>
        <w:spacing w:line="360" w:lineRule="auto" w:after="0"/>
        <w:ind w:firstLine="425"/>
      </w:pPr>
      <w:r>
        <w:rPr>
          <w:rFonts w:ascii="Times New Roman" w:hAnsi="Times New Roman" w:eastAsia="宋体"/>
          <w:b w:val="0"/>
          <w:i w:val="0"/>
          <w:sz w:val="22"/>
        </w:rPr>
        <w:t>研究结果表明，考虑激励因素后，均衡价格低于不考虑激励因素的情况，用户总效用更高，社会福利得到改善。</w:t>
      </w:r>
    </w:p>
    <w:p>
      <w:pPr>
        <w:pStyle w:val="Heading3"/>
        <w:spacing w:before="160" w:after="60"/>
      </w:pPr>
      <w:r>
        <w:rPr>
          <w:rFonts w:ascii="Times New Roman" w:hAnsi="Times New Roman" w:eastAsia="黑体"/>
          <w:b/>
          <w:i w:val="0"/>
          <w:sz w:val="24"/>
        </w:rPr>
        <w:t>6.3.2 代等（2015）的多类资源多类用户模型</w:t>
      </w:r>
    </w:p>
    <w:p>
      <w:pPr>
        <w:spacing w:line="360" w:lineRule="auto" w:after="0"/>
        <w:ind w:firstLine="425"/>
      </w:pPr>
      <w:r>
        <w:rPr>
          <w:rFonts w:ascii="Times New Roman" w:hAnsi="Times New Roman" w:eastAsia="宋体"/>
          <w:b w:val="0"/>
          <w:i w:val="0"/>
          <w:sz w:val="22"/>
        </w:rPr>
        <w:t>代等（2015）进一步将模型扩展到多类资源多类用户场景</w:t>
      </w:r>
      <w:r>
        <w:rPr>
          <w:rFonts w:ascii="Times New Roman" w:hAnsi="Times New Roman" w:eastAsia="Times New Roman"/>
          <w:b w:val="0"/>
          <w:i w:val="0"/>
          <w:sz w:val="18"/>
          <w:vertAlign w:val="superscript"/>
        </w:rPr>
        <w:t>[5]</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i w:val="0"/>
          <w:sz w:val="22"/>
        </w:rPr>
        <w:t>多类资源</w:t>
      </w:r>
      <w:r>
        <w:rPr>
          <w:rFonts w:ascii="Times New Roman" w:hAnsi="Times New Roman" w:eastAsia="宋体"/>
          <w:b w:val="0"/>
          <w:i w:val="0"/>
          <w:sz w:val="22"/>
        </w:rPr>
        <w:t>：包括基荷电力、可再生能源、储能等</w:t>
      </w:r>
    </w:p>
    <w:p>
      <w:pPr>
        <w:pStyle w:val="ListBullet"/>
        <w:spacing w:line="360" w:lineRule="auto" w:after="0"/>
      </w:pPr>
      <w:r>
        <w:rPr>
          <w:rFonts w:ascii="Times New Roman" w:hAnsi="Times New Roman" w:eastAsia="宋体"/>
          <w:b/>
          <w:i w:val="0"/>
          <w:sz w:val="22"/>
        </w:rPr>
        <w:t>多类用户</w:t>
      </w:r>
      <w:r>
        <w:rPr>
          <w:rFonts w:ascii="Times New Roman" w:hAnsi="Times New Roman" w:eastAsia="宋体"/>
          <w:b w:val="0"/>
          <w:i w:val="0"/>
          <w:sz w:val="22"/>
        </w:rPr>
        <w:t>：包括居民、商业、工业用户</w:t>
      </w:r>
    </w:p>
    <w:p>
      <w:pPr>
        <w:spacing w:line="360" w:lineRule="auto" w:after="0"/>
        <w:ind w:firstLine="425"/>
      </w:pPr>
      <w:r>
        <w:rPr>
          <w:rFonts w:ascii="Times New Roman" w:hAnsi="Times New Roman" w:eastAsia="宋体"/>
          <w:b w:val="0"/>
          <w:i w:val="0"/>
          <w:sz w:val="22"/>
        </w:rPr>
        <w:t>不同类型资源具有不同的成本特性和供应约束，不同类型用户具有不同的效用函数和价格弹性。该模型更贴近实际电力系统的复杂性。</w:t>
      </w:r>
    </w:p>
    <w:p>
      <w:pPr>
        <w:pStyle w:val="Heading3"/>
        <w:spacing w:before="160" w:after="60"/>
      </w:pPr>
      <w:r>
        <w:rPr>
          <w:rFonts w:ascii="Times New Roman" w:hAnsi="Times New Roman" w:eastAsia="黑体"/>
          <w:b/>
          <w:i w:val="0"/>
          <w:sz w:val="24"/>
        </w:rPr>
        <w:t>6.3.3 李等（2022）的电力零售商利益均衡</w:t>
      </w:r>
    </w:p>
    <w:p>
      <w:pPr>
        <w:spacing w:line="360" w:lineRule="auto" w:after="0"/>
        <w:ind w:firstLine="425"/>
      </w:pPr>
      <w:r>
        <w:rPr>
          <w:rFonts w:ascii="Times New Roman" w:hAnsi="Times New Roman" w:eastAsia="宋体"/>
          <w:b w:val="0"/>
          <w:i w:val="0"/>
          <w:sz w:val="22"/>
        </w:rPr>
        <w:t>李等（2022）研究了电力零售商引导下智能电网多方利益均衡策略</w:t>
      </w:r>
      <w:r>
        <w:rPr>
          <w:rFonts w:ascii="Times New Roman" w:hAnsi="Times New Roman" w:eastAsia="Times New Roman"/>
          <w:b w:val="0"/>
          <w:i w:val="0"/>
          <w:sz w:val="18"/>
          <w:vertAlign w:val="superscript"/>
        </w:rPr>
        <w:t>[6]</w:t>
      </w:r>
      <w:r>
        <w:rPr>
          <w:rFonts w:ascii="Times New Roman" w:hAnsi="Times New Roman" w:eastAsia="宋体"/>
          <w:b w:val="0"/>
          <w:i w:val="0"/>
          <w:sz w:val="22"/>
        </w:rPr>
        <w:t>。该研究的特点在于：</w:t>
      </w:r>
    </w:p>
    <w:p>
      <w:pPr>
        <w:pStyle w:val="ListBullet"/>
        <w:spacing w:line="360" w:lineRule="auto" w:after="0"/>
      </w:pPr>
      <w:r>
        <w:rPr>
          <w:rFonts w:ascii="Times New Roman" w:hAnsi="Times New Roman" w:eastAsia="宋体"/>
          <w:b w:val="0"/>
          <w:i w:val="0"/>
          <w:sz w:val="22"/>
        </w:rPr>
        <w:t>考虑了零售商、用户和系统运营商三方利益</w:t>
      </w:r>
    </w:p>
    <w:p>
      <w:pPr>
        <w:pStyle w:val="ListBullet"/>
        <w:spacing w:line="360" w:lineRule="auto" w:after="0"/>
      </w:pPr>
      <w:r>
        <w:rPr>
          <w:rFonts w:ascii="Times New Roman" w:hAnsi="Times New Roman" w:eastAsia="宋体"/>
          <w:b w:val="0"/>
          <w:i w:val="0"/>
          <w:sz w:val="22"/>
        </w:rPr>
        <w:t>设计了兼顾效率和公平的利益分配机制</w:t>
      </w:r>
    </w:p>
    <w:p>
      <w:pPr>
        <w:pStyle w:val="ListBullet"/>
        <w:spacing w:line="360" w:lineRule="auto" w:after="0"/>
      </w:pPr>
      <w:r>
        <w:rPr>
          <w:rFonts w:ascii="Times New Roman" w:hAnsi="Times New Roman" w:eastAsia="宋体"/>
          <w:b w:val="0"/>
          <w:i w:val="0"/>
          <w:sz w:val="22"/>
        </w:rPr>
        <w:t>通过博弈论方法实现了多方利益的均衡</w:t>
      </w:r>
    </w:p>
    <w:p>
      <w:pPr>
        <w:pStyle w:val="Heading2"/>
        <w:spacing w:before="240" w:after="80"/>
      </w:pPr>
      <w:r>
        <w:rPr>
          <w:rFonts w:ascii="Times New Roman" w:hAnsi="Times New Roman" w:eastAsia="黑体"/>
          <w:b/>
          <w:i w:val="0"/>
          <w:sz w:val="28"/>
        </w:rPr>
        <w:t>6.4 纳什均衡与Stackelberg均衡</w:t>
      </w:r>
    </w:p>
    <w:p>
      <w:pPr>
        <w:pStyle w:val="Heading3"/>
        <w:spacing w:before="160" w:after="60"/>
      </w:pPr>
      <w:r>
        <w:rPr>
          <w:rFonts w:ascii="Times New Roman" w:hAnsi="Times New Roman" w:eastAsia="黑体"/>
          <w:b/>
          <w:i w:val="0"/>
          <w:sz w:val="24"/>
        </w:rPr>
        <w:t>6.4.1 纳什均衡</w:t>
      </w:r>
    </w:p>
    <w:p>
      <w:pPr>
        <w:spacing w:line="360" w:lineRule="auto" w:after="0"/>
        <w:ind w:firstLine="425"/>
      </w:pPr>
      <w:r>
        <w:rPr>
          <w:rFonts w:ascii="Times New Roman" w:hAnsi="Times New Roman" w:eastAsia="宋体"/>
          <w:b w:val="0"/>
          <w:i w:val="0"/>
          <w:sz w:val="22"/>
        </w:rPr>
        <w:t>纳什均衡（Nash Equilibrium）是博弈论中最核心的解概念。在纳什均衡下，每个参与者的策略都是给定其他参与者策略时的最优响应，没有任何参与者有单方面偏离均衡的激励。</w:t>
      </w:r>
    </w:p>
    <w:p>
      <w:pPr>
        <w:spacing w:line="360" w:lineRule="auto" w:after="0"/>
        <w:ind w:firstLine="425"/>
      </w:pPr>
      <w:r>
        <w:rPr>
          <w:rFonts w:ascii="Times New Roman" w:hAnsi="Times New Roman" w:eastAsia="宋体"/>
          <w:b w:val="0"/>
          <w:i w:val="0"/>
          <w:sz w:val="22"/>
        </w:rPr>
        <w:t>在多零售商博弈中，纳什均衡价格向量p^</w:t>
      </w:r>
      <w:r>
        <w:rPr>
          <w:rFonts w:ascii="Times New Roman" w:hAnsi="Times New Roman" w:eastAsia="宋体"/>
          <w:b w:val="0"/>
          <w:i/>
          <w:sz w:val="22"/>
        </w:rPr>
        <w:t xml:space="preserve"> = (p_1^</w:t>
      </w:r>
      <w:r>
        <w:rPr>
          <w:rFonts w:ascii="Times New Roman" w:hAnsi="Times New Roman" w:eastAsia="宋体"/>
          <w:b w:val="0"/>
          <w:i w:val="0"/>
          <w:sz w:val="22"/>
        </w:rPr>
        <w:t>, …, p_M^*)满足：</w:t>
      </w:r>
    </w:p>
    <w:p>
      <w:pPr>
        <w:spacing w:before="80" w:after="80"/>
        <w:jc w:val="center"/>
      </w:pPr>
      <m:oMathPara>
        <m:oMath>
          <m:sSub>
            <m:e>
              <m:r>
                <m:t>π</m:t>
              </m:r>
            </m:e>
            <m:sub>
              <m:r>
                <m:t>j</m:t>
              </m:r>
            </m:sub>
          </m:sSub>
          <m:r>
            <m:t>(</m:t>
          </m:r>
          <m:sSubSup>
            <m:e>
              <m:r>
                <m:t>p</m:t>
              </m:r>
            </m:e>
            <m:sub>
              <m:r>
                <m:t>j</m:t>
              </m:r>
            </m:sub>
            <m:sup>
              <m:r>
                <m:t>*</m:t>
              </m:r>
            </m:sup>
          </m:sSubSup>
          <m:r>
            <m:t>,</m:t>
          </m:r>
          <m:sSubSup>
            <m:e>
              <m:r>
                <m:t>p</m:t>
              </m:r>
            </m:e>
            <m:sub>
              <m:r>
                <m:t>−j</m:t>
              </m:r>
            </m:sub>
            <m:sup>
              <m:r>
                <m:t>*</m:t>
              </m:r>
            </m:sup>
          </m:sSubSup>
          <m:r>
            <m:t>)≥</m:t>
          </m:r>
          <m:sSub>
            <m:e>
              <m:r>
                <m:t>π</m:t>
              </m:r>
            </m:e>
            <m:sub>
              <m:r>
                <m:t>j</m:t>
              </m:r>
            </m:sub>
          </m:sSub>
          <m:r>
            <m:t>(</m:t>
          </m:r>
          <m:sSub>
            <m:e>
              <m:r>
                <m:t>p</m:t>
              </m:r>
            </m:e>
            <m:sub>
              <m:r>
                <m:t>j</m:t>
              </m:r>
            </m:sub>
          </m:sSub>
          <m:r>
            <m:t>,</m:t>
          </m:r>
          <m:sSubSup>
            <m:e>
              <m:r>
                <m:t>p</m:t>
              </m:r>
            </m:e>
            <m:sub>
              <m:r>
                <m:t>−j</m:t>
              </m:r>
            </m:sub>
            <m:sup>
              <m:r>
                <m:t>*</m:t>
              </m:r>
            </m:sup>
          </m:sSubSup>
          <m:r>
            <m:t>),</m:t>
          </m:r>
          <m:r>
            <m:t>∀</m:t>
          </m:r>
          <m:sSub>
            <m:e>
              <m:r>
                <m:t>p</m:t>
              </m:r>
            </m:e>
            <m:sub>
              <m:r>
                <m:t>j</m:t>
              </m:r>
            </m:sub>
          </m:sSub>
          <m:r>
            <m:t>,∀j</m:t>
          </m:r>
        </m:oMath>
      </m:oMathPara>
    </w:p>
    <w:p>
      <w:pPr>
        <w:pStyle w:val="Heading3"/>
        <w:spacing w:before="160" w:after="60"/>
      </w:pPr>
      <w:r>
        <w:rPr>
          <w:rFonts w:ascii="Times New Roman" w:hAnsi="Times New Roman" w:eastAsia="黑体"/>
          <w:b/>
          <w:i w:val="0"/>
          <w:sz w:val="24"/>
        </w:rPr>
        <w:t>6.4.2 Stackelberg均衡</w:t>
      </w:r>
    </w:p>
    <w:p>
      <w:pPr>
        <w:spacing w:line="360" w:lineRule="auto" w:after="0"/>
        <w:ind w:firstLine="425"/>
      </w:pPr>
      <w:r>
        <w:rPr>
          <w:rFonts w:ascii="Times New Roman" w:hAnsi="Times New Roman" w:eastAsia="宋体"/>
          <w:b w:val="0"/>
          <w:i w:val="0"/>
          <w:sz w:val="22"/>
        </w:rPr>
        <w:t>Stackelberg均衡是动态博弈的解概念。在Stackelberg均衡下，领导者的策略是通过考虑跟随者最优响应后的最优选择，跟随者的策略是对领导者策略的最优响应。</w:t>
      </w:r>
    </w:p>
    <w:p>
      <w:pPr>
        <w:pStyle w:val="Heading3"/>
        <w:spacing w:before="160" w:after="60"/>
      </w:pPr>
      <w:r>
        <w:rPr>
          <w:rFonts w:ascii="Times New Roman" w:hAnsi="Times New Roman" w:eastAsia="黑体"/>
          <w:b/>
          <w:i w:val="0"/>
          <w:sz w:val="24"/>
        </w:rPr>
        <w:t>6.4.3 均衡求解算法</w:t>
      </w:r>
    </w:p>
    <w:p>
      <w:pPr>
        <w:spacing w:line="360" w:lineRule="auto" w:after="0"/>
        <w:ind w:firstLine="425"/>
      </w:pPr>
      <w:r>
        <w:rPr>
          <w:rFonts w:ascii="Times New Roman" w:hAnsi="Times New Roman" w:eastAsia="宋体"/>
          <w:b/>
          <w:i w:val="0"/>
          <w:sz w:val="22"/>
        </w:rPr>
        <w:t>迭代最佳响应算法</w:t>
      </w:r>
      <w:r>
        <w:rPr>
          <w:rFonts w:ascii="Times New Roman" w:hAnsi="Times New Roman" w:eastAsia="宋体"/>
          <w:b w:val="0"/>
          <w:i w:val="0"/>
          <w:sz w:val="22"/>
        </w:rPr>
        <w:t>：每个参与者轮流更新自己的策略为对其他参与者当前策略的最佳响应，直到收敛。</w:t>
      </w:r>
    </w:p>
    <w:p>
      <w:pPr>
        <w:spacing w:line="360" w:lineRule="auto" w:after="0"/>
        <w:ind w:firstLine="425"/>
      </w:pPr>
      <w:r>
        <w:rPr>
          <w:rFonts w:ascii="Times New Roman" w:hAnsi="Times New Roman" w:eastAsia="宋体"/>
          <w:b/>
          <w:i w:val="0"/>
          <w:sz w:val="22"/>
        </w:rPr>
        <w:t>分布式算法</w:t>
      </w:r>
      <w:r>
        <w:rPr>
          <w:rFonts w:ascii="Times New Roman" w:hAnsi="Times New Roman" w:eastAsia="宋体"/>
          <w:b w:val="0"/>
          <w:i w:val="0"/>
          <w:sz w:val="22"/>
        </w:rPr>
        <w:t>：代等（2014, 2017）设计了分布式算法求解Stackelberg均衡</w:t>
      </w:r>
      <w:r>
        <w:rPr>
          <w:rFonts w:ascii="Times New Roman" w:hAnsi="Times New Roman" w:eastAsia="Times New Roman"/>
          <w:b w:val="0"/>
          <w:i w:val="0"/>
          <w:sz w:val="18"/>
          <w:vertAlign w:val="superscript"/>
        </w:rPr>
        <w:t>[1]</w:t>
      </w:r>
      <w:r>
        <w:rPr>
          <w:rFonts w:ascii="Times New Roman" w:hAnsi="Times New Roman" w:eastAsia="Times New Roman"/>
          <w:b w:val="0"/>
          <w:i w:val="0"/>
          <w:sz w:val="18"/>
          <w:vertAlign w:val="superscript"/>
        </w:rPr>
        <w:t>[4]</w:t>
      </w:r>
      <w:r>
        <w:rPr>
          <w:rFonts w:ascii="Times New Roman" w:hAnsi="Times New Roman" w:eastAsia="宋体"/>
          <w:b w:val="0"/>
          <w:i w:val="0"/>
          <w:sz w:val="22"/>
        </w:rPr>
        <w:t>。算法中每个参与者仅需局部信息，通过信息交换逐步收敛到均衡。这种分布式实现方式具有良好的可扩展性和隐私保护特性。</w:t>
      </w:r>
    </w:p>
    <w:p>
      <w:pPr>
        <w:spacing w:line="360" w:lineRule="auto" w:after="0"/>
        <w:ind w:firstLine="425"/>
      </w:pPr>
      <w:r>
        <w:rPr>
          <w:rFonts w:ascii="Times New Roman" w:hAnsi="Times New Roman" w:eastAsia="宋体"/>
          <w:b/>
          <w:i w:val="0"/>
          <w:sz w:val="22"/>
        </w:rPr>
        <w:t>强化学习方法</w:t>
      </w:r>
      <w:r>
        <w:rPr>
          <w:rFonts w:ascii="Times New Roman" w:hAnsi="Times New Roman" w:eastAsia="宋体"/>
          <w:b w:val="0"/>
          <w:i w:val="0"/>
          <w:sz w:val="22"/>
        </w:rPr>
        <w:t>：近年来的研究开始使用多Agent强化学习来求解博弈均衡，特别是在信息不完全和动态环境下的均衡求解。</w:t>
      </w:r>
    </w:p>
    <w:p>
      <w:pPr>
        <w:pStyle w:val="Heading2"/>
        <w:spacing w:before="240" w:after="80"/>
      </w:pPr>
      <w:r>
        <w:rPr>
          <w:rFonts w:ascii="Times New Roman" w:hAnsi="Times New Roman" w:eastAsia="黑体"/>
          <w:b/>
          <w:i w:val="0"/>
          <w:sz w:val="28"/>
        </w:rPr>
        <w:t>6.5 消费者激励因素与博弈</w:t>
      </w:r>
    </w:p>
    <w:p>
      <w:pPr>
        <w:pStyle w:val="Heading3"/>
        <w:spacing w:before="160" w:after="60"/>
      </w:pPr>
      <w:r>
        <w:rPr>
          <w:rFonts w:ascii="Times New Roman" w:hAnsi="Times New Roman" w:eastAsia="黑体"/>
          <w:b/>
          <w:i w:val="0"/>
          <w:sz w:val="24"/>
        </w:rPr>
        <w:t>6.5.1 激励机制设计</w:t>
      </w:r>
    </w:p>
    <w:p>
      <w:pPr>
        <w:spacing w:line="360" w:lineRule="auto" w:after="0"/>
        <w:ind w:firstLine="425"/>
      </w:pPr>
      <w:r>
        <w:rPr>
          <w:rFonts w:ascii="Times New Roman" w:hAnsi="Times New Roman" w:eastAsia="宋体"/>
          <w:b w:val="0"/>
          <w:i w:val="0"/>
          <w:sz w:val="22"/>
        </w:rPr>
        <w:t>代等（2017）的研究揭示了消费者激励因素对博弈均衡的重要影响</w:t>
      </w:r>
      <w:r>
        <w:rPr>
          <w:rFonts w:ascii="Times New Roman" w:hAnsi="Times New Roman" w:eastAsia="Times New Roman"/>
          <w:b w:val="0"/>
          <w:i w:val="0"/>
          <w:sz w:val="18"/>
          <w:vertAlign w:val="superscript"/>
        </w:rPr>
        <w:t>[4]</w:t>
      </w:r>
      <w:r>
        <w:rPr>
          <w:rFonts w:ascii="Times New Roman" w:hAnsi="Times New Roman" w:eastAsia="宋体"/>
          <w:b w:val="0"/>
          <w:i w:val="0"/>
          <w:sz w:val="22"/>
        </w:rPr>
        <w:t>。合理的激励机制设计需要考虑：</w:t>
      </w:r>
    </w:p>
    <w:p>
      <w:pPr>
        <w:pStyle w:val="ListBullet"/>
        <w:spacing w:line="360" w:lineRule="auto" w:after="0"/>
      </w:pPr>
      <w:r>
        <w:rPr>
          <w:rFonts w:ascii="Times New Roman" w:hAnsi="Times New Roman" w:eastAsia="宋体"/>
          <w:b/>
          <w:i w:val="0"/>
          <w:sz w:val="22"/>
        </w:rPr>
        <w:t>激励强度</w:t>
      </w:r>
      <w:r>
        <w:rPr>
          <w:rFonts w:ascii="Times New Roman" w:hAnsi="Times New Roman" w:eastAsia="宋体"/>
          <w:b w:val="0"/>
          <w:i w:val="0"/>
          <w:sz w:val="22"/>
        </w:rPr>
        <w:t>：过强的激励可能侵蚀零售商利润，过弱的激励无法有效吸引用户</w:t>
      </w:r>
    </w:p>
    <w:p>
      <w:pPr>
        <w:pStyle w:val="ListBullet"/>
        <w:spacing w:line="360" w:lineRule="auto" w:after="0"/>
      </w:pPr>
      <w:r>
        <w:rPr>
          <w:rFonts w:ascii="Times New Roman" w:hAnsi="Times New Roman" w:eastAsia="宋体"/>
          <w:b/>
          <w:i w:val="0"/>
          <w:sz w:val="22"/>
        </w:rPr>
        <w:t>激励方式</w:t>
      </w:r>
      <w:r>
        <w:rPr>
          <w:rFonts w:ascii="Times New Roman" w:hAnsi="Times New Roman" w:eastAsia="宋体"/>
          <w:b w:val="0"/>
          <w:i w:val="0"/>
          <w:sz w:val="22"/>
        </w:rPr>
        <w:t>：直接补贴、积分奖励、服务增值等不同方式的效果差异</w:t>
      </w:r>
    </w:p>
    <w:p>
      <w:pPr>
        <w:pStyle w:val="ListBullet"/>
        <w:spacing w:line="360" w:lineRule="auto" w:after="0"/>
      </w:pPr>
      <w:r>
        <w:rPr>
          <w:rFonts w:ascii="Times New Roman" w:hAnsi="Times New Roman" w:eastAsia="宋体"/>
          <w:b/>
          <w:i w:val="0"/>
          <w:sz w:val="22"/>
        </w:rPr>
        <w:t>动态调整</w:t>
      </w:r>
      <w:r>
        <w:rPr>
          <w:rFonts w:ascii="Times New Roman" w:hAnsi="Times New Roman" w:eastAsia="宋体"/>
          <w:b w:val="0"/>
          <w:i w:val="0"/>
          <w:sz w:val="22"/>
        </w:rPr>
        <w:t>：激励策略需要根据市场状态和竞争对手行为动态调整</w:t>
      </w:r>
    </w:p>
    <w:p>
      <w:pPr>
        <w:pStyle w:val="Heading3"/>
        <w:spacing w:before="160" w:after="60"/>
      </w:pPr>
      <w:r>
        <w:rPr>
          <w:rFonts w:ascii="Times New Roman" w:hAnsi="Times New Roman" w:eastAsia="黑体"/>
          <w:b/>
          <w:i w:val="0"/>
          <w:sz w:val="24"/>
        </w:rPr>
        <w:t>6.5.2 王_高（2019）的累积前景理论</w:t>
      </w:r>
    </w:p>
    <w:p>
      <w:pPr>
        <w:spacing w:line="360" w:lineRule="auto" w:after="0"/>
        <w:ind w:firstLine="425"/>
      </w:pPr>
      <w:r>
        <w:rPr>
          <w:rFonts w:ascii="Times New Roman" w:hAnsi="Times New Roman" w:eastAsia="宋体"/>
          <w:b w:val="0"/>
          <w:i w:val="0"/>
          <w:sz w:val="22"/>
        </w:rPr>
        <w:t>王和高（2019）将累积前景理论（Cumulative Prospect Theory, CPT）引入智能电网多零售商服务评价</w:t>
      </w:r>
      <w:r>
        <w:rPr>
          <w:rFonts w:ascii="Times New Roman" w:hAnsi="Times New Roman" w:eastAsia="Times New Roman"/>
          <w:b w:val="0"/>
          <w:i w:val="0"/>
          <w:sz w:val="18"/>
          <w:vertAlign w:val="superscript"/>
        </w:rPr>
        <w:t>[7]</w:t>
      </w:r>
      <w:r>
        <w:rPr>
          <w:rFonts w:ascii="Times New Roman" w:hAnsi="Times New Roman" w:eastAsia="宋体"/>
          <w:b w:val="0"/>
          <w:i w:val="0"/>
          <w:sz w:val="22"/>
        </w:rPr>
        <w:t>。CPT放宽了传统期望效用理论的全理性假设，考虑了用户对收益和损失的不对称态度（损失厌恶）。</w:t>
      </w:r>
    </w:p>
    <w:p>
      <w:pPr>
        <w:spacing w:line="360" w:lineRule="auto" w:after="0"/>
        <w:ind w:firstLine="425"/>
      </w:pPr>
      <w:r>
        <w:rPr>
          <w:rFonts w:ascii="Times New Roman" w:hAnsi="Times New Roman" w:eastAsia="宋体"/>
          <w:b w:val="0"/>
          <w:i w:val="0"/>
          <w:sz w:val="22"/>
        </w:rPr>
        <w:t>研究表明，考虑CPT后：</w:t>
      </w:r>
    </w:p>
    <w:p>
      <w:pPr>
        <w:pStyle w:val="ListBullet"/>
        <w:spacing w:line="360" w:lineRule="auto" w:after="0"/>
      </w:pPr>
      <w:r>
        <w:rPr>
          <w:rFonts w:ascii="Times New Roman" w:hAnsi="Times New Roman" w:eastAsia="宋体"/>
          <w:b w:val="0"/>
          <w:i w:val="0"/>
          <w:sz w:val="22"/>
        </w:rPr>
        <w:t>用户对电价上涨比电价下降更敏感</w:t>
      </w:r>
    </w:p>
    <w:p>
      <w:pPr>
        <w:pStyle w:val="ListBullet"/>
        <w:spacing w:line="360" w:lineRule="auto" w:after="0"/>
      </w:pPr>
      <w:r>
        <w:rPr>
          <w:rFonts w:ascii="Times New Roman" w:hAnsi="Times New Roman" w:eastAsia="宋体"/>
          <w:b w:val="0"/>
          <w:i w:val="0"/>
          <w:sz w:val="22"/>
        </w:rPr>
        <w:t>均衡价格低于传统模型预测</w:t>
      </w:r>
    </w:p>
    <w:p>
      <w:pPr>
        <w:pStyle w:val="ListBullet"/>
        <w:spacing w:line="360" w:lineRule="auto" w:after="0"/>
      </w:pPr>
      <w:r>
        <w:rPr>
          <w:rFonts w:ascii="Times New Roman" w:hAnsi="Times New Roman" w:eastAsia="宋体"/>
          <w:b w:val="0"/>
          <w:i w:val="0"/>
          <w:sz w:val="22"/>
        </w:rPr>
        <w:t>社会福利受到用户心理因素的影响</w:t>
      </w:r>
    </w:p>
    <w:p>
      <w:pPr>
        <w:pStyle w:val="Heading3"/>
        <w:spacing w:before="160" w:after="60"/>
      </w:pPr>
      <w:r>
        <w:rPr>
          <w:rFonts w:ascii="Times New Roman" w:hAnsi="Times New Roman" w:eastAsia="黑体"/>
          <w:b/>
          <w:i w:val="0"/>
          <w:sz w:val="24"/>
        </w:rPr>
        <w:t>6.5.3 李陆和代业明（2019）的广告博弈</w:t>
      </w:r>
    </w:p>
    <w:p>
      <w:pPr>
        <w:spacing w:line="360" w:lineRule="auto" w:after="0"/>
        <w:ind w:firstLine="425"/>
      </w:pPr>
      <w:r>
        <w:rPr>
          <w:rFonts w:ascii="Times New Roman" w:hAnsi="Times New Roman" w:eastAsia="宋体"/>
          <w:b w:val="0"/>
          <w:i w:val="0"/>
          <w:sz w:val="22"/>
        </w:rPr>
        <w:t>李陆和代业明（2019）将广告微分博弈引入智能电网系统</w:t>
      </w:r>
      <w:r>
        <w:rPr>
          <w:rFonts w:ascii="Times New Roman" w:hAnsi="Times New Roman" w:eastAsia="Times New Roman"/>
          <w:b w:val="0"/>
          <w:i w:val="0"/>
          <w:sz w:val="18"/>
          <w:vertAlign w:val="superscript"/>
        </w:rPr>
        <w:t>[8]</w:t>
      </w:r>
      <w:r>
        <w:rPr>
          <w:rFonts w:ascii="Times New Roman" w:hAnsi="Times New Roman" w:eastAsia="宋体"/>
          <w:b w:val="0"/>
          <w:i w:val="0"/>
          <w:sz w:val="22"/>
        </w:rPr>
        <w:t>，研究了供电商之间的广告竞争行为对实时定价的影响。该模型创新性地将营销行为纳入定价博弈框架，揭示了广告投入与定价策略的交互影响。</w:t>
      </w:r>
    </w:p>
    <w:p>
      <w:pPr>
        <w:pStyle w:val="Heading2"/>
        <w:spacing w:before="240" w:after="80"/>
      </w:pPr>
      <w:r>
        <w:rPr>
          <w:rFonts w:ascii="Times New Roman" w:hAnsi="Times New Roman" w:eastAsia="黑体"/>
          <w:b/>
          <w:i w:val="0"/>
          <w:sz w:val="28"/>
        </w:rPr>
        <w:t>6.6 区块链与博弈定价</w:t>
      </w:r>
    </w:p>
    <w:p>
      <w:pPr>
        <w:pStyle w:val="Heading3"/>
        <w:spacing w:before="160" w:after="60"/>
      </w:pPr>
      <w:r>
        <w:rPr>
          <w:rFonts w:ascii="Times New Roman" w:hAnsi="Times New Roman" w:eastAsia="黑体"/>
          <w:b/>
          <w:i w:val="0"/>
          <w:sz w:val="24"/>
        </w:rPr>
        <w:t>6.6.1 区块链在电力市场中的作用</w:t>
      </w:r>
    </w:p>
    <w:p>
      <w:pPr>
        <w:spacing w:line="360" w:lineRule="auto" w:after="0"/>
        <w:ind w:firstLine="425"/>
      </w:pPr>
      <w:r>
        <w:rPr>
          <w:rFonts w:ascii="Times New Roman" w:hAnsi="Times New Roman" w:eastAsia="宋体"/>
          <w:b w:val="0"/>
          <w:i w:val="0"/>
          <w:sz w:val="22"/>
        </w:rPr>
        <w:t>区块链技术为电力市场提供了去中心化、透明和可追溯的交易基础设施。在实时定价中，区块链可以用于：</w:t>
      </w:r>
    </w:p>
    <w:p>
      <w:pPr>
        <w:pStyle w:val="ListBullet"/>
        <w:spacing w:line="360" w:lineRule="auto" w:after="0"/>
      </w:pPr>
      <w:r>
        <w:rPr>
          <w:rFonts w:ascii="Times New Roman" w:hAnsi="Times New Roman" w:eastAsia="宋体"/>
          <w:b/>
          <w:i w:val="0"/>
          <w:sz w:val="22"/>
        </w:rPr>
        <w:t>交易记录</w:t>
      </w:r>
      <w:r>
        <w:rPr>
          <w:rFonts w:ascii="Times New Roman" w:hAnsi="Times New Roman" w:eastAsia="宋体"/>
          <w:b w:val="0"/>
          <w:i w:val="0"/>
          <w:sz w:val="22"/>
        </w:rPr>
        <w:t>：记录所有电力交易和价格信息</w:t>
      </w:r>
    </w:p>
    <w:p>
      <w:pPr>
        <w:pStyle w:val="ListBullet"/>
        <w:spacing w:line="360" w:lineRule="auto" w:after="0"/>
      </w:pPr>
      <w:r>
        <w:rPr>
          <w:rFonts w:ascii="Times New Roman" w:hAnsi="Times New Roman" w:eastAsia="宋体"/>
          <w:b/>
          <w:i w:val="0"/>
          <w:sz w:val="22"/>
        </w:rPr>
        <w:t>智能合约</w:t>
      </w:r>
      <w:r>
        <w:rPr>
          <w:rFonts w:ascii="Times New Roman" w:hAnsi="Times New Roman" w:eastAsia="宋体"/>
          <w:b w:val="0"/>
          <w:i w:val="0"/>
          <w:sz w:val="22"/>
        </w:rPr>
        <w:t>：自动执行定价和结算逻辑</w:t>
      </w:r>
    </w:p>
    <w:p>
      <w:pPr>
        <w:pStyle w:val="ListBullet"/>
        <w:spacing w:line="360" w:lineRule="auto" w:after="0"/>
      </w:pPr>
      <w:r>
        <w:rPr>
          <w:rFonts w:ascii="Times New Roman" w:hAnsi="Times New Roman" w:eastAsia="宋体"/>
          <w:b/>
          <w:i w:val="0"/>
          <w:sz w:val="22"/>
        </w:rPr>
        <w:t>信任建立</w:t>
      </w:r>
      <w:r>
        <w:rPr>
          <w:rFonts w:ascii="Times New Roman" w:hAnsi="Times New Roman" w:eastAsia="宋体"/>
          <w:b w:val="0"/>
          <w:i w:val="0"/>
          <w:sz w:val="22"/>
        </w:rPr>
        <w:t>：在多零售商竞争环境下建立信任机制</w:t>
      </w:r>
    </w:p>
    <w:p>
      <w:pPr>
        <w:pStyle w:val="Heading3"/>
        <w:spacing w:before="160" w:after="60"/>
      </w:pPr>
      <w:r>
        <w:rPr>
          <w:rFonts w:ascii="Times New Roman" w:hAnsi="Times New Roman" w:eastAsia="黑体"/>
          <w:b/>
          <w:i w:val="0"/>
          <w:sz w:val="24"/>
        </w:rPr>
        <w:t>6.6.2 张等（2020）的联盟区块链</w:t>
      </w:r>
    </w:p>
    <w:p>
      <w:pPr>
        <w:spacing w:line="360" w:lineRule="auto" w:after="0"/>
        <w:ind w:firstLine="425"/>
      </w:pPr>
      <w:r>
        <w:rPr>
          <w:rFonts w:ascii="Times New Roman" w:hAnsi="Times New Roman" w:eastAsia="宋体"/>
          <w:b w:val="0"/>
          <w:i w:val="0"/>
          <w:sz w:val="22"/>
        </w:rPr>
        <w:t>张等（2020）研究了基于联盟区块链的供应链信息协同博弈</w:t>
      </w:r>
      <w:r>
        <w:rPr>
          <w:rFonts w:ascii="Times New Roman" w:hAnsi="Times New Roman" w:eastAsia="Times New Roman"/>
          <w:b w:val="0"/>
          <w:i w:val="0"/>
          <w:sz w:val="18"/>
          <w:vertAlign w:val="superscript"/>
        </w:rPr>
        <w:t>[9]</w:t>
      </w:r>
      <w:r>
        <w:rPr>
          <w:rFonts w:ascii="Times New Roman" w:hAnsi="Times New Roman" w:eastAsia="宋体"/>
          <w:b w:val="0"/>
          <w:i w:val="0"/>
          <w:sz w:val="22"/>
        </w:rPr>
        <w:t>，将区块链技术引入多参与者博弈框架。联盟区块链的特点是：</w:t>
      </w:r>
    </w:p>
    <w:p>
      <w:pPr>
        <w:pStyle w:val="ListBullet"/>
        <w:spacing w:line="360" w:lineRule="auto" w:after="0"/>
      </w:pPr>
      <w:r>
        <w:rPr>
          <w:rFonts w:ascii="Times New Roman" w:hAnsi="Times New Roman" w:eastAsia="宋体"/>
          <w:b w:val="0"/>
          <w:i w:val="0"/>
          <w:sz w:val="22"/>
        </w:rPr>
        <w:t>参与者需要授权才能加入</w:t>
      </w:r>
    </w:p>
    <w:p>
      <w:pPr>
        <w:pStyle w:val="ListBullet"/>
        <w:spacing w:line="360" w:lineRule="auto" w:after="0"/>
      </w:pPr>
      <w:r>
        <w:rPr>
          <w:rFonts w:ascii="Times New Roman" w:hAnsi="Times New Roman" w:eastAsia="宋体"/>
          <w:b w:val="0"/>
          <w:i w:val="0"/>
          <w:sz w:val="22"/>
        </w:rPr>
        <w:t>交易效率高于公有链</w:t>
      </w:r>
    </w:p>
    <w:p>
      <w:pPr>
        <w:pStyle w:val="ListBullet"/>
        <w:spacing w:line="360" w:lineRule="auto" w:after="0"/>
      </w:pPr>
      <w:r>
        <w:rPr>
          <w:rFonts w:ascii="Times New Roman" w:hAnsi="Times New Roman" w:eastAsia="宋体"/>
          <w:b w:val="0"/>
          <w:i w:val="0"/>
          <w:sz w:val="22"/>
        </w:rPr>
        <w:t>适合电力市场等多方协作场景</w:t>
      </w:r>
    </w:p>
    <w:p>
      <w:pPr>
        <w:pStyle w:val="Heading3"/>
        <w:spacing w:before="160" w:after="60"/>
      </w:pPr>
      <w:r>
        <w:rPr>
          <w:rFonts w:ascii="Times New Roman" w:hAnsi="Times New Roman" w:eastAsia="黑体"/>
          <w:b/>
          <w:i w:val="0"/>
          <w:sz w:val="24"/>
        </w:rPr>
        <w:t>6.6.3 吴等（2021）的加密货币能源交易</w:t>
      </w:r>
    </w:p>
    <w:p>
      <w:pPr>
        <w:spacing w:line="360" w:lineRule="auto" w:after="0"/>
        <w:ind w:firstLine="425"/>
      </w:pPr>
      <w:r>
        <w:rPr>
          <w:rFonts w:ascii="Times New Roman" w:hAnsi="Times New Roman" w:eastAsia="宋体"/>
          <w:b w:val="0"/>
          <w:i w:val="0"/>
          <w:sz w:val="22"/>
        </w:rPr>
        <w:t>吴等（2021）研究了加密货币能源交易平台的实时竞价模型</w:t>
      </w:r>
      <w:r>
        <w:rPr>
          <w:rFonts w:ascii="Times New Roman" w:hAnsi="Times New Roman" w:eastAsia="Times New Roman"/>
          <w:b w:val="0"/>
          <w:i w:val="0"/>
          <w:sz w:val="18"/>
          <w:vertAlign w:val="superscript"/>
        </w:rPr>
        <w:t>[10]</w:t>
      </w:r>
      <w:r>
        <w:rPr>
          <w:rFonts w:ascii="Times New Roman" w:hAnsi="Times New Roman" w:eastAsia="宋体"/>
          <w:b w:val="0"/>
          <w:i w:val="0"/>
          <w:sz w:val="22"/>
        </w:rPr>
        <w:t>。该模型将区块链和加密货币机制引入电力交易，创建了新的市场范式：</w:t>
      </w:r>
    </w:p>
    <w:p>
      <w:pPr>
        <w:pStyle w:val="ListBullet"/>
        <w:spacing w:line="360" w:lineRule="auto" w:after="0"/>
      </w:pPr>
      <w:r>
        <w:rPr>
          <w:rFonts w:ascii="Times New Roman" w:hAnsi="Times New Roman" w:eastAsia="宋体"/>
          <w:b w:val="0"/>
          <w:i w:val="0"/>
          <w:sz w:val="22"/>
        </w:rPr>
        <w:t>用户通过挖矿参与电力交易</w:t>
      </w:r>
    </w:p>
    <w:p>
      <w:pPr>
        <w:pStyle w:val="ListBullet"/>
        <w:spacing w:line="360" w:lineRule="auto" w:after="0"/>
      </w:pPr>
      <w:r>
        <w:rPr>
          <w:rFonts w:ascii="Times New Roman" w:hAnsi="Times New Roman" w:eastAsia="宋体"/>
          <w:b w:val="0"/>
          <w:i w:val="0"/>
          <w:sz w:val="22"/>
        </w:rPr>
        <w:t>加密货币作为交易媒介</w:t>
      </w:r>
    </w:p>
    <w:p>
      <w:pPr>
        <w:pStyle w:val="ListBullet"/>
        <w:spacing w:line="360" w:lineRule="auto" w:after="0"/>
      </w:pPr>
      <w:r>
        <w:rPr>
          <w:rFonts w:ascii="Times New Roman" w:hAnsi="Times New Roman" w:eastAsia="宋体"/>
          <w:b w:val="0"/>
          <w:i w:val="0"/>
          <w:sz w:val="22"/>
        </w:rPr>
        <w:t>实时定价通过竞价机制实现</w:t>
      </w:r>
    </w:p>
    <w:p>
      <w:pPr>
        <w:pStyle w:val="Heading3"/>
        <w:spacing w:before="160" w:after="60"/>
      </w:pPr>
      <w:r>
        <w:rPr>
          <w:rFonts w:ascii="Times New Roman" w:hAnsi="Times New Roman" w:eastAsia="黑体"/>
          <w:b/>
          <w:i w:val="0"/>
          <w:sz w:val="24"/>
        </w:rPr>
        <w:t>6.6.4 Dai2018和李2021的区块链激励</w:t>
      </w:r>
    </w:p>
    <w:p>
      <w:pPr>
        <w:spacing w:line="360" w:lineRule="auto" w:after="0"/>
        <w:ind w:firstLine="425"/>
      </w:pPr>
      <w:r>
        <w:rPr>
          <w:rFonts w:ascii="Times New Roman" w:hAnsi="Times New Roman" w:eastAsia="宋体"/>
          <w:b w:val="0"/>
          <w:i w:val="0"/>
          <w:sz w:val="22"/>
        </w:rPr>
        <w:t>在知识库中保存的复现代码显示，Dai2018和李2021的区块链激励模型也被纳入了研究框架。这些模型将区块链的激励机制与电力市场定价相结合，探索了去中心化定价的新方向。</w:t>
      </w:r>
    </w:p>
    <w:p>
      <w:pPr>
        <w:pStyle w:val="Heading2"/>
        <w:spacing w:before="240" w:after="80"/>
      </w:pPr>
      <w:r>
        <w:rPr>
          <w:rFonts w:ascii="Times New Roman" w:hAnsi="Times New Roman" w:eastAsia="黑体"/>
          <w:b/>
          <w:i w:val="0"/>
          <w:sz w:val="28"/>
        </w:rPr>
        <w:t>本章小结</w:t>
      </w:r>
    </w:p>
    <w:p>
      <w:pPr>
        <w:spacing w:line="360" w:lineRule="auto" w:after="0"/>
        <w:ind w:firstLine="425"/>
      </w:pPr>
      <w:r>
        <w:rPr>
          <w:rFonts w:ascii="Times New Roman" w:hAnsi="Times New Roman" w:eastAsia="宋体"/>
          <w:b w:val="0"/>
          <w:i w:val="0"/>
          <w:sz w:val="22"/>
        </w:rPr>
        <w:t>博弈论与多Agent定价方法是智能电网实时定价研究的重要方向。Stackelberg博弈模型为分析多零售商竞争场景提供了有力工具，代业明和高岩的开创性工作奠定了这一方向的基础。消费者激励因素、行为经济学（累积前景理论）和区块链技术等前沿方向的引入，丰富了博弈定价的理论框架。均衡的存在性、唯一性和求解算法是这一方向的核心技术问题，分布式算法和强化学习方法为大规模场景下的均衡求解提供了实用工具。</w:t>
      </w:r>
    </w:p>
    <w:p>
      <w:pPr>
        <w:pStyle w:val="Heading2"/>
        <w:spacing w:before="240" w:after="80"/>
      </w:pPr>
      <w:r>
        <w:rPr>
          <w:rFonts w:ascii="Times New Roman" w:hAnsi="Times New Roman" w:eastAsia="黑体"/>
          <w:b/>
          <w:i w:val="0"/>
          <w:sz w:val="28"/>
        </w:rPr>
        <w:t>6.7 国际比较与经验借鉴</w:t>
      </w:r>
    </w:p>
    <w:p>
      <w:pPr>
        <w:pStyle w:val="Heading3"/>
        <w:spacing w:before="160" w:after="60"/>
      </w:pPr>
      <w:r>
        <w:rPr>
          <w:rFonts w:ascii="Times New Roman" w:hAnsi="Times New Roman" w:eastAsia="黑体"/>
          <w:b/>
          <w:i w:val="0"/>
          <w:sz w:val="24"/>
        </w:rPr>
        <w:t>国际博弈论定价研究</w:t>
      </w:r>
    </w:p>
    <w:p>
      <w:pPr>
        <w:spacing w:line="360" w:lineRule="auto" w:after="0"/>
        <w:ind w:firstLine="425"/>
      </w:pPr>
      <w:r>
        <w:rPr>
          <w:rFonts w:ascii="Times New Roman" w:hAnsi="Times New Roman" w:eastAsia="宋体"/>
          <w:b w:val="0"/>
          <w:i w:val="0"/>
          <w:sz w:val="22"/>
        </w:rPr>
        <w:t>国际学术界在博弈论应用于智能电网定价方面有丰富成果：</w:t>
      </w:r>
    </w:p>
    <w:p>
      <w:pPr>
        <w:spacing w:line="360" w:lineRule="auto" w:after="0"/>
        <w:ind w:firstLine="425"/>
      </w:pPr>
      <w:r>
        <w:rPr>
          <w:rFonts w:ascii="Times New Roman" w:hAnsi="Times New Roman" w:eastAsia="宋体"/>
          <w:b/>
          <w:i w:val="0"/>
          <w:sz w:val="22"/>
        </w:rPr>
        <w:t>Stackelberg博弈方向</w:t>
      </w:r>
      <w:r>
        <w:rPr>
          <w:rFonts w:ascii="Times New Roman" w:hAnsi="Times New Roman" w:eastAsia="宋体"/>
          <w:b w:val="0"/>
          <w:i w:val="0"/>
          <w:sz w:val="22"/>
        </w:rPr>
        <w:t>：Alshehri（2015）研究了多时段需求响应管理的Stackelberg博弈方法，证明了均衡的存在性和唯一性。Meng和Zeng（2014）提出了基于Stackelberg博弈和遗传算法的需求侧管理最优实时定价方法。Cheng等（2024）基于Stackelberg博弈推导了智能电网最优定价公式。</w:t>
      </w:r>
    </w:p>
    <w:p>
      <w:pPr>
        <w:spacing w:line="360" w:lineRule="auto" w:after="0"/>
        <w:ind w:firstLine="425"/>
      </w:pPr>
      <w:r>
        <w:rPr>
          <w:rFonts w:ascii="Times New Roman" w:hAnsi="Times New Roman" w:eastAsia="宋体"/>
          <w:b/>
          <w:i w:val="0"/>
          <w:sz w:val="22"/>
        </w:rPr>
        <w:t>纳什均衡方向</w:t>
      </w:r>
      <w:r>
        <w:rPr>
          <w:rFonts w:ascii="Times New Roman" w:hAnsi="Times New Roman" w:eastAsia="宋体"/>
          <w:b w:val="0"/>
          <w:i w:val="0"/>
          <w:sz w:val="22"/>
        </w:rPr>
        <w:t>：Bandyopadhyay等（2015）从博弈论角度分析了基于总需求的实时定价机制</w:t>
      </w:r>
      <w:r>
        <w:rPr>
          <w:rFonts w:ascii="Times New Roman" w:hAnsi="Times New Roman" w:eastAsia="Times New Roman"/>
          <w:b w:val="0"/>
          <w:i w:val="0"/>
          <w:sz w:val="18"/>
          <w:vertAlign w:val="superscript"/>
        </w:rPr>
        <w:t>[11]</w:t>
      </w:r>
      <w:r>
        <w:rPr>
          <w:rFonts w:ascii="Times New Roman" w:hAnsi="Times New Roman" w:eastAsia="宋体"/>
          <w:b w:val="0"/>
          <w:i w:val="0"/>
          <w:sz w:val="22"/>
        </w:rPr>
        <w:t>。Sen等（2021）研究了智能电网中的歧视性定价机制，考虑了多类型用户的差异化定价问题。</w:t>
      </w:r>
    </w:p>
    <w:p>
      <w:pPr>
        <w:spacing w:line="360" w:lineRule="auto" w:after="0"/>
        <w:ind w:firstLine="425"/>
      </w:pPr>
      <w:r>
        <w:rPr>
          <w:rFonts w:ascii="Times New Roman" w:hAnsi="Times New Roman" w:eastAsia="宋体"/>
          <w:b/>
          <w:i w:val="0"/>
          <w:sz w:val="22"/>
        </w:rPr>
        <w:t>合作博弈方向</w:t>
      </w:r>
      <w:r>
        <w:rPr>
          <w:rFonts w:ascii="Times New Roman" w:hAnsi="Times New Roman" w:eastAsia="宋体"/>
          <w:b w:val="0"/>
          <w:i w:val="0"/>
          <w:sz w:val="22"/>
        </w:rPr>
        <w:t>：Mendoza等（2021）研究了微电网中多零售商的需求侧管理合作博弈方法。合作博弈在效益分配方面具有优势，能够确保各参与方公平分享合作收益。</w:t>
      </w:r>
    </w:p>
    <w:p>
      <w:pPr>
        <w:spacing w:line="360" w:lineRule="auto" w:after="0"/>
        <w:ind w:firstLine="425"/>
      </w:pPr>
      <w:r>
        <w:rPr>
          <w:rFonts w:ascii="Times New Roman" w:hAnsi="Times New Roman" w:eastAsia="宋体"/>
          <w:b/>
          <w:i w:val="0"/>
          <w:sz w:val="22"/>
        </w:rPr>
        <w:t>势博弈方向</w:t>
      </w:r>
      <w:r>
        <w:rPr>
          <w:rFonts w:ascii="Times New Roman" w:hAnsi="Times New Roman" w:eastAsia="宋体"/>
          <w:b w:val="0"/>
          <w:i w:val="0"/>
          <w:sz w:val="22"/>
        </w:rPr>
        <w:t>：Yang等（2020）提出了基于势博弈和讨价还价理论的智能电网定价策略</w:t>
      </w:r>
      <w:r>
        <w:rPr>
          <w:rFonts w:ascii="Times New Roman" w:hAnsi="Times New Roman" w:eastAsia="Times New Roman"/>
          <w:b w:val="0"/>
          <w:i w:val="0"/>
          <w:sz w:val="18"/>
          <w:vertAlign w:val="superscript"/>
        </w:rPr>
        <w:t>[12]</w:t>
      </w:r>
      <w:r>
        <w:rPr>
          <w:rFonts w:ascii="Times New Roman" w:hAnsi="Times New Roman" w:eastAsia="宋体"/>
          <w:b w:val="0"/>
          <w:i w:val="0"/>
          <w:sz w:val="22"/>
        </w:rPr>
        <w:t>。势博弈的优势在于纳什均衡的存在性容易证明，且可以通过简单的更新规则收敛到均衡。</w:t>
      </w:r>
    </w:p>
    <w:p>
      <w:pPr>
        <w:pStyle w:val="Heading3"/>
        <w:spacing w:before="160" w:after="60"/>
      </w:pPr>
      <w:r>
        <w:rPr>
          <w:rFonts w:ascii="Times New Roman" w:hAnsi="Times New Roman" w:eastAsia="黑体"/>
          <w:b/>
          <w:i w:val="0"/>
          <w:sz w:val="24"/>
        </w:rPr>
        <w:t>程杉等（2019）的完全分布式Stackelberg博弈</w:t>
      </w:r>
    </w:p>
    <w:p>
      <w:pPr>
        <w:spacing w:line="360" w:lineRule="auto" w:after="0"/>
        <w:ind w:firstLine="425"/>
      </w:pPr>
      <w:r>
        <w:rPr>
          <w:rFonts w:ascii="Times New Roman" w:hAnsi="Times New Roman" w:eastAsia="宋体"/>
          <w:b w:val="0"/>
          <w:i w:val="0"/>
          <w:sz w:val="22"/>
        </w:rPr>
        <w:t>程杉和陈欢田（2019）提出了基于Stackelberg博弈的智能电网完全分布式需求响应策略。该方法的特点在于：</w:t>
      </w:r>
    </w:p>
    <w:p>
      <w:pPr>
        <w:pStyle w:val="ListBullet"/>
        <w:spacing w:line="360" w:lineRule="auto" w:after="0"/>
      </w:pPr>
      <w:r>
        <w:rPr>
          <w:rFonts w:ascii="Times New Roman" w:hAnsi="Times New Roman" w:eastAsia="宋体"/>
          <w:b w:val="0"/>
          <w:i w:val="0"/>
          <w:sz w:val="22"/>
        </w:rPr>
        <w:t>上层零售商为领导者，下层电力用户为跟随者</w:t>
      </w:r>
    </w:p>
    <w:p>
      <w:pPr>
        <w:pStyle w:val="ListBullet"/>
        <w:spacing w:line="360" w:lineRule="auto" w:after="0"/>
      </w:pPr>
      <w:r>
        <w:rPr>
          <w:rFonts w:ascii="Times New Roman" w:hAnsi="Times New Roman" w:eastAsia="宋体"/>
          <w:b w:val="0"/>
          <w:i w:val="0"/>
          <w:sz w:val="22"/>
        </w:rPr>
        <w:t>下层每个电力用户作为1个求解终端构成完全分布式求解</w:t>
      </w:r>
    </w:p>
    <w:p>
      <w:pPr>
        <w:pStyle w:val="ListBullet"/>
        <w:spacing w:line="360" w:lineRule="auto" w:after="0"/>
      </w:pPr>
      <w:r>
        <w:rPr>
          <w:rFonts w:ascii="Times New Roman" w:hAnsi="Times New Roman" w:eastAsia="宋体"/>
          <w:b w:val="0"/>
          <w:i w:val="0"/>
          <w:sz w:val="22"/>
        </w:rPr>
        <w:t>采用逆向归纳法简化求解模型，将双层多目标动态博弈问题转化为单目标优化问题</w:t>
      </w:r>
    </w:p>
    <w:p>
      <w:pPr>
        <w:pStyle w:val="ListBullet"/>
        <w:spacing w:line="360" w:lineRule="auto" w:after="0"/>
      </w:pPr>
      <w:r>
        <w:rPr>
          <w:rFonts w:ascii="Times New Roman" w:hAnsi="Times New Roman" w:eastAsia="宋体"/>
          <w:b w:val="0"/>
          <w:i w:val="0"/>
          <w:sz w:val="22"/>
        </w:rPr>
        <w:t>通过双方博弈进行负荷控制和实时定价</w:t>
      </w:r>
    </w:p>
    <w:p>
      <w:pPr>
        <w:spacing w:line="360" w:lineRule="auto" w:after="0"/>
        <w:ind w:firstLine="425"/>
      </w:pPr>
      <w:r>
        <w:rPr>
          <w:rFonts w:ascii="Times New Roman" w:hAnsi="Times New Roman" w:eastAsia="宋体"/>
          <w:b w:val="0"/>
          <w:i w:val="0"/>
          <w:sz w:val="22"/>
        </w:rPr>
        <w:t>完全分布式架构避免了集中式信息收集，具有更好的可扩展性和隐私保护特性。</w:t>
      </w:r>
    </w:p>
    <w:p>
      <w:pPr>
        <w:pStyle w:val="Heading3"/>
        <w:spacing w:before="160" w:after="60"/>
      </w:pPr>
      <w:r>
        <w:rPr>
          <w:rFonts w:ascii="Times New Roman" w:hAnsi="Times New Roman" w:eastAsia="黑体"/>
          <w:b/>
          <w:i w:val="0"/>
          <w:sz w:val="24"/>
        </w:rPr>
        <w:t>Dai和Gao（2015）的Leader-Follower博弈</w:t>
      </w:r>
    </w:p>
    <w:p>
      <w:pPr>
        <w:spacing w:line="360" w:lineRule="auto" w:after="0"/>
        <w:ind w:firstLine="425"/>
      </w:pPr>
      <w:r>
        <w:rPr>
          <w:rFonts w:ascii="Times New Roman" w:hAnsi="Times New Roman" w:eastAsia="宋体"/>
          <w:b w:val="0"/>
          <w:i w:val="0"/>
          <w:sz w:val="22"/>
        </w:rPr>
        <w:t>Dai和Gao（2015）在Journal of Systems Science and Information上发表了基于Leader-Follower博弈的智能电网实时定价决策研究。该研究的贡献在于：</w:t>
      </w:r>
    </w:p>
    <w:p>
      <w:pPr>
        <w:pStyle w:val="ListBullet"/>
        <w:spacing w:line="360" w:lineRule="auto" w:after="0"/>
      </w:pPr>
      <w:r>
        <w:rPr>
          <w:rFonts w:ascii="Times New Roman" w:hAnsi="Times New Roman" w:eastAsia="宋体"/>
          <w:b w:val="0"/>
          <w:i w:val="0"/>
          <w:sz w:val="22"/>
        </w:rPr>
        <w:t>首次将多类资源和多类用户同时纳入博弈框架</w:t>
      </w:r>
    </w:p>
    <w:p>
      <w:pPr>
        <w:pStyle w:val="ListBullet"/>
        <w:spacing w:line="360" w:lineRule="auto" w:after="0"/>
      </w:pPr>
      <w:r>
        <w:rPr>
          <w:rFonts w:ascii="Times New Roman" w:hAnsi="Times New Roman" w:eastAsia="宋体"/>
          <w:b w:val="0"/>
          <w:i w:val="0"/>
          <w:sz w:val="22"/>
        </w:rPr>
        <w:t>证明了Stackelberg均衡的存在性</w:t>
      </w:r>
    </w:p>
    <w:p>
      <w:pPr>
        <w:pStyle w:val="ListBullet"/>
        <w:spacing w:line="360" w:lineRule="auto" w:after="0"/>
      </w:pPr>
      <w:r>
        <w:rPr>
          <w:rFonts w:ascii="Times New Roman" w:hAnsi="Times New Roman" w:eastAsia="宋体"/>
          <w:b w:val="0"/>
          <w:i w:val="0"/>
          <w:sz w:val="22"/>
        </w:rPr>
        <w:t>设计了分布式迭代算法求解均衡</w:t>
      </w:r>
    </w:p>
    <w:p>
      <w:pPr>
        <w:pStyle w:val="ListBullet"/>
        <w:spacing w:line="360" w:lineRule="auto" w:after="0"/>
      </w:pPr>
      <w:r>
        <w:rPr>
          <w:rFonts w:ascii="Times New Roman" w:hAnsi="Times New Roman" w:eastAsia="宋体"/>
          <w:b w:val="0"/>
          <w:i w:val="0"/>
          <w:sz w:val="22"/>
        </w:rPr>
        <w:t>通过数值仿真验证了定价策略的合理性</w:t>
      </w:r>
    </w:p>
    <w:p>
      <w:pPr>
        <w:pStyle w:val="Heading2"/>
        <w:spacing w:before="240" w:after="80"/>
      </w:pPr>
      <w:r>
        <w:rPr>
          <w:rFonts w:ascii="Times New Roman" w:hAnsi="Times New Roman" w:eastAsia="黑体"/>
          <w:b/>
          <w:i w:val="0"/>
          <w:sz w:val="28"/>
        </w:rPr>
        <w:t>6.8 实践案例深度分析</w:t>
      </w:r>
    </w:p>
    <w:p>
      <w:pPr>
        <w:pStyle w:val="Heading3"/>
        <w:spacing w:before="160" w:after="60"/>
      </w:pPr>
      <w:r>
        <w:rPr>
          <w:rFonts w:ascii="Times New Roman" w:hAnsi="Times New Roman" w:eastAsia="黑体"/>
          <w:b/>
          <w:i w:val="0"/>
          <w:sz w:val="24"/>
        </w:rPr>
        <w:t>案例1：多零售商博弈的参数敏感性分析</w:t>
      </w:r>
    </w:p>
    <w:p>
      <w:pPr>
        <w:spacing w:line="360" w:lineRule="auto" w:after="0"/>
        <w:ind w:firstLine="425"/>
      </w:pPr>
      <w:r>
        <w:rPr>
          <w:rFonts w:ascii="Times New Roman" w:hAnsi="Times New Roman" w:eastAsia="宋体"/>
          <w:b w:val="0"/>
          <w:i w:val="0"/>
          <w:sz w:val="22"/>
        </w:rPr>
        <w:t>代业明和高岩（2014）的仿真实验中，研究团队对博弈参数的敏感性进行了深入分析</w:t>
      </w:r>
      <w:r>
        <w:rPr>
          <w:rFonts w:ascii="Times New Roman" w:hAnsi="Times New Roman" w:eastAsia="Times New Roman"/>
          <w:b w:val="0"/>
          <w:i w:val="0"/>
          <w:sz w:val="18"/>
          <w:vertAlign w:val="superscript"/>
        </w:rPr>
        <w:t>[1]</w:t>
      </w:r>
      <w:r>
        <w:rPr>
          <w:rFonts w:ascii="Times New Roman" w:hAnsi="Times New Roman" w:eastAsia="宋体"/>
          <w:b w:val="0"/>
          <w:i w:val="0"/>
          <w:sz w:val="22"/>
        </w:rPr>
        <w:t>：</w:t>
      </w:r>
    </w:p>
    <w:p>
      <w:pPr>
        <w:spacing w:line="360" w:lineRule="auto" w:after="0"/>
        <w:ind w:firstLine="425"/>
      </w:pPr>
      <w:r>
        <w:rPr>
          <w:rFonts w:ascii="Times New Roman" w:hAnsi="Times New Roman" w:eastAsia="宋体"/>
          <w:b/>
          <w:i w:val="0"/>
          <w:sz w:val="22"/>
        </w:rPr>
        <w:t>实验设置</w:t>
      </w:r>
      <w:r>
        <w:rPr>
          <w:rFonts w:ascii="Times New Roman" w:hAnsi="Times New Roman" w:eastAsia="宋体"/>
          <w:b w:val="0"/>
          <w:i w:val="0"/>
          <w:sz w:val="22"/>
        </w:rPr>
        <w:t>：3个零售商，100个用户，供电成本函数C_j(Q_j) = 0.1Q_j + 0.02Q_j^2。</w:t>
      </w:r>
    </w:p>
    <w:p>
      <w:pPr>
        <w:spacing w:line="360" w:lineRule="auto" w:after="0"/>
        <w:ind w:firstLine="425"/>
      </w:pPr>
      <w:r>
        <w:rPr>
          <w:rFonts w:ascii="Times New Roman" w:hAnsi="Times New Roman" w:eastAsia="宋体"/>
          <w:b/>
          <w:i w:val="0"/>
          <w:sz w:val="22"/>
        </w:rPr>
        <w:t>参数敏感性</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零售商数量从2增加到5时，均衡价格下降约15%-20%（竞争加剧）</w:t>
      </w:r>
    </w:p>
    <w:p>
      <w:pPr>
        <w:pStyle w:val="ListBullet"/>
        <w:spacing w:line="360" w:lineRule="auto" w:after="0"/>
      </w:pPr>
      <w:r>
        <w:rPr>
          <w:rFonts w:ascii="Times New Roman" w:hAnsi="Times New Roman" w:eastAsia="宋体"/>
          <w:b w:val="0"/>
          <w:i w:val="0"/>
          <w:sz w:val="22"/>
        </w:rPr>
        <w:t>用户数量从50增加到200时，均衡价格上升约5%-8%（需求增加）</w:t>
      </w:r>
    </w:p>
    <w:p>
      <w:pPr>
        <w:pStyle w:val="ListBullet"/>
        <w:spacing w:line="360" w:lineRule="auto" w:after="0"/>
      </w:pPr>
      <w:r>
        <w:rPr>
          <w:rFonts w:ascii="Times New Roman" w:hAnsi="Times New Roman" w:eastAsia="宋体"/>
          <w:b w:val="0"/>
          <w:i w:val="0"/>
          <w:sz w:val="22"/>
        </w:rPr>
        <w:t>供电成本参数b_j增加50%时，均衡价格上升约12%-15%</w:t>
      </w:r>
    </w:p>
    <w:p>
      <w:pPr>
        <w:pStyle w:val="ListBullet"/>
        <w:spacing w:line="360" w:lineRule="auto" w:after="0"/>
      </w:pPr>
      <w:r>
        <w:rPr>
          <w:rFonts w:ascii="Times New Roman" w:hAnsi="Times New Roman" w:eastAsia="宋体"/>
          <w:b w:val="0"/>
          <w:i w:val="0"/>
          <w:sz w:val="22"/>
        </w:rPr>
        <w:t>用户效用参数a_i增加20%时，均衡价格上升约8%-10%</w:t>
      </w:r>
    </w:p>
    <w:p>
      <w:pPr>
        <w:spacing w:line="360" w:lineRule="auto" w:after="0"/>
        <w:ind w:firstLine="425"/>
      </w:pPr>
      <w:r>
        <w:rPr>
          <w:rFonts w:ascii="Times New Roman" w:hAnsi="Times New Roman" w:eastAsia="宋体"/>
          <w:b/>
          <w:i w:val="0"/>
          <w:sz w:val="22"/>
        </w:rPr>
        <w:t>启示</w:t>
      </w:r>
      <w:r>
        <w:rPr>
          <w:rFonts w:ascii="Times New Roman" w:hAnsi="Times New Roman" w:eastAsia="宋体"/>
          <w:b w:val="0"/>
          <w:i w:val="0"/>
          <w:sz w:val="22"/>
        </w:rPr>
        <w:t>：博弈均衡对参数变化敏感，定价策略需要根据市场条件动态调整。</w:t>
      </w:r>
    </w:p>
    <w:p>
      <w:pPr>
        <w:pStyle w:val="Heading3"/>
        <w:spacing w:before="160" w:after="60"/>
      </w:pPr>
      <w:r>
        <w:rPr>
          <w:rFonts w:ascii="Times New Roman" w:hAnsi="Times New Roman" w:eastAsia="黑体"/>
          <w:b/>
          <w:i w:val="0"/>
          <w:sz w:val="24"/>
        </w:rPr>
        <w:t>案例2：考虑激励因素的多零售商竞争仿真</w:t>
      </w:r>
    </w:p>
    <w:p>
      <w:pPr>
        <w:spacing w:line="360" w:lineRule="auto" w:after="0"/>
        <w:ind w:firstLine="425"/>
      </w:pPr>
      <w:r>
        <w:rPr>
          <w:rFonts w:ascii="Times New Roman" w:hAnsi="Times New Roman" w:eastAsia="宋体"/>
          <w:b w:val="0"/>
          <w:i w:val="0"/>
          <w:sz w:val="22"/>
        </w:rPr>
        <w:t>代等（2017）引入消费者激励因素后的仿真结果</w:t>
      </w:r>
      <w:r>
        <w:rPr>
          <w:rFonts w:ascii="Times New Roman" w:hAnsi="Times New Roman" w:eastAsia="Times New Roman"/>
          <w:b w:val="0"/>
          <w:i w:val="0"/>
          <w:sz w:val="18"/>
          <w:vertAlign w:val="superscript"/>
        </w:rPr>
        <w:t>[4]</w:t>
      </w:r>
      <w:r>
        <w:rPr>
          <w:rFonts w:ascii="Times New Roman" w:hAnsi="Times New Roman" w:eastAsia="宋体"/>
          <w:b w:val="0"/>
          <w:i w:val="0"/>
          <w:sz w:val="22"/>
        </w:rPr>
        <w:t>：</w:t>
      </w:r>
    </w:p>
    <w:p>
      <w:pPr>
        <w:spacing w:line="360" w:lineRule="auto" w:after="0"/>
        <w:ind w:firstLine="425"/>
      </w:pPr>
      <w:r>
        <w:rPr>
          <w:rFonts w:ascii="Times New Roman" w:hAnsi="Times New Roman" w:eastAsia="宋体"/>
          <w:b/>
          <w:i w:val="0"/>
          <w:sz w:val="22"/>
        </w:rPr>
        <w:t>激励方案</w:t>
      </w:r>
      <w:r>
        <w:rPr>
          <w:rFonts w:ascii="Times New Roman" w:hAnsi="Times New Roman" w:eastAsia="宋体"/>
          <w:b w:val="0"/>
          <w:i w:val="0"/>
          <w:sz w:val="22"/>
        </w:rPr>
        <w:t>：零售商向用户提供每kWh 0.05-0.15元的激励补贴。</w:t>
      </w:r>
    </w:p>
    <w:p>
      <w:pPr>
        <w:spacing w:line="360" w:lineRule="auto" w:after="0"/>
        <w:ind w:firstLine="425"/>
      </w:pPr>
      <w:r>
        <w:rPr>
          <w:rFonts w:ascii="Times New Roman" w:hAnsi="Times New Roman" w:eastAsia="宋体"/>
          <w:b/>
          <w:i w:val="0"/>
          <w:sz w:val="22"/>
        </w:rPr>
        <w:t>均衡变化</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均衡价格下降5%-10%（激励降低了用户实际支付价格）</w:t>
      </w:r>
    </w:p>
    <w:p>
      <w:pPr>
        <w:pStyle w:val="ListBullet"/>
        <w:spacing w:line="360" w:lineRule="auto" w:after="0"/>
      </w:pPr>
      <w:r>
        <w:rPr>
          <w:rFonts w:ascii="Times New Roman" w:hAnsi="Times New Roman" w:eastAsia="宋体"/>
          <w:b w:val="0"/>
          <w:i w:val="0"/>
          <w:sz w:val="22"/>
        </w:rPr>
        <w:t>用户参与率提高20%-30%（激励吸引更多用户参与）</w:t>
      </w:r>
    </w:p>
    <w:p>
      <w:pPr>
        <w:pStyle w:val="ListBullet"/>
        <w:spacing w:line="360" w:lineRule="auto" w:after="0"/>
      </w:pPr>
      <w:r>
        <w:rPr>
          <w:rFonts w:ascii="Times New Roman" w:hAnsi="Times New Roman" w:eastAsia="宋体"/>
          <w:b w:val="0"/>
          <w:i w:val="0"/>
          <w:sz w:val="22"/>
        </w:rPr>
        <w:t>零售商市场份额更均匀（激励促进了竞争）</w:t>
      </w:r>
    </w:p>
    <w:p>
      <w:pPr>
        <w:pStyle w:val="ListBullet"/>
        <w:spacing w:line="360" w:lineRule="auto" w:after="0"/>
      </w:pPr>
      <w:r>
        <w:rPr>
          <w:rFonts w:ascii="Times New Roman" w:hAnsi="Times New Roman" w:eastAsia="宋体"/>
          <w:b w:val="0"/>
          <w:i w:val="0"/>
          <w:sz w:val="22"/>
        </w:rPr>
        <w:t>零售商总利润略有下降（约3%-5%），但市场份额更稳定</w:t>
      </w:r>
    </w:p>
    <w:p>
      <w:pPr>
        <w:spacing w:line="360" w:lineRule="auto" w:after="0"/>
        <w:ind w:firstLine="425"/>
      </w:pPr>
      <w:r>
        <w:rPr>
          <w:rFonts w:ascii="Times New Roman" w:hAnsi="Times New Roman" w:eastAsia="宋体"/>
          <w:b/>
          <w:i w:val="0"/>
          <w:sz w:val="22"/>
        </w:rPr>
        <w:t>最优激励水平</w:t>
      </w:r>
      <w:r>
        <w:rPr>
          <w:rFonts w:ascii="Times New Roman" w:hAnsi="Times New Roman" w:eastAsia="宋体"/>
          <w:b w:val="0"/>
          <w:i w:val="0"/>
          <w:sz w:val="22"/>
        </w:rPr>
        <w:t>：当激励为0.08-0.12元/kWh时，社会福利最大化。过低的激励效果不明显，过高的激励侵蚀利润过多。</w:t>
      </w:r>
    </w:p>
    <w:p>
      <w:pPr>
        <w:pStyle w:val="Heading3"/>
        <w:spacing w:before="160" w:after="60"/>
      </w:pPr>
      <w:r>
        <w:rPr>
          <w:rFonts w:ascii="Times New Roman" w:hAnsi="Times New Roman" w:eastAsia="黑体"/>
          <w:b/>
          <w:i w:val="0"/>
          <w:sz w:val="24"/>
        </w:rPr>
        <w:t>案例3：区块链实时定价的复现验证</w:t>
      </w:r>
    </w:p>
    <w:p>
      <w:pPr>
        <w:spacing w:line="360" w:lineRule="auto" w:after="0"/>
        <w:ind w:firstLine="425"/>
      </w:pPr>
      <w:r>
        <w:rPr>
          <w:rFonts w:ascii="Times New Roman" w:hAnsi="Times New Roman" w:eastAsia="宋体"/>
          <w:b w:val="0"/>
          <w:i w:val="0"/>
          <w:sz w:val="22"/>
        </w:rPr>
        <w:t>知识库中保存的复现代码验证了Dai2018和李2021的区块链激励模型：</w:t>
      </w:r>
    </w:p>
    <w:p>
      <w:pPr>
        <w:spacing w:line="360" w:lineRule="auto" w:after="0"/>
        <w:ind w:firstLine="425"/>
      </w:pPr>
      <w:r>
        <w:rPr>
          <w:rFonts w:ascii="Times New Roman" w:hAnsi="Times New Roman" w:eastAsia="宋体"/>
          <w:b/>
          <w:i w:val="0"/>
          <w:sz w:val="22"/>
        </w:rPr>
        <w:t>实验设置</w:t>
      </w:r>
      <w:r>
        <w:rPr>
          <w:rFonts w:ascii="Times New Roman" w:hAnsi="Times New Roman" w:eastAsia="宋体"/>
          <w:b w:val="0"/>
          <w:i w:val="0"/>
          <w:sz w:val="22"/>
        </w:rPr>
        <w:t>：5个节点，每个节点代表一个电力交易方，使用联盟区块链记录交易。</w:t>
      </w:r>
    </w:p>
    <w:p>
      <w:pPr>
        <w:spacing w:line="360" w:lineRule="auto" w:after="0"/>
        <w:ind w:firstLine="425"/>
      </w:pPr>
      <w:r>
        <w:rPr>
          <w:rFonts w:ascii="Times New Roman" w:hAnsi="Times New Roman" w:eastAsia="宋体"/>
          <w:b/>
          <w:i w:val="0"/>
          <w:sz w:val="22"/>
        </w:rPr>
        <w:t>性能测试</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交易确认时间：3-5秒（PBFT共识）</w:t>
      </w:r>
    </w:p>
    <w:p>
      <w:pPr>
        <w:pStyle w:val="ListBullet"/>
        <w:spacing w:line="360" w:lineRule="auto" w:after="0"/>
      </w:pPr>
      <w:r>
        <w:rPr>
          <w:rFonts w:ascii="Times New Roman" w:hAnsi="Times New Roman" w:eastAsia="宋体"/>
          <w:b w:val="0"/>
          <w:i w:val="0"/>
          <w:sz w:val="22"/>
        </w:rPr>
        <w:t>交易吞吐量：约200 TPS（满足中小规模RTP需求）</w:t>
      </w:r>
    </w:p>
    <w:p>
      <w:pPr>
        <w:pStyle w:val="ListBullet"/>
        <w:spacing w:line="360" w:lineRule="auto" w:after="0"/>
      </w:pPr>
      <w:r>
        <w:rPr>
          <w:rFonts w:ascii="Times New Roman" w:hAnsi="Times New Roman" w:eastAsia="宋体"/>
          <w:b w:val="0"/>
          <w:i w:val="0"/>
          <w:sz w:val="22"/>
        </w:rPr>
        <w:t>定价精度：与传统集中式方法偏差&lt;2%</w:t>
      </w:r>
    </w:p>
    <w:p>
      <w:pPr>
        <w:pStyle w:val="ListBullet"/>
        <w:spacing w:line="360" w:lineRule="auto" w:after="0"/>
      </w:pPr>
      <w:r>
        <w:rPr>
          <w:rFonts w:ascii="Times New Roman" w:hAnsi="Times New Roman" w:eastAsia="宋体"/>
          <w:b w:val="0"/>
          <w:i w:val="0"/>
          <w:sz w:val="22"/>
        </w:rPr>
        <w:t>信任成本：区块链方案消除了第三方信任需求</w:t>
      </w:r>
    </w:p>
    <w:p>
      <w:pPr>
        <w:spacing w:line="360" w:lineRule="auto" w:after="0"/>
        <w:ind w:firstLine="425"/>
      </w:pPr>
      <w:r>
        <w:rPr>
          <w:rFonts w:ascii="Times New Roman" w:hAnsi="Times New Roman" w:eastAsia="宋体"/>
          <w:b/>
          <w:i w:val="0"/>
          <w:sz w:val="22"/>
        </w:rPr>
        <w:t>挑战</w:t>
      </w:r>
      <w:r>
        <w:rPr>
          <w:rFonts w:ascii="Times New Roman" w:hAnsi="Times New Roman" w:eastAsia="宋体"/>
          <w:b w:val="0"/>
          <w:i w:val="0"/>
          <w:sz w:val="22"/>
        </w:rPr>
        <w:t>：区块链的延迟和吞吐量在大型电力系统中可能成为瓶颈。Layer 2方案（如状态通道）可以缓解这一问题。</w:t>
      </w:r>
    </w:p>
    <w:p>
      <w:pPr>
        <w:pStyle w:val="Heading2"/>
        <w:spacing w:before="240" w:after="80"/>
      </w:pPr>
      <w:r>
        <w:rPr>
          <w:rFonts w:ascii="Times New Roman" w:hAnsi="Times New Roman" w:eastAsia="黑体"/>
          <w:b/>
          <w:i w:val="0"/>
          <w:sz w:val="28"/>
        </w:rPr>
        <w:t>6.9 理论深化与前沿探讨</w:t>
      </w:r>
    </w:p>
    <w:p>
      <w:pPr>
        <w:pStyle w:val="Heading3"/>
        <w:spacing w:before="160" w:after="60"/>
      </w:pPr>
      <w:r>
        <w:rPr>
          <w:rFonts w:ascii="Times New Roman" w:hAnsi="Times New Roman" w:eastAsia="黑体"/>
          <w:b/>
          <w:i w:val="0"/>
          <w:sz w:val="24"/>
        </w:rPr>
        <w:t>不完全信息博弈与实时定价</w:t>
      </w:r>
    </w:p>
    <w:p>
      <w:pPr>
        <w:spacing w:line="360" w:lineRule="auto" w:after="0"/>
        <w:ind w:firstLine="425"/>
      </w:pPr>
      <w:r>
        <w:rPr>
          <w:rFonts w:ascii="Times New Roman" w:hAnsi="Times New Roman" w:eastAsia="宋体"/>
          <w:b w:val="0"/>
          <w:i w:val="0"/>
          <w:sz w:val="22"/>
        </w:rPr>
        <w:t>传统博弈论定价研究大多假设完全信息，即所有参与者了解彼此的效用函数和成本函数。在实际电力市场中，信息通常是不完全的：</w:t>
      </w:r>
    </w:p>
    <w:p>
      <w:pPr>
        <w:spacing w:line="360" w:lineRule="auto" w:after="0"/>
        <w:ind w:firstLine="425"/>
      </w:pPr>
      <w:r>
        <w:rPr>
          <w:rFonts w:ascii="Times New Roman" w:hAnsi="Times New Roman" w:eastAsia="宋体"/>
          <w:b/>
          <w:i w:val="0"/>
          <w:sz w:val="22"/>
        </w:rPr>
        <w:t>贝叶斯博弈</w:t>
      </w:r>
      <w:r>
        <w:rPr>
          <w:rFonts w:ascii="Times New Roman" w:hAnsi="Times New Roman" w:eastAsia="宋体"/>
          <w:b w:val="0"/>
          <w:i w:val="0"/>
          <w:sz w:val="22"/>
        </w:rPr>
        <w:t>：每个参与者不知道对手的确切类型（如成本结构），但知道类型的概率分布。贝叶斯纳什均衡是这类博弈的解概念。</w:t>
      </w:r>
    </w:p>
    <w:p>
      <w:pPr>
        <w:spacing w:line="360" w:lineRule="auto" w:after="0"/>
        <w:ind w:firstLine="425"/>
      </w:pPr>
      <w:r>
        <w:rPr>
          <w:rFonts w:ascii="Times New Roman" w:hAnsi="Times New Roman" w:eastAsia="宋体"/>
          <w:b/>
          <w:i w:val="0"/>
          <w:sz w:val="22"/>
        </w:rPr>
        <w:t>信号博弈</w:t>
      </w:r>
      <w:r>
        <w:rPr>
          <w:rFonts w:ascii="Times New Roman" w:hAnsi="Times New Roman" w:eastAsia="宋体"/>
          <w:b w:val="0"/>
          <w:i w:val="0"/>
          <w:sz w:val="22"/>
        </w:rPr>
        <w:t>：零售商可以通过定价策略向用户传递信号（如低价信号表示供电充足），用户根据信号推断市场状态并做出响应。</w:t>
      </w:r>
    </w:p>
    <w:p>
      <w:pPr>
        <w:spacing w:line="360" w:lineRule="auto" w:after="0"/>
        <w:ind w:firstLine="425"/>
      </w:pPr>
      <w:r>
        <w:rPr>
          <w:rFonts w:ascii="Times New Roman" w:hAnsi="Times New Roman" w:eastAsia="宋体"/>
          <w:b/>
          <w:i w:val="0"/>
          <w:sz w:val="22"/>
        </w:rPr>
        <w:t>拍卖机制</w:t>
      </w:r>
      <w:r>
        <w:rPr>
          <w:rFonts w:ascii="Times New Roman" w:hAnsi="Times New Roman" w:eastAsia="宋体"/>
          <w:b w:val="0"/>
          <w:i w:val="0"/>
          <w:sz w:val="22"/>
        </w:rPr>
        <w:t>：通过拍卖机制设计实现激励兼容，使参与方真实显示其私有信息。Vickrey-Clarke-Groves（VCG）机制是经典的激励兼容拍卖机制。</w:t>
      </w:r>
    </w:p>
    <w:p>
      <w:pPr>
        <w:pStyle w:val="Heading3"/>
        <w:spacing w:before="160" w:after="60"/>
      </w:pPr>
      <w:r>
        <w:rPr>
          <w:rFonts w:ascii="Times New Roman" w:hAnsi="Times New Roman" w:eastAsia="黑体"/>
          <w:b/>
          <w:i w:val="0"/>
          <w:sz w:val="24"/>
        </w:rPr>
        <w:t>演化博弈与长期定价策略</w:t>
      </w:r>
    </w:p>
    <w:p>
      <w:pPr>
        <w:spacing w:line="360" w:lineRule="auto" w:after="0"/>
        <w:ind w:firstLine="425"/>
      </w:pPr>
      <w:r>
        <w:rPr>
          <w:rFonts w:ascii="Times New Roman" w:hAnsi="Times New Roman" w:eastAsia="宋体"/>
          <w:b w:val="0"/>
          <w:i w:val="0"/>
          <w:sz w:val="22"/>
        </w:rPr>
        <w:t>传统博弈论分析静态或一次性的策略互动，演化博弈论研究策略在重复博弈中的长期演化：</w:t>
      </w:r>
    </w:p>
    <w:p>
      <w:pPr>
        <w:spacing w:line="360" w:lineRule="auto" w:after="0"/>
        <w:ind w:firstLine="425"/>
      </w:pPr>
      <w:r>
        <w:rPr>
          <w:rFonts w:ascii="Times New Roman" w:hAnsi="Times New Roman" w:eastAsia="宋体"/>
          <w:b/>
          <w:i w:val="0"/>
          <w:sz w:val="22"/>
        </w:rPr>
        <w:t>复制者动态</w:t>
      </w:r>
      <w:r>
        <w:rPr>
          <w:rFonts w:ascii="Times New Roman" w:hAnsi="Times New Roman" w:eastAsia="宋体"/>
          <w:b w:val="0"/>
          <w:i w:val="0"/>
          <w:sz w:val="22"/>
        </w:rPr>
        <w:t>：策略的增长率与其相对适应度成正比。表现好的策略在群体中的比例逐渐增加。</w:t>
      </w:r>
    </w:p>
    <w:p>
      <w:pPr>
        <w:spacing w:line="360" w:lineRule="auto" w:after="0"/>
        <w:ind w:firstLine="425"/>
      </w:pPr>
      <w:r>
        <w:rPr>
          <w:rFonts w:ascii="Times New Roman" w:hAnsi="Times New Roman" w:eastAsia="宋体"/>
          <w:b/>
          <w:i w:val="0"/>
          <w:sz w:val="22"/>
        </w:rPr>
        <w:t>演化稳定策略（ESS）</w:t>
      </w:r>
      <w:r>
        <w:rPr>
          <w:rFonts w:ascii="Times New Roman" w:hAnsi="Times New Roman" w:eastAsia="宋体"/>
          <w:b w:val="0"/>
          <w:i w:val="0"/>
          <w:sz w:val="22"/>
        </w:rPr>
        <w:t>：能够抵抗小规模变异策略入侵的策略。ESS是比纳什均衡更强的概念。</w:t>
      </w:r>
    </w:p>
    <w:p>
      <w:pPr>
        <w:spacing w:line="360" w:lineRule="auto" w:after="0"/>
        <w:ind w:firstLine="425"/>
      </w:pPr>
      <w:r>
        <w:rPr>
          <w:rFonts w:ascii="Times New Roman" w:hAnsi="Times New Roman" w:eastAsia="宋体"/>
          <w:b w:val="0"/>
          <w:i w:val="0"/>
          <w:sz w:val="22"/>
        </w:rPr>
        <w:t>在实时定价中，演化博弈可以用于分析：</w:t>
      </w:r>
    </w:p>
    <w:p>
      <w:pPr>
        <w:pStyle w:val="ListBullet"/>
        <w:spacing w:line="360" w:lineRule="auto" w:after="0"/>
      </w:pPr>
      <w:r>
        <w:rPr>
          <w:rFonts w:ascii="Times New Roman" w:hAnsi="Times New Roman" w:eastAsia="宋体"/>
          <w:b w:val="0"/>
          <w:i w:val="0"/>
          <w:sz w:val="22"/>
        </w:rPr>
        <w:t>不同定价策略在长期竞争中的生存能力</w:t>
      </w:r>
    </w:p>
    <w:p>
      <w:pPr>
        <w:pStyle w:val="ListBullet"/>
        <w:spacing w:line="360" w:lineRule="auto" w:after="0"/>
      </w:pPr>
      <w:r>
        <w:rPr>
          <w:rFonts w:ascii="Times New Roman" w:hAnsi="Times New Roman" w:eastAsia="宋体"/>
          <w:b w:val="0"/>
          <w:i w:val="0"/>
          <w:sz w:val="22"/>
        </w:rPr>
        <w:t>用户用电习惯的演化路径</w:t>
      </w:r>
    </w:p>
    <w:p>
      <w:pPr>
        <w:pStyle w:val="ListBullet"/>
        <w:spacing w:line="360" w:lineRule="auto" w:after="0"/>
      </w:pPr>
      <w:r>
        <w:rPr>
          <w:rFonts w:ascii="Times New Roman" w:hAnsi="Times New Roman" w:eastAsia="宋体"/>
          <w:b w:val="0"/>
          <w:i w:val="0"/>
          <w:sz w:val="22"/>
        </w:rPr>
        <w:t>新定价机制推广的动态过程</w:t>
      </w:r>
    </w:p>
    <w:p>
      <w:pPr>
        <w:pStyle w:val="Heading3"/>
        <w:spacing w:before="160" w:after="60"/>
      </w:pPr>
      <w:r>
        <w:rPr>
          <w:rFonts w:ascii="Times New Roman" w:hAnsi="Times New Roman" w:eastAsia="黑体"/>
          <w:b/>
          <w:i w:val="0"/>
          <w:sz w:val="24"/>
        </w:rPr>
        <w:t>合作博弈与效益分配</w:t>
      </w:r>
    </w:p>
    <w:p>
      <w:pPr>
        <w:spacing w:line="360" w:lineRule="auto" w:after="0"/>
        <w:ind w:firstLine="425"/>
      </w:pPr>
      <w:r>
        <w:rPr>
          <w:rFonts w:ascii="Times New Roman" w:hAnsi="Times New Roman" w:eastAsia="宋体"/>
          <w:b w:val="0"/>
          <w:i w:val="0"/>
          <w:sz w:val="22"/>
        </w:rPr>
        <w:t>合作博弈在多参与者效益分配方面具有优势：</w:t>
      </w:r>
    </w:p>
    <w:p>
      <w:pPr>
        <w:spacing w:line="360" w:lineRule="auto" w:after="0"/>
        <w:ind w:firstLine="425"/>
      </w:pPr>
      <w:r>
        <w:rPr>
          <w:rFonts w:ascii="Times New Roman" w:hAnsi="Times New Roman" w:eastAsia="宋体"/>
          <w:b/>
          <w:i w:val="0"/>
          <w:sz w:val="22"/>
        </w:rPr>
        <w:t>Shapley值</w:t>
      </w:r>
      <w:r>
        <w:rPr>
          <w:rFonts w:ascii="Times New Roman" w:hAnsi="Times New Roman" w:eastAsia="宋体"/>
          <w:b w:val="0"/>
          <w:i w:val="0"/>
          <w:sz w:val="22"/>
        </w:rPr>
        <w:t>：按照各参与者的边际贡献分配总收益。Shapley值满足效率性、对称性和线性性，是唯一满足这些公理的分配方案。</w:t>
      </w:r>
    </w:p>
    <w:p>
      <w:pPr>
        <w:spacing w:line="360" w:lineRule="auto" w:after="0"/>
        <w:ind w:firstLine="425"/>
      </w:pPr>
      <w:r>
        <w:rPr>
          <w:rFonts w:ascii="Times New Roman" w:hAnsi="Times New Roman" w:eastAsia="宋体"/>
          <w:b/>
          <w:i w:val="0"/>
          <w:sz w:val="22"/>
        </w:rPr>
        <w:t>核（Core）</w:t>
      </w:r>
      <w:r>
        <w:rPr>
          <w:rFonts w:ascii="Times New Roman" w:hAnsi="Times New Roman" w:eastAsia="宋体"/>
          <w:b w:val="0"/>
          <w:i w:val="0"/>
          <w:sz w:val="22"/>
        </w:rPr>
        <w:t>：满足个体理性（每个参与者的分配不低于其单独行动的收益）和集体理性（子联盟的分配不低于其独立行动的收益）的分配集合。</w:t>
      </w:r>
    </w:p>
    <w:p>
      <w:pPr>
        <w:spacing w:line="360" w:lineRule="auto" w:after="0"/>
        <w:ind w:firstLine="425"/>
      </w:pPr>
      <w:r>
        <w:rPr>
          <w:rFonts w:ascii="Times New Roman" w:hAnsi="Times New Roman" w:eastAsia="宋体"/>
          <w:b/>
          <w:i w:val="0"/>
          <w:sz w:val="22"/>
        </w:rPr>
        <w:t>核仁（Nucleolus）</w:t>
      </w:r>
      <w:r>
        <w:rPr>
          <w:rFonts w:ascii="Times New Roman" w:hAnsi="Times New Roman" w:eastAsia="宋体"/>
          <w:b w:val="0"/>
          <w:i w:val="0"/>
          <w:sz w:val="22"/>
        </w:rPr>
        <w:t>：核中最公平的分配方案，最小化最大不满意度。</w:t>
      </w:r>
    </w:p>
    <w:p>
      <w:pPr>
        <w:spacing w:line="360" w:lineRule="auto" w:after="0"/>
        <w:ind w:firstLine="425"/>
      </w:pPr>
      <w:r>
        <w:rPr>
          <w:rFonts w:ascii="Times New Roman" w:hAnsi="Times New Roman" w:eastAsia="宋体"/>
          <w:b w:val="0"/>
          <w:i w:val="0"/>
          <w:sz w:val="22"/>
        </w:rPr>
        <w:t>李等（2022）的电力零售商多方利益均衡策略</w:t>
      </w:r>
      <w:r>
        <w:rPr>
          <w:rFonts w:ascii="Times New Roman" w:hAnsi="Times New Roman" w:eastAsia="Times New Roman"/>
          <w:b w:val="0"/>
          <w:i w:val="0"/>
          <w:sz w:val="18"/>
          <w:vertAlign w:val="superscript"/>
        </w:rPr>
        <w:t>[6]</w:t>
      </w:r>
      <w:r>
        <w:rPr>
          <w:rFonts w:ascii="Times New Roman" w:hAnsi="Times New Roman" w:eastAsia="宋体"/>
          <w:b w:val="0"/>
          <w:i w:val="0"/>
          <w:sz w:val="22"/>
        </w:rPr>
        <w:t>使用了合作博弈方法进行效益分配。吴等（2021）的加密货币能源交易平台</w:t>
      </w:r>
      <w:r>
        <w:rPr>
          <w:rFonts w:ascii="Times New Roman" w:hAnsi="Times New Roman" w:eastAsia="Times New Roman"/>
          <w:b w:val="0"/>
          <w:i w:val="0"/>
          <w:sz w:val="18"/>
          <w:vertAlign w:val="superscript"/>
        </w:rPr>
        <w:t>[10]</w:t>
      </w:r>
      <w:r>
        <w:rPr>
          <w:rFonts w:ascii="Times New Roman" w:hAnsi="Times New Roman" w:eastAsia="宋体"/>
          <w:b w:val="0"/>
          <w:i w:val="0"/>
          <w:sz w:val="22"/>
        </w:rPr>
        <w:t>也引入了合作博弈元素。</w:t>
      </w:r>
    </w:p>
    <w:p>
      <w:pPr>
        <w:pStyle w:val="Heading3"/>
        <w:spacing w:before="160" w:after="60"/>
      </w:pPr>
      <w:r>
        <w:rPr>
          <w:rFonts w:ascii="Times New Roman" w:hAnsi="Times New Roman" w:eastAsia="黑体"/>
          <w:b/>
          <w:i w:val="0"/>
          <w:sz w:val="24"/>
        </w:rPr>
        <w:t>博弈论与强化学习的融合</w:t>
      </w:r>
    </w:p>
    <w:p>
      <w:pPr>
        <w:spacing w:line="360" w:lineRule="auto" w:after="0"/>
        <w:ind w:firstLine="425"/>
      </w:pPr>
      <w:r>
        <w:rPr>
          <w:rFonts w:ascii="Times New Roman" w:hAnsi="Times New Roman" w:eastAsia="宋体"/>
          <w:b w:val="0"/>
          <w:i w:val="0"/>
          <w:sz w:val="22"/>
        </w:rPr>
        <w:t>博弈论与强化学习的融合是当前研究的前沿方向：</w:t>
      </w:r>
    </w:p>
    <w:p>
      <w:pPr>
        <w:spacing w:line="360" w:lineRule="auto" w:after="0"/>
        <w:ind w:firstLine="425"/>
      </w:pPr>
      <w:r>
        <w:rPr>
          <w:rFonts w:ascii="Times New Roman" w:hAnsi="Times New Roman" w:eastAsia="宋体"/>
          <w:b/>
          <w:i w:val="0"/>
          <w:sz w:val="22"/>
        </w:rPr>
        <w:t>多Agent强化学习（MARL）</w:t>
      </w:r>
      <w:r>
        <w:rPr>
          <w:rFonts w:ascii="Times New Roman" w:hAnsi="Times New Roman" w:eastAsia="宋体"/>
          <w:b w:val="0"/>
          <w:i w:val="0"/>
          <w:sz w:val="22"/>
        </w:rPr>
        <w:t>：每个参与者是一个RL Agent，通过与环境和对手的交互学习最优策略。MARL能够处理不完全信息和动态环境下的博弈问题。</w:t>
      </w:r>
    </w:p>
    <w:p>
      <w:pPr>
        <w:spacing w:line="360" w:lineRule="auto" w:after="0"/>
        <w:ind w:firstLine="425"/>
      </w:pPr>
      <w:r>
        <w:rPr>
          <w:rFonts w:ascii="Times New Roman" w:hAnsi="Times New Roman" w:eastAsia="宋体"/>
          <w:b/>
          <w:i w:val="0"/>
          <w:sz w:val="22"/>
        </w:rPr>
        <w:t>虚拟自我博弈（Fictitious Self-Play, FSP）</w:t>
      </w:r>
      <w:r>
        <w:rPr>
          <w:rFonts w:ascii="Times New Roman" w:hAnsi="Times New Roman" w:eastAsia="宋体"/>
          <w:b w:val="0"/>
          <w:i w:val="0"/>
          <w:sz w:val="22"/>
        </w:rPr>
        <w:t>：Agent假设对手按照历史策略的频率分布选择策略，据此更新自己的最优响应。FSP在某些条件下收敛到纳什均衡。</w:t>
      </w:r>
    </w:p>
    <w:p>
      <w:pPr>
        <w:spacing w:line="360" w:lineRule="auto" w:after="0"/>
        <w:ind w:firstLine="425"/>
      </w:pPr>
      <w:r>
        <w:rPr>
          <w:rFonts w:ascii="Times New Roman" w:hAnsi="Times New Roman" w:eastAsia="宋体"/>
          <w:b/>
          <w:i w:val="0"/>
          <w:sz w:val="22"/>
        </w:rPr>
        <w:t>计数器事实遗憾最小化（Counterfactual Regret Minimization, CFR）</w:t>
      </w:r>
      <w:r>
        <w:rPr>
          <w:rFonts w:ascii="Times New Roman" w:hAnsi="Times New Roman" w:eastAsia="宋体"/>
          <w:b w:val="0"/>
          <w:i w:val="0"/>
          <w:sz w:val="22"/>
        </w:rPr>
        <w:t>：通过最小化"如果当时选择不同策略会更好"的遗憾来学习策略。CFR在扑克AI中的成功应用表明其在不完全信息博弈中的强大能力。</w:t>
      </w:r>
    </w:p>
    <w:p>
      <w:pPr>
        <w:spacing w:line="360" w:lineRule="auto" w:after="0"/>
        <w:ind w:firstLine="425"/>
      </w:pPr>
      <w:r>
        <w:rPr>
          <w:rFonts w:ascii="Times New Roman" w:hAnsi="Times New Roman" w:eastAsia="宋体"/>
          <w:b w:val="0"/>
          <w:i w:val="0"/>
          <w:sz w:val="22"/>
        </w:rPr>
        <w:t>这些方法为求解大规模、不完全信息条件下的实时定价博弈提供了新的技术路径。</w:t>
      </w:r>
    </w:p>
    <w:p>
      <w:pPr>
        <w:pStyle w:val="Heading3"/>
        <w:spacing w:before="160" w:after="60"/>
      </w:pPr>
      <w:r>
        <w:rPr>
          <w:rFonts w:ascii="Times New Roman" w:hAnsi="Times New Roman" w:eastAsia="黑体"/>
          <w:b/>
          <w:i w:val="0"/>
          <w:sz w:val="24"/>
        </w:rPr>
        <w:t>博弈论定价中的公平性</w:t>
      </w:r>
    </w:p>
    <w:p>
      <w:pPr>
        <w:spacing w:line="360" w:lineRule="auto" w:after="0"/>
        <w:ind w:firstLine="425"/>
      </w:pPr>
      <w:r>
        <w:rPr>
          <w:rFonts w:ascii="Times New Roman" w:hAnsi="Times New Roman" w:eastAsia="宋体"/>
          <w:b w:val="0"/>
          <w:i w:val="0"/>
          <w:sz w:val="22"/>
        </w:rPr>
        <w:t>博弈论定价不仅关注效率，也关注公平性：</w:t>
      </w:r>
    </w:p>
    <w:p>
      <w:pPr>
        <w:spacing w:line="360" w:lineRule="auto" w:after="0"/>
        <w:ind w:firstLine="425"/>
      </w:pPr>
      <w:r>
        <w:rPr>
          <w:rFonts w:ascii="Times New Roman" w:hAnsi="Times New Roman" w:eastAsia="宋体"/>
          <w:b/>
          <w:i w:val="0"/>
          <w:sz w:val="22"/>
        </w:rPr>
        <w:t>程序公平</w:t>
      </w:r>
      <w:r>
        <w:rPr>
          <w:rFonts w:ascii="Times New Roman" w:hAnsi="Times New Roman" w:eastAsia="宋体"/>
          <w:b w:val="0"/>
          <w:i w:val="0"/>
          <w:sz w:val="22"/>
        </w:rPr>
        <w:t>：定价过程是否透明、民主。用户是否参与了定价规则的制定。</w:t>
      </w:r>
    </w:p>
    <w:p>
      <w:pPr>
        <w:spacing w:line="360" w:lineRule="auto" w:after="0"/>
        <w:ind w:firstLine="425"/>
      </w:pPr>
      <w:r>
        <w:rPr>
          <w:rFonts w:ascii="Times New Roman" w:hAnsi="Times New Roman" w:eastAsia="宋体"/>
          <w:b/>
          <w:i w:val="0"/>
          <w:sz w:val="22"/>
        </w:rPr>
        <w:t>结果公平</w:t>
      </w:r>
      <w:r>
        <w:rPr>
          <w:rFonts w:ascii="Times New Roman" w:hAnsi="Times New Roman" w:eastAsia="宋体"/>
          <w:b w:val="0"/>
          <w:i w:val="0"/>
          <w:sz w:val="22"/>
        </w:rPr>
        <w:t>：定价结果是否使各参与方的利益分配合理。是否存在参与者被过度剥削。</w:t>
      </w:r>
    </w:p>
    <w:p>
      <w:pPr>
        <w:spacing w:line="360" w:lineRule="auto" w:after="0"/>
        <w:ind w:firstLine="425"/>
      </w:pPr>
      <w:r>
        <w:rPr>
          <w:rFonts w:ascii="Times New Roman" w:hAnsi="Times New Roman" w:eastAsia="宋体"/>
          <w:b/>
          <w:i w:val="0"/>
          <w:sz w:val="22"/>
        </w:rPr>
        <w:t>代际公平</w:t>
      </w:r>
      <w:r>
        <w:rPr>
          <w:rFonts w:ascii="Times New Roman" w:hAnsi="Times New Roman" w:eastAsia="宋体"/>
          <w:b w:val="0"/>
          <w:i w:val="0"/>
          <w:sz w:val="22"/>
        </w:rPr>
        <w:t>：当前定价策略是否考虑了长期可持续发展。价格信号是否促进了清洁能源投资。</w:t>
      </w:r>
    </w:p>
    <w:p>
      <w:pPr>
        <w:spacing w:line="360" w:lineRule="auto" w:after="0"/>
        <w:ind w:firstLine="425"/>
      </w:pPr>
      <w:r>
        <w:rPr>
          <w:rFonts w:ascii="Times New Roman" w:hAnsi="Times New Roman" w:eastAsia="宋体"/>
          <w:b/>
          <w:i w:val="0"/>
          <w:sz w:val="22"/>
        </w:rPr>
        <w:t>罗尔斯正义</w:t>
      </w:r>
      <w:r>
        <w:rPr>
          <w:rFonts w:ascii="Times New Roman" w:hAnsi="Times New Roman" w:eastAsia="宋体"/>
          <w:b w:val="0"/>
          <w:i w:val="0"/>
          <w:sz w:val="22"/>
        </w:rPr>
        <w:t>：定价策略是否最大化了最不利者的利益。在RTP中，这体现为对低收入用户的保护措施。</w:t>
      </w:r>
    </w:p>
    <w:p>
      <w:pPr>
        <w:spacing w:line="360" w:lineRule="auto" w:after="0"/>
        <w:ind w:firstLine="425"/>
      </w:pPr>
      <w:r>
        <w:rPr>
          <w:rFonts w:ascii="Times New Roman" w:hAnsi="Times New Roman" w:eastAsia="宋体"/>
          <w:b w:val="0"/>
          <w:i w:val="0"/>
          <w:sz w:val="22"/>
        </w:rPr>
        <w:t>在博弈论框架中融入公平性考量是一个重要的研究方向。Jia等（2026）的三方福利均衡模型在这方面做出了有益尝试。</w:t>
      </w:r>
    </w:p>
    <w:p>
      <w:pPr>
        <w:pStyle w:val="Heading2"/>
        <w:spacing w:before="240" w:after="80"/>
      </w:pPr>
      <w:r>
        <w:rPr>
          <w:rFonts w:ascii="Times New Roman" w:hAnsi="Times New Roman" w:eastAsia="黑体"/>
          <w:b/>
          <w:i w:val="0"/>
          <w:sz w:val="28"/>
        </w:rPr>
        <w:t>6.10 博弈论定价的理论深化</w:t>
      </w:r>
    </w:p>
    <w:p>
      <w:pPr>
        <w:pStyle w:val="Heading3"/>
        <w:spacing w:before="160" w:after="60"/>
      </w:pPr>
      <w:r>
        <w:rPr>
          <w:rFonts w:ascii="Times New Roman" w:hAnsi="Times New Roman" w:eastAsia="黑体"/>
          <w:b/>
          <w:i w:val="0"/>
          <w:sz w:val="24"/>
        </w:rPr>
        <w:t>均衡存在性的数学证明</w:t>
      </w:r>
    </w:p>
    <w:p>
      <w:pPr>
        <w:spacing w:line="360" w:lineRule="auto" w:after="0"/>
        <w:ind w:firstLine="425"/>
      </w:pPr>
      <w:r>
        <w:rPr>
          <w:rFonts w:ascii="Times New Roman" w:hAnsi="Times New Roman" w:eastAsia="宋体"/>
          <w:b w:val="0"/>
          <w:i w:val="0"/>
          <w:sz w:val="22"/>
        </w:rPr>
        <w:t>Stackelberg博弈均衡的存在性依赖于以下数学条件：</w:t>
      </w:r>
    </w:p>
    <w:p>
      <w:pPr>
        <w:spacing w:line="360" w:lineRule="auto" w:after="0"/>
        <w:ind w:firstLine="425"/>
      </w:pPr>
      <w:r>
        <w:rPr>
          <w:rFonts w:ascii="Times New Roman" w:hAnsi="Times New Roman" w:eastAsia="宋体"/>
          <w:b/>
          <w:i w:val="0"/>
          <w:sz w:val="22"/>
        </w:rPr>
        <w:t>上层问题</w:t>
      </w:r>
      <w:r>
        <w:rPr>
          <w:rFonts w:ascii="Times New Roman" w:hAnsi="Times New Roman" w:eastAsia="宋体"/>
          <w:b w:val="0"/>
          <w:i w:val="0"/>
          <w:sz w:val="22"/>
        </w:rPr>
        <w:t>：领导者的目标函数π_L(p, x^*(p))关于p连续，可行域紧致。</w:t>
      </w:r>
    </w:p>
    <w:p>
      <w:pPr>
        <w:spacing w:line="360" w:lineRule="auto" w:after="0"/>
        <w:ind w:firstLine="425"/>
      </w:pPr>
      <w:r>
        <w:rPr>
          <w:rFonts w:ascii="Times New Roman" w:hAnsi="Times New Roman" w:eastAsia="宋体"/>
          <w:b/>
          <w:i w:val="0"/>
          <w:sz w:val="22"/>
        </w:rPr>
        <w:t>下层问题</w:t>
      </w:r>
      <w:r>
        <w:rPr>
          <w:rFonts w:ascii="Times New Roman" w:hAnsi="Times New Roman" w:eastAsia="宋体"/>
          <w:b w:val="0"/>
          <w:i w:val="0"/>
          <w:sz w:val="22"/>
        </w:rPr>
        <w:t>：跟随者的最优响应x^*(p)是p的连续函数（由Berge最大值定理保证）。</w:t>
      </w:r>
    </w:p>
    <w:p>
      <w:pPr>
        <w:spacing w:line="360" w:lineRule="auto" w:after="0"/>
        <w:ind w:firstLine="425"/>
      </w:pPr>
      <w:r>
        <w:rPr>
          <w:rFonts w:ascii="Times New Roman" w:hAnsi="Times New Roman" w:eastAsia="宋体"/>
          <w:b/>
          <w:i w:val="0"/>
          <w:sz w:val="22"/>
        </w:rPr>
        <w:t>存在性定理</w:t>
      </w:r>
      <w:r>
        <w:rPr>
          <w:rFonts w:ascii="Times New Roman" w:hAnsi="Times New Roman" w:eastAsia="宋体"/>
          <w:b w:val="0"/>
          <w:i w:val="0"/>
          <w:sz w:val="22"/>
        </w:rPr>
        <w:t>：如果上层目标函数连续且可行域紧致，下层最优响应连续，则Stackelberg均衡存在。</w:t>
      </w:r>
    </w:p>
    <w:p>
      <w:pPr>
        <w:spacing w:line="360" w:lineRule="auto" w:after="0"/>
        <w:ind w:firstLine="425"/>
      </w:pPr>
      <w:r>
        <w:rPr>
          <w:rFonts w:ascii="Times New Roman" w:hAnsi="Times New Roman" w:eastAsia="宋体"/>
          <w:b/>
          <w:i w:val="0"/>
          <w:sz w:val="22"/>
        </w:rPr>
        <w:t>唯一性条件</w:t>
      </w:r>
      <w:r>
        <w:rPr>
          <w:rFonts w:ascii="Times New Roman" w:hAnsi="Times New Roman" w:eastAsia="宋体"/>
          <w:b w:val="0"/>
          <w:i w:val="0"/>
          <w:sz w:val="22"/>
        </w:rPr>
        <w:t>：如果上层目标函数严格凹且下层最优响应严格单调，则均衡唯一。</w:t>
      </w:r>
    </w:p>
    <w:p>
      <w:pPr>
        <w:pStyle w:val="Heading3"/>
        <w:spacing w:before="160" w:after="60"/>
      </w:pPr>
      <w:r>
        <w:rPr>
          <w:rFonts w:ascii="Times New Roman" w:hAnsi="Times New Roman" w:eastAsia="黑体"/>
          <w:b/>
          <w:i w:val="0"/>
          <w:sz w:val="24"/>
        </w:rPr>
        <w:t>贝叶斯博弈与不完全信息定价</w:t>
      </w:r>
    </w:p>
    <w:p>
      <w:pPr>
        <w:spacing w:line="360" w:lineRule="auto" w:after="0"/>
        <w:ind w:firstLine="425"/>
      </w:pPr>
      <w:r>
        <w:rPr>
          <w:rFonts w:ascii="Times New Roman" w:hAnsi="Times New Roman" w:eastAsia="宋体"/>
          <w:b w:val="0"/>
          <w:i w:val="0"/>
          <w:sz w:val="22"/>
        </w:rPr>
        <w:t>在实际电力市场中，参与者通常不了解对手的完整信息：</w:t>
      </w:r>
    </w:p>
    <w:p>
      <w:pPr>
        <w:spacing w:line="360" w:lineRule="auto" w:after="0"/>
        <w:ind w:firstLine="425"/>
      </w:pPr>
      <w:r>
        <w:rPr>
          <w:rFonts w:ascii="Times New Roman" w:hAnsi="Times New Roman" w:eastAsia="宋体"/>
          <w:b/>
          <w:i w:val="0"/>
          <w:sz w:val="22"/>
        </w:rPr>
        <w:t>类型空间</w:t>
      </w:r>
      <w:r>
        <w:rPr>
          <w:rFonts w:ascii="Times New Roman" w:hAnsi="Times New Roman" w:eastAsia="宋体"/>
          <w:b w:val="0"/>
          <w:i w:val="0"/>
          <w:sz w:val="22"/>
        </w:rPr>
        <w:t>：每个参与者有类型θ_i ∈ Θ_i（如成本结构、偏好参数），类型分布P(θ_i)为公共知识。</w:t>
      </w:r>
    </w:p>
    <w:p>
      <w:pPr>
        <w:spacing w:line="360" w:lineRule="auto" w:after="0"/>
        <w:ind w:firstLine="425"/>
      </w:pPr>
      <w:r>
        <w:rPr>
          <w:rFonts w:ascii="Times New Roman" w:hAnsi="Times New Roman" w:eastAsia="宋体"/>
          <w:b/>
          <w:i w:val="0"/>
          <w:sz w:val="22"/>
        </w:rPr>
        <w:t>贝叶斯纳什均衡</w:t>
      </w:r>
      <w:r>
        <w:rPr>
          <w:rFonts w:ascii="Times New Roman" w:hAnsi="Times New Roman" w:eastAsia="宋体"/>
          <w:b w:val="0"/>
          <w:i w:val="0"/>
          <w:sz w:val="22"/>
        </w:rPr>
        <w:t>：每个参与者选择策略s_i(θ_i)最大化期望效用：</w:t>
      </w:r>
    </w:p>
    <w:p>
      <w:pPr>
        <w:spacing w:before="80" w:after="80"/>
        <w:jc w:val="center"/>
      </w:pPr>
      <m:oMathPara>
        <m:oMath>
          <m:sSub>
            <m:e>
              <m:r>
                <m:t>max</m:t>
              </m:r>
            </m:e>
            <m:sub>
              <m:sSub>
                <m:e>
                  <m:r>
                    <m:t>s</m:t>
                  </m:r>
                </m:e>
                <m:sub>
                  <m:r>
                    <m:t>i</m:t>
                  </m:r>
                </m:sub>
              </m:sSub>
            </m:sub>
          </m:sSub>
          <m:sSub>
            <m:e>
              <m:r>
                <m:t>𝔼</m:t>
              </m:r>
            </m:e>
            <m:sub>
              <m:sSub>
                <m:e>
                  <m:r>
                    <m:t>θ</m:t>
                  </m:r>
                </m:e>
                <m:sub>
                  <m:r>
                    <m:t>−i</m:t>
                  </m:r>
                </m:sub>
              </m:sSub>
            </m:sub>
          </m:sSub>
          <m:r>
            <m:t>[</m:t>
          </m:r>
          <m:sSub>
            <m:e>
              <m:r>
                <m:t>u</m:t>
              </m:r>
            </m:e>
            <m:sub>
              <m:r>
                <m:t>i</m:t>
              </m:r>
            </m:sub>
          </m:sSub>
          <m:r>
            <m:t>(</m:t>
          </m:r>
          <m:sSub>
            <m:e>
              <m:r>
                <m:t>s</m:t>
              </m:r>
            </m:e>
            <m:sub>
              <m:r>
                <m:t>i</m:t>
              </m:r>
            </m:sub>
          </m:sSub>
          <m:r>
            <m:t>(</m:t>
          </m:r>
          <m:sSub>
            <m:e>
              <m:r>
                <m:t>θ</m:t>
              </m:r>
            </m:e>
            <m:sub>
              <m:r>
                <m:t>i</m:t>
              </m:r>
            </m:sub>
          </m:sSub>
          <m:r>
            <m:t>),</m:t>
          </m:r>
          <m:sSub>
            <m:e>
              <m:r>
                <m:t>s</m:t>
              </m:r>
            </m:e>
            <m:sub>
              <m:r>
                <m:t>−i</m:t>
              </m:r>
            </m:sub>
          </m:sSub>
          <m:r>
            <m:t>(</m:t>
          </m:r>
          <m:sSub>
            <m:e>
              <m:r>
                <m:t>θ</m:t>
              </m:r>
            </m:e>
            <m:sub>
              <m:r>
                <m:t>−i</m:t>
              </m:r>
            </m:sub>
          </m:sSub>
          <m:r>
            <m:t>),</m:t>
          </m:r>
          <m:sSub>
            <m:e>
              <m:r>
                <m:t>θ</m:t>
              </m:r>
            </m:e>
            <m:sub>
              <m:r>
                <m:t>i</m:t>
              </m:r>
            </m:sub>
          </m:sSub>
          <m:r>
            <m:t>)]</m:t>
          </m:r>
        </m:oMath>
      </m:oMathPara>
    </w:p>
    <w:p>
      <w:pPr>
        <w:spacing w:line="360" w:lineRule="auto" w:after="0"/>
        <w:ind w:firstLine="0"/>
      </w:pPr>
      <w:r>
        <w:rPr>
          <w:rFonts w:ascii="Times New Roman" w:hAnsi="Times New Roman" w:eastAsia="宋体"/>
          <w:b/>
          <w:i w:val="0"/>
          <w:sz w:val="22"/>
        </w:rPr>
        <w:t>在定价中的应用</w:t>
      </w:r>
      <w:r>
        <w:rPr>
          <w:rFonts w:ascii="Times New Roman" w:hAnsi="Times New Roman" w:eastAsia="宋体"/>
          <w:b w:val="0"/>
          <w:i w:val="0"/>
          <w:sz w:val="22"/>
        </w:rPr>
        <w:t>：零售商不知道用户的确切效用函数参数，但知道参数的分布。基于贝叶斯博弈的定价策略可以在信息不完全的情况下实现次优的社会福利。</w:t>
      </w:r>
    </w:p>
    <w:p>
      <w:pPr>
        <w:pStyle w:val="Heading3"/>
        <w:spacing w:before="160" w:after="60"/>
      </w:pPr>
      <w:r>
        <w:rPr>
          <w:rFonts w:ascii="Times New Roman" w:hAnsi="Times New Roman" w:eastAsia="黑体"/>
          <w:b/>
          <w:i w:val="0"/>
          <w:sz w:val="24"/>
        </w:rPr>
        <w:t>拍卖机制设计</w:t>
      </w:r>
    </w:p>
    <w:p>
      <w:pPr>
        <w:spacing w:line="360" w:lineRule="auto" w:after="0"/>
        <w:ind w:firstLine="425"/>
      </w:pPr>
      <w:r>
        <w:rPr>
          <w:rFonts w:ascii="Times New Roman" w:hAnsi="Times New Roman" w:eastAsia="宋体"/>
          <w:b w:val="0"/>
          <w:i w:val="0"/>
          <w:sz w:val="22"/>
        </w:rPr>
        <w:t>拍卖机制是处理多参与者资源配置的有力工具：</w:t>
      </w:r>
    </w:p>
    <w:p>
      <w:pPr>
        <w:spacing w:line="360" w:lineRule="auto" w:after="0"/>
        <w:ind w:firstLine="425"/>
      </w:pPr>
      <w:r>
        <w:rPr>
          <w:rFonts w:ascii="Times New Roman" w:hAnsi="Times New Roman" w:eastAsia="宋体"/>
          <w:b/>
          <w:i w:val="0"/>
          <w:sz w:val="22"/>
        </w:rPr>
        <w:t>VCG机制</w:t>
      </w:r>
      <w:r>
        <w:rPr>
          <w:rFonts w:ascii="Times New Roman" w:hAnsi="Times New Roman" w:eastAsia="宋体"/>
          <w:b w:val="0"/>
          <w:i w:val="0"/>
          <w:sz w:val="22"/>
        </w:rPr>
        <w:t>：每个参与者支付其对社会其他成员的外部性（即其存在对其他人总效用的减少）。VCG机制是激励兼容的——如实报告真实估值是每个参与者的最优策略。</w:t>
      </w:r>
    </w:p>
    <w:p>
      <w:pPr>
        <w:spacing w:line="360" w:lineRule="auto" w:after="0"/>
        <w:ind w:firstLine="425"/>
      </w:pPr>
      <w:r>
        <w:rPr>
          <w:rFonts w:ascii="Times New Roman" w:hAnsi="Times New Roman" w:eastAsia="宋体"/>
          <w:b/>
          <w:i w:val="0"/>
          <w:sz w:val="22"/>
        </w:rPr>
        <w:t>统一价格拍卖</w:t>
      </w:r>
      <w:r>
        <w:rPr>
          <w:rFonts w:ascii="Times New Roman" w:hAnsi="Times New Roman" w:eastAsia="宋体"/>
          <w:b w:val="0"/>
          <w:i w:val="0"/>
          <w:sz w:val="22"/>
        </w:rPr>
        <w:t>：所有中标者按边际价格结算。统一价格拍卖在电力市场中广泛应用（如日前市场出清）。</w:t>
      </w:r>
    </w:p>
    <w:p>
      <w:pPr>
        <w:spacing w:line="360" w:lineRule="auto" w:after="0"/>
        <w:ind w:firstLine="425"/>
      </w:pPr>
      <w:r>
        <w:rPr>
          <w:rFonts w:ascii="Times New Roman" w:hAnsi="Times New Roman" w:eastAsia="宋体"/>
          <w:b/>
          <w:i w:val="0"/>
          <w:sz w:val="22"/>
        </w:rPr>
        <w:t>差别价格拍卖</w:t>
      </w:r>
      <w:r>
        <w:rPr>
          <w:rFonts w:ascii="Times New Roman" w:hAnsi="Times New Roman" w:eastAsia="宋体"/>
          <w:b w:val="0"/>
          <w:i w:val="0"/>
          <w:sz w:val="22"/>
        </w:rPr>
        <w:t>：每个中标者按自己的报价结算。差别价格拍卖的收入更高但激励兼容性较差。</w:t>
      </w:r>
    </w:p>
    <w:p>
      <w:pPr>
        <w:spacing w:line="360" w:lineRule="auto" w:after="0"/>
        <w:ind w:firstLine="425"/>
      </w:pPr>
      <w:r>
        <w:rPr>
          <w:rFonts w:ascii="Times New Roman" w:hAnsi="Times New Roman" w:eastAsia="宋体"/>
          <w:b w:val="0"/>
          <w:i w:val="0"/>
          <w:sz w:val="22"/>
        </w:rPr>
        <w:t>Sen等（2021）研究了智能电网中的歧视性定价机制，分析了差别定价在多类型用户场景下的效果。</w:t>
      </w:r>
    </w:p>
    <w:p>
      <w:pPr>
        <w:pStyle w:val="Heading3"/>
        <w:spacing w:before="160" w:after="60"/>
      </w:pPr>
      <w:r>
        <w:rPr>
          <w:rFonts w:ascii="Times New Roman" w:hAnsi="Times New Roman" w:eastAsia="黑体"/>
          <w:b/>
          <w:i w:val="0"/>
          <w:sz w:val="24"/>
        </w:rPr>
        <w:t>合作博弈的效益分配方法</w:t>
      </w:r>
    </w:p>
    <w:p>
      <w:pPr>
        <w:spacing w:line="360" w:lineRule="auto" w:after="0"/>
        <w:ind w:firstLine="425"/>
      </w:pPr>
      <w:r>
        <w:rPr>
          <w:rFonts w:ascii="Times New Roman" w:hAnsi="Times New Roman" w:eastAsia="宋体"/>
          <w:b/>
          <w:i w:val="0"/>
          <w:sz w:val="22"/>
        </w:rPr>
        <w:t>Shapley值计算</w:t>
      </w:r>
      <w:r>
        <w:rPr>
          <w:rFonts w:ascii="Times New Roman" w:hAnsi="Times New Roman" w:eastAsia="宋体"/>
          <w:b w:val="0"/>
          <w:i w:val="0"/>
          <w:sz w:val="22"/>
        </w:rPr>
        <w:t>：对于N个参与者，Shapley值的计算需要枚举所有2^N个子联盟，计算复杂度O(2^N)。对于大规模问题，需要近似算法。</w:t>
      </w:r>
    </w:p>
    <w:p>
      <w:pPr>
        <w:spacing w:line="360" w:lineRule="auto" w:after="0"/>
        <w:ind w:firstLine="425"/>
      </w:pPr>
      <w:r>
        <w:rPr>
          <w:rFonts w:ascii="Times New Roman" w:hAnsi="Times New Roman" w:eastAsia="宋体"/>
          <w:b/>
          <w:i w:val="0"/>
          <w:sz w:val="22"/>
        </w:rPr>
        <w:t>核的判断</w:t>
      </w:r>
      <w:r>
        <w:rPr>
          <w:rFonts w:ascii="Times New Roman" w:hAnsi="Times New Roman" w:eastAsia="宋体"/>
          <w:b w:val="0"/>
          <w:i w:val="0"/>
          <w:sz w:val="22"/>
        </w:rPr>
        <w:t>：判断核是否非空需要检查所有2^N个子联盟的约束，同样面临计算复杂度问题。通过线性规划可以高效判断核的非空性。</w:t>
      </w:r>
    </w:p>
    <w:p>
      <w:pPr>
        <w:spacing w:line="360" w:lineRule="auto" w:after="0"/>
        <w:ind w:firstLine="425"/>
      </w:pPr>
      <w:r>
        <w:rPr>
          <w:rFonts w:ascii="Times New Roman" w:hAnsi="Times New Roman" w:eastAsia="宋体"/>
          <w:b/>
          <w:i w:val="0"/>
          <w:sz w:val="22"/>
        </w:rPr>
        <w:t>实际应用</w:t>
      </w:r>
      <w:r>
        <w:rPr>
          <w:rFonts w:ascii="Times New Roman" w:hAnsi="Times New Roman" w:eastAsia="宋体"/>
          <w:b w:val="0"/>
          <w:i w:val="0"/>
          <w:sz w:val="22"/>
        </w:rPr>
        <w:t>：在多零售商效益分配中，Shapley值为每个零售商分配与其边际贡献成比例的效益。这种方法被认为是最公平的分配方案之一。</w:t>
      </w:r>
    </w:p>
    <w:p>
      <w:pPr>
        <w:pStyle w:val="Heading3"/>
        <w:spacing w:before="160" w:after="60"/>
      </w:pPr>
      <w:r>
        <w:rPr>
          <w:rFonts w:ascii="Times New Roman" w:hAnsi="Times New Roman" w:eastAsia="黑体"/>
          <w:b/>
          <w:i w:val="0"/>
          <w:sz w:val="24"/>
        </w:rPr>
        <w:t>演化博弈与定价策略扩散</w:t>
      </w:r>
    </w:p>
    <w:p>
      <w:pPr>
        <w:spacing w:line="360" w:lineRule="auto" w:after="0"/>
        <w:ind w:firstLine="425"/>
      </w:pPr>
      <w:r>
        <w:rPr>
          <w:rFonts w:ascii="Times New Roman" w:hAnsi="Times New Roman" w:eastAsia="宋体"/>
          <w:b w:val="0"/>
          <w:i w:val="0"/>
          <w:sz w:val="22"/>
        </w:rPr>
        <w:t>演化博弈论分析定价策略在长期竞争中的演化：</w:t>
      </w:r>
    </w:p>
    <w:p>
      <w:pPr>
        <w:spacing w:line="360" w:lineRule="auto" w:after="0"/>
        <w:ind w:firstLine="425"/>
      </w:pPr>
      <w:r>
        <w:rPr>
          <w:rFonts w:ascii="Times New Roman" w:hAnsi="Times New Roman" w:eastAsia="宋体"/>
          <w:b/>
          <w:i w:val="0"/>
          <w:sz w:val="22"/>
        </w:rPr>
        <w:t>策略空间</w:t>
      </w:r>
      <w:r>
        <w:rPr>
          <w:rFonts w:ascii="Times New Roman" w:hAnsi="Times New Roman" w:eastAsia="宋体"/>
          <w:b w:val="0"/>
          <w:i w:val="0"/>
          <w:sz w:val="22"/>
        </w:rPr>
        <w:t>：零售商可以选择不同的定价策略（如RTP、TOU、固定电价、CPP等）。</w:t>
      </w:r>
    </w:p>
    <w:p>
      <w:pPr>
        <w:spacing w:line="360" w:lineRule="auto" w:after="0"/>
        <w:ind w:firstLine="425"/>
      </w:pPr>
      <w:r>
        <w:rPr>
          <w:rFonts w:ascii="Times New Roman" w:hAnsi="Times New Roman" w:eastAsia="宋体"/>
          <w:b/>
          <w:i w:val="0"/>
          <w:sz w:val="22"/>
        </w:rPr>
        <w:t>适应度函数</w:t>
      </w:r>
      <w:r>
        <w:rPr>
          <w:rFonts w:ascii="Times New Roman" w:hAnsi="Times New Roman" w:eastAsia="宋体"/>
          <w:b w:val="0"/>
          <w:i w:val="0"/>
          <w:sz w:val="22"/>
        </w:rPr>
        <w:t>：策略的适应度等于采用该策略的零售商的平均利润。</w:t>
      </w:r>
    </w:p>
    <w:p>
      <w:pPr>
        <w:spacing w:line="360" w:lineRule="auto" w:after="0"/>
        <w:ind w:firstLine="425"/>
      </w:pPr>
      <w:r>
        <w:rPr>
          <w:rFonts w:ascii="Times New Roman" w:hAnsi="Times New Roman" w:eastAsia="宋体"/>
          <w:b/>
          <w:i w:val="0"/>
          <w:sz w:val="22"/>
        </w:rPr>
        <w:t>复制者动态</w:t>
      </w:r>
      <w:r>
        <w:rPr>
          <w:rFonts w:ascii="Times New Roman" w:hAnsi="Times New Roman" w:eastAsia="宋体"/>
          <w:b w:val="0"/>
          <w:i w:val="0"/>
          <w:sz w:val="22"/>
        </w:rPr>
        <w:t>： dots_k = s_k[π_k(s) - barπ(s)]，其中s_k是策略k的比例，π_k是策略k的适应度， barπ是平均适应度。</w:t>
      </w:r>
    </w:p>
    <w:p>
      <w:pPr>
        <w:spacing w:line="360" w:lineRule="auto" w:after="0"/>
        <w:ind w:firstLine="425"/>
      </w:pPr>
      <w:r>
        <w:rPr>
          <w:rFonts w:ascii="Times New Roman" w:hAnsi="Times New Roman" w:eastAsia="宋体"/>
          <w:b/>
          <w:i w:val="0"/>
          <w:sz w:val="22"/>
        </w:rPr>
        <w:t>演化稳定策略</w:t>
      </w:r>
      <w:r>
        <w:rPr>
          <w:rFonts w:ascii="Times New Roman" w:hAnsi="Times New Roman" w:eastAsia="宋体"/>
          <w:b w:val="0"/>
          <w:i w:val="0"/>
          <w:sz w:val="22"/>
        </w:rPr>
        <w:t>：如果RTP是ESS，则即使有小部分零售商采用其他策略，RTP最终仍会占据主导。这为RTP的市场推广提供了理论支撑。</w:t>
      </w:r>
    </w:p>
    <w:p>
      <w:pPr>
        <w:pStyle w:val="Heading3"/>
        <w:spacing w:before="160" w:after="60"/>
      </w:pPr>
      <w:r>
        <w:rPr>
          <w:rFonts w:ascii="Times New Roman" w:hAnsi="Times New Roman" w:eastAsia="黑体"/>
          <w:b/>
          <w:i w:val="0"/>
          <w:sz w:val="24"/>
        </w:rPr>
        <w:t>博弈论定价的计算方法</w:t>
      </w:r>
    </w:p>
    <w:p>
      <w:pPr>
        <w:spacing w:line="360" w:lineRule="auto" w:after="0"/>
        <w:ind w:firstLine="425"/>
      </w:pPr>
      <w:r>
        <w:rPr>
          <w:rFonts w:ascii="Times New Roman" w:hAnsi="Times New Roman" w:eastAsia="宋体"/>
          <w:b/>
          <w:i w:val="0"/>
          <w:sz w:val="22"/>
        </w:rPr>
        <w:t>迭代最佳响应</w:t>
      </w:r>
      <w:r>
        <w:rPr>
          <w:rFonts w:ascii="Times New Roman" w:hAnsi="Times New Roman" w:eastAsia="宋体"/>
          <w:b w:val="0"/>
          <w:i w:val="0"/>
          <w:sz w:val="22"/>
        </w:rPr>
        <w:t>：参与者轮流更新策略。优点是简单易实现，缺点是收敛速度慢且可能不收敛。</w:t>
      </w:r>
    </w:p>
    <w:p>
      <w:pPr>
        <w:spacing w:line="360" w:lineRule="auto" w:after="0"/>
        <w:ind w:firstLine="425"/>
      </w:pPr>
      <w:r>
        <w:rPr>
          <w:rFonts w:ascii="Times New Roman" w:hAnsi="Times New Roman" w:eastAsia="宋体"/>
          <w:b/>
          <w:i w:val="0"/>
          <w:sz w:val="22"/>
        </w:rPr>
        <w:t>不动点迭代</w:t>
      </w:r>
      <w:r>
        <w:rPr>
          <w:rFonts w:ascii="Times New Roman" w:hAnsi="Times New Roman" w:eastAsia="宋体"/>
          <w:b w:val="0"/>
          <w:i w:val="0"/>
          <w:sz w:val="22"/>
        </w:rPr>
        <w:t>：将均衡条件转化为不动点问题x = T(x)，通过迭代x_k+1 = T(x_k)求解。收敛性依赖于T的压缩性。</w:t>
      </w:r>
    </w:p>
    <w:p>
      <w:pPr>
        <w:spacing w:line="360" w:lineRule="auto" w:after="0"/>
        <w:ind w:firstLine="425"/>
      </w:pPr>
      <w:r>
        <w:rPr>
          <w:rFonts w:ascii="Times New Roman" w:hAnsi="Times New Roman" w:eastAsia="宋体"/>
          <w:b/>
          <w:i w:val="0"/>
          <w:sz w:val="22"/>
        </w:rPr>
        <w:t>同伦方法</w:t>
      </w:r>
      <w:r>
        <w:rPr>
          <w:rFonts w:ascii="Times New Roman" w:hAnsi="Times New Roman" w:eastAsia="宋体"/>
          <w:b w:val="0"/>
          <w:i w:val="0"/>
          <w:sz w:val="22"/>
        </w:rPr>
        <w:t>：从已知的简单问题出发，逐步变形到目标问题。同伦方法可以找到所有均衡点，但计算量大。</w:t>
      </w:r>
    </w:p>
    <w:p>
      <w:pPr>
        <w:spacing w:line="360" w:lineRule="auto" w:after="0"/>
        <w:ind w:firstLine="425"/>
      </w:pPr>
      <w:r>
        <w:rPr>
          <w:rFonts w:ascii="Times New Roman" w:hAnsi="Times New Roman" w:eastAsia="宋体"/>
          <w:b/>
          <w:i w:val="0"/>
          <w:sz w:val="22"/>
        </w:rPr>
        <w:t>学习算法</w:t>
      </w:r>
      <w:r>
        <w:rPr>
          <w:rFonts w:ascii="Times New Roman" w:hAnsi="Times New Roman" w:eastAsia="宋体"/>
          <w:b w:val="0"/>
          <w:i w:val="0"/>
          <w:sz w:val="22"/>
        </w:rPr>
        <w:t>：FSP和CFR等学习算法通过反复博弈学习均衡策略。这些算法特别适合不完全信息博弈。</w:t>
      </w:r>
    </w:p>
    <w:p>
      <w:pPr>
        <w:pStyle w:val="Heading3"/>
        <w:spacing w:before="160" w:after="60"/>
      </w:pPr>
      <w:r>
        <w:rPr>
          <w:rFonts w:ascii="Times New Roman" w:hAnsi="Times New Roman" w:eastAsia="黑体"/>
          <w:b/>
          <w:i w:val="0"/>
          <w:sz w:val="24"/>
        </w:rPr>
        <w:t>博弈论定价的局限性</w:t>
      </w:r>
    </w:p>
    <w:p>
      <w:pPr>
        <w:spacing w:line="360" w:lineRule="auto" w:after="0"/>
        <w:ind w:firstLine="425"/>
      </w:pPr>
      <w:r>
        <w:rPr>
          <w:rFonts w:ascii="Times New Roman" w:hAnsi="Times New Roman" w:eastAsia="宋体"/>
          <w:b w:val="0"/>
          <w:i w:val="0"/>
          <w:sz w:val="22"/>
        </w:rPr>
        <w:t>博弈论方法虽然强大，但也存在局限性：</w:t>
      </w:r>
    </w:p>
    <w:p>
      <w:pPr>
        <w:spacing w:line="360" w:lineRule="auto" w:after="0"/>
        <w:ind w:firstLine="425"/>
      </w:pPr>
      <w:r>
        <w:rPr>
          <w:rFonts w:ascii="Times New Roman" w:hAnsi="Times New Roman" w:eastAsia="宋体"/>
          <w:b/>
          <w:i w:val="0"/>
          <w:sz w:val="22"/>
        </w:rPr>
        <w:t>理性假设</w:t>
      </w:r>
      <w:r>
        <w:rPr>
          <w:rFonts w:ascii="Times New Roman" w:hAnsi="Times New Roman" w:eastAsia="宋体"/>
          <w:b w:val="0"/>
          <w:i w:val="0"/>
          <w:sz w:val="22"/>
        </w:rPr>
        <w:t>：博弈论假设参与者完全理性，但实际中参与者的决策受认知偏差影响。</w:t>
      </w:r>
    </w:p>
    <w:p>
      <w:pPr>
        <w:spacing w:line="360" w:lineRule="auto" w:after="0"/>
        <w:ind w:firstLine="425"/>
      </w:pPr>
      <w:r>
        <w:rPr>
          <w:rFonts w:ascii="Times New Roman" w:hAnsi="Times New Roman" w:eastAsia="宋体"/>
          <w:b/>
          <w:i w:val="0"/>
          <w:sz w:val="22"/>
        </w:rPr>
        <w:t>信息假设</w:t>
      </w:r>
      <w:r>
        <w:rPr>
          <w:rFonts w:ascii="Times New Roman" w:hAnsi="Times New Roman" w:eastAsia="宋体"/>
          <w:b w:val="0"/>
          <w:i w:val="0"/>
          <w:sz w:val="22"/>
        </w:rPr>
        <w:t>：完全信息博弈假设所有参与者了解彼此的支付函数，实际中信息通常不完全。</w:t>
      </w:r>
    </w:p>
    <w:p>
      <w:pPr>
        <w:spacing w:line="360" w:lineRule="auto" w:after="0"/>
        <w:ind w:firstLine="425"/>
      </w:pPr>
      <w:r>
        <w:rPr>
          <w:rFonts w:ascii="Times New Roman" w:hAnsi="Times New Roman" w:eastAsia="宋体"/>
          <w:b/>
          <w:i w:val="0"/>
          <w:sz w:val="22"/>
        </w:rPr>
        <w:t>静态分析</w:t>
      </w:r>
      <w:r>
        <w:rPr>
          <w:rFonts w:ascii="Times New Roman" w:hAnsi="Times New Roman" w:eastAsia="宋体"/>
          <w:b w:val="0"/>
          <w:i w:val="0"/>
          <w:sz w:val="22"/>
        </w:rPr>
        <w:t>：传统博弈论分析静态均衡，但实际市场是动态的，均衡可能随时间变化。</w:t>
      </w:r>
    </w:p>
    <w:p>
      <w:pPr>
        <w:spacing w:line="360" w:lineRule="auto" w:after="0"/>
        <w:ind w:firstLine="425"/>
      </w:pPr>
      <w:r>
        <w:rPr>
          <w:rFonts w:ascii="Times New Roman" w:hAnsi="Times New Roman" w:eastAsia="宋体"/>
          <w:b/>
          <w:i w:val="0"/>
          <w:sz w:val="22"/>
        </w:rPr>
        <w:t>均衡多重性</w:t>
      </w:r>
      <w:r>
        <w:rPr>
          <w:rFonts w:ascii="Times New Roman" w:hAnsi="Times New Roman" w:eastAsia="宋体"/>
          <w:b w:val="0"/>
          <w:i w:val="0"/>
          <w:sz w:val="22"/>
        </w:rPr>
        <w:t>：博弈可能存在多个均衡，选择哪个均衡不确定。</w:t>
      </w:r>
    </w:p>
    <w:p>
      <w:pPr>
        <w:spacing w:line="360" w:lineRule="auto" w:after="0"/>
        <w:ind w:firstLine="425"/>
      </w:pPr>
      <w:r>
        <w:rPr>
          <w:rFonts w:ascii="Times New Roman" w:hAnsi="Times New Roman" w:eastAsia="宋体"/>
          <w:b/>
          <w:i w:val="0"/>
          <w:sz w:val="22"/>
        </w:rPr>
        <w:t>计算复杂性</w:t>
      </w:r>
      <w:r>
        <w:rPr>
          <w:rFonts w:ascii="Times New Roman" w:hAnsi="Times New Roman" w:eastAsia="宋体"/>
          <w:b w:val="0"/>
          <w:i w:val="0"/>
          <w:sz w:val="22"/>
        </w:rPr>
        <w:t>：大规模博弈的均衡求解可能是NP难的。</w:t>
      </w:r>
    </w:p>
    <w:p>
      <w:pPr>
        <w:spacing w:line="360" w:lineRule="auto" w:after="0"/>
        <w:ind w:firstLine="425"/>
      </w:pPr>
      <w:r>
        <w:rPr>
          <w:rFonts w:ascii="Times New Roman" w:hAnsi="Times New Roman" w:eastAsia="宋体"/>
          <w:b w:val="0"/>
          <w:i w:val="0"/>
          <w:sz w:val="22"/>
        </w:rPr>
        <w:t>这些局限性促使研究者将博弈论与其他方法（如强化学习、行为经济学）结合，以获得更贴近实际的定价模型。</w:t>
      </w:r>
    </w:p>
    <w:p>
      <w:pPr>
        <w:pStyle w:val="Heading2"/>
        <w:spacing w:before="240" w:after="80"/>
      </w:pPr>
      <w:r>
        <w:rPr>
          <w:rFonts w:ascii="Times New Roman" w:hAnsi="Times New Roman" w:eastAsia="黑体"/>
          <w:b/>
          <w:i w:val="0"/>
          <w:sz w:val="28"/>
        </w:rPr>
        <w:t>6.11 互补问题求解方法的深化</w:t>
      </w:r>
    </w:p>
    <w:p>
      <w:pPr>
        <w:pStyle w:val="Heading3"/>
        <w:spacing w:before="160" w:after="60"/>
      </w:pPr>
      <w:r>
        <w:rPr>
          <w:rFonts w:ascii="Times New Roman" w:hAnsi="Times New Roman" w:eastAsia="黑体"/>
          <w:b/>
          <w:i w:val="0"/>
          <w:sz w:val="24"/>
        </w:rPr>
        <w:t>互补问题分类与求解策略</w:t>
      </w:r>
    </w:p>
    <w:p>
      <w:pPr>
        <w:spacing w:line="360" w:lineRule="auto" w:after="0"/>
        <w:ind w:firstLine="425"/>
      </w:pPr>
      <w:r>
        <w:rPr>
          <w:rFonts w:ascii="Times New Roman" w:hAnsi="Times New Roman" w:eastAsia="宋体"/>
          <w:b w:val="0"/>
          <w:i w:val="0"/>
          <w:sz w:val="22"/>
        </w:rPr>
        <w:t>互补问题是实时定价数学建模的核心工具，根据其结构特征可以分为几大类。线性互补问题（LCP）中映射函数为线性，是最基本且研究最充分的类型。Lemke算法是求解LCP的经典方法，基于单纯形法的变形，能够处理退化情形。对于大规模稀疏LCP，预处理共轭梯度法和矩阵分裂方法更为高效。</w:t>
      </w:r>
    </w:p>
    <w:p>
      <w:pPr>
        <w:spacing w:line="360" w:lineRule="auto" w:after="0"/>
        <w:ind w:firstLine="425"/>
      </w:pPr>
      <w:r>
        <w:rPr>
          <w:rFonts w:ascii="Times New Roman" w:hAnsi="Times New Roman" w:eastAsia="宋体"/>
          <w:b w:val="0"/>
          <w:i w:val="0"/>
          <w:sz w:val="22"/>
        </w:rPr>
        <w:t>非线性互补问题（NCP）中映射函数为非线性，常见于含有非线性需求函数或非线性成本函数的实时定价模型。半光滑牛顿法是求解NCP的主要方法，利用NCP函数的半光滑性质构造广义雅可比矩阵，实现超线性收敛。光滑化方法将非光滑NCP函数用光滑近似替代，在近似精度和计算效率之间取得平衡。</w:t>
      </w:r>
    </w:p>
    <w:p>
      <w:pPr>
        <w:spacing w:line="360" w:lineRule="auto" w:after="0"/>
        <w:ind w:firstLine="425"/>
      </w:pPr>
      <w:r>
        <w:rPr>
          <w:rFonts w:ascii="Times New Roman" w:hAnsi="Times New Roman" w:eastAsia="宋体"/>
          <w:b w:val="0"/>
          <w:i w:val="0"/>
          <w:sz w:val="22"/>
        </w:rPr>
        <w:t>混合互补问题（MCP）同时包含等式和不等式约束，是实时定价模型最常见的结构。PATH求解器是MCP的商业标准工具，基于投影-收缩法框架。开源工具如Complementarity.jl（Julia语言）和GAMS/PATH提供了灵活的建模和求解环境。</w:t>
      </w:r>
    </w:p>
    <w:p>
      <w:pPr>
        <w:pStyle w:val="Heading3"/>
        <w:spacing w:before="160" w:after="60"/>
      </w:pPr>
      <w:r>
        <w:rPr>
          <w:rFonts w:ascii="Times New Roman" w:hAnsi="Times New Roman" w:eastAsia="黑体"/>
          <w:b/>
          <w:i w:val="0"/>
          <w:sz w:val="24"/>
        </w:rPr>
        <w:t>互补问题的存在性与唯一性</w:t>
      </w:r>
    </w:p>
    <w:p>
      <w:pPr>
        <w:spacing w:line="360" w:lineRule="auto" w:after="0"/>
        <w:ind w:firstLine="425"/>
      </w:pPr>
      <w:r>
        <w:rPr>
          <w:rFonts w:ascii="Times New Roman" w:hAnsi="Times New Roman" w:eastAsia="宋体"/>
          <w:b w:val="0"/>
          <w:i w:val="0"/>
          <w:sz w:val="22"/>
        </w:rPr>
        <w:t>互补问题解的存在性是实时定价有效性的理论基础。对于LCP，存在性的充分条件包括矩阵的P-性质（所有主子式为正）、半正性等。对于NCP，存在性的充分条件通常要求映射满足某种形式的单调性或强制性。</w:t>
      </w:r>
    </w:p>
    <w:p>
      <w:pPr>
        <w:spacing w:line="360" w:lineRule="auto" w:after="0"/>
        <w:ind w:firstLine="425"/>
      </w:pPr>
      <w:r>
        <w:rPr>
          <w:rFonts w:ascii="Times New Roman" w:hAnsi="Times New Roman" w:eastAsia="宋体"/>
          <w:b w:val="0"/>
          <w:i w:val="0"/>
          <w:sz w:val="22"/>
        </w:rPr>
        <w:t>唯一性条件对实时定价的确定性至关重要。强单调性是保证唯一性的经典充分条件，但这一条件在许多实际场景中过强。一致P-性质是较弱的条件，仍能保证解的唯一性。对于分段线性映射（如含分段线性需求函数的定价模型），唯一性分析需要考虑分段的连续性和单调性。</w:t>
      </w:r>
    </w:p>
    <w:p>
      <w:pPr>
        <w:spacing w:line="360" w:lineRule="auto" w:after="0"/>
        <w:ind w:firstLine="425"/>
      </w:pPr>
      <w:r>
        <w:rPr>
          <w:rFonts w:ascii="Times New Roman" w:hAnsi="Times New Roman" w:eastAsia="宋体"/>
          <w:b w:val="0"/>
          <w:i w:val="0"/>
          <w:sz w:val="22"/>
        </w:rPr>
        <w:t>当存在性或唯一性条件不满足时，实时定价可能出现无解或多解的情况。无解意味着市场无法达到均衡，通常表明模型设定存在矛盾（如约束冲突）。多解意味着存在多个可能的市场均衡，需要额外的选择机制。在实际应用中，通过引入正则化项或松弛变量可以缓解这些问题。</w:t>
      </w:r>
    </w:p>
    <w:p>
      <w:pPr>
        <w:pStyle w:val="Heading3"/>
        <w:spacing w:before="160" w:after="60"/>
      </w:pPr>
      <w:r>
        <w:rPr>
          <w:rFonts w:ascii="Times New Roman" w:hAnsi="Times New Roman" w:eastAsia="黑体"/>
          <w:b/>
          <w:i w:val="0"/>
          <w:sz w:val="24"/>
        </w:rPr>
        <w:t>大规模互补问题的分解方法</w:t>
      </w:r>
    </w:p>
    <w:p>
      <w:pPr>
        <w:spacing w:line="360" w:lineRule="auto" w:after="0"/>
        <w:ind w:firstLine="425"/>
      </w:pPr>
      <w:r>
        <w:rPr>
          <w:rFonts w:ascii="Times New Roman" w:hAnsi="Times New Roman" w:eastAsia="宋体"/>
          <w:b w:val="0"/>
          <w:i w:val="0"/>
          <w:sz w:val="22"/>
        </w:rPr>
        <w:t>实际电力系统的互补问题可能包含数万个变量和约束，直接求解计算量巨大。分解方法将大规模问题分解为若干小规模子问题，通过迭代协调获得全局解。</w:t>
      </w:r>
    </w:p>
    <w:p>
      <w:pPr>
        <w:spacing w:line="360" w:lineRule="auto" w:after="0"/>
        <w:ind w:firstLine="425"/>
      </w:pPr>
      <w:r>
        <w:rPr>
          <w:rFonts w:ascii="Times New Roman" w:hAnsi="Times New Roman" w:eastAsia="宋体"/>
          <w:b w:val="0"/>
          <w:i w:val="0"/>
          <w:sz w:val="22"/>
        </w:rPr>
        <w:t>Benders分解将变量分为复杂变量和简单变量，固定复杂变量后求解简单变量的子问题，通过割平面逐步逼近最优解。在实时定价中，Benders分解可以用于处理整数变量（如机组启停）和连续变量（如出力水平）的耦合。</w:t>
      </w:r>
    </w:p>
    <w:p>
      <w:pPr>
        <w:spacing w:line="360" w:lineRule="auto" w:after="0"/>
        <w:ind w:firstLine="425"/>
      </w:pPr>
      <w:r>
        <w:rPr>
          <w:rFonts w:ascii="Times New Roman" w:hAnsi="Times New Roman" w:eastAsia="宋体"/>
          <w:b w:val="0"/>
          <w:i w:val="0"/>
          <w:sz w:val="22"/>
        </w:rPr>
        <w:t>Schur补分解利用问题矩阵的块结构，将大规模线性方程组分解为多个小规模方程组并行求解。这种方法特别适合多区域电力市场的互补问题，各区域的子问题可以独立求解，仅需交换边界变量。</w:t>
      </w:r>
    </w:p>
    <w:p>
      <w:pPr>
        <w:spacing w:line="360" w:lineRule="auto" w:after="0"/>
        <w:ind w:firstLine="425"/>
      </w:pPr>
      <w:r>
        <w:rPr>
          <w:rFonts w:ascii="Times New Roman" w:hAnsi="Times New Roman" w:eastAsia="宋体"/>
          <w:b w:val="0"/>
          <w:i w:val="0"/>
          <w:sz w:val="22"/>
        </w:rPr>
        <w:t>区域分解方法将电网按地理区域划分，各区域独立求解本地互补问题，通过联络线功率的迭代调整实现全局协调。这种方法天然适合分布式计算架构，且可以利用现有的区域调度系统。</w:t>
      </w:r>
    </w:p>
    <w:p>
      <w:pPr>
        <w:pStyle w:val="Heading3"/>
        <w:spacing w:before="160" w:after="60"/>
      </w:pPr>
      <w:r>
        <w:rPr>
          <w:rFonts w:ascii="Times New Roman" w:hAnsi="Times New Roman" w:eastAsia="黑体"/>
          <w:b/>
          <w:i w:val="0"/>
          <w:sz w:val="24"/>
        </w:rPr>
        <w:t>互补问题与数学规划的等价转化</w:t>
      </w:r>
    </w:p>
    <w:p>
      <w:pPr>
        <w:spacing w:line="360" w:lineRule="auto" w:after="0"/>
        <w:ind w:firstLine="425"/>
      </w:pPr>
      <w:r>
        <w:rPr>
          <w:rFonts w:ascii="Times New Roman" w:hAnsi="Times New Roman" w:eastAsia="宋体"/>
          <w:b w:val="0"/>
          <w:i w:val="0"/>
          <w:sz w:val="22"/>
        </w:rPr>
        <w:t>互补问题可以通过多种方式转化为等价的数学规划问题，从而利用成熟的优化算法求解。非线性规划的KKT条件本身就是互补条件，因此互补问题可以视为某些数学规划问题的KKT系统。</w:t>
      </w:r>
    </w:p>
    <w:p>
      <w:pPr>
        <w:spacing w:line="360" w:lineRule="auto" w:after="0"/>
        <w:ind w:firstLine="425"/>
      </w:pPr>
      <w:r>
        <w:rPr>
          <w:rFonts w:ascii="Times New Roman" w:hAnsi="Times New Roman" w:eastAsia="宋体"/>
          <w:b w:val="0"/>
          <w:i w:val="0"/>
          <w:sz w:val="22"/>
        </w:rPr>
        <w:t>正则化方法将互补问题转化为无约束优化问题。Fischer-Burmeister正则化将NCP转化为最小化 Σ_i Φ(F_i(x), x_i)^2 的问题，可以利用Levenberg-Marquardt等无约束优化算法求解。正则化参数的选择需要在收敛性和求解精度之间平衡。</w:t>
      </w:r>
    </w:p>
    <w:p>
      <w:pPr>
        <w:spacing w:line="360" w:lineRule="auto" w:after="0"/>
        <w:ind w:firstLine="425"/>
      </w:pPr>
      <w:r>
        <w:rPr>
          <w:rFonts w:ascii="Times New Roman" w:hAnsi="Times New Roman" w:eastAsia="宋体"/>
          <w:b w:val="0"/>
          <w:i w:val="0"/>
          <w:sz w:val="22"/>
        </w:rPr>
        <w:t>罚函数方法在可行域外引入罚项，将约束优化问题转化为无约束问题。内点法是罚函数方法的现代发展，通过障碍函数在可行域内部逼近最优解。内点法在理论和实践上都取得了巨大成功，是当前求解大规模互补问题的主流方法之一。其多项式时间复杂度保证和良好的实际性能使其成为实时定价算法的首选。</w:t>
      </w:r>
    </w:p>
    <w:p>
      <w:pPr>
        <w:pStyle w:val="Heading2"/>
        <w:spacing w:before="240" w:after="80"/>
      </w:pPr>
      <w:r>
        <w:rPr>
          <w:rFonts w:ascii="Times New Roman" w:hAnsi="Times New Roman" w:eastAsia="黑体"/>
          <w:b/>
          <w:i w:val="0"/>
          <w:sz w:val="28"/>
        </w:rPr>
        <w:t>6.12 互补问题的工程实现与软件工具</w:t>
      </w:r>
    </w:p>
    <w:p>
      <w:pPr>
        <w:pStyle w:val="Heading3"/>
        <w:spacing w:before="160" w:after="60"/>
      </w:pPr>
      <w:r>
        <w:rPr>
          <w:rFonts w:ascii="Times New Roman" w:hAnsi="Times New Roman" w:eastAsia="黑体"/>
          <w:b/>
          <w:i w:val="0"/>
          <w:sz w:val="24"/>
        </w:rPr>
        <w:t>求解器技术生态</w:t>
      </w:r>
    </w:p>
    <w:p>
      <w:pPr>
        <w:spacing w:line="360" w:lineRule="auto" w:after="0"/>
        <w:ind w:firstLine="425"/>
      </w:pPr>
      <w:r>
        <w:rPr>
          <w:rFonts w:ascii="Times New Roman" w:hAnsi="Times New Roman" w:eastAsia="宋体"/>
          <w:b w:val="0"/>
          <w:i w:val="0"/>
          <w:sz w:val="22"/>
        </w:rPr>
        <w:t>互补问题求解的软件生态在过去二十年取得了显著发展。商业求解器以PATH和GAMS/PATH为代表，PATH求解器基于投影-收缩法，能够处理包含数万变量的大规模MCP问题。PATH的理论基础是正规映射（Normal Map）理论，通过将互补条件转化为非光滑方程实现迭代求解。</w:t>
      </w:r>
    </w:p>
    <w:p>
      <w:pPr>
        <w:spacing w:line="360" w:lineRule="auto" w:after="0"/>
        <w:ind w:firstLine="425"/>
      </w:pPr>
      <w:r>
        <w:rPr>
          <w:rFonts w:ascii="Times New Roman" w:hAnsi="Times New Roman" w:eastAsia="宋体"/>
          <w:b w:val="0"/>
          <w:i w:val="0"/>
          <w:sz w:val="22"/>
        </w:rPr>
        <w:t>开源求解器生态近年来快速成长。Complementarity.jl是Julia语言生态中的互补问题求解工具，与JuMP建模框架无缝集成。PATHPy是PATH求解器的Python接口，使得Python用户可以利用PATH的强大求解能力。SciPy中的root函数也提供了基于最小二乘的互补问题求解功能，适用于小规模问题。</w:t>
      </w:r>
    </w:p>
    <w:p>
      <w:pPr>
        <w:spacing w:line="360" w:lineRule="auto" w:after="0"/>
        <w:ind w:firstLine="425"/>
      </w:pPr>
      <w:r>
        <w:rPr>
          <w:rFonts w:ascii="Times New Roman" w:hAnsi="Times New Roman" w:eastAsia="宋体"/>
          <w:b w:val="0"/>
          <w:i w:val="0"/>
          <w:sz w:val="22"/>
        </w:rPr>
        <w:t>建模语言的选择对求解效率有重要影响。GAMS（General Algebraic Modeling System）提供了声明式的MCP建模语法，自动推导雅可比矩阵信息，效率高但灵活性受限。AMPL和JuMP提供了更灵活的编程接口，支持模型参数的动态调整和结果后处理，适合原型开发和算法实验。</w:t>
      </w:r>
    </w:p>
    <w:p>
      <w:pPr>
        <w:pStyle w:val="Heading3"/>
        <w:spacing w:before="160" w:after="60"/>
      </w:pPr>
      <w:r>
        <w:rPr>
          <w:rFonts w:ascii="Times New Roman" w:hAnsi="Times New Roman" w:eastAsia="黑体"/>
          <w:b/>
          <w:i w:val="0"/>
          <w:sz w:val="24"/>
        </w:rPr>
        <w:t>预处理与模型缩减</w:t>
      </w:r>
    </w:p>
    <w:p>
      <w:pPr>
        <w:spacing w:line="360" w:lineRule="auto" w:after="0"/>
        <w:ind w:firstLine="425"/>
      </w:pPr>
      <w:r>
        <w:rPr>
          <w:rFonts w:ascii="Times New Roman" w:hAnsi="Times New Roman" w:eastAsia="宋体"/>
          <w:b w:val="0"/>
          <w:i w:val="0"/>
          <w:sz w:val="22"/>
        </w:rPr>
        <w:t>大规模互补问题的预处理技术可以显著提高求解效率。变量消除通过将等式约束代入消除相关变量，减少问题规模。缩放技术通过调整变量和约束的尺度改善条件数，加速迭代收敛。排序技术将雅可比矩阵排列为接近块三角的形式，利用块结构进行分解求解。</w:t>
      </w:r>
    </w:p>
    <w:p>
      <w:pPr>
        <w:spacing w:line="360" w:lineRule="auto" w:after="0"/>
        <w:ind w:firstLine="425"/>
      </w:pPr>
      <w:r>
        <w:rPr>
          <w:rFonts w:ascii="Times New Roman" w:hAnsi="Times New Roman" w:eastAsia="宋体"/>
          <w:b w:val="0"/>
          <w:i w:val="0"/>
          <w:sz w:val="22"/>
        </w:rPr>
        <w:t>灵敏度分析在实时定价中具有重要应用。当系统参数（如负荷预测值）发生微小变化时，不需要重新求解整个互补问题，而是基于已有解的灵敏度信息进行修正。参数化互补问题的灵敏度分析通过路径跟踪法实现，沿着参数变化路径追踪解的变化轨迹。</w:t>
      </w:r>
    </w:p>
    <w:p>
      <w:pPr>
        <w:spacing w:line="360" w:lineRule="auto" w:after="0"/>
        <w:ind w:firstLine="425"/>
      </w:pPr>
      <w:r>
        <w:rPr>
          <w:rFonts w:ascii="Times New Roman" w:hAnsi="Times New Roman" w:eastAsia="宋体"/>
          <w:b w:val="0"/>
          <w:i w:val="0"/>
          <w:sz w:val="22"/>
        </w:rPr>
        <w:t>模型降阶技术将高维互补问题映射到低维空间求解。 Proper Orthogonal Decomposition (POD) 方法从历史解数据中提取主要模态，将原问题投影到由这些模态构成的低维子空间。这种方法在参数化互补问题的快速近似求解中效果显著，特别适合需要反复求解的实时定价场景。</w:t>
      </w:r>
    </w:p>
    <w:p>
      <w:pPr>
        <w:pStyle w:val="Heading3"/>
        <w:spacing w:before="160" w:after="60"/>
      </w:pPr>
      <w:r>
        <w:rPr>
          <w:rFonts w:ascii="Times New Roman" w:hAnsi="Times New Roman" w:eastAsia="黑体"/>
          <w:b/>
          <w:i w:val="0"/>
          <w:sz w:val="24"/>
        </w:rPr>
        <w:t>数值稳定性的工程实践</w:t>
      </w:r>
    </w:p>
    <w:p>
      <w:pPr>
        <w:spacing w:line="360" w:lineRule="auto" w:after="0"/>
        <w:ind w:firstLine="425"/>
      </w:pPr>
      <w:r>
        <w:rPr>
          <w:rFonts w:ascii="Times New Roman" w:hAnsi="Times New Roman" w:eastAsia="宋体"/>
          <w:b w:val="0"/>
          <w:i w:val="0"/>
          <w:sz w:val="22"/>
        </w:rPr>
        <w:t>互补问题求解的数值稳定性受到多种因素影响。条件数是衡量数值稳定性的基本指标：条件数越大，数值误差对解的影响越大。电力系统互补问题的条件数受网络阻抗、发电机参数和负荷水平的影响，在重负荷条件下可能显著增大。</w:t>
      </w:r>
    </w:p>
    <w:p>
      <w:pPr>
        <w:spacing w:line="360" w:lineRule="auto" w:after="0"/>
        <w:ind w:firstLine="425"/>
      </w:pPr>
      <w:r>
        <w:rPr>
          <w:rFonts w:ascii="Times New Roman" w:hAnsi="Times New Roman" w:eastAsia="宋体"/>
          <w:b w:val="0"/>
          <w:i w:val="0"/>
          <w:sz w:val="22"/>
        </w:rPr>
        <w:t>正则化技术通过在问题中引入小的正则化项改善数值稳定性。Tikhonov正则化将互补问题 F(x) ≥ 0, x ≥ 0, x^T F(x) = 0 转化为正则化问题 F(x) + ε x ≥ 0, x ≥ 0, x^T (F(x) + ε x) = 0，其中 ε 为正则化参数。这种方法牺牲少量精度换取数值稳定性的显著改善。</w:t>
      </w:r>
    </w:p>
    <w:p>
      <w:pPr>
        <w:spacing w:line="360" w:lineRule="auto" w:after="0"/>
        <w:ind w:firstLine="425"/>
      </w:pPr>
      <w:r>
        <w:rPr>
          <w:rFonts w:ascii="Times New Roman" w:hAnsi="Times New Roman" w:eastAsia="宋体"/>
          <w:b w:val="0"/>
          <w:i w:val="0"/>
          <w:sz w:val="22"/>
        </w:rPr>
        <w:t>容差选择是实际应用中的关键决策。互补问题的收敛判据通常包括残差容差（ x^T F(x) &lt; ε_1）和变量容差（ x_k+1 - x_k &lt; ε_2）。容差过松可能导致解不精确，影响定价决策；容差过紧可能导致迭代次数过多，超出实时计算窗口。合理的容差选择需要在精度和效率之间平衡，通常通过实验确定。</w:t>
      </w:r>
    </w:p>
    <w:p>
      <w:pPr>
        <w:pStyle w:val="Heading3"/>
        <w:spacing w:before="160" w:after="60"/>
      </w:pPr>
      <w:r>
        <w:rPr>
          <w:rFonts w:ascii="Times New Roman" w:hAnsi="Times New Roman" w:eastAsia="黑体"/>
          <w:b/>
          <w:i w:val="0"/>
          <w:sz w:val="24"/>
        </w:rPr>
        <w:t>大规模系统的分解协调算法</w:t>
      </w:r>
    </w:p>
    <w:p>
      <w:pPr>
        <w:spacing w:line="360" w:lineRule="auto" w:after="0"/>
        <w:ind w:firstLine="425"/>
      </w:pPr>
      <w:r>
        <w:rPr>
          <w:rFonts w:ascii="Times New Roman" w:hAnsi="Times New Roman" w:eastAsia="宋体"/>
          <w:b w:val="0"/>
          <w:i w:val="0"/>
          <w:sz w:val="22"/>
        </w:rPr>
        <w:t>区域分解是处理跨区域电力市场互补问题的有效方法。各区域调度中心独立求解本地互补问题，通过联络线功率的迭代调整实现全局协调。加法Schwarz方法和乘法Schwarz方法是两种经典的区域分解策略，区别在于子问题求解的顺序和边界信息更新方式。</w:t>
      </w:r>
    </w:p>
    <w:p>
      <w:pPr>
        <w:spacing w:line="360" w:lineRule="auto" w:after="0"/>
        <w:ind w:firstLine="425"/>
      </w:pPr>
      <w:r>
        <w:rPr>
          <w:rFonts w:ascii="Times New Roman" w:hAnsi="Times New Roman" w:eastAsia="宋体"/>
          <w:b w:val="0"/>
          <w:i w:val="0"/>
          <w:sz w:val="22"/>
        </w:rPr>
        <w:t>ADMM在互补问题分解中的应用需要处理非光滑互补条件。将互补条件通过NCP函数转化为非光滑方程，利用ADMM的可分离结构进行分解。非线性ADMM扩展可以处理非凸子问题，适用于含非线性约束的实时定价模型。</w:t>
      </w:r>
    </w:p>
    <w:p>
      <w:pPr>
        <w:spacing w:line="360" w:lineRule="auto" w:after="0"/>
        <w:ind w:firstLine="425"/>
      </w:pPr>
      <w:r>
        <w:rPr>
          <w:rFonts w:ascii="Times New Roman" w:hAnsi="Times New Roman" w:eastAsia="宋体"/>
          <w:b w:val="0"/>
          <w:i w:val="0"/>
          <w:sz w:val="22"/>
        </w:rPr>
        <w:t>协调变量的收敛性分析是分解算法的核心理论问题。当各子问题为强单调时，协调变量的迭代映射为压缩映射，保证线性收敛。在弱单调或非单调情况下，可能需要引入松弛因子或加速策略来保证收敛。Broyden-type加速方法可以在不增加每步计算复杂度的前提下将收敛速率从线性提升到超线性。</w:t>
      </w:r>
    </w:p>
    <w:p>
      <w:pPr>
        <w:pStyle w:val="Heading3"/>
        <w:spacing w:before="160" w:after="60"/>
      </w:pPr>
      <w:r>
        <w:rPr>
          <w:rFonts w:ascii="Times New Roman" w:hAnsi="Times New Roman" w:eastAsia="黑体"/>
          <w:b/>
          <w:i w:val="0"/>
          <w:sz w:val="24"/>
        </w:rPr>
        <w:t>实时定价中的热启动与增量计算</w:t>
      </w:r>
    </w:p>
    <w:p>
      <w:pPr>
        <w:spacing w:line="360" w:lineRule="auto" w:after="0"/>
        <w:ind w:firstLine="425"/>
      </w:pPr>
      <w:r>
        <w:rPr>
          <w:rFonts w:ascii="Times New Roman" w:hAnsi="Times New Roman" w:eastAsia="宋体"/>
          <w:b w:val="0"/>
          <w:i w:val="0"/>
          <w:sz w:val="22"/>
        </w:rPr>
        <w:t>实时定价的时序连续性为热启动提供了天然条件。相邻定价周期的系统状态变化通常很小，前一周期的解可以作为当前周期的优质初始点。热启动可以减少50-80%的迭代次数，对于满足5分钟实时计算窗口要求至关重要。</w:t>
      </w:r>
    </w:p>
    <w:p>
      <w:pPr>
        <w:spacing w:line="360" w:lineRule="auto" w:after="0"/>
        <w:ind w:firstLine="425"/>
      </w:pPr>
      <w:r>
        <w:rPr>
          <w:rFonts w:ascii="Times New Roman" w:hAnsi="Times New Roman" w:eastAsia="宋体"/>
          <w:b w:val="0"/>
          <w:i w:val="0"/>
          <w:sz w:val="22"/>
        </w:rPr>
        <w:t>增量计算技术仅对变化部分进行重新计算。当某一区域的负荷预测更新时，仅需要更新该区域相关的子问题约束和变量，其他部分保持不变。这种方法将全局计算复杂度降低到局部计算复杂度，在大规模电网中效果显著。</w:t>
      </w:r>
    </w:p>
    <w:p>
      <w:pPr>
        <w:spacing w:line="360" w:lineRule="auto" w:after="0"/>
        <w:ind w:firstLine="425"/>
      </w:pPr>
      <w:r>
        <w:rPr>
          <w:rFonts w:ascii="Times New Roman" w:hAnsi="Times New Roman" w:eastAsia="宋体"/>
          <w:b w:val="0"/>
          <w:i w:val="0"/>
          <w:sz w:val="22"/>
        </w:rPr>
        <w:t>预测-校正策略将求解过程分为两步：预测步利用前一周期的解和灵敏度信息预测当前周期的解，校正步对预测解进行少量迭代修正。这种方法利用了问题的时序结构，通过牺牲少量精度换取计算速度的大幅提升。在系统状态平稳时，预测步可以提供足够精确的解；在系统状态突变时，校正步确保解的精度。</w:t>
      </w:r>
    </w:p>
    <w:p>
      <w:pPr>
        <w:pStyle w:val="Heading2"/>
        <w:spacing w:before="240" w:after="80"/>
      </w:pPr>
      <w:r>
        <w:rPr>
          <w:rFonts w:ascii="Times New Roman" w:hAnsi="Times New Roman" w:eastAsia="黑体"/>
          <w:b/>
          <w:i w:val="0"/>
          <w:sz w:val="28"/>
        </w:rPr>
        <w:t>6.13 互补问题的数值实验与性能基准</w:t>
      </w:r>
    </w:p>
    <w:p>
      <w:pPr>
        <w:pStyle w:val="Heading3"/>
        <w:spacing w:before="160" w:after="60"/>
      </w:pPr>
      <w:r>
        <w:rPr>
          <w:rFonts w:ascii="Times New Roman" w:hAnsi="Times New Roman" w:eastAsia="黑体"/>
          <w:b/>
          <w:i w:val="0"/>
          <w:sz w:val="24"/>
        </w:rPr>
        <w:t>基准测试集设计</w:t>
      </w:r>
    </w:p>
    <w:p>
      <w:pPr>
        <w:spacing w:line="360" w:lineRule="auto" w:after="0"/>
        <w:ind w:firstLine="425"/>
      </w:pPr>
      <w:r>
        <w:rPr>
          <w:rFonts w:ascii="Times New Roman" w:hAnsi="Times New Roman" w:eastAsia="宋体"/>
          <w:b w:val="0"/>
          <w:i w:val="0"/>
          <w:sz w:val="22"/>
        </w:rPr>
        <w:t>互补问题求解算法的评估需要系统化的基准测试集。标准的基准测试集应包含不同规模（从100到100,000个变量）、不同结构（稠密vs稀疏、对称vs非对称）、不同难度（良态vs病态）的问题实例。</w:t>
      </w:r>
    </w:p>
    <w:p>
      <w:pPr>
        <w:spacing w:line="360" w:lineRule="auto" w:after="0"/>
        <w:ind w:firstLine="425"/>
      </w:pPr>
      <w:r>
        <w:rPr>
          <w:rFonts w:ascii="Times New Roman" w:hAnsi="Times New Roman" w:eastAsia="宋体"/>
          <w:b w:val="0"/>
          <w:i w:val="0"/>
          <w:sz w:val="22"/>
        </w:rPr>
        <w:t>MATLAB的MCPLIB是最早的互补问题基准测试集，包含了一系列从实际问题转化而来的测试问题。COPS（Constrained Optimization Problem Set）提供了更大规模的测试实例。近年来，随着电力系统规模的增大，需要设计包含百万级变量的超大规模基准测试集。</w:t>
      </w:r>
    </w:p>
    <w:p>
      <w:pPr>
        <w:spacing w:line="360" w:lineRule="auto" w:after="0"/>
        <w:ind w:firstLine="425"/>
      </w:pPr>
      <w:r>
        <w:rPr>
          <w:rFonts w:ascii="Times New Roman" w:hAnsi="Times New Roman" w:eastAsia="宋体"/>
          <w:b w:val="0"/>
          <w:i w:val="0"/>
          <w:sz w:val="22"/>
        </w:rPr>
        <w:t>电力系统互补问题的基准测试集应覆盖以下场景：小规模测试系统（IEEE 9-bus, 14-bus, 30-bus）、中等规模测试系统（IEEE 118-bus, 300-bus）、大规模实际系统（省级电网，数千节点）、超大规模系统（全国互联电网，数万节点）。每个场景应包含不同负荷水平和可再生能源出力条件下的多个实例。</w:t>
      </w:r>
    </w:p>
    <w:p>
      <w:pPr>
        <w:pStyle w:val="Heading3"/>
        <w:spacing w:before="160" w:after="60"/>
      </w:pPr>
      <w:r>
        <w:rPr>
          <w:rFonts w:ascii="Times New Roman" w:hAnsi="Times New Roman" w:eastAsia="黑体"/>
          <w:b/>
          <w:i w:val="0"/>
          <w:sz w:val="24"/>
        </w:rPr>
        <w:t>算法性能评估指标</w:t>
      </w:r>
    </w:p>
    <w:p>
      <w:pPr>
        <w:spacing w:line="360" w:lineRule="auto" w:after="0"/>
        <w:ind w:firstLine="425"/>
      </w:pPr>
      <w:r>
        <w:rPr>
          <w:rFonts w:ascii="Times New Roman" w:hAnsi="Times New Roman" w:eastAsia="宋体"/>
          <w:b w:val="0"/>
          <w:i w:val="0"/>
          <w:sz w:val="22"/>
        </w:rPr>
        <w:t>算法性能评估需要多维度的指标体系。求解时间是实时定价的首要指标，直接决定算法是否满足实时性要求。解的精度通过互补性残差 x^T F(x) 和可行性残差 max(0, -F(x)) 衡量。迭代次数反映了算法的收敛特性。</w:t>
      </w:r>
    </w:p>
    <w:p>
      <w:pPr>
        <w:spacing w:line="360" w:lineRule="auto" w:after="0"/>
        <w:ind w:firstLine="425"/>
      </w:pPr>
      <w:r>
        <w:rPr>
          <w:rFonts w:ascii="Times New Roman" w:hAnsi="Times New Roman" w:eastAsia="宋体"/>
          <w:b w:val="0"/>
          <w:i w:val="0"/>
          <w:sz w:val="22"/>
        </w:rPr>
        <w:t>鲁棒性指标评估算法在不同问题实例上的稳定性。成功求解率（在给定时间限制内收敛的实例比例）是最基本的鲁棒性指标。性能分布图（Performance Profile）提供了更全面的鲁棒性评估：对于每个算法，绘制在给定性能比率（求解时间与最优时间的比值）下能够求解的实例比例。</w:t>
      </w:r>
    </w:p>
    <w:p>
      <w:pPr>
        <w:spacing w:line="360" w:lineRule="auto" w:after="0"/>
        <w:ind w:firstLine="425"/>
      </w:pPr>
      <w:r>
        <w:rPr>
          <w:rFonts w:ascii="Times New Roman" w:hAnsi="Times New Roman" w:eastAsia="宋体"/>
          <w:b w:val="0"/>
          <w:i w:val="0"/>
          <w:sz w:val="22"/>
        </w:rPr>
        <w:t>内存消耗是另一个重要指标，特别是对于大规模问题。内存峰值反映了算法在求解过程中需要的最大内存，通常与问题规模和算法的中间数据结构有关。内存效率高的算法可以在有限的计算资源上处理更大规模的问题。</w:t>
      </w:r>
    </w:p>
    <w:p>
      <w:pPr>
        <w:pStyle w:val="Heading3"/>
        <w:spacing w:before="160" w:after="60"/>
      </w:pPr>
      <w:r>
        <w:rPr>
          <w:rFonts w:ascii="Times New Roman" w:hAnsi="Times New Roman" w:eastAsia="黑体"/>
          <w:b/>
          <w:i w:val="0"/>
          <w:sz w:val="24"/>
        </w:rPr>
        <w:t>并行扩展性分析</w:t>
      </w:r>
    </w:p>
    <w:p>
      <w:pPr>
        <w:spacing w:line="360" w:lineRule="auto" w:after="0"/>
        <w:ind w:firstLine="425"/>
      </w:pPr>
      <w:r>
        <w:rPr>
          <w:rFonts w:ascii="Times New Roman" w:hAnsi="Times New Roman" w:eastAsia="宋体"/>
          <w:b w:val="0"/>
          <w:i w:val="0"/>
          <w:sz w:val="22"/>
        </w:rPr>
        <w:t>并行算法的扩展性通过加速比和效率衡量。加速比 S_p = T_1 / T_p 定义为串行求解时间 T_1 与 p 核并行求解时间 T_p 的比值。理想加速比为 S_p = p（线性加速），实际加速比通常低于理想值。效率 E_p = S_p / p 衡量并行计算资源的利用率。</w:t>
      </w:r>
    </w:p>
    <w:p>
      <w:pPr>
        <w:spacing w:line="360" w:lineRule="auto" w:after="0"/>
        <w:ind w:firstLine="425"/>
      </w:pPr>
      <w:r>
        <w:rPr>
          <w:rFonts w:ascii="Times New Roman" w:hAnsi="Times New Roman" w:eastAsia="宋体"/>
          <w:b w:val="0"/>
          <w:i w:val="0"/>
          <w:sz w:val="22"/>
        </w:rPr>
        <w:t>强扩展性分析固定问题规模，增加处理器核数，观察求解时间的变化。良好的强扩展性意味着算法能够有效利用更多处理器加速求解。弱扩展性分析按比例增加问题规模和处理器核数，观察求解时间的变化。良好的弱扩展性意味着算法能够高效处理更大规模的问题。</w:t>
      </w:r>
    </w:p>
    <w:p>
      <w:pPr>
        <w:spacing w:line="360" w:lineRule="auto" w:after="0"/>
        <w:ind w:firstLine="425"/>
      </w:pPr>
      <w:r>
        <w:rPr>
          <w:rFonts w:ascii="Times New Roman" w:hAnsi="Times New Roman" w:eastAsia="宋体"/>
          <w:b w:val="0"/>
          <w:i w:val="0"/>
          <w:sz w:val="22"/>
        </w:rPr>
        <w:t>互补问题求解中的并行化机会包括：雅可比矩阵的并行组装（各元素可以独立计算）、线性方程组的并行求解（如并行直接求解器SuperLU、MUMPS）、场景的并行求解（在随机规划中各场景独立求解）。并行效率取决于这些环节中可并行化的比例和通信开销。</w:t>
      </w:r>
    </w:p>
    <w:p>
      <w:pPr>
        <w:pStyle w:val="Heading3"/>
        <w:spacing w:before="160" w:after="60"/>
      </w:pPr>
      <w:r>
        <w:rPr>
          <w:rFonts w:ascii="Times New Roman" w:hAnsi="Times New Roman" w:eastAsia="黑体"/>
          <w:b/>
          <w:i w:val="0"/>
          <w:sz w:val="24"/>
        </w:rPr>
        <w:t>求解器选择的工程决策</w:t>
      </w:r>
    </w:p>
    <w:p>
      <w:pPr>
        <w:spacing w:line="360" w:lineRule="auto" w:after="0"/>
        <w:ind w:firstLine="425"/>
      </w:pPr>
      <w:r>
        <w:rPr>
          <w:rFonts w:ascii="Times New Roman" w:hAnsi="Times New Roman" w:eastAsia="宋体"/>
          <w:b w:val="0"/>
          <w:i w:val="0"/>
          <w:sz w:val="22"/>
        </w:rPr>
        <w:t>在实际部署中，求解器选择是一个多目标决策问题。商业求解器（如PATH、CPLEX）通常具有更好的性能和稳定性，但许可费用高昂。开源求解器（如Complementarity.jl、Ipopt）免费使用但性能可能略逊。</w:t>
      </w:r>
    </w:p>
    <w:p>
      <w:pPr>
        <w:spacing w:line="360" w:lineRule="auto" w:after="0"/>
        <w:ind w:firstLine="425"/>
      </w:pPr>
      <w:r>
        <w:rPr>
          <w:rFonts w:ascii="Times New Roman" w:hAnsi="Times New Roman" w:eastAsia="宋体"/>
          <w:b w:val="0"/>
          <w:i w:val="0"/>
          <w:sz w:val="22"/>
        </w:rPr>
        <w:t>选择决策应考虑以下因素：问题规模和结构特征（大稀疏问题适合内点法，中小稠密问题适合牛顿法）、实时性要求（5分钟内求解需要高效算法和实现）、预算约束（学术研究优先开源，商业部署可以考虑商业许可）、开发效率（高级建模语言如Julia/JuMP提高开发效率但可能降低运行效率）、可维护性（开源代码可以自定义修改，商业求解器是黑箱）。</w:t>
      </w:r>
    </w:p>
    <w:p>
      <w:pPr>
        <w:spacing w:line="360" w:lineRule="auto" w:after="0"/>
        <w:ind w:firstLine="425"/>
      </w:pPr>
      <w:r>
        <w:rPr>
          <w:rFonts w:ascii="Times New Roman" w:hAnsi="Times New Roman" w:eastAsia="宋体"/>
          <w:b w:val="0"/>
          <w:i w:val="0"/>
          <w:sz w:val="22"/>
        </w:rPr>
        <w:t>混合策略在实际中常被采用：使用开源求解器进行原型开发和离线分析，使用商业求解器进行在线实时求解。当问题结构发生变化或性能不满足要求时，可以灵活切换求解器而无需重写模型。</w:t>
      </w:r>
    </w:p>
    <w:p>
      <w:pPr>
        <w:pStyle w:val="Heading2"/>
        <w:spacing w:before="240" w:after="80"/>
      </w:pPr>
      <w:r>
        <w:rPr>
          <w:rFonts w:ascii="Times New Roman" w:hAnsi="Times New Roman" w:eastAsia="黑体"/>
          <w:b/>
          <w:i w:val="0"/>
          <w:sz w:val="28"/>
        </w:rPr>
        <w:t>6.14 互补问题的理论与计算前沿</w:t>
      </w:r>
    </w:p>
    <w:p>
      <w:pPr>
        <w:pStyle w:val="Heading3"/>
        <w:spacing w:before="160" w:after="60"/>
      </w:pPr>
      <w:r>
        <w:rPr>
          <w:rFonts w:ascii="Times New Roman" w:hAnsi="Times New Roman" w:eastAsia="黑体"/>
          <w:b/>
          <w:i w:val="0"/>
          <w:sz w:val="24"/>
        </w:rPr>
        <w:t>均衡问题的统一框架</w:t>
      </w:r>
    </w:p>
    <w:p>
      <w:pPr>
        <w:spacing w:line="360" w:lineRule="auto" w:after="0"/>
        <w:ind w:firstLine="425"/>
      </w:pPr>
      <w:r>
        <w:rPr>
          <w:rFonts w:ascii="Times New Roman" w:hAnsi="Times New Roman" w:eastAsia="宋体"/>
          <w:b w:val="0"/>
          <w:i w:val="0"/>
          <w:sz w:val="22"/>
        </w:rPr>
        <w:t>互补问题是更广泛的均衡问题的一个特例。均衡问题（EP）寻求找到 x^</w:t>
      </w:r>
      <w:r>
        <w:rPr>
          <w:rFonts w:ascii="Times New Roman" w:hAnsi="Times New Roman" w:eastAsia="宋体"/>
          <w:b w:val="0"/>
          <w:i/>
          <w:sz w:val="22"/>
        </w:rPr>
        <w:t xml:space="preserve"> 使得 F(x^</w:t>
      </w:r>
      <w:r>
        <w:rPr>
          <w:rFonts w:ascii="Times New Roman" w:hAnsi="Times New Roman" w:eastAsia="宋体"/>
          <w:b w:val="0"/>
          <w:i w:val="0"/>
          <w:sz w:val="22"/>
        </w:rPr>
        <w:t>) = 0，其中 F 由问题的均衡条件定义。互补问题、变分不等式、不动点问题和均衡约束数学规划（MPEC）都可以统一在均衡问题框架下。</w:t>
      </w:r>
    </w:p>
    <w:p>
      <w:pPr>
        <w:spacing w:line="360" w:lineRule="auto" w:after="0"/>
        <w:ind w:firstLine="425"/>
      </w:pPr>
      <w:r>
        <w:rPr>
          <w:rFonts w:ascii="Times New Roman" w:hAnsi="Times New Roman" w:eastAsia="宋体"/>
          <w:b w:val="0"/>
          <w:i w:val="0"/>
          <w:sz w:val="22"/>
        </w:rPr>
        <w:t>这一统一视角的意义在于：一种算法框架可以应用于多种均衡问题，理论结果可以跨问题类型传递。例如，变分不等式的投影算法可以直接应用于互补问题，MPEC的约束资格条件可以指导均衡约束的处理。</w:t>
      </w:r>
    </w:p>
    <w:p>
      <w:pPr>
        <w:spacing w:line="360" w:lineRule="auto" w:after="0"/>
        <w:ind w:firstLine="425"/>
      </w:pPr>
      <w:r>
        <w:rPr>
          <w:rFonts w:ascii="Times New Roman" w:hAnsi="Times New Roman" w:eastAsia="宋体"/>
          <w:b w:val="0"/>
          <w:i w:val="0"/>
          <w:sz w:val="22"/>
        </w:rPr>
        <w:t>均衡约束数学规划（MPEC）是均衡问题与数学规划的结合：在满足均衡约束的条件下优化目标函数。MPEC在实时定价中的应用包括：设计最优定价规则使得市场均衡满足某种社会福利目标、优化输电网络投资使得均衡价格满足效率要求。</w:t>
      </w:r>
    </w:p>
    <w:p>
      <w:pPr>
        <w:spacing w:line="360" w:lineRule="auto" w:after="0"/>
        <w:ind w:firstLine="425"/>
      </w:pPr>
      <w:r>
        <w:rPr>
          <w:rFonts w:ascii="Times New Roman" w:hAnsi="Times New Roman" w:eastAsia="宋体"/>
          <w:b w:val="0"/>
          <w:i w:val="0"/>
          <w:sz w:val="22"/>
        </w:rPr>
        <w:t>MPEC的求解面临理论和计算双重挑战。理论挑战在于均衡约束的非凸性和约束资格条件的验证。计算挑战在于均衡约束使得可行域高度非凸，标准优化算法可能陷入局部最优。放宽技术将均衡约束的互补条件用罚函数或正则化项替代，将MPEC转化为标准的非线性规划。</w:t>
      </w:r>
    </w:p>
    <w:p>
      <w:pPr>
        <w:pStyle w:val="Heading3"/>
        <w:spacing w:before="160" w:after="60"/>
      </w:pPr>
      <w:r>
        <w:rPr>
          <w:rFonts w:ascii="Times New Roman" w:hAnsi="Times New Roman" w:eastAsia="黑体"/>
          <w:b/>
          <w:i w:val="0"/>
          <w:sz w:val="24"/>
        </w:rPr>
        <w:t>非光滑分析与半光滑牛顿法</w:t>
      </w:r>
    </w:p>
    <w:p>
      <w:pPr>
        <w:spacing w:line="360" w:lineRule="auto" w:after="0"/>
        <w:ind w:firstLine="425"/>
      </w:pPr>
      <w:r>
        <w:rPr>
          <w:rFonts w:ascii="Times New Roman" w:hAnsi="Times New Roman" w:eastAsia="宋体"/>
          <w:b w:val="0"/>
          <w:i w:val="0"/>
          <w:sz w:val="22"/>
        </w:rPr>
        <w:t>互补问题的NCP函数通常是非光滑的。非光滑分析为处理这类函数提供了数学工具。Clarke广义雅可比推广了经典雅可比到非光滑函数，为非光滑牛顿法提供了理论基础。</w:t>
      </w:r>
    </w:p>
    <w:p>
      <w:pPr>
        <w:spacing w:line="360" w:lineRule="auto" w:after="0"/>
        <w:ind w:firstLine="425"/>
      </w:pPr>
      <w:r>
        <w:rPr>
          <w:rFonts w:ascii="Times New Roman" w:hAnsi="Times New Roman" w:eastAsia="宋体"/>
          <w:b w:val="0"/>
          <w:i w:val="0"/>
          <w:sz w:val="22"/>
        </w:rPr>
        <w:t>半光滑性是介于可微性和Lipschitz连续性之间的概念。半光滑函数在几乎处处可微，且广义雅可比能很好地近似函数变化。NCP函数（如Fischer-Burmeister函数、min函数）通常具有半光滑性，使得半光滑牛顿法可以高效求解。</w:t>
      </w:r>
    </w:p>
    <w:p>
      <w:pPr>
        <w:spacing w:line="360" w:lineRule="auto" w:after="0"/>
        <w:ind w:firstLine="425"/>
      </w:pPr>
      <w:r>
        <w:rPr>
          <w:rFonts w:ascii="Times New Roman" w:hAnsi="Times New Roman" w:eastAsia="宋体"/>
          <w:b w:val="0"/>
          <w:i w:val="0"/>
          <w:sz w:val="22"/>
        </w:rPr>
        <w:t>半光滑牛顿法的迭代格式为 x_k+1 = x_k - V_k^-1 F(x_k)，其中 V_k 为 F 在 x_k 处的广义雅可比。当 F 为半光滑且强半光滑时，半光滑牛顿法具有超线性收敛速率。在互补问题中，广义雅可比的选择（从Clarke广义雅可比中选取特定元素）影响算法的收敛性和效率。</w:t>
      </w:r>
    </w:p>
    <w:p>
      <w:pPr>
        <w:spacing w:line="360" w:lineRule="auto" w:after="0"/>
        <w:ind w:firstLine="425"/>
      </w:pPr>
      <w:r>
        <w:rPr>
          <w:rFonts w:ascii="Times New Roman" w:hAnsi="Times New Roman" w:eastAsia="宋体"/>
          <w:b w:val="0"/>
          <w:i w:val="0"/>
          <w:sz w:val="22"/>
        </w:rPr>
        <w:t>光滑化方法是处理非光滑性的替代途径。光滑化函数用一族光滑函数逼近非光滑函数，通过逐渐减小光滑化参数使逼近精确。光滑化牛顿法结合了光滑化和牛顿法的优势，在理论和实践中都取得了良好效果。</w:t>
      </w:r>
    </w:p>
    <w:p>
      <w:pPr>
        <w:pStyle w:val="Heading3"/>
        <w:spacing w:before="160" w:after="60"/>
      </w:pPr>
      <w:r>
        <w:rPr>
          <w:rFonts w:ascii="Times New Roman" w:hAnsi="Times New Roman" w:eastAsia="黑体"/>
          <w:b/>
          <w:i w:val="0"/>
          <w:sz w:val="24"/>
        </w:rPr>
        <w:t>随机互补问题的理论与算法</w:t>
      </w:r>
    </w:p>
    <w:p>
      <w:pPr>
        <w:spacing w:line="360" w:lineRule="auto" w:after="0"/>
        <w:ind w:firstLine="425"/>
      </w:pPr>
      <w:r>
        <w:rPr>
          <w:rFonts w:ascii="Times New Roman" w:hAnsi="Times New Roman" w:eastAsia="宋体"/>
          <w:b w:val="0"/>
          <w:i w:val="0"/>
          <w:sz w:val="22"/>
        </w:rPr>
        <w:t>随机互补问题（SCP）处理含随机参数的互补问题。期望值互补问题 E[F(x, ξ)] ≥ 0, x ≥ 0, x^T E[F(x, ξ)] = 0 将随机性取期望后求解确定性问题。这种方法简单但仅适用于风险中性决策。</w:t>
      </w:r>
    </w:p>
    <w:p>
      <w:pPr>
        <w:spacing w:line="360" w:lineRule="auto" w:after="0"/>
        <w:ind w:firstLine="425"/>
      </w:pPr>
      <w:r>
        <w:rPr>
          <w:rFonts w:ascii="Times New Roman" w:hAnsi="Times New Roman" w:eastAsia="宋体"/>
          <w:b w:val="0"/>
          <w:i w:val="0"/>
          <w:sz w:val="22"/>
        </w:rPr>
        <w:t>机会约束互补问题要求互补条件以一定概率满足：P(F(x, ξ) ≥ 0) ≥ 1-ε, x ≥ 0, P(x^T F(x, ξ) = 0) ≥ 1-ε。这种公式允许在某些场景下违反互补条件，提供了灵活性但理论分析复杂。</w:t>
      </w:r>
    </w:p>
    <w:p>
      <w:pPr>
        <w:spacing w:line="360" w:lineRule="auto" w:after="0"/>
        <w:ind w:firstLine="425"/>
      </w:pPr>
      <w:r>
        <w:rPr>
          <w:rFonts w:ascii="Times New Roman" w:hAnsi="Times New Roman" w:eastAsia="宋体"/>
          <w:b w:val="0"/>
          <w:i w:val="0"/>
          <w:sz w:val="22"/>
        </w:rPr>
        <w:t>鲁棒互补问题要求互补条件在不确定性集合内所有参数取值下满足。这种公式最为保守，但提供了最严格的鲁棒保证。鲁棒互补问题的等价转化通常导致大规模但结构化的确定性问题。</w:t>
      </w:r>
    </w:p>
    <w:p>
      <w:pPr>
        <w:spacing w:line="360" w:lineRule="auto" w:after="0"/>
        <w:ind w:firstLine="425"/>
      </w:pPr>
      <w:r>
        <w:rPr>
          <w:rFonts w:ascii="Times New Roman" w:hAnsi="Times New Roman" w:eastAsia="宋体"/>
          <w:b w:val="0"/>
          <w:i w:val="0"/>
          <w:sz w:val="22"/>
        </w:rPr>
        <w:t>随机近似方法（如随机近似牛顿法）通过随机梯度估计逐步逼近SCP的解。每次迭代仅需一个或少量随机样本的梯度信息，计算效率高。然而，收敛速率较慢（通常为 O(1/√(k))），需要大量迭代。</w:t>
      </w:r>
    </w:p>
    <w:p>
      <w:pPr>
        <w:pStyle w:val="Heading3"/>
        <w:spacing w:before="160" w:after="60"/>
      </w:pPr>
      <w:r>
        <w:rPr>
          <w:rFonts w:ascii="Times New Roman" w:hAnsi="Times New Roman" w:eastAsia="黑体"/>
          <w:b/>
          <w:i w:val="0"/>
          <w:sz w:val="24"/>
        </w:rPr>
        <w:t>互补问题的灵敏度分析</w:t>
      </w:r>
    </w:p>
    <w:p>
      <w:pPr>
        <w:spacing w:line="360" w:lineRule="auto" w:after="0"/>
        <w:ind w:firstLine="425"/>
      </w:pPr>
      <w:r>
        <w:rPr>
          <w:rFonts w:ascii="Times New Roman" w:hAnsi="Times New Roman" w:eastAsia="宋体"/>
          <w:b w:val="0"/>
          <w:i w:val="0"/>
          <w:sz w:val="22"/>
        </w:rPr>
        <w:t>灵敏度分析研究互补问题的解如何随参数变化。对于参数化互补问题 F(x, μ) ≥ 0, x ≥ 0, x^T F(x, μ) = 0，灵敏度分析计算 dx/dμ，即解关于参数的导数。</w:t>
      </w:r>
    </w:p>
    <w:p>
      <w:pPr>
        <w:spacing w:line="360" w:lineRule="auto" w:after="0"/>
        <w:ind w:firstLine="425"/>
      </w:pPr>
      <w:r>
        <w:rPr>
          <w:rFonts w:ascii="Times New Roman" w:hAnsi="Times New Roman" w:eastAsia="宋体"/>
          <w:b w:val="0"/>
          <w:i w:val="0"/>
          <w:sz w:val="22"/>
        </w:rPr>
        <w:t>强正则性条件保证了灵敏度分析的有效性。当解 x^* 处满足强正则性时，解关于参数的导数存在且连续，可以通过求解线性互补问题获得。强正则性比强单调性更弱，在实际问题中更容易满足。</w:t>
      </w:r>
    </w:p>
    <w:p>
      <w:pPr>
        <w:spacing w:line="360" w:lineRule="auto" w:after="0"/>
        <w:ind w:firstLine="425"/>
      </w:pPr>
      <w:r>
        <w:rPr>
          <w:rFonts w:ascii="Times New Roman" w:hAnsi="Times New Roman" w:eastAsia="宋体"/>
          <w:b w:val="0"/>
          <w:i w:val="0"/>
          <w:sz w:val="22"/>
        </w:rPr>
        <w:t>在实时定价中，灵敏度分析的应用包括：评估负荷预测误差对定价决策的影响（∂ p / ∂ hatD）、评估可再生能源出力波动对电价的影响（∂ p / ∂ hatW）、评估网络拓扑变化对节点电价的影响（∂ LMP_i / ∂ topology）。</w:t>
      </w:r>
    </w:p>
    <w:p>
      <w:pPr>
        <w:spacing w:line="360" w:lineRule="auto" w:after="0"/>
        <w:ind w:firstLine="425"/>
      </w:pPr>
      <w:r>
        <w:rPr>
          <w:rFonts w:ascii="Times New Roman" w:hAnsi="Times New Roman" w:eastAsia="宋体"/>
          <w:b w:val="0"/>
          <w:i w:val="0"/>
          <w:sz w:val="22"/>
        </w:rPr>
        <w:t>路径跟踪方法沿着参数变化路径追踪解的变化。当参数变化缓慢时，路径跟踪方法可以高效地更新解，仅需要少量迭代。这种方法在实时定价中特别有用，因为相邻定价周期的参数变化通常很小。</w:t>
      </w:r>
    </w:p>
    <w:p>
      <w:pPr>
        <w:pStyle w:val="Heading2"/>
        <w:spacing w:before="240" w:after="80"/>
      </w:pPr>
      <w:r>
        <w:rPr>
          <w:rFonts w:ascii="Times New Roman" w:hAnsi="Times New Roman" w:eastAsia="黑体"/>
          <w:b/>
          <w:i w:val="0"/>
          <w:sz w:val="28"/>
        </w:rPr>
        <w:t>6.15 互补问题的扩展应用与前沿</w:t>
      </w:r>
    </w:p>
    <w:p>
      <w:pPr>
        <w:pStyle w:val="Heading3"/>
        <w:spacing w:before="160" w:after="60"/>
      </w:pPr>
      <w:r>
        <w:rPr>
          <w:rFonts w:ascii="Times New Roman" w:hAnsi="Times New Roman" w:eastAsia="黑体"/>
          <w:b/>
          <w:i w:val="0"/>
          <w:sz w:val="24"/>
        </w:rPr>
        <w:t>均衡约束数学规划的深度应用</w:t>
      </w:r>
    </w:p>
    <w:p>
      <w:pPr>
        <w:spacing w:line="360" w:lineRule="auto" w:after="0"/>
        <w:ind w:firstLine="425"/>
      </w:pPr>
      <w:r>
        <w:rPr>
          <w:rFonts w:ascii="Times New Roman" w:hAnsi="Times New Roman" w:eastAsia="宋体"/>
          <w:b w:val="0"/>
          <w:i w:val="0"/>
          <w:sz w:val="22"/>
        </w:rPr>
        <w:t>均衡约束数学规划（MPEC）在实时定价中的应用远超传统定价优化。MPEC可以建模"设计最优定价规则"的元优化问题：在市场均衡约束下，优化某种社会福利目标（如总社会福利最大化、消费者剩余最大化）。</w:t>
      </w:r>
    </w:p>
    <w:p>
      <w:pPr>
        <w:spacing w:line="360" w:lineRule="auto" w:after="0"/>
        <w:ind w:firstLine="425"/>
      </w:pPr>
      <w:r>
        <w:rPr>
          <w:rFonts w:ascii="Times New Roman" w:hAnsi="Times New Roman" w:eastAsia="宋体"/>
          <w:b w:val="0"/>
          <w:i w:val="0"/>
          <w:sz w:val="22"/>
        </w:rPr>
        <w:t>MPEC的双层结构天然描述了监管者-市场的层级关系。上层（监管者）设定市场规则（如价格上限、补贴政策），下层（市场参与者在给定规则下达到均衡）。监管者的目标是选择规则使得均衡结果满足某种社会目标。</w:t>
      </w:r>
    </w:p>
    <w:p>
      <w:pPr>
        <w:spacing w:line="360" w:lineRule="auto" w:after="0"/>
        <w:ind w:firstLine="425"/>
      </w:pPr>
      <w:r>
        <w:rPr>
          <w:rFonts w:ascii="Times New Roman" w:hAnsi="Times New Roman" w:eastAsia="宋体"/>
          <w:b w:val="0"/>
          <w:i w:val="0"/>
          <w:sz w:val="22"/>
        </w:rPr>
        <w:t>MPEC的求解方法包括罚函数法、障碍函数法和特殊排序集方法。罚函数法将均衡约束转化为目标函数中的罚项，牺牲约束精度换取计算可行性。障碍函数法在可行域内部逼近最优解，避免罚函数的病态问题。特殊排序集方法利用均衡约束的特殊结构，通过变量排序和分支策略高效求解。</w:t>
      </w:r>
    </w:p>
    <w:p>
      <w:pPr>
        <w:pStyle w:val="Heading3"/>
        <w:spacing w:before="160" w:after="60"/>
      </w:pPr>
      <w:r>
        <w:rPr>
          <w:rFonts w:ascii="Times New Roman" w:hAnsi="Times New Roman" w:eastAsia="黑体"/>
          <w:b/>
          <w:i w:val="0"/>
          <w:sz w:val="24"/>
        </w:rPr>
        <w:t>交通-电力耦合系统的互补建模</w:t>
      </w:r>
    </w:p>
    <w:p>
      <w:pPr>
        <w:spacing w:line="360" w:lineRule="auto" w:after="0"/>
        <w:ind w:firstLine="425"/>
      </w:pPr>
      <w:r>
        <w:rPr>
          <w:rFonts w:ascii="Times New Roman" w:hAnsi="Times New Roman" w:eastAsia="宋体"/>
          <w:b w:val="0"/>
          <w:i w:val="0"/>
          <w:sz w:val="22"/>
        </w:rPr>
        <w:t>电动汽车的快速增长正在创造交通系统和电力系统的深度耦合。交通-电力耦合系统的互补问题需要同时建模交通均衡（用户路径选择均衡）和电力均衡（供需平衡和定价）。</w:t>
      </w:r>
    </w:p>
    <w:p>
      <w:pPr>
        <w:spacing w:line="360" w:lineRule="auto" w:after="0"/>
        <w:ind w:firstLine="425"/>
      </w:pPr>
      <w:r>
        <w:rPr>
          <w:rFonts w:ascii="Times New Roman" w:hAnsi="Times New Roman" w:eastAsia="宋体"/>
          <w:b w:val="0"/>
          <w:i w:val="0"/>
          <w:sz w:val="22"/>
        </w:rPr>
        <w:t>交通均衡通常建模为用户均衡（UE）或随机用户均衡（SUE）：所有被使用的路径具有相等且最小的出行成本，未被使用的路径成本不低于最小成本。交通成本包括行驶时间、充电费用和电池 degradation 成本。充电费用取决于电力市场的实时电价，建立了交通到电力的耦合。</w:t>
      </w:r>
    </w:p>
    <w:p>
      <w:pPr>
        <w:spacing w:line="360" w:lineRule="auto" w:after="0"/>
        <w:ind w:firstLine="425"/>
      </w:pPr>
      <w:r>
        <w:rPr>
          <w:rFonts w:ascii="Times New Roman" w:hAnsi="Times New Roman" w:eastAsia="宋体"/>
          <w:b w:val="0"/>
          <w:i w:val="0"/>
          <w:sz w:val="22"/>
        </w:rPr>
        <w:t>电力均衡建模为供需平衡的市场出清条件。EV充电负荷是电力需求的一部分，其空间分布（取决于EV在交通网络中的位置）和时间分布（取决于充电行为）影响电力系统的节点电价。节点电价通过充电费用影响交通路径选择，建立了电力到交通的耦合。</w:t>
      </w:r>
    </w:p>
    <w:p>
      <w:pPr>
        <w:spacing w:line="360" w:lineRule="auto" w:after="0"/>
        <w:ind w:firstLine="425"/>
      </w:pPr>
      <w:r>
        <w:rPr>
          <w:rFonts w:ascii="Times New Roman" w:hAnsi="Times New Roman" w:eastAsia="宋体"/>
          <w:b w:val="0"/>
          <w:i w:val="0"/>
          <w:sz w:val="22"/>
        </w:rPr>
        <w:t>这种双向耦合使得交通-电力系统的均衡问题成为大规模互补问题，其求解需要专门的分解协调方法。交替求解交通均衡和电力均衡，通过充电需求和电价的迭代交换实现收敛。</w:t>
      </w:r>
    </w:p>
    <w:p>
      <w:pPr>
        <w:pStyle w:val="Heading3"/>
        <w:spacing w:before="160" w:after="60"/>
      </w:pPr>
      <w:r>
        <w:rPr>
          <w:rFonts w:ascii="Times New Roman" w:hAnsi="Times New Roman" w:eastAsia="黑体"/>
          <w:b/>
          <w:i w:val="0"/>
          <w:sz w:val="24"/>
        </w:rPr>
        <w:t>互补问题的并行计算前沿</w:t>
      </w:r>
    </w:p>
    <w:p>
      <w:pPr>
        <w:spacing w:line="360" w:lineRule="auto" w:after="0"/>
        <w:ind w:firstLine="425"/>
      </w:pPr>
      <w:r>
        <w:rPr>
          <w:rFonts w:ascii="Times New Roman" w:hAnsi="Times New Roman" w:eastAsia="宋体"/>
          <w:b w:val="0"/>
          <w:i w:val="0"/>
          <w:sz w:val="22"/>
        </w:rPr>
        <w:t>GPU加速互补问题求解是当前的研究前沿。互补问题的核心计算步骤——线性方程组求解和矩阵分解——可以高效地在GPU上并行化。CUDA库中的cuSOLVER和MAGMA提供了GPU加速的线性代数运算。</w:t>
      </w:r>
    </w:p>
    <w:p>
      <w:pPr>
        <w:spacing w:line="360" w:lineRule="auto" w:after="0"/>
        <w:ind w:firstLine="425"/>
      </w:pPr>
      <w:r>
        <w:rPr>
          <w:rFonts w:ascii="Times New Roman" w:hAnsi="Times New Roman" w:eastAsia="宋体"/>
          <w:b w:val="0"/>
          <w:i w:val="0"/>
          <w:sz w:val="22"/>
        </w:rPr>
        <w:t>异构计算将CPU和GPU的优势结合：CPU负责控制流和数据预处理，GPU负责大规模数值计算。任务划分策略需要考虑CPU-GPU之间的数据传输开销，将计算密集型任务分配给GPU，将控制密集型任务分配给CPU。</w:t>
      </w:r>
    </w:p>
    <w:p>
      <w:pPr>
        <w:spacing w:line="360" w:lineRule="auto" w:after="0"/>
        <w:ind w:firstLine="425"/>
      </w:pPr>
      <w:r>
        <w:rPr>
          <w:rFonts w:ascii="Times New Roman" w:hAnsi="Times New Roman" w:eastAsia="宋体"/>
          <w:b w:val="0"/>
          <w:i w:val="0"/>
          <w:sz w:val="22"/>
        </w:rPr>
        <w:t>分布式GPU计算利用多台GPU服务器协同求解超大规模互补问题。MPI用于节点间通信，CUDA用于节点内并行。这种架构可以处理包含百万级变量的互补问题，满足全国互联电网实时定价的计算需求。</w:t>
      </w:r>
    </w:p>
    <w:p>
      <w:pPr>
        <w:pStyle w:val="Heading3"/>
        <w:spacing w:before="160" w:after="60"/>
      </w:pPr>
      <w:r>
        <w:rPr>
          <w:rFonts w:ascii="Times New Roman" w:hAnsi="Times New Roman" w:eastAsia="黑体"/>
          <w:b/>
          <w:i w:val="0"/>
          <w:sz w:val="24"/>
        </w:rPr>
        <w:t>互补问题的软件生态发展</w:t>
      </w:r>
    </w:p>
    <w:p>
      <w:pPr>
        <w:spacing w:line="360" w:lineRule="auto" w:after="0"/>
        <w:ind w:firstLine="425"/>
      </w:pPr>
      <w:r>
        <w:rPr>
          <w:rFonts w:ascii="Times New Roman" w:hAnsi="Times New Roman" w:eastAsia="宋体"/>
          <w:b w:val="0"/>
          <w:i w:val="0"/>
          <w:sz w:val="22"/>
        </w:rPr>
        <w:t>互补问题求解的软件生态正在快速发展。Julia语言凭借其高性能计算能力和优雅的数学语法，正在成为互补问题建模和求解的首选语言。JuMP建模框架支持多种互补问题形式，Complementarity.jl提供专门的互补问题求解功能。</w:t>
      </w:r>
    </w:p>
    <w:p>
      <w:pPr>
        <w:spacing w:line="360" w:lineRule="auto" w:after="0"/>
        <w:ind w:firstLine="425"/>
      </w:pPr>
      <w:r>
        <w:rPr>
          <w:rFonts w:ascii="Times New Roman" w:hAnsi="Times New Roman" w:eastAsia="宋体"/>
          <w:b w:val="0"/>
          <w:i w:val="0"/>
          <w:sz w:val="22"/>
        </w:rPr>
        <w:t>Python生态中的Pyomo也支持互补问题建模，通过PATH求解器接口实现高效求解。Pyomo的优势在于与Python数据科学生态（NumPy、Pandas、Scikit-learn）的无缝集成，便于数据预处理和结果分析。</w:t>
      </w:r>
    </w:p>
    <w:p>
      <w:pPr>
        <w:spacing w:line="360" w:lineRule="auto" w:after="0"/>
        <w:ind w:firstLine="425"/>
      </w:pPr>
      <w:r>
        <w:rPr>
          <w:rFonts w:ascii="Times New Roman" w:hAnsi="Times New Roman" w:eastAsia="宋体"/>
          <w:b w:val="0"/>
          <w:i w:val="0"/>
          <w:sz w:val="22"/>
        </w:rPr>
        <w:t>自动微分技术的发展为互补问题求解提供了新工具。自动微分可以精确计算函数的导数，无需手动推导或数值差分。这对于包含复杂非线性函数的互补问题特别有价值，减少了建模错误并提高了求解效率。</w:t>
      </w:r>
    </w:p>
    <w:p>
      <w:pPr>
        <w:pStyle w:val="Heading2"/>
        <w:spacing w:before="240" w:after="80"/>
      </w:pPr>
      <w:r>
        <w:rPr>
          <w:rFonts w:ascii="Times New Roman" w:hAnsi="Times New Roman" w:eastAsia="黑体"/>
          <w:b/>
          <w:i w:val="0"/>
          <w:sz w:val="28"/>
        </w:rPr>
        <w:t>6.16 互补问题的应用前沿与软件工具</w:t>
      </w:r>
    </w:p>
    <w:p>
      <w:pPr>
        <w:pStyle w:val="Heading3"/>
        <w:spacing w:before="160" w:after="60"/>
      </w:pPr>
      <w:r>
        <w:rPr>
          <w:rFonts w:ascii="Times New Roman" w:hAnsi="Times New Roman" w:eastAsia="黑体"/>
          <w:b/>
          <w:i w:val="0"/>
          <w:sz w:val="24"/>
        </w:rPr>
        <w:t>互补问题在碳排放交易中的应用</w:t>
      </w:r>
    </w:p>
    <w:p>
      <w:pPr>
        <w:spacing w:line="360" w:lineRule="auto" w:after="0"/>
        <w:ind w:firstLine="425"/>
      </w:pPr>
      <w:r>
        <w:rPr>
          <w:rFonts w:ascii="Times New Roman" w:hAnsi="Times New Roman" w:eastAsia="宋体"/>
          <w:b w:val="0"/>
          <w:i w:val="0"/>
          <w:sz w:val="22"/>
        </w:rPr>
        <w:t>碳排放交易市场的均衡可以建模为互补问题。每个排放源需要决定减排量或购买碳配额量，碳排放总量约束确保总排放不超过配额总量。互补条件确保配额价格在均衡时使总排放恰好等于配额总量。</w:t>
      </w:r>
    </w:p>
    <w:p>
      <w:pPr>
        <w:spacing w:line="360" w:lineRule="auto" w:after="0"/>
        <w:ind w:firstLine="425"/>
      </w:pPr>
      <w:r>
        <w:rPr>
          <w:rFonts w:ascii="Times New Roman" w:hAnsi="Times New Roman" w:eastAsia="宋体"/>
          <w:b w:val="0"/>
          <w:i w:val="0"/>
          <w:sz w:val="22"/>
        </w:rPr>
        <w:t>碳-电耦合的互补问题将电力市场均衡和碳市场均衡统一建模。电力市场的出清条件、碳市场的总量约束、以及两者通过发电碳排放强度的耦合关系，构成了一个大规模互补问题。求解这个问题可以获得同时满足电力均衡和碳均衡的最优电价和碳价。</w:t>
      </w:r>
    </w:p>
    <w:p>
      <w:pPr>
        <w:spacing w:line="360" w:lineRule="auto" w:after="0"/>
        <w:ind w:firstLine="425"/>
      </w:pPr>
      <w:r>
        <w:rPr>
          <w:rFonts w:ascii="Times New Roman" w:hAnsi="Times New Roman" w:eastAsia="宋体"/>
          <w:b w:val="0"/>
          <w:i w:val="0"/>
          <w:sz w:val="22"/>
        </w:rPr>
        <w:t>动态碳配额分配是互补问题的扩展应用。在每个交易期，碳配额的分配量可能调整（如逐年减少以实现减排目标）。动态互补问题追踪均衡随配额变化的轨迹，为碳市场政策设计提供定量分析工具。</w:t>
      </w:r>
    </w:p>
    <w:p>
      <w:pPr>
        <w:pStyle w:val="Heading3"/>
        <w:spacing w:before="160" w:after="60"/>
      </w:pPr>
      <w:r>
        <w:rPr>
          <w:rFonts w:ascii="Times New Roman" w:hAnsi="Times New Roman" w:eastAsia="黑体"/>
          <w:b/>
          <w:i w:val="0"/>
          <w:sz w:val="24"/>
        </w:rPr>
        <w:t>互补问题求解的开源工具生态</w:t>
      </w:r>
    </w:p>
    <w:p>
      <w:pPr>
        <w:spacing w:line="360" w:lineRule="auto" w:after="0"/>
        <w:ind w:firstLine="425"/>
      </w:pPr>
      <w:r>
        <w:rPr>
          <w:rFonts w:ascii="Times New Roman" w:hAnsi="Times New Roman" w:eastAsia="宋体"/>
          <w:b w:val="0"/>
          <w:i w:val="0"/>
          <w:sz w:val="22"/>
        </w:rPr>
        <w:t>开源求解器生态的快速发展降低了互补问题求解的门槛。以下工具各具特色：</w:t>
      </w:r>
    </w:p>
    <w:p>
      <w:pPr>
        <w:spacing w:line="360" w:lineRule="auto" w:after="0"/>
        <w:ind w:firstLine="425"/>
      </w:pPr>
      <w:r>
        <w:rPr>
          <w:rFonts w:ascii="Times New Roman" w:hAnsi="Times New Roman" w:eastAsia="宋体"/>
          <w:b w:val="0"/>
          <w:i w:val="0"/>
          <w:sz w:val="22"/>
        </w:rPr>
        <w:t>SciPy的optimize模块提供了基础的互补问题求解功能，适合小规模原型验证。root函数结合自定义NCP函数可以求解中小规模问题，无需安装额外软件。</w:t>
      </w:r>
    </w:p>
    <w:p>
      <w:pPr>
        <w:spacing w:line="360" w:lineRule="auto" w:after="0"/>
        <w:ind w:firstLine="425"/>
      </w:pPr>
      <w:r>
        <w:rPr>
          <w:rFonts w:ascii="Times New Roman" w:hAnsi="Times New Roman" w:eastAsia="宋体"/>
          <w:b w:val="0"/>
          <w:i w:val="0"/>
          <w:sz w:val="22"/>
        </w:rPr>
        <w:t>Pyomo是Python生态中最全面的优化建模框架，支持线性规划、混合整数规划、非线性规划和互补问题。Pyomo的MCP求解器接口支持PATH和NLPEC等求解器。Pyomo与Pandas的集成使数据驱动的模型构建和结果分析变得便捷。</w:t>
      </w:r>
    </w:p>
    <w:p>
      <w:pPr>
        <w:spacing w:line="360" w:lineRule="auto" w:after="0"/>
        <w:ind w:firstLine="425"/>
      </w:pPr>
      <w:r>
        <w:rPr>
          <w:rFonts w:ascii="Times New Roman" w:hAnsi="Times New Roman" w:eastAsia="宋体"/>
          <w:b w:val="0"/>
          <w:i w:val="0"/>
          <w:sz w:val="22"/>
        </w:rPr>
        <w:t>PATH求解器是互补问题求解的工业标准，支持GAMS、AMPL、MATLAB和Python等多种建模语言。PATH的算法基于投影-收缩法，结合了精确的线搜索和自适应步长控制，在大规模稀疏问题上表现优异。</w:t>
      </w:r>
    </w:p>
    <w:p>
      <w:pPr>
        <w:spacing w:line="360" w:lineRule="auto" w:after="0"/>
        <w:ind w:firstLine="425"/>
      </w:pPr>
      <w:r>
        <w:rPr>
          <w:rFonts w:ascii="Times New Roman" w:hAnsi="Times New Roman" w:eastAsia="宋体"/>
          <w:b w:val="0"/>
          <w:i w:val="0"/>
          <w:sz w:val="22"/>
        </w:rPr>
        <w:t>Complementarity.jl是Julia生态中专门针对互补问题的建模和求解工具。它利用Julia的高性能计算能力和多重派发机制，在求解效率上具有优势。与JuMP的集成使得模型构建简洁直观。</w:t>
      </w:r>
    </w:p>
    <w:p>
      <w:pPr>
        <w:pStyle w:val="Heading2"/>
        <w:spacing w:before="240" w:after="80"/>
      </w:pPr>
      <w:r>
        <w:rPr>
          <w:rFonts w:ascii="Times New Roman" w:hAnsi="Times New Roman" w:eastAsia="黑体"/>
          <w:b/>
          <w:i w:val="0"/>
          <w:sz w:val="28"/>
        </w:rPr>
        <w:t>思考题</w:t>
      </w:r>
    </w:p>
    <w:p>
      <w:pPr>
        <w:pStyle w:val="ListNumber"/>
        <w:spacing w:line="360" w:lineRule="auto" w:after="0"/>
      </w:pPr>
      <w:r>
        <w:rPr>
          <w:rFonts w:ascii="Times New Roman" w:hAnsi="Times New Roman" w:eastAsia="宋体"/>
          <w:b w:val="0"/>
          <w:i w:val="0"/>
          <w:sz w:val="22"/>
        </w:rPr>
        <w:t>比较古诺均衡、伯特兰均衡和Stackelberg均衡在电力市场建模中的适用场景，分析各自的市场力含义。</w:t>
      </w:r>
    </w:p>
    <w:p>
      <w:pPr>
        <w:pStyle w:val="ListNumber"/>
        <w:spacing w:line="360" w:lineRule="auto" w:after="0"/>
      </w:pPr>
      <w:r>
        <w:rPr>
          <w:rFonts w:ascii="Times New Roman" w:hAnsi="Times New Roman" w:eastAsia="宋体"/>
          <w:b w:val="0"/>
          <w:i w:val="0"/>
          <w:sz w:val="22"/>
        </w:rPr>
        <w:t>建立一个多零售商多用户的Stackelberg博弈模型，推导领导者最优定价策略的一阶条件。</w:t>
      </w:r>
    </w:p>
    <w:p>
      <w:pPr>
        <w:pStyle w:val="ListNumber"/>
        <w:spacing w:line="360" w:lineRule="auto" w:after="0"/>
      </w:pPr>
      <w:r>
        <w:rPr>
          <w:rFonts w:ascii="Times New Roman" w:hAnsi="Times New Roman" w:eastAsia="宋体"/>
          <w:b w:val="0"/>
          <w:i w:val="0"/>
          <w:sz w:val="22"/>
        </w:rPr>
        <w:t>讨论信息不对称对Stackelberg博弈均衡的影响，分析贝叶斯Stackelberg博弈在实时定价中的应用价值。</w:t>
      </w:r>
    </w:p>
    <w:p>
      <w:pPr>
        <w:pStyle w:val="ListNumber"/>
        <w:spacing w:line="360" w:lineRule="auto" w:after="0"/>
      </w:pPr>
      <w:r>
        <w:rPr>
          <w:rFonts w:ascii="Times New Roman" w:hAnsi="Times New Roman" w:eastAsia="宋体"/>
          <w:b w:val="0"/>
          <w:i w:val="0"/>
          <w:sz w:val="22"/>
        </w:rPr>
        <w:t>分析重复博弈中触发策略的可信性条件，讨论贴现因子对合作均衡维持的影响。</w:t>
      </w:r>
    </w:p>
    <w:p>
      <w:pPr>
        <w:pStyle w:val="ListNumber"/>
        <w:spacing w:line="360" w:lineRule="auto" w:after="0"/>
      </w:pPr>
      <w:r>
        <w:rPr>
          <w:rFonts w:ascii="Times New Roman" w:hAnsi="Times New Roman" w:eastAsia="宋体"/>
          <w:b w:val="0"/>
          <w:i w:val="0"/>
          <w:sz w:val="22"/>
        </w:rPr>
        <w:t>结合合作博弈理论中的Shapley值方法，设计一个微电网内部收益分配方案并讨论其公平性。</w:t>
      </w:r>
    </w:p>
    <w:p>
      <w:pPr>
        <w:pStyle w:val="Heading3"/>
        <w:spacing w:before="160" w:after="60"/>
      </w:pPr>
      <w:r>
        <w:rPr>
          <w:rFonts w:ascii="Times New Roman" w:hAnsi="Times New Roman" w:eastAsia="黑体"/>
          <w:b/>
          <w:i w:val="0"/>
          <w:sz w:val="24"/>
        </w:rPr>
        <w:t>补充讨论</w:t>
      </w:r>
    </w:p>
    <w:p>
      <w:pPr>
        <w:spacing w:line="360" w:lineRule="auto" w:after="0"/>
        <w:ind w:firstLine="425"/>
      </w:pPr>
      <w:r>
        <w:rPr>
          <w:rFonts w:ascii="Times New Roman" w:hAnsi="Times New Roman" w:eastAsia="宋体"/>
          <w:b w:val="0"/>
          <w:i w:val="0"/>
          <w:sz w:val="22"/>
        </w:rPr>
        <w:t>此外，Stackelberg H V. Market Structure and Equilibrium[M]. Springer, 2011 (original 1934).。这些研究为本章的理论框架提供了重要的方法论支撑</w:t>
      </w:r>
      <w:r>
        <w:rPr>
          <w:rFonts w:ascii="Times New Roman" w:hAnsi="Times New Roman" w:eastAsia="Times New Roman"/>
          <w:b w:val="0"/>
          <w:i w:val="0"/>
          <w:sz w:val="18"/>
          <w:vertAlign w:val="superscript"/>
        </w:rPr>
        <w:t>[13]</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此外，Maharjan S, Zhu Q, Zhang Y, et al. Dependable demand response management in the smart grid[J]. IEEE 。这些研究为本章的理论框架提供了重要的方法论支撑</w:t>
      </w:r>
      <w:r>
        <w:rPr>
          <w:rFonts w:ascii="Times New Roman" w:hAnsi="Times New Roman" w:eastAsia="Times New Roman"/>
          <w:b w:val="0"/>
          <w:i w:val="0"/>
          <w:sz w:val="18"/>
          <w:vertAlign w:val="superscript"/>
        </w:rPr>
        <w:t>[14]</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6.6.1 区块链在去中心化电力交易中的信任机制</w:t>
      </w:r>
    </w:p>
    <w:p>
      <w:pPr>
        <w:spacing w:line="360" w:lineRule="auto" w:after="0"/>
        <w:ind w:firstLine="425"/>
      </w:pPr>
      <w:r>
        <w:rPr>
          <w:rFonts w:ascii="Times New Roman" w:hAnsi="Times New Roman" w:eastAsia="宋体"/>
          <w:b w:val="0"/>
          <w:i w:val="0"/>
          <w:sz w:val="22"/>
        </w:rPr>
        <w:t>区块链技术为去中心化电力交易提供了去信任化的解决方案。在传统的电力交易中，交易中心作为可信第三方负责交易撮合和结算。然而，中心化架构存在单点故障风险和数据篡改风险。区块链通过分布式账本技术实现了交易记录的不可篡改性和透明性，消除了对可信第三方的依赖。</w:t>
      </w:r>
    </w:p>
    <w:p>
      <w:pPr>
        <w:spacing w:line="360" w:lineRule="auto" w:after="0"/>
        <w:ind w:firstLine="425"/>
      </w:pPr>
      <w:r>
        <w:rPr>
          <w:rFonts w:ascii="Times New Roman" w:hAnsi="Times New Roman" w:eastAsia="宋体"/>
          <w:b w:val="0"/>
          <w:i w:val="0"/>
          <w:sz w:val="22"/>
        </w:rPr>
        <w:t>在实时定价场景中，区块链的应用包含三个层面：价格形成、交易执行和结算清算。价格形成层通过智能合约自动执行定价算法，确保价格计算的透明性和可验证性。交易执行层记录每笔电力交易的详细信息（包括交易双方、电量和价格），形成不可篡改的交易历史。结算清算层基于链上交易数据自动执行结算，减少争议和延迟。</w:t>
      </w:r>
    </w:p>
    <w:p>
      <w:pPr>
        <w:spacing w:line="360" w:lineRule="auto" w:after="0"/>
        <w:ind w:firstLine="425"/>
      </w:pPr>
      <w:r>
        <w:rPr>
          <w:rFonts w:ascii="Times New Roman" w:hAnsi="Times New Roman" w:eastAsia="宋体"/>
          <w:b w:val="0"/>
          <w:i w:val="0"/>
          <w:sz w:val="22"/>
        </w:rPr>
        <w:t>以太坊智能合约是最常用的区块链实现平台。然而，以太坊的吞吐量限制（约15 TPS）难以满足大规模实时电力交易的需求。分层架构（Layer 2）和侧链技术可以显著提高吞吐量。例如，基于状态通道的支付网络可以实现链下高频交易，仅将最终结算结果上链，吞吐量可达10,000 TPS以上。</w:t>
      </w:r>
    </w:p>
    <w:p>
      <w:pPr>
        <w:pStyle w:val="Heading3"/>
        <w:spacing w:before="160" w:after="60"/>
      </w:pPr>
      <w:r>
        <w:rPr>
          <w:rFonts w:ascii="Times New Roman" w:hAnsi="Times New Roman" w:eastAsia="黑体"/>
          <w:b/>
          <w:i w:val="0"/>
          <w:sz w:val="24"/>
        </w:rPr>
        <w:t>6.6.2 博弈论与区块链的融合定价</w:t>
      </w:r>
    </w:p>
    <w:p>
      <w:pPr>
        <w:spacing w:line="360" w:lineRule="auto" w:after="0"/>
        <w:ind w:firstLine="425"/>
      </w:pPr>
      <w:r>
        <w:rPr>
          <w:rFonts w:ascii="Times New Roman" w:hAnsi="Times New Roman" w:eastAsia="宋体"/>
          <w:b w:val="0"/>
          <w:i w:val="0"/>
          <w:sz w:val="22"/>
        </w:rPr>
        <w:t>博弈论与区块链的融合为多主体定价提供了新的框架。在分布式能源交易中，产消者（Prosumer）既是电力的买方也是卖方，其策略行为影响市场价格。传统的博弈论模型假设存在可信的博弈裁判，而区块链的智能合约可以自动执行博弈规则，实现去中心化的博弈均衡计算。</w:t>
      </w:r>
    </w:p>
    <w:p>
      <w:pPr>
        <w:spacing w:line="360" w:lineRule="auto" w:after="0"/>
        <w:ind w:firstLine="425"/>
      </w:pPr>
      <w:r>
        <w:rPr>
          <w:rFonts w:ascii="Times New Roman" w:hAnsi="Times New Roman" w:eastAsia="宋体"/>
          <w:b w:val="0"/>
          <w:i w:val="0"/>
          <w:sz w:val="22"/>
        </w:rPr>
        <w:t>具体而言，博弈均衡的计算可以编码为智能合约，各参与方向合约提交策略，合约自动计算均衡价格并执行交易。这种设计保证了博弈规则的不可更改性，防止了策略操纵。同时，零知识证明技术可以保护参与者的策略隐私，只公开均衡结果。</w:t>
      </w:r>
    </w:p>
    <w:p>
      <w:pPr>
        <w:spacing w:line="360" w:lineRule="auto" w:after="0"/>
        <w:ind w:firstLine="425"/>
      </w:pPr>
      <w:r>
        <w:rPr>
          <w:rFonts w:ascii="Times New Roman" w:hAnsi="Times New Roman" w:eastAsia="宋体"/>
          <w:b w:val="0"/>
          <w:i w:val="0"/>
          <w:sz w:val="22"/>
        </w:rPr>
        <w:t>实证研究显示，基于区块链的Stackelberg博弈定价系统在100节点的微电网中，平均交易延迟为2.3秒，系统可用性达到99.97%。与中心化系统相比，区块链系统的交易成本略高（约5%），但显著提升了透明度和抗攻击能力。</w:t>
      </w:r>
    </w:p>
    <w:p>
      <w:pPr>
        <w:pStyle w:val="Heading3"/>
        <w:spacing w:before="160" w:after="60"/>
      </w:pPr>
      <w:r>
        <w:rPr>
          <w:rFonts w:ascii="Times New Roman" w:hAnsi="Times New Roman" w:eastAsia="黑体"/>
          <w:b/>
          <w:i w:val="0"/>
          <w:sz w:val="24"/>
        </w:rPr>
        <w:t>6.6.3 演化博弈与动态定价</w:t>
      </w:r>
    </w:p>
    <w:p>
      <w:pPr>
        <w:spacing w:line="360" w:lineRule="auto" w:after="0"/>
        <w:ind w:firstLine="425"/>
      </w:pPr>
      <w:r>
        <w:rPr>
          <w:rFonts w:ascii="Times New Roman" w:hAnsi="Times New Roman" w:eastAsia="宋体"/>
          <w:b w:val="0"/>
          <w:i w:val="0"/>
          <w:sz w:val="22"/>
        </w:rPr>
        <w:t>传统博弈论分析假设参与者完全理性，能够精确计算最优策略。在实际电力市场中，用户的理性有限，决策受经验和学习过程影响。演化博弈论（Evolutionary Game Theory）为有限理性博弈提供了分析框架。</w:t>
      </w:r>
    </w:p>
    <w:p>
      <w:pPr>
        <w:spacing w:line="360" w:lineRule="auto" w:after="0"/>
        <w:ind w:firstLine="425"/>
      </w:pPr>
      <w:r>
        <w:rPr>
          <w:rFonts w:ascii="Times New Roman" w:hAnsi="Times New Roman" w:eastAsia="宋体"/>
          <w:b w:val="0"/>
          <w:i w:val="0"/>
          <w:sz w:val="22"/>
        </w:rPr>
        <w:t>在演化博弈中，参与者不进行精确的最优化计算，而是通过模仿和学习逐渐调整策略。策略的适应性由其获得的收益决定——高收益策略被更多参与者采用，低收益策略逐渐被淘汰。这种动态过程可用复制者动态方程描述：ds_k/dt = s_k·[π_k(s) - π̄(s)]，其中s_k为策略k的比例，π_k为策略k的收益，π̄为平均收益。</w:t>
      </w:r>
    </w:p>
    <w:p>
      <w:pPr>
        <w:spacing w:line="360" w:lineRule="auto" w:after="0"/>
        <w:ind w:firstLine="425"/>
      </w:pPr>
      <w:r>
        <w:rPr>
          <w:rFonts w:ascii="Times New Roman" w:hAnsi="Times New Roman" w:eastAsia="宋体"/>
          <w:b w:val="0"/>
          <w:i w:val="0"/>
          <w:sz w:val="22"/>
        </w:rPr>
        <w:t>在实时定价中，演化博弈可用于分析用户对定价策略的动态适应过程。例如，当电力公司引入实时定价时，用户需要时间学习和适应新的价格机制。初期可能只有少数用户主动响应价格信号，随着响应者获得电费节省，更多用户会模仿响应行为。复制者动态可以描述这种扩散过程。</w:t>
      </w:r>
    </w:p>
    <w:p>
      <w:pPr>
        <w:spacing w:line="360" w:lineRule="auto" w:after="0"/>
        <w:ind w:firstLine="425"/>
      </w:pPr>
      <w:r>
        <w:rPr>
          <w:rFonts w:ascii="Times New Roman" w:hAnsi="Times New Roman" w:eastAsia="宋体"/>
          <w:b w:val="0"/>
          <w:i w:val="0"/>
          <w:sz w:val="22"/>
        </w:rPr>
        <w:t>演化博弈的均衡（演化稳定策略，ESS）对应于系统的长期稳定状态。在实时定价中，ESS可能对应于一定比例的用户选择响应价格信号、其余用户选择不响应的状态。这种分析有助于预测定价策略的长期效果和用户参与率。</w:t>
      </w:r>
    </w:p>
    <w:p>
      <w:pPr>
        <w:pStyle w:val="Heading3"/>
        <w:spacing w:before="160" w:after="60"/>
      </w:pPr>
      <w:r>
        <w:rPr>
          <w:rFonts w:ascii="Times New Roman" w:hAnsi="Times New Roman" w:eastAsia="黑体"/>
          <w:b/>
          <w:i w:val="0"/>
          <w:sz w:val="24"/>
        </w:rPr>
        <w:t>6.6.4 随机博弈与不确定性</w:t>
      </w:r>
    </w:p>
    <w:p>
      <w:pPr>
        <w:spacing w:line="360" w:lineRule="auto" w:after="0"/>
        <w:ind w:firstLine="425"/>
      </w:pPr>
      <w:r>
        <w:rPr>
          <w:rFonts w:ascii="Times New Roman" w:hAnsi="Times New Roman" w:eastAsia="宋体"/>
          <w:b w:val="0"/>
          <w:i w:val="0"/>
          <w:sz w:val="22"/>
        </w:rPr>
        <w:t>当博弈参与者的收益不仅取决于策略选择，还取决于随机状态时，需要使用随机博弈（Stochastic Game）框架。在电力市场中，负荷需求、可再生能源出力和设备故障等随机事件影响博弈收益。</w:t>
      </w:r>
    </w:p>
    <w:p>
      <w:pPr>
        <w:spacing w:line="360" w:lineRule="auto" w:after="0"/>
        <w:ind w:firstLine="425"/>
      </w:pPr>
      <w:r>
        <w:rPr>
          <w:rFonts w:ascii="Times New Roman" w:hAnsi="Times New Roman" w:eastAsia="宋体"/>
          <w:b w:val="0"/>
          <w:i w:val="0"/>
          <w:sz w:val="22"/>
        </w:rPr>
        <w:t>随机博弈的状态转移方程为s_{t+1} = f(s_t, a_t, ξ_t)，其中s_t为状态，a_t为联合行动，ξ_t为随机扰动。每个参与者的目标是最大化折扣累计期望收益。随机博弈的均衡概念为马尔可夫完美均衡（MPE）——在每个状态下，参与者的策略构成纳什均衡。</w:t>
      </w:r>
    </w:p>
    <w:p>
      <w:pPr>
        <w:spacing w:line="360" w:lineRule="auto" w:after="0"/>
        <w:ind w:firstLine="425"/>
      </w:pPr>
      <w:r>
        <w:rPr>
          <w:rFonts w:ascii="Times New Roman" w:hAnsi="Times New Roman" w:eastAsia="宋体"/>
          <w:b w:val="0"/>
          <w:i w:val="0"/>
          <w:sz w:val="22"/>
        </w:rPr>
        <w:t>MPE的求解通常采用值迭代或策略迭代方法。然而，状态空间和行动空间的维度灾难使得精确求解困难。函数逼近和深度强化学习方法为大规模随机博弈提供了近似求解手段。在实时定价中，基于多Agent强化学习的随机博弈求解方法近年来受到广泛关注。</w:t>
      </w:r>
    </w:p>
    <w:p>
      <w:pPr>
        <w:pStyle w:val="Heading3"/>
        <w:spacing w:before="160" w:after="60"/>
      </w:pPr>
      <w:r>
        <w:rPr>
          <w:rFonts w:ascii="Times New Roman" w:hAnsi="Times New Roman" w:eastAsia="黑体"/>
          <w:b/>
          <w:i w:val="0"/>
          <w:sz w:val="24"/>
        </w:rPr>
        <w:t>6.6.5 合作博弈与利益分配</w:t>
      </w:r>
    </w:p>
    <w:p>
      <w:pPr>
        <w:spacing w:line="360" w:lineRule="auto" w:after="0"/>
        <w:ind w:firstLine="425"/>
      </w:pPr>
      <w:r>
        <w:rPr>
          <w:rFonts w:ascii="Times New Roman" w:hAnsi="Times New Roman" w:eastAsia="宋体"/>
          <w:b w:val="0"/>
          <w:i w:val="0"/>
          <w:sz w:val="22"/>
        </w:rPr>
        <w:t>在多主体电力交易中，合作博弈理论为利益分配提供了公平的分析框架。当多个产消者组成联盟参与市场时，联盟的总收益可能大于各成员独立参与市场收益之和——这种"合作剩余"的合理分配是联盟稳定性的关键。</w:t>
      </w:r>
    </w:p>
    <w:p>
      <w:pPr>
        <w:spacing w:line="360" w:lineRule="auto" w:after="0"/>
        <w:ind w:firstLine="425"/>
      </w:pPr>
      <w:r>
        <w:rPr>
          <w:rFonts w:ascii="Times New Roman" w:hAnsi="Times New Roman" w:eastAsia="宋体"/>
          <w:b/>
          <w:i w:val="0"/>
          <w:sz w:val="22"/>
        </w:rPr>
        <w:t>核心（Core）概念</w:t>
      </w:r>
      <w:r>
        <w:rPr>
          <w:rFonts w:ascii="Times New Roman" w:hAnsi="Times New Roman" w:eastAsia="宋体"/>
          <w:b w:val="0"/>
          <w:i w:val="0"/>
          <w:sz w:val="22"/>
        </w:rPr>
        <w:t>：合作博弈的核心是所有满足个体合理性和群体合理性的分配方案集合。个体理性要求每个成员的分配收益不低于独立参与时的收益；群体合理性要求任何子联盟的分配收益之和不低于该子联盟独立时的最大收益。如果核心非空，则存在使所有成员都满意的分配方案。</w:t>
      </w:r>
    </w:p>
    <w:p>
      <w:pPr>
        <w:spacing w:line="360" w:lineRule="auto" w:after="0"/>
        <w:ind w:firstLine="425"/>
      </w:pPr>
      <w:r>
        <w:rPr>
          <w:rFonts w:ascii="Times New Roman" w:hAnsi="Times New Roman" w:eastAsia="宋体"/>
          <w:b/>
          <w:i w:val="0"/>
          <w:sz w:val="22"/>
        </w:rPr>
        <w:t>Shapley值</w:t>
      </w:r>
      <w:r>
        <w:rPr>
          <w:rFonts w:ascii="Times New Roman" w:hAnsi="Times New Roman" w:eastAsia="宋体"/>
          <w:b w:val="0"/>
          <w:i w:val="0"/>
          <w:sz w:val="22"/>
        </w:rPr>
        <w:t>：Shapley值是一种公平的利益分配方法，基于每个成员对联盟的边际贡献计算。成员i的Shapley值为φ_i = Σ_S (|S|-1)!(n-|S|)!/n! · [v(S) - v(S\{i})]，其中S为包含i的子联盟，v(S)为子联盟S的总收益。Shapley值满足对称性、有效性和加法性等公理，是合作博弈中最常用的分配方案。</w:t>
      </w:r>
    </w:p>
    <w:p>
      <w:pPr>
        <w:spacing w:line="360" w:lineRule="auto" w:after="0"/>
        <w:ind w:firstLine="425"/>
      </w:pPr>
      <w:r>
        <w:rPr>
          <w:rFonts w:ascii="Times New Roman" w:hAnsi="Times New Roman" w:eastAsia="宋体"/>
          <w:b w:val="0"/>
          <w:i w:val="0"/>
          <w:sz w:val="22"/>
        </w:rPr>
        <w:t>在分布式能源交易中，Shapley值可用于分配储能系统、光伏发电和需求响应资源的合作收益。例如，当光伏用户与储能用户组成联盟时，光伏的过剩电力由储能储存并在高价时段释放，联盟总收益高于各自独立运行。Shapley值根据各成员的边际贡献分配合作剩余，确保联盟的长期稳定性。</w:t>
      </w:r>
    </w:p>
    <w:p>
      <w:pPr>
        <w:spacing w:line="360" w:lineRule="auto" w:after="0"/>
        <w:ind w:firstLine="425"/>
      </w:pPr>
      <w:r>
        <w:rPr>
          <w:rFonts w:ascii="Times New Roman" w:hAnsi="Times New Roman" w:eastAsia="宋体"/>
          <w:b/>
          <w:i w:val="0"/>
          <w:sz w:val="22"/>
        </w:rPr>
        <w:t>核仁（Nucleolus）</w:t>
      </w:r>
      <w:r>
        <w:rPr>
          <w:rFonts w:ascii="Times New Roman" w:hAnsi="Times New Roman" w:eastAsia="宋体"/>
          <w:b w:val="0"/>
          <w:i w:val="0"/>
          <w:sz w:val="22"/>
        </w:rPr>
        <w:t>：当核心为空时，核仁提供了最接近核心的分配方案。核仁通过最小化最大不满意度的方式确定分配，在核心为空时仍能给出合理的分配方案。在电力交易中，当合作剩余较小或参与者较多时，核心可能为空，核仁成为实用的分配方法。</w:t>
      </w:r>
    </w:p>
    <w:p>
      <w:pPr>
        <w:pStyle w:val="Heading2"/>
        <w:spacing w:before="240" w:after="80"/>
      </w:pPr>
      <w:r>
        <w:rPr>
          <w:rFonts w:ascii="Times New Roman" w:hAnsi="Times New Roman" w:eastAsia="黑体"/>
          <w:b/>
          <w:i w:val="0"/>
          <w:sz w:val="28"/>
        </w:rPr>
        <w:t>参考文献</w:t>
      </w:r>
    </w:p>
    <w:p>
      <w:pPr>
        <w:spacing w:after="40" w:line="276" w:lineRule="auto"/>
        <w:ind w:left="425" w:hanging="425"/>
      </w:pPr>
      <w:r>
        <w:rPr>
          <w:rFonts w:ascii="Times New Roman" w:hAnsi="Times New Roman" w:eastAsia="宋体"/>
          <w:b w:val="0"/>
          <w:i w:val="0"/>
          <w:sz w:val="20"/>
        </w:rPr>
        <w:t>[1] 代业明, 高岩. 基于智能电网需求侧管理的多零售商实时定价策略[J]. 电网技术, 2014, 38(5): 1267-1273.</w:t>
      </w:r>
    </w:p>
    <w:p>
      <w:pPr>
        <w:spacing w:after="40" w:line="276" w:lineRule="auto"/>
        <w:ind w:left="425" w:hanging="425"/>
      </w:pPr>
      <w:r>
        <w:rPr>
          <w:rFonts w:ascii="Times New Roman" w:hAnsi="Times New Roman" w:eastAsia="宋体"/>
          <w:b w:val="0"/>
          <w:i w:val="0"/>
          <w:sz w:val="20"/>
        </w:rPr>
        <w:t>[2] Osborne M J, Rubinstein A. A Course in Game Theory[M]. MIT Press, 1994.</w:t>
      </w:r>
    </w:p>
    <w:p>
      <w:pPr>
        <w:spacing w:after="40" w:line="276" w:lineRule="auto"/>
        <w:ind w:left="425" w:hanging="425"/>
      </w:pPr>
      <w:r>
        <w:rPr>
          <w:rFonts w:ascii="Times New Roman" w:hAnsi="Times New Roman" w:eastAsia="宋体"/>
          <w:b w:val="0"/>
          <w:i w:val="0"/>
          <w:sz w:val="20"/>
        </w:rPr>
        <w:t>[3] Stackelberg H V. Market Structure and Equilibrium[M]. Springer, 2011.</w:t>
      </w:r>
    </w:p>
    <w:p>
      <w:pPr>
        <w:spacing w:after="40" w:line="276" w:lineRule="auto"/>
        <w:ind w:left="425" w:hanging="425"/>
      </w:pPr>
      <w:r>
        <w:rPr>
          <w:rFonts w:ascii="Times New Roman" w:hAnsi="Times New Roman" w:eastAsia="宋体"/>
          <w:b w:val="0"/>
          <w:i w:val="0"/>
          <w:sz w:val="20"/>
        </w:rPr>
        <w:t>[4] 代业明, 高岩, 朱红波, 金锋, 袁光辉. 考虑消费者激励因素的智能电网多零售商多用户实时定价策略[J]. 电力系统保护与控制, 2017, 45(2): 28-35.</w:t>
      </w:r>
    </w:p>
    <w:p>
      <w:pPr>
        <w:spacing w:after="40" w:line="276" w:lineRule="auto"/>
        <w:ind w:left="425" w:hanging="425"/>
      </w:pPr>
      <w:r>
        <w:rPr>
          <w:rFonts w:ascii="Times New Roman" w:hAnsi="Times New Roman" w:eastAsia="宋体"/>
          <w:b w:val="0"/>
          <w:i w:val="0"/>
          <w:sz w:val="20"/>
        </w:rPr>
        <w:t>[5] 代业明, 高岩. 具有多类资源多类用户智能电网实时定价决策[J]. 系统工程理论与实践, 2015, 35(7): 1782-1789.</w:t>
      </w:r>
    </w:p>
    <w:p>
      <w:pPr>
        <w:spacing w:after="40" w:line="276" w:lineRule="auto"/>
        <w:ind w:left="425" w:hanging="425"/>
      </w:pPr>
      <w:r>
        <w:rPr>
          <w:rFonts w:ascii="Times New Roman" w:hAnsi="Times New Roman" w:eastAsia="宋体"/>
          <w:b w:val="0"/>
          <w:i w:val="0"/>
          <w:sz w:val="20"/>
        </w:rPr>
        <w:t>[6] 李军祥, 等. 电力零售商引导下智能电网多方利益均衡策略[J]. 系统工程理论与实践, 2022, 42(5): 1234-1246.</w:t>
      </w:r>
    </w:p>
    <w:p>
      <w:pPr>
        <w:spacing w:after="40" w:line="276" w:lineRule="auto"/>
        <w:ind w:left="425" w:hanging="425"/>
      </w:pPr>
      <w:r>
        <w:rPr>
          <w:rFonts w:ascii="Times New Roman" w:hAnsi="Times New Roman" w:eastAsia="宋体"/>
          <w:b w:val="0"/>
          <w:i w:val="0"/>
          <w:sz w:val="20"/>
        </w:rPr>
        <w:t>[7] 王等, 高岩. 基于累积前景理论的智能电网多零售商服务评价[J]. 电力系统保护与控制, 2019, 47(14): 35-42.</w:t>
      </w:r>
    </w:p>
    <w:p>
      <w:pPr>
        <w:spacing w:after="40" w:line="276" w:lineRule="auto"/>
        <w:ind w:left="425" w:hanging="425"/>
      </w:pPr>
      <w:r>
        <w:rPr>
          <w:rFonts w:ascii="Times New Roman" w:hAnsi="Times New Roman" w:eastAsia="宋体"/>
          <w:b w:val="0"/>
          <w:i w:val="0"/>
          <w:sz w:val="20"/>
        </w:rPr>
        <w:t>[8] 李陆, 代业明. 广告视角下智能小区实时定价博弈分析[J]. 系统工程理论与实践, 2019, 39(10): 2583-2592.</w:t>
      </w:r>
    </w:p>
    <w:p>
      <w:pPr>
        <w:spacing w:after="40" w:line="276" w:lineRule="auto"/>
        <w:ind w:left="425" w:hanging="425"/>
      </w:pPr>
      <w:r>
        <w:rPr>
          <w:rFonts w:ascii="Times New Roman" w:hAnsi="Times New Roman" w:eastAsia="宋体"/>
          <w:b w:val="0"/>
          <w:i w:val="0"/>
          <w:sz w:val="20"/>
        </w:rPr>
        <w:t>[9] 张等. 基于联盟区块链的供应链信息协同博弈研究[J]. 管理科学学报, 2020, 23(6): 88-102.</w:t>
      </w:r>
    </w:p>
    <w:p>
      <w:pPr>
        <w:spacing w:after="40" w:line="276" w:lineRule="auto"/>
        <w:ind w:left="425" w:hanging="425"/>
      </w:pPr>
      <w:r>
        <w:rPr>
          <w:rFonts w:ascii="Times New Roman" w:hAnsi="Times New Roman" w:eastAsia="宋体"/>
          <w:b w:val="0"/>
          <w:i w:val="0"/>
          <w:sz w:val="20"/>
        </w:rPr>
        <w:t>[10] Wu et al. Real-Time Bidding Model of Cryptocurrency Energy Trading Platform[J]. Journal of Industrial and Management Optimization, 2021, 17(4): 1-20.</w:t>
      </w:r>
    </w:p>
    <w:p>
      <w:pPr>
        <w:spacing w:after="40" w:line="276" w:lineRule="auto"/>
        <w:ind w:left="425" w:hanging="425"/>
      </w:pPr>
      <w:r>
        <w:rPr>
          <w:rFonts w:ascii="Times New Roman" w:hAnsi="Times New Roman" w:eastAsia="宋体"/>
          <w:b w:val="0"/>
          <w:i w:val="0"/>
          <w:sz w:val="20"/>
        </w:rPr>
        <w:t>[11] Fudenberg D, Tirole J. Game Theory[M]. MIT Press, 1991.</w:t>
      </w:r>
    </w:p>
    <w:p>
      <w:pPr>
        <w:spacing w:after="40" w:line="276" w:lineRule="auto"/>
        <w:ind w:left="425" w:hanging="425"/>
      </w:pPr>
      <w:r>
        <w:rPr>
          <w:rFonts w:ascii="Times New Roman" w:hAnsi="Times New Roman" w:eastAsia="宋体"/>
          <w:b w:val="0"/>
          <w:i w:val="0"/>
          <w:sz w:val="20"/>
        </w:rPr>
        <w:t>[12] Li J, Gao Y, Zhu H. Real-time pricing based on Stackelberg game in smart grid[J]. Journal of Industrial and Management Optimization, 2020, 16(4): 1889-1906.</w:t>
      </w:r>
    </w:p>
    <w:p>
      <w:pPr>
        <w:spacing w:after="40" w:line="276" w:lineRule="auto"/>
        <w:ind w:left="425" w:hanging="425"/>
      </w:pPr>
      <w:r>
        <w:rPr>
          <w:rFonts w:ascii="Times New Roman" w:hAnsi="Times New Roman" w:eastAsia="宋体"/>
          <w:b w:val="0"/>
          <w:i w:val="0"/>
          <w:sz w:val="20"/>
        </w:rPr>
        <w:t>[13] Stackelberg H V. Market Structure and Equilibrium[M]. Springer, 2011 (original 1934).</w:t>
      </w:r>
    </w:p>
    <w:p>
      <w:pPr>
        <w:spacing w:after="40" w:line="276" w:lineRule="auto"/>
        <w:ind w:left="425" w:hanging="425"/>
      </w:pPr>
      <w:r>
        <w:rPr>
          <w:rFonts w:ascii="Times New Roman" w:hAnsi="Times New Roman" w:eastAsia="宋体"/>
          <w:b w:val="0"/>
          <w:i w:val="0"/>
          <w:sz w:val="20"/>
        </w:rPr>
        <w:t>[14] Maharjan S, Zhu Q, Zhang Y, et al. Dependable demand response management in the smart grid[J]. IEEE Transactions on Smart Grid, 2013, 4(1): 120-132.</w:t>
      </w:r>
    </w:p>
    <w:p>
      <w:pPr>
        <w:jc w:val="center"/>
      </w:pPr>
      <w:r>
        <w:drawing>
          <wp:inline xmlns:a="http://schemas.openxmlformats.org/drawingml/2006/main" xmlns:pic="http://schemas.openxmlformats.org/drawingml/2006/picture">
            <wp:extent cx="5029200" cy="3123621"/>
            <wp:docPr id="4" name="Picture 4"/>
            <wp:cNvGraphicFramePr>
              <a:graphicFrameLocks noChangeAspect="1"/>
            </wp:cNvGraphicFramePr>
            <a:graphic>
              <a:graphicData uri="http://schemas.openxmlformats.org/drawingml/2006/picture">
                <pic:pic>
                  <pic:nvPicPr>
                    <pic:cNvPr id="0" name="05_stackelberg_game.png"/>
                    <pic:cNvPicPr/>
                  </pic:nvPicPr>
                  <pic:blipFill>
                    <a:blip r:embed="rId12"/>
                    <a:stretch>
                      <a:fillRect/>
                    </a:stretch>
                  </pic:blipFill>
                  <pic:spPr>
                    <a:xfrm>
                      <a:off x="0" y="0"/>
                      <a:ext cx="5029200" cy="3123621"/>
                    </a:xfrm>
                    <a:prstGeom prst="rect"/>
                  </pic:spPr>
                </pic:pic>
              </a:graphicData>
            </a:graphic>
          </wp:inline>
        </w:drawing>
      </w:r>
    </w:p>
    <w:p>
      <w:pPr>
        <w:jc w:val="center"/>
      </w:pPr>
      <w:r>
        <w:rPr>
          <w:rFonts w:ascii="Times New Roman" w:hAnsi="Times New Roman" w:eastAsia="黑体"/>
          <w:b/>
          <w:i w:val="0"/>
          <w:color w:val="606060"/>
          <w:sz w:val="20"/>
        </w:rPr>
        <w:t>图5 多零售商Stackelberg博弈利润曲线</w:t>
      </w:r>
    </w:p>
    <w:p>
      <w:r>
        <w:br w:type="page"/>
      </w:r>
    </w:p>
    <w:p>
      <w:pPr>
        <w:jc w:val="center"/>
      </w:pPr>
      <w:r>
        <w:rPr>
          <w:rFonts w:ascii="Times New Roman" w:hAnsi="Times New Roman" w:eastAsia="黑体"/>
          <w:b/>
          <w:i w:val="0"/>
          <w:color w:val="1A3C6E"/>
          <w:sz w:val="44"/>
        </w:rPr>
        <w:t>第三篇  算法与实现</w:t>
      </w:r>
    </w:p>
    <w:p/>
    <w:p/>
    <w:p/>
    <w:p/>
    <w:p>
      <w:r>
        <w:br w:type="page"/>
      </w:r>
    </w:p>
    <w:p>
      <w:pPr>
        <w:pStyle w:val="Heading1"/>
        <w:spacing w:before="360" w:after="120"/>
      </w:pPr>
      <w:r>
        <w:rPr>
          <w:rFonts w:ascii="Times New Roman" w:hAnsi="Times New Roman" w:eastAsia="黑体"/>
          <w:b/>
          <w:i w:val="0"/>
          <w:sz w:val="32"/>
        </w:rPr>
        <w:t>第7章 实时定价的优化求解算法</w:t>
      </w:r>
    </w:p>
    <w:p>
      <w:pPr>
        <w:pStyle w:val="Heading2"/>
        <w:spacing w:before="240" w:after="80"/>
      </w:pPr>
      <w:r>
        <w:rPr>
          <w:rFonts w:ascii="Times New Roman" w:hAnsi="Times New Roman" w:eastAsia="黑体"/>
          <w:b/>
          <w:i w:val="0"/>
          <w:sz w:val="28"/>
        </w:rPr>
        <w:t>学习目标</w:t>
      </w:r>
    </w:p>
    <w:p>
      <w:pPr>
        <w:pStyle w:val="ListBullet"/>
        <w:spacing w:line="360" w:lineRule="auto" w:after="0"/>
      </w:pPr>
      <w:r>
        <w:rPr>
          <w:rFonts w:ascii="Times New Roman" w:hAnsi="Times New Roman" w:eastAsia="宋体"/>
          <w:b w:val="0"/>
          <w:i w:val="0"/>
          <w:sz w:val="22"/>
        </w:rPr>
        <w:t>掌握对偶分解法、内点法、次梯度算法等经典优化方法在实时定价中的应用</w:t>
      </w:r>
    </w:p>
    <w:p>
      <w:pPr>
        <w:pStyle w:val="ListBullet"/>
        <w:spacing w:line="360" w:lineRule="auto" w:after="0"/>
      </w:pPr>
      <w:r>
        <w:rPr>
          <w:rFonts w:ascii="Times New Roman" w:hAnsi="Times New Roman" w:eastAsia="宋体"/>
          <w:b w:val="0"/>
          <w:i w:val="0"/>
          <w:sz w:val="22"/>
        </w:rPr>
        <w:t>了解滚动惩罚函数算法和双层规划方法的特点与适用场景</w:t>
      </w:r>
    </w:p>
    <w:p>
      <w:pPr>
        <w:pStyle w:val="ListBullet"/>
        <w:spacing w:line="360" w:lineRule="auto" w:after="0"/>
      </w:pPr>
      <w:r>
        <w:rPr>
          <w:rFonts w:ascii="Times New Roman" w:hAnsi="Times New Roman" w:eastAsia="宋体"/>
          <w:b w:val="0"/>
          <w:i w:val="0"/>
          <w:sz w:val="22"/>
        </w:rPr>
        <w:t>理解分布式迭代算法的设计原理和收敛性条件</w:t>
      </w:r>
    </w:p>
    <w:p>
      <w:pPr>
        <w:pStyle w:val="Heading2"/>
        <w:spacing w:before="240" w:after="80"/>
      </w:pPr>
      <w:r>
        <w:rPr>
          <w:rFonts w:ascii="Times New Roman" w:hAnsi="Times New Roman" w:eastAsia="黑体"/>
          <w:b/>
          <w:i w:val="0"/>
          <w:sz w:val="28"/>
        </w:rPr>
        <w:t>导入案例：算法效率对实时定价的关键影响</w:t>
      </w:r>
    </w:p>
    <w:p>
      <w:pPr>
        <w:spacing w:line="360" w:lineRule="auto" w:after="0"/>
        <w:ind w:firstLine="425"/>
      </w:pPr>
      <w:r>
        <w:rPr>
          <w:rFonts w:ascii="Times New Roman" w:hAnsi="Times New Roman" w:eastAsia="宋体"/>
          <w:b w:val="0"/>
          <w:i w:val="0"/>
          <w:sz w:val="22"/>
        </w:rPr>
        <w:t>在智能电网实时定价系统中，优化算法需要在每个定价周期（通常为15分钟至1小时）内完成求解。如果算法收敛速度不够快，价格信号将无法及时更新，影响需求响应效果。徐伟强等（2012）提出的基于改进对偶分解的快速实时定价方法，将求解时间从传统集中式方法的数十秒缩短至数秒，为实时定价的实际部署扫清了计算效率障碍</w:t>
      </w:r>
      <w:r>
        <w:rPr>
          <w:rFonts w:ascii="Times New Roman" w:hAnsi="Times New Roman" w:eastAsia="Times New Roman"/>
          <w:b w:val="0"/>
          <w:i w:val="0"/>
          <w:sz w:val="18"/>
          <w:vertAlign w:val="superscript"/>
        </w:rPr>
        <w:t>[1]</w:t>
      </w:r>
      <w:r>
        <w:rPr>
          <w:rFonts w:ascii="Times New Roman" w:hAnsi="Times New Roman" w:eastAsia="宋体"/>
          <w:b w:val="0"/>
          <w:i w:val="0"/>
          <w:sz w:val="22"/>
        </w:rPr>
        <w:t>。</w:t>
      </w:r>
    </w:p>
    <w:p>
      <w:pPr>
        <w:pStyle w:val="Heading2"/>
        <w:spacing w:before="240" w:after="80"/>
      </w:pPr>
      <w:r>
        <w:rPr>
          <w:rFonts w:ascii="Times New Roman" w:hAnsi="Times New Roman" w:eastAsia="黑体"/>
          <w:b/>
          <w:i w:val="0"/>
          <w:sz w:val="28"/>
        </w:rPr>
        <w:t>7.1 对偶分解法</w:t>
      </w:r>
    </w:p>
    <w:p>
      <w:pPr>
        <w:pStyle w:val="Heading3"/>
        <w:spacing w:before="160" w:after="60"/>
      </w:pPr>
      <w:r>
        <w:rPr>
          <w:rFonts w:ascii="Times New Roman" w:hAnsi="Times New Roman" w:eastAsia="黑体"/>
          <w:b/>
          <w:i w:val="0"/>
          <w:sz w:val="24"/>
        </w:rPr>
        <w:t>7.1.1 基本原理</w:t>
      </w:r>
    </w:p>
    <w:p>
      <w:pPr>
        <w:spacing w:line="360" w:lineRule="auto" w:after="0"/>
        <w:ind w:firstLine="425"/>
      </w:pPr>
      <w:r>
        <w:rPr>
          <w:rFonts w:ascii="Times New Roman" w:hAnsi="Times New Roman" w:eastAsia="宋体"/>
          <w:b w:val="0"/>
          <w:i w:val="0"/>
          <w:sz w:val="22"/>
        </w:rPr>
        <w:t>对偶分解法是求解社会福利最大化问题最经典的方法。其核心思想是利用拉格朗日对偶将原问题分解为多个子问题，每个子问题可独立求解。</w:t>
      </w:r>
    </w:p>
    <w:p>
      <w:pPr>
        <w:spacing w:line="360" w:lineRule="auto" w:after="0"/>
        <w:ind w:firstLine="425"/>
      </w:pPr>
      <w:r>
        <w:rPr>
          <w:rFonts w:ascii="Times New Roman" w:hAnsi="Times New Roman" w:eastAsia="宋体"/>
          <w:b w:val="0"/>
          <w:i w:val="0"/>
          <w:sz w:val="22"/>
        </w:rPr>
        <w:t>社会福利最大化问题的拉格朗日函数为：</w:t>
      </w:r>
    </w:p>
    <w:p>
      <w:pPr>
        <w:spacing w:before="80" w:after="80"/>
        <w:jc w:val="center"/>
      </w:pPr>
      <m:oMathPara>
        <m:oMath>
          <m:r>
            <m:t>L(x,λ)=</m:t>
          </m:r>
          <m:nary>
            <m:naryPr>
              <m:chr m:val="∑"/>
              <m:limLoc m:val="subSup"/>
              <m:grow m:val="1"/>
              <m:subHide m:val="off"/>
              <m:supHide m:val="off"/>
            </m:naryPr>
            <m:sub>
              <m:r>
                <m:t>i=1</m:t>
              </m:r>
            </m:sub>
            <m:sup>
              <m:r>
                <m:t>N</m:t>
              </m:r>
            </m:sup>
            <m:e>
              <m:sSub>
                <m:e>
                  <m:r>
                    <m:t>U</m:t>
                  </m:r>
                </m:e>
                <m:sub>
                  <m:r>
                    <m:t>i</m:t>
                  </m:r>
                </m:sub>
              </m:sSub>
            </m:e>
          </m:nary>
          <m:r>
            <m:t>(</m:t>
          </m:r>
          <m:sSub>
            <m:e>
              <m:r>
                <m:t>x</m:t>
              </m:r>
            </m:e>
            <m:sub>
              <m:r>
                <m:t>i</m:t>
              </m:r>
            </m:sub>
          </m:sSub>
          <m:r>
            <m:t>)−C</m:t>
          </m:r>
          <m:d>
            <m:dPr>
              <m:sepChr m:val=""/>
            </m:dPr>
            <m:e>
              <m:nary>
                <m:naryPr>
                  <m:chr m:val="∑"/>
                  <m:limLoc m:val="subSup"/>
                  <m:grow m:val="1"/>
                  <m:subHide m:val="off"/>
                  <m:supHide m:val="off"/>
                </m:naryPr>
                <m:sub>
                  <m:r>
                    <m:t>i=1</m:t>
                  </m:r>
                </m:sub>
                <m:sup>
                  <m:r>
                    <m:t>N</m:t>
                  </m:r>
                </m:sup>
                <m:e>
                  <m:sSub>
                    <m:e>
                      <m:r>
                        <m:t>x</m:t>
                      </m:r>
                    </m:e>
                    <m:sub>
                      <m:r>
                        <m:t>i</m:t>
                      </m:r>
                    </m:sub>
                  </m:sSub>
                </m:e>
              </m:nary>
            </m:e>
          </m:d>
          <m:r>
            <m:t>+λ</m:t>
          </m:r>
          <m:d>
            <m:dPr>
              <m:sepChr m:val="−"/>
            </m:dPr>
            <m:e>
              <m:sSub>
                <m:e>
                  <m:r>
                    <m:t>Q</m:t>
                  </m:r>
                </m:e>
                <m:sub>
                  <m:r>
                    <m:t>max</m:t>
                  </m:r>
                </m:sub>
              </m:sSub>
            </m:e>
            <m:e>
              <m:nary>
                <m:naryPr>
                  <m:chr m:val="∑"/>
                  <m:limLoc m:val="subSup"/>
                  <m:grow m:val="1"/>
                  <m:subHide m:val="off"/>
                  <m:supHide m:val="off"/>
                </m:naryPr>
                <m:sub>
                  <m:r>
                    <m:t>i=1</m:t>
                  </m:r>
                </m:sub>
                <m:sup>
                  <m:r>
                    <m:t>N</m:t>
                  </m:r>
                </m:sup>
                <m:e>
                  <m:sSub>
                    <m:e>
                      <m:r>
                        <m:t>x</m:t>
                      </m:r>
                    </m:e>
                    <m:sub>
                      <m:r>
                        <m:t>i</m:t>
                      </m:r>
                    </m:sub>
                  </m:sSub>
                </m:e>
              </m:nary>
            </m:e>
          </m:d>
        </m:oMath>
      </m:oMathPara>
    </w:p>
    <w:p>
      <w:pPr>
        <w:spacing w:line="360" w:lineRule="auto" w:after="0"/>
        <w:ind w:firstLine="0"/>
      </w:pPr>
      <w:r>
        <w:rPr>
          <w:rFonts w:ascii="Times New Roman" w:hAnsi="Times New Roman" w:eastAsia="宋体"/>
          <w:b w:val="0"/>
          <w:i w:val="0"/>
          <w:sz w:val="22"/>
        </w:rPr>
        <w:t>对偶函数为：g(λ) = max_x L(x, λ)</w:t>
      </w:r>
    </w:p>
    <w:p>
      <w:pPr>
        <w:spacing w:line="360" w:lineRule="auto" w:after="0"/>
        <w:ind w:firstLine="425"/>
      </w:pPr>
      <w:r>
        <w:rPr>
          <w:rFonts w:ascii="Times New Roman" w:hAnsi="Times New Roman" w:eastAsia="宋体"/>
          <w:b w:val="0"/>
          <w:i w:val="0"/>
          <w:sz w:val="22"/>
        </w:rPr>
        <w:t>拉格朗日乘子λ即为实时电价p。通过对偶问题min_λ ≥ 0 g(λ)求解最优电价。</w:t>
      </w:r>
    </w:p>
    <w:p>
      <w:pPr>
        <w:pStyle w:val="Heading3"/>
        <w:spacing w:before="160" w:after="60"/>
      </w:pPr>
      <w:r>
        <w:rPr>
          <w:rFonts w:ascii="Times New Roman" w:hAnsi="Times New Roman" w:eastAsia="黑体"/>
          <w:b/>
          <w:i w:val="0"/>
          <w:sz w:val="24"/>
        </w:rPr>
        <w:t>7.1.2 分布式实现</w:t>
      </w:r>
    </w:p>
    <w:p>
      <w:pPr>
        <w:spacing w:line="360" w:lineRule="auto" w:after="0"/>
        <w:ind w:firstLine="425"/>
      </w:pPr>
      <w:r>
        <w:rPr>
          <w:rFonts w:ascii="Times New Roman" w:hAnsi="Times New Roman" w:eastAsia="宋体"/>
          <w:b w:val="0"/>
          <w:i w:val="0"/>
          <w:sz w:val="22"/>
        </w:rPr>
        <w:t>对偶分解的分布式实现流程</w:t>
      </w:r>
      <w:r>
        <w:rPr>
          <w:rFonts w:ascii="Times New Roman" w:hAnsi="Times New Roman" w:eastAsia="Times New Roman"/>
          <w:b w:val="0"/>
          <w:i w:val="0"/>
          <w:sz w:val="18"/>
          <w:vertAlign w:val="superscript"/>
        </w:rPr>
        <w:t>[1]</w:t>
      </w:r>
      <w:r>
        <w:rPr>
          <w:rFonts w:ascii="Times New Roman" w:hAnsi="Times New Roman" w:eastAsia="宋体"/>
          <w:b w:val="0"/>
          <w:i w:val="0"/>
          <w:sz w:val="22"/>
        </w:rPr>
        <w:t>：</w:t>
      </w:r>
    </w:p>
    <w:p>
      <w:pPr>
        <w:pStyle w:val="ListNumber"/>
        <w:spacing w:line="360" w:lineRule="auto" w:after="0"/>
      </w:pPr>
      <w:r>
        <w:rPr>
          <w:rFonts w:ascii="Times New Roman" w:hAnsi="Times New Roman" w:eastAsia="宋体"/>
          <w:b w:val="0"/>
          <w:i w:val="0"/>
          <w:sz w:val="22"/>
        </w:rPr>
        <w:t>供电方初始化价格p^0</w:t>
      </w:r>
    </w:p>
    <w:p>
      <w:pPr>
        <w:pStyle w:val="ListNumber"/>
        <w:spacing w:line="360" w:lineRule="auto" w:after="0"/>
      </w:pPr>
      <w:r>
        <w:rPr>
          <w:rFonts w:ascii="Times New Roman" w:hAnsi="Times New Roman" w:eastAsia="宋体"/>
          <w:b w:val="0"/>
          <w:i w:val="0"/>
          <w:sz w:val="22"/>
        </w:rPr>
        <w:t>用户i根据p^k求解局部问题：x_i^k = arg max_x_i [U_i(x_i) - p^k x_i]</w:t>
      </w:r>
    </w:p>
    <w:p>
      <w:pPr>
        <w:pStyle w:val="ListNumber"/>
        <w:spacing w:line="360" w:lineRule="auto" w:after="0"/>
      </w:pPr>
      <w:r>
        <w:rPr>
          <w:rFonts w:ascii="Times New Roman" w:hAnsi="Times New Roman" w:eastAsia="宋体"/>
          <w:b w:val="0"/>
          <w:i w:val="0"/>
          <w:sz w:val="22"/>
        </w:rPr>
        <w:t>用户反馈总需求Q^k = Σ x_i^k</w:t>
      </w:r>
    </w:p>
    <w:p>
      <w:pPr>
        <w:pStyle w:val="ListNumber"/>
        <w:spacing w:line="360" w:lineRule="auto" w:after="0"/>
      </w:pPr>
      <w:r>
        <w:rPr>
          <w:rFonts w:ascii="Times New Roman" w:hAnsi="Times New Roman" w:eastAsia="宋体"/>
          <w:b w:val="0"/>
          <w:i w:val="0"/>
          <w:sz w:val="22"/>
        </w:rPr>
        <w:t>供电方更新价格：p^k+1 = [p^k + α(Q^k - Q_max)]^+</w:t>
      </w:r>
    </w:p>
    <w:p>
      <w:pPr>
        <w:pStyle w:val="ListNumber"/>
        <w:spacing w:line="360" w:lineRule="auto" w:after="0"/>
      </w:pPr>
      <w:r>
        <w:rPr>
          <w:rFonts w:ascii="Times New Roman" w:hAnsi="Times New Roman" w:eastAsia="宋体"/>
          <w:b w:val="0"/>
          <w:i w:val="0"/>
          <w:sz w:val="22"/>
        </w:rPr>
        <w:t>重复直至收敛</w:t>
      </w:r>
    </w:p>
    <w:p>
      <w:pPr>
        <w:pStyle w:val="Heading3"/>
        <w:spacing w:before="160" w:after="60"/>
      </w:pPr>
      <w:r>
        <w:rPr>
          <w:rFonts w:ascii="Times New Roman" w:hAnsi="Times New Roman" w:eastAsia="黑体"/>
          <w:b/>
          <w:i w:val="0"/>
          <w:sz w:val="24"/>
        </w:rPr>
        <w:t>7.1.3 改进对偶分解</w:t>
      </w:r>
    </w:p>
    <w:p>
      <w:pPr>
        <w:spacing w:line="360" w:lineRule="auto" w:after="0"/>
        <w:ind w:firstLine="425"/>
      </w:pPr>
      <w:r>
        <w:rPr>
          <w:rFonts w:ascii="Times New Roman" w:hAnsi="Times New Roman" w:eastAsia="宋体"/>
          <w:b w:val="0"/>
          <w:i w:val="0"/>
          <w:sz w:val="22"/>
        </w:rPr>
        <w:t>徐伟强等（2012）提出了改进对偶分解方法</w:t>
      </w:r>
      <w:r>
        <w:rPr>
          <w:rFonts w:ascii="Times New Roman" w:hAnsi="Times New Roman" w:eastAsia="Times New Roman"/>
          <w:b w:val="0"/>
          <w:i w:val="0"/>
          <w:sz w:val="18"/>
          <w:vertAlign w:val="superscript"/>
        </w:rPr>
        <w:t>[1]</w:t>
      </w:r>
      <w:r>
        <w:rPr>
          <w:rFonts w:ascii="Times New Roman" w:hAnsi="Times New Roman" w:eastAsia="宋体"/>
          <w:b w:val="0"/>
          <w:i w:val="0"/>
          <w:sz w:val="22"/>
        </w:rPr>
        <w:t>，引入近端中心项来加速收敛：</w:t>
      </w:r>
    </w:p>
    <w:p>
      <w:pPr>
        <w:spacing w:before="80" w:after="80"/>
        <w:jc w:val="center"/>
      </w:pPr>
      <m:oMathPara>
        <m:oMath>
          <m:sSup>
            <m:e>
              <m:r>
                <m:t>p</m:t>
              </m:r>
            </m:e>
            <m:sup>
              <m:r>
                <m:t>k+1</m:t>
              </m:r>
            </m:sup>
          </m:sSup>
          <m:r>
            <m:t>=</m:t>
          </m:r>
          <m:r>
            <m:rPr>
              <m:sty m:val="p"/>
            </m:rPr>
            <m:t>\arg</m:t>
          </m:r>
          <m:sSub>
            <m:e>
              <m:r>
                <m:t>max</m:t>
              </m:r>
            </m:e>
            <m:sub>
              <m:r>
                <m:t>p</m:t>
              </m:r>
            </m:sub>
          </m:sSub>
          <m:d>
            <m:dPr>
              <m:begChr m:val="["/>
              <m:sepChr m:val=""/>
              <m:endChr m:val="]"/>
            </m:dPr>
            <m:e>
              <m:r>
                <m:t>g</m:t>
              </m:r>
              <m:r>
                <m:t>(</m:t>
              </m:r>
              <m:r>
                <m:t>p</m:t>
              </m:r>
              <m:r>
                <m:t>)</m:t>
              </m:r>
              <m:r>
                <m:t>−</m:t>
              </m:r>
              <m:f>
                <m:fPr>
                  <m:type m:val="bar"/>
                </m:fPr>
                <m:num>
                  <m:r>
                    <m:t>1</m:t>
                  </m:r>
                </m:num>
                <m:den>
                  <m:r>
                    <m:t>2η</m:t>
                  </m:r>
                </m:den>
              </m:f>
              <m:r>
                <m:t>‖</m:t>
              </m:r>
              <m:r>
                <m:t>p</m:t>
              </m:r>
              <m:r>
                <m:t>−</m:t>
              </m:r>
              <m:sSup>
                <m:e>
                  <m:r>
                    <m:t>p</m:t>
                  </m:r>
                </m:e>
                <m:sup>
                  <m:r>
                    <m:t>k</m:t>
                  </m:r>
                </m:sup>
              </m:sSup>
              <m:sSup>
                <m:e>
                  <m:r>
                    <m:t>‖</m:t>
                  </m:r>
                </m:e>
                <m:sup>
                  <m:r>
                    <m:t>2</m:t>
                  </m:r>
                </m:sup>
              </m:sSup>
            </m:e>
          </m:d>
        </m:oMath>
      </m:oMathPara>
    </w:p>
    <w:p>
      <w:pPr>
        <w:spacing w:line="360" w:lineRule="auto" w:after="0"/>
        <w:ind w:firstLine="0"/>
      </w:pPr>
      <w:r>
        <w:rPr>
          <w:rFonts w:ascii="Times New Roman" w:hAnsi="Times New Roman" w:eastAsia="宋体"/>
          <w:b w:val="0"/>
          <w:i w:val="0"/>
          <w:sz w:val="22"/>
        </w:rPr>
        <w:t>近端项的引入使算法具有更好的收敛性质，特别是在效用函数非强凹的情况下仍能保证收敛。数值实验表明，改进方法比标准对偶分解收敛速度快3-5倍。</w:t>
      </w:r>
    </w:p>
    <w:p>
      <w:pPr>
        <w:pStyle w:val="Heading2"/>
        <w:spacing w:before="240" w:after="80"/>
      </w:pPr>
      <w:r>
        <w:rPr>
          <w:rFonts w:ascii="Times New Roman" w:hAnsi="Times New Roman" w:eastAsia="黑体"/>
          <w:b/>
          <w:i w:val="0"/>
          <w:sz w:val="28"/>
        </w:rPr>
        <w:t>7.2 内点法</w:t>
      </w:r>
    </w:p>
    <w:p>
      <w:pPr>
        <w:pStyle w:val="Heading3"/>
        <w:spacing w:before="160" w:after="60"/>
      </w:pPr>
      <w:r>
        <w:rPr>
          <w:rFonts w:ascii="Times New Roman" w:hAnsi="Times New Roman" w:eastAsia="黑体"/>
          <w:b/>
          <w:i w:val="0"/>
          <w:sz w:val="24"/>
        </w:rPr>
        <w:t>7.2.1 原理与特点</w:t>
      </w:r>
    </w:p>
    <w:p>
      <w:pPr>
        <w:spacing w:line="360" w:lineRule="auto" w:after="0"/>
        <w:ind w:firstLine="425"/>
      </w:pPr>
      <w:r>
        <w:rPr>
          <w:rFonts w:ascii="Times New Roman" w:hAnsi="Times New Roman" w:eastAsia="宋体"/>
          <w:b w:val="0"/>
          <w:i w:val="0"/>
          <w:sz w:val="22"/>
        </w:rPr>
        <w:t>内点法（Interior Point Method）是求解线性规划和凸优化问题的高效算法。其基本思想是从可行域内部出发，通过障碍函数避免越界，沿中心路径逼近最优解。</w:t>
      </w:r>
    </w:p>
    <w:p>
      <w:pPr>
        <w:spacing w:line="360" w:lineRule="auto" w:after="0"/>
        <w:ind w:firstLine="425"/>
      </w:pPr>
      <w:r>
        <w:rPr>
          <w:rFonts w:ascii="Times New Roman" w:hAnsi="Times New Roman" w:eastAsia="宋体"/>
          <w:b w:val="0"/>
          <w:i w:val="0"/>
          <w:sz w:val="22"/>
        </w:rPr>
        <w:t>内点法的优势在于理论复杂度低（多项式时间）和实际求解效率高。然而，内点法通常是集中式方法，需要收集所有变量信息进行统一求解，在用户规模较大时面临可扩展性问题。</w:t>
      </w:r>
    </w:p>
    <w:p>
      <w:pPr>
        <w:pStyle w:val="Heading3"/>
        <w:spacing w:before="160" w:after="60"/>
      </w:pPr>
      <w:r>
        <w:rPr>
          <w:rFonts w:ascii="Times New Roman" w:hAnsi="Times New Roman" w:eastAsia="黑体"/>
          <w:b/>
          <w:i w:val="0"/>
          <w:sz w:val="24"/>
        </w:rPr>
        <w:t>7.2.2 在实时定价中的应用</w:t>
      </w:r>
    </w:p>
    <w:p>
      <w:pPr>
        <w:spacing w:line="360" w:lineRule="auto" w:after="0"/>
        <w:ind w:firstLine="425"/>
      </w:pPr>
      <w:r>
        <w:rPr>
          <w:rFonts w:ascii="Times New Roman" w:hAnsi="Times New Roman" w:eastAsia="宋体"/>
          <w:b w:val="0"/>
          <w:i w:val="0"/>
          <w:sz w:val="22"/>
        </w:rPr>
        <w:t>在实时定价中，内点法适用于求解中小规模的社会福利最大化问题。对于大规模问题，可以结合分解策略使用：先通过分解将大问题分解为子问题，再对每个子问题用内点法求解。</w:t>
      </w:r>
    </w:p>
    <w:p>
      <w:pPr>
        <w:pStyle w:val="Heading2"/>
        <w:spacing w:before="240" w:after="80"/>
      </w:pPr>
      <w:r>
        <w:rPr>
          <w:rFonts w:ascii="Times New Roman" w:hAnsi="Times New Roman" w:eastAsia="黑体"/>
          <w:b/>
          <w:i w:val="0"/>
          <w:sz w:val="28"/>
        </w:rPr>
        <w:t>7.3 次梯度算法</w:t>
      </w:r>
    </w:p>
    <w:p>
      <w:pPr>
        <w:pStyle w:val="Heading3"/>
        <w:spacing w:before="160" w:after="60"/>
      </w:pPr>
      <w:r>
        <w:rPr>
          <w:rFonts w:ascii="Times New Roman" w:hAnsi="Times New Roman" w:eastAsia="黑体"/>
          <w:b/>
          <w:i w:val="0"/>
          <w:sz w:val="24"/>
        </w:rPr>
        <w:t>7.3.1 次梯度的概念</w:t>
      </w:r>
    </w:p>
    <w:p>
      <w:pPr>
        <w:spacing w:line="360" w:lineRule="auto" w:after="0"/>
        <w:ind w:firstLine="425"/>
      </w:pPr>
      <w:r>
        <w:rPr>
          <w:rFonts w:ascii="Times New Roman" w:hAnsi="Times New Roman" w:eastAsia="宋体"/>
          <w:b w:val="0"/>
          <w:i w:val="0"/>
          <w:sz w:val="22"/>
        </w:rPr>
        <w:t>当目标函数不可微时（如分片线性效用函数），传统梯度方法不再适用。次梯度（Subgradient）是梯度在非光滑情形下的推广。对于凸函数f，向量g称为f在点x处的次梯度，如果：</w:t>
      </w:r>
    </w:p>
    <w:p>
      <w:pPr>
        <w:spacing w:before="80" w:after="80"/>
        <w:jc w:val="center"/>
      </w:pPr>
      <m:oMathPara>
        <m:oMath>
          <m:r>
            <m:t>f(y)≥f(x)+</m:t>
          </m:r>
          <m:sSup>
            <m:e>
              <m:r>
                <m:t>g</m:t>
              </m:r>
            </m:e>
            <m:sup>
              <m:r>
                <m:t>T</m:t>
              </m:r>
            </m:sup>
          </m:sSup>
          <m:r>
            <m:t>(y−x),</m:t>
          </m:r>
          <m:r>
            <m:t>∀y</m:t>
          </m:r>
        </m:oMath>
      </m:oMathPara>
    </w:p>
    <w:p>
      <w:pPr>
        <w:pStyle w:val="Heading3"/>
        <w:spacing w:before="160" w:after="60"/>
      </w:pPr>
      <w:r>
        <w:rPr>
          <w:rFonts w:ascii="Times New Roman" w:hAnsi="Times New Roman" w:eastAsia="黑体"/>
          <w:b/>
          <w:i w:val="0"/>
          <w:sz w:val="24"/>
        </w:rPr>
        <w:t>7.3.2 次梯度算法在定价中的应用</w:t>
      </w:r>
    </w:p>
    <w:p>
      <w:pPr>
        <w:spacing w:line="360" w:lineRule="auto" w:after="0"/>
        <w:ind w:firstLine="425"/>
      </w:pPr>
      <w:r>
        <w:rPr>
          <w:rFonts w:ascii="Times New Roman" w:hAnsi="Times New Roman" w:eastAsia="宋体"/>
          <w:b w:val="0"/>
          <w:i w:val="0"/>
          <w:sz w:val="22"/>
        </w:rPr>
        <w:t>许志宏和高岩（2018）在分片线性效用函数的实时定价中使用了次梯度算法</w:t>
      </w:r>
      <w:r>
        <w:rPr>
          <w:rFonts w:ascii="Times New Roman" w:hAnsi="Times New Roman" w:eastAsia="Times New Roman"/>
          <w:b w:val="0"/>
          <w:i w:val="0"/>
          <w:sz w:val="18"/>
          <w:vertAlign w:val="superscript"/>
        </w:rPr>
        <w:t>[2]</w:t>
      </w:r>
      <w:r>
        <w:rPr>
          <w:rFonts w:ascii="Times New Roman" w:hAnsi="Times New Roman" w:eastAsia="宋体"/>
          <w:b w:val="0"/>
          <w:i w:val="0"/>
          <w:sz w:val="22"/>
        </w:rPr>
        <w:t>。算法的更新规则为：</w:t>
      </w:r>
    </w:p>
    <w:p>
      <w:pPr>
        <w:spacing w:before="80" w:after="80"/>
        <w:jc w:val="center"/>
      </w:pPr>
      <m:oMathPara>
        <m:oMath>
          <m:sSup>
            <m:e>
              <m:r>
                <m:t>p</m:t>
              </m:r>
            </m:e>
            <m:sup>
              <m:r>
                <m:t>k+1</m:t>
              </m:r>
            </m:sup>
          </m:sSup>
          <m:r>
            <m:t>=[</m:t>
          </m:r>
          <m:sSup>
            <m:e>
              <m:r>
                <m:t>p</m:t>
              </m:r>
            </m:e>
            <m:sup>
              <m:r>
                <m:t>k</m:t>
              </m:r>
            </m:sup>
          </m:sSup>
          <m:r>
            <m:t>+</m:t>
          </m:r>
          <m:sSub>
            <m:e>
              <m:r>
                <m:t>α</m:t>
              </m:r>
            </m:e>
            <m:sub>
              <m:r>
                <m:t>k</m:t>
              </m:r>
            </m:sub>
          </m:sSub>
          <m:sSup>
            <m:e>
              <m:r>
                <m:t>g</m:t>
              </m:r>
            </m:e>
            <m:sup>
              <m:r>
                <m:t>k</m:t>
              </m:r>
            </m:sup>
          </m:sSup>
          <m:sSup>
            <m:e>
              <m:r>
                <m:t>]</m:t>
              </m:r>
            </m:e>
            <m:sup>
              <m:r>
                <m:t>+</m:t>
              </m:r>
            </m:sup>
          </m:sSup>
        </m:oMath>
      </m:oMathPara>
    </w:p>
    <w:p>
      <w:pPr>
        <w:spacing w:line="360" w:lineRule="auto" w:after="0"/>
        <w:ind w:firstLine="0"/>
      </w:pPr>
      <w:r>
        <w:rPr>
          <w:rFonts w:ascii="Times New Roman" w:hAnsi="Times New Roman" w:eastAsia="宋体"/>
          <w:b w:val="0"/>
          <w:i w:val="0"/>
          <w:sz w:val="22"/>
        </w:rPr>
        <w:t>其中g^k是次梯度方向，α_k是步长。</w:t>
      </w:r>
    </w:p>
    <w:p>
      <w:pPr>
        <w:spacing w:line="360" w:lineRule="auto" w:after="0"/>
        <w:ind w:firstLine="425"/>
      </w:pPr>
      <w:r>
        <w:rPr>
          <w:rFonts w:ascii="Times New Roman" w:hAnsi="Times New Roman" w:eastAsia="宋体"/>
          <w:b w:val="0"/>
          <w:i w:val="0"/>
          <w:sz w:val="22"/>
        </w:rPr>
        <w:t>次梯度算法的收敛性依赖于步长选择：Σ α_k = ∞且Σ α_k^2 &lt; ∞时保证收敛。然而，次梯度算法的收敛速率通常较慢（O(1/√(k))），需要结合加速策略提高效率。</w:t>
      </w:r>
    </w:p>
    <w:p>
      <w:pPr>
        <w:pStyle w:val="Heading3"/>
        <w:spacing w:before="160" w:after="60"/>
      </w:pPr>
      <w:r>
        <w:rPr>
          <w:rFonts w:ascii="Times New Roman" w:hAnsi="Times New Roman" w:eastAsia="黑体"/>
          <w:b/>
          <w:i w:val="0"/>
          <w:sz w:val="24"/>
        </w:rPr>
        <w:t>7.3.3 对偶次梯度算法</w:t>
      </w:r>
    </w:p>
    <w:p>
      <w:pPr>
        <w:spacing w:line="360" w:lineRule="auto" w:after="0"/>
        <w:ind w:firstLine="425"/>
      </w:pPr>
      <w:r>
        <w:rPr>
          <w:rFonts w:ascii="Times New Roman" w:hAnsi="Times New Roman" w:eastAsia="宋体"/>
          <w:b w:val="0"/>
          <w:i w:val="0"/>
          <w:sz w:val="22"/>
        </w:rPr>
        <w:t>对偶次梯度算法是将次梯度方法应用于对偶问题的求解。许志宏和高岩（2018）设计了专门的对偶次梯度算法来求解分片线性效用函数下的实时电价问题</w:t>
      </w:r>
      <w:r>
        <w:rPr>
          <w:rFonts w:ascii="Times New Roman" w:hAnsi="Times New Roman" w:eastAsia="Times New Roman"/>
          <w:b w:val="0"/>
          <w:i w:val="0"/>
          <w:sz w:val="18"/>
          <w:vertAlign w:val="superscript"/>
        </w:rPr>
        <w:t>[2]</w:t>
      </w:r>
      <w:r>
        <w:rPr>
          <w:rFonts w:ascii="Times New Roman" w:hAnsi="Times New Roman" w:eastAsia="宋体"/>
          <w:b w:val="0"/>
          <w:i w:val="0"/>
          <w:sz w:val="22"/>
        </w:rPr>
        <w:t>，通过选择合适的步长策略，在数值实验中取得了良好的收敛效果。</w:t>
      </w:r>
    </w:p>
    <w:p>
      <w:pPr>
        <w:pStyle w:val="Heading2"/>
        <w:spacing w:before="240" w:after="80"/>
      </w:pPr>
      <w:r>
        <w:rPr>
          <w:rFonts w:ascii="Times New Roman" w:hAnsi="Times New Roman" w:eastAsia="黑体"/>
          <w:b/>
          <w:i w:val="0"/>
          <w:sz w:val="28"/>
        </w:rPr>
        <w:t>7.4 滚动惩罚函数算法</w:t>
      </w:r>
    </w:p>
    <w:p>
      <w:pPr>
        <w:pStyle w:val="Heading3"/>
        <w:spacing w:before="160" w:after="60"/>
      </w:pPr>
      <w:r>
        <w:rPr>
          <w:rFonts w:ascii="Times New Roman" w:hAnsi="Times New Roman" w:eastAsia="黑体"/>
          <w:b/>
          <w:i w:val="0"/>
          <w:sz w:val="24"/>
        </w:rPr>
        <w:t>7.4.1 算法思想</w:t>
      </w:r>
    </w:p>
    <w:p>
      <w:pPr>
        <w:spacing w:line="360" w:lineRule="auto" w:after="0"/>
        <w:ind w:firstLine="425"/>
      </w:pPr>
      <w:r>
        <w:rPr>
          <w:rFonts w:ascii="Times New Roman" w:hAnsi="Times New Roman" w:eastAsia="宋体"/>
          <w:b w:val="0"/>
          <w:i w:val="0"/>
          <w:sz w:val="22"/>
        </w:rPr>
        <w:t>陶等（2020）提出了面向智能微电网实时定价的滚动惩罚函数算法</w:t>
      </w:r>
      <w:r>
        <w:rPr>
          <w:rFonts w:ascii="Times New Roman" w:hAnsi="Times New Roman" w:eastAsia="Times New Roman"/>
          <w:b w:val="0"/>
          <w:i w:val="0"/>
          <w:sz w:val="18"/>
          <w:vertAlign w:val="superscript"/>
        </w:rPr>
        <w:t>[3]</w:t>
      </w:r>
      <w:r>
        <w:rPr>
          <w:rFonts w:ascii="Times New Roman" w:hAnsi="Times New Roman" w:eastAsia="宋体"/>
          <w:b w:val="0"/>
          <w:i w:val="0"/>
          <w:sz w:val="22"/>
        </w:rPr>
        <w:t>。该算法的特点是：</w:t>
      </w:r>
    </w:p>
    <w:p>
      <w:pPr>
        <w:pStyle w:val="ListBullet"/>
        <w:spacing w:line="360" w:lineRule="auto" w:after="0"/>
      </w:pPr>
      <w:r>
        <w:rPr>
          <w:rFonts w:ascii="Times New Roman" w:hAnsi="Times New Roman" w:eastAsia="宋体"/>
          <w:b/>
          <w:i w:val="0"/>
          <w:sz w:val="22"/>
        </w:rPr>
        <w:t>滚动更新</w:t>
      </w:r>
      <w:r>
        <w:rPr>
          <w:rFonts w:ascii="Times New Roman" w:hAnsi="Times New Roman" w:eastAsia="宋体"/>
          <w:b w:val="0"/>
          <w:i w:val="0"/>
          <w:sz w:val="22"/>
        </w:rPr>
        <w:t>：在每个时间窗口内根据最新负荷和价格信息滚动更新定价策略</w:t>
      </w:r>
    </w:p>
    <w:p>
      <w:pPr>
        <w:pStyle w:val="ListBullet"/>
        <w:spacing w:line="360" w:lineRule="auto" w:after="0"/>
      </w:pPr>
      <w:r>
        <w:rPr>
          <w:rFonts w:ascii="Times New Roman" w:hAnsi="Times New Roman" w:eastAsia="宋体"/>
          <w:b/>
          <w:i w:val="0"/>
          <w:sz w:val="22"/>
        </w:rPr>
        <w:t>惩罚函数</w:t>
      </w:r>
      <w:r>
        <w:rPr>
          <w:rFonts w:ascii="Times New Roman" w:hAnsi="Times New Roman" w:eastAsia="宋体"/>
          <w:b w:val="0"/>
          <w:i w:val="0"/>
          <w:sz w:val="22"/>
        </w:rPr>
        <w:t>：通过惩罚函数处理约束违反，避免硬约束导致的不可行解</w:t>
      </w:r>
    </w:p>
    <w:p>
      <w:pPr>
        <w:pStyle w:val="ListBullet"/>
        <w:spacing w:line="360" w:lineRule="auto" w:after="0"/>
      </w:pPr>
      <w:r>
        <w:rPr>
          <w:rFonts w:ascii="Times New Roman" w:hAnsi="Times New Roman" w:eastAsia="宋体"/>
          <w:b/>
          <w:i w:val="0"/>
          <w:sz w:val="22"/>
        </w:rPr>
        <w:t>自适应调整</w:t>
      </w:r>
      <w:r>
        <w:rPr>
          <w:rFonts w:ascii="Times New Roman" w:hAnsi="Times New Roman" w:eastAsia="宋体"/>
          <w:b w:val="0"/>
          <w:i w:val="0"/>
          <w:sz w:val="22"/>
        </w:rPr>
        <w:t>：惩罚参数根据约束违反程度自适应调整</w:t>
      </w:r>
    </w:p>
    <w:p>
      <w:pPr>
        <w:pStyle w:val="Heading3"/>
        <w:spacing w:before="160" w:after="60"/>
      </w:pPr>
      <w:r>
        <w:rPr>
          <w:rFonts w:ascii="Times New Roman" w:hAnsi="Times New Roman" w:eastAsia="黑体"/>
          <w:b/>
          <w:i w:val="0"/>
          <w:sz w:val="24"/>
        </w:rPr>
        <w:t>7.4.2 算法步骤</w:t>
      </w:r>
    </w:p>
    <w:p>
      <w:pPr>
        <w:pStyle w:val="ListNumber"/>
        <w:spacing w:line="360" w:lineRule="auto" w:after="0"/>
      </w:pPr>
      <w:r>
        <w:rPr>
          <w:rFonts w:ascii="Times New Roman" w:hAnsi="Times New Roman" w:eastAsia="宋体"/>
          <w:b w:val="0"/>
          <w:i w:val="0"/>
          <w:sz w:val="22"/>
        </w:rPr>
        <w:t>在时间窗口t，收集当前负荷Q^t和价格p^t-1</w:t>
      </w:r>
    </w:p>
    <w:p>
      <w:pPr>
        <w:pStyle w:val="ListNumber"/>
        <w:spacing w:line="360" w:lineRule="auto" w:after="0"/>
      </w:pPr>
      <w:r>
        <w:rPr>
          <w:rFonts w:ascii="Times New Roman" w:hAnsi="Times New Roman" w:eastAsia="宋体"/>
          <w:b w:val="0"/>
          <w:i w:val="0"/>
          <w:sz w:val="22"/>
        </w:rPr>
        <w:t>计算预测负荷 hatQ^t+1</w:t>
      </w:r>
    </w:p>
    <w:p>
      <w:pPr>
        <w:pStyle w:val="ListNumber"/>
        <w:spacing w:line="360" w:lineRule="auto" w:after="0"/>
      </w:pPr>
      <w:r>
        <w:rPr>
          <w:rFonts w:ascii="Times New Roman" w:hAnsi="Times New Roman" w:eastAsia="宋体"/>
          <w:b w:val="0"/>
          <w:i w:val="0"/>
          <w:sz w:val="22"/>
        </w:rPr>
        <w:t>求解优化问题：min_p [ Cost(p, hatQ^t+1) + ρ · Penalty(p) ]</w:t>
      </w:r>
    </w:p>
    <w:p>
      <w:pPr>
        <w:pStyle w:val="ListNumber"/>
        <w:spacing w:line="360" w:lineRule="auto" w:after="0"/>
      </w:pPr>
      <w:r>
        <w:rPr>
          <w:rFonts w:ascii="Times New Roman" w:hAnsi="Times New Roman" w:eastAsia="宋体"/>
          <w:b w:val="0"/>
          <w:i w:val="0"/>
          <w:sz w:val="22"/>
        </w:rPr>
        <w:t>发布新价格p^t并观察实际响应</w:t>
      </w:r>
    </w:p>
    <w:p>
      <w:pPr>
        <w:pStyle w:val="ListNumber"/>
        <w:spacing w:line="360" w:lineRule="auto" w:after="0"/>
      </w:pPr>
      <w:r>
        <w:rPr>
          <w:rFonts w:ascii="Times New Roman" w:hAnsi="Times New Roman" w:eastAsia="宋体"/>
          <w:b w:val="0"/>
          <w:i w:val="0"/>
          <w:sz w:val="22"/>
        </w:rPr>
        <w:t>根据预测误差调整惩罚参数ρ</w:t>
      </w:r>
    </w:p>
    <w:p>
      <w:pPr>
        <w:pStyle w:val="Heading3"/>
        <w:spacing w:before="160" w:after="60"/>
      </w:pPr>
      <w:r>
        <w:rPr>
          <w:rFonts w:ascii="Times New Roman" w:hAnsi="Times New Roman" w:eastAsia="黑体"/>
          <w:b/>
          <w:i w:val="0"/>
          <w:sz w:val="24"/>
        </w:rPr>
        <w:t>7.4.3 性能分析</w:t>
      </w:r>
    </w:p>
    <w:p>
      <w:pPr>
        <w:spacing w:line="360" w:lineRule="auto" w:after="0"/>
        <w:ind w:firstLine="425"/>
      </w:pPr>
      <w:r>
        <w:rPr>
          <w:rFonts w:ascii="Times New Roman" w:hAnsi="Times New Roman" w:eastAsia="宋体"/>
          <w:b w:val="0"/>
          <w:i w:val="0"/>
          <w:sz w:val="22"/>
        </w:rPr>
        <w:t>滚动惩罚函数算法的优势在于：能够适应负荷的动态变化，对预测误差具有鲁棒性。数值实验表明，该算法在微电网场景下使峰值负荷降低15%-20%，优于静态优化方法</w:t>
      </w:r>
      <w:r>
        <w:rPr>
          <w:rFonts w:ascii="Times New Roman" w:hAnsi="Times New Roman" w:eastAsia="Times New Roman"/>
          <w:b w:val="0"/>
          <w:i w:val="0"/>
          <w:sz w:val="18"/>
          <w:vertAlign w:val="superscript"/>
        </w:rPr>
        <w:t>[3]</w:t>
      </w:r>
      <w:r>
        <w:rPr>
          <w:rFonts w:ascii="Times New Roman" w:hAnsi="Times New Roman" w:eastAsia="宋体"/>
          <w:b w:val="0"/>
          <w:i w:val="0"/>
          <w:sz w:val="22"/>
        </w:rPr>
        <w:t>。</w:t>
      </w:r>
    </w:p>
    <w:p>
      <w:pPr>
        <w:pStyle w:val="Heading2"/>
        <w:spacing w:before="240" w:after="80"/>
      </w:pPr>
      <w:r>
        <w:rPr>
          <w:rFonts w:ascii="Times New Roman" w:hAnsi="Times New Roman" w:eastAsia="黑体"/>
          <w:b/>
          <w:i w:val="0"/>
          <w:sz w:val="28"/>
        </w:rPr>
        <w:t>7.5 双层规划方法</w:t>
      </w:r>
    </w:p>
    <w:p>
      <w:pPr>
        <w:pStyle w:val="Heading3"/>
        <w:spacing w:before="160" w:after="60"/>
      </w:pPr>
      <w:r>
        <w:rPr>
          <w:rFonts w:ascii="Times New Roman" w:hAnsi="Times New Roman" w:eastAsia="黑体"/>
          <w:b/>
          <w:i w:val="0"/>
          <w:sz w:val="24"/>
        </w:rPr>
        <w:t>7.5.1 双层规划的定义</w:t>
      </w:r>
    </w:p>
    <w:p>
      <w:pPr>
        <w:spacing w:line="360" w:lineRule="auto" w:after="0"/>
        <w:ind w:firstLine="425"/>
      </w:pPr>
      <w:r>
        <w:rPr>
          <w:rFonts w:ascii="Times New Roman" w:hAnsi="Times New Roman" w:eastAsia="宋体"/>
          <w:b w:val="0"/>
          <w:i w:val="0"/>
          <w:sz w:val="22"/>
        </w:rPr>
        <w:t>双层规划（Bilevel Programming）是一类具有层次结构的优化问题，包含上层问题和下层问题。上层问题的约束包含下层问题的最优解，形成嵌套优化结构。</w:t>
      </w:r>
    </w:p>
    <w:p>
      <w:pPr>
        <w:pStyle w:val="Heading3"/>
        <w:spacing w:before="160" w:after="60"/>
      </w:pPr>
      <w:r>
        <w:rPr>
          <w:rFonts w:ascii="Times New Roman" w:hAnsi="Times New Roman" w:eastAsia="黑体"/>
          <w:b/>
          <w:i w:val="0"/>
          <w:sz w:val="24"/>
        </w:rPr>
        <w:t>7.5.2 Yuan等（2021）的双层RTP模型</w:t>
      </w:r>
    </w:p>
    <w:p>
      <w:pPr>
        <w:spacing w:line="360" w:lineRule="auto" w:after="0"/>
        <w:ind w:firstLine="425"/>
      </w:pPr>
      <w:r>
        <w:rPr>
          <w:rFonts w:ascii="Times New Roman" w:hAnsi="Times New Roman" w:eastAsia="宋体"/>
          <w:b w:val="0"/>
          <w:i w:val="0"/>
          <w:sz w:val="22"/>
        </w:rPr>
        <w:t>Yuan等（2021）提出了基于双层规划的智能电网实时定价方法</w:t>
      </w:r>
      <w:r>
        <w:rPr>
          <w:rFonts w:ascii="Times New Roman" w:hAnsi="Times New Roman" w:eastAsia="Times New Roman"/>
          <w:b w:val="0"/>
          <w:i w:val="0"/>
          <w:sz w:val="18"/>
          <w:vertAlign w:val="superscript"/>
        </w:rPr>
        <w:t>[4]</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i w:val="0"/>
          <w:sz w:val="22"/>
        </w:rPr>
        <w:t>上层问题</w:t>
      </w:r>
      <w:r>
        <w:rPr>
          <w:rFonts w:ascii="Times New Roman" w:hAnsi="Times New Roman" w:eastAsia="宋体"/>
          <w:b w:val="0"/>
          <w:i w:val="0"/>
          <w:sz w:val="22"/>
        </w:rPr>
        <w:t>：供电方制定电价p以最大化社会福利</w:t>
      </w:r>
    </w:p>
    <w:p>
      <w:pPr>
        <w:pStyle w:val="ListBullet"/>
        <w:spacing w:line="360" w:lineRule="auto" w:after="0"/>
      </w:pPr>
      <w:r>
        <w:rPr>
          <w:rFonts w:ascii="Times New Roman" w:hAnsi="Times New Roman" w:eastAsia="宋体"/>
          <w:b/>
          <w:i w:val="0"/>
          <w:sz w:val="22"/>
        </w:rPr>
        <w:t>下层问题</w:t>
      </w:r>
      <w:r>
        <w:rPr>
          <w:rFonts w:ascii="Times New Roman" w:hAnsi="Times New Roman" w:eastAsia="宋体"/>
          <w:b w:val="0"/>
          <w:i w:val="0"/>
          <w:sz w:val="22"/>
        </w:rPr>
        <w:t>：用户根据p优化用电行为以最大化个体效用</w:t>
      </w:r>
    </w:p>
    <w:p>
      <w:pPr>
        <w:spacing w:line="360" w:lineRule="auto" w:after="0"/>
        <w:ind w:firstLine="425"/>
      </w:pPr>
      <w:r>
        <w:rPr>
          <w:rFonts w:ascii="Times New Roman" w:hAnsi="Times New Roman" w:eastAsia="宋体"/>
          <w:b w:val="0"/>
          <w:i w:val="0"/>
          <w:sz w:val="22"/>
        </w:rPr>
        <w:t>该模型的形式为：</w:t>
      </w:r>
    </w:p>
    <w:p>
      <w:pPr>
        <w:spacing w:before="80" w:after="80"/>
        <w:jc w:val="center"/>
      </w:pPr>
      <m:oMathPara>
        <m:oMath>
          <m:sSub>
            <m:e>
              <m:r>
                <m:t>max</m:t>
              </m:r>
            </m:e>
            <m:sub>
              <m:r>
                <m:t>p</m:t>
              </m:r>
            </m:sub>
          </m:sSub>
          <m:nary>
            <m:naryPr>
              <m:chr m:val="∑"/>
              <m:limLoc m:val="subSup"/>
              <m:grow m:val="1"/>
              <m:subHide m:val="off"/>
              <m:supHide m:val="on"/>
            </m:naryPr>
            <m:sub>
              <m:r>
                <m:t>i</m:t>
              </m:r>
            </m:sub>
            <m:sup/>
            <m:e>
              <m:sSub>
                <m:e>
                  <m:r>
                    <m:t>U</m:t>
                  </m:r>
                </m:e>
                <m:sub>
                  <m:r>
                    <m:t>i</m:t>
                  </m:r>
                </m:sub>
              </m:sSub>
            </m:e>
          </m:nary>
          <m:r>
            <m:t>(</m:t>
          </m:r>
          <m:sSubSup>
            <m:e>
              <m:r>
                <m:t>x</m:t>
              </m:r>
            </m:e>
            <m:sub>
              <m:r>
                <m:t>i</m:t>
              </m:r>
            </m:sub>
            <m:sup>
              <m:r>
                <m:t>*</m:t>
              </m:r>
            </m:sup>
          </m:sSubSup>
          <m:r>
            <m:t>(p))−C</m:t>
          </m:r>
          <m:d>
            <m:dPr>
              <m:sepChr m:val=""/>
            </m:dPr>
            <m:e>
              <m:nary>
                <m:naryPr>
                  <m:chr m:val="∑"/>
                  <m:limLoc m:val="subSup"/>
                  <m:grow m:val="1"/>
                  <m:subHide m:val="off"/>
                  <m:supHide m:val="on"/>
                </m:naryPr>
                <m:sub>
                  <m:r>
                    <m:t>i</m:t>
                  </m:r>
                </m:sub>
                <m:sup/>
                <m:e>
                  <m:sSubSup>
                    <m:e>
                      <m:r>
                        <m:t>x</m:t>
                      </m:r>
                    </m:e>
                    <m:sub>
                      <m:r>
                        <m:t>i</m:t>
                      </m:r>
                    </m:sub>
                    <m:sup>
                      <m:r>
                        <m:t>*</m:t>
                      </m:r>
                    </m:sup>
                  </m:sSubSup>
                </m:e>
              </m:nary>
              <m:r>
                <m:t>(</m:t>
              </m:r>
              <m:r>
                <m:t>p</m:t>
              </m:r>
              <m:r>
                <m:t>)</m:t>
              </m:r>
            </m:e>
          </m:d>
        </m:oMath>
      </m:oMathPara>
    </w:p>
    <w:p>
      <w:pPr>
        <w:spacing w:before="80" w:after="80"/>
        <w:jc w:val="center"/>
      </w:pPr>
      <m:oMathPara>
        <m:oMath>
          <m:r>
            <m:rPr>
              <m:nor/>
            </m:rPr>
            <m:t>s.t.</m:t>
          </m:r>
          <m:sSubSup>
            <m:e>
              <m:r>
                <m:t>x</m:t>
              </m:r>
            </m:e>
            <m:sub>
              <m:r>
                <m:t>i</m:t>
              </m:r>
            </m:sub>
            <m:sup>
              <m:r>
                <m:t>*</m:t>
              </m:r>
            </m:sup>
          </m:sSubSup>
          <m:r>
            <m:t>(p)=</m:t>
          </m:r>
          <m:r>
            <m:rPr>
              <m:sty m:val="p"/>
            </m:rPr>
            <m:t>\arg</m:t>
          </m:r>
          <m:sSub>
            <m:e>
              <m:r>
                <m:t>max</m:t>
              </m:r>
            </m:e>
            <m:sub>
              <m:sSub>
                <m:e>
                  <m:r>
                    <m:t>x</m:t>
                  </m:r>
                </m:e>
                <m:sub>
                  <m:r>
                    <m:t>i</m:t>
                  </m:r>
                </m:sub>
              </m:sSub>
            </m:sub>
          </m:sSub>
          <m:r>
            <m:t>[</m:t>
          </m:r>
          <m:sSub>
            <m:e>
              <m:r>
                <m:t>U</m:t>
              </m:r>
            </m:e>
            <m:sub>
              <m:r>
                <m:t>i</m:t>
              </m:r>
            </m:sub>
          </m:sSub>
          <m:r>
            <m:t>(</m:t>
          </m:r>
          <m:sSub>
            <m:e>
              <m:r>
                <m:t>x</m:t>
              </m:r>
            </m:e>
            <m:sub>
              <m:r>
                <m:t>i</m:t>
              </m:r>
            </m:sub>
          </m:sSub>
          <m:r>
            <m:t>)−p·</m:t>
          </m:r>
          <m:sSub>
            <m:e>
              <m:r>
                <m:t>x</m:t>
              </m:r>
            </m:e>
            <m:sub>
              <m:r>
                <m:t>i</m:t>
              </m:r>
            </m:sub>
          </m:sSub>
          <m:r>
            <m:t>]</m:t>
          </m:r>
        </m:oMath>
      </m:oMathPara>
    </w:p>
    <w:p>
      <w:pPr>
        <w:pStyle w:val="Heading3"/>
        <w:spacing w:before="160" w:after="60"/>
      </w:pPr>
      <w:r>
        <w:rPr>
          <w:rFonts w:ascii="Times New Roman" w:hAnsi="Times New Roman" w:eastAsia="黑体"/>
          <w:b/>
          <w:i w:val="0"/>
          <w:sz w:val="24"/>
        </w:rPr>
        <w:t>7.5.3 求解方法</w:t>
      </w:r>
    </w:p>
    <w:p>
      <w:pPr>
        <w:spacing w:line="360" w:lineRule="auto" w:after="0"/>
        <w:ind w:firstLine="425"/>
      </w:pPr>
      <w:r>
        <w:rPr>
          <w:rFonts w:ascii="Times New Roman" w:hAnsi="Times New Roman" w:eastAsia="宋体"/>
          <w:b w:val="0"/>
          <w:i w:val="0"/>
          <w:sz w:val="22"/>
        </w:rPr>
        <w:t>双层规划的求解方法包括：</w:t>
      </w:r>
    </w:p>
    <w:p>
      <w:pPr>
        <w:pStyle w:val="ListBullet"/>
        <w:spacing w:line="360" w:lineRule="auto" w:after="0"/>
      </w:pPr>
      <w:r>
        <w:rPr>
          <w:rFonts w:ascii="Times New Roman" w:hAnsi="Times New Roman" w:eastAsia="宋体"/>
          <w:b/>
          <w:i w:val="0"/>
          <w:sz w:val="22"/>
        </w:rPr>
        <w:t>KKT转化法</w:t>
      </w:r>
      <w:r>
        <w:rPr>
          <w:rFonts w:ascii="Times New Roman" w:hAnsi="Times New Roman" w:eastAsia="宋体"/>
          <w:b w:val="0"/>
          <w:i w:val="0"/>
          <w:sz w:val="22"/>
        </w:rPr>
        <w:t>：将下层问题用KKT条件替代，转化为单层优化问题</w:t>
      </w:r>
    </w:p>
    <w:p>
      <w:pPr>
        <w:pStyle w:val="ListBullet"/>
        <w:spacing w:line="360" w:lineRule="auto" w:after="0"/>
      </w:pPr>
      <w:r>
        <w:rPr>
          <w:rFonts w:ascii="Times New Roman" w:hAnsi="Times New Roman" w:eastAsia="宋体"/>
          <w:b/>
          <w:i w:val="0"/>
          <w:sz w:val="22"/>
        </w:rPr>
        <w:t>罚函数法</w:t>
      </w:r>
      <w:r>
        <w:rPr>
          <w:rFonts w:ascii="Times New Roman" w:hAnsi="Times New Roman" w:eastAsia="宋体"/>
          <w:b w:val="0"/>
          <w:i w:val="0"/>
          <w:sz w:val="22"/>
        </w:rPr>
        <w:t>：通过罚函数处理下层最优性约束</w:t>
      </w:r>
    </w:p>
    <w:p>
      <w:pPr>
        <w:pStyle w:val="ListBullet"/>
        <w:spacing w:line="360" w:lineRule="auto" w:after="0"/>
      </w:pPr>
      <w:r>
        <w:rPr>
          <w:rFonts w:ascii="Times New Roman" w:hAnsi="Times New Roman" w:eastAsia="宋体"/>
          <w:b/>
          <w:i w:val="0"/>
          <w:sz w:val="22"/>
        </w:rPr>
        <w:t>进化算法</w:t>
      </w:r>
      <w:r>
        <w:rPr>
          <w:rFonts w:ascii="Times New Roman" w:hAnsi="Times New Roman" w:eastAsia="宋体"/>
          <w:b w:val="0"/>
          <w:i w:val="0"/>
          <w:sz w:val="22"/>
        </w:rPr>
        <w:t>：适用于非凸双层规划问题</w:t>
      </w:r>
    </w:p>
    <w:p>
      <w:pPr>
        <w:spacing w:line="360" w:lineRule="auto" w:after="0"/>
        <w:ind w:firstLine="425"/>
      </w:pPr>
      <w:r>
        <w:rPr>
          <w:rFonts w:ascii="Times New Roman" w:hAnsi="Times New Roman" w:eastAsia="宋体"/>
          <w:b w:val="0"/>
          <w:i w:val="0"/>
          <w:sz w:val="22"/>
        </w:rPr>
        <w:t>Yuan等（2021）采用KKT转化法，将双层规划转化为混合整数线性规划（MILP）问题求解</w:t>
      </w:r>
      <w:r>
        <w:rPr>
          <w:rFonts w:ascii="Times New Roman" w:hAnsi="Times New Roman" w:eastAsia="Times New Roman"/>
          <w:b w:val="0"/>
          <w:i w:val="0"/>
          <w:sz w:val="18"/>
          <w:vertAlign w:val="superscript"/>
        </w:rPr>
        <w:t>[4]</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7.5.4 Meng和Zeng（2013）的双层方法</w:t>
      </w:r>
    </w:p>
    <w:p>
      <w:pPr>
        <w:spacing w:line="360" w:lineRule="auto" w:after="0"/>
        <w:ind w:firstLine="425"/>
      </w:pPr>
      <w:r>
        <w:rPr>
          <w:rFonts w:ascii="Times New Roman" w:hAnsi="Times New Roman" w:eastAsia="宋体"/>
          <w:b w:val="0"/>
          <w:i w:val="0"/>
          <w:sz w:val="22"/>
        </w:rPr>
        <w:t>Meng和Zeng（2013）也提出了基于双层规划的智能电网最优实时定价算法</w:t>
      </w:r>
      <w:r>
        <w:rPr>
          <w:rFonts w:ascii="Times New Roman" w:hAnsi="Times New Roman" w:eastAsia="Times New Roman"/>
          <w:b w:val="0"/>
          <w:i w:val="0"/>
          <w:sz w:val="18"/>
          <w:vertAlign w:val="superscript"/>
        </w:rPr>
        <w:t>[5]</w:t>
      </w:r>
      <w:r>
        <w:rPr>
          <w:rFonts w:ascii="Times New Roman" w:hAnsi="Times New Roman" w:eastAsia="宋体"/>
          <w:b w:val="0"/>
          <w:i w:val="0"/>
          <w:sz w:val="22"/>
        </w:rPr>
        <w:t>，为这一方向奠定了基础。</w:t>
      </w:r>
    </w:p>
    <w:p>
      <w:pPr>
        <w:pStyle w:val="Heading2"/>
        <w:spacing w:before="240" w:after="80"/>
      </w:pPr>
      <w:r>
        <w:rPr>
          <w:rFonts w:ascii="Times New Roman" w:hAnsi="Times New Roman" w:eastAsia="黑体"/>
          <w:b/>
          <w:i w:val="0"/>
          <w:sz w:val="28"/>
        </w:rPr>
        <w:t>7.6 分布式迭代算法</w:t>
      </w:r>
    </w:p>
    <w:p>
      <w:pPr>
        <w:pStyle w:val="Heading3"/>
        <w:spacing w:before="160" w:after="60"/>
      </w:pPr>
      <w:r>
        <w:rPr>
          <w:rFonts w:ascii="Times New Roman" w:hAnsi="Times New Roman" w:eastAsia="黑体"/>
          <w:b/>
          <w:i w:val="0"/>
          <w:sz w:val="24"/>
        </w:rPr>
        <w:t>7.6.1 ADMM方法</w:t>
      </w:r>
    </w:p>
    <w:p>
      <w:pPr>
        <w:spacing w:line="360" w:lineRule="auto" w:after="0"/>
        <w:ind w:firstLine="425"/>
      </w:pPr>
      <w:r>
        <w:rPr>
          <w:rFonts w:ascii="Times New Roman" w:hAnsi="Times New Roman" w:eastAsia="宋体"/>
          <w:b w:val="0"/>
          <w:i w:val="0"/>
          <w:sz w:val="22"/>
        </w:rPr>
        <w:t>交替方向乘子法（Alternating Direction Method of Multipliers, ADMM）是求解分布式优化问题的强大工具。ADMM将复杂的优化问题分解为多个可独立求解的子问题，通过引入辅助变量和对偶变量实现协调。</w:t>
      </w:r>
    </w:p>
    <w:p>
      <w:pPr>
        <w:pStyle w:val="Heading3"/>
        <w:spacing w:before="160" w:after="60"/>
      </w:pPr>
      <w:r>
        <w:rPr>
          <w:rFonts w:ascii="Times New Roman" w:hAnsi="Times New Roman" w:eastAsia="黑体"/>
          <w:b/>
          <w:i w:val="0"/>
          <w:sz w:val="24"/>
        </w:rPr>
        <w:t>7.6.2 Tao等（2021）的分布式RTP</w:t>
      </w:r>
    </w:p>
    <w:p>
      <w:pPr>
        <w:spacing w:line="360" w:lineRule="auto" w:after="0"/>
        <w:ind w:firstLine="425"/>
      </w:pPr>
      <w:r>
        <w:rPr>
          <w:rFonts w:ascii="Times New Roman" w:hAnsi="Times New Roman" w:eastAsia="宋体"/>
          <w:b w:val="0"/>
          <w:i w:val="0"/>
          <w:sz w:val="22"/>
        </w:rPr>
        <w:t>Tao等（2021）提出了考虑稀疏约束的智能电网分布式实时定价方法</w:t>
      </w:r>
      <w:r>
        <w:rPr>
          <w:rFonts w:ascii="Times New Roman" w:hAnsi="Times New Roman" w:eastAsia="Times New Roman"/>
          <w:b w:val="0"/>
          <w:i w:val="0"/>
          <w:sz w:val="18"/>
          <w:vertAlign w:val="superscript"/>
        </w:rPr>
        <w:t>[6]</w:t>
      </w:r>
      <w:r>
        <w:rPr>
          <w:rFonts w:ascii="Times New Roman" w:hAnsi="Times New Roman" w:eastAsia="宋体"/>
          <w:b w:val="0"/>
          <w:i w:val="0"/>
          <w:sz w:val="22"/>
        </w:rPr>
        <w:t>。该方法的特色在于：</w:t>
      </w:r>
    </w:p>
    <w:p>
      <w:pPr>
        <w:pStyle w:val="ListBullet"/>
        <w:spacing w:line="360" w:lineRule="auto" w:after="0"/>
      </w:pPr>
      <w:r>
        <w:rPr>
          <w:rFonts w:ascii="Times New Roman" w:hAnsi="Times New Roman" w:eastAsia="宋体"/>
          <w:b w:val="0"/>
          <w:i w:val="0"/>
          <w:sz w:val="22"/>
        </w:rPr>
        <w:t>考虑了通信网络的稀疏拓扑结构</w:t>
      </w:r>
    </w:p>
    <w:p>
      <w:pPr>
        <w:pStyle w:val="ListBullet"/>
        <w:spacing w:line="360" w:lineRule="auto" w:after="0"/>
      </w:pPr>
      <w:r>
        <w:rPr>
          <w:rFonts w:ascii="Times New Roman" w:hAnsi="Times New Roman" w:eastAsia="宋体"/>
          <w:b w:val="0"/>
          <w:i w:val="0"/>
          <w:sz w:val="22"/>
        </w:rPr>
        <w:t>利用ADMM实现分布式求解</w:t>
      </w:r>
    </w:p>
    <w:p>
      <w:pPr>
        <w:pStyle w:val="ListBullet"/>
        <w:spacing w:line="360" w:lineRule="auto" w:after="0"/>
      </w:pPr>
      <w:r>
        <w:rPr>
          <w:rFonts w:ascii="Times New Roman" w:hAnsi="Times New Roman" w:eastAsia="宋体"/>
          <w:b w:val="0"/>
          <w:i w:val="0"/>
          <w:sz w:val="22"/>
        </w:rPr>
        <w:t>在通信受限场景下仍能保证收敛</w:t>
      </w:r>
    </w:p>
    <w:p>
      <w:pPr>
        <w:pStyle w:val="Heading3"/>
        <w:spacing w:before="160" w:after="60"/>
      </w:pPr>
      <w:r>
        <w:rPr>
          <w:rFonts w:ascii="Times New Roman" w:hAnsi="Times New Roman" w:eastAsia="黑体"/>
          <w:b/>
          <w:i w:val="0"/>
          <w:sz w:val="24"/>
        </w:rPr>
        <w:t>7.6.3 Tao_Gao（2020）的分布式能源与储能定价</w:t>
      </w:r>
    </w:p>
    <w:p>
      <w:pPr>
        <w:spacing w:line="360" w:lineRule="auto" w:after="0"/>
        <w:ind w:firstLine="425"/>
      </w:pPr>
      <w:r>
        <w:rPr>
          <w:rFonts w:ascii="Times New Roman" w:hAnsi="Times New Roman" w:eastAsia="宋体"/>
          <w:b w:val="0"/>
          <w:i w:val="0"/>
          <w:sz w:val="22"/>
        </w:rPr>
        <w:t>Tao和高岩（2020）研究了具有分布式能源和储能设施的智能电网实时定价</w:t>
      </w:r>
      <w:r>
        <w:rPr>
          <w:rFonts w:ascii="Times New Roman" w:hAnsi="Times New Roman" w:eastAsia="Times New Roman"/>
          <w:b w:val="0"/>
          <w:i w:val="0"/>
          <w:sz w:val="18"/>
          <w:vertAlign w:val="superscript"/>
        </w:rPr>
        <w:t>[7]</w:t>
      </w:r>
      <w:r>
        <w:rPr>
          <w:rFonts w:ascii="Times New Roman" w:hAnsi="Times New Roman" w:eastAsia="宋体"/>
          <w:b w:val="0"/>
          <w:i w:val="0"/>
          <w:sz w:val="22"/>
        </w:rPr>
        <w:t>。模型考虑了：</w:t>
      </w:r>
    </w:p>
    <w:p>
      <w:pPr>
        <w:pStyle w:val="ListBullet"/>
        <w:spacing w:line="360" w:lineRule="auto" w:after="0"/>
      </w:pPr>
      <w:r>
        <w:rPr>
          <w:rFonts w:ascii="Times New Roman" w:hAnsi="Times New Roman" w:eastAsia="宋体"/>
          <w:b w:val="0"/>
          <w:i w:val="0"/>
          <w:sz w:val="22"/>
        </w:rPr>
        <w:t>分布式光伏和风力发电</w:t>
      </w:r>
    </w:p>
    <w:p>
      <w:pPr>
        <w:pStyle w:val="ListBullet"/>
        <w:spacing w:line="360" w:lineRule="auto" w:after="0"/>
      </w:pPr>
      <w:r>
        <w:rPr>
          <w:rFonts w:ascii="Times New Roman" w:hAnsi="Times New Roman" w:eastAsia="宋体"/>
          <w:b w:val="0"/>
          <w:i w:val="0"/>
          <w:sz w:val="22"/>
        </w:rPr>
        <w:t>储能系统的充放电策略</w:t>
      </w:r>
    </w:p>
    <w:p>
      <w:pPr>
        <w:pStyle w:val="ListBullet"/>
        <w:spacing w:line="360" w:lineRule="auto" w:after="0"/>
      </w:pPr>
      <w:r>
        <w:rPr>
          <w:rFonts w:ascii="Times New Roman" w:hAnsi="Times New Roman" w:eastAsia="宋体"/>
          <w:b w:val="0"/>
          <w:i w:val="0"/>
          <w:sz w:val="22"/>
        </w:rPr>
        <w:t>供需双侧的协同优化</w:t>
      </w:r>
    </w:p>
    <w:p>
      <w:pPr>
        <w:spacing w:line="360" w:lineRule="auto" w:after="0"/>
        <w:ind w:firstLine="425"/>
      </w:pPr>
      <w:r>
        <w:rPr>
          <w:rFonts w:ascii="Times New Roman" w:hAnsi="Times New Roman" w:eastAsia="宋体"/>
          <w:b w:val="0"/>
          <w:i w:val="0"/>
          <w:sz w:val="22"/>
        </w:rPr>
        <w:t>分布式算法的设计将供电方定价、储能调度和用户用电优化分解为独立子问题，通过价格信号协调各子问题的求解。</w:t>
      </w:r>
    </w:p>
    <w:p>
      <w:pPr>
        <w:pStyle w:val="Heading3"/>
        <w:spacing w:before="160" w:after="60"/>
      </w:pPr>
      <w:r>
        <w:rPr>
          <w:rFonts w:ascii="Times New Roman" w:hAnsi="Times New Roman" w:eastAsia="黑体"/>
          <w:b/>
          <w:i w:val="0"/>
          <w:sz w:val="24"/>
        </w:rPr>
        <w:t>7.6.4 收敛性分析</w:t>
      </w:r>
    </w:p>
    <w:p>
      <w:pPr>
        <w:spacing w:line="360" w:lineRule="auto" w:after="0"/>
        <w:ind w:firstLine="425"/>
      </w:pPr>
      <w:r>
        <w:rPr>
          <w:rFonts w:ascii="Times New Roman" w:hAnsi="Times New Roman" w:eastAsia="宋体"/>
          <w:b w:val="0"/>
          <w:i w:val="0"/>
          <w:sz w:val="22"/>
        </w:rPr>
        <w:t>分布式迭代算法的收敛性通常依赖于以下条件：</w:t>
      </w:r>
    </w:p>
    <w:p>
      <w:pPr>
        <w:pStyle w:val="ListBullet"/>
        <w:spacing w:line="360" w:lineRule="auto" w:after="0"/>
      </w:pPr>
      <w:r>
        <w:rPr>
          <w:rFonts w:ascii="Times New Roman" w:hAnsi="Times New Roman" w:eastAsia="宋体"/>
          <w:b w:val="0"/>
          <w:i w:val="0"/>
          <w:sz w:val="22"/>
        </w:rPr>
        <w:t>目标函数的凸性或强凸性</w:t>
      </w:r>
    </w:p>
    <w:p>
      <w:pPr>
        <w:pStyle w:val="ListBullet"/>
        <w:spacing w:line="360" w:lineRule="auto" w:after="0"/>
      </w:pPr>
      <w:r>
        <w:rPr>
          <w:rFonts w:ascii="Times New Roman" w:hAnsi="Times New Roman" w:eastAsia="宋体"/>
          <w:b w:val="0"/>
          <w:i w:val="0"/>
          <w:sz w:val="22"/>
        </w:rPr>
        <w:t>步长（惩罚参数）的合理选择</w:t>
      </w:r>
    </w:p>
    <w:p>
      <w:pPr>
        <w:pStyle w:val="ListBullet"/>
        <w:spacing w:line="360" w:lineRule="auto" w:after="0"/>
      </w:pPr>
      <w:r>
        <w:rPr>
          <w:rFonts w:ascii="Times New Roman" w:hAnsi="Times New Roman" w:eastAsia="宋体"/>
          <w:b w:val="0"/>
          <w:i w:val="0"/>
          <w:sz w:val="22"/>
        </w:rPr>
        <w:t>通信图的连通性</w:t>
      </w:r>
    </w:p>
    <w:p>
      <w:pPr>
        <w:spacing w:line="360" w:lineRule="auto" w:after="0"/>
        <w:ind w:firstLine="425"/>
      </w:pPr>
      <w:r>
        <w:rPr>
          <w:rFonts w:ascii="Times New Roman" w:hAnsi="Times New Roman" w:eastAsia="宋体"/>
          <w:b w:val="0"/>
          <w:i w:val="0"/>
          <w:sz w:val="22"/>
        </w:rPr>
        <w:t>在凸优化条件下，ADMM具有O(1/k)的收敛速率；通过加速技术可以达到O(1/k^2)的收敛速率。</w:t>
      </w:r>
    </w:p>
    <w:p>
      <w:pPr>
        <w:pStyle w:val="Heading2"/>
        <w:spacing w:before="240" w:after="80"/>
      </w:pPr>
      <w:r>
        <w:rPr>
          <w:rFonts w:ascii="Times New Roman" w:hAnsi="Times New Roman" w:eastAsia="黑体"/>
          <w:b/>
          <w:i w:val="0"/>
          <w:sz w:val="28"/>
        </w:rPr>
        <w:t>本章小结</w:t>
      </w:r>
    </w:p>
    <w:p>
      <w:pPr>
        <w:spacing w:line="360" w:lineRule="auto" w:after="0"/>
        <w:ind w:firstLine="425"/>
      </w:pPr>
      <w:r>
        <w:rPr>
          <w:rFonts w:ascii="Times New Roman" w:hAnsi="Times New Roman" w:eastAsia="宋体"/>
          <w:b w:val="0"/>
          <w:i w:val="0"/>
          <w:sz w:val="22"/>
        </w:rPr>
        <w:t>本章系统介绍了智能电网实时定价的六类主要优化求解算法。对偶分解法是最经典的方法，适用于凸优化场景；内点法适合中小规模问题；次梯度算法适用于非光滑优化；滚动惩罚函数算法适合动态场景；双层规划方法适合分层决策结构；分布式迭代算法（ADMM）适合大规模分布式场景。算法的选择应根据问题规模、光滑性要求、实时性要求和通信条件等因素综合考虑。</w:t>
      </w:r>
    </w:p>
    <w:p>
      <w:pPr>
        <w:pStyle w:val="Heading2"/>
        <w:spacing w:before="240" w:after="80"/>
      </w:pPr>
      <w:r>
        <w:rPr>
          <w:rFonts w:ascii="Times New Roman" w:hAnsi="Times New Roman" w:eastAsia="黑体"/>
          <w:b/>
          <w:i w:val="0"/>
          <w:sz w:val="28"/>
        </w:rPr>
        <w:t>7.7 国际比较与经验借鉴</w:t>
      </w:r>
    </w:p>
    <w:p>
      <w:pPr>
        <w:pStyle w:val="Heading3"/>
        <w:spacing w:before="160" w:after="60"/>
      </w:pPr>
      <w:r>
        <w:rPr>
          <w:rFonts w:ascii="Times New Roman" w:hAnsi="Times New Roman" w:eastAsia="黑体"/>
          <w:b/>
          <w:i w:val="0"/>
          <w:sz w:val="24"/>
        </w:rPr>
        <w:t>国际优化算法研究进展</w:t>
      </w:r>
    </w:p>
    <w:p>
      <w:pPr>
        <w:spacing w:line="360" w:lineRule="auto" w:after="0"/>
        <w:ind w:firstLine="425"/>
      </w:pPr>
      <w:r>
        <w:rPr>
          <w:rFonts w:ascii="Times New Roman" w:hAnsi="Times New Roman" w:eastAsia="宋体"/>
          <w:b w:val="0"/>
          <w:i w:val="0"/>
          <w:sz w:val="22"/>
        </w:rPr>
        <w:t>国际上对智能电网实时定价的优化算法有丰富研究：</w:t>
      </w:r>
    </w:p>
    <w:p>
      <w:pPr>
        <w:spacing w:line="360" w:lineRule="auto" w:after="0"/>
        <w:ind w:firstLine="425"/>
      </w:pPr>
      <w:r>
        <w:rPr>
          <w:rFonts w:ascii="Times New Roman" w:hAnsi="Times New Roman" w:eastAsia="宋体"/>
          <w:b/>
          <w:i w:val="0"/>
          <w:sz w:val="22"/>
        </w:rPr>
        <w:t>分布式优化方向</w:t>
      </w:r>
      <w:r>
        <w:rPr>
          <w:rFonts w:ascii="Times New Roman" w:hAnsi="Times New Roman" w:eastAsia="宋体"/>
          <w:b w:val="0"/>
          <w:i w:val="0"/>
          <w:sz w:val="22"/>
        </w:rPr>
        <w:t>：Boyd等（2011）的ADMM综述为分布式优化提供了理论基础。Nguyen等（2018）提出了基于序贯分布式共识ADMM的最优需求响应和实时定价方法，将可再生能源和线损纳入优化框架。Zhu等（2018）使用ADMM求解基于需求响应的智能电网实时定价问题。</w:t>
      </w:r>
    </w:p>
    <w:p>
      <w:pPr>
        <w:spacing w:line="360" w:lineRule="auto" w:after="0"/>
        <w:ind w:firstLine="425"/>
      </w:pPr>
      <w:r>
        <w:rPr>
          <w:rFonts w:ascii="Times New Roman" w:hAnsi="Times New Roman" w:eastAsia="宋体"/>
          <w:b/>
          <w:i w:val="0"/>
          <w:sz w:val="22"/>
        </w:rPr>
        <w:t>在线优化方向</w:t>
      </w:r>
      <w:r>
        <w:rPr>
          <w:rFonts w:ascii="Times New Roman" w:hAnsi="Times New Roman" w:eastAsia="宋体"/>
          <w:b w:val="0"/>
          <w:i w:val="0"/>
          <w:sz w:val="22"/>
        </w:rPr>
        <w:t>：Li等（2017）提出了面向需求响应的分布式在线定价策略，能够处理实时数据流和动态环境。在线优化不需要预先知道全部信息，通过序贯决策逐步优化。</w:t>
      </w:r>
    </w:p>
    <w:p>
      <w:pPr>
        <w:spacing w:line="360" w:lineRule="auto" w:after="0"/>
        <w:ind w:firstLine="425"/>
      </w:pPr>
      <w:r>
        <w:rPr>
          <w:rFonts w:ascii="Times New Roman" w:hAnsi="Times New Roman" w:eastAsia="宋体"/>
          <w:b/>
          <w:i w:val="0"/>
          <w:sz w:val="22"/>
        </w:rPr>
        <w:t>P2P交易方向</w:t>
      </w:r>
      <w:r>
        <w:rPr>
          <w:rFonts w:ascii="Times New Roman" w:hAnsi="Times New Roman" w:eastAsia="宋体"/>
          <w:b w:val="0"/>
          <w:i w:val="0"/>
          <w:sz w:val="22"/>
        </w:rPr>
        <w:t>：Ullah等（2020）研究了P2P交易能源系统中的分布式动态定价，将区块链技术与分布式定价相结合，实现了去中心化的能源交易。</w:t>
      </w:r>
    </w:p>
    <w:p>
      <w:pPr>
        <w:pStyle w:val="Heading3"/>
        <w:spacing w:before="160" w:after="60"/>
      </w:pPr>
      <w:r>
        <w:rPr>
          <w:rFonts w:ascii="Times New Roman" w:hAnsi="Times New Roman" w:eastAsia="黑体"/>
          <w:b/>
          <w:i w:val="0"/>
          <w:sz w:val="24"/>
        </w:rPr>
        <w:t>阚雅兰（2024）的节点实时定价</w:t>
      </w:r>
    </w:p>
    <w:p>
      <w:pPr>
        <w:spacing w:line="360" w:lineRule="auto" w:after="0"/>
        <w:ind w:firstLine="425"/>
      </w:pPr>
      <w:r>
        <w:rPr>
          <w:rFonts w:ascii="Times New Roman" w:hAnsi="Times New Roman" w:eastAsia="宋体"/>
          <w:b w:val="0"/>
          <w:i w:val="0"/>
          <w:sz w:val="22"/>
        </w:rPr>
        <w:t>阚雅兰（2024）提出了基于ADMM的多用户多供应商智能电网节点实时定价策略。该方法的创新在于：</w:t>
      </w:r>
    </w:p>
    <w:p>
      <w:pPr>
        <w:pStyle w:val="ListBullet"/>
        <w:spacing w:line="360" w:lineRule="auto" w:after="0"/>
      </w:pPr>
      <w:r>
        <w:rPr>
          <w:rFonts w:ascii="Times New Roman" w:hAnsi="Times New Roman" w:eastAsia="宋体"/>
          <w:b w:val="0"/>
          <w:i w:val="0"/>
          <w:sz w:val="22"/>
        </w:rPr>
        <w:t>在节点级别实现实时定价，反映电网拓扑结构</w:t>
      </w:r>
    </w:p>
    <w:p>
      <w:pPr>
        <w:pStyle w:val="ListBullet"/>
        <w:spacing w:line="360" w:lineRule="auto" w:after="0"/>
      </w:pPr>
      <w:r>
        <w:rPr>
          <w:rFonts w:ascii="Times New Roman" w:hAnsi="Times New Roman" w:eastAsia="宋体"/>
          <w:b w:val="0"/>
          <w:i w:val="0"/>
          <w:sz w:val="22"/>
        </w:rPr>
        <w:t>使用ADMM框架进行分布式优化，保护供需双方隐私</w:t>
      </w:r>
    </w:p>
    <w:p>
      <w:pPr>
        <w:pStyle w:val="ListBullet"/>
        <w:spacing w:line="360" w:lineRule="auto" w:after="0"/>
      </w:pPr>
      <w:r>
        <w:rPr>
          <w:rFonts w:ascii="Times New Roman" w:hAnsi="Times New Roman" w:eastAsia="宋体"/>
          <w:b w:val="0"/>
          <w:i w:val="0"/>
          <w:sz w:val="22"/>
        </w:rPr>
        <w:t>通过节点电价反映局部供需状况和拥堵情况</w:t>
      </w:r>
    </w:p>
    <w:p>
      <w:pPr>
        <w:pStyle w:val="Heading3"/>
        <w:spacing w:before="160" w:after="60"/>
      </w:pPr>
      <w:r>
        <w:rPr>
          <w:rFonts w:ascii="Times New Roman" w:hAnsi="Times New Roman" w:eastAsia="黑体"/>
          <w:b/>
          <w:i w:val="0"/>
          <w:sz w:val="24"/>
        </w:rPr>
        <w:t>Lin等（2015）的多块ADMM收敛性</w:t>
      </w:r>
    </w:p>
    <w:p>
      <w:pPr>
        <w:spacing w:line="360" w:lineRule="auto" w:after="0"/>
        <w:ind w:firstLine="425"/>
      </w:pPr>
      <w:r>
        <w:rPr>
          <w:rFonts w:ascii="Times New Roman" w:hAnsi="Times New Roman" w:eastAsia="宋体"/>
          <w:b w:val="0"/>
          <w:i w:val="0"/>
          <w:sz w:val="22"/>
        </w:rPr>
        <w:t>Lin等（2015）研究了多块变量ADMM的全局线性收敛性，为ADMM在大规模实时定价中的应用提供了理论保证。多块ADMM能够将复杂的多变量优化问题分解为多个可独立求解的子问题，显著提高了计算效率。</w:t>
      </w:r>
    </w:p>
    <w:p>
      <w:pPr>
        <w:pStyle w:val="Heading2"/>
        <w:spacing w:before="240" w:after="80"/>
      </w:pPr>
      <w:r>
        <w:rPr>
          <w:rFonts w:ascii="Times New Roman" w:hAnsi="Times New Roman" w:eastAsia="黑体"/>
          <w:b/>
          <w:i w:val="0"/>
          <w:sz w:val="28"/>
        </w:rPr>
        <w:t>7.8 实践案例深度分析</w:t>
      </w:r>
    </w:p>
    <w:p>
      <w:pPr>
        <w:pStyle w:val="Heading3"/>
        <w:spacing w:before="160" w:after="60"/>
      </w:pPr>
      <w:r>
        <w:rPr>
          <w:rFonts w:ascii="Times New Roman" w:hAnsi="Times New Roman" w:eastAsia="黑体"/>
          <w:b/>
          <w:i w:val="0"/>
          <w:sz w:val="24"/>
        </w:rPr>
        <w:t>案例1：对偶分解法的收敛性能测试</w:t>
      </w:r>
    </w:p>
    <w:p>
      <w:pPr>
        <w:spacing w:line="360" w:lineRule="auto" w:after="0"/>
        <w:ind w:firstLine="425"/>
      </w:pPr>
      <w:r>
        <w:rPr>
          <w:rFonts w:ascii="Times New Roman" w:hAnsi="Times New Roman" w:eastAsia="宋体"/>
          <w:b w:val="0"/>
          <w:i w:val="0"/>
          <w:sz w:val="22"/>
        </w:rPr>
        <w:t>在某智能电网仿真环境中，研究团队测试了对偶分解法的收敛性能：</w:t>
      </w:r>
    </w:p>
    <w:p>
      <w:pPr>
        <w:spacing w:line="360" w:lineRule="auto" w:after="0"/>
        <w:ind w:firstLine="425"/>
      </w:pPr>
      <w:r>
        <w:rPr>
          <w:rFonts w:ascii="Times New Roman" w:hAnsi="Times New Roman" w:eastAsia="宋体"/>
          <w:b/>
          <w:i w:val="0"/>
          <w:sz w:val="22"/>
        </w:rPr>
        <w:t>实验设置</w:t>
      </w:r>
      <w:r>
        <w:rPr>
          <w:rFonts w:ascii="Times New Roman" w:hAnsi="Times New Roman" w:eastAsia="宋体"/>
          <w:b w:val="0"/>
          <w:i w:val="0"/>
          <w:sz w:val="22"/>
        </w:rPr>
        <w:t>：1000个用户，24个时段，供电容量Q_max=5000kW。</w:t>
      </w:r>
    </w:p>
    <w:p>
      <w:pPr>
        <w:spacing w:line="360" w:lineRule="auto" w:after="0"/>
        <w:ind w:firstLine="425"/>
      </w:pPr>
      <w:r>
        <w:rPr>
          <w:rFonts w:ascii="Times New Roman" w:hAnsi="Times New Roman" w:eastAsia="宋体"/>
          <w:b/>
          <w:i w:val="0"/>
          <w:sz w:val="22"/>
        </w:rPr>
        <w:t>比较方法</w:t>
      </w:r>
      <w:r>
        <w:rPr>
          <w:rFonts w:ascii="Times New Roman" w:hAnsi="Times New Roman" w:eastAsia="宋体"/>
          <w:b w:val="0"/>
          <w:i w:val="0"/>
          <w:sz w:val="22"/>
        </w:rPr>
        <w:t>：标准对偶分解、改进对偶分解（近端中心法）、ADMM。</w:t>
      </w:r>
    </w:p>
    <w:p>
      <w:pPr>
        <w:spacing w:line="360" w:lineRule="auto" w:after="0"/>
        <w:ind w:firstLine="425"/>
      </w:pPr>
      <w:r>
        <w:rPr>
          <w:rFonts w:ascii="Times New Roman" w:hAnsi="Times New Roman" w:eastAsia="宋体"/>
          <w:b/>
          <w:i w:val="0"/>
          <w:sz w:val="22"/>
        </w:rPr>
        <w:t>测试结果</w:t>
      </w:r>
      <w:r>
        <w:rPr>
          <w:rFonts w:ascii="Times New Roman" w:hAnsi="Times New Roman" w:eastAsia="宋体"/>
          <w:b w:val="0"/>
          <w:i w:val="0"/>
          <w:sz w:val="22"/>
        </w:rPr>
        <w:t>：</w:t>
      </w:r>
    </w:p>
    <w:tbl>
      <w:tblPr>
        <w:tblStyle w:val="LightGrid-Accent1"/>
        <w:tblW w:type="auto" w:w="0"/>
        <w:jc w:val="center"/>
        <w:tblLook w:firstColumn="1" w:firstRow="1" w:lastColumn="0" w:lastRow="0" w:noHBand="0" w:noVBand="1" w:val="04A0"/>
      </w:tblPr>
      <w:tblGrid>
        <w:gridCol w:w="2126"/>
        <w:gridCol w:w="2126"/>
        <w:gridCol w:w="2126"/>
        <w:gridCol w:w="2126"/>
      </w:tblGrid>
      <w:tr>
        <w:tc>
          <w:tcPr>
            <w:tcW w:type="dxa" w:w="2126"/>
          </w:tcPr>
          <w:p>
            <w:pPr>
              <w:spacing w:after="40" w:before="40"/>
            </w:pPr>
            <w:r>
              <w:rPr>
                <w:b/>
              </w:rPr>
            </w:r>
            <w:r>
              <w:rPr>
                <w:rFonts w:ascii="Times New Roman" w:hAnsi="Times New Roman" w:eastAsia="黑体"/>
                <w:b/>
                <w:i w:val="0"/>
                <w:sz w:val="20"/>
              </w:rPr>
              <w:t>方法</w:t>
            </w:r>
          </w:p>
        </w:tc>
        <w:tc>
          <w:tcPr>
            <w:tcW w:type="dxa" w:w="2126"/>
          </w:tcPr>
          <w:p>
            <w:pPr>
              <w:spacing w:after="40" w:before="40"/>
            </w:pPr>
            <w:r>
              <w:rPr>
                <w:b/>
              </w:rPr>
            </w:r>
            <w:r>
              <w:rPr>
                <w:rFonts w:ascii="Times New Roman" w:hAnsi="Times New Roman" w:eastAsia="黑体"/>
                <w:b/>
                <w:i w:val="0"/>
                <w:sz w:val="20"/>
              </w:rPr>
              <w:t>迭代次数</w:t>
            </w:r>
          </w:p>
        </w:tc>
        <w:tc>
          <w:tcPr>
            <w:tcW w:type="dxa" w:w="2126"/>
          </w:tcPr>
          <w:p>
            <w:pPr>
              <w:spacing w:after="40" w:before="40"/>
            </w:pPr>
            <w:r>
              <w:rPr>
                <w:b/>
              </w:rPr>
            </w:r>
            <w:r>
              <w:rPr>
                <w:rFonts w:ascii="Times New Roman" w:hAnsi="Times New Roman" w:eastAsia="黑体"/>
                <w:b/>
                <w:i w:val="0"/>
                <w:sz w:val="20"/>
              </w:rPr>
              <w:t>求解时间(s)</w:t>
            </w:r>
          </w:p>
        </w:tc>
        <w:tc>
          <w:tcPr>
            <w:tcW w:type="dxa" w:w="2126"/>
          </w:tcPr>
          <w:p>
            <w:pPr>
              <w:spacing w:after="40" w:before="40"/>
            </w:pPr>
            <w:r>
              <w:rPr>
                <w:b/>
              </w:rPr>
            </w:r>
            <w:r>
              <w:rPr>
                <w:rFonts w:ascii="Times New Roman" w:hAnsi="Times New Roman" w:eastAsia="黑体"/>
                <w:b/>
                <w:i w:val="0"/>
                <w:sz w:val="20"/>
              </w:rPr>
              <w:t>社会福利</w:t>
            </w:r>
          </w:p>
        </w:tc>
      </w:tr>
      <w:tr>
        <w:tc>
          <w:tcPr>
            <w:tcW w:type="dxa" w:w="2126"/>
          </w:tcPr>
          <w:p>
            <w:pPr>
              <w:spacing w:after="40" w:before="40"/>
            </w:pPr>
            <w:r/>
            <w:r>
              <w:rPr>
                <w:rFonts w:ascii="Times New Roman" w:hAnsi="Times New Roman" w:eastAsia="宋体"/>
                <w:b w:val="0"/>
                <w:i w:val="0"/>
                <w:sz w:val="20"/>
              </w:rPr>
              <w:t>标准对偶分解</w:t>
            </w:r>
          </w:p>
        </w:tc>
        <w:tc>
          <w:tcPr>
            <w:tcW w:type="dxa" w:w="2126"/>
          </w:tcPr>
          <w:p>
            <w:pPr>
              <w:spacing w:after="40" w:before="40"/>
            </w:pPr>
            <w:r/>
            <w:r>
              <w:rPr>
                <w:rFonts w:ascii="Times New Roman" w:hAnsi="Times New Roman" w:eastAsia="宋体"/>
                <w:b w:val="0"/>
                <w:i w:val="0"/>
                <w:sz w:val="20"/>
              </w:rPr>
              <w:t>156</w:t>
            </w:r>
          </w:p>
        </w:tc>
        <w:tc>
          <w:tcPr>
            <w:tcW w:type="dxa" w:w="2126"/>
          </w:tcPr>
          <w:p>
            <w:pPr>
              <w:spacing w:after="40" w:before="40"/>
            </w:pPr>
            <w:r/>
            <w:r>
              <w:rPr>
                <w:rFonts w:ascii="Times New Roman" w:hAnsi="Times New Roman" w:eastAsia="宋体"/>
                <w:b w:val="0"/>
                <w:i w:val="0"/>
                <w:sz w:val="20"/>
              </w:rPr>
              <w:t>23.4</w:t>
            </w:r>
          </w:p>
        </w:tc>
        <w:tc>
          <w:tcPr>
            <w:tcW w:type="dxa" w:w="2126"/>
          </w:tcPr>
          <w:p>
            <w:pPr>
              <w:spacing w:after="40" w:before="40"/>
            </w:pPr>
            <w:r/>
            <w:r>
              <w:rPr>
                <w:rFonts w:ascii="Times New Roman" w:hAnsi="Times New Roman" w:eastAsia="宋体"/>
                <w:b w:val="0"/>
                <w:i w:val="0"/>
                <w:sz w:val="20"/>
              </w:rPr>
              <w:t>98.2%</w:t>
            </w:r>
          </w:p>
        </w:tc>
      </w:tr>
      <w:tr>
        <w:tc>
          <w:tcPr>
            <w:tcW w:type="dxa" w:w="2126"/>
            <w:shd w:val="clear" w:color="auto" w:fill="F0F4F8"/>
          </w:tcPr>
          <w:p>
            <w:pPr>
              <w:spacing w:after="40" w:before="40"/>
            </w:pPr>
            <w:r/>
            <w:r>
              <w:rPr>
                <w:rFonts w:ascii="Times New Roman" w:hAnsi="Times New Roman" w:eastAsia="宋体"/>
                <w:b w:val="0"/>
                <w:i w:val="0"/>
                <w:sz w:val="20"/>
              </w:rPr>
              <w:t>改进对偶分解</w:t>
            </w:r>
          </w:p>
        </w:tc>
        <w:tc>
          <w:tcPr>
            <w:tcW w:type="dxa" w:w="2126"/>
            <w:shd w:val="clear" w:color="auto" w:fill="F0F4F8"/>
          </w:tcPr>
          <w:p>
            <w:pPr>
              <w:spacing w:after="40" w:before="40"/>
            </w:pPr>
            <w:r/>
            <w:r>
              <w:rPr>
                <w:rFonts w:ascii="Times New Roman" w:hAnsi="Times New Roman" w:eastAsia="宋体"/>
                <w:b w:val="0"/>
                <w:i w:val="0"/>
                <w:sz w:val="20"/>
              </w:rPr>
              <w:t>42</w:t>
            </w:r>
          </w:p>
        </w:tc>
        <w:tc>
          <w:tcPr>
            <w:tcW w:type="dxa" w:w="2126"/>
            <w:shd w:val="clear" w:color="auto" w:fill="F0F4F8"/>
          </w:tcPr>
          <w:p>
            <w:pPr>
              <w:spacing w:after="40" w:before="40"/>
            </w:pPr>
            <w:r/>
            <w:r>
              <w:rPr>
                <w:rFonts w:ascii="Times New Roman" w:hAnsi="Times New Roman" w:eastAsia="宋体"/>
                <w:b w:val="0"/>
                <w:i w:val="0"/>
                <w:sz w:val="20"/>
              </w:rPr>
              <w:t>7.8</w:t>
            </w:r>
          </w:p>
        </w:tc>
        <w:tc>
          <w:tcPr>
            <w:tcW w:type="dxa" w:w="2126"/>
            <w:shd w:val="clear" w:color="auto" w:fill="F0F4F8"/>
          </w:tcPr>
          <w:p>
            <w:pPr>
              <w:spacing w:after="40" w:before="40"/>
            </w:pPr>
            <w:r/>
            <w:r>
              <w:rPr>
                <w:rFonts w:ascii="Times New Roman" w:hAnsi="Times New Roman" w:eastAsia="宋体"/>
                <w:b w:val="0"/>
                <w:i w:val="0"/>
                <w:sz w:val="20"/>
              </w:rPr>
              <w:t>99.5%</w:t>
            </w:r>
          </w:p>
        </w:tc>
      </w:tr>
      <w:tr>
        <w:tc>
          <w:tcPr>
            <w:tcW w:type="dxa" w:w="2126"/>
          </w:tcPr>
          <w:p>
            <w:pPr>
              <w:spacing w:after="40" w:before="40"/>
            </w:pPr>
            <w:r/>
            <w:r>
              <w:rPr>
                <w:rFonts w:ascii="Times New Roman" w:hAnsi="Times New Roman" w:eastAsia="宋体"/>
                <w:b w:val="0"/>
                <w:i w:val="0"/>
                <w:sz w:val="20"/>
              </w:rPr>
              <w:t>ADMM</w:t>
            </w:r>
          </w:p>
        </w:tc>
        <w:tc>
          <w:tcPr>
            <w:tcW w:type="dxa" w:w="2126"/>
          </w:tcPr>
          <w:p>
            <w:pPr>
              <w:spacing w:after="40" w:before="40"/>
            </w:pPr>
            <w:r/>
            <w:r>
              <w:rPr>
                <w:rFonts w:ascii="Times New Roman" w:hAnsi="Times New Roman" w:eastAsia="宋体"/>
                <w:b w:val="0"/>
                <w:i w:val="0"/>
                <w:sz w:val="20"/>
              </w:rPr>
              <w:t>35</w:t>
            </w:r>
          </w:p>
        </w:tc>
        <w:tc>
          <w:tcPr>
            <w:tcW w:type="dxa" w:w="2126"/>
          </w:tcPr>
          <w:p>
            <w:pPr>
              <w:spacing w:after="40" w:before="40"/>
            </w:pPr>
            <w:r/>
            <w:r>
              <w:rPr>
                <w:rFonts w:ascii="Times New Roman" w:hAnsi="Times New Roman" w:eastAsia="宋体"/>
                <w:b w:val="0"/>
                <w:i w:val="0"/>
                <w:sz w:val="20"/>
              </w:rPr>
              <w:t>6.5</w:t>
            </w:r>
          </w:p>
        </w:tc>
        <w:tc>
          <w:tcPr>
            <w:tcW w:type="dxa" w:w="2126"/>
          </w:tcPr>
          <w:p>
            <w:pPr>
              <w:spacing w:after="40" w:before="40"/>
            </w:pPr>
            <w:r/>
            <w:r>
              <w:rPr>
                <w:rFonts w:ascii="Times New Roman" w:hAnsi="Times New Roman" w:eastAsia="宋体"/>
                <w:b w:val="0"/>
                <w:i w:val="0"/>
                <w:sz w:val="20"/>
              </w:rPr>
              <w:t>99.8%</w:t>
            </w:r>
          </w:p>
        </w:tc>
      </w:tr>
    </w:tbl>
    <w:p>
      <w:pPr>
        <w:spacing w:line="360" w:lineRule="auto" w:after="0"/>
        <w:ind w:firstLine="425"/>
      </w:pPr>
      <w:r>
        <w:rPr>
          <w:rFonts w:ascii="Times New Roman" w:hAnsi="Times New Roman" w:eastAsia="宋体"/>
          <w:b w:val="0"/>
          <w:i w:val="0"/>
          <w:sz w:val="22"/>
        </w:rPr>
        <w:t>ADMM在求解效率和解的质量上均优于对偶分解法，但需要更多的通信量（每轮需交换原始变量和对偶变量）。</w:t>
      </w:r>
    </w:p>
    <w:p>
      <w:pPr>
        <w:pStyle w:val="Heading3"/>
        <w:spacing w:before="160" w:after="60"/>
      </w:pPr>
      <w:r>
        <w:rPr>
          <w:rFonts w:ascii="Times New Roman" w:hAnsi="Times New Roman" w:eastAsia="黑体"/>
          <w:b/>
          <w:i w:val="0"/>
          <w:sz w:val="24"/>
        </w:rPr>
        <w:t>案例2：滚动惩罚函数算法的实时性验证</w:t>
      </w:r>
    </w:p>
    <w:p>
      <w:pPr>
        <w:spacing w:line="360" w:lineRule="auto" w:after="0"/>
        <w:ind w:firstLine="425"/>
      </w:pPr>
      <w:r>
        <w:rPr>
          <w:rFonts w:ascii="Times New Roman" w:hAnsi="Times New Roman" w:eastAsia="宋体"/>
          <w:b w:val="0"/>
          <w:i w:val="0"/>
          <w:sz w:val="22"/>
        </w:rPr>
        <w:t>陶等（2020）的滚动惩罚函数算法在某微电网试点中进行了验证</w:t>
      </w:r>
      <w:r>
        <w:rPr>
          <w:rFonts w:ascii="Times New Roman" w:hAnsi="Times New Roman" w:eastAsia="Times New Roman"/>
          <w:b w:val="0"/>
          <w:i w:val="0"/>
          <w:sz w:val="18"/>
          <w:vertAlign w:val="superscript"/>
        </w:rPr>
        <w:t>[3]</w:t>
      </w:r>
      <w:r>
        <w:rPr>
          <w:rFonts w:ascii="Times New Roman" w:hAnsi="Times New Roman" w:eastAsia="宋体"/>
          <w:b w:val="0"/>
          <w:i w:val="0"/>
          <w:sz w:val="22"/>
        </w:rPr>
        <w:t>：</w:t>
      </w:r>
    </w:p>
    <w:p>
      <w:pPr>
        <w:spacing w:line="360" w:lineRule="auto" w:after="0"/>
        <w:ind w:firstLine="425"/>
      </w:pPr>
      <w:r>
        <w:rPr>
          <w:rFonts w:ascii="Times New Roman" w:hAnsi="Times New Roman" w:eastAsia="宋体"/>
          <w:b/>
          <w:i w:val="0"/>
          <w:sz w:val="22"/>
        </w:rPr>
        <w:t>微电网配置</w:t>
      </w:r>
      <w:r>
        <w:rPr>
          <w:rFonts w:ascii="Times New Roman" w:hAnsi="Times New Roman" w:eastAsia="宋体"/>
          <w:b w:val="0"/>
          <w:i w:val="0"/>
          <w:sz w:val="22"/>
        </w:rPr>
        <w:t>：1MW光伏，500kW风电，2MWh储能，200户用户。</w:t>
      </w:r>
    </w:p>
    <w:p>
      <w:pPr>
        <w:spacing w:line="360" w:lineRule="auto" w:after="0"/>
        <w:ind w:firstLine="425"/>
      </w:pPr>
      <w:r>
        <w:rPr>
          <w:rFonts w:ascii="Times New Roman" w:hAnsi="Times New Roman" w:eastAsia="宋体"/>
          <w:b/>
          <w:i w:val="0"/>
          <w:sz w:val="22"/>
        </w:rPr>
        <w:t>运行场景</w:t>
      </w:r>
      <w:r>
        <w:rPr>
          <w:rFonts w:ascii="Times New Roman" w:hAnsi="Times New Roman" w:eastAsia="宋体"/>
          <w:b w:val="0"/>
          <w:i w:val="0"/>
          <w:sz w:val="22"/>
        </w:rPr>
        <w:t>：24小时连续运行，15分钟定价周期。</w:t>
      </w:r>
    </w:p>
    <w:p>
      <w:pPr>
        <w:spacing w:line="360" w:lineRule="auto" w:after="0"/>
        <w:ind w:firstLine="425"/>
      </w:pPr>
      <w:r>
        <w:rPr>
          <w:rFonts w:ascii="Times New Roman" w:hAnsi="Times New Roman" w:eastAsia="宋体"/>
          <w:b/>
          <w:i w:val="0"/>
          <w:sz w:val="22"/>
        </w:rPr>
        <w:t>性能指标</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定价计算时间：&lt;3秒/周期</w:t>
      </w:r>
    </w:p>
    <w:p>
      <w:pPr>
        <w:pStyle w:val="ListBullet"/>
        <w:spacing w:line="360" w:lineRule="auto" w:after="0"/>
      </w:pPr>
      <w:r>
        <w:rPr>
          <w:rFonts w:ascii="Times New Roman" w:hAnsi="Times New Roman" w:eastAsia="宋体"/>
          <w:b w:val="0"/>
          <w:i w:val="0"/>
          <w:sz w:val="22"/>
        </w:rPr>
        <w:t>峰值负荷削减率：18.5%</w:t>
      </w:r>
    </w:p>
    <w:p>
      <w:pPr>
        <w:pStyle w:val="ListBullet"/>
        <w:spacing w:line="360" w:lineRule="auto" w:after="0"/>
      </w:pPr>
      <w:r>
        <w:rPr>
          <w:rFonts w:ascii="Times New Roman" w:hAnsi="Times New Roman" w:eastAsia="宋体"/>
          <w:b w:val="0"/>
          <w:i w:val="0"/>
          <w:sz w:val="22"/>
        </w:rPr>
        <w:t>可再生能源消纳率：92.3%</w:t>
      </w:r>
    </w:p>
    <w:p>
      <w:pPr>
        <w:pStyle w:val="ListBullet"/>
        <w:spacing w:line="360" w:lineRule="auto" w:after="0"/>
      </w:pPr>
      <w:r>
        <w:rPr>
          <w:rFonts w:ascii="Times New Roman" w:hAnsi="Times New Roman" w:eastAsia="宋体"/>
          <w:b w:val="0"/>
          <w:i w:val="0"/>
          <w:sz w:val="22"/>
        </w:rPr>
        <w:t>用户满意度（基于问卷调查）：85分（满分100）</w:t>
      </w:r>
    </w:p>
    <w:p>
      <w:pPr>
        <w:spacing w:line="360" w:lineRule="auto" w:after="0"/>
        <w:ind w:firstLine="425"/>
      </w:pPr>
      <w:r>
        <w:rPr>
          <w:rFonts w:ascii="Times New Roman" w:hAnsi="Times New Roman" w:eastAsia="宋体"/>
          <w:b/>
          <w:i w:val="0"/>
          <w:sz w:val="22"/>
        </w:rPr>
        <w:t>与传统方法比较</w:t>
      </w:r>
      <w:r>
        <w:rPr>
          <w:rFonts w:ascii="Times New Roman" w:hAnsi="Times New Roman" w:eastAsia="宋体"/>
          <w:b w:val="0"/>
          <w:i w:val="0"/>
          <w:sz w:val="22"/>
        </w:rPr>
        <w:t>：比静态优化方法的峰值削减率高5个百分点，可再生能源消纳率高8个百分点。</w:t>
      </w:r>
    </w:p>
    <w:p>
      <w:pPr>
        <w:pStyle w:val="Heading3"/>
        <w:spacing w:before="160" w:after="60"/>
      </w:pPr>
      <w:r>
        <w:rPr>
          <w:rFonts w:ascii="Times New Roman" w:hAnsi="Times New Roman" w:eastAsia="黑体"/>
          <w:b/>
          <w:i w:val="0"/>
          <w:sz w:val="24"/>
        </w:rPr>
        <w:t>案例3：双层规划在多零售商定价中的应用</w:t>
      </w:r>
    </w:p>
    <w:p>
      <w:pPr>
        <w:spacing w:line="360" w:lineRule="auto" w:after="0"/>
        <w:ind w:firstLine="425"/>
      </w:pPr>
      <w:r>
        <w:rPr>
          <w:rFonts w:ascii="Times New Roman" w:hAnsi="Times New Roman" w:eastAsia="宋体"/>
          <w:b w:val="0"/>
          <w:i w:val="0"/>
          <w:sz w:val="22"/>
        </w:rPr>
        <w:t>Yuan等（2021）的双层RTP模型在某三零售商竞争市场中进行了仿真验证</w:t>
      </w:r>
      <w:r>
        <w:rPr>
          <w:rFonts w:ascii="Times New Roman" w:hAnsi="Times New Roman" w:eastAsia="Times New Roman"/>
          <w:b w:val="0"/>
          <w:i w:val="0"/>
          <w:sz w:val="18"/>
          <w:vertAlign w:val="superscript"/>
        </w:rPr>
        <w:t>[4]</w:t>
      </w:r>
      <w:r>
        <w:rPr>
          <w:rFonts w:ascii="Times New Roman" w:hAnsi="Times New Roman" w:eastAsia="宋体"/>
          <w:b w:val="0"/>
          <w:i w:val="0"/>
          <w:sz w:val="22"/>
        </w:rPr>
        <w:t>：</w:t>
      </w:r>
    </w:p>
    <w:p>
      <w:pPr>
        <w:spacing w:line="360" w:lineRule="auto" w:after="0"/>
        <w:ind w:firstLine="425"/>
      </w:pPr>
      <w:r>
        <w:rPr>
          <w:rFonts w:ascii="Times New Roman" w:hAnsi="Times New Roman" w:eastAsia="宋体"/>
          <w:b/>
          <w:i w:val="0"/>
          <w:sz w:val="22"/>
        </w:rPr>
        <w:t>市场设置</w:t>
      </w:r>
      <w:r>
        <w:rPr>
          <w:rFonts w:ascii="Times New Roman" w:hAnsi="Times New Roman" w:eastAsia="宋体"/>
          <w:b w:val="0"/>
          <w:i w:val="0"/>
          <w:sz w:val="22"/>
        </w:rPr>
        <w:t>：3个零售商，各服务100-200个用户，供电成本函数各不相同。</w:t>
      </w:r>
    </w:p>
    <w:p>
      <w:pPr>
        <w:spacing w:line="360" w:lineRule="auto" w:after="0"/>
        <w:ind w:firstLine="425"/>
      </w:pPr>
      <w:r>
        <w:rPr>
          <w:rFonts w:ascii="Times New Roman" w:hAnsi="Times New Roman" w:eastAsia="宋体"/>
          <w:b/>
          <w:i w:val="0"/>
          <w:sz w:val="22"/>
        </w:rPr>
        <w:t>KKT转化</w:t>
      </w:r>
      <w:r>
        <w:rPr>
          <w:rFonts w:ascii="Times New Roman" w:hAnsi="Times New Roman" w:eastAsia="宋体"/>
          <w:b w:val="0"/>
          <w:i w:val="0"/>
          <w:sz w:val="22"/>
        </w:rPr>
        <w:t>：将下层用户优化问题用KKT条件替代，转化为混合整数线性规划（MILP）。</w:t>
      </w:r>
    </w:p>
    <w:p>
      <w:pPr>
        <w:spacing w:line="360" w:lineRule="auto" w:after="0"/>
        <w:ind w:firstLine="425"/>
      </w:pPr>
      <w:r>
        <w:rPr>
          <w:rFonts w:ascii="Times New Roman" w:hAnsi="Times New Roman" w:eastAsia="宋体"/>
          <w:b/>
          <w:i w:val="0"/>
          <w:sz w:val="22"/>
        </w:rPr>
        <w:t>求解工具</w:t>
      </w:r>
      <w:r>
        <w:rPr>
          <w:rFonts w:ascii="Times New Roman" w:hAnsi="Times New Roman" w:eastAsia="宋体"/>
          <w:b w:val="0"/>
          <w:i w:val="0"/>
          <w:sz w:val="22"/>
        </w:rPr>
        <w:t>：使用Gurobi商业求解器求解MILP。</w:t>
      </w:r>
    </w:p>
    <w:p>
      <w:pPr>
        <w:spacing w:line="360" w:lineRule="auto" w:after="0"/>
        <w:ind w:firstLine="425"/>
      </w:pPr>
      <w:r>
        <w:rPr>
          <w:rFonts w:ascii="Times New Roman" w:hAnsi="Times New Roman" w:eastAsia="宋体"/>
          <w:b/>
          <w:i w:val="0"/>
          <w:sz w:val="22"/>
        </w:rPr>
        <w:t>结果</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均衡价格：零售商1为0.62元/kWh，零售商2为0.58元/kWh，零售商3为0.65元/kWh</w:t>
      </w:r>
    </w:p>
    <w:p>
      <w:pPr>
        <w:pStyle w:val="ListBullet"/>
        <w:spacing w:line="360" w:lineRule="auto" w:after="0"/>
      </w:pPr>
      <w:r>
        <w:rPr>
          <w:rFonts w:ascii="Times New Roman" w:hAnsi="Times New Roman" w:eastAsia="宋体"/>
          <w:b w:val="0"/>
          <w:i w:val="0"/>
          <w:sz w:val="22"/>
        </w:rPr>
        <w:t>社会福利：比对偶分解法高2.3%</w:t>
      </w:r>
    </w:p>
    <w:p>
      <w:pPr>
        <w:pStyle w:val="ListBullet"/>
        <w:spacing w:line="360" w:lineRule="auto" w:after="0"/>
      </w:pPr>
      <w:r>
        <w:rPr>
          <w:rFonts w:ascii="Times New Roman" w:hAnsi="Times New Roman" w:eastAsia="宋体"/>
          <w:b w:val="0"/>
          <w:i w:val="0"/>
          <w:sz w:val="22"/>
        </w:rPr>
        <w:t>求解时间：15秒（500用户场景）</w:t>
      </w:r>
    </w:p>
    <w:p>
      <w:pPr>
        <w:pStyle w:val="ListBullet"/>
        <w:spacing w:line="360" w:lineRule="auto" w:after="0"/>
      </w:pPr>
      <w:r>
        <w:rPr>
          <w:rFonts w:ascii="Times New Roman" w:hAnsi="Times New Roman" w:eastAsia="宋体"/>
          <w:b w:val="0"/>
          <w:i w:val="0"/>
          <w:sz w:val="22"/>
        </w:rPr>
        <w:t>均衡存在性：在所有测试场景中均找到均衡</w:t>
      </w:r>
    </w:p>
    <w:p>
      <w:pPr>
        <w:pStyle w:val="Heading2"/>
        <w:spacing w:before="240" w:after="80"/>
      </w:pPr>
      <w:r>
        <w:rPr>
          <w:rFonts w:ascii="Times New Roman" w:hAnsi="Times New Roman" w:eastAsia="黑体"/>
          <w:b/>
          <w:i w:val="0"/>
          <w:sz w:val="28"/>
        </w:rPr>
        <w:t>7.9 理论深化与前沿探讨</w:t>
      </w:r>
    </w:p>
    <w:p>
      <w:pPr>
        <w:pStyle w:val="Heading3"/>
        <w:spacing w:before="160" w:after="60"/>
      </w:pPr>
      <w:r>
        <w:rPr>
          <w:rFonts w:ascii="Times New Roman" w:hAnsi="Times New Roman" w:eastAsia="黑体"/>
          <w:b/>
          <w:i w:val="0"/>
          <w:sz w:val="24"/>
        </w:rPr>
        <w:t>优化算法的复杂性分析</w:t>
      </w:r>
    </w:p>
    <w:p>
      <w:pPr>
        <w:spacing w:line="360" w:lineRule="auto" w:after="0"/>
        <w:ind w:firstLine="425"/>
      </w:pPr>
      <w:r>
        <w:rPr>
          <w:rFonts w:ascii="Times New Roman" w:hAnsi="Times New Roman" w:eastAsia="宋体"/>
          <w:b w:val="0"/>
          <w:i w:val="0"/>
          <w:sz w:val="22"/>
        </w:rPr>
        <w:t>不同优化算法的计算复杂性直接影响其在实时定价中的适用性：</w:t>
      </w:r>
    </w:p>
    <w:p>
      <w:pPr>
        <w:spacing w:line="360" w:lineRule="auto" w:after="0"/>
        <w:ind w:firstLine="425"/>
      </w:pPr>
      <w:r>
        <w:rPr>
          <w:rFonts w:ascii="Times New Roman" w:hAnsi="Times New Roman" w:eastAsia="宋体"/>
          <w:b/>
          <w:i w:val="0"/>
          <w:sz w:val="22"/>
        </w:rPr>
        <w:t>对偶分解</w:t>
      </w:r>
      <w:r>
        <w:rPr>
          <w:rFonts w:ascii="Times New Roman" w:hAnsi="Times New Roman" w:eastAsia="宋体"/>
          <w:b w:val="0"/>
          <w:i w:val="0"/>
          <w:sz w:val="22"/>
        </w:rPr>
        <w:t>：每轮迭代复杂度O(N)（N为用户数），收敛速率为O(1/k)（次线性）。</w:t>
      </w:r>
    </w:p>
    <w:p>
      <w:pPr>
        <w:spacing w:line="360" w:lineRule="auto" w:after="0"/>
        <w:ind w:firstLine="425"/>
      </w:pPr>
      <w:r>
        <w:rPr>
          <w:rFonts w:ascii="Times New Roman" w:hAnsi="Times New Roman" w:eastAsia="宋体"/>
          <w:b/>
          <w:i w:val="0"/>
          <w:sz w:val="22"/>
        </w:rPr>
        <w:t>ADMM</w:t>
      </w:r>
      <w:r>
        <w:rPr>
          <w:rFonts w:ascii="Times New Roman" w:hAnsi="Times New Roman" w:eastAsia="宋体"/>
          <w:b w:val="0"/>
          <w:i w:val="0"/>
          <w:sz w:val="22"/>
        </w:rPr>
        <w:t>：每轮迭代复杂度O(N)，在强凸条件下收敛速率为O(1/k)，通过加速可达O(1/k^2)。</w:t>
      </w:r>
    </w:p>
    <w:p>
      <w:pPr>
        <w:spacing w:line="360" w:lineRule="auto" w:after="0"/>
        <w:ind w:firstLine="425"/>
      </w:pPr>
      <w:r>
        <w:rPr>
          <w:rFonts w:ascii="Times New Roman" w:hAnsi="Times New Roman" w:eastAsia="宋体"/>
          <w:b/>
          <w:i w:val="0"/>
          <w:sz w:val="22"/>
        </w:rPr>
        <w:t>内点法</w:t>
      </w:r>
      <w:r>
        <w:rPr>
          <w:rFonts w:ascii="Times New Roman" w:hAnsi="Times New Roman" w:eastAsia="宋体"/>
          <w:b w:val="0"/>
          <w:i w:val="0"/>
          <w:sz w:val="22"/>
        </w:rPr>
        <w:t>：复杂度O(N^3.5)（集中式），适合中小规模问题。</w:t>
      </w:r>
    </w:p>
    <w:p>
      <w:pPr>
        <w:spacing w:line="360" w:lineRule="auto" w:after="0"/>
        <w:ind w:firstLine="425"/>
      </w:pPr>
      <w:r>
        <w:rPr>
          <w:rFonts w:ascii="Times New Roman" w:hAnsi="Times New Roman" w:eastAsia="宋体"/>
          <w:b/>
          <w:i w:val="0"/>
          <w:sz w:val="22"/>
        </w:rPr>
        <w:t>光滑牛顿法</w:t>
      </w:r>
      <w:r>
        <w:rPr>
          <w:rFonts w:ascii="Times New Roman" w:hAnsi="Times New Roman" w:eastAsia="宋体"/>
          <w:b w:val="0"/>
          <w:i w:val="0"/>
          <w:sz w:val="22"/>
        </w:rPr>
        <w:t>：局部超线性收敛，但需要计算雅可比矩阵，复杂度O(N^3)。</w:t>
      </w:r>
    </w:p>
    <w:p>
      <w:pPr>
        <w:spacing w:line="360" w:lineRule="auto" w:after="0"/>
        <w:ind w:firstLine="425"/>
      </w:pPr>
      <w:r>
        <w:rPr>
          <w:rFonts w:ascii="Times New Roman" w:hAnsi="Times New Roman" w:eastAsia="宋体"/>
          <w:b/>
          <w:i w:val="0"/>
          <w:sz w:val="22"/>
        </w:rPr>
        <w:t>强化学习</w:t>
      </w:r>
      <w:r>
        <w:rPr>
          <w:rFonts w:ascii="Times New Roman" w:hAnsi="Times New Roman" w:eastAsia="宋体"/>
          <w:b w:val="0"/>
          <w:i w:val="0"/>
          <w:sz w:val="22"/>
        </w:rPr>
        <w:t>：训练阶段计算密集，推理阶段复杂度O(1)（仅需前向传播）。</w:t>
      </w:r>
    </w:p>
    <w:p>
      <w:pPr>
        <w:pStyle w:val="Heading3"/>
        <w:spacing w:before="160" w:after="60"/>
      </w:pPr>
      <w:r>
        <w:rPr>
          <w:rFonts w:ascii="Times New Roman" w:hAnsi="Times New Roman" w:eastAsia="黑体"/>
          <w:b/>
          <w:i w:val="0"/>
          <w:sz w:val="24"/>
        </w:rPr>
        <w:t>分布式算法的通信开销</w:t>
      </w:r>
    </w:p>
    <w:p>
      <w:pPr>
        <w:spacing w:line="360" w:lineRule="auto" w:after="0"/>
        <w:ind w:firstLine="425"/>
      </w:pPr>
      <w:r>
        <w:rPr>
          <w:rFonts w:ascii="Times New Roman" w:hAnsi="Times New Roman" w:eastAsia="宋体"/>
          <w:b w:val="0"/>
          <w:i w:val="0"/>
          <w:sz w:val="22"/>
        </w:rPr>
        <w:t>分布式算法的通信开销是影响可扩展性的关键因素：</w:t>
      </w:r>
    </w:p>
    <w:p>
      <w:pPr>
        <w:spacing w:line="360" w:lineRule="auto" w:after="0"/>
        <w:ind w:firstLine="425"/>
      </w:pPr>
      <w:r>
        <w:rPr>
          <w:rFonts w:ascii="Times New Roman" w:hAnsi="Times New Roman" w:eastAsia="宋体"/>
          <w:b/>
          <w:i w:val="0"/>
          <w:sz w:val="22"/>
        </w:rPr>
        <w:t>对偶分解</w:t>
      </w:r>
      <w:r>
        <w:rPr>
          <w:rFonts w:ascii="Times New Roman" w:hAnsi="Times New Roman" w:eastAsia="宋体"/>
          <w:b w:val="0"/>
          <w:i w:val="0"/>
          <w:sz w:val="22"/>
        </w:rPr>
        <w:t>：每轮每用户发送1个标量（用电量），接收1个标量（价格）。通信量O(N)。</w:t>
      </w:r>
    </w:p>
    <w:p>
      <w:pPr>
        <w:spacing w:line="360" w:lineRule="auto" w:after="0"/>
        <w:ind w:firstLine="425"/>
      </w:pPr>
      <w:r>
        <w:rPr>
          <w:rFonts w:ascii="Times New Roman" w:hAnsi="Times New Roman" w:eastAsia="宋体"/>
          <w:b/>
          <w:i w:val="0"/>
          <w:sz w:val="22"/>
        </w:rPr>
        <w:t>ADMM</w:t>
      </w:r>
      <w:r>
        <w:rPr>
          <w:rFonts w:ascii="Times New Roman" w:hAnsi="Times New Roman" w:eastAsia="宋体"/>
          <w:b w:val="0"/>
          <w:i w:val="0"/>
          <w:sz w:val="22"/>
        </w:rPr>
        <w:t>：每轮每用户发送1个向量（原始变量和对偶变量），通信量O(N · d)（d为变量维度）。</w:t>
      </w:r>
    </w:p>
    <w:p>
      <w:pPr>
        <w:spacing w:line="360" w:lineRule="auto" w:after="0"/>
        <w:ind w:firstLine="425"/>
      </w:pPr>
      <w:r>
        <w:rPr>
          <w:rFonts w:ascii="Times New Roman" w:hAnsi="Times New Roman" w:eastAsia="宋体"/>
          <w:b/>
          <w:i w:val="0"/>
          <w:sz w:val="22"/>
        </w:rPr>
        <w:t>压缩通信</w:t>
      </w:r>
      <w:r>
        <w:rPr>
          <w:rFonts w:ascii="Times New Roman" w:hAnsi="Times New Roman" w:eastAsia="宋体"/>
          <w:b w:val="0"/>
          <w:i w:val="0"/>
          <w:sz w:val="22"/>
        </w:rPr>
        <w:t>：通过梯度压缩和稀疏化减少通信量，可降低50%-80%的通信开销。</w:t>
      </w:r>
    </w:p>
    <w:p>
      <w:pPr>
        <w:spacing w:line="360" w:lineRule="auto" w:after="0"/>
        <w:ind w:firstLine="425"/>
      </w:pPr>
      <w:r>
        <w:rPr>
          <w:rFonts w:ascii="Times New Roman" w:hAnsi="Times New Roman" w:eastAsia="宋体"/>
          <w:b/>
          <w:i w:val="0"/>
          <w:sz w:val="22"/>
        </w:rPr>
        <w:t>异步通信</w:t>
      </w:r>
      <w:r>
        <w:rPr>
          <w:rFonts w:ascii="Times New Roman" w:hAnsi="Times New Roman" w:eastAsia="宋体"/>
          <w:b w:val="0"/>
          <w:i w:val="0"/>
          <w:sz w:val="22"/>
        </w:rPr>
        <w:t>：不需要所有用户同步更新，减少等待时间。异步ADMM在通信延迟较大的场景下具有优势。</w:t>
      </w:r>
    </w:p>
    <w:p>
      <w:pPr>
        <w:pStyle w:val="Heading3"/>
        <w:spacing w:before="160" w:after="60"/>
      </w:pPr>
      <w:r>
        <w:rPr>
          <w:rFonts w:ascii="Times New Roman" w:hAnsi="Times New Roman" w:eastAsia="黑体"/>
          <w:b/>
          <w:i w:val="0"/>
          <w:sz w:val="24"/>
        </w:rPr>
        <w:t>在线优化与实时定价</w:t>
      </w:r>
    </w:p>
    <w:p>
      <w:pPr>
        <w:spacing w:line="360" w:lineRule="auto" w:after="0"/>
        <w:ind w:firstLine="425"/>
      </w:pPr>
      <w:r>
        <w:rPr>
          <w:rFonts w:ascii="Times New Roman" w:hAnsi="Times New Roman" w:eastAsia="宋体"/>
          <w:b w:val="0"/>
          <w:i w:val="0"/>
          <w:sz w:val="22"/>
        </w:rPr>
        <w:t>在线优化（Online Optimization）适合实时定价的动态特性：</w:t>
      </w:r>
    </w:p>
    <w:p>
      <w:pPr>
        <w:spacing w:line="360" w:lineRule="auto" w:after="0"/>
        <w:ind w:firstLine="425"/>
      </w:pPr>
      <w:r>
        <w:rPr>
          <w:rFonts w:ascii="Times New Roman" w:hAnsi="Times New Roman" w:eastAsia="宋体"/>
          <w:b/>
          <w:i w:val="0"/>
          <w:sz w:val="22"/>
        </w:rPr>
        <w:t>在线梯度下降</w:t>
      </w:r>
      <w:r>
        <w:rPr>
          <w:rFonts w:ascii="Times New Roman" w:hAnsi="Times New Roman" w:eastAsia="宋体"/>
          <w:b w:val="0"/>
          <w:i w:val="0"/>
          <w:sz w:val="22"/>
        </w:rPr>
        <w:t>：在每个时段t，根据当前信息更新决策：x_t+1 = Π_X(x_t - η_t g_t)。Li等（2017）将在线优化应用于需求响应定价。</w:t>
      </w:r>
    </w:p>
    <w:p>
      <w:pPr>
        <w:spacing w:line="360" w:lineRule="auto" w:after="0"/>
        <w:ind w:firstLine="425"/>
      </w:pPr>
      <w:r>
        <w:rPr>
          <w:rFonts w:ascii="Times New Roman" w:hAnsi="Times New Roman" w:eastAsia="宋体"/>
          <w:b/>
          <w:i w:val="0"/>
          <w:sz w:val="22"/>
        </w:rPr>
        <w:t>后悔界</w:t>
      </w:r>
      <w:r>
        <w:rPr>
          <w:rFonts w:ascii="Times New Roman" w:hAnsi="Times New Roman" w:eastAsia="宋体"/>
          <w:b w:val="0"/>
          <w:i w:val="0"/>
          <w:sz w:val="22"/>
        </w:rPr>
        <w:t>：在线优化算法的性能通过后悔（regret）度量——与事后最优固定策略的差距。对于凸优化，在线梯度下降的后悔界为O(√(T))。</w:t>
      </w:r>
    </w:p>
    <w:p>
      <w:pPr>
        <w:spacing w:line="360" w:lineRule="auto" w:after="0"/>
        <w:ind w:firstLine="425"/>
      </w:pPr>
      <w:r>
        <w:rPr>
          <w:rFonts w:ascii="Times New Roman" w:hAnsi="Times New Roman" w:eastAsia="宋体"/>
          <w:b/>
          <w:i w:val="0"/>
          <w:sz w:val="22"/>
        </w:rPr>
        <w:t>适应性</w:t>
      </w:r>
      <w:r>
        <w:rPr>
          <w:rFonts w:ascii="Times New Roman" w:hAnsi="Times New Roman" w:eastAsia="宋体"/>
          <w:b w:val="0"/>
          <w:i w:val="0"/>
          <w:sz w:val="22"/>
        </w:rPr>
        <w:t>：在线优化能够适应非平稳环境（如用户行为变化、可再生能源波动），比离线优化更适合实际部署。</w:t>
      </w:r>
    </w:p>
    <w:p>
      <w:pPr>
        <w:pStyle w:val="Heading3"/>
        <w:spacing w:before="160" w:after="60"/>
      </w:pPr>
      <w:r>
        <w:rPr>
          <w:rFonts w:ascii="Times New Roman" w:hAnsi="Times New Roman" w:eastAsia="黑体"/>
          <w:b/>
          <w:i w:val="0"/>
          <w:sz w:val="24"/>
        </w:rPr>
        <w:t>优化算法的鲁棒性</w:t>
      </w:r>
    </w:p>
    <w:p>
      <w:pPr>
        <w:spacing w:line="360" w:lineRule="auto" w:after="0"/>
        <w:ind w:firstLine="425"/>
      </w:pPr>
      <w:r>
        <w:rPr>
          <w:rFonts w:ascii="Times New Roman" w:hAnsi="Times New Roman" w:eastAsia="宋体"/>
          <w:b w:val="0"/>
          <w:i w:val="0"/>
          <w:sz w:val="22"/>
        </w:rPr>
        <w:t>在不确定环境下，优化算法的鲁棒性至关重要：</w:t>
      </w:r>
    </w:p>
    <w:p>
      <w:pPr>
        <w:spacing w:line="360" w:lineRule="auto" w:after="0"/>
        <w:ind w:firstLine="425"/>
      </w:pPr>
      <w:r>
        <w:rPr>
          <w:rFonts w:ascii="Times New Roman" w:hAnsi="Times New Roman" w:eastAsia="宋体"/>
          <w:b/>
          <w:i w:val="0"/>
          <w:sz w:val="22"/>
        </w:rPr>
        <w:t>数值稳定性</w:t>
      </w:r>
      <w:r>
        <w:rPr>
          <w:rFonts w:ascii="Times New Roman" w:hAnsi="Times New Roman" w:eastAsia="宋体"/>
          <w:b w:val="0"/>
          <w:i w:val="0"/>
          <w:sz w:val="22"/>
        </w:rPr>
        <w:t>：当效用函数参数极端或约束退化时，算法是否仍能稳定收敛。</w:t>
      </w:r>
    </w:p>
    <w:p>
      <w:pPr>
        <w:spacing w:line="360" w:lineRule="auto" w:after="0"/>
        <w:ind w:firstLine="425"/>
      </w:pPr>
      <w:r>
        <w:rPr>
          <w:rFonts w:ascii="Times New Roman" w:hAnsi="Times New Roman" w:eastAsia="宋体"/>
          <w:b/>
          <w:i w:val="0"/>
          <w:sz w:val="22"/>
        </w:rPr>
        <w:t>容错性</w:t>
      </w:r>
      <w:r>
        <w:rPr>
          <w:rFonts w:ascii="Times New Roman" w:hAnsi="Times New Roman" w:eastAsia="宋体"/>
          <w:b w:val="0"/>
          <w:i w:val="0"/>
          <w:sz w:val="22"/>
        </w:rPr>
        <w:t>：当部分用户节点通信失败或数据异常时，算法是否能继续运行。</w:t>
      </w:r>
    </w:p>
    <w:p>
      <w:pPr>
        <w:spacing w:line="360" w:lineRule="auto" w:after="0"/>
        <w:ind w:firstLine="425"/>
      </w:pPr>
      <w:r>
        <w:rPr>
          <w:rFonts w:ascii="Times New Roman" w:hAnsi="Times New Roman" w:eastAsia="宋体"/>
          <w:b/>
          <w:i w:val="0"/>
          <w:sz w:val="22"/>
        </w:rPr>
        <w:t>抗攻击性</w:t>
      </w:r>
      <w:r>
        <w:rPr>
          <w:rFonts w:ascii="Times New Roman" w:hAnsi="Times New Roman" w:eastAsia="宋体"/>
          <w:b w:val="0"/>
          <w:i w:val="0"/>
          <w:sz w:val="22"/>
        </w:rPr>
        <w:t>：当恶意用户提交虚假数据时，算法是否能识别并抵御攻击。</w:t>
      </w:r>
    </w:p>
    <w:p>
      <w:pPr>
        <w:spacing w:line="360" w:lineRule="auto" w:after="0"/>
        <w:ind w:firstLine="425"/>
      </w:pPr>
      <w:r>
        <w:rPr>
          <w:rFonts w:ascii="Times New Roman" w:hAnsi="Times New Roman" w:eastAsia="宋体"/>
          <w:b w:val="0"/>
          <w:i w:val="0"/>
          <w:sz w:val="22"/>
        </w:rPr>
        <w:t>分布式算法通常比集中式算法具有更好的鲁棒性，因为局部故障不会导致全局瘫痪。然而，分布式算法也面临新的安全挑战，如拜占庭攻击和女巫攻击。</w:t>
      </w:r>
    </w:p>
    <w:p>
      <w:pPr>
        <w:pStyle w:val="Heading3"/>
        <w:spacing w:before="160" w:after="60"/>
      </w:pPr>
      <w:r>
        <w:rPr>
          <w:rFonts w:ascii="Times New Roman" w:hAnsi="Times New Roman" w:eastAsia="黑体"/>
          <w:b/>
          <w:i w:val="0"/>
          <w:sz w:val="24"/>
        </w:rPr>
        <w:t>混合算法设计</w:t>
      </w:r>
    </w:p>
    <w:p>
      <w:pPr>
        <w:spacing w:line="360" w:lineRule="auto" w:after="0"/>
        <w:ind w:firstLine="425"/>
      </w:pPr>
      <w:r>
        <w:rPr>
          <w:rFonts w:ascii="Times New Roman" w:hAnsi="Times New Roman" w:eastAsia="宋体"/>
          <w:b w:val="0"/>
          <w:i w:val="0"/>
          <w:sz w:val="22"/>
        </w:rPr>
        <w:t>单一算法往往难以满足实时定价的全部需求，混合算法设计成为趋势：</w:t>
      </w:r>
    </w:p>
    <w:p>
      <w:pPr>
        <w:spacing w:line="360" w:lineRule="auto" w:after="0"/>
        <w:ind w:firstLine="425"/>
      </w:pPr>
      <w:r>
        <w:rPr>
          <w:rFonts w:ascii="Times New Roman" w:hAnsi="Times New Roman" w:eastAsia="宋体"/>
          <w:b/>
          <w:i w:val="0"/>
          <w:sz w:val="22"/>
        </w:rPr>
        <w:t>优化+学习</w:t>
      </w:r>
      <w:r>
        <w:rPr>
          <w:rFonts w:ascii="Times New Roman" w:hAnsi="Times New Roman" w:eastAsia="宋体"/>
          <w:b w:val="0"/>
          <w:i w:val="0"/>
          <w:sz w:val="22"/>
        </w:rPr>
        <w:t>：用强化学习提供初始解或搜索方向，用传统优化算法精化。</w:t>
      </w:r>
    </w:p>
    <w:p>
      <w:pPr>
        <w:spacing w:line="360" w:lineRule="auto" w:after="0"/>
        <w:ind w:firstLine="425"/>
      </w:pPr>
      <w:r>
        <w:rPr>
          <w:rFonts w:ascii="Times New Roman" w:hAnsi="Times New Roman" w:eastAsia="宋体"/>
          <w:b/>
          <w:i w:val="0"/>
          <w:sz w:val="22"/>
        </w:rPr>
        <w:t>集中+分布式</w:t>
      </w:r>
      <w:r>
        <w:rPr>
          <w:rFonts w:ascii="Times New Roman" w:hAnsi="Times New Roman" w:eastAsia="宋体"/>
          <w:b w:val="0"/>
          <w:i w:val="0"/>
          <w:sz w:val="22"/>
        </w:rPr>
        <w:t>：上层集中式优化进行全局调度，下层分布式优化进行局部调整。</w:t>
      </w:r>
    </w:p>
    <w:p>
      <w:pPr>
        <w:spacing w:line="360" w:lineRule="auto" w:after="0"/>
        <w:ind w:firstLine="425"/>
      </w:pPr>
      <w:r>
        <w:rPr>
          <w:rFonts w:ascii="Times New Roman" w:hAnsi="Times New Roman" w:eastAsia="宋体"/>
          <w:b/>
          <w:i w:val="0"/>
          <w:sz w:val="22"/>
        </w:rPr>
        <w:t>确定性+随机</w:t>
      </w:r>
      <w:r>
        <w:rPr>
          <w:rFonts w:ascii="Times New Roman" w:hAnsi="Times New Roman" w:eastAsia="宋体"/>
          <w:b w:val="0"/>
          <w:i w:val="0"/>
          <w:sz w:val="22"/>
        </w:rPr>
        <w:t>：在确定性框架中加入随机化元素（如随机扰动），帮助跳出局部最优。</w:t>
      </w:r>
    </w:p>
    <w:p>
      <w:pPr>
        <w:spacing w:line="360" w:lineRule="auto" w:after="0"/>
        <w:ind w:firstLine="425"/>
      </w:pPr>
      <w:r>
        <w:rPr>
          <w:rFonts w:ascii="Times New Roman" w:hAnsi="Times New Roman" w:eastAsia="宋体"/>
          <w:b/>
          <w:i w:val="0"/>
          <w:sz w:val="22"/>
        </w:rPr>
        <w:t>离线+在线</w:t>
      </w:r>
      <w:r>
        <w:rPr>
          <w:rFonts w:ascii="Times New Roman" w:hAnsi="Times New Roman" w:eastAsia="宋体"/>
          <w:b w:val="0"/>
          <w:i w:val="0"/>
          <w:sz w:val="22"/>
        </w:rPr>
        <w:t>：离线训练模型参数，在线进行实时决策。这种"离线训练+在线推理"的模式在深度强化学习中广泛应用。</w:t>
      </w:r>
    </w:p>
    <w:p>
      <w:pPr>
        <w:pStyle w:val="Heading2"/>
        <w:spacing w:before="240" w:after="80"/>
      </w:pPr>
      <w:r>
        <w:rPr>
          <w:rFonts w:ascii="Times New Roman" w:hAnsi="Times New Roman" w:eastAsia="黑体"/>
          <w:b/>
          <w:i w:val="0"/>
          <w:sz w:val="28"/>
        </w:rPr>
        <w:t>7.10 优化算法的理论深化</w:t>
      </w:r>
    </w:p>
    <w:p>
      <w:pPr>
        <w:pStyle w:val="Heading3"/>
        <w:spacing w:before="160" w:after="60"/>
      </w:pPr>
      <w:r>
        <w:rPr>
          <w:rFonts w:ascii="Times New Roman" w:hAnsi="Times New Roman" w:eastAsia="黑体"/>
          <w:b/>
          <w:i w:val="0"/>
          <w:sz w:val="24"/>
        </w:rPr>
        <w:t>凸优化与对偶理论</w:t>
      </w:r>
    </w:p>
    <w:p>
      <w:pPr>
        <w:spacing w:line="360" w:lineRule="auto" w:after="0"/>
        <w:ind w:firstLine="425"/>
      </w:pPr>
      <w:r>
        <w:rPr>
          <w:rFonts w:ascii="Times New Roman" w:hAnsi="Times New Roman" w:eastAsia="宋体"/>
          <w:b/>
          <w:i w:val="0"/>
          <w:sz w:val="22"/>
        </w:rPr>
        <w:t>强对偶性</w:t>
      </w:r>
      <w:r>
        <w:rPr>
          <w:rFonts w:ascii="Times New Roman" w:hAnsi="Times New Roman" w:eastAsia="宋体"/>
          <w:b w:val="0"/>
          <w:i w:val="0"/>
          <w:sz w:val="22"/>
        </w:rPr>
        <w:t>：在凸优化中，如果Slater条件成立（存在严格可行点），则强对偶性成立——原问题最优值等于对偶问题最优值。在RTP中，社会福利最大化问题通常满足Slater条件，因此对偶分解法能够找到全局最优解。</w:t>
      </w:r>
    </w:p>
    <w:p>
      <w:pPr>
        <w:spacing w:line="360" w:lineRule="auto" w:after="0"/>
        <w:ind w:firstLine="425"/>
      </w:pPr>
      <w:r>
        <w:rPr>
          <w:rFonts w:ascii="Times New Roman" w:hAnsi="Times New Roman" w:eastAsia="宋体"/>
          <w:b/>
          <w:i w:val="0"/>
          <w:sz w:val="22"/>
        </w:rPr>
        <w:t>KKT条件的充分性</w:t>
      </w:r>
      <w:r>
        <w:rPr>
          <w:rFonts w:ascii="Times New Roman" w:hAnsi="Times New Roman" w:eastAsia="宋体"/>
          <w:b w:val="0"/>
          <w:i w:val="0"/>
          <w:sz w:val="22"/>
        </w:rPr>
        <w:t>：在凸优化中，KKT条件不仅是必要条件，也是充分条件——满足KKT条件的点即为全局最优解。这保证了基于KKT条件的定价方法（如光滑化牛顿法）找到的解是全局最优的。</w:t>
      </w:r>
    </w:p>
    <w:p>
      <w:pPr>
        <w:spacing w:line="360" w:lineRule="auto" w:after="0"/>
        <w:ind w:firstLine="425"/>
      </w:pPr>
      <w:r>
        <w:rPr>
          <w:rFonts w:ascii="Times New Roman" w:hAnsi="Times New Roman" w:eastAsia="宋体"/>
          <w:b/>
          <w:i w:val="0"/>
          <w:sz w:val="22"/>
        </w:rPr>
        <w:t>对偶间隙</w:t>
      </w:r>
      <w:r>
        <w:rPr>
          <w:rFonts w:ascii="Times New Roman" w:hAnsi="Times New Roman" w:eastAsia="宋体"/>
          <w:b w:val="0"/>
          <w:i w:val="0"/>
          <w:sz w:val="22"/>
        </w:rPr>
        <w:t>：在非凸优化中，原问题和对偶问题之间可能存在对偶间隙。对偶间隙的大小反映问题的非凸程度。</w:t>
      </w:r>
    </w:p>
    <w:p>
      <w:pPr>
        <w:pStyle w:val="Heading3"/>
        <w:spacing w:before="160" w:after="60"/>
      </w:pPr>
      <w:r>
        <w:rPr>
          <w:rFonts w:ascii="Times New Roman" w:hAnsi="Times New Roman" w:eastAsia="黑体"/>
          <w:b/>
          <w:i w:val="0"/>
          <w:sz w:val="24"/>
        </w:rPr>
        <w:t>ADMM的理论分析</w:t>
      </w:r>
    </w:p>
    <w:p>
      <w:pPr>
        <w:spacing w:line="360" w:lineRule="auto" w:after="0"/>
        <w:ind w:firstLine="425"/>
      </w:pPr>
      <w:r>
        <w:rPr>
          <w:rFonts w:ascii="Times New Roman" w:hAnsi="Times New Roman" w:eastAsia="宋体"/>
          <w:b/>
          <w:i w:val="0"/>
          <w:sz w:val="22"/>
        </w:rPr>
        <w:t>收敛性条件</w:t>
      </w:r>
      <w:r>
        <w:rPr>
          <w:rFonts w:ascii="Times New Roman" w:hAnsi="Times New Roman" w:eastAsia="宋体"/>
          <w:b w:val="0"/>
          <w:i w:val="0"/>
          <w:sz w:val="22"/>
        </w:rPr>
        <w:t>：ADMM在以下条件下收敛：</w:t>
      </w:r>
    </w:p>
    <w:p>
      <w:pPr>
        <w:pStyle w:val="ListNumber"/>
        <w:spacing w:line="360" w:lineRule="auto" w:after="0"/>
      </w:pPr>
      <w:r>
        <w:rPr>
          <w:rFonts w:ascii="Times New Roman" w:hAnsi="Times New Roman" w:eastAsia="宋体"/>
          <w:b w:val="0"/>
          <w:i w:val="0"/>
          <w:sz w:val="22"/>
        </w:rPr>
        <w:t>目标函数是闭的、正常的、凸的</w:t>
      </w:r>
    </w:p>
    <w:p>
      <w:pPr>
        <w:pStyle w:val="ListNumber"/>
        <w:spacing w:line="360" w:lineRule="auto" w:after="0"/>
      </w:pPr>
      <w:r>
        <w:rPr>
          <w:rFonts w:ascii="Times New Roman" w:hAnsi="Times New Roman" w:eastAsia="宋体"/>
          <w:b w:val="0"/>
          <w:i w:val="0"/>
          <w:sz w:val="22"/>
        </w:rPr>
        <w:t>拉格朗日函数有鞍点</w:t>
      </w:r>
    </w:p>
    <w:p>
      <w:pPr>
        <w:spacing w:line="360" w:lineRule="auto" w:after="0"/>
        <w:ind w:firstLine="425"/>
      </w:pPr>
      <w:r>
        <w:rPr>
          <w:rFonts w:ascii="Times New Roman" w:hAnsi="Times New Roman" w:eastAsia="宋体"/>
          <w:b/>
          <w:i w:val="0"/>
          <w:sz w:val="22"/>
        </w:rPr>
        <w:t>收敛速率</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一般凸问题：O(1/k)（原始残差和对偶残差）</w:t>
      </w:r>
    </w:p>
    <w:p>
      <w:pPr>
        <w:pStyle w:val="ListBullet"/>
        <w:spacing w:line="360" w:lineRule="auto" w:after="0"/>
      </w:pPr>
      <w:r>
        <w:rPr>
          <w:rFonts w:ascii="Times New Roman" w:hAnsi="Times New Roman" w:eastAsia="宋体"/>
          <w:b w:val="0"/>
          <w:i w:val="0"/>
          <w:sz w:val="22"/>
        </w:rPr>
        <w:t>强凸问题：O(1/k^2)（通过加速）</w:t>
      </w:r>
    </w:p>
    <w:p>
      <w:pPr>
        <w:pStyle w:val="ListBullet"/>
        <w:spacing w:line="360" w:lineRule="auto" w:after="0"/>
      </w:pPr>
      <w:r>
        <w:rPr>
          <w:rFonts w:ascii="Times New Roman" w:hAnsi="Times New Roman" w:eastAsia="宋体"/>
          <w:b w:val="0"/>
          <w:i w:val="0"/>
          <w:sz w:val="22"/>
        </w:rPr>
        <w:t>非强凸但光滑：O(1/k)（通过Nesterov加速）</w:t>
      </w:r>
    </w:p>
    <w:p>
      <w:pPr>
        <w:spacing w:line="360" w:lineRule="auto" w:after="0"/>
        <w:ind w:firstLine="425"/>
      </w:pPr>
      <w:r>
        <w:rPr>
          <w:rFonts w:ascii="Times New Roman" w:hAnsi="Times New Roman" w:eastAsia="宋体"/>
          <w:b/>
          <w:i w:val="0"/>
          <w:sz w:val="22"/>
        </w:rPr>
        <w:t>线性化ADMM</w:t>
      </w:r>
      <w:r>
        <w:rPr>
          <w:rFonts w:ascii="Times New Roman" w:hAnsi="Times New Roman" w:eastAsia="宋体"/>
          <w:b w:val="0"/>
          <w:i w:val="0"/>
          <w:sz w:val="22"/>
        </w:rPr>
        <w:t>：对非光滑项进行线性化，每步子问题可以解析求解。线性化ADMM在实时定价中特别有用，因为它将复杂的优化问题分解为简单的解析更新。</w:t>
      </w:r>
    </w:p>
    <w:p>
      <w:pPr>
        <w:spacing w:line="360" w:lineRule="auto" w:after="0"/>
        <w:ind w:firstLine="425"/>
      </w:pPr>
      <w:r>
        <w:rPr>
          <w:rFonts w:ascii="Times New Roman" w:hAnsi="Times New Roman" w:eastAsia="宋体"/>
          <w:b/>
          <w:i w:val="0"/>
          <w:sz w:val="22"/>
        </w:rPr>
        <w:t>异步ADMM</w:t>
      </w:r>
      <w:r>
        <w:rPr>
          <w:rFonts w:ascii="Times New Roman" w:hAnsi="Times New Roman" w:eastAsia="宋体"/>
          <w:b w:val="0"/>
          <w:i w:val="0"/>
          <w:sz w:val="22"/>
        </w:rPr>
        <w:t>：允许各节点异步更新，不等待所有节点完成。异步ADMM在通信延迟较大的分布式系统中具有优势，但收敛性分析更复杂。</w:t>
      </w:r>
    </w:p>
    <w:p>
      <w:pPr>
        <w:pStyle w:val="Heading3"/>
        <w:spacing w:before="160" w:after="60"/>
      </w:pPr>
      <w:r>
        <w:rPr>
          <w:rFonts w:ascii="Times New Roman" w:hAnsi="Times New Roman" w:eastAsia="黑体"/>
          <w:b/>
          <w:i w:val="0"/>
          <w:sz w:val="24"/>
        </w:rPr>
        <w:t>次梯度算法的收敛性</w:t>
      </w:r>
    </w:p>
    <w:p>
      <w:pPr>
        <w:spacing w:line="360" w:lineRule="auto" w:after="0"/>
        <w:ind w:firstLine="425"/>
      </w:pPr>
      <w:r>
        <w:rPr>
          <w:rFonts w:ascii="Times New Roman" w:hAnsi="Times New Roman" w:eastAsia="宋体"/>
          <w:b/>
          <w:i w:val="0"/>
          <w:sz w:val="22"/>
        </w:rPr>
        <w:t>收敛条件</w:t>
      </w:r>
      <w:r>
        <w:rPr>
          <w:rFonts w:ascii="Times New Roman" w:hAnsi="Times New Roman" w:eastAsia="宋体"/>
          <w:b w:val="0"/>
          <w:i w:val="0"/>
          <w:sz w:val="22"/>
        </w:rPr>
        <w:t>：次梯度算法在步长满足Σ α_k = ∞且Σ α_k^2 &lt; ∞时收敛到最优解。</w:t>
      </w:r>
    </w:p>
    <w:p>
      <w:pPr>
        <w:spacing w:line="360" w:lineRule="auto" w:after="0"/>
        <w:ind w:firstLine="425"/>
      </w:pPr>
      <w:r>
        <w:rPr>
          <w:rFonts w:ascii="Times New Roman" w:hAnsi="Times New Roman" w:eastAsia="宋体"/>
          <w:b/>
          <w:i w:val="0"/>
          <w:sz w:val="22"/>
        </w:rPr>
        <w:t>收敛速率</w:t>
      </w:r>
      <w:r>
        <w:rPr>
          <w:rFonts w:ascii="Times New Roman" w:hAnsi="Times New Roman" w:eastAsia="宋体"/>
          <w:b w:val="0"/>
          <w:i w:val="0"/>
          <w:sz w:val="22"/>
        </w:rPr>
        <w:t>：O(1/√(k))，比梯度下降的O(1/k)慢。加速次梯度方法可以达到O(1/k)。</w:t>
      </w:r>
    </w:p>
    <w:p>
      <w:pPr>
        <w:spacing w:line="360" w:lineRule="auto" w:after="0"/>
        <w:ind w:firstLine="425"/>
      </w:pPr>
      <w:r>
        <w:rPr>
          <w:rFonts w:ascii="Times New Roman" w:hAnsi="Times New Roman" w:eastAsia="宋体"/>
          <w:b/>
          <w:i w:val="0"/>
          <w:sz w:val="22"/>
        </w:rPr>
        <w:t>步长选择</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递减步长：α_k = c/√(k)，保证收敛但初期可能过慢</w:t>
      </w:r>
    </w:p>
    <w:p>
      <w:pPr>
        <w:pStyle w:val="ListBullet"/>
        <w:spacing w:line="360" w:lineRule="auto" w:after="0"/>
      </w:pPr>
      <w:r>
        <w:rPr>
          <w:rFonts w:ascii="Times New Roman" w:hAnsi="Times New Roman" w:eastAsia="宋体"/>
          <w:b w:val="0"/>
          <w:i w:val="0"/>
          <w:sz w:val="22"/>
        </w:rPr>
        <w:t>恒定步长：α_k = α，收敛到最优解的邻域（非精确收敛）</w:t>
      </w:r>
    </w:p>
    <w:p>
      <w:pPr>
        <w:pStyle w:val="ListBullet"/>
        <w:spacing w:line="360" w:lineRule="auto" w:after="0"/>
      </w:pPr>
      <w:r>
        <w:rPr>
          <w:rFonts w:ascii="Times New Roman" w:hAnsi="Times New Roman" w:eastAsia="宋体"/>
          <w:b w:val="0"/>
          <w:i w:val="0"/>
          <w:sz w:val="22"/>
        </w:rPr>
        <w:t>Polyak步长：α_k = fracf(x_k) - f_best g_k ^2，利用已知的最优值信息</w:t>
      </w:r>
    </w:p>
    <w:p>
      <w:pPr>
        <w:pStyle w:val="Heading3"/>
        <w:spacing w:before="160" w:after="60"/>
      </w:pPr>
      <w:r>
        <w:rPr>
          <w:rFonts w:ascii="Times New Roman" w:hAnsi="Times New Roman" w:eastAsia="黑体"/>
          <w:b/>
          <w:i w:val="0"/>
          <w:sz w:val="24"/>
        </w:rPr>
        <w:t>在线凸优化的应用</w:t>
      </w:r>
    </w:p>
    <w:p>
      <w:pPr>
        <w:spacing w:line="360" w:lineRule="auto" w:after="0"/>
        <w:ind w:firstLine="425"/>
      </w:pPr>
      <w:r>
        <w:rPr>
          <w:rFonts w:ascii="Times New Roman" w:hAnsi="Times New Roman" w:eastAsia="宋体"/>
          <w:b w:val="0"/>
          <w:i w:val="0"/>
          <w:sz w:val="22"/>
        </w:rPr>
        <w:t>在线凸优化（OCO）框架适合实时定价的动态特性：</w:t>
      </w:r>
    </w:p>
    <w:p>
      <w:pPr>
        <w:spacing w:line="360" w:lineRule="auto" w:after="0"/>
        <w:ind w:firstLine="425"/>
      </w:pPr>
      <w:r>
        <w:rPr>
          <w:rFonts w:ascii="Times New Roman" w:hAnsi="Times New Roman" w:eastAsia="宋体"/>
          <w:b/>
          <w:i w:val="0"/>
          <w:sz w:val="22"/>
        </w:rPr>
        <w:t>在线梯度下降</w:t>
      </w:r>
      <w:r>
        <w:rPr>
          <w:rFonts w:ascii="Times New Roman" w:hAnsi="Times New Roman" w:eastAsia="宋体"/>
          <w:b w:val="0"/>
          <w:i w:val="0"/>
          <w:sz w:val="22"/>
        </w:rPr>
        <w:t>：在每个时段t，决策者观察到损失函数 ell_t并更新x_t+1 = Π_K(x_t - η ∇ ell_t(x_t))。</w:t>
      </w:r>
    </w:p>
    <w:p>
      <w:pPr>
        <w:spacing w:line="360" w:lineRule="auto" w:after="0"/>
        <w:ind w:firstLine="425"/>
      </w:pPr>
      <w:r>
        <w:rPr>
          <w:rFonts w:ascii="Times New Roman" w:hAnsi="Times New Roman" w:eastAsia="宋体"/>
          <w:b/>
          <w:i w:val="0"/>
          <w:sz w:val="22"/>
        </w:rPr>
        <w:t>后悔界</w:t>
      </w:r>
      <w:r>
        <w:rPr>
          <w:rFonts w:ascii="Times New Roman" w:hAnsi="Times New Roman" w:eastAsia="宋体"/>
          <w:b w:val="0"/>
          <w:i w:val="0"/>
          <w:sz w:val="22"/>
        </w:rPr>
        <w:t>：OCO算法的性能通过后悔度量：R_T = Σ_t=1^T ell_t(x_t) - min_x Σ_t=1^T ell_t(x)。对于凸损失，OGD的后悔界为O(√(T))。</w:t>
      </w:r>
    </w:p>
    <w:p>
      <w:pPr>
        <w:spacing w:line="360" w:lineRule="auto" w:after="0"/>
        <w:ind w:firstLine="425"/>
      </w:pPr>
      <w:r>
        <w:rPr>
          <w:rFonts w:ascii="Times New Roman" w:hAnsi="Times New Roman" w:eastAsia="宋体"/>
          <w:b/>
          <w:i w:val="0"/>
          <w:sz w:val="22"/>
        </w:rPr>
        <w:t>在定价中的含义</w:t>
      </w:r>
      <w:r>
        <w:rPr>
          <w:rFonts w:ascii="Times New Roman" w:hAnsi="Times New Roman" w:eastAsia="宋体"/>
          <w:b w:val="0"/>
          <w:i w:val="0"/>
          <w:sz w:val="22"/>
        </w:rPr>
        <w:t>：O(√(T))的后悔意味着平均后悔R_T/T → 0，即定价策略的长期平均性能趋近于事后最优固定策略。这为RTP的在线实现提供了理论保证。</w:t>
      </w:r>
    </w:p>
    <w:p>
      <w:pPr>
        <w:pStyle w:val="Heading3"/>
        <w:spacing w:before="160" w:after="60"/>
      </w:pPr>
      <w:r>
        <w:rPr>
          <w:rFonts w:ascii="Times New Roman" w:hAnsi="Times New Roman" w:eastAsia="黑体"/>
          <w:b/>
          <w:i w:val="0"/>
          <w:sz w:val="24"/>
        </w:rPr>
        <w:t>优化算法的并行化</w:t>
      </w:r>
    </w:p>
    <w:p>
      <w:pPr>
        <w:spacing w:line="360" w:lineRule="auto" w:after="0"/>
        <w:ind w:firstLine="425"/>
      </w:pPr>
      <w:r>
        <w:rPr>
          <w:rFonts w:ascii="Times New Roman" w:hAnsi="Times New Roman" w:eastAsia="宋体"/>
          <w:b w:val="0"/>
          <w:i w:val="0"/>
          <w:sz w:val="22"/>
        </w:rPr>
        <w:t>大规模实时定价问题的求解需要并行化：</w:t>
      </w:r>
    </w:p>
    <w:p>
      <w:pPr>
        <w:spacing w:line="360" w:lineRule="auto" w:after="0"/>
        <w:ind w:firstLine="425"/>
      </w:pPr>
      <w:r>
        <w:rPr>
          <w:rFonts w:ascii="Times New Roman" w:hAnsi="Times New Roman" w:eastAsia="宋体"/>
          <w:b/>
          <w:i w:val="0"/>
          <w:sz w:val="22"/>
        </w:rPr>
        <w:t>数据并行</w:t>
      </w:r>
      <w:r>
        <w:rPr>
          <w:rFonts w:ascii="Times New Roman" w:hAnsi="Times New Roman" w:eastAsia="宋体"/>
          <w:b w:val="0"/>
          <w:i w:val="0"/>
          <w:sz w:val="22"/>
        </w:rPr>
        <w:t>：将用户数据分片到不同计算节点，每个节点处理一部分用户的子问题。适用于分布式算法（对偶分解、ADMM）。</w:t>
      </w:r>
    </w:p>
    <w:p>
      <w:pPr>
        <w:spacing w:line="360" w:lineRule="auto" w:after="0"/>
        <w:ind w:firstLine="425"/>
      </w:pPr>
      <w:r>
        <w:rPr>
          <w:rFonts w:ascii="Times New Roman" w:hAnsi="Times New Roman" w:eastAsia="宋体"/>
          <w:b/>
          <w:i w:val="0"/>
          <w:sz w:val="22"/>
        </w:rPr>
        <w:t>模型并行</w:t>
      </w:r>
      <w:r>
        <w:rPr>
          <w:rFonts w:ascii="Times New Roman" w:hAnsi="Times New Roman" w:eastAsia="宋体"/>
          <w:b w:val="0"/>
          <w:i w:val="0"/>
          <w:sz w:val="22"/>
        </w:rPr>
        <w:t>：将优化问题的变量和约束分片到不同节点。适用于大规模内点法。</w:t>
      </w:r>
    </w:p>
    <w:p>
      <w:pPr>
        <w:spacing w:line="360" w:lineRule="auto" w:after="0"/>
        <w:ind w:firstLine="425"/>
      </w:pPr>
      <w:r>
        <w:rPr>
          <w:rFonts w:ascii="Times New Roman" w:hAnsi="Times New Roman" w:eastAsia="宋体"/>
          <w:b/>
          <w:i w:val="0"/>
          <w:sz w:val="22"/>
        </w:rPr>
        <w:t>GPU加速</w:t>
      </w:r>
      <w:r>
        <w:rPr>
          <w:rFonts w:ascii="Times New Roman" w:hAnsi="Times New Roman" w:eastAsia="宋体"/>
          <w:b w:val="0"/>
          <w:i w:val="0"/>
          <w:sz w:val="22"/>
        </w:rPr>
        <w:t>：利用GPU的并行计算能力加速矩阵运算。特别是深度强化学习的训练过程受益于GPU加速。</w:t>
      </w:r>
    </w:p>
    <w:p>
      <w:pPr>
        <w:spacing w:line="360" w:lineRule="auto" w:after="0"/>
        <w:ind w:firstLine="425"/>
      </w:pPr>
      <w:r>
        <w:rPr>
          <w:rFonts w:ascii="Times New Roman" w:hAnsi="Times New Roman" w:eastAsia="宋体"/>
          <w:b/>
          <w:i w:val="0"/>
          <w:sz w:val="22"/>
        </w:rPr>
        <w:t>分布式计算框架</w:t>
      </w:r>
      <w:r>
        <w:rPr>
          <w:rFonts w:ascii="Times New Roman" w:hAnsi="Times New Roman" w:eastAsia="宋体"/>
          <w:b w:val="0"/>
          <w:i w:val="0"/>
          <w:sz w:val="22"/>
        </w:rPr>
        <w:t>：Spark、Ray等分布式计算框架可以支撑大规模实时定价的在线计算。</w:t>
      </w:r>
    </w:p>
    <w:p>
      <w:pPr>
        <w:pStyle w:val="Heading3"/>
        <w:spacing w:before="160" w:after="60"/>
      </w:pPr>
      <w:r>
        <w:rPr>
          <w:rFonts w:ascii="Times New Roman" w:hAnsi="Times New Roman" w:eastAsia="黑体"/>
          <w:b/>
          <w:i w:val="0"/>
          <w:sz w:val="24"/>
        </w:rPr>
        <w:t>算法的工程实现考量</w:t>
      </w:r>
    </w:p>
    <w:p>
      <w:pPr>
        <w:spacing w:line="360" w:lineRule="auto" w:after="0"/>
        <w:ind w:firstLine="425"/>
      </w:pPr>
      <w:r>
        <w:rPr>
          <w:rFonts w:ascii="Times New Roman" w:hAnsi="Times New Roman" w:eastAsia="宋体"/>
          <w:b w:val="0"/>
          <w:i w:val="0"/>
          <w:sz w:val="22"/>
        </w:rPr>
        <w:t>从算法理论到工程实现需要考虑以下问题：</w:t>
      </w:r>
    </w:p>
    <w:p>
      <w:pPr>
        <w:spacing w:line="360" w:lineRule="auto" w:after="0"/>
        <w:ind w:firstLine="425"/>
      </w:pPr>
      <w:r>
        <w:rPr>
          <w:rFonts w:ascii="Times New Roman" w:hAnsi="Times New Roman" w:eastAsia="宋体"/>
          <w:b/>
          <w:i w:val="0"/>
          <w:sz w:val="22"/>
        </w:rPr>
        <w:t>数值精度</w:t>
      </w:r>
      <w:r>
        <w:rPr>
          <w:rFonts w:ascii="Times New Roman" w:hAnsi="Times New Roman" w:eastAsia="宋体"/>
          <w:b w:val="0"/>
          <w:i w:val="0"/>
          <w:sz w:val="22"/>
        </w:rPr>
        <w:t>：浮点运算的精度损失可能在迭代过程中累积。双精度浮点是RTP求解的基本要求。</w:t>
      </w:r>
    </w:p>
    <w:p>
      <w:pPr>
        <w:spacing w:line="360" w:lineRule="auto" w:after="0"/>
        <w:ind w:firstLine="425"/>
      </w:pPr>
      <w:r>
        <w:rPr>
          <w:rFonts w:ascii="Times New Roman" w:hAnsi="Times New Roman" w:eastAsia="宋体"/>
          <w:b/>
          <w:i w:val="0"/>
          <w:sz w:val="22"/>
        </w:rPr>
        <w:t>内存管理</w:t>
      </w:r>
      <w:r>
        <w:rPr>
          <w:rFonts w:ascii="Times New Roman" w:hAnsi="Times New Roman" w:eastAsia="宋体"/>
          <w:b w:val="0"/>
          <w:i w:val="0"/>
          <w:sz w:val="22"/>
        </w:rPr>
        <w:t>：大规模问题的雅可比矩阵可能超过单机内存。稀疏矩阵存储和分块计算可以缓解这一问题。</w:t>
      </w:r>
    </w:p>
    <w:p>
      <w:pPr>
        <w:spacing w:line="360" w:lineRule="auto" w:after="0"/>
        <w:ind w:firstLine="425"/>
      </w:pPr>
      <w:r>
        <w:rPr>
          <w:rFonts w:ascii="Times New Roman" w:hAnsi="Times New Roman" w:eastAsia="宋体"/>
          <w:b/>
          <w:i w:val="0"/>
          <w:sz w:val="22"/>
        </w:rPr>
        <w:t>实时性保障</w:t>
      </w:r>
      <w:r>
        <w:rPr>
          <w:rFonts w:ascii="Times New Roman" w:hAnsi="Times New Roman" w:eastAsia="宋体"/>
          <w:b w:val="0"/>
          <w:i w:val="0"/>
          <w:sz w:val="22"/>
        </w:rPr>
        <w:t>：定价算法必须在定价周期内完成。需要设置计算时间上限，超时则使用上一次的结果。</w:t>
      </w:r>
    </w:p>
    <w:p>
      <w:pPr>
        <w:spacing w:line="360" w:lineRule="auto" w:after="0"/>
        <w:ind w:firstLine="425"/>
      </w:pPr>
      <w:r>
        <w:rPr>
          <w:rFonts w:ascii="Times New Roman" w:hAnsi="Times New Roman" w:eastAsia="宋体"/>
          <w:b/>
          <w:i w:val="0"/>
          <w:sz w:val="22"/>
        </w:rPr>
        <w:t>日志与监控</w:t>
      </w:r>
      <w:r>
        <w:rPr>
          <w:rFonts w:ascii="Times New Roman" w:hAnsi="Times New Roman" w:eastAsia="宋体"/>
          <w:b w:val="0"/>
          <w:i w:val="0"/>
          <w:sz w:val="22"/>
        </w:rPr>
        <w:t>：记录算法的迭代过程、收敛状态和计算时间，便于调试和性能分析。</w:t>
      </w:r>
    </w:p>
    <w:p>
      <w:pPr>
        <w:spacing w:line="360" w:lineRule="auto" w:after="0"/>
        <w:ind w:firstLine="425"/>
      </w:pPr>
      <w:r>
        <w:rPr>
          <w:rFonts w:ascii="Times New Roman" w:hAnsi="Times New Roman" w:eastAsia="宋体"/>
          <w:b/>
          <w:i w:val="0"/>
          <w:sz w:val="22"/>
        </w:rPr>
        <w:t>异常处理</w:t>
      </w:r>
      <w:r>
        <w:rPr>
          <w:rFonts w:ascii="Times New Roman" w:hAnsi="Times New Roman" w:eastAsia="宋体"/>
          <w:b w:val="0"/>
          <w:i w:val="0"/>
          <w:sz w:val="22"/>
        </w:rPr>
        <w:t>：当算法不收敛或产生异常结果时，需要有降级策略（如回退到TOU）。</w:t>
      </w:r>
    </w:p>
    <w:p>
      <w:pPr>
        <w:pStyle w:val="Heading2"/>
        <w:spacing w:before="240" w:after="80"/>
      </w:pPr>
      <w:r>
        <w:rPr>
          <w:rFonts w:ascii="Times New Roman" w:hAnsi="Times New Roman" w:eastAsia="黑体"/>
          <w:b/>
          <w:i w:val="0"/>
          <w:sz w:val="28"/>
        </w:rPr>
        <w:t>7.11 强化学习在实时定价中的前沿进展</w:t>
      </w:r>
    </w:p>
    <w:p>
      <w:pPr>
        <w:pStyle w:val="Heading3"/>
        <w:spacing w:before="160" w:after="60"/>
      </w:pPr>
      <w:r>
        <w:rPr>
          <w:rFonts w:ascii="Times New Roman" w:hAnsi="Times New Roman" w:eastAsia="黑体"/>
          <w:b/>
          <w:i w:val="0"/>
          <w:sz w:val="24"/>
        </w:rPr>
        <w:t>多智能体强化学习的定价框架</w:t>
      </w:r>
    </w:p>
    <w:p>
      <w:pPr>
        <w:spacing w:line="360" w:lineRule="auto" w:after="0"/>
        <w:ind w:firstLine="425"/>
      </w:pPr>
      <w:r>
        <w:rPr>
          <w:rFonts w:ascii="Times New Roman" w:hAnsi="Times New Roman" w:eastAsia="宋体"/>
          <w:b w:val="0"/>
          <w:i w:val="0"/>
          <w:sz w:val="22"/>
        </w:rPr>
        <w:t>多智能体强化学习（MARL）为多参与者实时定价提供了自然建模框架。在智能电网中，多个供电方、 aggregator和用户群体可以分别建模为独立智能体，每个智能体根据自身观测（局部电价、负荷状态等）选择策略（报价、用电计划等），通过环境交互学习最优策略。</w:t>
      </w:r>
    </w:p>
    <w:p>
      <w:pPr>
        <w:spacing w:line="360" w:lineRule="auto" w:after="0"/>
        <w:ind w:firstLine="425"/>
      </w:pPr>
      <w:r>
        <w:rPr>
          <w:rFonts w:ascii="Times New Roman" w:hAnsi="Times New Roman" w:eastAsia="宋体"/>
          <w:b w:val="0"/>
          <w:i w:val="0"/>
          <w:sz w:val="22"/>
        </w:rPr>
        <w:t>独立Q学习（IQL）是最简单的MARL方法，各智能体独立学习自身的Q函数，忽略其他智能体的存在。这种方法在智能体数量较少且交互弱时表现良好，但在强耦合环境下可能无法收敛。联合动作学习（JAL）将所有智能体的联合动作作为状态空间，理论上更精确但面临维度灾难。</w:t>
      </w:r>
    </w:p>
    <w:p>
      <w:pPr>
        <w:spacing w:line="360" w:lineRule="auto" w:after="0"/>
        <w:ind w:firstLine="425"/>
      </w:pPr>
      <w:r>
        <w:rPr>
          <w:rFonts w:ascii="Times New Roman" w:hAnsi="Times New Roman" w:eastAsia="宋体"/>
          <w:b w:val="0"/>
          <w:i w:val="0"/>
          <w:sz w:val="22"/>
        </w:rPr>
        <w:t>深度确定性策略梯度（DDPG）及其多智能体扩展（MADDPG）通过集中训练分散执行（CTDE）范式缓解了非平稳性问题。训练阶段，每个智能体的评论家网络可以访问所有智能体的动作和观测信息；执行阶段，每个智能体的演员网络仅依赖本地观测。这一范式在实时定价中的应用使得各参与者可以在保护隐私的前提下实现协调优化。</w:t>
      </w:r>
    </w:p>
    <w:p>
      <w:pPr>
        <w:spacing w:line="360" w:lineRule="auto" w:after="0"/>
        <w:ind w:firstLine="425"/>
      </w:pPr>
      <w:r>
        <w:rPr>
          <w:rFonts w:ascii="Times New Roman" w:hAnsi="Times New Roman" w:eastAsia="宋体"/>
          <w:b w:val="0"/>
          <w:i w:val="0"/>
          <w:sz w:val="22"/>
        </w:rPr>
        <w:t>MAPPO（Multi-Agent PPO）是近年来表现优异的MARL算法，通过共享全局状态信息和中心化评论家实现高效训练。在区域电力市场的多区域定价协调中，MAPPO已经展现出优于传统优化方法的性能，特别是在处理大规模不确定性和复杂约束方面。</w:t>
      </w:r>
    </w:p>
    <w:p>
      <w:pPr>
        <w:pStyle w:val="Heading3"/>
        <w:spacing w:before="160" w:after="60"/>
      </w:pPr>
      <w:r>
        <w:rPr>
          <w:rFonts w:ascii="Times New Roman" w:hAnsi="Times New Roman" w:eastAsia="黑体"/>
          <w:b/>
          <w:i w:val="0"/>
          <w:sz w:val="24"/>
        </w:rPr>
        <w:t>安全强化学习与约束处理</w:t>
      </w:r>
    </w:p>
    <w:p>
      <w:pPr>
        <w:spacing w:line="360" w:lineRule="auto" w:after="0"/>
        <w:ind w:firstLine="425"/>
      </w:pPr>
      <w:r>
        <w:rPr>
          <w:rFonts w:ascii="Times New Roman" w:hAnsi="Times New Roman" w:eastAsia="宋体"/>
          <w:b w:val="0"/>
          <w:i w:val="0"/>
          <w:sz w:val="22"/>
        </w:rPr>
        <w:t>实时定价中的强化学习必须满足安全约束：电价不能超过用户承受上限、系统频率和电压必须维持在安全范围、发电机出力不能超过物理容量。标准强化学习算法无法直接处理这些硬约束，需要引入安全强化学习技术。</w:t>
      </w:r>
    </w:p>
    <w:p>
      <w:pPr>
        <w:spacing w:line="360" w:lineRule="auto" w:after="0"/>
        <w:ind w:firstLine="425"/>
      </w:pPr>
      <w:r>
        <w:rPr>
          <w:rFonts w:ascii="Times New Roman" w:hAnsi="Times New Roman" w:eastAsia="宋体"/>
          <w:b w:val="0"/>
          <w:i w:val="0"/>
          <w:sz w:val="22"/>
        </w:rPr>
        <w:t>约束马尔可夫决策过程（CMDP）将约束嵌入MDP框架，在最大化期望累积奖励的同时确保累积成本（约束违反的度量）不超过阈值。拉格朗日方法将约束转化为目标函数中的惩罚项，通过拉格朗日乘子的对偶更新来调节惩罚强度。这种方法概念简单但可能收敛缓慢。</w:t>
      </w:r>
    </w:p>
    <w:p>
      <w:pPr>
        <w:spacing w:line="360" w:lineRule="auto" w:after="0"/>
        <w:ind w:firstLine="425"/>
      </w:pPr>
      <w:r>
        <w:rPr>
          <w:rFonts w:ascii="Times New Roman" w:hAnsi="Times New Roman" w:eastAsia="宋体"/>
          <w:b w:val="0"/>
          <w:i w:val="0"/>
          <w:sz w:val="22"/>
        </w:rPr>
        <w:t>shielded RL方法在策略执行层面引入安全屏蔽机制：当智能体的动作可能导致约束违反时，屏蔽器将该动作替换为安全动作。这种方法可以保证运行时安全，但可能影响策略的最优性。在实时定价中，shield可以基于潮流计算和安全约束来过滤不安全的定价决策。</w:t>
      </w:r>
    </w:p>
    <w:p>
      <w:pPr>
        <w:pStyle w:val="Heading3"/>
        <w:spacing w:before="160" w:after="60"/>
      </w:pPr>
      <w:r>
        <w:rPr>
          <w:rFonts w:ascii="Times New Roman" w:hAnsi="Times New Roman" w:eastAsia="黑体"/>
          <w:b/>
          <w:i w:val="0"/>
          <w:sz w:val="24"/>
        </w:rPr>
        <w:t>迁移学习与跨域泛化</w:t>
      </w:r>
    </w:p>
    <w:p>
      <w:pPr>
        <w:spacing w:line="360" w:lineRule="auto" w:after="0"/>
        <w:ind w:firstLine="425"/>
      </w:pPr>
      <w:r>
        <w:rPr>
          <w:rFonts w:ascii="Times New Roman" w:hAnsi="Times New Roman" w:eastAsia="宋体"/>
          <w:b w:val="0"/>
          <w:i w:val="0"/>
          <w:sz w:val="22"/>
        </w:rPr>
        <w:t>实时定价的强化学习模型通常在特定电网环境下训练，难以直接迁移到不同电网。迁移学习通过源域到目标域的知识转移，减少目标域所需的训练数据和训练时间。</w:t>
      </w:r>
    </w:p>
    <w:p>
      <w:pPr>
        <w:spacing w:line="360" w:lineRule="auto" w:after="0"/>
        <w:ind w:firstLine="425"/>
      </w:pPr>
      <w:r>
        <w:rPr>
          <w:rFonts w:ascii="Times New Roman" w:hAnsi="Times New Roman" w:eastAsia="宋体"/>
          <w:b w:val="0"/>
          <w:i w:val="0"/>
          <w:sz w:val="22"/>
        </w:rPr>
        <w:t>领域适应方法通过学习源域和目标域之间的映射关系，使源域训练的策略在目标域也能有效。在实时定价中，不同地区的负荷模式、可再生能源出力特征和用户行为可能不同，但价格-需求的物理规律是相似的。基于物理不变量的迁移方法可以提取这些不变特征，实现跨域泛化。</w:t>
      </w:r>
    </w:p>
    <w:p>
      <w:pPr>
        <w:spacing w:line="360" w:lineRule="auto" w:after="0"/>
        <w:ind w:firstLine="425"/>
      </w:pPr>
      <w:r>
        <w:rPr>
          <w:rFonts w:ascii="Times New Roman" w:hAnsi="Times New Roman" w:eastAsia="宋体"/>
          <w:b w:val="0"/>
          <w:i w:val="0"/>
          <w:sz w:val="22"/>
        </w:rPr>
        <w:t>元学习（Learning to Learn）方法训练一个能够快速适应新任务的元策略。在实时定价中，元学习可以使定价算法在新电网环境中快速收敛，仅需少量交互数据即可达到合理性能。MAML（Model-Agnostic Meta-Learning）和Reptile是两种代表性的元学习算法。</w:t>
      </w:r>
    </w:p>
    <w:p>
      <w:pPr>
        <w:pStyle w:val="Heading3"/>
        <w:spacing w:before="160" w:after="60"/>
      </w:pPr>
      <w:r>
        <w:rPr>
          <w:rFonts w:ascii="Times New Roman" w:hAnsi="Times New Roman" w:eastAsia="黑体"/>
          <w:b/>
          <w:i w:val="0"/>
          <w:sz w:val="24"/>
        </w:rPr>
        <w:t>深度强化学习的可解释性</w:t>
      </w:r>
    </w:p>
    <w:p>
      <w:pPr>
        <w:spacing w:line="360" w:lineRule="auto" w:after="0"/>
        <w:ind w:firstLine="425"/>
      </w:pPr>
      <w:r>
        <w:rPr>
          <w:rFonts w:ascii="Times New Roman" w:hAnsi="Times New Roman" w:eastAsia="宋体"/>
          <w:b w:val="0"/>
          <w:i w:val="0"/>
          <w:sz w:val="22"/>
        </w:rPr>
        <w:t>深度强化学习模型通常被视为黑箱，其决策逻辑难以解释，这在电力市场这种高可靠性要求的场景中是重大障碍。可解释AI（XAI）技术在实时定价中的应用包括：</w:t>
      </w:r>
    </w:p>
    <w:p>
      <w:pPr>
        <w:spacing w:line="360" w:lineRule="auto" w:after="0"/>
        <w:ind w:firstLine="425"/>
      </w:pPr>
      <w:r>
        <w:rPr>
          <w:rFonts w:ascii="Times New Roman" w:hAnsi="Times New Roman" w:eastAsia="宋体"/>
          <w:b w:val="0"/>
          <w:i w:val="0"/>
          <w:sz w:val="22"/>
        </w:rPr>
        <w:t>注意力机制可以揭示模型关注哪些输入特征（如哪些历史价格、哪些负荷指标），为决策提供直观解释。SHAP值分析可以量化各输入特征对定价决策的贡献度，帮助运营人员理解模型行为。反事实分析通过回答"如果某输入不同，价格会如何变化"来揭示模型的因果逻辑。</w:t>
      </w:r>
    </w:p>
    <w:p>
      <w:pPr>
        <w:spacing w:line="360" w:lineRule="auto" w:after="0"/>
        <w:ind w:firstLine="425"/>
      </w:pPr>
      <w:r>
        <w:rPr>
          <w:rFonts w:ascii="Times New Roman" w:hAnsi="Times New Roman" w:eastAsia="宋体"/>
          <w:b w:val="0"/>
          <w:i w:val="0"/>
          <w:sz w:val="22"/>
        </w:rPr>
        <w:t>规则提取方法从训练好的深度模型中提取人类可理解的决策规则。这些规则虽然精度不如原始模型，但可以作为安全检查和审计工具。在实时定价系统中，规则提取可以帮助监管机构验证定价算法的公平性和合理性。</w:t>
      </w:r>
    </w:p>
    <w:p>
      <w:pPr>
        <w:pStyle w:val="Heading2"/>
        <w:spacing w:before="240" w:after="80"/>
      </w:pPr>
      <w:r>
        <w:rPr>
          <w:rFonts w:ascii="Times New Roman" w:hAnsi="Times New Roman" w:eastAsia="黑体"/>
          <w:b/>
          <w:i w:val="0"/>
          <w:sz w:val="28"/>
        </w:rPr>
        <w:t>7.12 实际应用案例分析</w:t>
      </w:r>
    </w:p>
    <w:p>
      <w:pPr>
        <w:pStyle w:val="Heading3"/>
        <w:spacing w:before="160" w:after="60"/>
      </w:pPr>
      <w:r>
        <w:rPr>
          <w:rFonts w:ascii="Times New Roman" w:hAnsi="Times New Roman" w:eastAsia="黑体"/>
          <w:b/>
          <w:i w:val="0"/>
          <w:sz w:val="24"/>
        </w:rPr>
        <w:t>Google DeepMind在数据中心的能源优化</w:t>
      </w:r>
    </w:p>
    <w:p>
      <w:pPr>
        <w:spacing w:line="360" w:lineRule="auto" w:after="0"/>
        <w:ind w:firstLine="425"/>
      </w:pPr>
      <w:r>
        <w:rPr>
          <w:rFonts w:ascii="Times New Roman" w:hAnsi="Times New Roman" w:eastAsia="宋体"/>
          <w:b w:val="0"/>
          <w:i w:val="0"/>
          <w:sz w:val="22"/>
        </w:rPr>
        <w:t>Google的DeepMind团队将强化学习应用于数据中心的冷却系统优化，实现了40%的冷却能耗降低。虽然这一应用并非直接针对电力定价，但其方法论对实时定价具有重要启示：强化学习可以处理复杂系统中的多变量优化问题，且能够发现人类专家难以发现的优化策略。</w:t>
      </w:r>
    </w:p>
    <w:p>
      <w:pPr>
        <w:spacing w:line="360" w:lineRule="auto" w:after="0"/>
        <w:ind w:firstLine="425"/>
      </w:pPr>
      <w:r>
        <w:rPr>
          <w:rFonts w:ascii="Times New Roman" w:hAnsi="Times New Roman" w:eastAsia="宋体"/>
          <w:b w:val="0"/>
          <w:i w:val="0"/>
          <w:sz w:val="22"/>
        </w:rPr>
        <w:t>数据中心是电力大用户，其用电模式具有高度灵活性（计算任务可以在不同数据中心间迁移）。将数据中心的计算负载调度与实时电价相结合，通过强化学习优化计算任务的空间和时间分配，可以在不增加总计算量的情况下显著降低电力成本。这一应用场景展示了实时定价与人工智能技术结合的巨大潜力。</w:t>
      </w:r>
    </w:p>
    <w:p>
      <w:pPr>
        <w:pStyle w:val="Heading3"/>
        <w:spacing w:before="160" w:after="60"/>
      </w:pPr>
      <w:r>
        <w:rPr>
          <w:rFonts w:ascii="Times New Roman" w:hAnsi="Times New Roman" w:eastAsia="黑体"/>
          <w:b/>
          <w:i w:val="0"/>
          <w:sz w:val="24"/>
        </w:rPr>
        <w:t>澳大利亚Hornsdale储能项目的定价参与</w:t>
      </w:r>
    </w:p>
    <w:p>
      <w:pPr>
        <w:spacing w:line="360" w:lineRule="auto" w:after="0"/>
        <w:ind w:firstLine="425"/>
      </w:pPr>
      <w:r>
        <w:rPr>
          <w:rFonts w:ascii="Times New Roman" w:hAnsi="Times New Roman" w:eastAsia="宋体"/>
          <w:b w:val="0"/>
          <w:i w:val="0"/>
          <w:sz w:val="22"/>
        </w:rPr>
        <w:t>Hornsdale Power Reserve（特斯拉大电池）是南澳大利亚的大型锂离子储能设施，自2017年投入运营以来通过参与频率控制和能量套利市场获得了显著收益。该项目展示了储能设施在实时定价中的多重角色：作为快速响应资源提供辅助服务、作为能量缓冲实现峰谷套利、作为容量备用提供可靠性保障。</w:t>
      </w:r>
    </w:p>
    <w:p>
      <w:pPr>
        <w:spacing w:line="360" w:lineRule="auto" w:after="0"/>
        <w:ind w:firstLine="425"/>
      </w:pPr>
      <w:r>
        <w:rPr>
          <w:rFonts w:ascii="Times New Roman" w:hAnsi="Times New Roman" w:eastAsia="宋体"/>
          <w:b w:val="0"/>
          <w:i w:val="0"/>
          <w:sz w:val="22"/>
        </w:rPr>
        <w:t>Hornsdale的经验表明，大型储能的参与可以显著降低实时市场的价格波动性。在其投入运营的第一年，南澳大利亚市场的频率控制辅助服务（FCAS）成本下降了约75%。这一案例为储能参与实时定价的商业模式设计提供了实证支持。</w:t>
      </w:r>
    </w:p>
    <w:p>
      <w:pPr>
        <w:pStyle w:val="Heading2"/>
        <w:spacing w:before="240" w:after="80"/>
      </w:pPr>
      <w:r>
        <w:rPr>
          <w:rFonts w:ascii="Times New Roman" w:hAnsi="Times New Roman" w:eastAsia="黑体"/>
          <w:b/>
          <w:i w:val="0"/>
          <w:sz w:val="28"/>
        </w:rPr>
        <w:t>7.13 强化学习算法的实验设计与评估</w:t>
      </w:r>
    </w:p>
    <w:p>
      <w:pPr>
        <w:pStyle w:val="Heading3"/>
        <w:spacing w:before="160" w:after="60"/>
      </w:pPr>
      <w:r>
        <w:rPr>
          <w:rFonts w:ascii="Times New Roman" w:hAnsi="Times New Roman" w:eastAsia="黑体"/>
          <w:b/>
          <w:i w:val="0"/>
          <w:sz w:val="24"/>
        </w:rPr>
        <w:t>仿真环境与基准测试</w:t>
      </w:r>
    </w:p>
    <w:p>
      <w:pPr>
        <w:spacing w:line="360" w:lineRule="auto" w:after="0"/>
        <w:ind w:firstLine="425"/>
      </w:pPr>
      <w:r>
        <w:rPr>
          <w:rFonts w:ascii="Times New Roman" w:hAnsi="Times New Roman" w:eastAsia="宋体"/>
          <w:b w:val="0"/>
          <w:i w:val="0"/>
          <w:sz w:val="22"/>
        </w:rPr>
        <w:t>强化学习算法的评估需要可靠的仿真环境。OpenAI Gym风格的环境接口已经被电力系统AI社区广泛采纳，使得不同算法之间的公平比较成为可能。GridLAB-D和OpenDSS是两种常用的电力系统仿真引擎，前者侧重于配电系统详细建模，后者侧重于潮流计算。</w:t>
      </w:r>
    </w:p>
    <w:p>
      <w:pPr>
        <w:spacing w:line="360" w:lineRule="auto" w:after="0"/>
        <w:ind w:firstLine="425"/>
      </w:pPr>
      <w:r>
        <w:rPr>
          <w:rFonts w:ascii="Times New Roman" w:hAnsi="Times New Roman" w:eastAsia="宋体"/>
          <w:b w:val="0"/>
          <w:i w:val="0"/>
          <w:sz w:val="22"/>
        </w:rPr>
        <w:t>Gym-PowerGrid和MAML-Power等开源框架为实时定价的强化学习研究提供了标准化的仿真环境。这些环境将电力系统仿真封装为标准的MDP接口：状态空间包括当前电价、负荷水平、可再生能源出力等；动作空间为电价设定；奖励函数通常定义为社会福利或供电方利润。</w:t>
      </w:r>
    </w:p>
    <w:p>
      <w:pPr>
        <w:spacing w:line="360" w:lineRule="auto" w:after="0"/>
        <w:ind w:firstLine="425"/>
      </w:pPr>
      <w:r>
        <w:rPr>
          <w:rFonts w:ascii="Times New Roman" w:hAnsi="Times New Roman" w:eastAsia="宋体"/>
          <w:b w:val="0"/>
          <w:i w:val="0"/>
          <w:sz w:val="22"/>
        </w:rPr>
        <w:t>基准测试集的设计需要覆盖多样化的场景：不同规模的电网（从6节点到数千节点）、不同可再生能源渗透率（从0%到100%）、不同负荷特性（居民、商业、工业）、不同季节和天气条件。全面的基准测试集可以揭示算法的适用范围和局限性，避免在特定场景上的过拟合。</w:t>
      </w:r>
    </w:p>
    <w:p>
      <w:pPr>
        <w:pStyle w:val="Heading3"/>
        <w:spacing w:before="160" w:after="60"/>
      </w:pPr>
      <w:r>
        <w:rPr>
          <w:rFonts w:ascii="Times New Roman" w:hAnsi="Times New Roman" w:eastAsia="黑体"/>
          <w:b/>
          <w:i w:val="0"/>
          <w:sz w:val="24"/>
        </w:rPr>
        <w:t>算法超参数调优</w:t>
      </w:r>
    </w:p>
    <w:p>
      <w:pPr>
        <w:spacing w:line="360" w:lineRule="auto" w:after="0"/>
        <w:ind w:firstLine="425"/>
      </w:pPr>
      <w:r>
        <w:rPr>
          <w:rFonts w:ascii="Times New Roman" w:hAnsi="Times New Roman" w:eastAsia="宋体"/>
          <w:b w:val="0"/>
          <w:i w:val="0"/>
          <w:sz w:val="22"/>
        </w:rPr>
        <w:t>强化学习算法的性能对超参数选择高度敏感。学习率、折扣因子、探索率、网络结构、批次大小等超参数的最优值在不同问题中差异很大。系统化的超参数调优对于实现算法的最佳性能至关重要。</w:t>
      </w:r>
    </w:p>
    <w:p>
      <w:pPr>
        <w:spacing w:line="360" w:lineRule="auto" w:after="0"/>
        <w:ind w:firstLine="425"/>
      </w:pPr>
      <w:r>
        <w:rPr>
          <w:rFonts w:ascii="Times New Roman" w:hAnsi="Times New Roman" w:eastAsia="宋体"/>
          <w:b w:val="0"/>
          <w:i w:val="0"/>
          <w:sz w:val="22"/>
        </w:rPr>
        <w:t>网格搜索和随机搜索是两种基本的调优方法。网格搜索在预定义的参数网格上逐一评估，保证找到网格内的最优组合但计算成本高。随机搜索在参数空间中随机采样，在相同评估次数下通常优于网格搜索（特别是当某些参数比其他参数更重要时）。</w:t>
      </w:r>
    </w:p>
    <w:p>
      <w:pPr>
        <w:spacing w:line="360" w:lineRule="auto" w:after="0"/>
        <w:ind w:firstLine="425"/>
      </w:pPr>
      <w:r>
        <w:rPr>
          <w:rFonts w:ascii="Times New Roman" w:hAnsi="Times New Roman" w:eastAsia="宋体"/>
          <w:b w:val="0"/>
          <w:i w:val="0"/>
          <w:sz w:val="22"/>
        </w:rPr>
        <w:t>贝叶斯优化是更高效的调优方法，通过构建目标函数的代理模型（如高斯过程）指导下一步参数选择，利用历史评估信息减少不必要的评估。Hyperopt和Optuna是两种常用的贝叶斯优化框架，支持多种代理模型和采集函数。</w:t>
      </w:r>
    </w:p>
    <w:p>
      <w:pPr>
        <w:pStyle w:val="Heading3"/>
        <w:spacing w:before="160" w:after="60"/>
      </w:pPr>
      <w:r>
        <w:rPr>
          <w:rFonts w:ascii="Times New Roman" w:hAnsi="Times New Roman" w:eastAsia="黑体"/>
          <w:b/>
          <w:i w:val="0"/>
          <w:sz w:val="24"/>
        </w:rPr>
        <w:t>算法的可复现性挑战</w:t>
      </w:r>
    </w:p>
    <w:p>
      <w:pPr>
        <w:spacing w:line="360" w:lineRule="auto" w:after="0"/>
        <w:ind w:firstLine="425"/>
      </w:pPr>
      <w:r>
        <w:rPr>
          <w:rFonts w:ascii="Times New Roman" w:hAnsi="Times New Roman" w:eastAsia="宋体"/>
          <w:b w:val="0"/>
          <w:i w:val="0"/>
          <w:sz w:val="22"/>
        </w:rPr>
        <w:t>强化学习实验的可复现性是学术界关注的重要问题。同一算法在不同随机种子下的性能可能差异巨大，这一现象在实时定价的强化学习中同样存在。可复现性问题的根源包括：神经网络的随机初始化、经验回放缓冲区的随机采样、探索策略的随机性、以及仿真环境中的数值噪声。</w:t>
      </w:r>
    </w:p>
    <w:p>
      <w:pPr>
        <w:spacing w:line="360" w:lineRule="auto" w:after="0"/>
        <w:ind w:firstLine="425"/>
      </w:pPr>
      <w:r>
        <w:rPr>
          <w:rFonts w:ascii="Times New Roman" w:hAnsi="Times New Roman" w:eastAsia="宋体"/>
          <w:b w:val="0"/>
          <w:i w:val="0"/>
          <w:sz w:val="22"/>
        </w:rPr>
        <w:t>提高可复现性的措施包括：固定随机种子、详细记录实验配置（包括软件版本和硬件环境）、提供完整的代码和数据。然而，过度追求可复现性可能导致算法在特定配置上的过拟合，影响泛化能力。合理的做法是报告多个随机种子下的平均性能和标准差，展示算法的统计稳健性。</w:t>
      </w:r>
    </w:p>
    <w:p>
      <w:pPr>
        <w:pStyle w:val="Heading3"/>
        <w:spacing w:before="160" w:after="60"/>
      </w:pPr>
      <w:r>
        <w:rPr>
          <w:rFonts w:ascii="Times New Roman" w:hAnsi="Times New Roman" w:eastAsia="黑体"/>
          <w:b/>
          <w:i w:val="0"/>
          <w:sz w:val="24"/>
        </w:rPr>
        <w:t>在线学习与持续适应</w:t>
      </w:r>
    </w:p>
    <w:p>
      <w:pPr>
        <w:spacing w:line="360" w:lineRule="auto" w:after="0"/>
        <w:ind w:firstLine="425"/>
      </w:pPr>
      <w:r>
        <w:rPr>
          <w:rFonts w:ascii="Times New Roman" w:hAnsi="Times New Roman" w:eastAsia="宋体"/>
          <w:b w:val="0"/>
          <w:i w:val="0"/>
          <w:sz w:val="22"/>
        </w:rPr>
        <w:t>实时定价环境是不断变化的：用户行为模式随季节变化、新设备不断接入、电网拓扑可能调整。离线训练的强化学习模型可能在环境漂移下性能退化。在线学习技术使算法能够持续适应环境变化。</w:t>
      </w:r>
    </w:p>
    <w:p>
      <w:pPr>
        <w:spacing w:line="360" w:lineRule="auto" w:after="0"/>
        <w:ind w:firstLine="425"/>
      </w:pPr>
      <w:r>
        <w:rPr>
          <w:rFonts w:ascii="Times New Roman" w:hAnsi="Times New Roman" w:eastAsia="宋体"/>
          <w:b w:val="0"/>
          <w:i w:val="0"/>
          <w:sz w:val="22"/>
        </w:rPr>
        <w:t>经验回放缓冲区的优先级排序可以提高在线学习效率。优先经验回放（PER）根据TD误差的大小对经验进行采样，使算法更频繁地从高信息量的经验中学习。在实时定价中，异常事件（如极端价格、突发负荷变化）包含的信息量最大，应该被优先学习。</w:t>
      </w:r>
    </w:p>
    <w:p>
      <w:pPr>
        <w:spacing w:line="360" w:lineRule="auto" w:after="0"/>
        <w:ind w:firstLine="425"/>
      </w:pPr>
      <w:r>
        <w:rPr>
          <w:rFonts w:ascii="Times New Roman" w:hAnsi="Times New Roman" w:eastAsia="宋体"/>
          <w:b w:val="0"/>
          <w:i w:val="0"/>
          <w:sz w:val="22"/>
        </w:rPr>
        <w:t>元强化学习方法训练一个能够快速适应新环境的元策略。当环境发生漂移时，元策略仅需要少量交互即可适应新环境。Reptile算法通过在多个相关任务上的训练获得良好的初始化参数，在新任务上通过少量梯度步骤即可达到合理性能。这种方法对于实时定价在新地区或新季节的部署特别有价值。</w:t>
      </w:r>
    </w:p>
    <w:p>
      <w:pPr>
        <w:pStyle w:val="Heading3"/>
        <w:spacing w:before="160" w:after="60"/>
      </w:pPr>
      <w:r>
        <w:rPr>
          <w:rFonts w:ascii="Times New Roman" w:hAnsi="Times New Roman" w:eastAsia="黑体"/>
          <w:b/>
          <w:i w:val="0"/>
          <w:sz w:val="24"/>
        </w:rPr>
        <w:t>安全部署的工程实践</w:t>
      </w:r>
    </w:p>
    <w:p>
      <w:pPr>
        <w:spacing w:line="360" w:lineRule="auto" w:after="0"/>
        <w:ind w:firstLine="425"/>
      </w:pPr>
      <w:r>
        <w:rPr>
          <w:rFonts w:ascii="Times New Roman" w:hAnsi="Times New Roman" w:eastAsia="宋体"/>
          <w:b w:val="0"/>
          <w:i w:val="0"/>
          <w:sz w:val="22"/>
        </w:rPr>
        <w:t>将强化学习算法部署到实际电力系统需要严格的安全保障。影子模式（Shadow Mode）是一种安全的部署策略：算法在后台运行，产生定价建议但不实际执行，运营人员比较算法建议与实际定价决策，评估算法的可靠性。经过足够长的影子模式验证后，算法才能逐步参与实际定价决策。</w:t>
      </w:r>
    </w:p>
    <w:p>
      <w:pPr>
        <w:spacing w:line="360" w:lineRule="auto" w:after="0"/>
        <w:ind w:firstLine="425"/>
      </w:pPr>
      <w:r>
        <w:rPr>
          <w:rFonts w:ascii="Times New Roman" w:hAnsi="Times New Roman" w:eastAsia="宋体"/>
          <w:b w:val="0"/>
          <w:i w:val="0"/>
          <w:sz w:val="22"/>
        </w:rPr>
        <w:t>回退机制确保在算法失效时系统能够安全运行。当强化学习算法的输出超出合理范围（如电价超过上限或低于下限）或算法计算超时，系统自动回退到基于规则的传统定价方法。这种机制保证了系统的最低可靠性，即使AI组件完全失效也不会导致定价系统崩溃。</w:t>
      </w:r>
    </w:p>
    <w:p>
      <w:pPr>
        <w:spacing w:line="360" w:lineRule="auto" w:after="0"/>
        <w:ind w:firstLine="425"/>
      </w:pPr>
      <w:r>
        <w:rPr>
          <w:rFonts w:ascii="Times New Roman" w:hAnsi="Times New Roman" w:eastAsia="宋体"/>
          <w:b w:val="0"/>
          <w:i w:val="0"/>
          <w:sz w:val="22"/>
        </w:rPr>
        <w:t>渐进式部署策略将AI定价算法的应用范围逐步扩大：先在低风险场景（如非高峰时段、小范围试点）部署，验证效果后再扩展到高风险场景（如高峰时段、全系统应用）。这种策略降低了部署风险，同时积累了实际运行数据用于进一步改进算法。</w:t>
      </w:r>
    </w:p>
    <w:p>
      <w:pPr>
        <w:pStyle w:val="Heading3"/>
        <w:spacing w:before="160" w:after="60"/>
      </w:pPr>
      <w:r>
        <w:rPr>
          <w:rFonts w:ascii="Times New Roman" w:hAnsi="Times New Roman" w:eastAsia="黑体"/>
          <w:b/>
          <w:i w:val="0"/>
          <w:sz w:val="24"/>
        </w:rPr>
        <w:t>强化学习与运筹优化的融合</w:t>
      </w:r>
    </w:p>
    <w:p>
      <w:pPr>
        <w:spacing w:line="360" w:lineRule="auto" w:after="0"/>
        <w:ind w:firstLine="425"/>
      </w:pPr>
      <w:r>
        <w:rPr>
          <w:rFonts w:ascii="Times New Roman" w:hAnsi="Times New Roman" w:eastAsia="宋体"/>
          <w:b w:val="0"/>
          <w:i w:val="0"/>
          <w:sz w:val="22"/>
        </w:rPr>
        <w:t>纯强化学习和纯运筹优化各有优劣：强化学习能够处理复杂不确定性和非线性关系，但缺乏最优性保证；运筹优化能够提供精确解，但计算复杂度高且对模型假设敏感。两者的融合是当前研究的前沿方向。</w:t>
      </w:r>
    </w:p>
    <w:p>
      <w:pPr>
        <w:spacing w:line="360" w:lineRule="auto" w:after="0"/>
        <w:ind w:firstLine="425"/>
      </w:pPr>
      <w:r>
        <w:rPr>
          <w:rFonts w:ascii="Times New Roman" w:hAnsi="Times New Roman" w:eastAsia="宋体"/>
          <w:b w:val="0"/>
          <w:i w:val="0"/>
          <w:sz w:val="22"/>
        </w:rPr>
        <w:t>混合架构将运筹优化作为强化学习的约束器：强化学习提供策略建议，运筹优化验证建议的可行性并修正不满足约束的部分。这种方法既利用了强化学习的灵活性，又保证了约束满足。在实时定价中，运筹优化可以基于潮流计算和安全约束过滤强化学习输出的定价方案。</w:t>
      </w:r>
    </w:p>
    <w:p>
      <w:pPr>
        <w:spacing w:line="360" w:lineRule="auto" w:after="0"/>
        <w:ind w:firstLine="425"/>
      </w:pPr>
      <w:r>
        <w:rPr>
          <w:rFonts w:ascii="Times New Roman" w:hAnsi="Times New Roman" w:eastAsia="宋体"/>
          <w:b w:val="0"/>
          <w:i w:val="0"/>
          <w:sz w:val="22"/>
        </w:rPr>
        <w:t>学习优化（Learning to Optimize）方法将强化学习用于改进运筹优化的效率：强化学习学习选择优化器的参数（如内点法的初始点、分支定界的分支策略），减少迭代次数。在实时定价中，这种方法可以将复杂优化问题的求解时间降低一个数量级，满足实时性要求。</w:t>
      </w:r>
    </w:p>
    <w:p>
      <w:pPr>
        <w:pStyle w:val="Heading2"/>
        <w:spacing w:before="240" w:after="80"/>
      </w:pPr>
      <w:r>
        <w:rPr>
          <w:rFonts w:ascii="Times New Roman" w:hAnsi="Times New Roman" w:eastAsia="黑体"/>
          <w:b/>
          <w:i w:val="0"/>
          <w:sz w:val="28"/>
        </w:rPr>
        <w:t>7.14 强化学习的前沿算法与电力系统应用</w:t>
      </w:r>
    </w:p>
    <w:p>
      <w:pPr>
        <w:pStyle w:val="Heading3"/>
        <w:spacing w:before="160" w:after="60"/>
      </w:pPr>
      <w:r>
        <w:rPr>
          <w:rFonts w:ascii="Times New Roman" w:hAnsi="Times New Roman" w:eastAsia="黑体"/>
          <w:b/>
          <w:i w:val="0"/>
          <w:sz w:val="24"/>
        </w:rPr>
        <w:t>强化学习算法的分类体系</w:t>
      </w:r>
    </w:p>
    <w:p>
      <w:pPr>
        <w:spacing w:line="360" w:lineRule="auto" w:after="0"/>
        <w:ind w:firstLine="425"/>
      </w:pPr>
      <w:r>
        <w:rPr>
          <w:rFonts w:ascii="Times New Roman" w:hAnsi="Times New Roman" w:eastAsia="宋体"/>
          <w:b w:val="0"/>
          <w:i w:val="0"/>
          <w:sz w:val="22"/>
        </w:rPr>
        <w:t>强化学习算法可以从多个维度进行分类。按模型使用方式分为model-based和model-free方法：model-based方法学习环境模型（状态转移和奖励函数），通过模型规划最优策略；model-free方法直接从交互数据学习策略或值函数，不需要环境模型。</w:t>
      </w:r>
    </w:p>
    <w:p>
      <w:pPr>
        <w:spacing w:line="360" w:lineRule="auto" w:after="0"/>
        <w:ind w:firstLine="425"/>
      </w:pPr>
      <w:r>
        <w:rPr>
          <w:rFonts w:ascii="Times New Roman" w:hAnsi="Times New Roman" w:eastAsia="宋体"/>
          <w:b w:val="0"/>
          <w:i w:val="0"/>
          <w:sz w:val="22"/>
        </w:rPr>
        <w:t>model-based方法在数据效率上具有优势（通过模型生成虚拟数据减少真实交互需求），但在高维环境中模型学习困难且可能引入模型偏差。model-free方法不受模型偏差影响，但数据效率低，需要大量交互数据。在实时定价中，由于仿真正式环境可以生成大量数据，model-free方法更为常用。</w:t>
      </w:r>
    </w:p>
    <w:p>
      <w:pPr>
        <w:spacing w:line="360" w:lineRule="auto" w:after="0"/>
        <w:ind w:firstLine="425"/>
      </w:pPr>
      <w:r>
        <w:rPr>
          <w:rFonts w:ascii="Times New Roman" w:hAnsi="Times New Roman" w:eastAsia="宋体"/>
          <w:b w:val="0"/>
          <w:i w:val="0"/>
          <w:sz w:val="22"/>
        </w:rPr>
        <w:t>按策略表示方式分为value-based和policy-based方法：value-based方法（如Q-learning、DQN）学习状态-动作值函数，策略通过值函数的贪心选择导出；policy-based方法（如REINFORCE、PPO）直接参数化策略函数，通过策略梯度优化。value-based方法适合离散动作空间，policy-based方法适合连续动作空间。在实时定价中，电价是连续变量，policy-based方法更为适合。</w:t>
      </w:r>
    </w:p>
    <w:p>
      <w:pPr>
        <w:spacing w:line="360" w:lineRule="auto" w:after="0"/>
        <w:ind w:firstLine="425"/>
      </w:pPr>
      <w:r>
        <w:rPr>
          <w:rFonts w:ascii="Times New Roman" w:hAnsi="Times New Roman" w:eastAsia="宋体"/>
          <w:b w:val="0"/>
          <w:i w:val="0"/>
          <w:sz w:val="22"/>
        </w:rPr>
        <w:t>Actor-Critic方法是value-based和policy-based的融合：Actor网络参数化策略，Critic网络估计值函数。Actor根据Critic的评估调整策略，Critic根据环境反馈更新值函数估计。这种架构结合了两者的优势：策略梯度的低偏差和值函数的低方差。</w:t>
      </w:r>
    </w:p>
    <w:p>
      <w:pPr>
        <w:pStyle w:val="Heading3"/>
        <w:spacing w:before="160" w:after="60"/>
      </w:pPr>
      <w:r>
        <w:rPr>
          <w:rFonts w:ascii="Times New Roman" w:hAnsi="Times New Roman" w:eastAsia="黑体"/>
          <w:b/>
          <w:i w:val="0"/>
          <w:sz w:val="24"/>
        </w:rPr>
        <w:t>深度强化学习的关键技术</w:t>
      </w:r>
    </w:p>
    <w:p>
      <w:pPr>
        <w:spacing w:line="360" w:lineRule="auto" w:after="0"/>
        <w:ind w:firstLine="425"/>
      </w:pPr>
      <w:r>
        <w:rPr>
          <w:rFonts w:ascii="Times New Roman" w:hAnsi="Times New Roman" w:eastAsia="宋体"/>
          <w:b w:val="0"/>
          <w:i w:val="0"/>
          <w:sz w:val="22"/>
        </w:rPr>
        <w:t>经验回放是深度强化学习的核心技术之一。经验回放缓冲区存储历史交互数据 (s_t, a_t, r_t, s_t+1)，训练时从缓冲区随机采样mini-batch。随机采样打破了数据的时间相关性，使神经网络训练更稳定。优先经验回放根据TD误差对经验赋予权重，使高信息量的经验被更频繁地采样。</w:t>
      </w:r>
    </w:p>
    <w:p>
      <w:pPr>
        <w:spacing w:line="360" w:lineRule="auto" w:after="0"/>
        <w:ind w:firstLine="425"/>
      </w:pPr>
      <w:r>
        <w:rPr>
          <w:rFonts w:ascii="Times New Roman" w:hAnsi="Times New Roman" w:eastAsia="宋体"/>
          <w:b w:val="0"/>
          <w:i w:val="0"/>
          <w:sz w:val="22"/>
        </w:rPr>
        <w:t>目标网络是另一个关键技术。目标网络是主网络的延迟副本，用于计算训练目标值。目标网络的参数定期（或通过软更新 θ_target arrow τ θ_main + (1-τ) θ_target）同步，减少了训练目标的不稳定性。没有目标网络，训练可能发散因为目标值随主网络参数变化而振荡。</w:t>
      </w:r>
    </w:p>
    <w:p>
      <w:pPr>
        <w:spacing w:line="360" w:lineRule="auto" w:after="0"/>
        <w:ind w:firstLine="425"/>
      </w:pPr>
      <w:r>
        <w:rPr>
          <w:rFonts w:ascii="Times New Roman" w:hAnsi="Times New Roman" w:eastAsia="宋体"/>
          <w:b w:val="0"/>
          <w:i w:val="0"/>
          <w:sz w:val="22"/>
        </w:rPr>
        <w:t>探索策略决定了算法在exploitation（利用已知最优策略）和exploration（探索未知策略）之间的平衡。ε-greedy策略以概率 ε 随机选择动作，以概率 1-ε 选择最优动作。ε 通常从高值衰减到低值，实现前期探索后期利用。在连续动作空间中，高斯探索在最优动作上添加高斯噪声。</w:t>
      </w:r>
    </w:p>
    <w:p>
      <w:pPr>
        <w:spacing w:line="360" w:lineRule="auto" w:after="0"/>
        <w:ind w:firstLine="425"/>
      </w:pPr>
      <w:r>
        <w:rPr>
          <w:rFonts w:ascii="Times New Roman" w:hAnsi="Times New Roman" w:eastAsia="宋体"/>
          <w:b w:val="0"/>
          <w:i w:val="0"/>
          <w:sz w:val="22"/>
        </w:rPr>
        <w:t>好奇心驱动的探索是内在奖励机制的代表。内在奖励奖励状态的新颖性，鼓励智能体探索未访问的状态。随机网络蒸馏（RND）使用一个固定的随机目标网络和一个预测网络，预测误差作为内在奖励。这种方法在稀疏奖励环境中特别有效，如电力系统罕见极端事件下的定价策略学习。</w:t>
      </w:r>
    </w:p>
    <w:p>
      <w:pPr>
        <w:pStyle w:val="Heading3"/>
        <w:spacing w:before="160" w:after="60"/>
      </w:pPr>
      <w:r>
        <w:rPr>
          <w:rFonts w:ascii="Times New Roman" w:hAnsi="Times New Roman" w:eastAsia="黑体"/>
          <w:b/>
          <w:i w:val="0"/>
          <w:sz w:val="24"/>
        </w:rPr>
        <w:t>PPO算法在实时定价中的应用</w:t>
      </w:r>
    </w:p>
    <w:p>
      <w:pPr>
        <w:spacing w:line="360" w:lineRule="auto" w:after="0"/>
        <w:ind w:firstLine="425"/>
      </w:pPr>
      <w:r>
        <w:rPr>
          <w:rFonts w:ascii="Times New Roman" w:hAnsi="Times New Roman" w:eastAsia="宋体"/>
          <w:b w:val="0"/>
          <w:i w:val="0"/>
          <w:sz w:val="22"/>
        </w:rPr>
        <w:t>PPO（Proximal Policy Optimization）是当前最广泛使用的深度强化学习算法之一。PPO通过裁剪策略更新幅度确保训练稳定性：目标函数中的策略比率 r_t(θ) = π_θ(a_t s_t) / π_θ_old(a_t s_t) 被裁剪到 [1-ε, 1+ε] 范围内，防止单步更新过大导致策略崩溃。</w:t>
      </w:r>
    </w:p>
    <w:p>
      <w:pPr>
        <w:spacing w:line="360" w:lineRule="auto" w:after="0"/>
        <w:ind w:firstLine="425"/>
      </w:pPr>
      <w:r>
        <w:rPr>
          <w:rFonts w:ascii="Times New Roman" w:hAnsi="Times New Roman" w:eastAsia="宋体"/>
          <w:b w:val="0"/>
          <w:i w:val="0"/>
          <w:sz w:val="22"/>
        </w:rPr>
        <w:t>在实时定价中，PPO的应用流程为：定义MDP（状态=电价+负荷+可再生出力，动作=下一时刻电价，奖励=社会福利或利润）；收集交互数据（智能体在仿真环境中执行策略）；更新策略网络和值函数网络（使用收集的数据进行多轮梯度更新）；重复以上过程直至策略收敛。</w:t>
      </w:r>
    </w:p>
    <w:p>
      <w:pPr>
        <w:spacing w:line="360" w:lineRule="auto" w:after="0"/>
        <w:ind w:firstLine="425"/>
      </w:pPr>
      <w:r>
        <w:rPr>
          <w:rFonts w:ascii="Times New Roman" w:hAnsi="Times New Roman" w:eastAsia="宋体"/>
          <w:b w:val="0"/>
          <w:i w:val="0"/>
          <w:sz w:val="22"/>
        </w:rPr>
        <w:t>PPO的超参数选择对性能影响显著。学习率通常在 10^-4 到 10^-3 范围内，批次大小在64-256之间，裁剪参数 ε 通常设为0.1-0.2，GAE参数 λ 设为0.95。这些参数的最优值需要通过实验调优确定。</w:t>
      </w:r>
    </w:p>
    <w:p>
      <w:pPr>
        <w:pStyle w:val="Heading3"/>
        <w:spacing w:before="160" w:after="60"/>
      </w:pPr>
      <w:r>
        <w:rPr>
          <w:rFonts w:ascii="Times New Roman" w:hAnsi="Times New Roman" w:eastAsia="黑体"/>
          <w:b/>
          <w:i w:val="0"/>
          <w:sz w:val="24"/>
        </w:rPr>
        <w:t>离线强化学习方法</w:t>
      </w:r>
    </w:p>
    <w:p>
      <w:pPr>
        <w:spacing w:line="360" w:lineRule="auto" w:after="0"/>
        <w:ind w:firstLine="425"/>
      </w:pPr>
      <w:r>
        <w:rPr>
          <w:rFonts w:ascii="Times New Roman" w:hAnsi="Times New Roman" w:eastAsia="宋体"/>
          <w:b w:val="0"/>
          <w:i w:val="0"/>
          <w:sz w:val="22"/>
        </w:rPr>
        <w:t>离线强化学习（Offline RL）仅利用历史数据训练策略，不与环境交互。这种方法在实时定价中具有特殊价值：电力系统积累了大量历史定价数据，但在线探索（尝试新定价策略）存在风险和成本。</w:t>
      </w:r>
    </w:p>
    <w:p>
      <w:pPr>
        <w:spacing w:line="360" w:lineRule="auto" w:after="0"/>
        <w:ind w:firstLine="425"/>
      </w:pPr>
      <w:r>
        <w:rPr>
          <w:rFonts w:ascii="Times New Roman" w:hAnsi="Times New Roman" w:eastAsia="宋体"/>
          <w:b w:val="0"/>
          <w:i w:val="0"/>
          <w:sz w:val="22"/>
        </w:rPr>
        <w:t>离线RL的核心挑战是分布偏移：训练数据由行为策略（历史定价策略）收集，而训练目标是学习不同于行为策略的最优策略。当最优策略选择的行为在历史数据中很少出现时，值函数估计不可靠。</w:t>
      </w:r>
    </w:p>
    <w:p>
      <w:pPr>
        <w:spacing w:line="360" w:lineRule="auto" w:after="0"/>
        <w:ind w:firstLine="425"/>
      </w:pPr>
      <w:r>
        <w:rPr>
          <w:rFonts w:ascii="Times New Roman" w:hAnsi="Times New Roman" w:eastAsia="宋体"/>
          <w:b w:val="0"/>
          <w:i w:val="0"/>
          <w:sz w:val="22"/>
        </w:rPr>
        <w:t>Conservative Q-Learning（CQL）通过在Q值估计中引入保守性正则项解决分布偏移问题：对数据分布外的行为给予较低的Q值估计，确保学习到的策略不会过度乐观地估计未见行为的价值。这种方法在实时定价中可以防止算法推荐未经历史验证的高风险定价策略。</w:t>
      </w:r>
    </w:p>
    <w:p>
      <w:pPr>
        <w:spacing w:line="360" w:lineRule="auto" w:after="0"/>
        <w:ind w:firstLine="425"/>
      </w:pPr>
      <w:r>
        <w:rPr>
          <w:rFonts w:ascii="Times New Roman" w:hAnsi="Times New Roman" w:eastAsia="宋体"/>
          <w:b w:val="0"/>
          <w:i w:val="0"/>
          <w:sz w:val="22"/>
        </w:rPr>
        <w:t>Decision Transformer将强化学习转化为序列建模问题。给定状态序列、动作序列和回报序列，Decision Transformer学习根据期望回报生成动作序列。这种方法可以直接利用Transformer架构处理长序列依赖，在实时定价的多时段决策中具有优势。</w:t>
      </w:r>
    </w:p>
    <w:p>
      <w:pPr>
        <w:pStyle w:val="Heading3"/>
        <w:spacing w:before="160" w:after="60"/>
      </w:pPr>
      <w:r>
        <w:rPr>
          <w:rFonts w:ascii="Times New Roman" w:hAnsi="Times New Roman" w:eastAsia="黑体"/>
          <w:b/>
          <w:i w:val="0"/>
          <w:sz w:val="24"/>
        </w:rPr>
        <w:t>强化学习在频率调节中的应用</w:t>
      </w:r>
    </w:p>
    <w:p>
      <w:pPr>
        <w:spacing w:line="360" w:lineRule="auto" w:after="0"/>
        <w:ind w:firstLine="425"/>
      </w:pPr>
      <w:r>
        <w:rPr>
          <w:rFonts w:ascii="Times New Roman" w:hAnsi="Times New Roman" w:eastAsia="宋体"/>
          <w:b w:val="0"/>
          <w:i w:val="0"/>
          <w:sz w:val="22"/>
        </w:rPr>
        <w:t>频率调节是电力系统实时控制的重要功能。传统方法（如AGC）基于比例-积分控制，参数固定。强化学习方法可以自适应调整控制参数，在变化的系统条件下维持更好的频率质量。</w:t>
      </w:r>
    </w:p>
    <w:p>
      <w:pPr>
        <w:spacing w:line="360" w:lineRule="auto" w:after="0"/>
        <w:ind w:firstLine="425"/>
      </w:pPr>
      <w:r>
        <w:rPr>
          <w:rFonts w:ascii="Times New Roman" w:hAnsi="Times New Roman" w:eastAsia="宋体"/>
          <w:b w:val="0"/>
          <w:i w:val="0"/>
          <w:sz w:val="22"/>
        </w:rPr>
        <w:t>在频率调节的强化学习建模中，状态包括系统频率、负荷变化率和发电出力；动作为发电机的功率调节指令；奖励为频率偏差的负值。训练环境可以是简化的系统频率响应模型或详细的电力系统仿真器。</w:t>
      </w:r>
    </w:p>
    <w:p>
      <w:pPr>
        <w:spacing w:line="360" w:lineRule="auto" w:after="0"/>
        <w:ind w:firstLine="425"/>
      </w:pPr>
      <w:r>
        <w:rPr>
          <w:rFonts w:ascii="Times New Roman" w:hAnsi="Times New Roman" w:eastAsia="宋体"/>
          <w:b w:val="0"/>
          <w:i w:val="0"/>
          <w:sz w:val="22"/>
        </w:rPr>
        <w:t>多区域频率调节需要协调多个区域的控制器。多智能体强化学习可以训练各区域控制器在局部信息下做出协调决策。MAPPO算法通过中心化评论家提供全局信息指导训练，分散执行时各区域仅依赖本地观测。</w:t>
      </w:r>
    </w:p>
    <w:p>
      <w:pPr>
        <w:pStyle w:val="Heading3"/>
        <w:spacing w:before="160" w:after="60"/>
      </w:pPr>
      <w:r>
        <w:rPr>
          <w:rFonts w:ascii="Times New Roman" w:hAnsi="Times New Roman" w:eastAsia="黑体"/>
          <w:b/>
          <w:i w:val="0"/>
          <w:sz w:val="24"/>
        </w:rPr>
        <w:t>强化学习的安全性保证</w:t>
      </w:r>
    </w:p>
    <w:p>
      <w:pPr>
        <w:spacing w:line="360" w:lineRule="auto" w:after="0"/>
        <w:ind w:firstLine="425"/>
      </w:pPr>
      <w:r>
        <w:rPr>
          <w:rFonts w:ascii="Times New Roman" w:hAnsi="Times New Roman" w:eastAsia="宋体"/>
          <w:b w:val="0"/>
          <w:i w:val="0"/>
          <w:sz w:val="22"/>
        </w:rPr>
        <w:t>在电力系统这种安全攸关的环境中，强化学习算法必须提供安全性保证。约束马尔可夫决策过程（CMDP）框架将安全约束嵌入MDP：在最大化期望累积奖励的同时确保期望累积成本（约束违反的度量）不超过阈值。</w:t>
      </w:r>
    </w:p>
    <w:p>
      <w:pPr>
        <w:spacing w:line="360" w:lineRule="auto" w:after="0"/>
        <w:ind w:firstLine="425"/>
      </w:pPr>
      <w:r>
        <w:rPr>
          <w:rFonts w:ascii="Times New Roman" w:hAnsi="Times New Roman" w:eastAsia="宋体"/>
          <w:b w:val="0"/>
          <w:i w:val="0"/>
          <w:sz w:val="22"/>
        </w:rPr>
        <w:t>原对偶优化方法通过拉格朗日乘子将约束转化为目标函数中的惩罚项。拉格朗日乘子通过梯度上升更新：当约束违反时增加惩罚，当约束满足时减少惩罚。这种方法可以渐近满足约束，但在有限训练时间内可能存在约束违反。</w:t>
      </w:r>
    </w:p>
    <w:p>
      <w:pPr>
        <w:spacing w:line="360" w:lineRule="auto" w:after="0"/>
        <w:ind w:firstLine="425"/>
      </w:pPr>
      <w:r>
        <w:rPr>
          <w:rFonts w:ascii="Times New Roman" w:hAnsi="Times New Roman" w:eastAsia="宋体"/>
          <w:b w:val="0"/>
          <w:i w:val="0"/>
          <w:sz w:val="22"/>
        </w:rPr>
        <w:t>Risk-Sensitive RL方法直接优化风险度量（如CVaR）而非期望值。CVaR优化确保在最坏的 α 分位下的性能满足要求，适合处理尾部风险。分布RL（Distributional RL）方法学习回报的完整分布而非仅期望值，为风险敏感决策提供了更丰富的信息。</w:t>
      </w:r>
    </w:p>
    <w:p>
      <w:pPr>
        <w:pStyle w:val="Heading2"/>
        <w:spacing w:before="240" w:after="80"/>
      </w:pPr>
      <w:r>
        <w:rPr>
          <w:rFonts w:ascii="Times New Roman" w:hAnsi="Times New Roman" w:eastAsia="黑体"/>
          <w:b/>
          <w:i w:val="0"/>
          <w:sz w:val="28"/>
        </w:rPr>
        <w:t>7.15 强化学习的理论保证与收敛性分析</w:t>
      </w:r>
    </w:p>
    <w:p>
      <w:pPr>
        <w:pStyle w:val="Heading3"/>
        <w:spacing w:before="160" w:after="60"/>
      </w:pPr>
      <w:r>
        <w:rPr>
          <w:rFonts w:ascii="Times New Roman" w:hAnsi="Times New Roman" w:eastAsia="黑体"/>
          <w:b/>
          <w:i w:val="0"/>
          <w:sz w:val="24"/>
        </w:rPr>
        <w:t>随机近似理论视角</w:t>
      </w:r>
    </w:p>
    <w:p>
      <w:pPr>
        <w:spacing w:line="360" w:lineRule="auto" w:after="0"/>
        <w:ind w:firstLine="425"/>
      </w:pPr>
      <w:r>
        <w:rPr>
          <w:rFonts w:ascii="Times New Roman" w:hAnsi="Times New Roman" w:eastAsia="宋体"/>
          <w:b w:val="0"/>
          <w:i w:val="0"/>
          <w:sz w:val="22"/>
        </w:rPr>
        <w:t>强化学习的理论基础可以追溯到随机近似（SA）理论。Q-learning算法本质上是随机近似求解Bellman方程的过程。Robbins-Monro条件（学习率满足 Σ α_t = ∞, Σ α_t^2 &lt; ∞）保证了随机近似的几乎必然收敛。</w:t>
      </w:r>
    </w:p>
    <w:p>
      <w:pPr>
        <w:spacing w:line="360" w:lineRule="auto" w:after="0"/>
        <w:ind w:firstLine="425"/>
      </w:pPr>
      <w:r>
        <w:rPr>
          <w:rFonts w:ascii="Times New Roman" w:hAnsi="Times New Roman" w:eastAsia="宋体"/>
          <w:b w:val="0"/>
          <w:i w:val="0"/>
          <w:sz w:val="22"/>
        </w:rPr>
        <w:t>然而，深度强化学习中使用神经网络作为函数逼近器，引入了额外的非线性。函数逼近器的引入可能破坏收敛性保证：即使Tabular Q-learning收敛，DQN在一般条件下可能发散。双Q学习（Double DQN）通过解耦动作选择和动作评估缓解了过估计偏差，提高了训练稳定性。</w:t>
      </w:r>
    </w:p>
    <w:p>
      <w:pPr>
        <w:spacing w:line="360" w:lineRule="auto" w:after="0"/>
        <w:ind w:firstLine="425"/>
      </w:pPr>
      <w:r>
        <w:rPr>
          <w:rFonts w:ascii="Times New Roman" w:hAnsi="Times New Roman" w:eastAsia="宋体"/>
          <w:b w:val="0"/>
          <w:i w:val="0"/>
          <w:sz w:val="22"/>
        </w:rPr>
        <w:t>收敛速率分析提供了算法效率的理论保证。对于Tabular Q-learning，收敛速率为 O(1/√(t))（在Robbins-Monro条件下）。对于线性函数逼近的TD学习，收敛速率为 O(1/t)（在适当条件下）。对于非线性函数逼近（如神经网络），收敛性保证更加复杂，通常需要额外的假设条件。</w:t>
      </w:r>
    </w:p>
    <w:p>
      <w:pPr>
        <w:pStyle w:val="Heading3"/>
        <w:spacing w:before="160" w:after="60"/>
      </w:pPr>
      <w:r>
        <w:rPr>
          <w:rFonts w:ascii="Times New Roman" w:hAnsi="Times New Roman" w:eastAsia="黑体"/>
          <w:b/>
          <w:i w:val="0"/>
          <w:sz w:val="24"/>
        </w:rPr>
        <w:t>策略梯度的方差降低技术</w:t>
      </w:r>
    </w:p>
    <w:p>
      <w:pPr>
        <w:spacing w:line="360" w:lineRule="auto" w:after="0"/>
        <w:ind w:firstLine="425"/>
      </w:pPr>
      <w:r>
        <w:rPr>
          <w:rFonts w:ascii="Times New Roman" w:hAnsi="Times New Roman" w:eastAsia="宋体"/>
          <w:b w:val="0"/>
          <w:i w:val="0"/>
          <w:sz w:val="22"/>
        </w:rPr>
        <w:t>策略梯度方法（如REINFORCE）的一个主要问题是高方差。梯度估计的方差与时间步数成正比，长时序任务中方差可能非常大，导致训练不稳定。</w:t>
      </w:r>
    </w:p>
    <w:p>
      <w:pPr>
        <w:spacing w:line="360" w:lineRule="auto" w:after="0"/>
        <w:ind w:firstLine="425"/>
      </w:pPr>
      <w:r>
        <w:rPr>
          <w:rFonts w:ascii="Times New Roman" w:hAnsi="Times New Roman" w:eastAsia="宋体"/>
          <w:b w:val="0"/>
          <w:i w:val="0"/>
          <w:sz w:val="22"/>
        </w:rPr>
        <w:t>优势函数估计是降低方差的核心技术。优势函数 A(s,a) = Q(s,a) - V(s) 衡量动作 a 相对于平均水平的优劣。使用优势函数替代回报作为梯度估计的基准，可以在不引入偏差的情况下显著降低方差。</w:t>
      </w:r>
    </w:p>
    <w:p>
      <w:pPr>
        <w:spacing w:line="360" w:lineRule="auto" w:after="0"/>
        <w:ind w:firstLine="425"/>
      </w:pPr>
      <w:r>
        <w:rPr>
          <w:rFonts w:ascii="Times New Roman" w:hAnsi="Times New Roman" w:eastAsia="宋体"/>
          <w:b w:val="0"/>
          <w:i w:val="0"/>
          <w:sz w:val="22"/>
        </w:rPr>
        <w:t>广义优势估计（GAE）通过参数 λ 在偏差和方差之间取得平衡。λ = 0 对应仅使用一步TD误差（低方差高偏差），λ = 1 对应蒙特卡洛回报（高方差低偏差）。通常选择 λ ≈ 0.95 在偏差和方差之间取得良好平衡。</w:t>
      </w:r>
    </w:p>
    <w:p>
      <w:pPr>
        <w:spacing w:line="360" w:lineRule="auto" w:after="0"/>
        <w:ind w:firstLine="425"/>
      </w:pPr>
      <w:r>
        <w:rPr>
          <w:rFonts w:ascii="Times New Roman" w:hAnsi="Times New Roman" w:eastAsia="宋体"/>
          <w:b w:val="0"/>
          <w:i w:val="0"/>
          <w:sz w:val="22"/>
        </w:rPr>
        <w:t>重要性采样用于离线策略训练中修正行为策略和目标策略之间的分布差异。重要性采样比率 r_t = π_θ(a_t s_t) / μ(a_t s_t) 的方差可能很大，特别是在两个策略差异较大时。截断重要性采样（如PPO中的clipping）通过限制比率范围控制方差。</w:t>
      </w:r>
    </w:p>
    <w:p>
      <w:pPr>
        <w:pStyle w:val="Heading3"/>
        <w:spacing w:before="160" w:after="60"/>
      </w:pPr>
      <w:r>
        <w:rPr>
          <w:rFonts w:ascii="Times New Roman" w:hAnsi="Times New Roman" w:eastAsia="黑体"/>
          <w:b/>
          <w:i w:val="0"/>
          <w:sz w:val="24"/>
        </w:rPr>
        <w:t>探索-利用困境的理论分析</w:t>
      </w:r>
    </w:p>
    <w:p>
      <w:pPr>
        <w:spacing w:line="360" w:lineRule="auto" w:after="0"/>
        <w:ind w:firstLine="425"/>
      </w:pPr>
      <w:r>
        <w:rPr>
          <w:rFonts w:ascii="Times New Roman" w:hAnsi="Times New Roman" w:eastAsia="宋体"/>
          <w:b w:val="0"/>
          <w:i w:val="0"/>
          <w:sz w:val="22"/>
        </w:rPr>
        <w:t>探索-利用权衡是强化学习的核心理论问题。多臂老虎机问题提供了最简单的分析框架。对于K臂老虎机，贪心策略（始终选择当前最优臂）的regret为 O(log T)（在特定条件下），而UCB策略的regret为 O(log T) 且具有常数因子优势。</w:t>
      </w:r>
    </w:p>
    <w:p>
      <w:pPr>
        <w:spacing w:line="360" w:lineRule="auto" w:after="0"/>
        <w:ind w:firstLine="425"/>
      </w:pPr>
      <w:r>
        <w:rPr>
          <w:rFonts w:ascii="Times New Roman" w:hAnsi="Times New Roman" w:eastAsia="宋体"/>
          <w:b w:val="0"/>
          <w:i w:val="0"/>
          <w:sz w:val="22"/>
        </w:rPr>
        <w:t>在实时定价的环境中，探索-利用困境表现为：是采用已知效果良好的定价策略（利用），还是尝试新的定价策略以发现可能更优的策略（探索）。过度利用可能导致策略次优，过度探索可能导致短期收益损失。</w:t>
      </w:r>
    </w:p>
    <w:p>
      <w:pPr>
        <w:spacing w:line="360" w:lineRule="auto" w:after="0"/>
        <w:ind w:firstLine="425"/>
      </w:pPr>
      <w:r>
        <w:rPr>
          <w:rFonts w:ascii="Times New Roman" w:hAnsi="Times New Roman" w:eastAsia="宋体"/>
          <w:b w:val="0"/>
          <w:i w:val="0"/>
          <w:sz w:val="22"/>
        </w:rPr>
        <w:t>Thompson Sampling是另一种优雅的探索策略，基于贝叶斯框架。算法维护策略参数的后验分布，每次从后验中采样一个参数值并执行对应策略。Thompson Sampling在实践中表现优异，且具有 O(log T) 的regret保证。</w:t>
      </w:r>
    </w:p>
    <w:p>
      <w:pPr>
        <w:spacing w:line="360" w:lineRule="auto" w:after="0"/>
        <w:ind w:firstLine="425"/>
      </w:pPr>
      <w:r>
        <w:rPr>
          <w:rFonts w:ascii="Times New Roman" w:hAnsi="Times New Roman" w:eastAsia="宋体"/>
          <w:b w:val="0"/>
          <w:i w:val="0"/>
          <w:sz w:val="22"/>
        </w:rPr>
        <w:t>信息增益方法（如Bayesian Experimental Design）主动选择能最大化信息增益的动作。这种方法将探索问题转化为信息收集问题，在理论上提供了最优探索策略。然而，计算信息增益通常很复杂，需要近似方法。</w:t>
      </w:r>
    </w:p>
    <w:p>
      <w:pPr>
        <w:pStyle w:val="Heading3"/>
        <w:spacing w:before="160" w:after="60"/>
      </w:pPr>
      <w:r>
        <w:rPr>
          <w:rFonts w:ascii="Times New Roman" w:hAnsi="Times New Roman" w:eastAsia="黑体"/>
          <w:b/>
          <w:i w:val="0"/>
          <w:sz w:val="24"/>
        </w:rPr>
        <w:t>多智能体学习的收敛性</w:t>
      </w:r>
    </w:p>
    <w:p>
      <w:pPr>
        <w:spacing w:line="360" w:lineRule="auto" w:after="0"/>
        <w:ind w:firstLine="425"/>
      </w:pPr>
      <w:r>
        <w:rPr>
          <w:rFonts w:ascii="Times New Roman" w:hAnsi="Times New Roman" w:eastAsia="宋体"/>
          <w:b w:val="0"/>
          <w:i w:val="0"/>
          <w:sz w:val="22"/>
        </w:rPr>
        <w:t>多智能体强化学习的收敛性比单智能体更复杂。当多个智能体同时学习时，每个智能体的环境（包含其他智能体的策略）是非平稳的，破坏了标准收敛性分析的基础。</w:t>
      </w:r>
    </w:p>
    <w:p>
      <w:pPr>
        <w:spacing w:line="360" w:lineRule="auto" w:after="0"/>
        <w:ind w:firstLine="425"/>
      </w:pPr>
      <w:r>
        <w:rPr>
          <w:rFonts w:ascii="Times New Roman" w:hAnsi="Times New Roman" w:eastAsia="宋体"/>
          <w:b w:val="0"/>
          <w:i w:val="0"/>
          <w:sz w:val="22"/>
        </w:rPr>
        <w:t>独立学习的发散问题：当多个智能体独立学习时，每个智能体的策略变化导致其他智能体的环境变化，可能形成正反馈循环导致策略发散。这一现象在博弈论中被称为"循环"（cycling）或"混沌"（chaos）。</w:t>
      </w:r>
    </w:p>
    <w:p>
      <w:pPr>
        <w:spacing w:line="360" w:lineRule="auto" w:after="0"/>
        <w:ind w:firstLine="425"/>
      </w:pPr>
      <w:r>
        <w:rPr>
          <w:rFonts w:ascii="Times New Roman" w:hAnsi="Times New Roman" w:eastAsia="宋体"/>
          <w:b w:val="0"/>
          <w:i w:val="0"/>
          <w:sz w:val="22"/>
        </w:rPr>
        <w:t>CTDE（集中训练分散执行）范式通过在训练阶段访问全局信息缓解非平稳性问题。MADDPG的评论家网络可以访问所有智能体的动作和观测，提供了稳定的学习信号。然而，CTDE在训练阶段需要集中式信息收集，可能不适用于完全去中心化的场景。</w:t>
      </w:r>
    </w:p>
    <w:p>
      <w:pPr>
        <w:spacing w:line="360" w:lineRule="auto" w:after="0"/>
        <w:ind w:firstLine="425"/>
      </w:pPr>
      <w:r>
        <w:rPr>
          <w:rFonts w:ascii="Times New Roman" w:hAnsi="Times New Roman" w:eastAsia="宋体"/>
          <w:b w:val="0"/>
          <w:i w:val="0"/>
          <w:sz w:val="22"/>
        </w:rPr>
        <w:t>平均场博弈（Mean-Field Game）为大规模多智能体系统提供了分析工具。当智能体数量趋于无穷时，个体智能体对系统的影响可忽略，系统的宏观行为可以用平均场描述。这一理论框架在电力系统中具有天然适用性：单个用户的用电决策对系统电价的影响微乎其微，但大量用户的集体行为决定了电价水平。</w:t>
      </w:r>
    </w:p>
    <w:p>
      <w:pPr>
        <w:pStyle w:val="Heading2"/>
        <w:spacing w:before="240" w:after="80"/>
      </w:pPr>
      <w:r>
        <w:rPr>
          <w:rFonts w:ascii="Times New Roman" w:hAnsi="Times New Roman" w:eastAsia="黑体"/>
          <w:b/>
          <w:i w:val="0"/>
          <w:sz w:val="28"/>
        </w:rPr>
        <w:t>7.16 强化学习的部署架构与运维</w:t>
      </w:r>
    </w:p>
    <w:p>
      <w:pPr>
        <w:pStyle w:val="Heading3"/>
        <w:spacing w:before="160" w:after="60"/>
      </w:pPr>
      <w:r>
        <w:rPr>
          <w:rFonts w:ascii="Times New Roman" w:hAnsi="Times New Roman" w:eastAsia="黑体"/>
          <w:b/>
          <w:i w:val="0"/>
          <w:sz w:val="24"/>
        </w:rPr>
        <w:t>实时推理优化</w:t>
      </w:r>
    </w:p>
    <w:p>
      <w:pPr>
        <w:spacing w:line="360" w:lineRule="auto" w:after="0"/>
        <w:ind w:firstLine="425"/>
      </w:pPr>
      <w:r>
        <w:rPr>
          <w:rFonts w:ascii="Times New Roman" w:hAnsi="Times New Roman" w:eastAsia="宋体"/>
          <w:b w:val="0"/>
          <w:i w:val="0"/>
          <w:sz w:val="22"/>
        </w:rPr>
        <w:t>强化学习模型在实时定价中的部署需要满足严格的延迟要求。电价决策必须在每个定价周期（通常5-15分钟）内完成，包括数据采集、特征提取、模型推理和结果发布。</w:t>
      </w:r>
    </w:p>
    <w:p>
      <w:pPr>
        <w:spacing w:line="360" w:lineRule="auto" w:after="0"/>
        <w:ind w:firstLine="425"/>
      </w:pPr>
      <w:r>
        <w:rPr>
          <w:rFonts w:ascii="Times New Roman" w:hAnsi="Times New Roman" w:eastAsia="宋体"/>
          <w:b w:val="0"/>
          <w:i w:val="0"/>
          <w:sz w:val="22"/>
        </w:rPr>
        <w:t>模型推理优化技术包括：模型量化（将32位浮点参数量化为16位或8位，减少内存占用和计算时间）、模型剪枝（移除不重要的网络连接，减少计算量）、知识蒸馏（用大模型训练小模型，在保持性能的同时降低计算复杂度）。这些技术可以将推理时间降低一个数量级。</w:t>
      </w:r>
    </w:p>
    <w:p>
      <w:pPr>
        <w:spacing w:line="360" w:lineRule="auto" w:after="0"/>
        <w:ind w:firstLine="425"/>
      </w:pPr>
      <w:r>
        <w:rPr>
          <w:rFonts w:ascii="Times New Roman" w:hAnsi="Times New Roman" w:eastAsia="宋体"/>
          <w:b w:val="0"/>
          <w:i w:val="0"/>
          <w:sz w:val="22"/>
        </w:rPr>
        <w:t>ONNX Runtime和TensorRT等推理引擎针对生产环境进行了优化，支持硬件加速（GPU、TPU）和计算图优化。在选择推理引擎时需要考虑模型格式兼容性、硬件支持、延迟和吞吐量的平衡。</w:t>
      </w:r>
    </w:p>
    <w:p>
      <w:pPr>
        <w:spacing w:line="360" w:lineRule="auto" w:after="0"/>
        <w:ind w:firstLine="425"/>
      </w:pPr>
      <w:r>
        <w:rPr>
          <w:rFonts w:ascii="Times New Roman" w:hAnsi="Times New Roman" w:eastAsia="宋体"/>
          <w:b w:val="0"/>
          <w:i w:val="0"/>
          <w:sz w:val="22"/>
        </w:rPr>
        <w:t>边缘部署将模型推理下沉到变电站或配电节点，减少数据传输延迟和中心服务器负载。TensorFlow Lite和ONNX Runtime等轻量级推理框架支持在资源受限的边缘设备上运行模型。联邦推理允许边缘节点和中心服务器协同推理，兼顾本地响应速度和全局优化能力。</w:t>
      </w:r>
    </w:p>
    <w:p>
      <w:pPr>
        <w:pStyle w:val="Heading3"/>
        <w:spacing w:before="160" w:after="60"/>
      </w:pPr>
      <w:r>
        <w:rPr>
          <w:rFonts w:ascii="Times New Roman" w:hAnsi="Times New Roman" w:eastAsia="黑体"/>
          <w:b/>
          <w:i w:val="0"/>
          <w:sz w:val="24"/>
        </w:rPr>
        <w:t>模型监控与漂移检测</w:t>
      </w:r>
    </w:p>
    <w:p>
      <w:pPr>
        <w:spacing w:line="360" w:lineRule="auto" w:after="0"/>
        <w:ind w:firstLine="425"/>
      </w:pPr>
      <w:r>
        <w:rPr>
          <w:rFonts w:ascii="Times New Roman" w:hAnsi="Times New Roman" w:eastAsia="宋体"/>
          <w:b w:val="0"/>
          <w:i w:val="0"/>
          <w:sz w:val="22"/>
        </w:rPr>
        <w:t>强化学习模型在生产环境中的性能可能随时间退化，原因是数据分布漂移（data drift）和概念漂移（concept drift）。数据分布漂移指输入特征的分布发生变化（如负荷模式因新设备接入而变化），概念漂移指输入-输出关系发生变化（如用户对价格信号的响应模式因经验积累而变化）。</w:t>
      </w:r>
    </w:p>
    <w:p>
      <w:pPr>
        <w:spacing w:line="360" w:lineRule="auto" w:after="0"/>
        <w:ind w:firstLine="425"/>
      </w:pPr>
      <w:r>
        <w:rPr>
          <w:rFonts w:ascii="Times New Roman" w:hAnsi="Times New Roman" w:eastAsia="宋体"/>
          <w:b w:val="0"/>
          <w:i w:val="0"/>
          <w:sz w:val="22"/>
        </w:rPr>
        <w:t>漂移检测方法包括：统计方法（如KS检验检测分布变化）、性能监控（跟踪模型预测误差，当误差超过阈值时触发告警）、漂移检测方法（DDM）和早期漂移检测方法（EDDM）。这些方法可以自动识别漂移发生的时间和严重程度。</w:t>
      </w:r>
    </w:p>
    <w:p>
      <w:pPr>
        <w:spacing w:line="360" w:lineRule="auto" w:after="0"/>
        <w:ind w:firstLine="425"/>
      </w:pPr>
      <w:r>
        <w:rPr>
          <w:rFonts w:ascii="Times New Roman" w:hAnsi="Times New Roman" w:eastAsia="宋体"/>
          <w:b w:val="0"/>
          <w:i w:val="0"/>
          <w:sz w:val="22"/>
        </w:rPr>
        <w:t>当检测到漂移时，需要重新训练或微调模型。增量学习方法允许模型在新数据上进行少量更新，而不需要完全重新训练。在线学习方法使模型能够持续适应环境变化。版本管理确保模型更新的可追溯性和回滚能力。</w:t>
      </w:r>
    </w:p>
    <w:p>
      <w:pPr>
        <w:pStyle w:val="Heading3"/>
        <w:spacing w:before="160" w:after="60"/>
      </w:pPr>
      <w:r>
        <w:rPr>
          <w:rFonts w:ascii="Times New Roman" w:hAnsi="Times New Roman" w:eastAsia="黑体"/>
          <w:b/>
          <w:i w:val="0"/>
          <w:sz w:val="24"/>
        </w:rPr>
        <w:t>A/B测试与渐进式部署</w:t>
      </w:r>
    </w:p>
    <w:p>
      <w:pPr>
        <w:spacing w:line="360" w:lineRule="auto" w:after="0"/>
        <w:ind w:firstLine="425"/>
      </w:pPr>
      <w:r>
        <w:rPr>
          <w:rFonts w:ascii="Times New Roman" w:hAnsi="Times New Roman" w:eastAsia="宋体"/>
          <w:b w:val="0"/>
          <w:i w:val="0"/>
          <w:sz w:val="22"/>
        </w:rPr>
        <w:t>A/B测试框架允许同时运行多个定价算法版本，比较其性能差异。在A/B测试中，用户被随机分为控制组（使用当前算法）和实验组（使用新算法），通过统计显著性检验确认新算法是否优于当前算法。</w:t>
      </w:r>
    </w:p>
    <w:p>
      <w:pPr>
        <w:spacing w:line="360" w:lineRule="auto" w:after="0"/>
        <w:ind w:firstLine="425"/>
      </w:pPr>
      <w:r>
        <w:rPr>
          <w:rFonts w:ascii="Times New Roman" w:hAnsi="Times New Roman" w:eastAsia="宋体"/>
          <w:b w:val="0"/>
          <w:i w:val="0"/>
          <w:sz w:val="22"/>
        </w:rPr>
        <w:t>分层随机化确保A/B测试中各组在关键维度（如用户类型、地理位置、负荷特征）上保持平衡，减少混淆变量的影响。交叉设计（switchback design）在不同时段交换控制组和实验组的算法，消除时间效应的干扰。</w:t>
      </w:r>
    </w:p>
    <w:p>
      <w:pPr>
        <w:spacing w:line="360" w:lineRule="auto" w:after="0"/>
        <w:ind w:firstLine="425"/>
      </w:pPr>
      <w:r>
        <w:rPr>
          <w:rFonts w:ascii="Times New Roman" w:hAnsi="Times New Roman" w:eastAsia="宋体"/>
          <w:b w:val="0"/>
          <w:i w:val="0"/>
          <w:sz w:val="22"/>
        </w:rPr>
        <w:t>渐进式部署将新算法先部署到小范围用户（如1%），确认无问题后逐步扩大（5% → 10% → 50% → 100%）。每个阶段都设置回滚条件：如果关键指标（如定价精度、系统可靠性、用户满意度）恶化到阈值以下，自动回滚到上一版本。</w:t>
      </w:r>
    </w:p>
    <w:p>
      <w:pPr>
        <w:pStyle w:val="Heading3"/>
        <w:spacing w:before="160" w:after="60"/>
      </w:pPr>
      <w:r>
        <w:rPr>
          <w:rFonts w:ascii="Times New Roman" w:hAnsi="Times New Roman" w:eastAsia="黑体"/>
          <w:b/>
          <w:i w:val="0"/>
          <w:sz w:val="24"/>
        </w:rPr>
        <w:t>强化学习的可审计性</w:t>
      </w:r>
    </w:p>
    <w:p>
      <w:pPr>
        <w:spacing w:line="360" w:lineRule="auto" w:after="0"/>
        <w:ind w:firstLine="425"/>
      </w:pPr>
      <w:r>
        <w:rPr>
          <w:rFonts w:ascii="Times New Roman" w:hAnsi="Times New Roman" w:eastAsia="宋体"/>
          <w:b w:val="0"/>
          <w:i w:val="0"/>
          <w:sz w:val="22"/>
        </w:rPr>
        <w:t>电力市场是受监管的行业，定价决策需要可审计。强化学习模型的黑箱特性给审计带来了挑战。可审计性框架应包括：</w:t>
      </w:r>
    </w:p>
    <w:p>
      <w:pPr>
        <w:spacing w:line="360" w:lineRule="auto" w:after="0"/>
        <w:ind w:firstLine="425"/>
      </w:pPr>
      <w:r>
        <w:rPr>
          <w:rFonts w:ascii="Times New Roman" w:hAnsi="Times New Roman" w:eastAsia="宋体"/>
          <w:b w:val="0"/>
          <w:i w:val="0"/>
          <w:sz w:val="22"/>
        </w:rPr>
        <w:t>决策日志记录每次定价决策的输入数据、模型参数、决策结果和决策依据。日志应足够详细以支持事后重建决策过程。区块链技术可以保证日志的不可篡改性。</w:t>
      </w:r>
    </w:p>
    <w:p>
      <w:pPr>
        <w:spacing w:line="360" w:lineRule="auto" w:after="0"/>
        <w:ind w:firstLine="425"/>
      </w:pPr>
      <w:r>
        <w:rPr>
          <w:rFonts w:ascii="Times New Roman" w:hAnsi="Times New Roman" w:eastAsia="宋体"/>
          <w:b w:val="0"/>
          <w:i w:val="0"/>
          <w:sz w:val="22"/>
        </w:rPr>
        <w:t>模型卡片（Model Card）记录模型的训练数据、性能指标、适用范围和已知局限性。模型卡片类似于产品说明书，帮助审计人员理解模型的能力和限制。</w:t>
      </w:r>
    </w:p>
    <w:p>
      <w:pPr>
        <w:spacing w:line="360" w:lineRule="auto" w:after="0"/>
        <w:ind w:firstLine="425"/>
      </w:pPr>
      <w:r>
        <w:rPr>
          <w:rFonts w:ascii="Times New Roman" w:hAnsi="Times New Roman" w:eastAsia="宋体"/>
          <w:b w:val="0"/>
          <w:i w:val="0"/>
          <w:sz w:val="22"/>
        </w:rPr>
        <w:t>解释性工具（如SHAP、LIME）为每次定价决策提供特征贡献分析，揭示哪些因素对决策影响最大。这些解释虽然不是完整的因果分析，但可以帮助审计人员识别异常决策。</w:t>
      </w:r>
    </w:p>
    <w:p>
      <w:pPr>
        <w:spacing w:line="360" w:lineRule="auto" w:after="0"/>
        <w:ind w:firstLine="425"/>
      </w:pPr>
      <w:r>
        <w:rPr>
          <w:rFonts w:ascii="Times New Roman" w:hAnsi="Times New Roman" w:eastAsia="宋体"/>
          <w:b w:val="0"/>
          <w:i w:val="0"/>
          <w:sz w:val="22"/>
        </w:rPr>
        <w:t>场景测试在预定义的关键场景（如极端天气、设备故障、市场操纵）下测试模型行为，确保模型在这些场景下产生合理的定价决策。场景测试结果应记录并定期审查。</w:t>
      </w:r>
    </w:p>
    <w:p>
      <w:pPr>
        <w:pStyle w:val="Heading2"/>
        <w:spacing w:before="240" w:after="80"/>
      </w:pPr>
      <w:r>
        <w:rPr>
          <w:rFonts w:ascii="Times New Roman" w:hAnsi="Times New Roman" w:eastAsia="黑体"/>
          <w:b/>
          <w:i w:val="0"/>
          <w:sz w:val="28"/>
        </w:rPr>
        <w:t>思考题</w:t>
      </w:r>
    </w:p>
    <w:p>
      <w:pPr>
        <w:pStyle w:val="ListNumber"/>
        <w:spacing w:line="360" w:lineRule="auto" w:after="0"/>
      </w:pPr>
      <w:r>
        <w:rPr>
          <w:rFonts w:ascii="Times New Roman" w:hAnsi="Times New Roman" w:eastAsia="宋体"/>
          <w:b w:val="0"/>
          <w:i w:val="0"/>
          <w:sz w:val="22"/>
        </w:rPr>
        <w:t>比较对偶分解法、内点法和次梯度算法在实时定价问题中的适用条件、收敛速率和计算复杂度。</w:t>
      </w:r>
    </w:p>
    <w:p>
      <w:pPr>
        <w:pStyle w:val="ListNumber"/>
        <w:spacing w:line="360" w:lineRule="auto" w:after="0"/>
      </w:pPr>
      <w:r>
        <w:rPr>
          <w:rFonts w:ascii="Times New Roman" w:hAnsi="Times New Roman" w:eastAsia="宋体"/>
          <w:b w:val="0"/>
          <w:i w:val="0"/>
          <w:sz w:val="22"/>
        </w:rPr>
        <w:t>针对一个含1000个节点的电力系统实时定价问题，设计一个基于ADMM的分布式求解方案，包括子问题分解、通信协议和收敛判据。</w:t>
      </w:r>
    </w:p>
    <w:p>
      <w:pPr>
        <w:pStyle w:val="ListNumber"/>
        <w:spacing w:line="360" w:lineRule="auto" w:after="0"/>
      </w:pPr>
      <w:r>
        <w:rPr>
          <w:rFonts w:ascii="Times New Roman" w:hAnsi="Times New Roman" w:eastAsia="宋体"/>
          <w:b w:val="0"/>
          <w:i w:val="0"/>
          <w:sz w:val="22"/>
        </w:rPr>
        <w:t>分析滚动时域优化中预测时域长度N的选择对定价决策质量和实时性的影响，讨论最优N的确定方法。</w:t>
      </w:r>
    </w:p>
    <w:p>
      <w:pPr>
        <w:pStyle w:val="ListNumber"/>
        <w:spacing w:line="360" w:lineRule="auto" w:after="0"/>
      </w:pPr>
      <w:r>
        <w:rPr>
          <w:rFonts w:ascii="Times New Roman" w:hAnsi="Times New Roman" w:eastAsia="宋体"/>
          <w:b w:val="0"/>
          <w:i w:val="0"/>
          <w:sz w:val="22"/>
        </w:rPr>
        <w:t>讨论热启动技术在实时定价中的实现方法，分析系统状态突变时热启动失效的检测和恢复策略。</w:t>
      </w:r>
    </w:p>
    <w:p>
      <w:pPr>
        <w:pStyle w:val="ListNumber"/>
        <w:spacing w:line="360" w:lineRule="auto" w:after="0"/>
      </w:pPr>
      <w:r>
        <w:rPr>
          <w:rFonts w:ascii="Times New Roman" w:hAnsi="Times New Roman" w:eastAsia="宋体"/>
          <w:b w:val="0"/>
          <w:i w:val="0"/>
          <w:sz w:val="22"/>
        </w:rPr>
        <w:t>结合并行计算技术，设计一个满足5分钟实时计算窗口的大规模定价算法架构。</w:t>
      </w:r>
    </w:p>
    <w:p>
      <w:pPr>
        <w:pStyle w:val="Heading3"/>
        <w:spacing w:before="160" w:after="60"/>
      </w:pPr>
      <w:r>
        <w:rPr>
          <w:rFonts w:ascii="Times New Roman" w:hAnsi="Times New Roman" w:eastAsia="黑体"/>
          <w:b/>
          <w:i w:val="0"/>
          <w:sz w:val="24"/>
        </w:rPr>
        <w:t>补充讨论</w:t>
      </w:r>
    </w:p>
    <w:p>
      <w:pPr>
        <w:spacing w:line="360" w:lineRule="auto" w:after="0"/>
        <w:ind w:firstLine="425"/>
      </w:pPr>
      <w:r>
        <w:rPr>
          <w:rFonts w:ascii="Times New Roman" w:hAnsi="Times New Roman" w:eastAsia="宋体"/>
          <w:b w:val="0"/>
          <w:i w:val="0"/>
          <w:sz w:val="22"/>
        </w:rPr>
        <w:t>此外，Boyd S, Parikh N, Chu E, et al. Distributed optimization and statistical learning via the alternatin。这些研究为本章的理论框架提供了重要的方法论支撑</w:t>
      </w:r>
      <w:r>
        <w:rPr>
          <w:rFonts w:ascii="Times New Roman" w:hAnsi="Times New Roman" w:eastAsia="Times New Roman"/>
          <w:b w:val="0"/>
          <w:i w:val="0"/>
          <w:sz w:val="18"/>
          <w:vertAlign w:val="superscript"/>
        </w:rPr>
        <w:t>[8]</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此外，Bertsekas D P. Nonlinear Programming[M]. 3rd ed. Athena Scientific, 2016.。这些研究为本章的理论框架提供了重要的方法论支撑</w:t>
      </w:r>
      <w:r>
        <w:rPr>
          <w:rFonts w:ascii="Times New Roman" w:hAnsi="Times New Roman" w:eastAsia="Times New Roman"/>
          <w:b w:val="0"/>
          <w:i w:val="0"/>
          <w:sz w:val="18"/>
          <w:vertAlign w:val="superscript"/>
        </w:rPr>
        <w:t>[9]</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此外，Bertsekas D P, Tsitsiklis J N. Parallel and Distributed Computation: Numerical Methods[M]. Athena Sc。这些研究为本章的理论框架提供了重要的方法论支撑</w:t>
      </w:r>
      <w:r>
        <w:rPr>
          <w:rFonts w:ascii="Times New Roman" w:hAnsi="Times New Roman" w:eastAsia="Times New Roman"/>
          <w:b w:val="0"/>
          <w:i w:val="0"/>
          <w:sz w:val="18"/>
          <w:vertAlign w:val="superscript"/>
        </w:rPr>
        <w:t>[10]</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此外，Wang Gao. Distributed real-time pricing method incorporating load uncertainty based on non-smooth eq。这些研究为本章的理论框架提供了重要的方法论支撑</w:t>
      </w:r>
      <w:r>
        <w:rPr>
          <w:rFonts w:ascii="Times New Roman" w:hAnsi="Times New Roman" w:eastAsia="Times New Roman"/>
          <w:b w:val="0"/>
          <w:i w:val="0"/>
          <w:sz w:val="18"/>
          <w:vertAlign w:val="superscript"/>
        </w:rPr>
        <w:t>[11]</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7.6.1 算法的收敛性保证</w:t>
      </w:r>
    </w:p>
    <w:p>
      <w:pPr>
        <w:spacing w:line="360" w:lineRule="auto" w:after="0"/>
        <w:ind w:firstLine="425"/>
      </w:pPr>
      <w:r>
        <w:rPr>
          <w:rFonts w:ascii="Times New Roman" w:hAnsi="Times New Roman" w:eastAsia="宋体"/>
          <w:b w:val="0"/>
          <w:i w:val="0"/>
          <w:sz w:val="22"/>
        </w:rPr>
        <w:t>实时定价优化算法的收敛性是保证系统稳定运行的基础。不同算法的收敛性条件各不相同，本节进行系统梳理。</w:t>
      </w:r>
    </w:p>
    <w:p>
      <w:pPr>
        <w:spacing w:line="360" w:lineRule="auto" w:after="0"/>
        <w:ind w:firstLine="425"/>
      </w:pPr>
      <w:r>
        <w:rPr>
          <w:rFonts w:ascii="Times New Roman" w:hAnsi="Times New Roman" w:eastAsia="宋体"/>
          <w:b/>
          <w:i w:val="0"/>
          <w:sz w:val="22"/>
        </w:rPr>
        <w:t>对偶分解法的收敛性</w:t>
      </w:r>
      <w:r>
        <w:rPr>
          <w:rFonts w:ascii="Times New Roman" w:hAnsi="Times New Roman" w:eastAsia="宋体"/>
          <w:b w:val="0"/>
          <w:i w:val="0"/>
          <w:sz w:val="22"/>
        </w:rPr>
        <w:t>：当主问题是凸优化问题且Slater条件满足时，对偶分解法保证收敛到全局最优解。收敛速度取决于目标函数的强凸性——强凸参数越大，收敛越快。当目标函数非强凸时（如对数效用函数），可以添加邻近项改善收敛性。邻近参数的选择需要在收敛速度和解的精度之间权衡：参数越大收敛越快但解可能偏离最优，参数越小收敛越慢但解更精确。</w:t>
      </w:r>
    </w:p>
    <w:p>
      <w:pPr>
        <w:spacing w:line="360" w:lineRule="auto" w:after="0"/>
        <w:ind w:firstLine="425"/>
      </w:pPr>
      <w:r>
        <w:rPr>
          <w:rFonts w:ascii="Times New Roman" w:hAnsi="Times New Roman" w:eastAsia="宋体"/>
          <w:b/>
          <w:i w:val="0"/>
          <w:sz w:val="22"/>
        </w:rPr>
        <w:t>ADMM的收敛性</w:t>
      </w:r>
      <w:r>
        <w:rPr>
          <w:rFonts w:ascii="Times New Roman" w:hAnsi="Times New Roman" w:eastAsia="宋体"/>
          <w:b w:val="0"/>
          <w:i w:val="0"/>
          <w:sz w:val="22"/>
        </w:rPr>
        <w:t>：ADMM在两块变量分裂的情况下具有较好的收敛性质——目标函数凸且两块变量均可分离时，ADMM保证收敛。然而，多块变量分裂的ADMM收敛性保证较弱，可能需要额外的假设或算法改进。在实时定价中，多区域协调问题涉及多块变量，需要使用改进的ADMM变体（如Gauss-Seidel ADMM或同步ADMM）。</w:t>
      </w:r>
    </w:p>
    <w:p>
      <w:pPr>
        <w:spacing w:line="360" w:lineRule="auto" w:after="0"/>
        <w:ind w:firstLine="425"/>
      </w:pPr>
      <w:r>
        <w:rPr>
          <w:rFonts w:ascii="Times New Roman" w:hAnsi="Times New Roman" w:eastAsia="宋体"/>
          <w:b/>
          <w:i w:val="0"/>
          <w:sz w:val="22"/>
        </w:rPr>
        <w:t>次梯度算法的收敛性</w:t>
      </w:r>
      <w:r>
        <w:rPr>
          <w:rFonts w:ascii="Times New Roman" w:hAnsi="Times New Roman" w:eastAsia="宋体"/>
          <w:b w:val="0"/>
          <w:i w:val="0"/>
          <w:sz w:val="22"/>
        </w:rPr>
        <w:t>：次梯度算法不保证单调下降，但收敛到最优值的平均值的期望。步长选择对收敛性至关重要：恒定步长收敛到最优值附近但存在振荡；递减步长（如α_k = 1/k）收敛到精确最优值但速度慢。Polyak步长规则α_k = (f(x_k) - f</w:t>
      </w:r>
      <w:r>
        <w:rPr>
          <w:rFonts w:ascii="Times New Roman" w:hAnsi="Times New Roman" w:eastAsia="宋体"/>
          <w:b w:val="0"/>
          <w:i/>
          <w:sz w:val="22"/>
        </w:rPr>
        <w:t>)/||g_k||^2在实践中效果较好，但需要估计最优值f</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7.6.2 实时性保证与计算优化</w:t>
      </w:r>
    </w:p>
    <w:p>
      <w:pPr>
        <w:spacing w:line="360" w:lineRule="auto" w:after="0"/>
        <w:ind w:firstLine="425"/>
      </w:pPr>
      <w:r>
        <w:rPr>
          <w:rFonts w:ascii="Times New Roman" w:hAnsi="Times New Roman" w:eastAsia="宋体"/>
          <w:b w:val="0"/>
          <w:i w:val="0"/>
          <w:sz w:val="22"/>
        </w:rPr>
        <w:t>实时定价系统通常要求在15分钟内完成价格计算和信号传输。对于大规模系统（N&gt;10000用户），计算效率成为关键瓶颈。以下计算优化策略可提高实时性。</w:t>
      </w:r>
    </w:p>
    <w:p>
      <w:pPr>
        <w:spacing w:line="360" w:lineRule="auto" w:after="0"/>
        <w:ind w:firstLine="425"/>
      </w:pPr>
      <w:r>
        <w:rPr>
          <w:rFonts w:ascii="Times New Roman" w:hAnsi="Times New Roman" w:eastAsia="宋体"/>
          <w:b/>
          <w:i w:val="0"/>
          <w:sz w:val="22"/>
        </w:rPr>
        <w:t>稀疏矩阵技术</w:t>
      </w:r>
      <w:r>
        <w:rPr>
          <w:rFonts w:ascii="Times New Roman" w:hAnsi="Times New Roman" w:eastAsia="宋体"/>
          <w:b w:val="0"/>
          <w:i w:val="0"/>
          <w:sz w:val="22"/>
        </w:rPr>
        <w:t>：大规模优化问题中，雅可比矩阵和海森矩阵通常是稀疏的。利用稀疏矩阵存储和运算可将内存消耗从O(N^2)降低到O(N)，计算速度提高10到100倍。Python的SciPy.sparse模块和MATLAB的sparse函数提供了高效的稀疏矩阵运算。</w:t>
      </w:r>
    </w:p>
    <w:p>
      <w:pPr>
        <w:spacing w:line="360" w:lineRule="auto" w:after="0"/>
        <w:ind w:firstLine="425"/>
      </w:pPr>
      <w:r>
        <w:rPr>
          <w:rFonts w:ascii="Times New Roman" w:hAnsi="Times New Roman" w:eastAsia="宋体"/>
          <w:b/>
          <w:i w:val="0"/>
          <w:sz w:val="22"/>
        </w:rPr>
        <w:t>预热启动（Warm Start）</w:t>
      </w:r>
      <w:r>
        <w:rPr>
          <w:rFonts w:ascii="Times New Roman" w:hAnsi="Times New Roman" w:eastAsia="宋体"/>
          <w:b w:val="0"/>
          <w:i w:val="0"/>
          <w:sz w:val="22"/>
        </w:rPr>
        <w:t>：利用上一时段的解作为当前时段的初始点。由于相邻时段的负荷和价格变化不大，预热启动可显著减少迭代次数。实验表明，预热启动可使收敛速度提高3到5倍。</w:t>
      </w:r>
    </w:p>
    <w:p>
      <w:pPr>
        <w:spacing w:line="360" w:lineRule="auto" w:after="0"/>
        <w:ind w:firstLine="425"/>
      </w:pPr>
      <w:r>
        <w:rPr>
          <w:rFonts w:ascii="Times New Roman" w:hAnsi="Times New Roman" w:eastAsia="宋体"/>
          <w:b/>
          <w:i w:val="0"/>
          <w:sz w:val="22"/>
        </w:rPr>
        <w:t>并行计算</w:t>
      </w:r>
      <w:r>
        <w:rPr>
          <w:rFonts w:ascii="Times New Roman" w:hAnsi="Times New Roman" w:eastAsia="宋体"/>
          <w:b w:val="0"/>
          <w:i w:val="0"/>
          <w:sz w:val="22"/>
        </w:rPr>
        <w:t>：分布式算法天然支持并行实现。各子问题可在不同CPU核心或计算节点上并行求解，通过消息传递接口（MPI）协调。对于N=10000用户的系统，8核并行可将求解时间从12秒降低到2秒。GPU加速在矩阵运算密集的场景中也有显著效果。</w:t>
      </w:r>
    </w:p>
    <w:p>
      <w:pPr>
        <w:pStyle w:val="Heading3"/>
        <w:spacing w:before="160" w:after="60"/>
      </w:pPr>
      <w:r>
        <w:rPr>
          <w:rFonts w:ascii="Times New Roman" w:hAnsi="Times New Roman" w:eastAsia="黑体"/>
          <w:b/>
          <w:i w:val="0"/>
          <w:sz w:val="24"/>
        </w:rPr>
        <w:t>7.6.3 算法的分布式实现架构</w:t>
      </w:r>
    </w:p>
    <w:p>
      <w:pPr>
        <w:spacing w:line="360" w:lineRule="auto" w:after="0"/>
        <w:ind w:firstLine="425"/>
      </w:pPr>
      <w:r>
        <w:rPr>
          <w:rFonts w:ascii="Times New Roman" w:hAnsi="Times New Roman" w:eastAsia="宋体"/>
          <w:b w:val="0"/>
          <w:i w:val="0"/>
          <w:sz w:val="22"/>
        </w:rPr>
        <w:t>大规模实时定价系统需要在分布式计算架构上实现优化算法。常见的分布式架构包括以下几种。</w:t>
      </w:r>
    </w:p>
    <w:p>
      <w:pPr>
        <w:spacing w:line="360" w:lineRule="auto" w:after="0"/>
        <w:ind w:firstLine="425"/>
      </w:pPr>
      <w:r>
        <w:rPr>
          <w:rFonts w:ascii="Times New Roman" w:hAnsi="Times New Roman" w:eastAsia="宋体"/>
          <w:b/>
          <w:i w:val="0"/>
          <w:sz w:val="22"/>
        </w:rPr>
        <w:t>星型架构</w:t>
      </w:r>
      <w:r>
        <w:rPr>
          <w:rFonts w:ascii="Times New Roman" w:hAnsi="Times New Roman" w:eastAsia="宋体"/>
          <w:b w:val="0"/>
          <w:i w:val="0"/>
          <w:sz w:val="22"/>
        </w:rPr>
        <w:t>：一个中央协调节点与多个用户节点通信。中央节点负责更新价格信号，用户节点在收到价格后独立优化用电决策并反馈边际效用。星型架构实现简单，但中央节点可能成为瓶颈和单点故障。适合用户规模在1000以下的中小型系统。</w:t>
      </w:r>
    </w:p>
    <w:p>
      <w:pPr>
        <w:spacing w:line="360" w:lineRule="auto" w:after="0"/>
        <w:ind w:firstLine="425"/>
      </w:pPr>
      <w:r>
        <w:rPr>
          <w:rFonts w:ascii="Times New Roman" w:hAnsi="Times New Roman" w:eastAsia="宋体"/>
          <w:b/>
          <w:i w:val="0"/>
          <w:sz w:val="22"/>
        </w:rPr>
        <w:t>网状架构</w:t>
      </w:r>
      <w:r>
        <w:rPr>
          <w:rFonts w:ascii="Times New Roman" w:hAnsi="Times New Roman" w:eastAsia="宋体"/>
          <w:b w:val="0"/>
          <w:i w:val="0"/>
          <w:sz w:val="22"/>
        </w:rPr>
        <w:t>：相邻用户节点之间直接通信，无需中央协调。各用户根据邻居的信息更新策略，通过局部交互实现全局收敛。网状架构的通信负担分散，无单点故障，但收敛分析复杂。适合大规模分布式能源系统。</w:t>
      </w:r>
    </w:p>
    <w:p>
      <w:pPr>
        <w:spacing w:line="360" w:lineRule="auto" w:after="0"/>
        <w:ind w:firstLine="425"/>
      </w:pPr>
      <w:r>
        <w:rPr>
          <w:rFonts w:ascii="Times New Roman" w:hAnsi="Times New Roman" w:eastAsia="宋体"/>
          <w:b/>
          <w:i w:val="0"/>
          <w:sz w:val="22"/>
        </w:rPr>
        <w:t>层次架构</w:t>
      </w:r>
      <w:r>
        <w:rPr>
          <w:rFonts w:ascii="Times New Roman" w:hAnsi="Times New Roman" w:eastAsia="宋体"/>
          <w:b w:val="0"/>
          <w:i w:val="0"/>
          <w:sz w:val="22"/>
        </w:rPr>
        <w:t>：将用户按地理区域分组，每组有一个区域协调器。区域协调器负责组内协调，组间通过上层协调器协调。层次架构兼顾了集中式的效率和分布式的灵活性，适合省级或区域级电力系统。</w:t>
      </w:r>
    </w:p>
    <w:p>
      <w:pPr>
        <w:spacing w:line="360" w:lineRule="auto" w:after="0"/>
        <w:ind w:firstLine="425"/>
      </w:pPr>
      <w:r>
        <w:rPr>
          <w:rFonts w:ascii="Times New Roman" w:hAnsi="Times New Roman" w:eastAsia="宋体"/>
          <w:b w:val="0"/>
          <w:i w:val="0"/>
          <w:sz w:val="22"/>
        </w:rPr>
        <w:t>在通信协议层面，OpenADR 2.0b标准支持星型架构的通信需求。MQTT和AMQP协议适用于网状和层次架构，支持发布/订阅模式和消息队列。5G和边缘计算技术的发展为分布式定价算法的实时通信提供了基础设施保障。</w:t>
      </w:r>
    </w:p>
    <w:p>
      <w:pPr>
        <w:pStyle w:val="Heading2"/>
        <w:spacing w:before="240" w:after="80"/>
      </w:pPr>
      <w:r>
        <w:rPr>
          <w:rFonts w:ascii="Times New Roman" w:hAnsi="Times New Roman" w:eastAsia="黑体"/>
          <w:b/>
          <w:i w:val="0"/>
          <w:sz w:val="28"/>
        </w:rPr>
        <w:t>参考文献</w:t>
      </w:r>
    </w:p>
    <w:p>
      <w:pPr>
        <w:spacing w:after="40" w:line="276" w:lineRule="auto"/>
        <w:ind w:left="425" w:hanging="425"/>
      </w:pPr>
      <w:r>
        <w:rPr>
          <w:rFonts w:ascii="Times New Roman" w:hAnsi="Times New Roman" w:eastAsia="宋体"/>
          <w:b w:val="0"/>
          <w:i w:val="0"/>
          <w:sz w:val="20"/>
        </w:rPr>
        <w:t>[1] 徐伟强, 冯兆丽, 黄炯, 等. 基于改进对偶分解的智能电网快速实时定价方法[J]. 电力系统自动化, 2012, 36(24): 50-55.</w:t>
      </w:r>
    </w:p>
    <w:p>
      <w:pPr>
        <w:spacing w:after="40" w:line="276" w:lineRule="auto"/>
        <w:ind w:left="425" w:hanging="425"/>
      </w:pPr>
      <w:r>
        <w:rPr>
          <w:rFonts w:ascii="Times New Roman" w:hAnsi="Times New Roman" w:eastAsia="宋体"/>
          <w:b w:val="0"/>
          <w:i w:val="0"/>
          <w:sz w:val="20"/>
        </w:rPr>
        <w:t>[2] 许志宏, 高岩, 朱红波, 陶莉. 基于分片线性效用函数的实时电价定价策略[J]. 电力系统自动化, 2018, 42(15): 78-85.</w:t>
      </w:r>
    </w:p>
    <w:p>
      <w:pPr>
        <w:spacing w:after="40" w:line="276" w:lineRule="auto"/>
        <w:ind w:left="425" w:hanging="425"/>
      </w:pPr>
      <w:r>
        <w:rPr>
          <w:rFonts w:ascii="Times New Roman" w:hAnsi="Times New Roman" w:eastAsia="宋体"/>
          <w:b w:val="0"/>
          <w:i w:val="0"/>
          <w:sz w:val="20"/>
        </w:rPr>
        <w:t>[3] Tao et al. A Rolling Penalty Function Algorithm of Real-Time Pricing for Smart Microgrids[J]. Journal of Industrial and Management Optimization, 2020.</w:t>
      </w:r>
    </w:p>
    <w:p>
      <w:pPr>
        <w:spacing w:after="40" w:line="276" w:lineRule="auto"/>
        <w:ind w:left="425" w:hanging="425"/>
      </w:pPr>
      <w:r>
        <w:rPr>
          <w:rFonts w:ascii="Times New Roman" w:hAnsi="Times New Roman" w:eastAsia="宋体"/>
          <w:b w:val="0"/>
          <w:i w:val="0"/>
          <w:sz w:val="20"/>
        </w:rPr>
        <w:t>[4] Yuan et al. A Bilevel Programming Approach for Real-Time Pricing Strategy of Smart Grid[J]. International Journal of Electrical Power &amp; Energy Systems, 2021, 126: 106598.</w:t>
      </w:r>
    </w:p>
    <w:p>
      <w:pPr>
        <w:spacing w:after="40" w:line="276" w:lineRule="auto"/>
        <w:ind w:left="425" w:hanging="425"/>
      </w:pPr>
      <w:r>
        <w:rPr>
          <w:rFonts w:ascii="Times New Roman" w:hAnsi="Times New Roman" w:eastAsia="宋体"/>
          <w:b w:val="0"/>
          <w:i w:val="0"/>
          <w:sz w:val="20"/>
        </w:rPr>
        <w:t>[5] Meng F, Zeng X. An Optimal Real-time Pricing Algorithm for the Smart Grid: A Bi-level Programming Approach[C]. ICCSW, 2013: 81-86.</w:t>
      </w:r>
    </w:p>
    <w:p>
      <w:pPr>
        <w:spacing w:after="40" w:line="276" w:lineRule="auto"/>
        <w:ind w:left="425" w:hanging="425"/>
      </w:pPr>
      <w:r>
        <w:rPr>
          <w:rFonts w:ascii="Times New Roman" w:hAnsi="Times New Roman" w:eastAsia="宋体"/>
          <w:b w:val="0"/>
          <w:i w:val="0"/>
          <w:sz w:val="20"/>
        </w:rPr>
        <w:t>[6] Tao et al. Distributed Real-Time Pricing for Smart Grid Considering Sparse Constraints[J]. Journal of Industrial and Management Optimization, 2021.</w:t>
      </w:r>
    </w:p>
    <w:p>
      <w:pPr>
        <w:spacing w:after="40" w:line="276" w:lineRule="auto"/>
        <w:ind w:left="425" w:hanging="425"/>
      </w:pPr>
      <w:r>
        <w:rPr>
          <w:rFonts w:ascii="Times New Roman" w:hAnsi="Times New Roman" w:eastAsia="宋体"/>
          <w:b w:val="0"/>
          <w:i w:val="0"/>
          <w:sz w:val="20"/>
        </w:rPr>
        <w:t>[7] Tao, Gao. Real-Time Pricing for Smart Grid with Distributed Energy and Storage[J]. Journal of Industrial and Management Optimization, 2020.</w:t>
      </w:r>
    </w:p>
    <w:p>
      <w:pPr>
        <w:spacing w:after="40" w:line="276" w:lineRule="auto"/>
        <w:ind w:left="425" w:hanging="425"/>
      </w:pPr>
      <w:r>
        <w:rPr>
          <w:rFonts w:ascii="Times New Roman" w:hAnsi="Times New Roman" w:eastAsia="宋体"/>
          <w:b w:val="0"/>
          <w:i w:val="0"/>
          <w:sz w:val="20"/>
        </w:rPr>
        <w:t>[8] Boyd S, Parikh N, Chu E, et al. Distributed optimization and statistical learning via the alternating direction method of multipliers[J]. Foundations and Trends in Machine Learning, 2011, 3(1): 1-122.</w:t>
      </w:r>
    </w:p>
    <w:p>
      <w:pPr>
        <w:spacing w:after="40" w:line="276" w:lineRule="auto"/>
        <w:ind w:left="425" w:hanging="425"/>
      </w:pPr>
      <w:r>
        <w:rPr>
          <w:rFonts w:ascii="Times New Roman" w:hAnsi="Times New Roman" w:eastAsia="宋体"/>
          <w:b w:val="0"/>
          <w:i w:val="0"/>
          <w:sz w:val="20"/>
        </w:rPr>
        <w:t>[9] Bertsekas D P. Nonlinear Programming[M]. 3rd ed. Athena Scientific, 2016.</w:t>
      </w:r>
    </w:p>
    <w:p>
      <w:pPr>
        <w:spacing w:after="40" w:line="276" w:lineRule="auto"/>
        <w:ind w:left="425" w:hanging="425"/>
      </w:pPr>
      <w:r>
        <w:rPr>
          <w:rFonts w:ascii="Times New Roman" w:hAnsi="Times New Roman" w:eastAsia="宋体"/>
          <w:b w:val="0"/>
          <w:i w:val="0"/>
          <w:sz w:val="20"/>
        </w:rPr>
        <w:t>[10] Bertsekas D P, Tsitsiklis J N. Parallel and Distributed Computation: Numerical Methods[M]. Athena Scientific, 1997.</w:t>
      </w:r>
    </w:p>
    <w:p>
      <w:pPr>
        <w:spacing w:after="40" w:line="276" w:lineRule="auto"/>
        <w:ind w:left="425" w:hanging="425"/>
      </w:pPr>
      <w:r>
        <w:rPr>
          <w:rFonts w:ascii="Times New Roman" w:hAnsi="Times New Roman" w:eastAsia="宋体"/>
          <w:b w:val="0"/>
          <w:i w:val="0"/>
          <w:sz w:val="20"/>
        </w:rPr>
        <w:t>[11] Wang Gao. Distributed real-time pricing method incorporating load uncertainty based on non-smooth equations[J]. Journal of Industrial and Management Optimization, 2019, 15(2): 531-547.</w:t>
      </w:r>
    </w:p>
    <w:p>
      <w:pPr>
        <w:jc w:val="center"/>
      </w:pPr>
      <w:r>
        <w:drawing>
          <wp:inline xmlns:a="http://schemas.openxmlformats.org/drawingml/2006/main" xmlns:pic="http://schemas.openxmlformats.org/drawingml/2006/picture">
            <wp:extent cx="5029200" cy="3122012"/>
            <wp:docPr id="5" name="Picture 5"/>
            <wp:cNvGraphicFramePr>
              <a:graphicFrameLocks noChangeAspect="1"/>
            </wp:cNvGraphicFramePr>
            <a:graphic>
              <a:graphicData uri="http://schemas.openxmlformats.org/drawingml/2006/picture">
                <pic:pic>
                  <pic:nvPicPr>
                    <pic:cNvPr id="0" name="04_algorithm_convergence.png"/>
                    <pic:cNvPicPr/>
                  </pic:nvPicPr>
                  <pic:blipFill>
                    <a:blip r:embed="rId13"/>
                    <a:stretch>
                      <a:fillRect/>
                    </a:stretch>
                  </pic:blipFill>
                  <pic:spPr>
                    <a:xfrm>
                      <a:off x="0" y="0"/>
                      <a:ext cx="5029200" cy="3122012"/>
                    </a:xfrm>
                    <a:prstGeom prst="rect"/>
                  </pic:spPr>
                </pic:pic>
              </a:graphicData>
            </a:graphic>
          </wp:inline>
        </w:drawing>
      </w:r>
    </w:p>
    <w:p>
      <w:pPr>
        <w:jc w:val="center"/>
      </w:pPr>
      <w:r>
        <w:rPr>
          <w:rFonts w:ascii="Times New Roman" w:hAnsi="Times New Roman" w:eastAsia="黑体"/>
          <w:b/>
          <w:i w:val="0"/>
          <w:color w:val="606060"/>
          <w:sz w:val="20"/>
        </w:rPr>
        <w:t>图4 不同优化算法收敛速度对比</w:t>
      </w:r>
    </w:p>
    <w:p>
      <w:r>
        <w:br w:type="page"/>
      </w:r>
    </w:p>
    <w:p>
      <w:pPr>
        <w:pStyle w:val="Heading1"/>
        <w:spacing w:before="360" w:after="120"/>
      </w:pPr>
      <w:r>
        <w:rPr>
          <w:rFonts w:ascii="Times New Roman" w:hAnsi="Times New Roman" w:eastAsia="黑体"/>
          <w:b/>
          <w:i w:val="0"/>
          <w:sz w:val="32"/>
        </w:rPr>
        <w:t>第8章 强化学习与智能定价方法</w:t>
      </w:r>
    </w:p>
    <w:p>
      <w:pPr>
        <w:pStyle w:val="Heading2"/>
        <w:spacing w:before="240" w:after="80"/>
      </w:pPr>
      <w:r>
        <w:rPr>
          <w:rFonts w:ascii="Times New Roman" w:hAnsi="Times New Roman" w:eastAsia="黑体"/>
          <w:b/>
          <w:i w:val="0"/>
          <w:sz w:val="28"/>
        </w:rPr>
        <w:t>学习目标</w:t>
      </w:r>
    </w:p>
    <w:p>
      <w:pPr>
        <w:pStyle w:val="ListBullet"/>
        <w:spacing w:line="360" w:lineRule="auto" w:after="0"/>
      </w:pPr>
      <w:r>
        <w:rPr>
          <w:rFonts w:ascii="Times New Roman" w:hAnsi="Times New Roman" w:eastAsia="宋体"/>
          <w:b w:val="0"/>
          <w:i w:val="0"/>
          <w:sz w:val="22"/>
        </w:rPr>
        <w:t>理解强化学习的基本原理及其在实时定价中的应用动机</w:t>
      </w:r>
    </w:p>
    <w:p>
      <w:pPr>
        <w:pStyle w:val="ListBullet"/>
        <w:spacing w:line="360" w:lineRule="auto" w:after="0"/>
      </w:pPr>
      <w:r>
        <w:rPr>
          <w:rFonts w:ascii="Times New Roman" w:hAnsi="Times New Roman" w:eastAsia="宋体"/>
          <w:b w:val="0"/>
          <w:i w:val="0"/>
          <w:sz w:val="22"/>
        </w:rPr>
        <w:t>掌握Q学习、深度强化学习在定价中的具体应用方法</w:t>
      </w:r>
    </w:p>
    <w:p>
      <w:pPr>
        <w:pStyle w:val="ListBullet"/>
        <w:spacing w:line="360" w:lineRule="auto" w:after="0"/>
      </w:pPr>
      <w:r>
        <w:rPr>
          <w:rFonts w:ascii="Times New Roman" w:hAnsi="Times New Roman" w:eastAsia="宋体"/>
          <w:b w:val="0"/>
          <w:i w:val="0"/>
          <w:sz w:val="22"/>
        </w:rPr>
        <w:t>了解多Agent深度强化学习和LLM增强定价的前沿进展</w:t>
      </w:r>
    </w:p>
    <w:p>
      <w:pPr>
        <w:pStyle w:val="Heading2"/>
        <w:spacing w:before="240" w:after="80"/>
      </w:pPr>
      <w:r>
        <w:rPr>
          <w:rFonts w:ascii="Times New Roman" w:hAnsi="Times New Roman" w:eastAsia="黑体"/>
          <w:b/>
          <w:i w:val="0"/>
          <w:sz w:val="28"/>
        </w:rPr>
        <w:t>导入案例：从模型驱动到数据驱动的定价范式转变</w:t>
      </w:r>
    </w:p>
    <w:p>
      <w:pPr>
        <w:spacing w:line="360" w:lineRule="auto" w:after="0"/>
        <w:ind w:firstLine="425"/>
      </w:pPr>
      <w:r>
        <w:rPr>
          <w:rFonts w:ascii="Times New Roman" w:hAnsi="Times New Roman" w:eastAsia="宋体"/>
          <w:b w:val="0"/>
          <w:i w:val="0"/>
          <w:sz w:val="22"/>
        </w:rPr>
        <w:t>传统实时定价方法依赖精确的数学模型（效用函数、成本函数等），但在实际应用中，用户行为和电网状态的不确定性使得精确建模困难。强化学习通过与环境交互学习最优定价策略，无需显式建模，代表了从"模型驱动"到"数据驱动"的范式转变。王宏杰等（2022）率先将强化学习引入智能电网实时定价，验证了该方法在复杂不确定性环境下的优越性</w:t>
      </w:r>
      <w:r>
        <w:rPr>
          <w:rFonts w:ascii="Times New Roman" w:hAnsi="Times New Roman" w:eastAsia="Times New Roman"/>
          <w:b w:val="0"/>
          <w:i w:val="0"/>
          <w:sz w:val="18"/>
          <w:vertAlign w:val="superscript"/>
        </w:rPr>
        <w:t>[1]</w:t>
      </w:r>
      <w:r>
        <w:rPr>
          <w:rFonts w:ascii="Times New Roman" w:hAnsi="Times New Roman" w:eastAsia="宋体"/>
          <w:b w:val="0"/>
          <w:i w:val="0"/>
          <w:sz w:val="22"/>
        </w:rPr>
        <w:t>。</w:t>
      </w:r>
    </w:p>
    <w:p>
      <w:pPr>
        <w:pStyle w:val="Heading2"/>
        <w:spacing w:before="240" w:after="80"/>
      </w:pPr>
      <w:r>
        <w:rPr>
          <w:rFonts w:ascii="Times New Roman" w:hAnsi="Times New Roman" w:eastAsia="黑体"/>
          <w:b/>
          <w:i w:val="0"/>
          <w:sz w:val="28"/>
        </w:rPr>
        <w:t>8.1 强化学习基础</w:t>
      </w:r>
    </w:p>
    <w:p>
      <w:pPr>
        <w:pStyle w:val="Heading3"/>
        <w:spacing w:before="160" w:after="60"/>
      </w:pPr>
      <w:r>
        <w:rPr>
          <w:rFonts w:ascii="Times New Roman" w:hAnsi="Times New Roman" w:eastAsia="黑体"/>
          <w:b/>
          <w:i w:val="0"/>
          <w:sz w:val="24"/>
        </w:rPr>
        <w:t>8.1.1 强化学习的基本框架</w:t>
      </w:r>
    </w:p>
    <w:p>
      <w:pPr>
        <w:spacing w:line="360" w:lineRule="auto" w:after="0"/>
        <w:ind w:firstLine="425"/>
      </w:pPr>
      <w:r>
        <w:rPr>
          <w:rFonts w:ascii="Times New Roman" w:hAnsi="Times New Roman" w:eastAsia="宋体"/>
          <w:b w:val="0"/>
          <w:i w:val="0"/>
          <w:sz w:val="22"/>
        </w:rPr>
        <w:t>强化学习（Reinforcement Learning, RL）通过Agent与环境交互学习最优策略。其核心要素包括：</w:t>
      </w:r>
    </w:p>
    <w:p>
      <w:pPr>
        <w:pStyle w:val="ListBullet"/>
        <w:spacing w:line="360" w:lineRule="auto" w:after="0"/>
      </w:pPr>
      <w:r>
        <w:rPr>
          <w:rFonts w:ascii="Times New Roman" w:hAnsi="Times New Roman" w:eastAsia="宋体"/>
          <w:b/>
          <w:i w:val="0"/>
          <w:sz w:val="22"/>
        </w:rPr>
        <w:t>状态S</w:t>
      </w:r>
      <w:r>
        <w:rPr>
          <w:rFonts w:ascii="Times New Roman" w:hAnsi="Times New Roman" w:eastAsia="宋体"/>
          <w:b w:val="0"/>
          <w:i w:val="0"/>
          <w:sz w:val="22"/>
        </w:rPr>
        <w:t>：环境当前状况，如负荷水平、价格历史、时间等</w:t>
      </w:r>
    </w:p>
    <w:p>
      <w:pPr>
        <w:pStyle w:val="ListBullet"/>
        <w:spacing w:line="360" w:lineRule="auto" w:after="0"/>
      </w:pPr>
      <w:r>
        <w:rPr>
          <w:rFonts w:ascii="Times New Roman" w:hAnsi="Times New Roman" w:eastAsia="宋体"/>
          <w:b/>
          <w:i w:val="0"/>
          <w:sz w:val="22"/>
        </w:rPr>
        <w:t>动作A</w:t>
      </w:r>
      <w:r>
        <w:rPr>
          <w:rFonts w:ascii="Times New Roman" w:hAnsi="Times New Roman" w:eastAsia="宋体"/>
          <w:b w:val="0"/>
          <w:i w:val="0"/>
          <w:sz w:val="22"/>
        </w:rPr>
        <w:t>：Agent的决策，如设定电价</w:t>
      </w:r>
    </w:p>
    <w:p>
      <w:pPr>
        <w:pStyle w:val="ListBullet"/>
        <w:spacing w:line="360" w:lineRule="auto" w:after="0"/>
      </w:pPr>
      <w:r>
        <w:rPr>
          <w:rFonts w:ascii="Times New Roman" w:hAnsi="Times New Roman" w:eastAsia="宋体"/>
          <w:b/>
          <w:i w:val="0"/>
          <w:sz w:val="22"/>
        </w:rPr>
        <w:t>奖励R</w:t>
      </w:r>
      <w:r>
        <w:rPr>
          <w:rFonts w:ascii="Times New Roman" w:hAnsi="Times New Roman" w:eastAsia="宋体"/>
          <w:b w:val="0"/>
          <w:i w:val="0"/>
          <w:sz w:val="22"/>
        </w:rPr>
        <w:t>：环境反馈，如社会福利、利润等</w:t>
      </w:r>
    </w:p>
    <w:p>
      <w:pPr>
        <w:pStyle w:val="ListBullet"/>
        <w:spacing w:line="360" w:lineRule="auto" w:after="0"/>
      </w:pPr>
      <w:r>
        <w:rPr>
          <w:rFonts w:ascii="Times New Roman" w:hAnsi="Times New Roman" w:eastAsia="宋体"/>
          <w:b/>
          <w:i w:val="0"/>
          <w:sz w:val="22"/>
        </w:rPr>
        <w:t>策略π</w:t>
      </w:r>
      <w:r>
        <w:rPr>
          <w:rFonts w:ascii="Times New Roman" w:hAnsi="Times New Roman" w:eastAsia="宋体"/>
          <w:b w:val="0"/>
          <w:i w:val="0"/>
          <w:sz w:val="22"/>
        </w:rPr>
        <w:t>：状态到动作的映射</w:t>
      </w:r>
    </w:p>
    <w:p>
      <w:pPr>
        <w:pStyle w:val="ListBullet"/>
        <w:spacing w:line="360" w:lineRule="auto" w:after="0"/>
      </w:pPr>
      <w:r>
        <w:rPr>
          <w:rFonts w:ascii="Times New Roman" w:hAnsi="Times New Roman" w:eastAsia="宋体"/>
          <w:b/>
          <w:i w:val="0"/>
          <w:sz w:val="22"/>
        </w:rPr>
        <w:t>价值函数V/Q</w:t>
      </w:r>
      <w:r>
        <w:rPr>
          <w:rFonts w:ascii="Times New Roman" w:hAnsi="Times New Roman" w:eastAsia="宋体"/>
          <w:b w:val="0"/>
          <w:i w:val="0"/>
          <w:sz w:val="22"/>
        </w:rPr>
        <w:t>：状态或状态-动作对的长期价值估计</w:t>
      </w:r>
    </w:p>
    <w:p>
      <w:pPr>
        <w:pStyle w:val="Heading3"/>
        <w:spacing w:before="160" w:after="60"/>
      </w:pPr>
      <w:r>
        <w:rPr>
          <w:rFonts w:ascii="Times New Roman" w:hAnsi="Times New Roman" w:eastAsia="黑体"/>
          <w:b/>
          <w:i w:val="0"/>
          <w:sz w:val="24"/>
        </w:rPr>
        <w:t>8.1.2 马尔可夫决策过程</w:t>
      </w:r>
    </w:p>
    <w:p>
      <w:pPr>
        <w:spacing w:line="360" w:lineRule="auto" w:after="0"/>
        <w:ind w:firstLine="425"/>
      </w:pPr>
      <w:r>
        <w:rPr>
          <w:rFonts w:ascii="Times New Roman" w:hAnsi="Times New Roman" w:eastAsia="宋体"/>
          <w:b w:val="0"/>
          <w:i w:val="0"/>
          <w:sz w:val="22"/>
        </w:rPr>
        <w:t>李军祥等（2016）首先将马尔可夫决策过程（MDP）引入智能电网实时电价建模</w:t>
      </w:r>
      <w:r>
        <w:rPr>
          <w:rFonts w:ascii="Times New Roman" w:hAnsi="Times New Roman" w:eastAsia="Times New Roman"/>
          <w:b w:val="0"/>
          <w:i w:val="0"/>
          <w:sz w:val="18"/>
          <w:vertAlign w:val="superscript"/>
        </w:rPr>
        <w:t>[2]</w:t>
      </w:r>
      <w:r>
        <w:rPr>
          <w:rFonts w:ascii="Times New Roman" w:hAnsi="Times New Roman" w:eastAsia="宋体"/>
          <w:b w:val="0"/>
          <w:i w:val="0"/>
          <w:sz w:val="22"/>
        </w:rPr>
        <w:t>。MDP将定价问题形式化为：</w:t>
      </w:r>
    </w:p>
    <w:p>
      <w:pPr>
        <w:pStyle w:val="ListBullet"/>
        <w:spacing w:line="360" w:lineRule="auto" w:after="0"/>
      </w:pPr>
      <w:r>
        <w:rPr>
          <w:rFonts w:ascii="Times New Roman" w:hAnsi="Times New Roman" w:eastAsia="宋体"/>
          <w:b w:val="0"/>
          <w:i w:val="0"/>
          <w:sz w:val="22"/>
        </w:rPr>
        <w:t>状态转移：P(s' s, a)描述在状态s采取动作a后转移到状态s'的概率</w:t>
      </w:r>
    </w:p>
    <w:p>
      <w:pPr>
        <w:pStyle w:val="ListBullet"/>
        <w:spacing w:line="360" w:lineRule="auto" w:after="0"/>
      </w:pPr>
      <w:r>
        <w:rPr>
          <w:rFonts w:ascii="Times New Roman" w:hAnsi="Times New Roman" w:eastAsia="宋体"/>
          <w:b w:val="0"/>
          <w:i w:val="0"/>
          <w:sz w:val="22"/>
        </w:rPr>
        <w:t>目标：最大化累积折扣奖励 mathbbE[Σ_t=0^∞ γ^t R(s_t, a_t)]</w:t>
      </w:r>
    </w:p>
    <w:p>
      <w:pPr>
        <w:spacing w:line="360" w:lineRule="auto" w:after="0"/>
        <w:ind w:firstLine="425"/>
      </w:pPr>
      <w:r>
        <w:rPr>
          <w:rFonts w:ascii="Times New Roman" w:hAnsi="Times New Roman" w:eastAsia="宋体"/>
          <w:b w:val="0"/>
          <w:i w:val="0"/>
          <w:sz w:val="22"/>
        </w:rPr>
        <w:t>朱红波等（2018）将MDP扩展到多类用户场景</w:t>
      </w:r>
      <w:r>
        <w:rPr>
          <w:rFonts w:ascii="Times New Roman" w:hAnsi="Times New Roman" w:eastAsia="Times New Roman"/>
          <w:b w:val="0"/>
          <w:i w:val="0"/>
          <w:sz w:val="18"/>
          <w:vertAlign w:val="superscript"/>
        </w:rPr>
        <w:t>[3]</w:t>
      </w:r>
      <w:r>
        <w:rPr>
          <w:rFonts w:ascii="Times New Roman" w:hAnsi="Times New Roman" w:eastAsia="宋体"/>
          <w:b w:val="0"/>
          <w:i w:val="0"/>
          <w:sz w:val="22"/>
        </w:rPr>
        <w:t>，朱（2018）进一步考虑了风险因素</w:t>
      </w:r>
      <w:r>
        <w:rPr>
          <w:rFonts w:ascii="Times New Roman" w:hAnsi="Times New Roman" w:eastAsia="Times New Roman"/>
          <w:b w:val="0"/>
          <w:i w:val="0"/>
          <w:sz w:val="18"/>
          <w:vertAlign w:val="superscript"/>
        </w:rPr>
        <w:t>[4]</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8.1.3 RL在定价中的优势</w:t>
      </w:r>
    </w:p>
    <w:p>
      <w:pPr>
        <w:spacing w:line="360" w:lineRule="auto" w:after="0"/>
        <w:ind w:firstLine="425"/>
      </w:pPr>
      <w:r>
        <w:rPr>
          <w:rFonts w:ascii="Times New Roman" w:hAnsi="Times New Roman" w:eastAsia="宋体"/>
          <w:b w:val="0"/>
          <w:i w:val="0"/>
          <w:sz w:val="22"/>
        </w:rPr>
        <w:t>与传统优化方法相比，强化学习在实时定价中具有以下优势：</w:t>
      </w:r>
    </w:p>
    <w:p>
      <w:pPr>
        <w:pStyle w:val="ListBullet"/>
        <w:spacing w:line="360" w:lineRule="auto" w:after="0"/>
      </w:pPr>
      <w:r>
        <w:rPr>
          <w:rFonts w:ascii="Times New Roman" w:hAnsi="Times New Roman" w:eastAsia="宋体"/>
          <w:b/>
          <w:i w:val="0"/>
          <w:sz w:val="22"/>
        </w:rPr>
        <w:t>无需精确模型</w:t>
      </w:r>
      <w:r>
        <w:rPr>
          <w:rFonts w:ascii="Times New Roman" w:hAnsi="Times New Roman" w:eastAsia="宋体"/>
          <w:b w:val="0"/>
          <w:i w:val="0"/>
          <w:sz w:val="22"/>
        </w:rPr>
        <w:t>：通过与环境交互学习，不需要预先知道效用函数和成本函数</w:t>
      </w:r>
    </w:p>
    <w:p>
      <w:pPr>
        <w:pStyle w:val="ListBullet"/>
        <w:spacing w:line="360" w:lineRule="auto" w:after="0"/>
      </w:pPr>
      <w:r>
        <w:rPr>
          <w:rFonts w:ascii="Times New Roman" w:hAnsi="Times New Roman" w:eastAsia="宋体"/>
          <w:b/>
          <w:i w:val="0"/>
          <w:sz w:val="22"/>
        </w:rPr>
        <w:t>适应动态环境</w:t>
      </w:r>
      <w:r>
        <w:rPr>
          <w:rFonts w:ascii="Times New Roman" w:hAnsi="Times New Roman" w:eastAsia="宋体"/>
          <w:b w:val="0"/>
          <w:i w:val="0"/>
          <w:sz w:val="22"/>
        </w:rPr>
        <w:t>：能够适应负荷和可再生能源的动态变化</w:t>
      </w:r>
    </w:p>
    <w:p>
      <w:pPr>
        <w:pStyle w:val="ListBullet"/>
        <w:spacing w:line="360" w:lineRule="auto" w:after="0"/>
      </w:pPr>
      <w:r>
        <w:rPr>
          <w:rFonts w:ascii="Times New Roman" w:hAnsi="Times New Roman" w:eastAsia="宋体"/>
          <w:b/>
          <w:i w:val="0"/>
          <w:sz w:val="22"/>
        </w:rPr>
        <w:t>处理高维状态</w:t>
      </w:r>
      <w:r>
        <w:rPr>
          <w:rFonts w:ascii="Times New Roman" w:hAnsi="Times New Roman" w:eastAsia="宋体"/>
          <w:b w:val="0"/>
          <w:i w:val="0"/>
          <w:sz w:val="22"/>
        </w:rPr>
        <w:t>：深度强化学习可以处理高维状态空间</w:t>
      </w:r>
    </w:p>
    <w:p>
      <w:pPr>
        <w:pStyle w:val="ListBullet"/>
        <w:spacing w:line="360" w:lineRule="auto" w:after="0"/>
      </w:pPr>
      <w:r>
        <w:rPr>
          <w:rFonts w:ascii="Times New Roman" w:hAnsi="Times New Roman" w:eastAsia="宋体"/>
          <w:b/>
          <w:i w:val="0"/>
          <w:sz w:val="22"/>
        </w:rPr>
        <w:t>在线学习</w:t>
      </w:r>
      <w:r>
        <w:rPr>
          <w:rFonts w:ascii="Times New Roman" w:hAnsi="Times New Roman" w:eastAsia="宋体"/>
          <w:b w:val="0"/>
          <w:i w:val="0"/>
          <w:sz w:val="22"/>
        </w:rPr>
        <w:t>：能够在运行过程中持续优化策略</w:t>
      </w:r>
    </w:p>
    <w:p>
      <w:pPr>
        <w:pStyle w:val="Heading2"/>
        <w:spacing w:before="240" w:after="80"/>
      </w:pPr>
      <w:r>
        <w:rPr>
          <w:rFonts w:ascii="Times New Roman" w:hAnsi="Times New Roman" w:eastAsia="黑体"/>
          <w:b/>
          <w:i w:val="0"/>
          <w:sz w:val="28"/>
        </w:rPr>
        <w:t>8.2 Q学习在实时定价中的应用</w:t>
      </w:r>
    </w:p>
    <w:p>
      <w:pPr>
        <w:pStyle w:val="Heading3"/>
        <w:spacing w:before="160" w:after="60"/>
      </w:pPr>
      <w:r>
        <w:rPr>
          <w:rFonts w:ascii="Times New Roman" w:hAnsi="Times New Roman" w:eastAsia="黑体"/>
          <w:b/>
          <w:i w:val="0"/>
          <w:sz w:val="24"/>
        </w:rPr>
        <w:t>8.2.1 Q学习算法</w:t>
      </w:r>
    </w:p>
    <w:p>
      <w:pPr>
        <w:spacing w:line="360" w:lineRule="auto" w:after="0"/>
        <w:ind w:firstLine="425"/>
      </w:pPr>
      <w:r>
        <w:rPr>
          <w:rFonts w:ascii="Times New Roman" w:hAnsi="Times New Roman" w:eastAsia="宋体"/>
          <w:b w:val="0"/>
          <w:i w:val="0"/>
          <w:sz w:val="22"/>
        </w:rPr>
        <w:t>Q学习是最经典的强化学习算法之一。它通过学习Q值函数Q(s,a)来评估在状态s采取动作a的长期价值：</w:t>
      </w:r>
    </w:p>
    <w:p>
      <w:pPr>
        <w:spacing w:before="80" w:after="80"/>
        <w:jc w:val="center"/>
      </w:pPr>
      <m:oMathPara>
        <m:oMath>
          <m:r>
            <m:t>Q(s,a)→Q(s,a)+α[r+γ</m:t>
          </m:r>
          <m:sSub>
            <m:e>
              <m:r>
                <m:t>max</m:t>
              </m:r>
            </m:e>
            <m:sub>
              <m:sSup>
                <m:e>
                  <m:r>
                    <m:t>a</m:t>
                  </m:r>
                </m:e>
                <m:sup>
                  <m:r>
                    <m:t>′</m:t>
                  </m:r>
                </m:sup>
              </m:sSup>
            </m:sub>
          </m:sSub>
          <m:r>
            <m:t>Q(</m:t>
          </m:r>
          <m:sSup>
            <m:e>
              <m:r>
                <m:t>s</m:t>
              </m:r>
            </m:e>
            <m:sup>
              <m:r>
                <m:t>′</m:t>
              </m:r>
            </m:sup>
          </m:sSup>
          <m:r>
            <m:t>,</m:t>
          </m:r>
          <m:sSup>
            <m:e>
              <m:r>
                <m:t>a</m:t>
              </m:r>
            </m:e>
            <m:sup>
              <m:r>
                <m:t>′</m:t>
              </m:r>
            </m:sup>
          </m:sSup>
          <m:r>
            <m:t>)−Q(s,a)]</m:t>
          </m:r>
        </m:oMath>
      </m:oMathPara>
    </w:p>
    <w:p>
      <w:pPr>
        <w:pStyle w:val="Heading3"/>
        <w:spacing w:before="160" w:after="60"/>
      </w:pPr>
      <w:r>
        <w:rPr>
          <w:rFonts w:ascii="Times New Roman" w:hAnsi="Times New Roman" w:eastAsia="黑体"/>
          <w:b/>
          <w:i w:val="0"/>
          <w:sz w:val="24"/>
        </w:rPr>
        <w:t>8.2.2 定价中的Q学习</w:t>
      </w:r>
    </w:p>
    <w:p>
      <w:pPr>
        <w:spacing w:line="360" w:lineRule="auto" w:after="0"/>
        <w:ind w:firstLine="425"/>
      </w:pPr>
      <w:r>
        <w:rPr>
          <w:rFonts w:ascii="Times New Roman" w:hAnsi="Times New Roman" w:eastAsia="宋体"/>
          <w:b w:val="0"/>
          <w:i w:val="0"/>
          <w:sz w:val="22"/>
        </w:rPr>
        <w:t>在实时定价中：</w:t>
      </w:r>
    </w:p>
    <w:p>
      <w:pPr>
        <w:pStyle w:val="ListBullet"/>
        <w:spacing w:line="360" w:lineRule="auto" w:after="0"/>
      </w:pPr>
      <w:r>
        <w:rPr>
          <w:rFonts w:ascii="Times New Roman" w:hAnsi="Times New Roman" w:eastAsia="宋体"/>
          <w:b w:val="0"/>
          <w:i w:val="0"/>
          <w:sz w:val="22"/>
        </w:rPr>
        <w:t>状态S：当前时段、负荷水平、上期价格</w:t>
      </w:r>
    </w:p>
    <w:p>
      <w:pPr>
        <w:pStyle w:val="ListBullet"/>
        <w:spacing w:line="360" w:lineRule="auto" w:after="0"/>
      </w:pPr>
      <w:r>
        <w:rPr>
          <w:rFonts w:ascii="Times New Roman" w:hAnsi="Times New Roman" w:eastAsia="宋体"/>
          <w:b w:val="0"/>
          <w:i w:val="0"/>
          <w:sz w:val="22"/>
        </w:rPr>
        <w:t>动作A：本期电价（离散化为若干等级）</w:t>
      </w:r>
    </w:p>
    <w:p>
      <w:pPr>
        <w:pStyle w:val="ListBullet"/>
        <w:spacing w:line="360" w:lineRule="auto" w:after="0"/>
      </w:pPr>
      <w:r>
        <w:rPr>
          <w:rFonts w:ascii="Times New Roman" w:hAnsi="Times New Roman" w:eastAsia="宋体"/>
          <w:b w:val="0"/>
          <w:i w:val="0"/>
          <w:sz w:val="22"/>
        </w:rPr>
        <w:t>奖励R：社会福利或供电方利润</w:t>
      </w:r>
    </w:p>
    <w:p>
      <w:pPr>
        <w:spacing w:line="360" w:lineRule="auto" w:after="0"/>
        <w:ind w:firstLine="425"/>
      </w:pPr>
      <w:r>
        <w:rPr>
          <w:rFonts w:ascii="Times New Roman" w:hAnsi="Times New Roman" w:eastAsia="宋体"/>
          <w:b w:val="0"/>
          <w:i w:val="0"/>
          <w:sz w:val="22"/>
        </w:rPr>
        <w:t>Kim等（2014）率先将Q学习应用于智能电网动态定价</w:t>
      </w:r>
      <w:r>
        <w:rPr>
          <w:rFonts w:ascii="Times New Roman" w:hAnsi="Times New Roman" w:eastAsia="Times New Roman"/>
          <w:b w:val="0"/>
          <w:i w:val="0"/>
          <w:sz w:val="18"/>
          <w:vertAlign w:val="superscript"/>
        </w:rPr>
        <w:t>[5]</w:t>
      </w:r>
      <w:r>
        <w:rPr>
          <w:rFonts w:ascii="Times New Roman" w:hAnsi="Times New Roman" w:eastAsia="宋体"/>
          <w:b w:val="0"/>
          <w:i w:val="0"/>
          <w:sz w:val="22"/>
        </w:rPr>
        <w:t>。该方法通过试错学习最优定价策略，在仿真环境中取得了优于固定定价策略的效果。</w:t>
      </w:r>
    </w:p>
    <w:p>
      <w:pPr>
        <w:pStyle w:val="Heading3"/>
        <w:spacing w:before="160" w:after="60"/>
      </w:pPr>
      <w:r>
        <w:rPr>
          <w:rFonts w:ascii="Times New Roman" w:hAnsi="Times New Roman" w:eastAsia="黑体"/>
          <w:b/>
          <w:i w:val="0"/>
          <w:sz w:val="24"/>
        </w:rPr>
        <w:t>8.2.3 局限性</w:t>
      </w:r>
    </w:p>
    <w:p>
      <w:pPr>
        <w:spacing w:line="360" w:lineRule="auto" w:after="0"/>
        <w:ind w:firstLine="425"/>
      </w:pPr>
      <w:r>
        <w:rPr>
          <w:rFonts w:ascii="Times New Roman" w:hAnsi="Times New Roman" w:eastAsia="宋体"/>
          <w:b w:val="0"/>
          <w:i w:val="0"/>
          <w:sz w:val="22"/>
        </w:rPr>
        <w:t>Q学习的局限性在于：</w:t>
      </w:r>
    </w:p>
    <w:p>
      <w:pPr>
        <w:pStyle w:val="ListBullet"/>
        <w:spacing w:line="360" w:lineRule="auto" w:after="0"/>
      </w:pPr>
      <w:r>
        <w:rPr>
          <w:rFonts w:ascii="Times New Roman" w:hAnsi="Times New Roman" w:eastAsia="宋体"/>
          <w:b/>
          <w:i w:val="0"/>
          <w:sz w:val="22"/>
        </w:rPr>
        <w:t>状态空间离散化</w:t>
      </w:r>
      <w:r>
        <w:rPr>
          <w:rFonts w:ascii="Times New Roman" w:hAnsi="Times New Roman" w:eastAsia="宋体"/>
          <w:b w:val="0"/>
          <w:i w:val="0"/>
          <w:sz w:val="22"/>
        </w:rPr>
        <w:t>：连续状态和动作需要离散化，导致精度损失</w:t>
      </w:r>
    </w:p>
    <w:p>
      <w:pPr>
        <w:pStyle w:val="ListBullet"/>
        <w:spacing w:line="360" w:lineRule="auto" w:after="0"/>
      </w:pPr>
      <w:r>
        <w:rPr>
          <w:rFonts w:ascii="Times New Roman" w:hAnsi="Times New Roman" w:eastAsia="宋体"/>
          <w:b/>
          <w:i w:val="0"/>
          <w:sz w:val="22"/>
        </w:rPr>
        <w:t>维度灾难</w:t>
      </w:r>
      <w:r>
        <w:rPr>
          <w:rFonts w:ascii="Times New Roman" w:hAnsi="Times New Roman" w:eastAsia="宋体"/>
          <w:b w:val="0"/>
          <w:i w:val="0"/>
          <w:sz w:val="22"/>
        </w:rPr>
        <w:t>：状态维度增大时，Q表指数增长</w:t>
      </w:r>
    </w:p>
    <w:p>
      <w:pPr>
        <w:pStyle w:val="ListBullet"/>
        <w:spacing w:line="360" w:lineRule="auto" w:after="0"/>
      </w:pPr>
      <w:r>
        <w:rPr>
          <w:rFonts w:ascii="Times New Roman" w:hAnsi="Times New Roman" w:eastAsia="宋体"/>
          <w:b/>
          <w:i w:val="0"/>
          <w:sz w:val="22"/>
        </w:rPr>
        <w:t>收敛速度慢</w:t>
      </w:r>
      <w:r>
        <w:rPr>
          <w:rFonts w:ascii="Times New Roman" w:hAnsi="Times New Roman" w:eastAsia="宋体"/>
          <w:b w:val="0"/>
          <w:i w:val="0"/>
          <w:sz w:val="22"/>
        </w:rPr>
        <w:t>：需要大量交互才能收敛</w:t>
      </w:r>
    </w:p>
    <w:p>
      <w:pPr>
        <w:spacing w:line="360" w:lineRule="auto" w:after="0"/>
        <w:ind w:firstLine="425"/>
      </w:pPr>
      <w:r>
        <w:rPr>
          <w:rFonts w:ascii="Times New Roman" w:hAnsi="Times New Roman" w:eastAsia="宋体"/>
          <w:b w:val="0"/>
          <w:i w:val="0"/>
          <w:sz w:val="22"/>
        </w:rPr>
        <w:t>这些局限性促使研究者转向深度强化学习。</w:t>
      </w:r>
    </w:p>
    <w:p>
      <w:pPr>
        <w:pStyle w:val="Heading2"/>
        <w:spacing w:before="240" w:after="80"/>
      </w:pPr>
      <w:r>
        <w:rPr>
          <w:rFonts w:ascii="Times New Roman" w:hAnsi="Times New Roman" w:eastAsia="黑体"/>
          <w:b/>
          <w:i w:val="0"/>
          <w:sz w:val="28"/>
        </w:rPr>
        <w:t>8.3 深度强化学习定价框架</w:t>
      </w:r>
    </w:p>
    <w:p>
      <w:pPr>
        <w:pStyle w:val="Heading3"/>
        <w:spacing w:before="160" w:after="60"/>
      </w:pPr>
      <w:r>
        <w:rPr>
          <w:rFonts w:ascii="Times New Roman" w:hAnsi="Times New Roman" w:eastAsia="黑体"/>
          <w:b/>
          <w:i w:val="0"/>
          <w:sz w:val="24"/>
        </w:rPr>
        <w:t>8.3.1 深度Q网络（DQN）</w:t>
      </w:r>
    </w:p>
    <w:p>
      <w:pPr>
        <w:spacing w:line="360" w:lineRule="auto" w:after="0"/>
        <w:ind w:firstLine="425"/>
      </w:pPr>
      <w:r>
        <w:rPr>
          <w:rFonts w:ascii="Times New Roman" w:hAnsi="Times New Roman" w:eastAsia="宋体"/>
          <w:b w:val="0"/>
          <w:i w:val="0"/>
          <w:sz w:val="22"/>
        </w:rPr>
        <w:t>深度Q网络（Deep Q-Network, DQN）用神经网络逼近Q值函数，克服了传统Q学习的维度灾难。DQN的核心创新包括：</w:t>
      </w:r>
    </w:p>
    <w:p>
      <w:pPr>
        <w:pStyle w:val="ListBullet"/>
        <w:spacing w:line="360" w:lineRule="auto" w:after="0"/>
      </w:pPr>
      <w:r>
        <w:rPr>
          <w:rFonts w:ascii="Times New Roman" w:hAnsi="Times New Roman" w:eastAsia="宋体"/>
          <w:b/>
          <w:i w:val="0"/>
          <w:sz w:val="22"/>
        </w:rPr>
        <w:t>经验回放</w:t>
      </w:r>
      <w:r>
        <w:rPr>
          <w:rFonts w:ascii="Times New Roman" w:hAnsi="Times New Roman" w:eastAsia="宋体"/>
          <w:b w:val="0"/>
          <w:i w:val="0"/>
          <w:sz w:val="22"/>
        </w:rPr>
        <w:t>：存储交互经验(s,a,r,s')，随机采样训练，打破数据相关性</w:t>
      </w:r>
    </w:p>
    <w:p>
      <w:pPr>
        <w:pStyle w:val="ListBullet"/>
        <w:spacing w:line="360" w:lineRule="auto" w:after="0"/>
      </w:pPr>
      <w:r>
        <w:rPr>
          <w:rFonts w:ascii="Times New Roman" w:hAnsi="Times New Roman" w:eastAsia="宋体"/>
          <w:b/>
          <w:i w:val="0"/>
          <w:sz w:val="22"/>
        </w:rPr>
        <w:t>目标网络</w:t>
      </w:r>
      <w:r>
        <w:rPr>
          <w:rFonts w:ascii="Times New Roman" w:hAnsi="Times New Roman" w:eastAsia="宋体"/>
          <w:b w:val="0"/>
          <w:i w:val="0"/>
          <w:sz w:val="22"/>
        </w:rPr>
        <w:t>：使用延迟更新的目标网络稳定训练</w:t>
      </w:r>
    </w:p>
    <w:p>
      <w:pPr>
        <w:pStyle w:val="Heading3"/>
        <w:spacing w:before="160" w:after="60"/>
      </w:pPr>
      <w:r>
        <w:rPr>
          <w:rFonts w:ascii="Times New Roman" w:hAnsi="Times New Roman" w:eastAsia="黑体"/>
          <w:b/>
          <w:i w:val="0"/>
          <w:sz w:val="24"/>
        </w:rPr>
        <w:t>8.3.2 王宏杰等（2022）的强化学习RTP</w:t>
      </w:r>
    </w:p>
    <w:p>
      <w:pPr>
        <w:spacing w:line="360" w:lineRule="auto" w:after="0"/>
        <w:ind w:firstLine="425"/>
      </w:pPr>
      <w:r>
        <w:rPr>
          <w:rFonts w:ascii="Times New Roman" w:hAnsi="Times New Roman" w:eastAsia="宋体"/>
          <w:b w:val="0"/>
          <w:i w:val="0"/>
          <w:sz w:val="22"/>
        </w:rPr>
        <w:t>王宏杰等（2022）将深度强化学习应用于智能电网实时定价</w:t>
      </w:r>
      <w:r>
        <w:rPr>
          <w:rFonts w:ascii="Times New Roman" w:hAnsi="Times New Roman" w:eastAsia="Times New Roman"/>
          <w:b w:val="0"/>
          <w:i w:val="0"/>
          <w:sz w:val="18"/>
          <w:vertAlign w:val="superscript"/>
        </w:rPr>
        <w:t>[1]</w:t>
      </w:r>
      <w:r>
        <w:rPr>
          <w:rFonts w:ascii="Times New Roman" w:hAnsi="Times New Roman" w:eastAsia="宋体"/>
          <w:b w:val="0"/>
          <w:i w:val="0"/>
          <w:sz w:val="22"/>
        </w:rPr>
        <w:t>。该方法的特点：</w:t>
      </w:r>
    </w:p>
    <w:p>
      <w:pPr>
        <w:pStyle w:val="ListBullet"/>
        <w:spacing w:line="360" w:lineRule="auto" w:after="0"/>
      </w:pPr>
      <w:r>
        <w:rPr>
          <w:rFonts w:ascii="Times New Roman" w:hAnsi="Times New Roman" w:eastAsia="宋体"/>
          <w:b w:val="0"/>
          <w:i w:val="0"/>
          <w:sz w:val="22"/>
        </w:rPr>
        <w:t>使用DQN逼近定价策略</w:t>
      </w:r>
    </w:p>
    <w:p>
      <w:pPr>
        <w:pStyle w:val="ListBullet"/>
        <w:spacing w:line="360" w:lineRule="auto" w:after="0"/>
      </w:pPr>
      <w:r>
        <w:rPr>
          <w:rFonts w:ascii="Times New Roman" w:hAnsi="Times New Roman" w:eastAsia="宋体"/>
          <w:b w:val="0"/>
          <w:i w:val="0"/>
          <w:sz w:val="22"/>
        </w:rPr>
        <w:t>状态包括负荷预测、价格历史和时段信息</w:t>
      </w:r>
    </w:p>
    <w:p>
      <w:pPr>
        <w:pStyle w:val="ListBullet"/>
        <w:spacing w:line="360" w:lineRule="auto" w:after="0"/>
      </w:pPr>
      <w:r>
        <w:rPr>
          <w:rFonts w:ascii="Times New Roman" w:hAnsi="Times New Roman" w:eastAsia="宋体"/>
          <w:b w:val="0"/>
          <w:i w:val="0"/>
          <w:sz w:val="22"/>
        </w:rPr>
        <w:t>动作为连续价格（通过Actor-Critic架构处理）</w:t>
      </w:r>
    </w:p>
    <w:p>
      <w:pPr>
        <w:pStyle w:val="ListBullet"/>
        <w:spacing w:line="360" w:lineRule="auto" w:after="0"/>
      </w:pPr>
      <w:r>
        <w:rPr>
          <w:rFonts w:ascii="Times New Roman" w:hAnsi="Times New Roman" w:eastAsia="宋体"/>
          <w:b w:val="0"/>
          <w:i w:val="0"/>
          <w:sz w:val="22"/>
        </w:rPr>
        <w:t>奖励设计兼顾社会福利和用户满意度</w:t>
      </w:r>
    </w:p>
    <w:p>
      <w:pPr>
        <w:spacing w:line="360" w:lineRule="auto" w:after="0"/>
        <w:ind w:firstLine="425"/>
      </w:pPr>
      <w:r>
        <w:rPr>
          <w:rFonts w:ascii="Times New Roman" w:hAnsi="Times New Roman" w:eastAsia="宋体"/>
          <w:b w:val="0"/>
          <w:i w:val="0"/>
          <w:sz w:val="22"/>
        </w:rPr>
        <w:t>复现报告显示，该方法在仿真环境中使社会福利比传统优化方法提升5%-8%，且对负荷不确定性具有更好的鲁棒性</w:t>
      </w:r>
      <w:r>
        <w:rPr>
          <w:rFonts w:ascii="Times New Roman" w:hAnsi="Times New Roman" w:eastAsia="Times New Roman"/>
          <w:b w:val="0"/>
          <w:i w:val="0"/>
          <w:sz w:val="18"/>
          <w:vertAlign w:val="superscript"/>
        </w:rPr>
        <w:t>[1]</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8.3.3 Actor-Critic方法</w:t>
      </w:r>
    </w:p>
    <w:p>
      <w:pPr>
        <w:spacing w:line="360" w:lineRule="auto" w:after="0"/>
        <w:ind w:firstLine="425"/>
      </w:pPr>
      <w:r>
        <w:rPr>
          <w:rFonts w:ascii="Times New Roman" w:hAnsi="Times New Roman" w:eastAsia="宋体"/>
          <w:b w:val="0"/>
          <w:i w:val="0"/>
          <w:sz w:val="22"/>
        </w:rPr>
        <w:t>Actor-Critic方法同时学习策略函数（Actor）和价值函数（Critic），适用于连续动作空间。Lee等（2020）将深度Actor-Critic学习应用于智能电网需求侧调度</w:t>
      </w:r>
      <w:r>
        <w:rPr>
          <w:rFonts w:ascii="Times New Roman" w:hAnsi="Times New Roman" w:eastAsia="Times New Roman"/>
          <w:b w:val="0"/>
          <w:i w:val="0"/>
          <w:sz w:val="18"/>
          <w:vertAlign w:val="superscript"/>
        </w:rPr>
        <w:t>[6]</w:t>
      </w:r>
      <w:r>
        <w:rPr>
          <w:rFonts w:ascii="Times New Roman" w:hAnsi="Times New Roman" w:eastAsia="宋体"/>
          <w:b w:val="0"/>
          <w:i w:val="0"/>
          <w:sz w:val="22"/>
        </w:rPr>
        <w:t>，证明了其在连续定价场景下的有效性。</w:t>
      </w:r>
    </w:p>
    <w:p>
      <w:pPr>
        <w:pStyle w:val="Heading3"/>
        <w:spacing w:before="160" w:after="60"/>
      </w:pPr>
      <w:r>
        <w:rPr>
          <w:rFonts w:ascii="Times New Roman" w:hAnsi="Times New Roman" w:eastAsia="黑体"/>
          <w:b/>
          <w:i w:val="0"/>
          <w:sz w:val="24"/>
        </w:rPr>
        <w:t>8.3.4 Lu和Hong的RL方法</w:t>
      </w:r>
    </w:p>
    <w:p>
      <w:pPr>
        <w:spacing w:line="360" w:lineRule="auto" w:after="0"/>
        <w:ind w:firstLine="425"/>
      </w:pPr>
      <w:r>
        <w:rPr>
          <w:rFonts w:ascii="Times New Roman" w:hAnsi="Times New Roman" w:eastAsia="宋体"/>
          <w:b w:val="0"/>
          <w:i w:val="0"/>
          <w:sz w:val="22"/>
        </w:rPr>
        <w:t>Lu和Hong开发了基于强化学习和深度神经网络的实时激励DR算法</w:t>
      </w:r>
      <w:r>
        <w:rPr>
          <w:rFonts w:ascii="Times New Roman" w:hAnsi="Times New Roman" w:eastAsia="Times New Roman"/>
          <w:b w:val="0"/>
          <w:i w:val="0"/>
          <w:sz w:val="18"/>
          <w:vertAlign w:val="superscript"/>
        </w:rPr>
        <w:t>[7]</w:t>
      </w:r>
      <w:r>
        <w:rPr>
          <w:rFonts w:ascii="Times New Roman" w:hAnsi="Times New Roman" w:eastAsia="宋体"/>
          <w:b w:val="0"/>
          <w:i w:val="0"/>
          <w:sz w:val="22"/>
        </w:rPr>
        <w:t>，通过DNN逼近用户行为模型，结合RL优化定价策略。该方法在用户行为不确定的场景下表现优异。</w:t>
      </w:r>
    </w:p>
    <w:p>
      <w:pPr>
        <w:pStyle w:val="Heading2"/>
        <w:spacing w:before="240" w:after="80"/>
      </w:pPr>
      <w:r>
        <w:rPr>
          <w:rFonts w:ascii="Times New Roman" w:hAnsi="Times New Roman" w:eastAsia="黑体"/>
          <w:b/>
          <w:i w:val="0"/>
          <w:sz w:val="28"/>
        </w:rPr>
        <w:t>8.4 多Agent深度强化学习</w:t>
      </w:r>
    </w:p>
    <w:p>
      <w:pPr>
        <w:pStyle w:val="Heading3"/>
        <w:spacing w:before="160" w:after="60"/>
      </w:pPr>
      <w:r>
        <w:rPr>
          <w:rFonts w:ascii="Times New Roman" w:hAnsi="Times New Roman" w:eastAsia="黑体"/>
          <w:b/>
          <w:i w:val="0"/>
          <w:sz w:val="24"/>
        </w:rPr>
        <w:t>8.4.1 多Agent场景的挑战</w:t>
      </w:r>
    </w:p>
    <w:p>
      <w:pPr>
        <w:spacing w:line="360" w:lineRule="auto" w:after="0"/>
        <w:ind w:firstLine="425"/>
      </w:pPr>
      <w:r>
        <w:rPr>
          <w:rFonts w:ascii="Times New Roman" w:hAnsi="Times New Roman" w:eastAsia="宋体"/>
          <w:b w:val="0"/>
          <w:i w:val="0"/>
          <w:sz w:val="22"/>
        </w:rPr>
        <w:t>在多零售商竞争场景下，每个零售商是一个独立的Agent，需要同时优化自身定价策略并应对竞争对手。多Agent强化学习（MARL）面临以下挑战：</w:t>
      </w:r>
    </w:p>
    <w:p>
      <w:pPr>
        <w:pStyle w:val="ListBullet"/>
        <w:spacing w:line="360" w:lineRule="auto" w:after="0"/>
      </w:pPr>
      <w:r>
        <w:rPr>
          <w:rFonts w:ascii="Times New Roman" w:hAnsi="Times New Roman" w:eastAsia="宋体"/>
          <w:b/>
          <w:i w:val="0"/>
          <w:sz w:val="22"/>
        </w:rPr>
        <w:t>非平稳性</w:t>
      </w:r>
      <w:r>
        <w:rPr>
          <w:rFonts w:ascii="Times New Roman" w:hAnsi="Times New Roman" w:eastAsia="宋体"/>
          <w:b w:val="0"/>
          <w:i w:val="0"/>
          <w:sz w:val="22"/>
        </w:rPr>
        <w:t>：所有Agent同时学习，每个Agent面临的环境不断变化</w:t>
      </w:r>
    </w:p>
    <w:p>
      <w:pPr>
        <w:pStyle w:val="ListBullet"/>
        <w:spacing w:line="360" w:lineRule="auto" w:after="0"/>
      </w:pPr>
      <w:r>
        <w:rPr>
          <w:rFonts w:ascii="Times New Roman" w:hAnsi="Times New Roman" w:eastAsia="宋体"/>
          <w:b/>
          <w:i w:val="0"/>
          <w:sz w:val="22"/>
        </w:rPr>
        <w:t>维度爆炸</w:t>
      </w:r>
      <w:r>
        <w:rPr>
          <w:rFonts w:ascii="Times New Roman" w:hAnsi="Times New Roman" w:eastAsia="宋体"/>
          <w:b w:val="0"/>
          <w:i w:val="0"/>
          <w:sz w:val="22"/>
        </w:rPr>
        <w:t>：联合状态-动作空间随Agent数量指数增长</w:t>
      </w:r>
    </w:p>
    <w:p>
      <w:pPr>
        <w:pStyle w:val="ListBullet"/>
        <w:spacing w:line="360" w:lineRule="auto" w:after="0"/>
      </w:pPr>
      <w:r>
        <w:rPr>
          <w:rFonts w:ascii="Times New Roman" w:hAnsi="Times New Roman" w:eastAsia="宋体"/>
          <w:b/>
          <w:i w:val="0"/>
          <w:sz w:val="22"/>
        </w:rPr>
        <w:t>信用分配</w:t>
      </w:r>
      <w:r>
        <w:rPr>
          <w:rFonts w:ascii="Times New Roman" w:hAnsi="Times New Roman" w:eastAsia="宋体"/>
          <w:b w:val="0"/>
          <w:i w:val="0"/>
          <w:sz w:val="22"/>
        </w:rPr>
        <w:t>：难以区分各Agent对全局奖励的贡献</w:t>
      </w:r>
    </w:p>
    <w:p>
      <w:pPr>
        <w:pStyle w:val="Heading3"/>
        <w:spacing w:before="160" w:after="60"/>
      </w:pPr>
      <w:r>
        <w:rPr>
          <w:rFonts w:ascii="Times New Roman" w:hAnsi="Times New Roman" w:eastAsia="黑体"/>
          <w:b/>
          <w:i w:val="0"/>
          <w:sz w:val="24"/>
        </w:rPr>
        <w:t>8.4.2 MADRL定价框架</w:t>
      </w:r>
    </w:p>
    <w:p>
      <w:pPr>
        <w:spacing w:line="360" w:lineRule="auto" w:after="0"/>
        <w:ind w:firstLine="425"/>
      </w:pPr>
      <w:r>
        <w:rPr>
          <w:rFonts w:ascii="Times New Roman" w:hAnsi="Times New Roman" w:eastAsia="宋体"/>
          <w:b w:val="0"/>
          <w:i w:val="0"/>
          <w:sz w:val="22"/>
        </w:rPr>
        <w:t>Ghasemi等（2020）提出了基于多Agent深度强化学习的分布式能源市场方法</w:t>
      </w:r>
      <w:r>
        <w:rPr>
          <w:rFonts w:ascii="Times New Roman" w:hAnsi="Times New Roman" w:eastAsia="Times New Roman"/>
          <w:b w:val="0"/>
          <w:i w:val="0"/>
          <w:sz w:val="18"/>
          <w:vertAlign w:val="superscript"/>
        </w:rPr>
        <w:t>[8]</w:t>
      </w:r>
      <w:r>
        <w:rPr>
          <w:rFonts w:ascii="Times New Roman" w:hAnsi="Times New Roman" w:eastAsia="宋体"/>
          <w:b w:val="0"/>
          <w:i w:val="0"/>
          <w:sz w:val="22"/>
        </w:rPr>
        <w:t>。该框架的特点：</w:t>
      </w:r>
    </w:p>
    <w:p>
      <w:pPr>
        <w:pStyle w:val="ListBullet"/>
        <w:spacing w:line="360" w:lineRule="auto" w:after="0"/>
      </w:pPr>
      <w:r>
        <w:rPr>
          <w:rFonts w:ascii="Times New Roman" w:hAnsi="Times New Roman" w:eastAsia="宋体"/>
          <w:b w:val="0"/>
          <w:i w:val="0"/>
          <w:sz w:val="22"/>
        </w:rPr>
        <w:t>每个发电商/零售商是一个独立的DRL Agent</w:t>
      </w:r>
    </w:p>
    <w:p>
      <w:pPr>
        <w:pStyle w:val="ListBullet"/>
        <w:spacing w:line="360" w:lineRule="auto" w:after="0"/>
      </w:pPr>
      <w:r>
        <w:rPr>
          <w:rFonts w:ascii="Times New Roman" w:hAnsi="Times New Roman" w:eastAsia="宋体"/>
          <w:b w:val="0"/>
          <w:i w:val="0"/>
          <w:sz w:val="22"/>
        </w:rPr>
        <w:t>Agent之间通过价格信号间接交互</w:t>
      </w:r>
    </w:p>
    <w:p>
      <w:pPr>
        <w:pStyle w:val="ListBullet"/>
        <w:spacing w:line="360" w:lineRule="auto" w:after="0"/>
      </w:pPr>
      <w:r>
        <w:rPr>
          <w:rFonts w:ascii="Times New Roman" w:hAnsi="Times New Roman" w:eastAsia="宋体"/>
          <w:b w:val="0"/>
          <w:i w:val="0"/>
          <w:sz w:val="22"/>
        </w:rPr>
        <w:t>采用集中训练分布式执行（CTDE）范式</w:t>
      </w:r>
    </w:p>
    <w:p>
      <w:pPr>
        <w:pStyle w:val="ListBullet"/>
        <w:spacing w:line="360" w:lineRule="auto" w:after="0"/>
      </w:pPr>
      <w:r>
        <w:rPr>
          <w:rFonts w:ascii="Times New Roman" w:hAnsi="Times New Roman" w:eastAsia="宋体"/>
          <w:b w:val="0"/>
          <w:i w:val="0"/>
          <w:sz w:val="22"/>
        </w:rPr>
        <w:t>使用注意力机制处理Agent间的信息聚合</w:t>
      </w:r>
    </w:p>
    <w:p>
      <w:pPr>
        <w:pStyle w:val="Heading3"/>
        <w:spacing w:before="160" w:after="60"/>
      </w:pPr>
      <w:r>
        <w:rPr>
          <w:rFonts w:ascii="Times New Roman" w:hAnsi="Times New Roman" w:eastAsia="黑体"/>
          <w:b/>
          <w:i w:val="0"/>
          <w:sz w:val="24"/>
        </w:rPr>
        <w:t>8.4.3 知识库中的MADRL复现</w:t>
      </w:r>
    </w:p>
    <w:p>
      <w:pPr>
        <w:spacing w:line="360" w:lineRule="auto" w:after="0"/>
        <w:ind w:firstLine="425"/>
      </w:pPr>
      <w:r>
        <w:rPr>
          <w:rFonts w:ascii="Times New Roman" w:hAnsi="Times New Roman" w:eastAsia="宋体"/>
          <w:b w:val="0"/>
          <w:i w:val="0"/>
          <w:sz w:val="22"/>
        </w:rPr>
        <w:t>知识库中的Phase2_MADRL实时定价文件夹包含了多Agent深度强化学习定价的完整复现代码和实验结果。复现实验验证了MADRL在多零售商竞争场景下的有效性：</w:t>
      </w:r>
    </w:p>
    <w:p>
      <w:pPr>
        <w:pStyle w:val="ListBullet"/>
        <w:spacing w:line="360" w:lineRule="auto" w:after="0"/>
      </w:pPr>
      <w:r>
        <w:rPr>
          <w:rFonts w:ascii="Times New Roman" w:hAnsi="Times New Roman" w:eastAsia="宋体"/>
          <w:b w:val="0"/>
          <w:i w:val="0"/>
          <w:sz w:val="22"/>
        </w:rPr>
        <w:t>收敛到接近纳什均衡的定价策略</w:t>
      </w:r>
    </w:p>
    <w:p>
      <w:pPr>
        <w:pStyle w:val="ListBullet"/>
        <w:spacing w:line="360" w:lineRule="auto" w:after="0"/>
      </w:pPr>
      <w:r>
        <w:rPr>
          <w:rFonts w:ascii="Times New Roman" w:hAnsi="Times New Roman" w:eastAsia="宋体"/>
          <w:b w:val="0"/>
          <w:i w:val="0"/>
          <w:sz w:val="22"/>
        </w:rPr>
        <w:t>比传统迭代最佳响应算法收敛速度快2-3倍</w:t>
      </w:r>
    </w:p>
    <w:p>
      <w:pPr>
        <w:pStyle w:val="ListBullet"/>
        <w:spacing w:line="360" w:lineRule="auto" w:after="0"/>
      </w:pPr>
      <w:r>
        <w:rPr>
          <w:rFonts w:ascii="Times New Roman" w:hAnsi="Times New Roman" w:eastAsia="宋体"/>
          <w:b w:val="0"/>
          <w:i w:val="0"/>
          <w:sz w:val="22"/>
        </w:rPr>
        <w:t>在不确定环境下具有更好的鲁棒性</w:t>
      </w:r>
    </w:p>
    <w:p>
      <w:pPr>
        <w:pStyle w:val="Heading2"/>
        <w:spacing w:before="240" w:after="80"/>
      </w:pPr>
      <w:r>
        <w:rPr>
          <w:rFonts w:ascii="Times New Roman" w:hAnsi="Times New Roman" w:eastAsia="黑体"/>
          <w:b/>
          <w:i w:val="0"/>
          <w:sz w:val="28"/>
        </w:rPr>
        <w:t>8.5 LLM增强定价方法</w:t>
      </w:r>
    </w:p>
    <w:p>
      <w:pPr>
        <w:pStyle w:val="Heading3"/>
        <w:spacing w:before="160" w:after="60"/>
      </w:pPr>
      <w:r>
        <w:rPr>
          <w:rFonts w:ascii="Times New Roman" w:hAnsi="Times New Roman" w:eastAsia="黑体"/>
          <w:b/>
          <w:i w:val="0"/>
          <w:sz w:val="24"/>
        </w:rPr>
        <w:t>8.5.1 大语言模型在定价中的角色</w:t>
      </w:r>
    </w:p>
    <w:p>
      <w:pPr>
        <w:spacing w:line="360" w:lineRule="auto" w:after="0"/>
        <w:ind w:firstLine="425"/>
      </w:pPr>
      <w:r>
        <w:rPr>
          <w:rFonts w:ascii="Times New Roman" w:hAnsi="Times New Roman" w:eastAsia="宋体"/>
          <w:b w:val="0"/>
          <w:i w:val="0"/>
          <w:sz w:val="22"/>
        </w:rPr>
        <w:t>大语言模型（LLM）为实时定价带来了新的可能性。知识库中的Phase4_LLM增强定价文件夹记录了这一前沿方向的探索。LLM在定价中的潜在角色包括：</w:t>
      </w:r>
    </w:p>
    <w:p>
      <w:pPr>
        <w:pStyle w:val="ListBullet"/>
        <w:spacing w:line="360" w:lineRule="auto" w:after="0"/>
      </w:pPr>
      <w:r>
        <w:rPr>
          <w:rFonts w:ascii="Times New Roman" w:hAnsi="Times New Roman" w:eastAsia="宋体"/>
          <w:b/>
          <w:i w:val="0"/>
          <w:sz w:val="22"/>
        </w:rPr>
        <w:t>策略解释</w:t>
      </w:r>
      <w:r>
        <w:rPr>
          <w:rFonts w:ascii="Times New Roman" w:hAnsi="Times New Roman" w:eastAsia="宋体"/>
          <w:b w:val="0"/>
          <w:i w:val="0"/>
          <w:sz w:val="22"/>
        </w:rPr>
        <w:t>：将复杂的定价策略转化为可解释的自然语言描述</w:t>
      </w:r>
    </w:p>
    <w:p>
      <w:pPr>
        <w:pStyle w:val="ListBullet"/>
        <w:spacing w:line="360" w:lineRule="auto" w:after="0"/>
      </w:pPr>
      <w:r>
        <w:rPr>
          <w:rFonts w:ascii="Times New Roman" w:hAnsi="Times New Roman" w:eastAsia="宋体"/>
          <w:b/>
          <w:i w:val="0"/>
          <w:sz w:val="22"/>
        </w:rPr>
        <w:t>用户交互</w:t>
      </w:r>
      <w:r>
        <w:rPr>
          <w:rFonts w:ascii="Times New Roman" w:hAnsi="Times New Roman" w:eastAsia="宋体"/>
          <w:b w:val="0"/>
          <w:i w:val="0"/>
          <w:sz w:val="22"/>
        </w:rPr>
        <w:t>：通过自然语言与用户交互，了解用户偏好并优化定价</w:t>
      </w:r>
    </w:p>
    <w:p>
      <w:pPr>
        <w:pStyle w:val="ListBullet"/>
        <w:spacing w:line="360" w:lineRule="auto" w:after="0"/>
      </w:pPr>
      <w:r>
        <w:rPr>
          <w:rFonts w:ascii="Times New Roman" w:hAnsi="Times New Roman" w:eastAsia="宋体"/>
          <w:b/>
          <w:i w:val="0"/>
          <w:sz w:val="22"/>
        </w:rPr>
        <w:t>知识融合</w:t>
      </w:r>
      <w:r>
        <w:rPr>
          <w:rFonts w:ascii="Times New Roman" w:hAnsi="Times New Roman" w:eastAsia="宋体"/>
          <w:b w:val="0"/>
          <w:i w:val="0"/>
          <w:sz w:val="22"/>
        </w:rPr>
        <w:t>：融合电力市场规则、用户行为知识和历史数据，辅助定价决策</w:t>
      </w:r>
    </w:p>
    <w:p>
      <w:pPr>
        <w:pStyle w:val="ListBullet"/>
        <w:spacing w:line="360" w:lineRule="auto" w:after="0"/>
      </w:pPr>
      <w:r>
        <w:rPr>
          <w:rFonts w:ascii="Times New Roman" w:hAnsi="Times New Roman" w:eastAsia="宋体"/>
          <w:b/>
          <w:i w:val="0"/>
          <w:sz w:val="22"/>
        </w:rPr>
        <w:t>异常检测</w:t>
      </w:r>
      <w:r>
        <w:rPr>
          <w:rFonts w:ascii="Times New Roman" w:hAnsi="Times New Roman" w:eastAsia="宋体"/>
          <w:b w:val="0"/>
          <w:i w:val="0"/>
          <w:sz w:val="22"/>
        </w:rPr>
        <w:t>：通过语义理解检测异常定价行为或市场操纵</w:t>
      </w:r>
    </w:p>
    <w:p>
      <w:pPr>
        <w:pStyle w:val="Heading3"/>
        <w:spacing w:before="160" w:after="60"/>
      </w:pPr>
      <w:r>
        <w:rPr>
          <w:rFonts w:ascii="Times New Roman" w:hAnsi="Times New Roman" w:eastAsia="黑体"/>
          <w:b/>
          <w:i w:val="0"/>
          <w:sz w:val="24"/>
        </w:rPr>
        <w:t>8.5.2 LLM与传统方法的融合</w:t>
      </w:r>
    </w:p>
    <w:p>
      <w:pPr>
        <w:spacing w:line="360" w:lineRule="auto" w:after="0"/>
        <w:ind w:firstLine="425"/>
      </w:pPr>
      <w:r>
        <w:rPr>
          <w:rFonts w:ascii="Times New Roman" w:hAnsi="Times New Roman" w:eastAsia="宋体"/>
          <w:b w:val="0"/>
          <w:i w:val="0"/>
          <w:sz w:val="22"/>
        </w:rPr>
        <w:t>LLM增强定价并非完全替代传统优化方法，而是与之融合：</w:t>
      </w:r>
    </w:p>
    <w:p>
      <w:pPr>
        <w:pStyle w:val="ListBullet"/>
        <w:spacing w:line="360" w:lineRule="auto" w:after="0"/>
      </w:pPr>
      <w:r>
        <w:rPr>
          <w:rFonts w:ascii="Times New Roman" w:hAnsi="Times New Roman" w:eastAsia="宋体"/>
          <w:b w:val="0"/>
          <w:i w:val="0"/>
          <w:sz w:val="22"/>
        </w:rPr>
        <w:t>LLM提供高层策略指导和约束生成</w:t>
      </w:r>
    </w:p>
    <w:p>
      <w:pPr>
        <w:pStyle w:val="ListBullet"/>
        <w:spacing w:line="360" w:lineRule="auto" w:after="0"/>
      </w:pPr>
      <w:r>
        <w:rPr>
          <w:rFonts w:ascii="Times New Roman" w:hAnsi="Times New Roman" w:eastAsia="宋体"/>
          <w:b w:val="0"/>
          <w:i w:val="0"/>
          <w:sz w:val="22"/>
        </w:rPr>
        <w:t>传统优化算法执行具体的数值优化</w:t>
      </w:r>
    </w:p>
    <w:p>
      <w:pPr>
        <w:pStyle w:val="ListBullet"/>
        <w:spacing w:line="360" w:lineRule="auto" w:after="0"/>
      </w:pPr>
      <w:r>
        <w:rPr>
          <w:rFonts w:ascii="Times New Roman" w:hAnsi="Times New Roman" w:eastAsia="宋体"/>
          <w:b w:val="0"/>
          <w:i w:val="0"/>
          <w:sz w:val="22"/>
        </w:rPr>
        <w:t>LLM对优化结果进行解释和验证</w:t>
      </w:r>
    </w:p>
    <w:p>
      <w:pPr>
        <w:pStyle w:val="Heading3"/>
        <w:spacing w:before="160" w:after="60"/>
      </w:pPr>
      <w:r>
        <w:rPr>
          <w:rFonts w:ascii="Times New Roman" w:hAnsi="Times New Roman" w:eastAsia="黑体"/>
          <w:b/>
          <w:i w:val="0"/>
          <w:sz w:val="24"/>
        </w:rPr>
        <w:t>8.5.3 挑战与展望</w:t>
      </w:r>
    </w:p>
    <w:p>
      <w:pPr>
        <w:spacing w:line="360" w:lineRule="auto" w:after="0"/>
        <w:ind w:firstLine="425"/>
      </w:pPr>
      <w:r>
        <w:rPr>
          <w:rFonts w:ascii="Times New Roman" w:hAnsi="Times New Roman" w:eastAsia="宋体"/>
          <w:b w:val="0"/>
          <w:i w:val="0"/>
          <w:sz w:val="22"/>
        </w:rPr>
        <w:t>LLM增强定价面临以下挑战：</w:t>
      </w:r>
    </w:p>
    <w:p>
      <w:pPr>
        <w:pStyle w:val="ListBullet"/>
        <w:spacing w:line="360" w:lineRule="auto" w:after="0"/>
      </w:pPr>
      <w:r>
        <w:rPr>
          <w:rFonts w:ascii="Times New Roman" w:hAnsi="Times New Roman" w:eastAsia="宋体"/>
          <w:b/>
          <w:i w:val="0"/>
          <w:sz w:val="22"/>
        </w:rPr>
        <w:t>实时性</w:t>
      </w:r>
      <w:r>
        <w:rPr>
          <w:rFonts w:ascii="Times New Roman" w:hAnsi="Times New Roman" w:eastAsia="宋体"/>
          <w:b w:val="0"/>
          <w:i w:val="0"/>
          <w:sz w:val="22"/>
        </w:rPr>
        <w:t>：LLM推理延迟可能无法满足实时定价要求</w:t>
      </w:r>
    </w:p>
    <w:p>
      <w:pPr>
        <w:pStyle w:val="ListBullet"/>
        <w:spacing w:line="360" w:lineRule="auto" w:after="0"/>
      </w:pPr>
      <w:r>
        <w:rPr>
          <w:rFonts w:ascii="Times New Roman" w:hAnsi="Times New Roman" w:eastAsia="宋体"/>
          <w:b/>
          <w:i w:val="0"/>
          <w:sz w:val="22"/>
        </w:rPr>
        <w:t>准确性</w:t>
      </w:r>
      <w:r>
        <w:rPr>
          <w:rFonts w:ascii="Times New Roman" w:hAnsi="Times New Roman" w:eastAsia="宋体"/>
          <w:b w:val="0"/>
          <w:i w:val="0"/>
          <w:sz w:val="22"/>
        </w:rPr>
        <w:t>：LLM生成的策略需要验证其正确性</w:t>
      </w:r>
    </w:p>
    <w:p>
      <w:pPr>
        <w:pStyle w:val="ListBullet"/>
        <w:spacing w:line="360" w:lineRule="auto" w:after="0"/>
      </w:pPr>
      <w:r>
        <w:rPr>
          <w:rFonts w:ascii="Times New Roman" w:hAnsi="Times New Roman" w:eastAsia="宋体"/>
          <w:b/>
          <w:i w:val="0"/>
          <w:sz w:val="22"/>
        </w:rPr>
        <w:t>成本</w:t>
      </w:r>
      <w:r>
        <w:rPr>
          <w:rFonts w:ascii="Times New Roman" w:hAnsi="Times New Roman" w:eastAsia="宋体"/>
          <w:b w:val="0"/>
          <w:i w:val="0"/>
          <w:sz w:val="22"/>
        </w:rPr>
        <w:t>：LLM的调用成本在高频定价场景下可能过高</w:t>
      </w:r>
    </w:p>
    <w:p>
      <w:pPr>
        <w:pStyle w:val="ListBullet"/>
        <w:spacing w:line="360" w:lineRule="auto" w:after="0"/>
      </w:pPr>
      <w:r>
        <w:rPr>
          <w:rFonts w:ascii="Times New Roman" w:hAnsi="Times New Roman" w:eastAsia="宋体"/>
          <w:b/>
          <w:i w:val="0"/>
          <w:sz w:val="22"/>
        </w:rPr>
        <w:t>安全性</w:t>
      </w:r>
      <w:r>
        <w:rPr>
          <w:rFonts w:ascii="Times New Roman" w:hAnsi="Times New Roman" w:eastAsia="宋体"/>
          <w:b w:val="0"/>
          <w:i w:val="0"/>
          <w:sz w:val="22"/>
        </w:rPr>
        <w:t>：需要防止LLM被恶意提示注入攻击</w:t>
      </w:r>
    </w:p>
    <w:p>
      <w:pPr>
        <w:pStyle w:val="Heading2"/>
        <w:spacing w:before="240" w:after="80"/>
      </w:pPr>
      <w:r>
        <w:rPr>
          <w:rFonts w:ascii="Times New Roman" w:hAnsi="Times New Roman" w:eastAsia="黑体"/>
          <w:b/>
          <w:i w:val="0"/>
          <w:sz w:val="28"/>
        </w:rPr>
        <w:t>8.6 智能定价的挑战与展望</w:t>
      </w:r>
    </w:p>
    <w:p>
      <w:pPr>
        <w:pStyle w:val="Heading3"/>
        <w:spacing w:before="160" w:after="60"/>
      </w:pPr>
      <w:r>
        <w:rPr>
          <w:rFonts w:ascii="Times New Roman" w:hAnsi="Times New Roman" w:eastAsia="黑体"/>
          <w:b/>
          <w:i w:val="0"/>
          <w:sz w:val="24"/>
        </w:rPr>
        <w:t>8.6.1 主要挑战</w:t>
      </w:r>
    </w:p>
    <w:p>
      <w:pPr>
        <w:spacing w:line="360" w:lineRule="auto" w:after="0"/>
        <w:ind w:firstLine="425"/>
      </w:pPr>
      <w:r>
        <w:rPr>
          <w:rFonts w:ascii="Times New Roman" w:hAnsi="Times New Roman" w:eastAsia="宋体"/>
          <w:b/>
          <w:i w:val="0"/>
          <w:sz w:val="22"/>
        </w:rPr>
        <w:t>样本效率</w:t>
      </w:r>
      <w:r>
        <w:rPr>
          <w:rFonts w:ascii="Times New Roman" w:hAnsi="Times New Roman" w:eastAsia="宋体"/>
          <w:b w:val="0"/>
          <w:i w:val="0"/>
          <w:sz w:val="22"/>
        </w:rPr>
        <w:t>：强化学习需要大量交互样本，在真实电力系统中试错成本高。解决方案包括仿真到真实（Sim-to-Real）迁移和离线强化学习。</w:t>
      </w:r>
    </w:p>
    <w:p>
      <w:pPr>
        <w:spacing w:line="360" w:lineRule="auto" w:after="0"/>
        <w:ind w:firstLine="425"/>
      </w:pPr>
      <w:r>
        <w:rPr>
          <w:rFonts w:ascii="Times New Roman" w:hAnsi="Times New Roman" w:eastAsia="宋体"/>
          <w:b/>
          <w:i w:val="0"/>
          <w:sz w:val="22"/>
        </w:rPr>
        <w:t>安全性</w:t>
      </w:r>
      <w:r>
        <w:rPr>
          <w:rFonts w:ascii="Times New Roman" w:hAnsi="Times New Roman" w:eastAsia="宋体"/>
          <w:b w:val="0"/>
          <w:i w:val="0"/>
          <w:sz w:val="22"/>
        </w:rPr>
        <w:t>：RL Agent在探索阶段可能产生极端定价策略，影响电网安全。解决方案包括安全强化学习（Constrained RL）和风险敏感RL。</w:t>
      </w:r>
    </w:p>
    <w:p>
      <w:pPr>
        <w:spacing w:line="360" w:lineRule="auto" w:after="0"/>
        <w:ind w:firstLine="425"/>
      </w:pPr>
      <w:r>
        <w:rPr>
          <w:rFonts w:ascii="Times New Roman" w:hAnsi="Times New Roman" w:eastAsia="宋体"/>
          <w:b/>
          <w:i w:val="0"/>
          <w:sz w:val="22"/>
        </w:rPr>
        <w:t>可解释性</w:t>
      </w:r>
      <w:r>
        <w:rPr>
          <w:rFonts w:ascii="Times New Roman" w:hAnsi="Times New Roman" w:eastAsia="宋体"/>
          <w:b w:val="0"/>
          <w:i w:val="0"/>
          <w:sz w:val="22"/>
        </w:rPr>
        <w:t>：深度RL的决策过程不透明，难以获得用户和监管机构的信任。解决方案包括可解释AI技术和LLM辅助解释。</w:t>
      </w:r>
    </w:p>
    <w:p>
      <w:pPr>
        <w:spacing w:line="360" w:lineRule="auto" w:after="0"/>
        <w:ind w:firstLine="425"/>
      </w:pPr>
      <w:r>
        <w:rPr>
          <w:rFonts w:ascii="Times New Roman" w:hAnsi="Times New Roman" w:eastAsia="宋体"/>
          <w:b/>
          <w:i w:val="0"/>
          <w:sz w:val="22"/>
        </w:rPr>
        <w:t>多目标平衡</w:t>
      </w:r>
      <w:r>
        <w:rPr>
          <w:rFonts w:ascii="Times New Roman" w:hAnsi="Times New Roman" w:eastAsia="宋体"/>
          <w:b w:val="0"/>
          <w:i w:val="0"/>
          <w:sz w:val="22"/>
        </w:rPr>
        <w:t>：定价需要同时考虑经济效率、公平性、可靠性和环保性等多个目标。解决方案包括多目标RL和帕累托前沿学习。</w:t>
      </w:r>
    </w:p>
    <w:p>
      <w:pPr>
        <w:pStyle w:val="Heading3"/>
        <w:spacing w:before="160" w:after="60"/>
      </w:pPr>
      <w:r>
        <w:rPr>
          <w:rFonts w:ascii="Times New Roman" w:hAnsi="Times New Roman" w:eastAsia="黑体"/>
          <w:b/>
          <w:i w:val="0"/>
          <w:sz w:val="24"/>
        </w:rPr>
        <w:t>8.6.2 未来方向</w:t>
      </w:r>
    </w:p>
    <w:p>
      <w:pPr>
        <w:pStyle w:val="ListBullet"/>
        <w:spacing w:line="360" w:lineRule="auto" w:after="0"/>
      </w:pPr>
      <w:r>
        <w:rPr>
          <w:rFonts w:ascii="Times New Roman" w:hAnsi="Times New Roman" w:eastAsia="宋体"/>
          <w:b/>
          <w:i w:val="0"/>
          <w:sz w:val="22"/>
        </w:rPr>
        <w:t>联邦强化学习</w:t>
      </w:r>
      <w:r>
        <w:rPr>
          <w:rFonts w:ascii="Times New Roman" w:hAnsi="Times New Roman" w:eastAsia="宋体"/>
          <w:b w:val="0"/>
          <w:i w:val="0"/>
          <w:sz w:val="22"/>
        </w:rPr>
        <w:t>：在保护用户隐私的前提下实现多节点协同学习</w:t>
      </w:r>
    </w:p>
    <w:p>
      <w:pPr>
        <w:pStyle w:val="ListBullet"/>
        <w:spacing w:line="360" w:lineRule="auto" w:after="0"/>
      </w:pPr>
      <w:r>
        <w:rPr>
          <w:rFonts w:ascii="Times New Roman" w:hAnsi="Times New Roman" w:eastAsia="宋体"/>
          <w:b/>
          <w:i w:val="0"/>
          <w:sz w:val="22"/>
        </w:rPr>
        <w:t>离线强化学习</w:t>
      </w:r>
      <w:r>
        <w:rPr>
          <w:rFonts w:ascii="Times New Roman" w:hAnsi="Times New Roman" w:eastAsia="宋体"/>
          <w:b w:val="0"/>
          <w:i w:val="0"/>
          <w:sz w:val="22"/>
        </w:rPr>
        <w:t>：利用历史数据学习定价策略，避免在线试错风险</w:t>
      </w:r>
    </w:p>
    <w:p>
      <w:pPr>
        <w:pStyle w:val="ListBullet"/>
        <w:spacing w:line="360" w:lineRule="auto" w:after="0"/>
      </w:pPr>
      <w:r>
        <w:rPr>
          <w:rFonts w:ascii="Times New Roman" w:hAnsi="Times New Roman" w:eastAsia="宋体"/>
          <w:b/>
          <w:i w:val="0"/>
          <w:sz w:val="22"/>
        </w:rPr>
        <w:t>元学习</w:t>
      </w:r>
      <w:r>
        <w:rPr>
          <w:rFonts w:ascii="Times New Roman" w:hAnsi="Times New Roman" w:eastAsia="宋体"/>
          <w:b w:val="0"/>
          <w:i w:val="0"/>
          <w:sz w:val="22"/>
        </w:rPr>
        <w:t>：快速适应新的市场环境和用户行为变化</w:t>
      </w:r>
    </w:p>
    <w:p>
      <w:pPr>
        <w:pStyle w:val="ListBullet"/>
        <w:spacing w:line="360" w:lineRule="auto" w:after="0"/>
      </w:pPr>
      <w:r>
        <w:rPr>
          <w:rFonts w:ascii="Times New Roman" w:hAnsi="Times New Roman" w:eastAsia="宋体"/>
          <w:b/>
          <w:i w:val="0"/>
          <w:sz w:val="22"/>
        </w:rPr>
        <w:t>大模型驱动</w:t>
      </w:r>
      <w:r>
        <w:rPr>
          <w:rFonts w:ascii="Times New Roman" w:hAnsi="Times New Roman" w:eastAsia="宋体"/>
          <w:b w:val="0"/>
          <w:i w:val="0"/>
          <w:sz w:val="22"/>
        </w:rPr>
        <w:t>：将LLM的推理能力与RL的决策能力深度融合</w:t>
      </w:r>
    </w:p>
    <w:p>
      <w:pPr>
        <w:pStyle w:val="Heading2"/>
        <w:spacing w:before="240" w:after="80"/>
      </w:pPr>
      <w:r>
        <w:rPr>
          <w:rFonts w:ascii="Times New Roman" w:hAnsi="Times New Roman" w:eastAsia="黑体"/>
          <w:b/>
          <w:i w:val="0"/>
          <w:sz w:val="28"/>
        </w:rPr>
        <w:t>本章小结</w:t>
      </w:r>
    </w:p>
    <w:p>
      <w:pPr>
        <w:spacing w:line="360" w:lineRule="auto" w:after="0"/>
        <w:ind w:firstLine="425"/>
      </w:pPr>
      <w:r>
        <w:rPr>
          <w:rFonts w:ascii="Times New Roman" w:hAnsi="Times New Roman" w:eastAsia="宋体"/>
          <w:b w:val="0"/>
          <w:i w:val="0"/>
          <w:sz w:val="22"/>
        </w:rPr>
        <w:t>强化学习与智能定价方法代表了智能电网实时定价的前沿发展方向。从Q学习到深度强化学习，从单Agent到多Agent，从传统RL到LLM增强，定价方法正在经历从"模型驱动"到"数据驱动"再到"智能驱动"的演进。高岩团队在这一方向的前沿探索（MADRL实时定价、LLM增强定价）为智能电网定价的未来发展提供了新思路。尽管面临样本效率、安全性和可解释性等挑战，强化学习方法在处理不确定性和复杂策略互动方面的优势使其成为极具前景的定价技术方向。</w:t>
      </w:r>
    </w:p>
    <w:p>
      <w:pPr>
        <w:pStyle w:val="Heading2"/>
        <w:spacing w:before="240" w:after="80"/>
      </w:pPr>
      <w:r>
        <w:rPr>
          <w:rFonts w:ascii="Times New Roman" w:hAnsi="Times New Roman" w:eastAsia="黑体"/>
          <w:b/>
          <w:i w:val="0"/>
          <w:sz w:val="28"/>
        </w:rPr>
        <w:t>8.7 国际比较与经验借鉴</w:t>
      </w:r>
    </w:p>
    <w:p>
      <w:pPr>
        <w:pStyle w:val="Heading3"/>
        <w:spacing w:before="160" w:after="60"/>
      </w:pPr>
      <w:r>
        <w:rPr>
          <w:rFonts w:ascii="Times New Roman" w:hAnsi="Times New Roman" w:eastAsia="黑体"/>
          <w:b/>
          <w:i w:val="0"/>
          <w:sz w:val="24"/>
        </w:rPr>
        <w:t>国际强化学习定价研究</w:t>
      </w:r>
    </w:p>
    <w:p>
      <w:pPr>
        <w:spacing w:line="360" w:lineRule="auto" w:after="0"/>
        <w:ind w:firstLine="425"/>
      </w:pPr>
      <w:r>
        <w:rPr>
          <w:rFonts w:ascii="Times New Roman" w:hAnsi="Times New Roman" w:eastAsia="宋体"/>
          <w:b w:val="0"/>
          <w:i w:val="0"/>
          <w:sz w:val="22"/>
        </w:rPr>
        <w:t>国际上对强化学习在智能电网定价中的应用有快速发展：</w:t>
      </w:r>
    </w:p>
    <w:p>
      <w:pPr>
        <w:spacing w:line="360" w:lineRule="auto" w:after="0"/>
        <w:ind w:firstLine="425"/>
      </w:pPr>
      <w:r>
        <w:rPr>
          <w:rFonts w:ascii="Times New Roman" w:hAnsi="Times New Roman" w:eastAsia="宋体"/>
          <w:b/>
          <w:i w:val="0"/>
          <w:sz w:val="22"/>
        </w:rPr>
        <w:t>Q学习方向</w:t>
      </w:r>
      <w:r>
        <w:rPr>
          <w:rFonts w:ascii="Times New Roman" w:hAnsi="Times New Roman" w:eastAsia="宋体"/>
          <w:b w:val="0"/>
          <w:i w:val="0"/>
          <w:sz w:val="22"/>
        </w:rPr>
        <w:t>：Kim等（2014）率先将Q学习引入智能电网动态定价</w:t>
      </w:r>
      <w:r>
        <w:rPr>
          <w:rFonts w:ascii="Times New Roman" w:hAnsi="Times New Roman" w:eastAsia="Times New Roman"/>
          <w:b w:val="0"/>
          <w:i w:val="0"/>
          <w:sz w:val="18"/>
          <w:vertAlign w:val="superscript"/>
        </w:rPr>
        <w:t>[5]</w:t>
      </w:r>
      <w:r>
        <w:rPr>
          <w:rFonts w:ascii="Times New Roman" w:hAnsi="Times New Roman" w:eastAsia="宋体"/>
          <w:b w:val="0"/>
          <w:i w:val="0"/>
          <w:sz w:val="22"/>
        </w:rPr>
        <w:t>。Lu和Hong（2019）开发了基于强化学习和深度神经网络的实时激励DR算法</w:t>
      </w:r>
      <w:r>
        <w:rPr>
          <w:rFonts w:ascii="Times New Roman" w:hAnsi="Times New Roman" w:eastAsia="Times New Roman"/>
          <w:b w:val="0"/>
          <w:i w:val="0"/>
          <w:sz w:val="18"/>
          <w:vertAlign w:val="superscript"/>
        </w:rPr>
        <w:t>[7]</w:t>
      </w:r>
      <w:r>
        <w:rPr>
          <w:rFonts w:ascii="Times New Roman" w:hAnsi="Times New Roman" w:eastAsia="宋体"/>
          <w:b w:val="0"/>
          <w:i w:val="0"/>
          <w:sz w:val="22"/>
        </w:rPr>
        <w:t>。</w:t>
      </w:r>
    </w:p>
    <w:p>
      <w:pPr>
        <w:spacing w:line="360" w:lineRule="auto" w:after="0"/>
        <w:ind w:firstLine="425"/>
      </w:pPr>
      <w:r>
        <w:rPr>
          <w:rFonts w:ascii="Times New Roman" w:hAnsi="Times New Roman" w:eastAsia="宋体"/>
          <w:b/>
          <w:i w:val="0"/>
          <w:sz w:val="22"/>
        </w:rPr>
        <w:t>深度强化学习方向</w:t>
      </w:r>
      <w:r>
        <w:rPr>
          <w:rFonts w:ascii="Times New Roman" w:hAnsi="Times New Roman" w:eastAsia="宋体"/>
          <w:b w:val="0"/>
          <w:i w:val="0"/>
          <w:sz w:val="22"/>
        </w:rPr>
        <w:t>：Lee等（2020）将深度Actor-Critic学习应用于智能电网需求侧调度</w:t>
      </w:r>
      <w:r>
        <w:rPr>
          <w:rFonts w:ascii="Times New Roman" w:hAnsi="Times New Roman" w:eastAsia="Times New Roman"/>
          <w:b w:val="0"/>
          <w:i w:val="0"/>
          <w:sz w:val="18"/>
          <w:vertAlign w:val="superscript"/>
        </w:rPr>
        <w:t>[6]</w:t>
      </w:r>
      <w:r>
        <w:rPr>
          <w:rFonts w:ascii="Times New Roman" w:hAnsi="Times New Roman" w:eastAsia="宋体"/>
          <w:b w:val="0"/>
          <w:i w:val="0"/>
          <w:sz w:val="22"/>
        </w:rPr>
        <w:t>。Ghasemi等（2022）提出了基于多Agent深度强化学习的分布式能源管理框架，将DRL应用于可再生能源的自主控制和集成。</w:t>
      </w:r>
    </w:p>
    <w:p>
      <w:pPr>
        <w:spacing w:line="360" w:lineRule="auto" w:after="0"/>
        <w:ind w:firstLine="425"/>
      </w:pPr>
      <w:r>
        <w:rPr>
          <w:rFonts w:ascii="Times New Roman" w:hAnsi="Times New Roman" w:eastAsia="宋体"/>
          <w:b/>
          <w:i w:val="0"/>
          <w:sz w:val="22"/>
        </w:rPr>
        <w:t>深度学习综述方向</w:t>
      </w:r>
      <w:r>
        <w:rPr>
          <w:rFonts w:ascii="Times New Roman" w:hAnsi="Times New Roman" w:eastAsia="宋体"/>
          <w:b w:val="0"/>
          <w:i w:val="0"/>
          <w:sz w:val="22"/>
        </w:rPr>
        <w:t>：Prabadevi等（2021）对智能电网中的深度学习和需求响应进行了全面综述，涵盖了CNN、RNN、LSTM、DRL等多种深度学习方法在DR中的应用。Sofana等（2021）研究了考虑可再生能源的住宅消费者实时需求响应建模，采用深度学习方法。</w:t>
      </w:r>
    </w:p>
    <w:p>
      <w:pPr>
        <w:spacing w:line="360" w:lineRule="auto" w:after="0"/>
        <w:ind w:firstLine="425"/>
      </w:pPr>
      <w:r>
        <w:rPr>
          <w:rFonts w:ascii="Times New Roman" w:hAnsi="Times New Roman" w:eastAsia="宋体"/>
          <w:b/>
          <w:i w:val="0"/>
          <w:sz w:val="22"/>
        </w:rPr>
        <w:t>容量约束方向</w:t>
      </w:r>
      <w:r>
        <w:rPr>
          <w:rFonts w:ascii="Times New Roman" w:hAnsi="Times New Roman" w:eastAsia="宋体"/>
          <w:b w:val="0"/>
          <w:i w:val="0"/>
          <w:sz w:val="22"/>
        </w:rPr>
        <w:t>：Abband Pashaki等（2026）研究了使用深度强化学习的智能电网容量约束需求响应，将LSTM和DDQN结合处理容量约束下的定价决策。</w:t>
      </w:r>
    </w:p>
    <w:p>
      <w:pPr>
        <w:pStyle w:val="Heading3"/>
        <w:spacing w:before="160" w:after="60"/>
      </w:pPr>
      <w:r>
        <w:rPr>
          <w:rFonts w:ascii="Times New Roman" w:hAnsi="Times New Roman" w:eastAsia="黑体"/>
          <w:b/>
          <w:i w:val="0"/>
          <w:sz w:val="24"/>
        </w:rPr>
        <w:t>联邦学习在定价中的应用</w:t>
      </w:r>
    </w:p>
    <w:p>
      <w:pPr>
        <w:spacing w:line="360" w:lineRule="auto" w:after="0"/>
        <w:ind w:firstLine="425"/>
      </w:pPr>
      <w:r>
        <w:rPr>
          <w:rFonts w:ascii="Times New Roman" w:hAnsi="Times New Roman" w:eastAsia="宋体"/>
          <w:b w:val="0"/>
          <w:i w:val="0"/>
          <w:sz w:val="22"/>
        </w:rPr>
        <w:t>Zhang等（2025）对智能电网中的联邦学习应用进行了系统综述。联邦学习在实时定价中的优势在于：</w:t>
      </w:r>
    </w:p>
    <w:p>
      <w:pPr>
        <w:pStyle w:val="ListBullet"/>
        <w:spacing w:line="360" w:lineRule="auto" w:after="0"/>
      </w:pPr>
      <w:r>
        <w:rPr>
          <w:rFonts w:ascii="Times New Roman" w:hAnsi="Times New Roman" w:eastAsia="宋体"/>
          <w:b/>
          <w:i w:val="0"/>
          <w:sz w:val="22"/>
        </w:rPr>
        <w:t>隐私保护</w:t>
      </w:r>
      <w:r>
        <w:rPr>
          <w:rFonts w:ascii="Times New Roman" w:hAnsi="Times New Roman" w:eastAsia="宋体"/>
          <w:b w:val="0"/>
          <w:i w:val="0"/>
          <w:sz w:val="22"/>
        </w:rPr>
        <w:t>：用户数据不需要上传到中心服务器，仅在本地训练模型</w:t>
      </w:r>
    </w:p>
    <w:p>
      <w:pPr>
        <w:pStyle w:val="ListBullet"/>
        <w:spacing w:line="360" w:lineRule="auto" w:after="0"/>
      </w:pPr>
      <w:r>
        <w:rPr>
          <w:rFonts w:ascii="Times New Roman" w:hAnsi="Times New Roman" w:eastAsia="宋体"/>
          <w:b/>
          <w:i w:val="0"/>
          <w:sz w:val="22"/>
        </w:rPr>
        <w:t>分布式训练</w:t>
      </w:r>
      <w:r>
        <w:rPr>
          <w:rFonts w:ascii="Times New Roman" w:hAnsi="Times New Roman" w:eastAsia="宋体"/>
          <w:b w:val="0"/>
          <w:i w:val="0"/>
          <w:sz w:val="22"/>
        </w:rPr>
        <w:t>：利用多用户的计算资源进行分布式模型训练</w:t>
      </w:r>
    </w:p>
    <w:p>
      <w:pPr>
        <w:pStyle w:val="ListBullet"/>
        <w:spacing w:line="360" w:lineRule="auto" w:after="0"/>
      </w:pPr>
      <w:r>
        <w:rPr>
          <w:rFonts w:ascii="Times New Roman" w:hAnsi="Times New Roman" w:eastAsia="宋体"/>
          <w:b/>
          <w:i w:val="0"/>
          <w:sz w:val="22"/>
        </w:rPr>
        <w:t>个性化定价</w:t>
      </w:r>
      <w:r>
        <w:rPr>
          <w:rFonts w:ascii="Times New Roman" w:hAnsi="Times New Roman" w:eastAsia="宋体"/>
          <w:b w:val="0"/>
          <w:i w:val="0"/>
          <w:sz w:val="22"/>
        </w:rPr>
        <w:t>：每个用户可以拥有个性化的定价模型，同时受益于群体知识</w:t>
      </w:r>
    </w:p>
    <w:p>
      <w:pPr>
        <w:spacing w:line="360" w:lineRule="auto" w:after="0"/>
        <w:ind w:firstLine="425"/>
      </w:pPr>
      <w:r>
        <w:rPr>
          <w:rFonts w:ascii="Times New Roman" w:hAnsi="Times New Roman" w:eastAsia="宋体"/>
          <w:b w:val="0"/>
          <w:i w:val="0"/>
          <w:sz w:val="22"/>
        </w:rPr>
        <w:t>Tariq等（2026）提出了基于区块链和联邦学习的智能电网安全框架，将区块链的去中心化特性与联邦学习的隐私保护特性结合，为实时定价提供了安全的基础设施。</w:t>
      </w:r>
    </w:p>
    <w:p>
      <w:pPr>
        <w:spacing w:line="360" w:lineRule="auto" w:after="0"/>
        <w:ind w:firstLine="425"/>
      </w:pPr>
      <w:r>
        <w:rPr>
          <w:rFonts w:ascii="Times New Roman" w:hAnsi="Times New Roman" w:eastAsia="宋体"/>
          <w:b w:val="0"/>
          <w:i w:val="0"/>
          <w:sz w:val="22"/>
        </w:rPr>
        <w:t>Wang等（2025）进一步提出了基于联邦学习和区块链的智能电网边缘数据安全增强方案，通过联邦学习实现模型参数的安全聚合，通过区块链确保数据完整性。</w:t>
      </w:r>
    </w:p>
    <w:p>
      <w:pPr>
        <w:pStyle w:val="Heading2"/>
        <w:spacing w:before="240" w:after="80"/>
      </w:pPr>
      <w:r>
        <w:rPr>
          <w:rFonts w:ascii="Times New Roman" w:hAnsi="Times New Roman" w:eastAsia="黑体"/>
          <w:b/>
          <w:i w:val="0"/>
          <w:sz w:val="28"/>
        </w:rPr>
        <w:t>8.8 实践案例深度分析</w:t>
      </w:r>
    </w:p>
    <w:p>
      <w:pPr>
        <w:pStyle w:val="Heading3"/>
        <w:spacing w:before="160" w:after="60"/>
      </w:pPr>
      <w:r>
        <w:rPr>
          <w:rFonts w:ascii="Times New Roman" w:hAnsi="Times New Roman" w:eastAsia="黑体"/>
          <w:b/>
          <w:i w:val="0"/>
          <w:sz w:val="24"/>
        </w:rPr>
        <w:t>案例1：DQN定价的仿真验证</w:t>
      </w:r>
    </w:p>
    <w:p>
      <w:pPr>
        <w:spacing w:line="360" w:lineRule="auto" w:after="0"/>
        <w:ind w:firstLine="425"/>
      </w:pPr>
      <w:r>
        <w:rPr>
          <w:rFonts w:ascii="Times New Roman" w:hAnsi="Times New Roman" w:eastAsia="宋体"/>
          <w:b w:val="0"/>
          <w:i w:val="0"/>
          <w:sz w:val="22"/>
        </w:rPr>
        <w:t>王宏杰等（2022）的强化学习RTP方法在某仿真环境中进行了验证</w:t>
      </w:r>
      <w:r>
        <w:rPr>
          <w:rFonts w:ascii="Times New Roman" w:hAnsi="Times New Roman" w:eastAsia="Times New Roman"/>
          <w:b w:val="0"/>
          <w:i w:val="0"/>
          <w:sz w:val="18"/>
          <w:vertAlign w:val="superscript"/>
        </w:rPr>
        <w:t>[1]</w:t>
      </w:r>
      <w:r>
        <w:rPr>
          <w:rFonts w:ascii="Times New Roman" w:hAnsi="Times New Roman" w:eastAsia="宋体"/>
          <w:b w:val="0"/>
          <w:i w:val="0"/>
          <w:sz w:val="22"/>
        </w:rPr>
        <w:t>：</w:t>
      </w:r>
    </w:p>
    <w:p>
      <w:pPr>
        <w:spacing w:line="360" w:lineRule="auto" w:after="0"/>
        <w:ind w:firstLine="425"/>
      </w:pPr>
      <w:r>
        <w:rPr>
          <w:rFonts w:ascii="Times New Roman" w:hAnsi="Times New Roman" w:eastAsia="宋体"/>
          <w:b/>
          <w:i w:val="0"/>
          <w:sz w:val="22"/>
        </w:rPr>
        <w:t>环境设置</w:t>
      </w:r>
      <w:r>
        <w:rPr>
          <w:rFonts w:ascii="Times New Roman" w:hAnsi="Times New Roman" w:eastAsia="宋体"/>
          <w:b w:val="0"/>
          <w:i w:val="0"/>
          <w:sz w:val="22"/>
        </w:rPr>
        <w:t>：500个用户，24个时段，15分钟定价周期。</w:t>
      </w:r>
    </w:p>
    <w:p>
      <w:pPr>
        <w:spacing w:line="360" w:lineRule="auto" w:after="0"/>
        <w:ind w:firstLine="425"/>
      </w:pPr>
      <w:r>
        <w:rPr>
          <w:rFonts w:ascii="Times New Roman" w:hAnsi="Times New Roman" w:eastAsia="宋体"/>
          <w:b/>
          <w:i w:val="0"/>
          <w:sz w:val="22"/>
        </w:rPr>
        <w:t>DQN架构</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输入层：8维状态（当前负荷、上期价格、时段、天气等）</w:t>
      </w:r>
    </w:p>
    <w:p>
      <w:pPr>
        <w:pStyle w:val="ListBullet"/>
        <w:spacing w:line="360" w:lineRule="auto" w:after="0"/>
      </w:pPr>
      <w:r>
        <w:rPr>
          <w:rFonts w:ascii="Times New Roman" w:hAnsi="Times New Roman" w:eastAsia="宋体"/>
          <w:b w:val="0"/>
          <w:i w:val="0"/>
          <w:sz w:val="22"/>
        </w:rPr>
        <w:t>隐藏层：3层全连接，各128个神经元，ReLU激活</w:t>
      </w:r>
    </w:p>
    <w:p>
      <w:pPr>
        <w:pStyle w:val="ListBullet"/>
        <w:spacing w:line="360" w:lineRule="auto" w:after="0"/>
      </w:pPr>
      <w:r>
        <w:rPr>
          <w:rFonts w:ascii="Times New Roman" w:hAnsi="Times New Roman" w:eastAsia="宋体"/>
          <w:b w:val="0"/>
          <w:i w:val="0"/>
          <w:sz w:val="22"/>
        </w:rPr>
        <w:t>输出层：20个离散动作（价格等级0.3-1.2元/kWh）</w:t>
      </w:r>
    </w:p>
    <w:p>
      <w:pPr>
        <w:spacing w:line="360" w:lineRule="auto" w:after="0"/>
        <w:ind w:firstLine="425"/>
      </w:pPr>
      <w:r>
        <w:rPr>
          <w:rFonts w:ascii="Times New Roman" w:hAnsi="Times New Roman" w:eastAsia="宋体"/>
          <w:b/>
          <w:i w:val="0"/>
          <w:sz w:val="22"/>
        </w:rPr>
        <w:t>训练结果</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训练回合：200轮（约6小时）</w:t>
      </w:r>
    </w:p>
    <w:p>
      <w:pPr>
        <w:pStyle w:val="ListBullet"/>
        <w:spacing w:line="360" w:lineRule="auto" w:after="0"/>
      </w:pPr>
      <w:r>
        <w:rPr>
          <w:rFonts w:ascii="Times New Roman" w:hAnsi="Times New Roman" w:eastAsia="宋体"/>
          <w:b w:val="0"/>
          <w:i w:val="0"/>
          <w:sz w:val="22"/>
        </w:rPr>
        <w:t>收敛回合：约第80轮后社会福利趋于稳定</w:t>
      </w:r>
    </w:p>
    <w:p>
      <w:pPr>
        <w:pStyle w:val="ListBullet"/>
        <w:spacing w:line="360" w:lineRule="auto" w:after="0"/>
      </w:pPr>
      <w:r>
        <w:rPr>
          <w:rFonts w:ascii="Times New Roman" w:hAnsi="Times New Roman" w:eastAsia="宋体"/>
          <w:b w:val="0"/>
          <w:i w:val="0"/>
          <w:sz w:val="22"/>
        </w:rPr>
        <w:t>最终社会福利：比传统优化方法高5.2%</w:t>
      </w:r>
    </w:p>
    <w:p>
      <w:pPr>
        <w:pStyle w:val="ListBullet"/>
        <w:spacing w:line="360" w:lineRule="auto" w:after="0"/>
      </w:pPr>
      <w:r>
        <w:rPr>
          <w:rFonts w:ascii="Times New Roman" w:hAnsi="Times New Roman" w:eastAsia="宋体"/>
          <w:b w:val="0"/>
          <w:i w:val="0"/>
          <w:sz w:val="22"/>
        </w:rPr>
        <w:t>价格波动：标准差为0.12元/kWh（可接受范围）</w:t>
      </w:r>
    </w:p>
    <w:p>
      <w:pPr>
        <w:spacing w:line="360" w:lineRule="auto" w:after="0"/>
        <w:ind w:firstLine="425"/>
      </w:pPr>
      <w:r>
        <w:rPr>
          <w:rFonts w:ascii="Times New Roman" w:hAnsi="Times New Roman" w:eastAsia="宋体"/>
          <w:b/>
          <w:i w:val="0"/>
          <w:sz w:val="22"/>
        </w:rPr>
        <w:t>鲁棒性测试</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在负荷不确定性增加20%时，社会福利仅下降1.5%（传统方法下降3.8%）</w:t>
      </w:r>
    </w:p>
    <w:p>
      <w:pPr>
        <w:pStyle w:val="ListBullet"/>
        <w:spacing w:line="360" w:lineRule="auto" w:after="0"/>
      </w:pPr>
      <w:r>
        <w:rPr>
          <w:rFonts w:ascii="Times New Roman" w:hAnsi="Times New Roman" w:eastAsia="宋体"/>
          <w:b w:val="0"/>
          <w:i w:val="0"/>
          <w:sz w:val="22"/>
        </w:rPr>
        <w:t>在用户行为分布变化时，DQN能通过持续学习适应新环境</w:t>
      </w:r>
    </w:p>
    <w:p>
      <w:pPr>
        <w:pStyle w:val="Heading3"/>
        <w:spacing w:before="160" w:after="60"/>
      </w:pPr>
      <w:r>
        <w:rPr>
          <w:rFonts w:ascii="Times New Roman" w:hAnsi="Times New Roman" w:eastAsia="黑体"/>
          <w:b/>
          <w:i w:val="0"/>
          <w:sz w:val="24"/>
        </w:rPr>
        <w:t>案例2：MADRL多零售商定价</w:t>
      </w:r>
    </w:p>
    <w:p>
      <w:pPr>
        <w:spacing w:line="360" w:lineRule="auto" w:after="0"/>
        <w:ind w:firstLine="425"/>
      </w:pPr>
      <w:r>
        <w:rPr>
          <w:rFonts w:ascii="Times New Roman" w:hAnsi="Times New Roman" w:eastAsia="宋体"/>
          <w:b w:val="0"/>
          <w:i w:val="0"/>
          <w:sz w:val="22"/>
        </w:rPr>
        <w:t>知识库中的Phase2_MADRL实时定价项目验证了多Agent深度强化学习在多零售商竞争场景下的效果：</w:t>
      </w:r>
    </w:p>
    <w:p>
      <w:pPr>
        <w:spacing w:line="360" w:lineRule="auto" w:after="0"/>
        <w:ind w:firstLine="425"/>
      </w:pPr>
      <w:r>
        <w:rPr>
          <w:rFonts w:ascii="Times New Roman" w:hAnsi="Times New Roman" w:eastAsia="宋体"/>
          <w:b/>
          <w:i w:val="0"/>
          <w:sz w:val="22"/>
        </w:rPr>
        <w:t>实验设置</w:t>
      </w:r>
      <w:r>
        <w:rPr>
          <w:rFonts w:ascii="Times New Roman" w:hAnsi="Times New Roman" w:eastAsia="宋体"/>
          <w:b w:val="0"/>
          <w:i w:val="0"/>
          <w:sz w:val="22"/>
        </w:rPr>
        <w:t>：3个零售商Agent，各服务100-200个用户。</w:t>
      </w:r>
    </w:p>
    <w:p>
      <w:pPr>
        <w:spacing w:line="360" w:lineRule="auto" w:after="0"/>
        <w:ind w:firstLine="425"/>
      </w:pPr>
      <w:r>
        <w:rPr>
          <w:rFonts w:ascii="Times New Roman" w:hAnsi="Times New Roman" w:eastAsia="宋体"/>
          <w:b/>
          <w:i w:val="0"/>
          <w:sz w:val="22"/>
        </w:rPr>
        <w:t>算法选择</w:t>
      </w:r>
      <w:r>
        <w:rPr>
          <w:rFonts w:ascii="Times New Roman" w:hAnsi="Times New Roman" w:eastAsia="宋体"/>
          <w:b w:val="0"/>
          <w:i w:val="0"/>
          <w:sz w:val="22"/>
        </w:rPr>
        <w:t>：MADDPG（Multi-Agent Deep Deterministic Policy Gradient），支持连续动作空间。</w:t>
      </w:r>
    </w:p>
    <w:p>
      <w:pPr>
        <w:spacing w:line="360" w:lineRule="auto" w:after="0"/>
        <w:ind w:firstLine="425"/>
      </w:pPr>
      <w:r>
        <w:rPr>
          <w:rFonts w:ascii="Times New Roman" w:hAnsi="Times New Roman" w:eastAsia="宋体"/>
          <w:b/>
          <w:i w:val="0"/>
          <w:sz w:val="22"/>
        </w:rPr>
        <w:t>CTDE架构</w:t>
      </w:r>
      <w:r>
        <w:rPr>
          <w:rFonts w:ascii="Times New Roman" w:hAnsi="Times New Roman" w:eastAsia="宋体"/>
          <w:b w:val="0"/>
          <w:i w:val="0"/>
          <w:sz w:val="22"/>
        </w:rPr>
        <w:t>：集中训练分布式执行（Centralized Training, Decentralized Execution）。</w:t>
      </w:r>
    </w:p>
    <w:p>
      <w:pPr>
        <w:pStyle w:val="ListBullet"/>
        <w:spacing w:line="360" w:lineRule="auto" w:after="0"/>
      </w:pPr>
      <w:r>
        <w:rPr>
          <w:rFonts w:ascii="Times New Roman" w:hAnsi="Times New Roman" w:eastAsia="宋体"/>
          <w:b w:val="0"/>
          <w:i w:val="0"/>
          <w:sz w:val="22"/>
        </w:rPr>
        <w:t>训练阶段：使用全局信息（所有Agent的状态和动作）训练Critic网络</w:t>
      </w:r>
    </w:p>
    <w:p>
      <w:pPr>
        <w:pStyle w:val="ListBullet"/>
        <w:spacing w:line="360" w:lineRule="auto" w:after="0"/>
      </w:pPr>
      <w:r>
        <w:rPr>
          <w:rFonts w:ascii="Times New Roman" w:hAnsi="Times New Roman" w:eastAsia="宋体"/>
          <w:b w:val="0"/>
          <w:i w:val="0"/>
          <w:sz w:val="22"/>
        </w:rPr>
        <w:t>执行阶段：每个Agent仅使用本地信息进行决策</w:t>
      </w:r>
    </w:p>
    <w:p>
      <w:pPr>
        <w:spacing w:line="360" w:lineRule="auto" w:after="0"/>
        <w:ind w:firstLine="425"/>
      </w:pPr>
      <w:r>
        <w:rPr>
          <w:rFonts w:ascii="Times New Roman" w:hAnsi="Times New Roman" w:eastAsia="宋体"/>
          <w:b/>
          <w:i w:val="0"/>
          <w:sz w:val="22"/>
        </w:rPr>
        <w:t>结果</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收敛到接近纳什均衡的定价策略（与理论均衡偏差&lt;3%）</w:t>
      </w:r>
    </w:p>
    <w:p>
      <w:pPr>
        <w:pStyle w:val="ListBullet"/>
        <w:spacing w:line="360" w:lineRule="auto" w:after="0"/>
      </w:pPr>
      <w:r>
        <w:rPr>
          <w:rFonts w:ascii="Times New Roman" w:hAnsi="Times New Roman" w:eastAsia="宋体"/>
          <w:b w:val="0"/>
          <w:i w:val="0"/>
          <w:sz w:val="22"/>
        </w:rPr>
        <w:t>比迭代最佳响应算法收敛速度快2.3倍</w:t>
      </w:r>
    </w:p>
    <w:p>
      <w:pPr>
        <w:pStyle w:val="ListBullet"/>
        <w:spacing w:line="360" w:lineRule="auto" w:after="0"/>
      </w:pPr>
      <w:r>
        <w:rPr>
          <w:rFonts w:ascii="Times New Roman" w:hAnsi="Times New Roman" w:eastAsia="宋体"/>
          <w:b w:val="0"/>
          <w:i w:val="0"/>
          <w:sz w:val="22"/>
        </w:rPr>
        <w:t>在不确定环境下具有更好的鲁棒性</w:t>
      </w:r>
    </w:p>
    <w:p>
      <w:pPr>
        <w:pStyle w:val="ListBullet"/>
        <w:spacing w:line="360" w:lineRule="auto" w:after="0"/>
      </w:pPr>
      <w:r>
        <w:rPr>
          <w:rFonts w:ascii="Times New Roman" w:hAnsi="Times New Roman" w:eastAsia="宋体"/>
          <w:b w:val="0"/>
          <w:i w:val="0"/>
          <w:sz w:val="22"/>
        </w:rPr>
        <w:t>Agent展现出隐式合作行为（避免恶性价格竞争）</w:t>
      </w:r>
    </w:p>
    <w:p>
      <w:pPr>
        <w:pStyle w:val="Heading3"/>
        <w:spacing w:before="160" w:after="60"/>
      </w:pPr>
      <w:r>
        <w:rPr>
          <w:rFonts w:ascii="Times New Roman" w:hAnsi="Times New Roman" w:eastAsia="黑体"/>
          <w:b/>
          <w:i w:val="0"/>
          <w:sz w:val="24"/>
        </w:rPr>
        <w:t>案例3：LLM增强定价的探索性实验</w:t>
      </w:r>
    </w:p>
    <w:p>
      <w:pPr>
        <w:spacing w:line="360" w:lineRule="auto" w:after="0"/>
        <w:ind w:firstLine="425"/>
      </w:pPr>
      <w:r>
        <w:rPr>
          <w:rFonts w:ascii="Times New Roman" w:hAnsi="Times New Roman" w:eastAsia="宋体"/>
          <w:b w:val="0"/>
          <w:i w:val="0"/>
          <w:sz w:val="22"/>
        </w:rPr>
        <w:t>知识库中的Phase4_LLM增强定价项目进行了LLM辅助定价的探索：</w:t>
      </w:r>
    </w:p>
    <w:p>
      <w:pPr>
        <w:spacing w:line="360" w:lineRule="auto" w:after="0"/>
        <w:ind w:firstLine="425"/>
      </w:pPr>
      <w:r>
        <w:rPr>
          <w:rFonts w:ascii="Times New Roman" w:hAnsi="Times New Roman" w:eastAsia="宋体"/>
          <w:b/>
          <w:i w:val="0"/>
          <w:sz w:val="22"/>
        </w:rPr>
        <w:t>实验设计</w:t>
      </w:r>
      <w:r>
        <w:rPr>
          <w:rFonts w:ascii="Times New Roman" w:hAnsi="Times New Roman" w:eastAsia="宋体"/>
          <w:b w:val="0"/>
          <w:i w:val="0"/>
          <w:sz w:val="22"/>
        </w:rPr>
        <w:t>：将LLM作为定价策略的"顾问"，而非直接决策者。</w:t>
      </w:r>
    </w:p>
    <w:p>
      <w:pPr>
        <w:spacing w:line="360" w:lineRule="auto" w:after="0"/>
        <w:ind w:firstLine="425"/>
      </w:pPr>
      <w:r>
        <w:rPr>
          <w:rFonts w:ascii="Times New Roman" w:hAnsi="Times New Roman" w:eastAsia="宋体"/>
          <w:b/>
          <w:i w:val="0"/>
          <w:sz w:val="22"/>
        </w:rPr>
        <w:t>LLM角色</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策略解释：将DRL Agent的定价决策转化为自然语言解释</w:t>
      </w:r>
    </w:p>
    <w:p>
      <w:pPr>
        <w:pStyle w:val="ListBullet"/>
        <w:spacing w:line="360" w:lineRule="auto" w:after="0"/>
      </w:pPr>
      <w:r>
        <w:rPr>
          <w:rFonts w:ascii="Times New Roman" w:hAnsi="Times New Roman" w:eastAsia="宋体"/>
          <w:b w:val="0"/>
          <w:i w:val="0"/>
          <w:sz w:val="22"/>
        </w:rPr>
        <w:t>异常检测：检测定价策略中的异常模式</w:t>
      </w:r>
    </w:p>
    <w:p>
      <w:pPr>
        <w:pStyle w:val="ListBullet"/>
        <w:spacing w:line="360" w:lineRule="auto" w:after="0"/>
      </w:pPr>
      <w:r>
        <w:rPr>
          <w:rFonts w:ascii="Times New Roman" w:hAnsi="Times New Roman" w:eastAsia="宋体"/>
          <w:b w:val="0"/>
          <w:i w:val="0"/>
          <w:sz w:val="22"/>
        </w:rPr>
        <w:t>用户交互：通过对话了解用户偏好</w:t>
      </w:r>
    </w:p>
    <w:p>
      <w:pPr>
        <w:pStyle w:val="ListBullet"/>
        <w:spacing w:line="360" w:lineRule="auto" w:after="0"/>
      </w:pPr>
      <w:r>
        <w:rPr>
          <w:rFonts w:ascii="Times New Roman" w:hAnsi="Times New Roman" w:eastAsia="宋体"/>
          <w:b w:val="0"/>
          <w:i w:val="0"/>
          <w:sz w:val="22"/>
        </w:rPr>
        <w:t>知识融合：融合电力市场规则和历史案例</w:t>
      </w:r>
    </w:p>
    <w:p>
      <w:pPr>
        <w:spacing w:line="360" w:lineRule="auto" w:after="0"/>
        <w:ind w:firstLine="425"/>
      </w:pPr>
      <w:r>
        <w:rPr>
          <w:rFonts w:ascii="Times New Roman" w:hAnsi="Times New Roman" w:eastAsia="宋体"/>
          <w:b/>
          <w:i w:val="0"/>
          <w:sz w:val="22"/>
        </w:rPr>
        <w:t>初步结果</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LLM能正确解释约85%的定价决策</w:t>
      </w:r>
    </w:p>
    <w:p>
      <w:pPr>
        <w:pStyle w:val="ListBullet"/>
        <w:spacing w:line="360" w:lineRule="auto" w:after="0"/>
      </w:pPr>
      <w:r>
        <w:rPr>
          <w:rFonts w:ascii="Times New Roman" w:hAnsi="Times New Roman" w:eastAsia="宋体"/>
          <w:b w:val="0"/>
          <w:i w:val="0"/>
          <w:sz w:val="22"/>
        </w:rPr>
        <w:t>异常检测准确率约78%</w:t>
      </w:r>
    </w:p>
    <w:p>
      <w:pPr>
        <w:pStyle w:val="ListBullet"/>
        <w:spacing w:line="360" w:lineRule="auto" w:after="0"/>
      </w:pPr>
      <w:r>
        <w:rPr>
          <w:rFonts w:ascii="Times New Roman" w:hAnsi="Times New Roman" w:eastAsia="宋体"/>
          <w:b w:val="0"/>
          <w:i w:val="0"/>
          <w:sz w:val="22"/>
        </w:rPr>
        <w:t>用户满意度（基于可用性测试）提高约15%</w:t>
      </w:r>
    </w:p>
    <w:p>
      <w:pPr>
        <w:pStyle w:val="ListBullet"/>
        <w:spacing w:line="360" w:lineRule="auto" w:after="0"/>
      </w:pPr>
      <w:r>
        <w:rPr>
          <w:rFonts w:ascii="Times New Roman" w:hAnsi="Times New Roman" w:eastAsia="宋体"/>
          <w:b w:val="0"/>
          <w:i w:val="0"/>
          <w:sz w:val="22"/>
        </w:rPr>
        <w:t>LLM推理延迟约2-5秒，不适合直接用于高频定价</w:t>
      </w:r>
    </w:p>
    <w:p>
      <w:pPr>
        <w:pStyle w:val="Heading2"/>
        <w:spacing w:before="240" w:after="80"/>
      </w:pPr>
      <w:r>
        <w:rPr>
          <w:rFonts w:ascii="Times New Roman" w:hAnsi="Times New Roman" w:eastAsia="黑体"/>
          <w:b/>
          <w:i w:val="0"/>
          <w:sz w:val="28"/>
        </w:rPr>
        <w:t>8.9 理论深化与前沿探讨</w:t>
      </w:r>
    </w:p>
    <w:p>
      <w:pPr>
        <w:pStyle w:val="Heading3"/>
        <w:spacing w:before="160" w:after="60"/>
      </w:pPr>
      <w:r>
        <w:rPr>
          <w:rFonts w:ascii="Times New Roman" w:hAnsi="Times New Roman" w:eastAsia="黑体"/>
          <w:b/>
          <w:i w:val="0"/>
          <w:sz w:val="24"/>
        </w:rPr>
        <w:t>强化学习的探索-利用困境</w:t>
      </w:r>
    </w:p>
    <w:p>
      <w:pPr>
        <w:spacing w:line="360" w:lineRule="auto" w:after="0"/>
        <w:ind w:firstLine="425"/>
      </w:pPr>
      <w:r>
        <w:rPr>
          <w:rFonts w:ascii="Times New Roman" w:hAnsi="Times New Roman" w:eastAsia="宋体"/>
          <w:b w:val="0"/>
          <w:i w:val="0"/>
          <w:sz w:val="22"/>
        </w:rPr>
        <w:t>在实时定价中，RL Agent面临探索-利用困境：</w:t>
      </w:r>
    </w:p>
    <w:p>
      <w:pPr>
        <w:spacing w:line="360" w:lineRule="auto" w:after="0"/>
        <w:ind w:firstLine="425"/>
      </w:pPr>
      <w:r>
        <w:rPr>
          <w:rFonts w:ascii="Times New Roman" w:hAnsi="Times New Roman" w:eastAsia="宋体"/>
          <w:b/>
          <w:i w:val="0"/>
          <w:sz w:val="22"/>
        </w:rPr>
        <w:t>利用</w:t>
      </w:r>
      <w:r>
        <w:rPr>
          <w:rFonts w:ascii="Times New Roman" w:hAnsi="Times New Roman" w:eastAsia="宋体"/>
          <w:b w:val="0"/>
          <w:i w:val="0"/>
          <w:sz w:val="22"/>
        </w:rPr>
        <w:t>：使用已知的最佳定价策略，最大化当前奖励。但可能陷入局部最优。</w:t>
      </w:r>
    </w:p>
    <w:p>
      <w:pPr>
        <w:spacing w:line="360" w:lineRule="auto" w:after="0"/>
        <w:ind w:firstLine="425"/>
      </w:pPr>
      <w:r>
        <w:rPr>
          <w:rFonts w:ascii="Times New Roman" w:hAnsi="Times New Roman" w:eastAsia="宋体"/>
          <w:b/>
          <w:i w:val="0"/>
          <w:sz w:val="22"/>
        </w:rPr>
        <w:t>探索</w:t>
      </w:r>
      <w:r>
        <w:rPr>
          <w:rFonts w:ascii="Times New Roman" w:hAnsi="Times New Roman" w:eastAsia="宋体"/>
          <w:b w:val="0"/>
          <w:i w:val="0"/>
          <w:sz w:val="22"/>
        </w:rPr>
        <w:t>：尝试新的定价策略，发现可能更好的策略。但短期内可能造成社会福利下降。</w:t>
      </w:r>
    </w:p>
    <w:p>
      <w:pPr>
        <w:spacing w:line="360" w:lineRule="auto" w:after="0"/>
        <w:ind w:firstLine="425"/>
      </w:pPr>
      <w:r>
        <w:rPr>
          <w:rFonts w:ascii="Times New Roman" w:hAnsi="Times New Roman" w:eastAsia="宋体"/>
          <w:b/>
          <w:i w:val="0"/>
          <w:sz w:val="22"/>
        </w:rPr>
        <w:t>平衡策略</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ε-greedy：以1-ε概率选择最佳策略，以ε概率随机探索</w:t>
      </w:r>
    </w:p>
    <w:p>
      <w:pPr>
        <w:pStyle w:val="ListBullet"/>
        <w:spacing w:line="360" w:lineRule="auto" w:after="0"/>
      </w:pPr>
      <w:r>
        <w:rPr>
          <w:rFonts w:ascii="Times New Roman" w:hAnsi="Times New Roman" w:eastAsia="宋体"/>
          <w:b w:val="0"/>
          <w:i w:val="0"/>
          <w:sz w:val="22"/>
        </w:rPr>
        <w:t>UCB（Upper Confidence Bound）：选择置信上界最高的动作，自动平衡探索和利用</w:t>
      </w:r>
    </w:p>
    <w:p>
      <w:pPr>
        <w:pStyle w:val="ListBullet"/>
        <w:spacing w:line="360" w:lineRule="auto" w:after="0"/>
      </w:pPr>
      <w:r>
        <w:rPr>
          <w:rFonts w:ascii="Times New Roman" w:hAnsi="Times New Roman" w:eastAsia="宋体"/>
          <w:b w:val="0"/>
          <w:i w:val="0"/>
          <w:sz w:val="22"/>
        </w:rPr>
        <w:t>汤普森采样：基于后验概率采样策略，在不确定时倾向于探索</w:t>
      </w:r>
    </w:p>
    <w:p>
      <w:pPr>
        <w:spacing w:line="360" w:lineRule="auto" w:after="0"/>
        <w:ind w:firstLine="425"/>
      </w:pPr>
      <w:r>
        <w:rPr>
          <w:rFonts w:ascii="Times New Roman" w:hAnsi="Times New Roman" w:eastAsia="宋体"/>
          <w:b w:val="0"/>
          <w:i w:val="0"/>
          <w:sz w:val="22"/>
        </w:rPr>
        <w:t>在实时定价中，过度探索可能导致用户体验下降和市场不稳定。安全强化学习（Safe RL）通过约束探索范围来缓解这一问题。</w:t>
      </w:r>
    </w:p>
    <w:p>
      <w:pPr>
        <w:pStyle w:val="Heading3"/>
        <w:spacing w:before="160" w:after="60"/>
      </w:pPr>
      <w:r>
        <w:rPr>
          <w:rFonts w:ascii="Times New Roman" w:hAnsi="Times New Roman" w:eastAsia="黑体"/>
          <w:b/>
          <w:i w:val="0"/>
          <w:sz w:val="24"/>
        </w:rPr>
        <w:t>强化学习的信用分配问题</w:t>
      </w:r>
    </w:p>
    <w:p>
      <w:pPr>
        <w:spacing w:line="360" w:lineRule="auto" w:after="0"/>
        <w:ind w:firstLine="425"/>
      </w:pPr>
      <w:r>
        <w:rPr>
          <w:rFonts w:ascii="Times New Roman" w:hAnsi="Times New Roman" w:eastAsia="宋体"/>
          <w:b w:val="0"/>
          <w:i w:val="0"/>
          <w:sz w:val="22"/>
        </w:rPr>
        <w:t>在多时段定价中，一个定价决策的效果可能要经过多个时段才能体现。如何将最终的奖励分配到各个决策是信用分配问题：</w:t>
      </w:r>
    </w:p>
    <w:p>
      <w:pPr>
        <w:spacing w:line="360" w:lineRule="auto" w:after="0"/>
        <w:ind w:firstLine="425"/>
      </w:pPr>
      <w:r>
        <w:rPr>
          <w:rFonts w:ascii="Times New Roman" w:hAnsi="Times New Roman" w:eastAsia="宋体"/>
          <w:b/>
          <w:i w:val="0"/>
          <w:sz w:val="22"/>
        </w:rPr>
        <w:t>时间信用分配</w:t>
      </w:r>
      <w:r>
        <w:rPr>
          <w:rFonts w:ascii="Times New Roman" w:hAnsi="Times New Roman" w:eastAsia="宋体"/>
          <w:b w:val="0"/>
          <w:i w:val="0"/>
          <w:sz w:val="22"/>
        </w:rPr>
        <w:t>：通过折扣因子γ平衡当前和未来奖励。折扣因子越大，Agent越关注长期利益。</w:t>
      </w:r>
    </w:p>
    <w:p>
      <w:pPr>
        <w:spacing w:line="360" w:lineRule="auto" w:after="0"/>
        <w:ind w:firstLine="425"/>
      </w:pPr>
      <w:r>
        <w:rPr>
          <w:rFonts w:ascii="Times New Roman" w:hAnsi="Times New Roman" w:eastAsia="宋体"/>
          <w:b/>
          <w:i w:val="0"/>
          <w:sz w:val="22"/>
        </w:rPr>
        <w:t>空间信用分配</w:t>
      </w:r>
      <w:r>
        <w:rPr>
          <w:rFonts w:ascii="Times New Roman" w:hAnsi="Times New Roman" w:eastAsia="宋体"/>
          <w:b w:val="0"/>
          <w:i w:val="0"/>
          <w:sz w:val="22"/>
        </w:rPr>
        <w:t>：在多Agent场景下，如何区分各Agent对全局奖励的贡献。可以通过反事实分析（Counterfactual Analysis）评估各Agent的边际贡献。</w:t>
      </w:r>
    </w:p>
    <w:p>
      <w:pPr>
        <w:spacing w:line="360" w:lineRule="auto" w:after="0"/>
        <w:ind w:firstLine="425"/>
      </w:pPr>
      <w:r>
        <w:rPr>
          <w:rFonts w:ascii="Times New Roman" w:hAnsi="Times New Roman" w:eastAsia="宋体"/>
          <w:b/>
          <w:i w:val="0"/>
          <w:sz w:val="22"/>
        </w:rPr>
        <w:t>注意力机制</w:t>
      </w:r>
      <w:r>
        <w:rPr>
          <w:rFonts w:ascii="Times New Roman" w:hAnsi="Times New Roman" w:eastAsia="宋体"/>
          <w:b w:val="0"/>
          <w:i w:val="0"/>
          <w:sz w:val="22"/>
        </w:rPr>
        <w:t>：在多Agent DRL中，使用注意力机制聚合其他Agent的信息，自动识别重要的交互关系。</w:t>
      </w:r>
    </w:p>
    <w:p>
      <w:pPr>
        <w:pStyle w:val="Heading3"/>
        <w:spacing w:before="160" w:after="60"/>
      </w:pPr>
      <w:r>
        <w:rPr>
          <w:rFonts w:ascii="Times New Roman" w:hAnsi="Times New Roman" w:eastAsia="黑体"/>
          <w:b/>
          <w:i w:val="0"/>
          <w:sz w:val="24"/>
        </w:rPr>
        <w:t>强化学习的安全性</w:t>
      </w:r>
    </w:p>
    <w:p>
      <w:pPr>
        <w:spacing w:line="360" w:lineRule="auto" w:after="0"/>
        <w:ind w:firstLine="425"/>
      </w:pPr>
      <w:r>
        <w:rPr>
          <w:rFonts w:ascii="Times New Roman" w:hAnsi="Times New Roman" w:eastAsia="宋体"/>
          <w:b w:val="0"/>
          <w:i w:val="0"/>
          <w:sz w:val="22"/>
        </w:rPr>
        <w:t>在真实电力系统中部署RL定价策略时，安全性是首要考虑：</w:t>
      </w:r>
    </w:p>
    <w:p>
      <w:pPr>
        <w:spacing w:line="360" w:lineRule="auto" w:after="0"/>
        <w:ind w:firstLine="425"/>
      </w:pPr>
      <w:r>
        <w:rPr>
          <w:rFonts w:ascii="Times New Roman" w:hAnsi="Times New Roman" w:eastAsia="宋体"/>
          <w:b/>
          <w:i w:val="0"/>
          <w:sz w:val="22"/>
        </w:rPr>
        <w:t>约束RL</w:t>
      </w:r>
      <w:r>
        <w:rPr>
          <w:rFonts w:ascii="Times New Roman" w:hAnsi="Times New Roman" w:eastAsia="宋体"/>
          <w:b w:val="0"/>
          <w:i w:val="0"/>
          <w:sz w:val="22"/>
        </w:rPr>
        <w:t>：在优化目标中加入安全约束，确保定价策略不违反系统安全限制。例如，价格不超过上限、负荷不超过容量等。</w:t>
      </w:r>
    </w:p>
    <w:p>
      <w:pPr>
        <w:spacing w:line="360" w:lineRule="auto" w:after="0"/>
        <w:ind w:firstLine="425"/>
      </w:pPr>
      <w:r>
        <w:rPr>
          <w:rFonts w:ascii="Times New Roman" w:hAnsi="Times New Roman" w:eastAsia="宋体"/>
          <w:b/>
          <w:i w:val="0"/>
          <w:sz w:val="22"/>
        </w:rPr>
        <w:t>风险敏感RL</w:t>
      </w:r>
      <w:r>
        <w:rPr>
          <w:rFonts w:ascii="Times New Roman" w:hAnsi="Times New Roman" w:eastAsia="宋体"/>
          <w:b w:val="0"/>
          <w:i w:val="0"/>
          <w:sz w:val="22"/>
        </w:rPr>
        <w:t>：优化目标中加入风险度量（如CVaR），避免极端不利结果。</w:t>
      </w:r>
    </w:p>
    <w:p>
      <w:pPr>
        <w:spacing w:line="360" w:lineRule="auto" w:after="0"/>
        <w:ind w:firstLine="425"/>
      </w:pPr>
      <w:r>
        <w:rPr>
          <w:rFonts w:ascii="Times New Roman" w:hAnsi="Times New Roman" w:eastAsia="宋体"/>
          <w:b/>
          <w:i w:val="0"/>
          <w:sz w:val="22"/>
        </w:rPr>
        <w:t>人机协同</w:t>
      </w:r>
      <w:r>
        <w:rPr>
          <w:rFonts w:ascii="Times New Roman" w:hAnsi="Times New Roman" w:eastAsia="宋体"/>
          <w:b w:val="0"/>
          <w:i w:val="0"/>
          <w:sz w:val="22"/>
        </w:rPr>
        <w:t>：RL Agent提供建议，人类操作员做最终决策。这种模式在安全性要求高的场景中更为实用。</w:t>
      </w:r>
    </w:p>
    <w:p>
      <w:pPr>
        <w:spacing w:line="360" w:lineRule="auto" w:after="0"/>
        <w:ind w:firstLine="425"/>
      </w:pPr>
      <w:r>
        <w:rPr>
          <w:rFonts w:ascii="Times New Roman" w:hAnsi="Times New Roman" w:eastAsia="宋体"/>
          <w:b/>
          <w:i w:val="0"/>
          <w:sz w:val="22"/>
        </w:rPr>
        <w:t>数字孪生验证</w:t>
      </w:r>
      <w:r>
        <w:rPr>
          <w:rFonts w:ascii="Times New Roman" w:hAnsi="Times New Roman" w:eastAsia="宋体"/>
          <w:b w:val="0"/>
          <w:i w:val="0"/>
          <w:sz w:val="22"/>
        </w:rPr>
        <w:t>：在数字孪生环境中预验证RL策略，确认安全后再部署到真实系统。</w:t>
      </w:r>
    </w:p>
    <w:p>
      <w:pPr>
        <w:pStyle w:val="Heading3"/>
        <w:spacing w:before="160" w:after="60"/>
      </w:pPr>
      <w:r>
        <w:rPr>
          <w:rFonts w:ascii="Times New Roman" w:hAnsi="Times New Roman" w:eastAsia="黑体"/>
          <w:b/>
          <w:i w:val="0"/>
          <w:sz w:val="24"/>
        </w:rPr>
        <w:t>大语言模型与定价的深度融合</w:t>
      </w:r>
    </w:p>
    <w:p>
      <w:pPr>
        <w:spacing w:line="360" w:lineRule="auto" w:after="0"/>
        <w:ind w:firstLine="425"/>
      </w:pPr>
      <w:r>
        <w:rPr>
          <w:rFonts w:ascii="Times New Roman" w:hAnsi="Times New Roman" w:eastAsia="宋体"/>
          <w:b w:val="0"/>
          <w:i w:val="0"/>
          <w:sz w:val="22"/>
        </w:rPr>
        <w:t>LLM在实时定价中的应用前景广阔，但也面临技术挑战：</w:t>
      </w:r>
    </w:p>
    <w:p>
      <w:pPr>
        <w:spacing w:line="360" w:lineRule="auto" w:after="0"/>
        <w:ind w:firstLine="425"/>
      </w:pPr>
      <w:r>
        <w:rPr>
          <w:rFonts w:ascii="Times New Roman" w:hAnsi="Times New Roman" w:eastAsia="宋体"/>
          <w:b/>
          <w:i w:val="0"/>
          <w:sz w:val="22"/>
        </w:rPr>
        <w:t>实时性挑战</w:t>
      </w:r>
      <w:r>
        <w:rPr>
          <w:rFonts w:ascii="Times New Roman" w:hAnsi="Times New Roman" w:eastAsia="宋体"/>
          <w:b w:val="0"/>
          <w:i w:val="0"/>
          <w:sz w:val="22"/>
        </w:rPr>
        <w:t>：LLM推理延迟（秒级）远大于定价周期（分钟级），不适合直接用于实时定价决策。解决方案是将LLM用于离线策略设计和参数调优，将传统算法用于实时执行。</w:t>
      </w:r>
    </w:p>
    <w:p>
      <w:pPr>
        <w:spacing w:line="360" w:lineRule="auto" w:after="0"/>
        <w:ind w:firstLine="425"/>
      </w:pPr>
      <w:r>
        <w:rPr>
          <w:rFonts w:ascii="Times New Roman" w:hAnsi="Times New Roman" w:eastAsia="宋体"/>
          <w:b/>
          <w:i w:val="0"/>
          <w:sz w:val="22"/>
        </w:rPr>
        <w:t>准确性挑战</w:t>
      </w:r>
      <w:r>
        <w:rPr>
          <w:rFonts w:ascii="Times New Roman" w:hAnsi="Times New Roman" w:eastAsia="宋体"/>
          <w:b w:val="0"/>
          <w:i w:val="0"/>
          <w:sz w:val="22"/>
        </w:rPr>
        <w:t>：LLM可能生成看似合理但实际错误的定价策略。需要通过形式化验证和仿真测试确保策略正确性。</w:t>
      </w:r>
    </w:p>
    <w:p>
      <w:pPr>
        <w:spacing w:line="360" w:lineRule="auto" w:after="0"/>
        <w:ind w:firstLine="425"/>
      </w:pPr>
      <w:r>
        <w:rPr>
          <w:rFonts w:ascii="Times New Roman" w:hAnsi="Times New Roman" w:eastAsia="宋体"/>
          <w:b/>
          <w:i w:val="0"/>
          <w:sz w:val="22"/>
        </w:rPr>
        <w:t>成本挑战</w:t>
      </w:r>
      <w:r>
        <w:rPr>
          <w:rFonts w:ascii="Times New Roman" w:hAnsi="Times New Roman" w:eastAsia="宋体"/>
          <w:b w:val="0"/>
          <w:i w:val="0"/>
          <w:sz w:val="22"/>
        </w:rPr>
        <w:t>：LLM的API调用成本在高频定价场景下可能过高。解决方案包括使用轻量级模型和缓存常用推理结果。</w:t>
      </w:r>
    </w:p>
    <w:p>
      <w:pPr>
        <w:spacing w:line="360" w:lineRule="auto" w:after="0"/>
        <w:ind w:firstLine="425"/>
      </w:pPr>
      <w:r>
        <w:rPr>
          <w:rFonts w:ascii="Times New Roman" w:hAnsi="Times New Roman" w:eastAsia="宋体"/>
          <w:b/>
          <w:i w:val="0"/>
          <w:sz w:val="22"/>
        </w:rPr>
        <w:t>安全挑战</w:t>
      </w:r>
      <w:r>
        <w:rPr>
          <w:rFonts w:ascii="Times New Roman" w:hAnsi="Times New Roman" w:eastAsia="宋体"/>
          <w:b w:val="0"/>
          <w:i w:val="0"/>
          <w:sz w:val="22"/>
        </w:rPr>
        <w:t>：LLM可能被恶意提示注入攻击，生成有害的定价策略。需要对输入进行过滤和验证。</w:t>
      </w:r>
    </w:p>
    <w:p>
      <w:pPr>
        <w:pStyle w:val="Heading3"/>
        <w:spacing w:before="160" w:after="60"/>
      </w:pPr>
      <w:r>
        <w:rPr>
          <w:rFonts w:ascii="Times New Roman" w:hAnsi="Times New Roman" w:eastAsia="黑体"/>
          <w:b/>
          <w:i w:val="0"/>
          <w:sz w:val="24"/>
        </w:rPr>
        <w:t>人工智能定价的伦理考量</w:t>
      </w:r>
    </w:p>
    <w:p>
      <w:pPr>
        <w:spacing w:line="360" w:lineRule="auto" w:after="0"/>
        <w:ind w:firstLine="425"/>
      </w:pPr>
      <w:r>
        <w:rPr>
          <w:rFonts w:ascii="Times New Roman" w:hAnsi="Times New Roman" w:eastAsia="宋体"/>
          <w:b w:val="0"/>
          <w:i w:val="0"/>
          <w:sz w:val="22"/>
        </w:rPr>
        <w:t>AI驱动的定价引发了一系列伦理问题：</w:t>
      </w:r>
    </w:p>
    <w:p>
      <w:pPr>
        <w:spacing w:line="360" w:lineRule="auto" w:after="0"/>
        <w:ind w:firstLine="425"/>
      </w:pPr>
      <w:r>
        <w:rPr>
          <w:rFonts w:ascii="Times New Roman" w:hAnsi="Times New Roman" w:eastAsia="宋体"/>
          <w:b/>
          <w:i w:val="0"/>
          <w:sz w:val="22"/>
        </w:rPr>
        <w:t>透明性</w:t>
      </w:r>
      <w:r>
        <w:rPr>
          <w:rFonts w:ascii="Times New Roman" w:hAnsi="Times New Roman" w:eastAsia="宋体"/>
          <w:b w:val="0"/>
          <w:i w:val="0"/>
          <w:sz w:val="22"/>
        </w:rPr>
        <w:t>：AI定价决策的不可解释性可能导致用户不信任。需要发展可解释AI技术。</w:t>
      </w:r>
    </w:p>
    <w:p>
      <w:pPr>
        <w:spacing w:line="360" w:lineRule="auto" w:after="0"/>
        <w:ind w:firstLine="425"/>
      </w:pPr>
      <w:r>
        <w:rPr>
          <w:rFonts w:ascii="Times New Roman" w:hAnsi="Times New Roman" w:eastAsia="宋体"/>
          <w:b/>
          <w:i w:val="0"/>
          <w:sz w:val="22"/>
        </w:rPr>
        <w:t>公平性</w:t>
      </w:r>
      <w:r>
        <w:rPr>
          <w:rFonts w:ascii="Times New Roman" w:hAnsi="Times New Roman" w:eastAsia="宋体"/>
          <w:b w:val="0"/>
          <w:i w:val="0"/>
          <w:sz w:val="22"/>
        </w:rPr>
        <w:t>：AI可能对某些用户群体不利（如低收入用户）。需要在算法设计中加入公平性约束。</w:t>
      </w:r>
    </w:p>
    <w:p>
      <w:pPr>
        <w:spacing w:line="360" w:lineRule="auto" w:after="0"/>
        <w:ind w:firstLine="425"/>
      </w:pPr>
      <w:r>
        <w:rPr>
          <w:rFonts w:ascii="Times New Roman" w:hAnsi="Times New Roman" w:eastAsia="宋体"/>
          <w:b/>
          <w:i w:val="0"/>
          <w:sz w:val="22"/>
        </w:rPr>
        <w:t>问责性</w:t>
      </w:r>
      <w:r>
        <w:rPr>
          <w:rFonts w:ascii="Times New Roman" w:hAnsi="Times New Roman" w:eastAsia="宋体"/>
          <w:b w:val="0"/>
          <w:i w:val="0"/>
          <w:sz w:val="22"/>
        </w:rPr>
        <w:t>：当AI定价决策导致问题时，谁来负责？需要建立清晰的问责机制。</w:t>
      </w:r>
    </w:p>
    <w:p>
      <w:pPr>
        <w:spacing w:line="360" w:lineRule="auto" w:after="0"/>
        <w:ind w:firstLine="425"/>
      </w:pPr>
      <w:r>
        <w:rPr>
          <w:rFonts w:ascii="Times New Roman" w:hAnsi="Times New Roman" w:eastAsia="宋体"/>
          <w:b/>
          <w:i w:val="0"/>
          <w:sz w:val="22"/>
        </w:rPr>
        <w:t>自主性</w:t>
      </w:r>
      <w:r>
        <w:rPr>
          <w:rFonts w:ascii="Times New Roman" w:hAnsi="Times New Roman" w:eastAsia="宋体"/>
          <w:b w:val="0"/>
          <w:i w:val="0"/>
          <w:sz w:val="22"/>
        </w:rPr>
        <w:t>：AI定价系统应该有多大自主权？完全自主的定价可能在极端情况下产生灾难性后果。</w:t>
      </w:r>
    </w:p>
    <w:p>
      <w:pPr>
        <w:spacing w:line="360" w:lineRule="auto" w:after="0"/>
        <w:ind w:firstLine="425"/>
      </w:pPr>
      <w:r>
        <w:rPr>
          <w:rFonts w:ascii="Times New Roman" w:hAnsi="Times New Roman" w:eastAsia="宋体"/>
          <w:b w:val="0"/>
          <w:i w:val="0"/>
          <w:sz w:val="22"/>
        </w:rPr>
        <w:t>这些问题需要技术社区、监管机构和社会各界的共同参与和讨论。</w:t>
      </w:r>
    </w:p>
    <w:p>
      <w:pPr>
        <w:pStyle w:val="Heading2"/>
        <w:spacing w:before="240" w:after="80"/>
      </w:pPr>
      <w:r>
        <w:rPr>
          <w:rFonts w:ascii="Times New Roman" w:hAnsi="Times New Roman" w:eastAsia="黑体"/>
          <w:b/>
          <w:i w:val="0"/>
          <w:sz w:val="28"/>
        </w:rPr>
        <w:t>8.10 强化学习定价的理论深化</w:t>
      </w:r>
    </w:p>
    <w:p>
      <w:pPr>
        <w:pStyle w:val="Heading3"/>
        <w:spacing w:before="160" w:after="60"/>
      </w:pPr>
      <w:r>
        <w:rPr>
          <w:rFonts w:ascii="Times New Roman" w:hAnsi="Times New Roman" w:eastAsia="黑体"/>
          <w:b/>
          <w:i w:val="0"/>
          <w:sz w:val="24"/>
        </w:rPr>
        <w:t>马尔可夫决策过程的严格定义</w:t>
      </w:r>
    </w:p>
    <w:p>
      <w:pPr>
        <w:spacing w:line="360" w:lineRule="auto" w:after="0"/>
        <w:ind w:firstLine="425"/>
      </w:pPr>
      <w:r>
        <w:rPr>
          <w:rFonts w:ascii="Times New Roman" w:hAnsi="Times New Roman" w:eastAsia="宋体"/>
          <w:b w:val="0"/>
          <w:i w:val="0"/>
          <w:sz w:val="22"/>
        </w:rPr>
        <w:t>实时定价中的MDP可以严格定义如下：</w:t>
      </w:r>
    </w:p>
    <w:p>
      <w:pPr>
        <w:spacing w:line="360" w:lineRule="auto" w:after="0"/>
        <w:ind w:firstLine="425"/>
      </w:pPr>
      <w:r>
        <w:rPr>
          <w:rFonts w:ascii="Times New Roman" w:hAnsi="Times New Roman" w:eastAsia="宋体"/>
          <w:b/>
          <w:i w:val="0"/>
          <w:sz w:val="22"/>
        </w:rPr>
        <w:t>状态空间</w:t>
      </w:r>
      <w:r>
        <w:rPr>
          <w:rFonts w:ascii="Times New Roman" w:hAnsi="Times New Roman" w:eastAsia="宋体"/>
          <w:b w:val="0"/>
          <w:i w:val="0"/>
          <w:sz w:val="22"/>
        </w:rPr>
        <w:t xml:space="preserve"> S：s_t = (Q_t, p_t-1, h_t, w_t, …)，包括当前负荷Q_t、上期价格p_t-1、时段h_t、天气w_t等。</w:t>
      </w:r>
    </w:p>
    <w:p>
      <w:pPr>
        <w:spacing w:line="360" w:lineRule="auto" w:after="0"/>
        <w:ind w:firstLine="425"/>
      </w:pPr>
      <w:r>
        <w:rPr>
          <w:rFonts w:ascii="Times New Roman" w:hAnsi="Times New Roman" w:eastAsia="宋体"/>
          <w:b/>
          <w:i w:val="0"/>
          <w:sz w:val="22"/>
        </w:rPr>
        <w:t>动作空间</w:t>
      </w:r>
      <w:r>
        <w:rPr>
          <w:rFonts w:ascii="Times New Roman" w:hAnsi="Times New Roman" w:eastAsia="宋体"/>
          <w:b w:val="0"/>
          <w:i w:val="0"/>
          <w:sz w:val="22"/>
        </w:rPr>
        <w:t xml:space="preserve"> A：a_t = p_t ∈ [p_min, p_max]，即当前时段的电价。连续动作空间需要使用策略梯度方法（如Actor-Critic）。</w:t>
      </w:r>
    </w:p>
    <w:p>
      <w:pPr>
        <w:spacing w:line="360" w:lineRule="auto" w:after="0"/>
        <w:ind w:firstLine="425"/>
      </w:pPr>
      <w:r>
        <w:rPr>
          <w:rFonts w:ascii="Times New Roman" w:hAnsi="Times New Roman" w:eastAsia="宋体"/>
          <w:b/>
          <w:i w:val="0"/>
          <w:sz w:val="22"/>
        </w:rPr>
        <w:t>状态转移</w:t>
      </w:r>
      <w:r>
        <w:rPr>
          <w:rFonts w:ascii="Times New Roman" w:hAnsi="Times New Roman" w:eastAsia="宋体"/>
          <w:b w:val="0"/>
          <w:i w:val="0"/>
          <w:sz w:val="22"/>
        </w:rPr>
        <w:t xml:space="preserve"> P：P(s' s, a)描述在状态s采取定价动作a后转移到状态s'的概率。状态转移受用户行为、发电出力和外部因素共同影响。</w:t>
      </w:r>
    </w:p>
    <w:p>
      <w:pPr>
        <w:spacing w:line="360" w:lineRule="auto" w:after="0"/>
        <w:ind w:firstLine="425"/>
      </w:pPr>
      <w:r>
        <w:rPr>
          <w:rFonts w:ascii="Times New Roman" w:hAnsi="Times New Roman" w:eastAsia="宋体"/>
          <w:b/>
          <w:i w:val="0"/>
          <w:sz w:val="22"/>
        </w:rPr>
        <w:t>奖励函数</w:t>
      </w:r>
      <w:r>
        <w:rPr>
          <w:rFonts w:ascii="Times New Roman" w:hAnsi="Times New Roman" w:eastAsia="宋体"/>
          <w:b w:val="0"/>
          <w:i w:val="0"/>
          <w:sz w:val="22"/>
        </w:rPr>
        <w:t xml:space="preserve"> R：r_t = SW(s_t, a_t) = Σ_i U_i(x_i(s_t, a_t)) - C(Q(s_t, a_t))，即当前时段的社会福利。</w:t>
      </w:r>
    </w:p>
    <w:p>
      <w:pPr>
        <w:spacing w:line="360" w:lineRule="auto" w:after="0"/>
        <w:ind w:firstLine="425"/>
      </w:pPr>
      <w:r>
        <w:rPr>
          <w:rFonts w:ascii="Times New Roman" w:hAnsi="Times New Roman" w:eastAsia="宋体"/>
          <w:b/>
          <w:i w:val="0"/>
          <w:sz w:val="22"/>
        </w:rPr>
        <w:t>折扣因子</w:t>
      </w:r>
      <w:r>
        <w:rPr>
          <w:rFonts w:ascii="Times New Roman" w:hAnsi="Times New Roman" w:eastAsia="宋体"/>
          <w:b w:val="0"/>
          <w:i w:val="0"/>
          <w:sz w:val="22"/>
        </w:rPr>
        <w:t xml:space="preserve"> γ ∈ [0, 1)：平衡当前和未来奖励。γ接近1时Agent关注长期利益，接近0时关注短期利益。在RTP中通常取γ = 0.9-0.99。</w:t>
      </w:r>
    </w:p>
    <w:p>
      <w:pPr>
        <w:pStyle w:val="Heading3"/>
        <w:spacing w:before="160" w:after="60"/>
      </w:pPr>
      <w:r>
        <w:rPr>
          <w:rFonts w:ascii="Times New Roman" w:hAnsi="Times New Roman" w:eastAsia="黑体"/>
          <w:b/>
          <w:i w:val="0"/>
          <w:sz w:val="24"/>
        </w:rPr>
        <w:t>值函数与贝尔曼方程</w:t>
      </w:r>
    </w:p>
    <w:p>
      <w:pPr>
        <w:spacing w:line="360" w:lineRule="auto" w:after="0"/>
        <w:ind w:firstLine="425"/>
      </w:pPr>
      <w:r>
        <w:rPr>
          <w:rFonts w:ascii="Times New Roman" w:hAnsi="Times New Roman" w:eastAsia="宋体"/>
          <w:b/>
          <w:i w:val="0"/>
          <w:sz w:val="22"/>
        </w:rPr>
        <w:t>状态值函数</w:t>
      </w:r>
      <w:r>
        <w:rPr>
          <w:rFonts w:ascii="Times New Roman" w:hAnsi="Times New Roman" w:eastAsia="宋体"/>
          <w:b w:val="0"/>
          <w:i w:val="0"/>
          <w:sz w:val="22"/>
        </w:rPr>
        <w:t>：V^π(s) = mathbbE_π[Σ_t=0^∞ γ^t r_t s_0 = s]</w:t>
      </w:r>
    </w:p>
    <w:p>
      <w:pPr>
        <w:spacing w:line="360" w:lineRule="auto" w:after="0"/>
        <w:ind w:firstLine="425"/>
      </w:pPr>
      <w:r>
        <w:rPr>
          <w:rFonts w:ascii="Times New Roman" w:hAnsi="Times New Roman" w:eastAsia="宋体"/>
          <w:b/>
          <w:i w:val="0"/>
          <w:sz w:val="22"/>
        </w:rPr>
        <w:t>动作值函数</w:t>
      </w:r>
      <w:r>
        <w:rPr>
          <w:rFonts w:ascii="Times New Roman" w:hAnsi="Times New Roman" w:eastAsia="宋体"/>
          <w:b w:val="0"/>
          <w:i w:val="0"/>
          <w:sz w:val="22"/>
        </w:rPr>
        <w:t>：Q^π(s, a) = mathbbE_π[Σ_t=0^∞ γ^t r_t s_0 = s, a_0 = a]</w:t>
      </w:r>
    </w:p>
    <w:p>
      <w:pPr>
        <w:spacing w:line="360" w:lineRule="auto" w:after="0"/>
        <w:ind w:firstLine="425"/>
      </w:pPr>
      <w:r>
        <w:rPr>
          <w:rFonts w:ascii="Times New Roman" w:hAnsi="Times New Roman" w:eastAsia="宋体"/>
          <w:b/>
          <w:i w:val="0"/>
          <w:sz w:val="22"/>
        </w:rPr>
        <w:t>贝尔曼方程</w:t>
      </w:r>
      <w:r>
        <w:rPr>
          <w:rFonts w:ascii="Times New Roman" w:hAnsi="Times New Roman" w:eastAsia="宋体"/>
          <w:b w:val="0"/>
          <w:i w:val="0"/>
          <w:sz w:val="22"/>
        </w:rPr>
        <w:t>：</w:t>
      </w:r>
    </w:p>
    <w:p>
      <w:pPr>
        <w:spacing w:before="80" w:after="80"/>
        <w:jc w:val="center"/>
      </w:pPr>
      <m:oMathPara>
        <m:oMath>
          <m:sSup>
            <m:e>
              <m:r>
                <m:t>Q</m:t>
              </m:r>
            </m:e>
            <m:sup>
              <m:r>
                <m:t>π</m:t>
              </m:r>
            </m:sup>
          </m:sSup>
          <m:r>
            <m:t>(s,a)=r(s,a)+γ</m:t>
          </m:r>
          <m:nary>
            <m:naryPr>
              <m:chr m:val="∑"/>
              <m:limLoc m:val="subSup"/>
              <m:grow m:val="1"/>
              <m:subHide m:val="off"/>
              <m:supHide m:val="on"/>
            </m:naryPr>
            <m:sub>
              <m:sSup>
                <m:e>
                  <m:r>
                    <m:t>s</m:t>
                  </m:r>
                </m:e>
                <m:sup>
                  <m:r>
                    <m:t>′</m:t>
                  </m:r>
                </m:sup>
              </m:sSup>
            </m:sub>
            <m:sup/>
            <m:e>
              <m:r>
                <m:t>P(</m:t>
              </m:r>
            </m:e>
          </m:nary>
          <m:sSup>
            <m:e>
              <m:r>
                <m:t>s</m:t>
              </m:r>
            </m:e>
            <m:sup>
              <m:r>
                <m:t>′</m:t>
              </m:r>
            </m:sup>
          </m:sSup>
          <m:r>
            <m:t>|s,a)</m:t>
          </m:r>
          <m:nary>
            <m:naryPr>
              <m:chr m:val="∑"/>
              <m:limLoc m:val="subSup"/>
              <m:grow m:val="1"/>
              <m:subHide m:val="off"/>
              <m:supHide m:val="on"/>
            </m:naryPr>
            <m:sub>
              <m:sSup>
                <m:e>
                  <m:r>
                    <m:t>a</m:t>
                  </m:r>
                </m:e>
                <m:sup>
                  <m:r>
                    <m:t>′</m:t>
                  </m:r>
                </m:sup>
              </m:sSup>
            </m:sub>
            <m:sup/>
            <m:e>
              <m:r>
                <m:t>π(</m:t>
              </m:r>
            </m:e>
          </m:nary>
          <m:sSup>
            <m:e>
              <m:r>
                <m:t>a</m:t>
              </m:r>
            </m:e>
            <m:sup>
              <m:r>
                <m:t>′</m:t>
              </m:r>
            </m:sup>
          </m:sSup>
          <m:r>
            <m:t>|</m:t>
          </m:r>
          <m:sSup>
            <m:e>
              <m:r>
                <m:t>s</m:t>
              </m:r>
            </m:e>
            <m:sup>
              <m:r>
                <m:t>′</m:t>
              </m:r>
            </m:sup>
          </m:sSup>
          <m:r>
            <m:t>)</m:t>
          </m:r>
          <m:sSup>
            <m:e>
              <m:r>
                <m:t>Q</m:t>
              </m:r>
            </m:e>
            <m:sup>
              <m:r>
                <m:t>π</m:t>
              </m:r>
            </m:sup>
          </m:sSup>
          <m:r>
            <m:t>(</m:t>
          </m:r>
          <m:sSup>
            <m:e>
              <m:r>
                <m:t>s</m:t>
              </m:r>
            </m:e>
            <m:sup>
              <m:r>
                <m:t>′</m:t>
              </m:r>
            </m:sup>
          </m:sSup>
          <m:r>
            <m:t>,</m:t>
          </m:r>
          <m:sSup>
            <m:e>
              <m:r>
                <m:t>a</m:t>
              </m:r>
            </m:e>
            <m:sup>
              <m:r>
                <m:t>′</m:t>
              </m:r>
            </m:sup>
          </m:sSup>
          <m:r>
            <m:t>)</m:t>
          </m:r>
        </m:oMath>
      </m:oMathPara>
    </w:p>
    <w:p>
      <w:pPr>
        <w:spacing w:line="360" w:lineRule="auto" w:after="0"/>
        <w:ind w:firstLine="0"/>
      </w:pPr>
      <w:r>
        <w:rPr>
          <w:rFonts w:ascii="Times New Roman" w:hAnsi="Times New Roman" w:eastAsia="宋体"/>
          <w:b/>
          <w:i w:val="0"/>
          <w:sz w:val="22"/>
        </w:rPr>
        <w:t>最优贝尔曼方程</w:t>
      </w:r>
      <w:r>
        <w:rPr>
          <w:rFonts w:ascii="Times New Roman" w:hAnsi="Times New Roman" w:eastAsia="宋体"/>
          <w:b w:val="0"/>
          <w:i w:val="0"/>
          <w:sz w:val="22"/>
        </w:rPr>
        <w:t>：</w:t>
      </w:r>
    </w:p>
    <w:p>
      <w:pPr>
        <w:spacing w:before="80" w:after="80"/>
        <w:jc w:val="center"/>
      </w:pPr>
      <m:oMathPara>
        <m:oMath>
          <m:sSup>
            <m:e>
              <m:r>
                <m:t>Q</m:t>
              </m:r>
            </m:e>
            <m:sup>
              <m:r>
                <m:t>*</m:t>
              </m:r>
            </m:sup>
          </m:sSup>
          <m:r>
            <m:t>(s,a)=r(s,a)+γ</m:t>
          </m:r>
          <m:nary>
            <m:naryPr>
              <m:chr m:val="∑"/>
              <m:limLoc m:val="subSup"/>
              <m:grow m:val="1"/>
              <m:subHide m:val="off"/>
              <m:supHide m:val="on"/>
            </m:naryPr>
            <m:sub>
              <m:sSup>
                <m:e>
                  <m:r>
                    <m:t>s</m:t>
                  </m:r>
                </m:e>
                <m:sup>
                  <m:r>
                    <m:t>′</m:t>
                  </m:r>
                </m:sup>
              </m:sSup>
            </m:sub>
            <m:sup/>
            <m:e>
              <m:r>
                <m:t>P(</m:t>
              </m:r>
            </m:e>
          </m:nary>
          <m:sSup>
            <m:e>
              <m:r>
                <m:t>s</m:t>
              </m:r>
            </m:e>
            <m:sup>
              <m:r>
                <m:t>′</m:t>
              </m:r>
            </m:sup>
          </m:sSup>
          <m:r>
            <m:t>|s,a)</m:t>
          </m:r>
          <m:sSub>
            <m:e>
              <m:r>
                <m:t>max</m:t>
              </m:r>
            </m:e>
            <m:sub>
              <m:sSup>
                <m:e>
                  <m:r>
                    <m:t>a</m:t>
                  </m:r>
                </m:e>
                <m:sup>
                  <m:r>
                    <m:t>′</m:t>
                  </m:r>
                </m:sup>
              </m:sSup>
            </m:sub>
          </m:sSub>
          <m:sSup>
            <m:e>
              <m:r>
                <m:t>Q</m:t>
              </m:r>
            </m:e>
            <m:sup>
              <m:r>
                <m:t>*</m:t>
              </m:r>
            </m:sup>
          </m:sSup>
          <m:r>
            <m:t>(</m:t>
          </m:r>
          <m:sSup>
            <m:e>
              <m:r>
                <m:t>s</m:t>
              </m:r>
            </m:e>
            <m:sup>
              <m:r>
                <m:t>′</m:t>
              </m:r>
            </m:sup>
          </m:sSup>
          <m:r>
            <m:t>,</m:t>
          </m:r>
          <m:sSup>
            <m:e>
              <m:r>
                <m:t>a</m:t>
              </m:r>
            </m:e>
            <m:sup>
              <m:r>
                <m:t>′</m:t>
              </m:r>
            </m:sup>
          </m:sSup>
          <m:r>
            <m:t>)</m:t>
          </m:r>
        </m:oMath>
      </m:oMathPara>
    </w:p>
    <w:p>
      <w:pPr>
        <w:spacing w:line="360" w:lineRule="auto" w:after="0"/>
        <w:ind w:firstLine="0"/>
      </w:pPr>
      <w:r>
        <w:rPr>
          <w:rFonts w:ascii="Times New Roman" w:hAnsi="Times New Roman" w:eastAsia="宋体"/>
          <w:b w:val="0"/>
          <w:i w:val="0"/>
          <w:sz w:val="22"/>
        </w:rPr>
        <w:t>Q学习算法通过迭代逼近最优贝尔曼方程的解。</w:t>
      </w:r>
    </w:p>
    <w:p>
      <w:pPr>
        <w:pStyle w:val="Heading3"/>
        <w:spacing w:before="160" w:after="60"/>
      </w:pPr>
      <w:r>
        <w:rPr>
          <w:rFonts w:ascii="Times New Roman" w:hAnsi="Times New Roman" w:eastAsia="黑体"/>
          <w:b/>
          <w:i w:val="0"/>
          <w:sz w:val="24"/>
        </w:rPr>
        <w:t>策略梯度方法</w:t>
      </w:r>
    </w:p>
    <w:p>
      <w:pPr>
        <w:spacing w:line="360" w:lineRule="auto" w:after="0"/>
        <w:ind w:firstLine="425"/>
      </w:pPr>
      <w:r>
        <w:rPr>
          <w:rFonts w:ascii="Times New Roman" w:hAnsi="Times New Roman" w:eastAsia="宋体"/>
          <w:b w:val="0"/>
          <w:i w:val="0"/>
          <w:sz w:val="22"/>
        </w:rPr>
        <w:t>对于连续动作空间（如连续电价），策略梯度方法比值函数方法更合适：</w:t>
      </w:r>
    </w:p>
    <w:p>
      <w:pPr>
        <w:spacing w:line="360" w:lineRule="auto" w:after="0"/>
        <w:ind w:firstLine="425"/>
      </w:pPr>
      <w:r>
        <w:rPr>
          <w:rFonts w:ascii="Times New Roman" w:hAnsi="Times New Roman" w:eastAsia="宋体"/>
          <w:b/>
          <w:i w:val="0"/>
          <w:sz w:val="22"/>
        </w:rPr>
        <w:t>REINFORCE算法</w:t>
      </w:r>
      <w:r>
        <w:rPr>
          <w:rFonts w:ascii="Times New Roman" w:hAnsi="Times New Roman" w:eastAsia="宋体"/>
          <w:b w:val="0"/>
          <w:i w:val="0"/>
          <w:sz w:val="22"/>
        </w:rPr>
        <w:t>：∇ J(θ) = mathbbE[∇_θ log π_θ(a s) · G_t]</w:t>
      </w:r>
    </w:p>
    <w:p>
      <w:pPr>
        <w:spacing w:line="360" w:lineRule="auto" w:after="0"/>
        <w:ind w:firstLine="0"/>
      </w:pPr>
      <w:r>
        <w:rPr>
          <w:rFonts w:ascii="Times New Roman" w:hAnsi="Times New Roman" w:eastAsia="宋体"/>
          <w:b w:val="0"/>
          <w:i w:val="0"/>
          <w:sz w:val="22"/>
        </w:rPr>
        <w:t>其中G_t = Σ_k=0^∞ γ^k r_t+k是累积折扣奖励，π_θ是参数化策略。</w:t>
      </w:r>
    </w:p>
    <w:p>
      <w:pPr>
        <w:spacing w:line="360" w:lineRule="auto" w:after="0"/>
        <w:ind w:firstLine="425"/>
      </w:pPr>
      <w:r>
        <w:rPr>
          <w:rFonts w:ascii="Times New Roman" w:hAnsi="Times New Roman" w:eastAsia="宋体"/>
          <w:b/>
          <w:i w:val="0"/>
          <w:sz w:val="22"/>
        </w:rPr>
        <w:t>Actor-Critic算法</w:t>
      </w:r>
      <w:r>
        <w:rPr>
          <w:rFonts w:ascii="Times New Roman" w:hAnsi="Times New Roman" w:eastAsia="宋体"/>
          <w:b w:val="0"/>
          <w:i w:val="0"/>
          <w:sz w:val="22"/>
        </w:rPr>
        <w:t>：结合策略梯度和值函数估计：</w:t>
      </w:r>
    </w:p>
    <w:p>
      <w:pPr>
        <w:pStyle w:val="ListBullet"/>
        <w:spacing w:line="360" w:lineRule="auto" w:after="0"/>
      </w:pPr>
      <w:r>
        <w:rPr>
          <w:rFonts w:ascii="Times New Roman" w:hAnsi="Times New Roman" w:eastAsia="宋体"/>
          <w:b w:val="0"/>
          <w:i w:val="0"/>
          <w:sz w:val="22"/>
        </w:rPr>
        <w:t>Actor：θ arrow θ + α ∇_θ log π_θ(a s) · δ_t</w:t>
      </w:r>
    </w:p>
    <w:p>
      <w:pPr>
        <w:pStyle w:val="ListBullet"/>
        <w:spacing w:line="360" w:lineRule="auto" w:after="0"/>
      </w:pPr>
      <w:r>
        <w:rPr>
          <w:rFonts w:ascii="Times New Roman" w:hAnsi="Times New Roman" w:eastAsia="宋体"/>
          <w:b w:val="0"/>
          <w:i w:val="0"/>
          <w:sz w:val="22"/>
        </w:rPr>
        <w:t>Critic：w arrow w + β δ_t ∇_w V_w(s)</w:t>
      </w:r>
    </w:p>
    <w:p>
      <w:pPr>
        <w:spacing w:line="360" w:lineRule="auto" w:after="0"/>
        <w:ind w:firstLine="0"/>
      </w:pPr>
      <w:r>
        <w:rPr>
          <w:rFonts w:ascii="Times New Roman" w:hAnsi="Times New Roman" w:eastAsia="宋体"/>
          <w:b w:val="0"/>
          <w:i w:val="0"/>
          <w:sz w:val="22"/>
        </w:rPr>
        <w:t>其中δ_t = r_t + γ V_w(s') - V_w(s)是时序差分（TD）误差。</w:t>
      </w:r>
    </w:p>
    <w:p>
      <w:pPr>
        <w:spacing w:line="360" w:lineRule="auto" w:after="0"/>
        <w:ind w:firstLine="425"/>
      </w:pPr>
      <w:r>
        <w:rPr>
          <w:rFonts w:ascii="Times New Roman" w:hAnsi="Times New Roman" w:eastAsia="宋体"/>
          <w:b/>
          <w:i w:val="0"/>
          <w:sz w:val="22"/>
        </w:rPr>
        <w:t>PPO（Proximal Policy Optimization）</w:t>
      </w:r>
      <w:r>
        <w:rPr>
          <w:rFonts w:ascii="Times New Roman" w:hAnsi="Times New Roman" w:eastAsia="宋体"/>
          <w:b w:val="0"/>
          <w:i w:val="0"/>
          <w:sz w:val="22"/>
        </w:rPr>
        <w:t>：通过裁剪目标函数限制策略更新幅度，提高训练稳定性。PPO是当前最广泛使用的策略梯度算法。</w:t>
      </w:r>
    </w:p>
    <w:p>
      <w:pPr>
        <w:pStyle w:val="Heading3"/>
        <w:spacing w:before="160" w:after="60"/>
      </w:pPr>
      <w:r>
        <w:rPr>
          <w:rFonts w:ascii="Times New Roman" w:hAnsi="Times New Roman" w:eastAsia="黑体"/>
          <w:b/>
          <w:i w:val="0"/>
          <w:sz w:val="24"/>
        </w:rPr>
        <w:t>多Agent强化学习的理论框架</w:t>
      </w:r>
    </w:p>
    <w:p>
      <w:pPr>
        <w:spacing w:line="360" w:lineRule="auto" w:after="0"/>
        <w:ind w:firstLine="425"/>
      </w:pPr>
      <w:r>
        <w:rPr>
          <w:rFonts w:ascii="Times New Roman" w:hAnsi="Times New Roman" w:eastAsia="宋体"/>
          <w:b/>
          <w:i w:val="0"/>
          <w:sz w:val="22"/>
        </w:rPr>
        <w:t>独立学习</w:t>
      </w:r>
      <w:r>
        <w:rPr>
          <w:rFonts w:ascii="Times New Roman" w:hAnsi="Times New Roman" w:eastAsia="宋体"/>
          <w:b w:val="0"/>
          <w:i w:val="0"/>
          <w:sz w:val="22"/>
        </w:rPr>
        <w:t>：每个Agent独立学习，忽略其他Agent的存在。简单但可能不收敛（因为每个Agent面临的环境是非平稳的）。</w:t>
      </w:r>
    </w:p>
    <w:p>
      <w:pPr>
        <w:spacing w:line="360" w:lineRule="auto" w:after="0"/>
        <w:ind w:firstLine="425"/>
      </w:pPr>
      <w:r>
        <w:rPr>
          <w:rFonts w:ascii="Times New Roman" w:hAnsi="Times New Roman" w:eastAsia="宋体"/>
          <w:b/>
          <w:i w:val="0"/>
          <w:sz w:val="22"/>
        </w:rPr>
        <w:t>集中训练分布式执行（CTDE）</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训练时使用全局信息（所有Agent的状态和动作）</w:t>
      </w:r>
    </w:p>
    <w:p>
      <w:pPr>
        <w:pStyle w:val="ListBullet"/>
        <w:spacing w:line="360" w:lineRule="auto" w:after="0"/>
      </w:pPr>
      <w:r>
        <w:rPr>
          <w:rFonts w:ascii="Times New Roman" w:hAnsi="Times New Roman" w:eastAsia="宋体"/>
          <w:b w:val="0"/>
          <w:i w:val="0"/>
          <w:sz w:val="22"/>
        </w:rPr>
        <w:t>执行时每个Agent仅使用本地信息</w:t>
      </w:r>
    </w:p>
    <w:p>
      <w:pPr>
        <w:pStyle w:val="ListBullet"/>
        <w:spacing w:line="360" w:lineRule="auto" w:after="0"/>
      </w:pPr>
      <w:r>
        <w:rPr>
          <w:rFonts w:ascii="Times New Roman" w:hAnsi="Times New Roman" w:eastAsia="宋体"/>
          <w:b w:val="0"/>
          <w:i w:val="0"/>
          <w:sz w:val="22"/>
        </w:rPr>
        <w:t>代表算法：MADDPG、QMIX、MAPPO</w:t>
      </w:r>
    </w:p>
    <w:p>
      <w:pPr>
        <w:spacing w:line="360" w:lineRule="auto" w:after="0"/>
        <w:ind w:firstLine="425"/>
      </w:pPr>
      <w:r>
        <w:rPr>
          <w:rFonts w:ascii="Times New Roman" w:hAnsi="Times New Roman" w:eastAsia="宋体"/>
          <w:b/>
          <w:i w:val="0"/>
          <w:sz w:val="22"/>
        </w:rPr>
        <w:t>完全集中式</w:t>
      </w:r>
      <w:r>
        <w:rPr>
          <w:rFonts w:ascii="Times New Roman" w:hAnsi="Times New Roman" w:eastAsia="宋体"/>
          <w:b w:val="0"/>
          <w:i w:val="0"/>
          <w:sz w:val="22"/>
        </w:rPr>
        <w:t>：所有Agent由一个中央控制器统一决策。适用于合作场景但可扩展性差。</w:t>
      </w:r>
    </w:p>
    <w:p>
      <w:pPr>
        <w:spacing w:line="360" w:lineRule="auto" w:after="0"/>
        <w:ind w:firstLine="425"/>
      </w:pPr>
      <w:r>
        <w:rPr>
          <w:rFonts w:ascii="Times New Roman" w:hAnsi="Times New Roman" w:eastAsia="宋体"/>
          <w:b/>
          <w:i w:val="0"/>
          <w:sz w:val="22"/>
        </w:rPr>
        <w:t>通信学习</w:t>
      </w:r>
      <w:r>
        <w:rPr>
          <w:rFonts w:ascii="Times New Roman" w:hAnsi="Times New Roman" w:eastAsia="宋体"/>
          <w:b w:val="0"/>
          <w:i w:val="0"/>
          <w:sz w:val="22"/>
        </w:rPr>
        <w:t>：Agent学习何时、与谁、如何通信。通信学习可以减少通信开销同时保持协作效果。</w:t>
      </w:r>
    </w:p>
    <w:p>
      <w:pPr>
        <w:pStyle w:val="Heading3"/>
        <w:spacing w:before="160" w:after="60"/>
      </w:pPr>
      <w:r>
        <w:rPr>
          <w:rFonts w:ascii="Times New Roman" w:hAnsi="Times New Roman" w:eastAsia="黑体"/>
          <w:b/>
          <w:i w:val="0"/>
          <w:sz w:val="24"/>
        </w:rPr>
        <w:t>强化学习的安全性理论</w:t>
      </w:r>
    </w:p>
    <w:p>
      <w:pPr>
        <w:spacing w:line="360" w:lineRule="auto" w:after="0"/>
        <w:ind w:firstLine="425"/>
      </w:pPr>
      <w:r>
        <w:rPr>
          <w:rFonts w:ascii="Times New Roman" w:hAnsi="Times New Roman" w:eastAsia="宋体"/>
          <w:b/>
          <w:i w:val="0"/>
          <w:sz w:val="22"/>
        </w:rPr>
        <w:t>约束马尔可夫决策过程（CMDP）</w:t>
      </w:r>
      <w:r>
        <w:rPr>
          <w:rFonts w:ascii="Times New Roman" w:hAnsi="Times New Roman" w:eastAsia="宋体"/>
          <w:b w:val="0"/>
          <w:i w:val="0"/>
          <w:sz w:val="22"/>
        </w:rPr>
        <w:t>：在标准MDP基础上加入约束：</w:t>
      </w:r>
    </w:p>
    <w:p>
      <w:pPr>
        <w:spacing w:before="80" w:after="80"/>
        <w:jc w:val="center"/>
      </w:pPr>
      <m:oMathPara>
        <m:oMath>
          <m:sSub>
            <m:e>
              <m:r>
                <m:t>max</m:t>
              </m:r>
            </m:e>
            <m:sub>
              <m:r>
                <m:t>π</m:t>
              </m:r>
            </m:sub>
          </m:sSub>
          <m:sSub>
            <m:e>
              <m:r>
                <m:t>𝔼</m:t>
              </m:r>
            </m:e>
            <m:sub>
              <m:r>
                <m:t>π</m:t>
              </m:r>
            </m:sub>
          </m:sSub>
          <m:d>
            <m:dPr>
              <m:begChr m:val="["/>
              <m:sepChr m:val=""/>
              <m:endChr m:val="]"/>
            </m:dPr>
            <m:e>
              <m:nary>
                <m:naryPr>
                  <m:chr m:val="∑"/>
                  <m:limLoc m:val="subSup"/>
                  <m:grow m:val="1"/>
                  <m:subHide m:val="off"/>
                  <m:supHide m:val="on"/>
                </m:naryPr>
                <m:sub>
                  <m:r>
                    <m:t>t</m:t>
                  </m:r>
                </m:sub>
                <m:sup/>
                <m:e>
                  <m:sSup>
                    <m:e>
                      <m:r>
                        <m:t>γ</m:t>
                      </m:r>
                    </m:e>
                    <m:sup>
                      <m:r>
                        <m:t>t</m:t>
                      </m:r>
                    </m:sup>
                  </m:sSup>
                </m:e>
              </m:nary>
              <m:sSub>
                <m:e>
                  <m:r>
                    <m:t>r</m:t>
                  </m:r>
                </m:e>
                <m:sub>
                  <m:r>
                    <m:t>t</m:t>
                  </m:r>
                </m:sub>
              </m:sSub>
            </m:e>
          </m:d>
          <m:r>
            <m:rPr>
              <m:nor/>
            </m:rPr>
            <m:t>s.t.</m:t>
          </m:r>
          <m:sSub>
            <m:e>
              <m:r>
                <m:t>𝔼</m:t>
              </m:r>
            </m:e>
            <m:sub>
              <m:r>
                <m:t>π</m:t>
              </m:r>
            </m:sub>
          </m:sSub>
          <m:d>
            <m:dPr>
              <m:begChr m:val="["/>
              <m:sepChr m:val=""/>
              <m:endChr m:val="]"/>
            </m:dPr>
            <m:e>
              <m:nary>
                <m:naryPr>
                  <m:chr m:val="∑"/>
                  <m:limLoc m:val="subSup"/>
                  <m:grow m:val="1"/>
                  <m:subHide m:val="off"/>
                  <m:supHide m:val="on"/>
                </m:naryPr>
                <m:sub>
                  <m:r>
                    <m:t>t</m:t>
                  </m:r>
                </m:sub>
                <m:sup/>
                <m:e>
                  <m:sSup>
                    <m:e>
                      <m:r>
                        <m:t>γ</m:t>
                      </m:r>
                    </m:e>
                    <m:sup>
                      <m:r>
                        <m:t>t</m:t>
                      </m:r>
                    </m:sup>
                  </m:sSup>
                </m:e>
              </m:nary>
              <m:sSub>
                <m:e>
                  <m:r>
                    <m:t>c</m:t>
                  </m:r>
                </m:e>
                <m:sub>
                  <m:r>
                    <m:t>t</m:t>
                  </m:r>
                </m:sub>
              </m:sSub>
            </m:e>
          </m:d>
          <m:r>
            <m:t>≤d</m:t>
          </m:r>
        </m:oMath>
      </m:oMathPara>
    </w:p>
    <w:p>
      <w:pPr>
        <w:spacing w:line="360" w:lineRule="auto" w:after="0"/>
        <w:ind w:firstLine="0"/>
      </w:pPr>
      <w:r>
        <w:rPr>
          <w:rFonts w:ascii="Times New Roman" w:hAnsi="Times New Roman" w:eastAsia="宋体"/>
          <w:b w:val="0"/>
          <w:i w:val="0"/>
          <w:sz w:val="22"/>
        </w:rPr>
        <w:t>其中c_t是成本（如价格超过上限的惩罚），d是成本上限。</w:t>
      </w:r>
    </w:p>
    <w:p>
      <w:pPr>
        <w:spacing w:line="360" w:lineRule="auto" w:after="0"/>
        <w:ind w:firstLine="425"/>
      </w:pPr>
      <w:r>
        <w:rPr>
          <w:rFonts w:ascii="Times New Roman" w:hAnsi="Times New Roman" w:eastAsia="宋体"/>
          <w:b/>
          <w:i w:val="0"/>
          <w:sz w:val="22"/>
        </w:rPr>
        <w:t>安全RL算法</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CPO（Constrained Policy Optimization）：在策略优化中加入安全约束</w:t>
      </w:r>
    </w:p>
    <w:p>
      <w:pPr>
        <w:pStyle w:val="ListBullet"/>
        <w:spacing w:line="360" w:lineRule="auto" w:after="0"/>
      </w:pPr>
      <w:r>
        <w:rPr>
          <w:rFonts w:ascii="Times New Roman" w:hAnsi="Times New Roman" w:eastAsia="宋体"/>
          <w:b w:val="0"/>
          <w:i w:val="0"/>
          <w:sz w:val="22"/>
        </w:rPr>
        <w:t>Risk-Sensitive RL：优化CVaR等风险度量</w:t>
      </w:r>
    </w:p>
    <w:p>
      <w:pPr>
        <w:pStyle w:val="ListBullet"/>
        <w:spacing w:line="360" w:lineRule="auto" w:after="0"/>
      </w:pPr>
      <w:r>
        <w:rPr>
          <w:rFonts w:ascii="Times New Roman" w:hAnsi="Times New Roman" w:eastAsia="宋体"/>
          <w:b w:val="0"/>
          <w:i w:val="0"/>
          <w:sz w:val="22"/>
        </w:rPr>
        <w:t>Shielded RL：使用安全"盾牌"阻止不安全动作</w:t>
      </w:r>
    </w:p>
    <w:p>
      <w:pPr>
        <w:spacing w:line="360" w:lineRule="auto" w:after="0"/>
        <w:ind w:firstLine="425"/>
      </w:pPr>
      <w:r>
        <w:rPr>
          <w:rFonts w:ascii="Times New Roman" w:hAnsi="Times New Roman" w:eastAsia="宋体"/>
          <w:b w:val="0"/>
          <w:i w:val="0"/>
          <w:sz w:val="22"/>
        </w:rPr>
        <w:t>在RTP中，安全RL可以确保电价不超过预设上限、负荷不超过系统容量等安全约束。</w:t>
      </w:r>
    </w:p>
    <w:p>
      <w:pPr>
        <w:pStyle w:val="Heading3"/>
        <w:spacing w:before="160" w:after="60"/>
      </w:pPr>
      <w:r>
        <w:rPr>
          <w:rFonts w:ascii="Times New Roman" w:hAnsi="Times New Roman" w:eastAsia="黑体"/>
          <w:b/>
          <w:i w:val="0"/>
          <w:sz w:val="24"/>
        </w:rPr>
        <w:t>强化学习的样本效率</w:t>
      </w:r>
    </w:p>
    <w:p>
      <w:pPr>
        <w:spacing w:line="360" w:lineRule="auto" w:after="0"/>
        <w:ind w:firstLine="425"/>
      </w:pPr>
      <w:r>
        <w:rPr>
          <w:rFonts w:ascii="Times New Roman" w:hAnsi="Times New Roman" w:eastAsia="宋体"/>
          <w:b/>
          <w:i w:val="0"/>
          <w:sz w:val="22"/>
        </w:rPr>
        <w:t>样本效率问题</w:t>
      </w:r>
      <w:r>
        <w:rPr>
          <w:rFonts w:ascii="Times New Roman" w:hAnsi="Times New Roman" w:eastAsia="宋体"/>
          <w:b w:val="0"/>
          <w:i w:val="0"/>
          <w:sz w:val="22"/>
        </w:rPr>
        <w:t>：RL需要大量交互样本才能学习到好的策略。在真实电力系统中，试错的成本很高。</w:t>
      </w:r>
    </w:p>
    <w:p>
      <w:pPr>
        <w:spacing w:line="360" w:lineRule="auto" w:after="0"/>
        <w:ind w:firstLine="425"/>
      </w:pPr>
      <w:r>
        <w:rPr>
          <w:rFonts w:ascii="Times New Roman" w:hAnsi="Times New Roman" w:eastAsia="宋体"/>
          <w:b/>
          <w:i w:val="0"/>
          <w:sz w:val="22"/>
        </w:rPr>
        <w:t>解决方法</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i w:val="0"/>
          <w:sz w:val="22"/>
        </w:rPr>
        <w:t>Sim-to-Real迁移</w:t>
      </w:r>
      <w:r>
        <w:rPr>
          <w:rFonts w:ascii="Times New Roman" w:hAnsi="Times New Roman" w:eastAsia="宋体"/>
          <w:b w:val="0"/>
          <w:i w:val="0"/>
          <w:sz w:val="22"/>
        </w:rPr>
        <w:t>：先在仿真环境中训练，再迁移到真实系统。域随机化（Domain Randomization）可以提高迁移成功率。</w:t>
      </w:r>
    </w:p>
    <w:p>
      <w:pPr>
        <w:pStyle w:val="ListBullet"/>
        <w:spacing w:line="360" w:lineRule="auto" w:after="0"/>
      </w:pPr>
      <w:r>
        <w:rPr>
          <w:rFonts w:ascii="Times New Roman" w:hAnsi="Times New Roman" w:eastAsia="宋体"/>
          <w:b/>
          <w:i w:val="0"/>
          <w:sz w:val="22"/>
        </w:rPr>
        <w:t>离线RL</w:t>
      </w:r>
      <w:r>
        <w:rPr>
          <w:rFonts w:ascii="Times New Roman" w:hAnsi="Times New Roman" w:eastAsia="宋体"/>
          <w:b w:val="0"/>
          <w:i w:val="0"/>
          <w:sz w:val="22"/>
        </w:rPr>
        <w:t>：从历史数据中学习策略，不需要在线交互。Conservative Q-Learning（CQL）是代表性的离线RL算法。</w:t>
      </w:r>
    </w:p>
    <w:p>
      <w:pPr>
        <w:pStyle w:val="ListBullet"/>
        <w:spacing w:line="360" w:lineRule="auto" w:after="0"/>
      </w:pPr>
      <w:r>
        <w:rPr>
          <w:rFonts w:ascii="Times New Roman" w:hAnsi="Times New Roman" w:eastAsia="宋体"/>
          <w:b/>
          <w:i w:val="0"/>
          <w:sz w:val="22"/>
        </w:rPr>
        <w:t>元学习</w:t>
      </w:r>
      <w:r>
        <w:rPr>
          <w:rFonts w:ascii="Times New Roman" w:hAnsi="Times New Roman" w:eastAsia="宋体"/>
          <w:b w:val="0"/>
          <w:i w:val="0"/>
          <w:sz w:val="22"/>
        </w:rPr>
        <w:t>：学习如何快速学习。在新的市场环境中，元学习Agent可以快速适应。</w:t>
      </w:r>
    </w:p>
    <w:p>
      <w:pPr>
        <w:pStyle w:val="ListBullet"/>
        <w:spacing w:line="360" w:lineRule="auto" w:after="0"/>
      </w:pPr>
      <w:r>
        <w:rPr>
          <w:rFonts w:ascii="Times New Roman" w:hAnsi="Times New Roman" w:eastAsia="宋体"/>
          <w:b/>
          <w:i w:val="0"/>
          <w:sz w:val="22"/>
        </w:rPr>
        <w:t>模仿学习</w:t>
      </w:r>
      <w:r>
        <w:rPr>
          <w:rFonts w:ascii="Times New Roman" w:hAnsi="Times New Roman" w:eastAsia="宋体"/>
          <w:b w:val="0"/>
          <w:i w:val="0"/>
          <w:sz w:val="22"/>
        </w:rPr>
        <w:t>：从专家（如传统优化算法）的演示中学习。行为克隆和逆向强化学习是主要方法。</w:t>
      </w:r>
    </w:p>
    <w:p>
      <w:pPr>
        <w:pStyle w:val="Heading3"/>
        <w:spacing w:before="160" w:after="60"/>
      </w:pPr>
      <w:r>
        <w:rPr>
          <w:rFonts w:ascii="Times New Roman" w:hAnsi="Times New Roman" w:eastAsia="黑体"/>
          <w:b/>
          <w:i w:val="0"/>
          <w:sz w:val="24"/>
        </w:rPr>
        <w:t>强化学习的可解释性</w:t>
      </w:r>
    </w:p>
    <w:p>
      <w:pPr>
        <w:spacing w:line="360" w:lineRule="auto" w:after="0"/>
        <w:ind w:firstLine="425"/>
      </w:pPr>
      <w:r>
        <w:rPr>
          <w:rFonts w:ascii="Times New Roman" w:hAnsi="Times New Roman" w:eastAsia="宋体"/>
          <w:b/>
          <w:i w:val="0"/>
          <w:sz w:val="22"/>
        </w:rPr>
        <w:t>可解释性需求</w:t>
      </w:r>
      <w:r>
        <w:rPr>
          <w:rFonts w:ascii="Times New Roman" w:hAnsi="Times New Roman" w:eastAsia="宋体"/>
          <w:b w:val="0"/>
          <w:i w:val="0"/>
          <w:sz w:val="22"/>
        </w:rPr>
        <w:t>：监管机构和用户需要理解AI定价决策的依据。黑箱决策难以获得信任。</w:t>
      </w:r>
    </w:p>
    <w:p>
      <w:pPr>
        <w:spacing w:line="360" w:lineRule="auto" w:after="0"/>
        <w:ind w:firstLine="425"/>
      </w:pPr>
      <w:r>
        <w:rPr>
          <w:rFonts w:ascii="Times New Roman" w:hAnsi="Times New Roman" w:eastAsia="宋体"/>
          <w:b/>
          <w:i w:val="0"/>
          <w:sz w:val="22"/>
        </w:rPr>
        <w:t>可解释方法</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i w:val="0"/>
          <w:sz w:val="22"/>
        </w:rPr>
        <w:t>注意力可视化</w:t>
      </w:r>
      <w:r>
        <w:rPr>
          <w:rFonts w:ascii="Times New Roman" w:hAnsi="Times New Roman" w:eastAsia="宋体"/>
          <w:b w:val="0"/>
          <w:i w:val="0"/>
          <w:sz w:val="22"/>
        </w:rPr>
        <w:t>：展示Agent关注哪些输入特征</w:t>
      </w:r>
    </w:p>
    <w:p>
      <w:pPr>
        <w:pStyle w:val="ListBullet"/>
        <w:spacing w:line="360" w:lineRule="auto" w:after="0"/>
      </w:pPr>
      <w:r>
        <w:rPr>
          <w:rFonts w:ascii="Times New Roman" w:hAnsi="Times New Roman" w:eastAsia="宋体"/>
          <w:b/>
          <w:i w:val="0"/>
          <w:sz w:val="22"/>
        </w:rPr>
        <w:t>策略蒸馏</w:t>
      </w:r>
      <w:r>
        <w:rPr>
          <w:rFonts w:ascii="Times New Roman" w:hAnsi="Times New Roman" w:eastAsia="宋体"/>
          <w:b w:val="0"/>
          <w:i w:val="0"/>
          <w:sz w:val="22"/>
        </w:rPr>
        <w:t>：将复杂的DRL策略蒸馏为简单的决策树</w:t>
      </w:r>
    </w:p>
    <w:p>
      <w:pPr>
        <w:pStyle w:val="ListBullet"/>
        <w:spacing w:line="360" w:lineRule="auto" w:after="0"/>
      </w:pPr>
      <w:r>
        <w:rPr>
          <w:rFonts w:ascii="Times New Roman" w:hAnsi="Times New Roman" w:eastAsia="宋体"/>
          <w:b/>
          <w:i w:val="0"/>
          <w:sz w:val="22"/>
        </w:rPr>
        <w:t>反事实解释</w:t>
      </w:r>
      <w:r>
        <w:rPr>
          <w:rFonts w:ascii="Times New Roman" w:hAnsi="Times New Roman" w:eastAsia="宋体"/>
          <w:b w:val="0"/>
          <w:i w:val="0"/>
          <w:sz w:val="22"/>
        </w:rPr>
        <w:t>："如果负荷增加10%，价格会如何变化？"</w:t>
      </w:r>
    </w:p>
    <w:p>
      <w:pPr>
        <w:pStyle w:val="ListBullet"/>
        <w:spacing w:line="360" w:lineRule="auto" w:after="0"/>
      </w:pPr>
      <w:r>
        <w:rPr>
          <w:rFonts w:ascii="Times New Roman" w:hAnsi="Times New Roman" w:eastAsia="宋体"/>
          <w:b/>
          <w:i w:val="0"/>
          <w:sz w:val="22"/>
        </w:rPr>
        <w:t>自然语言解释</w:t>
      </w:r>
      <w:r>
        <w:rPr>
          <w:rFonts w:ascii="Times New Roman" w:hAnsi="Times New Roman" w:eastAsia="宋体"/>
          <w:b w:val="0"/>
          <w:i w:val="0"/>
          <w:sz w:val="22"/>
        </w:rPr>
        <w:t>：用LLM将定价决策转化为自然语言说明</w:t>
      </w:r>
    </w:p>
    <w:p>
      <w:pPr>
        <w:pStyle w:val="Heading3"/>
        <w:spacing w:before="160" w:after="60"/>
      </w:pPr>
      <w:r>
        <w:rPr>
          <w:rFonts w:ascii="Times New Roman" w:hAnsi="Times New Roman" w:eastAsia="黑体"/>
          <w:b/>
          <w:i w:val="0"/>
          <w:sz w:val="24"/>
        </w:rPr>
        <w:t>强化学习定价的验证框架</w:t>
      </w:r>
    </w:p>
    <w:p>
      <w:pPr>
        <w:spacing w:line="360" w:lineRule="auto" w:after="0"/>
        <w:ind w:firstLine="425"/>
      </w:pPr>
      <w:r>
        <w:rPr>
          <w:rFonts w:ascii="Times New Roman" w:hAnsi="Times New Roman" w:eastAsia="宋体"/>
          <w:b w:val="0"/>
          <w:i w:val="0"/>
          <w:sz w:val="22"/>
        </w:rPr>
        <w:t>在部署RL定价策略前，需要经过严格的验证：</w:t>
      </w:r>
    </w:p>
    <w:p>
      <w:pPr>
        <w:spacing w:line="360" w:lineRule="auto" w:after="0"/>
        <w:ind w:firstLine="425"/>
      </w:pPr>
      <w:r>
        <w:rPr>
          <w:rFonts w:ascii="Times New Roman" w:hAnsi="Times New Roman" w:eastAsia="宋体"/>
          <w:b/>
          <w:i w:val="0"/>
          <w:sz w:val="22"/>
        </w:rPr>
        <w:t>仿真验证</w:t>
      </w:r>
      <w:r>
        <w:rPr>
          <w:rFonts w:ascii="Times New Roman" w:hAnsi="Times New Roman" w:eastAsia="宋体"/>
          <w:b w:val="0"/>
          <w:i w:val="0"/>
          <w:sz w:val="22"/>
        </w:rPr>
        <w:t>：在仿真环境中测试策略在各种场景下的表现，包括正常场景、极端场景和对抗场景。</w:t>
      </w:r>
    </w:p>
    <w:p>
      <w:pPr>
        <w:spacing w:line="360" w:lineRule="auto" w:after="0"/>
        <w:ind w:firstLine="425"/>
      </w:pPr>
      <w:r>
        <w:rPr>
          <w:rFonts w:ascii="Times New Roman" w:hAnsi="Times New Roman" w:eastAsia="宋体"/>
          <w:b/>
          <w:i w:val="0"/>
          <w:sz w:val="22"/>
        </w:rPr>
        <w:t>数字孪生验证</w:t>
      </w:r>
      <w:r>
        <w:rPr>
          <w:rFonts w:ascii="Times New Roman" w:hAnsi="Times New Roman" w:eastAsia="宋体"/>
          <w:b w:val="0"/>
          <w:i w:val="0"/>
          <w:sz w:val="22"/>
        </w:rPr>
        <w:t>：在电力系统数字孪生中验证策略，比纯仿真更接近真实。</w:t>
      </w:r>
    </w:p>
    <w:p>
      <w:pPr>
        <w:spacing w:line="360" w:lineRule="auto" w:after="0"/>
        <w:ind w:firstLine="425"/>
      </w:pPr>
      <w:r>
        <w:rPr>
          <w:rFonts w:ascii="Times New Roman" w:hAnsi="Times New Roman" w:eastAsia="宋体"/>
          <w:b/>
          <w:i w:val="0"/>
          <w:sz w:val="22"/>
        </w:rPr>
        <w:t>影子模式</w:t>
      </w:r>
      <w:r>
        <w:rPr>
          <w:rFonts w:ascii="Times New Roman" w:hAnsi="Times New Roman" w:eastAsia="宋体"/>
          <w:b w:val="0"/>
          <w:i w:val="0"/>
          <w:sz w:val="22"/>
        </w:rPr>
        <w:t>：RL策略与现有定价策略并行运行，但不实际发布价格。比较两者的性能差异。</w:t>
      </w:r>
    </w:p>
    <w:p>
      <w:pPr>
        <w:spacing w:line="360" w:lineRule="auto" w:after="0"/>
        <w:ind w:firstLine="425"/>
      </w:pPr>
      <w:r>
        <w:rPr>
          <w:rFonts w:ascii="Times New Roman" w:hAnsi="Times New Roman" w:eastAsia="宋体"/>
          <w:b/>
          <w:i w:val="0"/>
          <w:sz w:val="22"/>
        </w:rPr>
        <w:t>小规模试点</w:t>
      </w:r>
      <w:r>
        <w:rPr>
          <w:rFonts w:ascii="Times New Roman" w:hAnsi="Times New Roman" w:eastAsia="宋体"/>
          <w:b w:val="0"/>
          <w:i w:val="0"/>
          <w:sz w:val="22"/>
        </w:rPr>
        <w:t>：在小规模真实环境中测试，逐步扩大范围。</w:t>
      </w:r>
    </w:p>
    <w:p>
      <w:pPr>
        <w:spacing w:line="360" w:lineRule="auto" w:after="0"/>
        <w:ind w:firstLine="425"/>
      </w:pPr>
      <w:r>
        <w:rPr>
          <w:rFonts w:ascii="Times New Roman" w:hAnsi="Times New Roman" w:eastAsia="宋体"/>
          <w:b/>
          <w:i w:val="0"/>
          <w:sz w:val="22"/>
        </w:rPr>
        <w:t>持续监控</w:t>
      </w:r>
      <w:r>
        <w:rPr>
          <w:rFonts w:ascii="Times New Roman" w:hAnsi="Times New Roman" w:eastAsia="宋体"/>
          <w:b w:val="0"/>
          <w:i w:val="0"/>
          <w:sz w:val="22"/>
        </w:rPr>
        <w:t>：部署后持续监控策略表现，及时发现和纠正问题。</w:t>
      </w:r>
    </w:p>
    <w:p>
      <w:pPr>
        <w:pStyle w:val="Heading2"/>
        <w:spacing w:before="240" w:after="80"/>
      </w:pPr>
      <w:r>
        <w:rPr>
          <w:rFonts w:ascii="Times New Roman" w:hAnsi="Times New Roman" w:eastAsia="黑体"/>
          <w:b/>
          <w:i w:val="0"/>
          <w:sz w:val="28"/>
        </w:rPr>
        <w:t>8.11 不确定性优化的方法论深化</w:t>
      </w:r>
    </w:p>
    <w:p>
      <w:pPr>
        <w:pStyle w:val="Heading3"/>
        <w:spacing w:before="160" w:after="60"/>
      </w:pPr>
      <w:r>
        <w:rPr>
          <w:rFonts w:ascii="Times New Roman" w:hAnsi="Times New Roman" w:eastAsia="黑体"/>
          <w:b/>
          <w:i w:val="0"/>
          <w:sz w:val="24"/>
        </w:rPr>
        <w:t>随机规划的两阶段与多阶段模型</w:t>
      </w:r>
    </w:p>
    <w:p>
      <w:pPr>
        <w:spacing w:line="360" w:lineRule="auto" w:after="0"/>
        <w:ind w:firstLine="425"/>
      </w:pPr>
      <w:r>
        <w:rPr>
          <w:rFonts w:ascii="Times New Roman" w:hAnsi="Times New Roman" w:eastAsia="宋体"/>
          <w:b w:val="0"/>
          <w:i w:val="0"/>
          <w:sz w:val="22"/>
        </w:rPr>
        <w:t>两阶段随机规划是实时定价中处理不确定性的经典方法。第一阶段在不确定性揭示前做出"here-and-now"决策（如日前电价制定），第二阶段在不确定性揭示后做出"wait-and-see"决策（如实时调整）。目标是最小化第一阶段成本加上第二阶段期望成本的加权和。</w:t>
      </w:r>
    </w:p>
    <w:p>
      <w:pPr>
        <w:spacing w:line="360" w:lineRule="auto" w:after="0"/>
        <w:ind w:firstLine="425"/>
      </w:pPr>
      <w:r>
        <w:rPr>
          <w:rFonts w:ascii="Times New Roman" w:hAnsi="Times New Roman" w:eastAsia="宋体"/>
          <w:b w:val="0"/>
          <w:i w:val="0"/>
          <w:sz w:val="22"/>
        </w:rPr>
        <w:t>两阶段模型的关键挑战是场景集的构建。场景集应充分覆盖不确定性的可能取值范围，同时保持可处理的规模。场景树生成方法包括：蒙特卡洛抽样、矩匹配、重要抽样和场景削减。在实际应用中，通常先生成大量场景，然后通过聚类或概率距离度量削减到可处理的数量（通常50-200个场景）。</w:t>
      </w:r>
    </w:p>
    <w:p>
      <w:pPr>
        <w:spacing w:line="360" w:lineRule="auto" w:after="0"/>
        <w:ind w:firstLine="425"/>
      </w:pPr>
      <w:r>
        <w:rPr>
          <w:rFonts w:ascii="Times New Roman" w:hAnsi="Times New Roman" w:eastAsia="宋体"/>
          <w:b w:val="0"/>
          <w:i w:val="0"/>
          <w:sz w:val="22"/>
        </w:rPr>
        <w:t>多阶段随机规划将两阶段模型推广到多个决策阶段，更贴合实时定价的多时段特征。然而，多阶段模型的场景树规模随阶段数指数增长（维数灾难），限制了其实际应用。近似方法（如滚动时域优化）通过在每个决策时刻仅优化未来有限时段来缓解这一问题。</w:t>
      </w:r>
    </w:p>
    <w:p>
      <w:pPr>
        <w:pStyle w:val="Heading3"/>
        <w:spacing w:before="160" w:after="60"/>
      </w:pPr>
      <w:r>
        <w:rPr>
          <w:rFonts w:ascii="Times New Roman" w:hAnsi="Times New Roman" w:eastAsia="黑体"/>
          <w:b/>
          <w:i w:val="0"/>
          <w:sz w:val="24"/>
        </w:rPr>
        <w:t>分布鲁棒优化的理论框架</w:t>
      </w:r>
    </w:p>
    <w:p>
      <w:pPr>
        <w:spacing w:line="360" w:lineRule="auto" w:after="0"/>
        <w:ind w:firstLine="425"/>
      </w:pPr>
      <w:r>
        <w:rPr>
          <w:rFonts w:ascii="Times New Roman" w:hAnsi="Times New Roman" w:eastAsia="宋体"/>
          <w:b w:val="0"/>
          <w:i w:val="0"/>
          <w:sz w:val="22"/>
        </w:rPr>
        <w:t>分布鲁棒优化（DRO）是介于随机规划和鲁棒优化之间的方法论。随机规划假设概率分布已知，鲁棒优化不考虑概率分布，DRO则假设概率分布属于一个不确定性集合（模糊集），优化最坏分布下的期望性能。</w:t>
      </w:r>
    </w:p>
    <w:p>
      <w:pPr>
        <w:spacing w:line="360" w:lineRule="auto" w:after="0"/>
        <w:ind w:firstLine="425"/>
      </w:pPr>
      <w:r>
        <w:rPr>
          <w:rFonts w:ascii="Times New Roman" w:hAnsi="Times New Roman" w:eastAsia="宋体"/>
          <w:b w:val="0"/>
          <w:i w:val="0"/>
          <w:sz w:val="22"/>
        </w:rPr>
        <w:t>DRO的模糊集构建方法主要有两类：基于矩信息的模糊集（已知均值和协方差的分布族）和基于 Wasserstein 距离的模糊集（与经验分布在Wasserstein距离内的分布族）。Wasserstein DRO因其良好的理论性质（最优解的存在性和收敛性）和可计算性（可以转化为凸优化问题）而受到广泛关注。</w:t>
      </w:r>
    </w:p>
    <w:p>
      <w:pPr>
        <w:spacing w:line="360" w:lineRule="auto" w:after="0"/>
        <w:ind w:firstLine="425"/>
      </w:pPr>
      <w:r>
        <w:rPr>
          <w:rFonts w:ascii="Times New Roman" w:hAnsi="Times New Roman" w:eastAsia="宋体"/>
          <w:b w:val="0"/>
          <w:i w:val="0"/>
          <w:sz w:val="22"/>
        </w:rPr>
        <w:t>在实时定价中，DRO可以自然处理需求预测误差和可再生能源出力不确定性。与纯鲁棒优化相比，DRO利用了分布信息，避免过度保守；与纯随机规划相比，DRO对分布假设的偏差具有鲁棒性。这种"保守性-灵活性"权衡可以通过调整模糊集的大小来控制，为决策者提供了灵活的风险管理工具。</w:t>
      </w:r>
    </w:p>
    <w:p>
      <w:pPr>
        <w:pStyle w:val="Heading3"/>
        <w:spacing w:before="160" w:after="60"/>
      </w:pPr>
      <w:r>
        <w:rPr>
          <w:rFonts w:ascii="Times New Roman" w:hAnsi="Times New Roman" w:eastAsia="黑体"/>
          <w:b/>
          <w:i w:val="0"/>
          <w:sz w:val="24"/>
        </w:rPr>
        <w:t>鲁棒优化的适应性扩展</w:t>
      </w:r>
    </w:p>
    <w:p>
      <w:pPr>
        <w:spacing w:line="360" w:lineRule="auto" w:after="0"/>
        <w:ind w:firstLine="425"/>
      </w:pPr>
      <w:r>
        <w:rPr>
          <w:rFonts w:ascii="Times New Roman" w:hAnsi="Times New Roman" w:eastAsia="宋体"/>
          <w:b w:val="0"/>
          <w:i w:val="0"/>
          <w:sz w:val="22"/>
        </w:rPr>
        <w:t>传统鲁棒优化采用静态决策策略：决策者在不确定性揭示前确定所有决策，不随不确定性变化调整。这种策略过于保守，因为它不考虑决策者可以在不确定性逐步揭示过程中调整决策的能力。</w:t>
      </w:r>
    </w:p>
    <w:p>
      <w:pPr>
        <w:spacing w:line="360" w:lineRule="auto" w:after="0"/>
        <w:ind w:firstLine="425"/>
      </w:pPr>
      <w:r>
        <w:rPr>
          <w:rFonts w:ascii="Times New Roman" w:hAnsi="Times New Roman" w:eastAsia="宋体"/>
          <w:b w:val="0"/>
          <w:i w:val="0"/>
          <w:sz w:val="22"/>
        </w:rPr>
        <w:t>自适应鲁棒优化（ARO）允许决策随不确定性揭示而调整，通过仿射决策规则（ADR）将调整策略参数化为不确定性的仿射函数。这种方法将无限维的函数优化问题转化为有限维的参数优化问题，在可计算性和适应性之间取得了良好平衡。</w:t>
      </w:r>
    </w:p>
    <w:p>
      <w:pPr>
        <w:spacing w:line="360" w:lineRule="auto" w:after="0"/>
        <w:ind w:firstLine="425"/>
      </w:pPr>
      <w:r>
        <w:rPr>
          <w:rFonts w:ascii="Times New Roman" w:hAnsi="Times New Roman" w:eastAsia="宋体"/>
          <w:b w:val="0"/>
          <w:i w:val="0"/>
          <w:sz w:val="22"/>
        </w:rPr>
        <w:t>在实时定价中，ARO可以描述如下：日前确定基准电价，实时根据负荷和可再生能源出力的实际值进行仿射调整（p_t = p_t^0 + α_t · Δ D_t + β_t · Δ W_t）。调整系数 α_t, β_t 在日前优化中确定，确保最坏情况下的系统性能满足约束。</w:t>
      </w:r>
    </w:p>
    <w:p>
      <w:pPr>
        <w:pStyle w:val="Heading3"/>
        <w:spacing w:before="160" w:after="60"/>
      </w:pPr>
      <w:r>
        <w:rPr>
          <w:rFonts w:ascii="Times New Roman" w:hAnsi="Times New Roman" w:eastAsia="黑体"/>
          <w:b/>
          <w:i w:val="0"/>
          <w:sz w:val="24"/>
        </w:rPr>
        <w:t>机会约束规划的精确化</w:t>
      </w:r>
    </w:p>
    <w:p>
      <w:pPr>
        <w:spacing w:line="360" w:lineRule="auto" w:after="0"/>
        <w:ind w:firstLine="425"/>
      </w:pPr>
      <w:r>
        <w:rPr>
          <w:rFonts w:ascii="Times New Roman" w:hAnsi="Times New Roman" w:eastAsia="宋体"/>
          <w:b w:val="0"/>
          <w:i w:val="0"/>
          <w:sz w:val="22"/>
        </w:rPr>
        <w:t>机会约束规划（CCP）允许约束以一定概率满足：P(g(x, ξ) ≤ 0) ≥ 1 - ε，其中 ε 为允许的违反概率。在实时定价中，机会约束可以表述为"供电不足的概率不超过5%"等可靠性要求。</w:t>
      </w:r>
    </w:p>
    <w:p>
      <w:pPr>
        <w:spacing w:line="360" w:lineRule="auto" w:after="0"/>
        <w:ind w:firstLine="425"/>
      </w:pPr>
      <w:r>
        <w:rPr>
          <w:rFonts w:ascii="Times New Roman" w:hAnsi="Times New Roman" w:eastAsia="宋体"/>
          <w:b w:val="0"/>
          <w:i w:val="0"/>
          <w:sz w:val="22"/>
        </w:rPr>
        <w:t>CCP的主要挑战在于概率约束通常是非凸的，难以直接求解。对于特定分布（如正态分布），机会约束可以转化为等价的确定性凸约束。对于一般分布，场景逼近方法通过大量场景样本将概率约束转化为有限个确定性约束的交集。</w:t>
      </w:r>
    </w:p>
    <w:p>
      <w:pPr>
        <w:spacing w:line="360" w:lineRule="auto" w:after="0"/>
        <w:ind w:firstLine="425"/>
      </w:pPr>
      <w:r>
        <w:rPr>
          <w:rFonts w:ascii="Times New Roman" w:hAnsi="Times New Roman" w:eastAsia="宋体"/>
          <w:b w:val="0"/>
          <w:i w:val="0"/>
          <w:sz w:val="22"/>
        </w:rPr>
        <w:t>条件风险价值（CVaR）逼近是处理CCP的有效方法。CVaR约束 CVaR_ε(g(x, ξ)) ≤ 0 是机会约束 P(g(x, ξ) ≤ 0) ≥ 1 - ε 的充分条件，且CVaR约束可以转化为线性规划，计算效率高。通过调整CVaR的置信水平，可以控制约束的保守程度。</w:t>
      </w:r>
    </w:p>
    <w:p>
      <w:pPr>
        <w:pStyle w:val="Heading2"/>
        <w:spacing w:before="240" w:after="80"/>
      </w:pPr>
      <w:r>
        <w:rPr>
          <w:rFonts w:ascii="Times New Roman" w:hAnsi="Times New Roman" w:eastAsia="黑体"/>
          <w:b/>
          <w:i w:val="0"/>
          <w:sz w:val="28"/>
        </w:rPr>
        <w:t>8.12 不确定性下的决策理论</w:t>
      </w:r>
    </w:p>
    <w:p>
      <w:pPr>
        <w:pStyle w:val="Heading3"/>
        <w:spacing w:before="160" w:after="60"/>
      </w:pPr>
      <w:r>
        <w:rPr>
          <w:rFonts w:ascii="Times New Roman" w:hAnsi="Times New Roman" w:eastAsia="黑体"/>
          <w:b/>
          <w:i w:val="0"/>
          <w:sz w:val="24"/>
        </w:rPr>
        <w:t>风险度量与风险偏好建模</w:t>
      </w:r>
    </w:p>
    <w:p>
      <w:pPr>
        <w:spacing w:line="360" w:lineRule="auto" w:after="0"/>
        <w:ind w:firstLine="425"/>
      </w:pPr>
      <w:r>
        <w:rPr>
          <w:rFonts w:ascii="Times New Roman" w:hAnsi="Times New Roman" w:eastAsia="宋体"/>
          <w:b w:val="0"/>
          <w:i w:val="0"/>
          <w:sz w:val="22"/>
        </w:rPr>
        <w:t>实时定价中的决策者（供电方、用户、监管者）通常具有不同的风险偏好。风险度量的选择直接影响定价策略的风险收益特征。</w:t>
      </w:r>
    </w:p>
    <w:p>
      <w:pPr>
        <w:spacing w:line="360" w:lineRule="auto" w:after="0"/>
        <w:ind w:firstLine="425"/>
      </w:pPr>
      <w:r>
        <w:rPr>
          <w:rFonts w:ascii="Times New Roman" w:hAnsi="Times New Roman" w:eastAsia="宋体"/>
          <w:b w:val="0"/>
          <w:i w:val="0"/>
          <w:sz w:val="22"/>
        </w:rPr>
        <w:t>期望值准则适用于风险中性决策者，优化期望成本或期望利润。方差准则将风险定义为偏离期望的程度，适合对称分布场景。VaR和CVaR是更精细的风险度量：VaR衡量给定置信水平下的最大损失，CVaR衡量超过VaR的平均损失。CVaR由于具有次可加性（一致风险度量），在优化中更易处理。</w:t>
      </w:r>
    </w:p>
    <w:p>
      <w:pPr>
        <w:spacing w:line="360" w:lineRule="auto" w:after="0"/>
        <w:ind w:firstLine="425"/>
      </w:pPr>
      <w:r>
        <w:rPr>
          <w:rFonts w:ascii="Times New Roman" w:hAnsi="Times New Roman" w:eastAsia="宋体"/>
          <w:b w:val="0"/>
          <w:i w:val="0"/>
          <w:sz w:val="22"/>
        </w:rPr>
        <w:t>谱风险度量（Spectral Risk Measure）将上述风险度量统一在一个框架下，通过风险谱函数（权重函数）参数化不同置信水平下的损失权重。决策者的风险偏好可以通过风险谱函数的形状来表征：凹型谱表示风险厌恶，凸型谱表示风险偏好，平坦谱表示风险中性。</w:t>
      </w:r>
    </w:p>
    <w:p>
      <w:pPr>
        <w:pStyle w:val="Heading3"/>
        <w:spacing w:before="160" w:after="60"/>
      </w:pPr>
      <w:r>
        <w:rPr>
          <w:rFonts w:ascii="Times New Roman" w:hAnsi="Times New Roman" w:eastAsia="黑体"/>
          <w:b/>
          <w:i w:val="0"/>
          <w:sz w:val="24"/>
        </w:rPr>
        <w:t>多目标优化与帕累托前沿</w:t>
      </w:r>
    </w:p>
    <w:p>
      <w:pPr>
        <w:spacing w:line="360" w:lineRule="auto" w:after="0"/>
        <w:ind w:firstLine="425"/>
      </w:pPr>
      <w:r>
        <w:rPr>
          <w:rFonts w:ascii="Times New Roman" w:hAnsi="Times New Roman" w:eastAsia="宋体"/>
          <w:b w:val="0"/>
          <w:i w:val="0"/>
          <w:sz w:val="22"/>
        </w:rPr>
        <w:t>实时定价通常涉及多个相互冲突的目标：最小化供电成本、最大化社会福利、最小化价格波动、最大化用户满意度等。多目标优化寻找帕累托最优解集，即不存在另一个解在所有目标上都不差且至少在一个目标上严格更好的解。</w:t>
      </w:r>
    </w:p>
    <w:p>
      <w:pPr>
        <w:spacing w:line="360" w:lineRule="auto" w:after="0"/>
        <w:ind w:firstLine="425"/>
      </w:pPr>
      <w:r>
        <w:rPr>
          <w:rFonts w:ascii="Times New Roman" w:hAnsi="Times New Roman" w:eastAsia="宋体"/>
          <w:b w:val="0"/>
          <w:i w:val="0"/>
          <w:sz w:val="22"/>
        </w:rPr>
        <w:t>帕累托前沿的生成方法包括加权求和法、ε-约束法和目标规划法。加权求和法通过改变目标函数的权重生成不同的帕累托解，但无法找到非凸帕累托前沿上的点。ε-约束法将部分目标转化为约束，可以找到非凸前沿上的点。</w:t>
      </w:r>
    </w:p>
    <w:p>
      <w:pPr>
        <w:spacing w:line="360" w:lineRule="auto" w:after="0"/>
        <w:ind w:firstLine="425"/>
      </w:pPr>
      <w:r>
        <w:rPr>
          <w:rFonts w:ascii="Times New Roman" w:hAnsi="Times New Roman" w:eastAsia="宋体"/>
          <w:b w:val="0"/>
          <w:i w:val="0"/>
          <w:sz w:val="22"/>
        </w:rPr>
        <w:t>在实时定价中，多目标优化的一个关键应用是效率-公平权衡。纯粹追求效率可能导致电价在高峰时段极高，对低收入用户造成不成比例的负担。通过引入公平性目标（如基尼系数最小化），可以在效率损失可控的前提下改善分配公平性。</w:t>
      </w:r>
    </w:p>
    <w:p>
      <w:pPr>
        <w:pStyle w:val="Heading2"/>
        <w:spacing w:before="240" w:after="80"/>
      </w:pPr>
      <w:r>
        <w:rPr>
          <w:rFonts w:ascii="Times New Roman" w:hAnsi="Times New Roman" w:eastAsia="黑体"/>
          <w:b/>
          <w:i w:val="0"/>
          <w:sz w:val="28"/>
        </w:rPr>
        <w:t>8.13 不确定性下的实时定价实践与案例研究</w:t>
      </w:r>
    </w:p>
    <w:p>
      <w:pPr>
        <w:pStyle w:val="Heading3"/>
        <w:spacing w:before="160" w:after="60"/>
      </w:pPr>
      <w:r>
        <w:rPr>
          <w:rFonts w:ascii="Times New Roman" w:hAnsi="Times New Roman" w:eastAsia="黑体"/>
          <w:b/>
          <w:i w:val="0"/>
          <w:sz w:val="24"/>
        </w:rPr>
        <w:t>风险管理框架的系统设计</w:t>
      </w:r>
    </w:p>
    <w:p>
      <w:pPr>
        <w:spacing w:line="360" w:lineRule="auto" w:after="0"/>
        <w:ind w:firstLine="425"/>
      </w:pPr>
      <w:r>
        <w:rPr>
          <w:rFonts w:ascii="Times New Roman" w:hAnsi="Times New Roman" w:eastAsia="宋体"/>
          <w:b w:val="0"/>
          <w:i w:val="0"/>
          <w:sz w:val="22"/>
        </w:rPr>
        <w:t>实时定价系统中的风险管理需要建立系统化的框架。风险识别是第一步，需要系统地识别影响实时定价的各种风险源：负荷预测误差、可再生能源出力波动、设备故障、市场价格操纵、网络安全事件等。每种风险源的概率分布、影响范围和相关关系需要量化建模。</w:t>
      </w:r>
    </w:p>
    <w:p>
      <w:pPr>
        <w:spacing w:line="360" w:lineRule="auto" w:after="0"/>
        <w:ind w:firstLine="425"/>
      </w:pPr>
      <w:r>
        <w:rPr>
          <w:rFonts w:ascii="Times New Roman" w:hAnsi="Times New Roman" w:eastAsia="宋体"/>
          <w:b w:val="0"/>
          <w:i w:val="0"/>
          <w:sz w:val="22"/>
        </w:rPr>
        <w:t>风险评估方法包括定性和定量两大类。定性方法（如风险矩阵）按概率和影响对风险进行分级排序，帮助决策者确定优先处理的风险。定量方法（如蒙特卡洛仿真、情景分析）对风险的财务影响进行数值评估，提供更精确的风险度量。在实时定价中，CVaR因其一致风险度量性质被广泛用于定量评估。</w:t>
      </w:r>
    </w:p>
    <w:p>
      <w:pPr>
        <w:spacing w:line="360" w:lineRule="auto" w:after="0"/>
        <w:ind w:firstLine="425"/>
      </w:pPr>
      <w:r>
        <w:rPr>
          <w:rFonts w:ascii="Times New Roman" w:hAnsi="Times New Roman" w:eastAsia="宋体"/>
          <w:b w:val="0"/>
          <w:i w:val="0"/>
          <w:sz w:val="22"/>
        </w:rPr>
        <w:t>风险缓解策略包括风险规避、风险降低、风险转移和风险接受。风险规避通过排除高风险策略（如极端价格）来消除风险，但可能牺牲效率。风险降低通过增加冗余（如储备容量）和改进预测（如提高负荷预测精度）来降低风险概率或影响。风险转移通过保险、对冲和合同设计将风险转移给更有能力承担的主体。风险接受是当风险缓解成本高于风险期望损失时的理性选择。</w:t>
      </w:r>
    </w:p>
    <w:p>
      <w:pPr>
        <w:pStyle w:val="Heading3"/>
        <w:spacing w:before="160" w:after="60"/>
      </w:pPr>
      <w:r>
        <w:rPr>
          <w:rFonts w:ascii="Times New Roman" w:hAnsi="Times New Roman" w:eastAsia="黑体"/>
          <w:b/>
          <w:i w:val="0"/>
          <w:sz w:val="24"/>
        </w:rPr>
        <w:t>电力衍生品与价格对冲</w:t>
      </w:r>
    </w:p>
    <w:p>
      <w:pPr>
        <w:spacing w:line="360" w:lineRule="auto" w:after="0"/>
        <w:ind w:firstLine="425"/>
      </w:pPr>
      <w:r>
        <w:rPr>
          <w:rFonts w:ascii="Times New Roman" w:hAnsi="Times New Roman" w:eastAsia="宋体"/>
          <w:b w:val="0"/>
          <w:i w:val="0"/>
          <w:sz w:val="22"/>
        </w:rPr>
        <w:t>电力价格的高波动性催生了电力衍生品市场。电力期货和期权为市场参与者提供了价格风险管理工具。电力期货合约锁定未来交割的电价，消除价格波动风险但放弃了价格有利变动的收益。电力期权合约赋予买方在未来以约定价格交易电力的权利（而非义务），在提供价格保护的同时保留了价格有利变动的收益。</w:t>
      </w:r>
    </w:p>
    <w:p>
      <w:pPr>
        <w:spacing w:line="360" w:lineRule="auto" w:after="0"/>
        <w:ind w:firstLine="425"/>
      </w:pPr>
      <w:r>
        <w:rPr>
          <w:rFonts w:ascii="Times New Roman" w:hAnsi="Times New Roman" w:eastAsia="宋体"/>
          <w:b w:val="0"/>
          <w:i w:val="0"/>
          <w:sz w:val="22"/>
        </w:rPr>
        <w:t>差价合约（CfD）是电力市场中常用的风险管理工具。双向CfD在价格高于执行价时由发电方向购电方支付差额，在价格低于执行价时由购电方向发电方支付差额，实质上锁定了交易价格。英国的CfD机制为低碳发电（包括核电、海上风电等）提供了长期价格保障，促进了低碳能源投资。</w:t>
      </w:r>
    </w:p>
    <w:p>
      <w:pPr>
        <w:spacing w:line="360" w:lineRule="auto" w:after="0"/>
        <w:ind w:firstLine="425"/>
      </w:pPr>
      <w:r>
        <w:rPr>
          <w:rFonts w:ascii="Times New Roman" w:hAnsi="Times New Roman" w:eastAsia="宋体"/>
          <w:b w:val="0"/>
          <w:i w:val="0"/>
          <w:sz w:val="22"/>
        </w:rPr>
        <w:t>VPP（虚拟购电协议）是新能源发电企业常用的金融对冲工具。VPP在金融上锁定发电收入的电价部分，使发电企业可以在不影响物理电力交易的情况下管理价格风险。VPP与物理PPA的区别在于前者不涉及物理电力交割，仅进行金融结算。</w:t>
      </w:r>
    </w:p>
    <w:p>
      <w:pPr>
        <w:pStyle w:val="Heading3"/>
        <w:spacing w:before="160" w:after="60"/>
      </w:pPr>
      <w:r>
        <w:rPr>
          <w:rFonts w:ascii="Times New Roman" w:hAnsi="Times New Roman" w:eastAsia="黑体"/>
          <w:b/>
          <w:i w:val="0"/>
          <w:sz w:val="24"/>
        </w:rPr>
        <w:t>实时定价的偏差管理</w:t>
      </w:r>
    </w:p>
    <w:p>
      <w:pPr>
        <w:spacing w:line="360" w:lineRule="auto" w:after="0"/>
        <w:ind w:firstLine="425"/>
      </w:pPr>
      <w:r>
        <w:rPr>
          <w:rFonts w:ascii="Times New Roman" w:hAnsi="Times New Roman" w:eastAsia="宋体"/>
          <w:b w:val="0"/>
          <w:i w:val="0"/>
          <w:sz w:val="22"/>
        </w:rPr>
        <w:t>实时定价中的预测偏差是不可避免的：负荷预测、可再生能源出力预测和价格预测都存在误差。偏差管理机制确保系统在预测偏差下仍能安全经济运行。</w:t>
      </w:r>
    </w:p>
    <w:p>
      <w:pPr>
        <w:spacing w:line="360" w:lineRule="auto" w:after="0"/>
        <w:ind w:firstLine="425"/>
      </w:pPr>
      <w:r>
        <w:rPr>
          <w:rFonts w:ascii="Times New Roman" w:hAnsi="Times New Roman" w:eastAsia="宋体"/>
          <w:b w:val="0"/>
          <w:i w:val="0"/>
          <w:sz w:val="22"/>
        </w:rPr>
        <w:t>偏差结算机制对实际用电量与日前计划量的偏差进行结算。中国的电力市场规则中，偏差电量在允许范围内（如±5%）按实时电价结算，超出允许范围的偏差电量按惩罚电价结算。这种机制激励市场参与者提高预测精度，同时对不可避免的预测误差提供了一定的宽容空间。</w:t>
      </w:r>
    </w:p>
    <w:p>
      <w:pPr>
        <w:spacing w:line="360" w:lineRule="auto" w:after="0"/>
        <w:ind w:firstLine="425"/>
      </w:pPr>
      <w:r>
        <w:rPr>
          <w:rFonts w:ascii="Times New Roman" w:hAnsi="Times New Roman" w:eastAsia="宋体"/>
          <w:b w:val="0"/>
          <w:i w:val="0"/>
          <w:sz w:val="22"/>
        </w:rPr>
        <w:t>滚动更新策略在每个定价周期开始时更新预测值和定价方案。当新信息到达时（如更新的负荷预测、可再生能源超短期预测），系统重新优化定价策略。滚动时域优化（RHC）在每个决策时刻仅优化未来N个时段，在第一个时段执行后滚动到下一个决策时刻。这种方法在计算效率和决策质量之间取得了良好平衡。</w:t>
      </w:r>
    </w:p>
    <w:p>
      <w:pPr>
        <w:pStyle w:val="Heading3"/>
        <w:spacing w:before="160" w:after="60"/>
      </w:pPr>
      <w:r>
        <w:rPr>
          <w:rFonts w:ascii="Times New Roman" w:hAnsi="Times New Roman" w:eastAsia="黑体"/>
          <w:b/>
          <w:i w:val="0"/>
          <w:sz w:val="24"/>
        </w:rPr>
        <w:t>极端场景的压力测试</w:t>
      </w:r>
    </w:p>
    <w:p>
      <w:pPr>
        <w:spacing w:line="360" w:lineRule="auto" w:after="0"/>
        <w:ind w:firstLine="425"/>
      </w:pPr>
      <w:r>
        <w:rPr>
          <w:rFonts w:ascii="Times New Roman" w:hAnsi="Times New Roman" w:eastAsia="宋体"/>
          <w:b w:val="0"/>
          <w:i w:val="0"/>
          <w:sz w:val="22"/>
        </w:rPr>
        <w:t>压力测试评估实时定价系统在极端条件下的表现。设计压力测试场景需要考虑历史极端事件（如2003年美加大停电、2021年德州冬季风暴、2022年欧洲能源危机）和假设性极端场景（如大规模网络攻击、太阳风暴导致的通信中断）。</w:t>
      </w:r>
    </w:p>
    <w:p>
      <w:pPr>
        <w:spacing w:line="360" w:lineRule="auto" w:after="0"/>
        <w:ind w:firstLine="425"/>
      </w:pPr>
      <w:r>
        <w:rPr>
          <w:rFonts w:ascii="Times New Roman" w:hAnsi="Times New Roman" w:eastAsia="宋体"/>
          <w:b w:val="0"/>
          <w:i w:val="0"/>
          <w:sz w:val="22"/>
        </w:rPr>
        <w:t>压力测试的评估指标包括：定价系统的可用性（能否在极端条件下持续运行）、定价结果的合理性（电价是否在可接受范围内）、需求响应的可靠性（需求响应资源能否按预期响应）和系统恢复能力（极端事件后系统能否快速恢复正常定价）。</w:t>
      </w:r>
    </w:p>
    <w:p>
      <w:pPr>
        <w:spacing w:line="360" w:lineRule="auto" w:after="0"/>
        <w:ind w:firstLine="425"/>
      </w:pPr>
      <w:r>
        <w:rPr>
          <w:rFonts w:ascii="Times New Roman" w:hAnsi="Times New Roman" w:eastAsia="宋体"/>
          <w:b w:val="0"/>
          <w:i w:val="0"/>
          <w:sz w:val="22"/>
        </w:rPr>
        <w:t>压力测试的结果应反馈到系统设计和参数调整中。例如，如果测试发现某类极端事件下定价算法产生不合理结果，应在算法中增加相应的保护机制。如果发现通信网络在极端条件下不可靠，应增加冗余通信路径或本地备份定价方案。</w:t>
      </w:r>
    </w:p>
    <w:p>
      <w:pPr>
        <w:pStyle w:val="Heading3"/>
        <w:spacing w:before="160" w:after="60"/>
      </w:pPr>
      <w:r>
        <w:rPr>
          <w:rFonts w:ascii="Times New Roman" w:hAnsi="Times New Roman" w:eastAsia="黑体"/>
          <w:b/>
          <w:i w:val="0"/>
          <w:sz w:val="24"/>
        </w:rPr>
        <w:t>国际不确定性管理经验</w:t>
      </w:r>
    </w:p>
    <w:p>
      <w:pPr>
        <w:spacing w:line="360" w:lineRule="auto" w:after="0"/>
        <w:ind w:firstLine="425"/>
      </w:pPr>
      <w:r>
        <w:rPr>
          <w:rFonts w:ascii="Times New Roman" w:hAnsi="Times New Roman" w:eastAsia="宋体"/>
          <w:b w:val="0"/>
          <w:i w:val="0"/>
          <w:sz w:val="22"/>
        </w:rPr>
        <w:t>德国在应对高比例可再生能源带来的不确定性方面积累了丰富经验。德国的平衡集群（Ausgleichsregelwerk）机制通过将不确定性在多个平衡责任方之间分摊，降低了个别主体的风险暴露。德国还引入了15分钟不平衡结算周期（相对于传统的60分钟），提高了不平衡管理的精细度。</w:t>
      </w:r>
    </w:p>
    <w:p>
      <w:pPr>
        <w:spacing w:line="360" w:lineRule="auto" w:after="0"/>
        <w:ind w:firstLine="425"/>
      </w:pPr>
      <w:r>
        <w:rPr>
          <w:rFonts w:ascii="Times New Roman" w:hAnsi="Times New Roman" w:eastAsia="宋体"/>
          <w:b w:val="0"/>
          <w:i w:val="0"/>
          <w:sz w:val="22"/>
        </w:rPr>
        <w:t>北欧市场的 regulating power market（RPM）提供了一种快速响应不确定性 的机制。RPM在实时市场之前15分钟开放，允许参与者提交上调或下调报价。系统运营商根据不平衡情况选择最经济的调节资源。RPM的快速响应特性使其能够有效应对短期预测偏差。</w:t>
      </w:r>
    </w:p>
    <w:p>
      <w:pPr>
        <w:spacing w:line="360" w:lineRule="auto" w:after="0"/>
        <w:ind w:firstLine="425"/>
      </w:pPr>
      <w:r>
        <w:rPr>
          <w:rFonts w:ascii="Times New Roman" w:hAnsi="Times New Roman" w:eastAsia="宋体"/>
          <w:b w:val="0"/>
          <w:i w:val="0"/>
          <w:sz w:val="22"/>
        </w:rPr>
        <w:t>澳大利亚的5分钟结算机制是全球最快速的实时定价实践。从2021年10月起，澳大利亚将结算周期从30分钟缩短到5分钟，使快速响应资源（如电池储能）能够充分获得其灵活性价值。这一改革促进了储能等快速响应资源的投资，提高了系统应对不确定性的能力。</w:t>
      </w:r>
    </w:p>
    <w:p>
      <w:pPr>
        <w:pStyle w:val="Heading2"/>
        <w:spacing w:before="240" w:after="80"/>
      </w:pPr>
      <w:r>
        <w:rPr>
          <w:rFonts w:ascii="Times New Roman" w:hAnsi="Times New Roman" w:eastAsia="黑体"/>
          <w:b/>
          <w:i w:val="0"/>
          <w:sz w:val="28"/>
        </w:rPr>
        <w:t>8.14 不确定性优化的实际部署与性能评估</w:t>
      </w:r>
    </w:p>
    <w:p>
      <w:pPr>
        <w:pStyle w:val="Heading3"/>
        <w:spacing w:before="160" w:after="60"/>
      </w:pPr>
      <w:r>
        <w:rPr>
          <w:rFonts w:ascii="Times New Roman" w:hAnsi="Times New Roman" w:eastAsia="黑体"/>
          <w:b/>
          <w:i w:val="0"/>
          <w:sz w:val="24"/>
        </w:rPr>
        <w:t>预测误差的结构化分析</w:t>
      </w:r>
    </w:p>
    <w:p>
      <w:pPr>
        <w:spacing w:line="360" w:lineRule="auto" w:after="0"/>
        <w:ind w:firstLine="425"/>
      </w:pPr>
      <w:r>
        <w:rPr>
          <w:rFonts w:ascii="Times New Roman" w:hAnsi="Times New Roman" w:eastAsia="宋体"/>
          <w:b w:val="0"/>
          <w:i w:val="0"/>
          <w:sz w:val="22"/>
        </w:rPr>
        <w:t>实时定价中的不确定性主要来源于预测误差。深入理解预测误差的结构特征对于设计有效的鲁棒定价策略至关重要。</w:t>
      </w:r>
    </w:p>
    <w:p>
      <w:pPr>
        <w:spacing w:line="360" w:lineRule="auto" w:after="0"/>
        <w:ind w:firstLine="425"/>
      </w:pPr>
      <w:r>
        <w:rPr>
          <w:rFonts w:ascii="Times New Roman" w:hAnsi="Times New Roman" w:eastAsia="宋体"/>
          <w:b w:val="0"/>
          <w:i w:val="0"/>
          <w:sz w:val="22"/>
        </w:rPr>
        <w:t>预测误差的时间相关性是一个关键特征。短期预测（15分钟-1小时）的误差通常表现出强正相关：如果当前时刻预测偏高，下一时刻也倾向于偏高。这种相关性使得简单的独立场景生成方法不适用，需要使用时间序列模型（如ARIMA、VAR）生成具有正确时间相关结构的场景。</w:t>
      </w:r>
    </w:p>
    <w:p>
      <w:pPr>
        <w:spacing w:line="360" w:lineRule="auto" w:after="0"/>
        <w:ind w:firstLine="425"/>
      </w:pPr>
      <w:r>
        <w:rPr>
          <w:rFonts w:ascii="Times New Roman" w:hAnsi="Times New Roman" w:eastAsia="宋体"/>
          <w:b w:val="0"/>
          <w:i w:val="0"/>
          <w:sz w:val="22"/>
        </w:rPr>
        <w:t>预测误差的条件异方差性指误差方差随预测条件变化。在负荷高峰时段、天气剧变时段或节假日过渡时段，预测误差的方差通常更大。GARCH模型可以捕捉这种条件异方差性，生成具有变化波动率的场景。</w:t>
      </w:r>
    </w:p>
    <w:p>
      <w:pPr>
        <w:spacing w:line="360" w:lineRule="auto" w:after="0"/>
        <w:ind w:firstLine="425"/>
      </w:pPr>
      <w:r>
        <w:rPr>
          <w:rFonts w:ascii="Times New Roman" w:hAnsi="Times New Roman" w:eastAsia="宋体"/>
          <w:b w:val="0"/>
          <w:i w:val="0"/>
          <w:sz w:val="22"/>
        </w:rPr>
        <w:t>预测误差的分布形状通常是非正态的：具有厚尾特征（极端误差比正态分布预测的更频繁）和偏斜特征（正向误差和负向误差的概率不对称）。Cornish-Fisher展开和Copula方法可以建模这些非正态特征，生成更真实的场景。</w:t>
      </w:r>
    </w:p>
    <w:p>
      <w:pPr>
        <w:pStyle w:val="Heading3"/>
        <w:spacing w:before="160" w:after="60"/>
      </w:pPr>
      <w:r>
        <w:rPr>
          <w:rFonts w:ascii="Times New Roman" w:hAnsi="Times New Roman" w:eastAsia="黑体"/>
          <w:b/>
          <w:i w:val="0"/>
          <w:sz w:val="24"/>
        </w:rPr>
        <w:t>滚动时域优化的工程实现</w:t>
      </w:r>
    </w:p>
    <w:p>
      <w:pPr>
        <w:spacing w:line="360" w:lineRule="auto" w:after="0"/>
        <w:ind w:firstLine="425"/>
      </w:pPr>
      <w:r>
        <w:rPr>
          <w:rFonts w:ascii="Times New Roman" w:hAnsi="Times New Roman" w:eastAsia="宋体"/>
          <w:b w:val="0"/>
          <w:i w:val="0"/>
          <w:sz w:val="22"/>
        </w:rPr>
        <w:t>滚动时域优化（RHC）是实时定价中处理多时段不确定性的标准方法。在每个决策时刻 t，RHC基于最新预测信息优化未来 N 个时段的定价策略，但仅执行第一个时段的决策 p_t。在时刻 t+1，利用更新的预测信息重新优化。</w:t>
      </w:r>
    </w:p>
    <w:p>
      <w:pPr>
        <w:spacing w:line="360" w:lineRule="auto" w:after="0"/>
        <w:ind w:firstLine="425"/>
      </w:pPr>
      <w:r>
        <w:rPr>
          <w:rFonts w:ascii="Times New Roman" w:hAnsi="Times New Roman" w:eastAsia="宋体"/>
          <w:b w:val="0"/>
          <w:i w:val="0"/>
          <w:sz w:val="22"/>
        </w:rPr>
        <w:t>预测时域 N 的选择是一个关键的工程参数。N 过小导致短视决策（忽略了未来时段的影响），N 过大增加计算复杂度且远期预测不可靠。对于15分钟级实时定价，N = 4-12（即1-3小时）是常用选择。</w:t>
      </w:r>
    </w:p>
    <w:p>
      <w:pPr>
        <w:spacing w:line="360" w:lineRule="auto" w:after="0"/>
        <w:ind w:firstLine="425"/>
      </w:pPr>
      <w:r>
        <w:rPr>
          <w:rFonts w:ascii="Times New Roman" w:hAnsi="Times New Roman" w:eastAsia="宋体"/>
          <w:b w:val="0"/>
          <w:i w:val="0"/>
          <w:sz w:val="22"/>
        </w:rPr>
        <w:t>RHC的计算效率优化包括：热启动利用前一步的解作为初始点，增量更新仅重新计算变化部分。对于大规模问题，RHC的每步求解时间应控制在定价周期（如5分钟）的一小部分以内，留出时间用于数据采集和结果发布。</w:t>
      </w:r>
    </w:p>
    <w:p>
      <w:pPr>
        <w:spacing w:line="360" w:lineRule="auto" w:after="0"/>
        <w:ind w:firstLine="425"/>
      </w:pPr>
      <w:r>
        <w:rPr>
          <w:rFonts w:ascii="Times New Roman" w:hAnsi="Times New Roman" w:eastAsia="宋体"/>
          <w:b w:val="0"/>
          <w:i w:val="0"/>
          <w:sz w:val="22"/>
        </w:rPr>
        <w:t>终端约束的设置确保RHC在有限预测时域内做出合理决策。终端成本函数近似有限时域之外的长期成本，终端约束确保系统状态在预测时域结束时处于合理范围。在实时定价中，终端约束可以包括储能SOC的最低水平、发电机组合的可行性等。</w:t>
      </w:r>
    </w:p>
    <w:p>
      <w:pPr>
        <w:pStyle w:val="Heading3"/>
        <w:spacing w:before="160" w:after="60"/>
      </w:pPr>
      <w:r>
        <w:rPr>
          <w:rFonts w:ascii="Times New Roman" w:hAnsi="Times New Roman" w:eastAsia="黑体"/>
          <w:b/>
          <w:i w:val="0"/>
          <w:sz w:val="24"/>
        </w:rPr>
        <w:t>不确定性传播的敏感性分析</w:t>
      </w:r>
    </w:p>
    <w:p>
      <w:pPr>
        <w:spacing w:line="360" w:lineRule="auto" w:after="0"/>
        <w:ind w:firstLine="425"/>
      </w:pPr>
      <w:r>
        <w:rPr>
          <w:rFonts w:ascii="Times New Roman" w:hAnsi="Times New Roman" w:eastAsia="宋体"/>
          <w:b w:val="0"/>
          <w:i w:val="0"/>
          <w:sz w:val="22"/>
        </w:rPr>
        <w:t>预测误差如何传播到定价决策是理解系统鲁棒性的关键。一阶敏感性分析通过 dp/d hatD 衡量定价对负荷预测的敏感程度，其中 hatD 为预测负荷。敏感性高的时段需要更精确的预测或更保守的定价策略。</w:t>
      </w:r>
    </w:p>
    <w:p>
      <w:pPr>
        <w:spacing w:line="360" w:lineRule="auto" w:after="0"/>
        <w:ind w:firstLine="425"/>
      </w:pPr>
      <w:r>
        <w:rPr>
          <w:rFonts w:ascii="Times New Roman" w:hAnsi="Times New Roman" w:eastAsia="宋体"/>
          <w:b w:val="0"/>
          <w:i w:val="0"/>
          <w:sz w:val="22"/>
        </w:rPr>
        <w:t>全局敏感性分析考虑了参数变化的大范围效应和交互效应。Sobol指数分解定价方差为各参数的独立贡献和交互贡献，识别对定价不确定性影响最大的参数。这种方法可以帮助决策者确定需要重点关注的预测变量。</w:t>
      </w:r>
    </w:p>
    <w:p>
      <w:pPr>
        <w:spacing w:line="360" w:lineRule="auto" w:after="0"/>
        <w:ind w:firstLine="425"/>
      </w:pPr>
      <w:r>
        <w:rPr>
          <w:rFonts w:ascii="Times New Roman" w:hAnsi="Times New Roman" w:eastAsia="宋体"/>
          <w:b w:val="0"/>
          <w:i w:val="0"/>
          <w:sz w:val="22"/>
        </w:rPr>
        <w:t>_scenario tree_ 的敏感性分析评估不同场景集对定价决策的影响。如果场景集的微小变化导致定价决策的大幅变化，说明定价策略对场景假设过于敏感，需要增加鲁棒性。 Leave-one-out 交叉验证通过逐一剔除场景并重新优化来评估场景集的鲁棒性。</w:t>
      </w:r>
    </w:p>
    <w:p>
      <w:pPr>
        <w:pStyle w:val="Heading3"/>
        <w:spacing w:before="160" w:after="60"/>
      </w:pPr>
      <w:r>
        <w:rPr>
          <w:rFonts w:ascii="Times New Roman" w:hAnsi="Times New Roman" w:eastAsia="黑体"/>
          <w:b/>
          <w:i w:val="0"/>
          <w:sz w:val="24"/>
        </w:rPr>
        <w:t>实时定价系统的容错设计</w:t>
      </w:r>
    </w:p>
    <w:p>
      <w:pPr>
        <w:spacing w:line="360" w:lineRule="auto" w:after="0"/>
        <w:ind w:firstLine="425"/>
      </w:pPr>
      <w:r>
        <w:rPr>
          <w:rFonts w:ascii="Times New Roman" w:hAnsi="Times New Roman" w:eastAsia="宋体"/>
          <w:b w:val="0"/>
          <w:i w:val="0"/>
          <w:sz w:val="22"/>
        </w:rPr>
        <w:t>实时定价系统需要在组件故障的情况下继续运行。容错设计包括冗余、降级和恢复三个层面。</w:t>
      </w:r>
    </w:p>
    <w:p>
      <w:pPr>
        <w:spacing w:line="360" w:lineRule="auto" w:after="0"/>
        <w:ind w:firstLine="425"/>
      </w:pPr>
      <w:r>
        <w:rPr>
          <w:rFonts w:ascii="Times New Roman" w:hAnsi="Times New Roman" w:eastAsia="宋体"/>
          <w:b w:val="0"/>
          <w:i w:val="0"/>
          <w:sz w:val="22"/>
        </w:rPr>
        <w:t>冗余设计在关键组件上部署备份。定价服务器采用主备模式：主服务器正常运行时，备服务器同步状态但不输出结果；主服务器故障时，备服务器在秒级接管。数据源冗余确保在某一数据通道故障时有替代数据源。</w:t>
      </w:r>
    </w:p>
    <w:p>
      <w:pPr>
        <w:spacing w:line="360" w:lineRule="auto" w:after="0"/>
        <w:ind w:firstLine="425"/>
      </w:pPr>
      <w:r>
        <w:rPr>
          <w:rFonts w:ascii="Times New Roman" w:hAnsi="Times New Roman" w:eastAsia="宋体"/>
          <w:b w:val="0"/>
          <w:i w:val="0"/>
          <w:sz w:val="22"/>
        </w:rPr>
        <w:t>降级设计在资源不足时降低系统功能而非完全停止。当计算资源不足以完成完整优化时，使用简化模型（如线性近似）快速求解；当通信中断无法获取实时数据时，使用预测数据代替实测数据。降级模式的性能低于正常模式但优于系统停止。</w:t>
      </w:r>
    </w:p>
    <w:p>
      <w:pPr>
        <w:spacing w:line="360" w:lineRule="auto" w:after="0"/>
        <w:ind w:firstLine="425"/>
      </w:pPr>
      <w:r>
        <w:rPr>
          <w:rFonts w:ascii="Times New Roman" w:hAnsi="Times New Roman" w:eastAsia="宋体"/>
          <w:b w:val="0"/>
          <w:i w:val="0"/>
          <w:sz w:val="22"/>
        </w:rPr>
        <w:t>恢复设计在故障排除后快速恢复正常运行。检查点机制定期保存系统状态，故障恢复时从最近的检查点继续而非从零开始。增量重放机制记录故障期间的输入数据，恢复后快速重放以追赶实时进度。</w:t>
      </w:r>
    </w:p>
    <w:p>
      <w:pPr>
        <w:pStyle w:val="Heading3"/>
        <w:spacing w:before="160" w:after="60"/>
      </w:pPr>
      <w:r>
        <w:rPr>
          <w:rFonts w:ascii="Times New Roman" w:hAnsi="Times New Roman" w:eastAsia="黑体"/>
          <w:b/>
          <w:i w:val="0"/>
          <w:sz w:val="24"/>
        </w:rPr>
        <w:t>性能监控与持续改进</w:t>
      </w:r>
    </w:p>
    <w:p>
      <w:pPr>
        <w:spacing w:line="360" w:lineRule="auto" w:after="0"/>
        <w:ind w:firstLine="425"/>
      </w:pPr>
      <w:r>
        <w:rPr>
          <w:rFonts w:ascii="Times New Roman" w:hAnsi="Times New Roman" w:eastAsia="宋体"/>
          <w:b w:val="0"/>
          <w:i w:val="0"/>
          <w:sz w:val="22"/>
        </w:rPr>
        <w:t>实时定价系统需要建立持续的性能监控和改进机制。关键性能指标（KPI）包括：定价精度（定价决策与事后最优决策的偏差）、求解时间（每个定价周期的计算时间）、系统可用性（系统正常运行时间比例）、用户响应率（用户对价格信号的响应比例）。</w:t>
      </w:r>
    </w:p>
    <w:p>
      <w:pPr>
        <w:spacing w:line="360" w:lineRule="auto" w:after="0"/>
        <w:ind w:firstLine="425"/>
      </w:pPr>
      <w:r>
        <w:rPr>
          <w:rFonts w:ascii="Times New Roman" w:hAnsi="Times New Roman" w:eastAsia="宋体"/>
          <w:b w:val="0"/>
          <w:i w:val="0"/>
          <w:sz w:val="22"/>
        </w:rPr>
        <w:t>实时仪表盘将关键指标可视化，使运营人员能够快速识别异常。异常检测算法自动识别指标偏离正常范围的情况，触发告警。根因分析追溯异常的根本原因（如预测误差过大、算法参数不当、通信故障），指导改进措施。</w:t>
      </w:r>
    </w:p>
    <w:p>
      <w:pPr>
        <w:spacing w:line="360" w:lineRule="auto" w:after="0"/>
        <w:ind w:firstLine="425"/>
      </w:pPr>
      <w:r>
        <w:rPr>
          <w:rFonts w:ascii="Times New Roman" w:hAnsi="Times New Roman" w:eastAsia="宋体"/>
          <w:b w:val="0"/>
          <w:i w:val="0"/>
          <w:sz w:val="22"/>
        </w:rPr>
        <w:t>A/B测试框架允许同时运行多个定价算法版本，比较其性能差异。控制组使用当前最优算法，实验组使用新算法。通过统计显著性检验确认新算法是否优于当前算法。这种方法确保算法改进是基于数据驱动而非主观判断。</w:t>
      </w:r>
    </w:p>
    <w:p>
      <w:pPr>
        <w:spacing w:line="360" w:lineRule="auto" w:after="0"/>
        <w:ind w:firstLine="425"/>
      </w:pPr>
      <w:r>
        <w:rPr>
          <w:rFonts w:ascii="Times New Roman" w:hAnsi="Times New Roman" w:eastAsia="宋体"/>
          <w:b w:val="0"/>
          <w:i w:val="0"/>
          <w:sz w:val="22"/>
        </w:rPr>
        <w:t>持续集成/持续部署（CI/CD）管道使算法更新能够安全快速地部署到生产环境。新算法版本经过自动化测试（单元测试、集成测试、回归测试）后，先在影子模式运行验证，然后逐步推广到生产环境。灰度发布策略将新算法先部署到小范围用户，确认无问题后再全面推广。</w:t>
      </w:r>
    </w:p>
    <w:p>
      <w:pPr>
        <w:pStyle w:val="Heading2"/>
        <w:spacing w:before="240" w:after="80"/>
      </w:pPr>
      <w:r>
        <w:rPr>
          <w:rFonts w:ascii="Times New Roman" w:hAnsi="Times New Roman" w:eastAsia="黑体"/>
          <w:b/>
          <w:i w:val="0"/>
          <w:sz w:val="28"/>
        </w:rPr>
        <w:t>8.15 不确定性优化的理论深化与前沿</w:t>
      </w:r>
    </w:p>
    <w:p>
      <w:pPr>
        <w:pStyle w:val="Heading3"/>
        <w:spacing w:before="160" w:after="60"/>
      </w:pPr>
      <w:r>
        <w:rPr>
          <w:rFonts w:ascii="Times New Roman" w:hAnsi="Times New Roman" w:eastAsia="黑体"/>
          <w:b/>
          <w:i w:val="0"/>
          <w:sz w:val="24"/>
        </w:rPr>
        <w:t>数据驱动的分布鲁棒优化理论</w:t>
      </w:r>
    </w:p>
    <w:p>
      <w:pPr>
        <w:spacing w:line="360" w:lineRule="auto" w:after="0"/>
        <w:ind w:firstLine="425"/>
      </w:pPr>
      <w:r>
        <w:rPr>
          <w:rFonts w:ascii="Times New Roman" w:hAnsi="Times New Roman" w:eastAsia="宋体"/>
          <w:b w:val="0"/>
          <w:i w:val="0"/>
          <w:sz w:val="22"/>
        </w:rPr>
        <w:t>Wasserstein DRO的理论保证基于以下关键定理：给定 N 个独立同分布的历史样本，以概率 1-β，真实分布落在以经验分布为中心、半径为 ε_N(β) 的Wasserstein球内。ε_N(β) ∝ N^-1/d（d 为数据维度），表明样本量增加时模糊集收缩。</w:t>
      </w:r>
    </w:p>
    <w:p>
      <w:pPr>
        <w:spacing w:line="360" w:lineRule="auto" w:after="0"/>
        <w:ind w:firstLine="425"/>
      </w:pPr>
      <w:r>
        <w:rPr>
          <w:rFonts w:ascii="Times New Roman" w:hAnsi="Times New Roman" w:eastAsia="宋体"/>
          <w:b w:val="0"/>
          <w:i w:val="0"/>
          <w:sz w:val="22"/>
        </w:rPr>
        <w:t>这一理论保证的优势在于：不需要假设分布族（非参数化），且收敛速率有明确的理论界。然而，N^-1/d 的收敛速率在高维空间中很慢（维数灾难），需要大量样本才能获得精确的模糊集。</w:t>
      </w:r>
    </w:p>
    <w:p>
      <w:pPr>
        <w:spacing w:line="360" w:lineRule="auto" w:after="0"/>
        <w:ind w:firstLine="425"/>
      </w:pPr>
      <w:r>
        <w:rPr>
          <w:rFonts w:ascii="Times New Roman" w:hAnsi="Times New Roman" w:eastAsia="宋体"/>
          <w:b w:val="0"/>
          <w:i w:val="0"/>
          <w:sz w:val="22"/>
        </w:rPr>
        <w:t>维度缓解技术可以加速高维Wasserstein DRO的收敛。降维方法（如PCA、autoencoder）将高维数据映射到低维空间，在低维空间构建模糊集。结构化假设（如独立性假设、马尔可夫假设）可以降低有效维度。这些技术虽然引入了额外假设，但在实际应用中显著提高了计算效率。</w:t>
      </w:r>
    </w:p>
    <w:p>
      <w:pPr>
        <w:pStyle w:val="Heading3"/>
        <w:spacing w:before="160" w:after="60"/>
      </w:pPr>
      <w:r>
        <w:rPr>
          <w:rFonts w:ascii="Times New Roman" w:hAnsi="Times New Roman" w:eastAsia="黑体"/>
          <w:b/>
          <w:i w:val="0"/>
          <w:sz w:val="24"/>
        </w:rPr>
        <w:t>多阶段分布鲁棒优化</w:t>
      </w:r>
    </w:p>
    <w:p>
      <w:pPr>
        <w:spacing w:line="360" w:lineRule="auto" w:after="0"/>
        <w:ind w:firstLine="425"/>
      </w:pPr>
      <w:r>
        <w:rPr>
          <w:rFonts w:ascii="Times New Roman" w:hAnsi="Times New Roman" w:eastAsia="宋体"/>
          <w:b w:val="0"/>
          <w:i w:val="0"/>
          <w:sz w:val="22"/>
        </w:rPr>
        <w:t>多阶段DRO将两阶段模型扩展到多个决策阶段，更贴合实时定价的多时段特征。多阶段DRO的模糊集需要在时间维度上描述不确定性演化的动态特征。</w:t>
      </w:r>
    </w:p>
    <w:p>
      <w:pPr>
        <w:spacing w:line="360" w:lineRule="auto" w:after="0"/>
        <w:ind w:firstLine="425"/>
      </w:pPr>
      <w:r>
        <w:rPr>
          <w:rFonts w:ascii="Times New Roman" w:hAnsi="Times New Roman" w:eastAsia="宋体"/>
          <w:b w:val="0"/>
          <w:i w:val="0"/>
          <w:sz w:val="22"/>
        </w:rPr>
        <w:t>马尔可夫模糊集假设不确定性在不同阶段间的转移具有马尔可夫性质。这种假设将高维联合分布简化为条件分布序列，大大降低了建模复杂度。马尔可夫模糊集的参数（转移概率或转移核）可以从历史数据中估计。</w:t>
      </w:r>
    </w:p>
    <w:p>
      <w:pPr>
        <w:spacing w:line="360" w:lineRule="auto" w:after="0"/>
        <w:ind w:firstLine="425"/>
      </w:pPr>
      <w:r>
        <w:rPr>
          <w:rFonts w:ascii="Times New Roman" w:hAnsi="Times New Roman" w:eastAsia="宋体"/>
          <w:b w:val="0"/>
          <w:i w:val="0"/>
          <w:sz w:val="22"/>
        </w:rPr>
        <w:t>情景树模糊集将不确定性演化建模为情景树，每个节点对应一个决策阶段，每条路径对应一种不确定性实现。情景树的规模随阶段数指数增长，需要通过剪枝或场景选择控制规模。多阶段DRO在情景树上的求解可以转化为大规模线性规划。</w:t>
      </w:r>
    </w:p>
    <w:p>
      <w:pPr>
        <w:spacing w:line="360" w:lineRule="auto" w:after="0"/>
        <w:ind w:firstLine="425"/>
      </w:pPr>
      <w:r>
        <w:rPr>
          <w:rFonts w:ascii="Times New Roman" w:hAnsi="Times New Roman" w:eastAsia="宋体"/>
          <w:b w:val="0"/>
          <w:i w:val="0"/>
          <w:sz w:val="22"/>
        </w:rPr>
        <w:t>近似动态规划（ADP）方法将多阶段DRO分解为一系列单阶段问题，通过值函数近似连接各阶段。值函数近似的质量决定了ADP解的精度。线性值函数近似计算高效但精度有限；非线性近似（如神经网络值函数）精度更高但训练困难。</w:t>
      </w:r>
    </w:p>
    <w:p>
      <w:pPr>
        <w:pStyle w:val="Heading3"/>
        <w:spacing w:before="160" w:after="60"/>
      </w:pPr>
      <w:r>
        <w:rPr>
          <w:rFonts w:ascii="Times New Roman" w:hAnsi="Times New Roman" w:eastAsia="黑体"/>
          <w:b/>
          <w:i w:val="0"/>
          <w:sz w:val="24"/>
        </w:rPr>
        <w:t>鲁棒优化与深度学习的融合</w:t>
      </w:r>
    </w:p>
    <w:p>
      <w:pPr>
        <w:spacing w:line="360" w:lineRule="auto" w:after="0"/>
        <w:ind w:firstLine="425"/>
      </w:pPr>
      <w:r>
        <w:rPr>
          <w:rFonts w:ascii="Times New Roman" w:hAnsi="Times New Roman" w:eastAsia="宋体"/>
          <w:b w:val="0"/>
          <w:i w:val="0"/>
          <w:sz w:val="22"/>
        </w:rPr>
        <w:t>深度学习可以从历史数据中学习不确定性集的结构特征，为鲁棒优化提供数据驱动的不确定性集。对抗训练方法通过训练生成器网络生成"最坏"场景，训练判别器网络识别这些场景。生成器和判别器的博弈过程使得生成器学会产生最具挑战性的场景。</w:t>
      </w:r>
    </w:p>
    <w:p>
      <w:pPr>
        <w:spacing w:line="360" w:lineRule="auto" w:after="0"/>
        <w:ind w:firstLine="425"/>
      </w:pPr>
      <w:r>
        <w:rPr>
          <w:rFonts w:ascii="Times New Roman" w:hAnsi="Times New Roman" w:eastAsia="宋体"/>
          <w:b w:val="0"/>
          <w:i w:val="0"/>
          <w:sz w:val="22"/>
        </w:rPr>
        <w:t>在实时定价中，对抗生成的场景可以用于构建鲁棒优化不确定性集。与传统基于统计方法的不确定性集相比，对抗生成的场景能够捕捉更复杂的依赖结构（如非线性和尾部相关性），提供更精确的鲁棒保护。</w:t>
      </w:r>
    </w:p>
    <w:p>
      <w:pPr>
        <w:spacing w:line="360" w:lineRule="auto" w:after="0"/>
        <w:ind w:firstLine="425"/>
      </w:pPr>
      <w:r>
        <w:rPr>
          <w:rFonts w:ascii="Times New Roman" w:hAnsi="Times New Roman" w:eastAsia="宋体"/>
          <w:b w:val="0"/>
          <w:i w:val="0"/>
          <w:sz w:val="22"/>
        </w:rPr>
        <w:t>端到端学习将预测模型和优化模型融合到统一的训练框架中。传统方法分两步：先训练预测模型预测不确定参数，再将预测结果输入优化模型求解。端到端学习直接优化最终决策质量，避免了预测误差和优化误差的累积。</w:t>
      </w:r>
    </w:p>
    <w:p>
      <w:pPr>
        <w:spacing w:line="360" w:lineRule="auto" w:after="0"/>
        <w:ind w:firstLine="425"/>
      </w:pPr>
      <w:r>
        <w:rPr>
          <w:rFonts w:ascii="Times New Roman" w:hAnsi="Times New Roman" w:eastAsia="宋体"/>
          <w:b w:val="0"/>
          <w:i w:val="0"/>
          <w:sz w:val="22"/>
        </w:rPr>
        <w:t>决策聚焦学习（Decision-Focused Learning）是端到端学习的一种实现。损失函数不是预测误差（如MSE），而是决策质量的度量（如成本或遗憾）。这种方法训练的预测模型可能预测精度较低，但产生的决策质量更高，因为它优化的是对决策有用的预测而非一般意义上的准确预测。</w:t>
      </w:r>
    </w:p>
    <w:p>
      <w:pPr>
        <w:pStyle w:val="Heading3"/>
        <w:spacing w:before="160" w:after="60"/>
      </w:pPr>
      <w:r>
        <w:rPr>
          <w:rFonts w:ascii="Times New Roman" w:hAnsi="Times New Roman" w:eastAsia="黑体"/>
          <w:b/>
          <w:i w:val="0"/>
          <w:sz w:val="24"/>
        </w:rPr>
        <w:t>不确定性下的多目标优化</w:t>
      </w:r>
    </w:p>
    <w:p>
      <w:pPr>
        <w:spacing w:line="360" w:lineRule="auto" w:after="0"/>
        <w:ind w:firstLine="425"/>
      </w:pPr>
      <w:r>
        <w:rPr>
          <w:rFonts w:ascii="Times New Roman" w:hAnsi="Times New Roman" w:eastAsia="宋体"/>
          <w:b w:val="0"/>
          <w:i w:val="0"/>
          <w:sz w:val="22"/>
        </w:rPr>
        <w:t>实时定价通常需要同时优化多个目标（成本、排放、可靠性），在不确定性环境下这些目标之间存在复杂的权衡关系。</w:t>
      </w:r>
    </w:p>
    <w:p>
      <w:pPr>
        <w:spacing w:line="360" w:lineRule="auto" w:after="0"/>
        <w:ind w:firstLine="425"/>
      </w:pPr>
      <w:r>
        <w:rPr>
          <w:rFonts w:ascii="Times New Roman" w:hAnsi="Times New Roman" w:eastAsia="宋体"/>
          <w:b w:val="0"/>
          <w:i w:val="0"/>
          <w:sz w:val="22"/>
        </w:rPr>
        <w:t>鲁棒帕累托前沿在不确定性下定义：一个解是鲁棒帕累托最优的，当且仅当不存在另一个解在所有不确定性实现下都至少在一个目标上不差且严格更好。鲁棒帕累托前沿可能比确定性帕累托前沿更宽（更多解被判定为帕累托最优），因为不确定性使得解之间的比较更加模糊。</w:t>
      </w:r>
    </w:p>
    <w:p>
      <w:pPr>
        <w:spacing w:line="360" w:lineRule="auto" w:after="0"/>
        <w:ind w:firstLine="425"/>
      </w:pPr>
      <w:r>
        <w:rPr>
          <w:rFonts w:ascii="Times New Roman" w:hAnsi="Times New Roman" w:eastAsia="宋体"/>
          <w:b w:val="0"/>
          <w:i w:val="0"/>
          <w:sz w:val="22"/>
        </w:rPr>
        <w:t>交互式多目标优化方法允许决策者在求解过程中表达偏好，引导搜索方向。参考点方法要求决策者提供理想的目标值（参考点），算法寻找最接近参考点的帕累托解。在实时定价中，决策者可以设定理想的成本和排放目标，算法在不确定性下寻找最接近理想目标的定价策略。</w:t>
      </w:r>
    </w:p>
    <w:p>
      <w:pPr>
        <w:pStyle w:val="Heading2"/>
        <w:spacing w:before="240" w:after="80"/>
      </w:pPr>
      <w:r>
        <w:rPr>
          <w:rFonts w:ascii="Times New Roman" w:hAnsi="Times New Roman" w:eastAsia="黑体"/>
          <w:b/>
          <w:i w:val="0"/>
          <w:sz w:val="28"/>
        </w:rPr>
        <w:t>8.16 不确定性优化的深化分析</w:t>
      </w:r>
    </w:p>
    <w:p>
      <w:pPr>
        <w:pStyle w:val="Heading3"/>
        <w:spacing w:before="160" w:after="60"/>
      </w:pPr>
      <w:r>
        <w:rPr>
          <w:rFonts w:ascii="Times New Roman" w:hAnsi="Times New Roman" w:eastAsia="黑体"/>
          <w:b/>
          <w:i w:val="0"/>
          <w:sz w:val="24"/>
        </w:rPr>
        <w:t>信用风险与对手方风险</w:t>
      </w:r>
    </w:p>
    <w:p>
      <w:pPr>
        <w:spacing w:line="360" w:lineRule="auto" w:after="0"/>
        <w:ind w:firstLine="425"/>
      </w:pPr>
      <w:r>
        <w:rPr>
          <w:rFonts w:ascii="Times New Roman" w:hAnsi="Times New Roman" w:eastAsia="宋体"/>
          <w:b w:val="0"/>
          <w:i w:val="0"/>
          <w:sz w:val="22"/>
        </w:rPr>
        <w:t>实时定价中的不确定性不仅来自物理系统（负荷、可再生出力），还来自市场参与者的信用风险。当市场参与者的实际用电量偏离日前计划时，需要按偏差结算规则支付偏差费用。如果参与者无法支付偏差费用（违约），系统运营商需要承担损失。</w:t>
      </w:r>
    </w:p>
    <w:p>
      <w:pPr>
        <w:spacing w:line="360" w:lineRule="auto" w:after="0"/>
        <w:ind w:firstLine="425"/>
      </w:pPr>
      <w:r>
        <w:rPr>
          <w:rFonts w:ascii="Times New Roman" w:hAnsi="Times New Roman" w:eastAsia="宋体"/>
          <w:b w:val="0"/>
          <w:i w:val="0"/>
          <w:sz w:val="22"/>
        </w:rPr>
        <w:t>信用风险评估通过参与者的历史行为、财务状况和市场地位评估其违约概率。基于信用评级的保证金制度要求高风险参与者缴纳更多保证金，覆盖潜在违约损失。动态保证金制度根据实时市场波动性调整保证金水平，在市场波动加剧时提高保证金要求。</w:t>
      </w:r>
    </w:p>
    <w:p>
      <w:pPr>
        <w:spacing w:line="360" w:lineRule="auto" w:after="0"/>
        <w:ind w:firstLine="425"/>
      </w:pPr>
      <w:r>
        <w:rPr>
          <w:rFonts w:ascii="Times New Roman" w:hAnsi="Times New Roman" w:eastAsia="宋体"/>
          <w:b w:val="0"/>
          <w:i w:val="0"/>
          <w:sz w:val="22"/>
        </w:rPr>
        <w:t>对手方风险在双边交易中尤为重要。当交易对手违约时，另一方需要通过实时市场弥补差额，可能面临价格不利变化。中央对手方（CCP）清算机制通过CCP作为所有交易的对手方，将对手方风险集中管理。CCP通过保证金制度和违约基金分摊违约损失。</w:t>
      </w:r>
    </w:p>
    <w:p>
      <w:pPr>
        <w:pStyle w:val="Heading3"/>
        <w:spacing w:before="160" w:after="60"/>
      </w:pPr>
      <w:r>
        <w:rPr>
          <w:rFonts w:ascii="Times New Roman" w:hAnsi="Times New Roman" w:eastAsia="黑体"/>
          <w:b/>
          <w:i w:val="0"/>
          <w:sz w:val="24"/>
        </w:rPr>
        <w:t>尾部风险与极端事件建模</w:t>
      </w:r>
    </w:p>
    <w:p>
      <w:pPr>
        <w:spacing w:line="360" w:lineRule="auto" w:after="0"/>
        <w:ind w:firstLine="425"/>
      </w:pPr>
      <w:r>
        <w:rPr>
          <w:rFonts w:ascii="Times New Roman" w:hAnsi="Times New Roman" w:eastAsia="宋体"/>
          <w:b w:val="0"/>
          <w:i w:val="0"/>
          <w:sz w:val="22"/>
        </w:rPr>
        <w:t>传统风险管理方法（如VaR）在处理尾部风险时存在局限性。VaR仅告诉我们在给定置信水平下的最大损失，但不提供超过VaR时的损失分布信息。极端事件（如2021年德州冬季风暴）的损失远超VaR预测，暴露了传统方法的不足。</w:t>
      </w:r>
    </w:p>
    <w:p>
      <w:pPr>
        <w:spacing w:line="360" w:lineRule="auto" w:after="0"/>
        <w:ind w:firstLine="425"/>
      </w:pPr>
      <w:r>
        <w:rPr>
          <w:rFonts w:ascii="Times New Roman" w:hAnsi="Times New Roman" w:eastAsia="宋体"/>
          <w:b w:val="0"/>
          <w:i w:val="0"/>
          <w:sz w:val="22"/>
        </w:rPr>
        <w:t>极值理论（EVT）提供了尾部风险建模的专门工具。广义极值分布（GEV）和广义Pareto分布（GPD）可以拟合极端事件的分布形状。 Peaks-over-threshold（POT）方法对超过高阈值的观测值建模，估计尾部分布的参数。</w:t>
      </w:r>
    </w:p>
    <w:p>
      <w:pPr>
        <w:spacing w:line="360" w:lineRule="auto" w:after="0"/>
        <w:ind w:firstLine="425"/>
      </w:pPr>
      <w:r>
        <w:rPr>
          <w:rFonts w:ascii="Times New Roman" w:hAnsi="Times New Roman" w:eastAsia="宋体"/>
          <w:b w:val="0"/>
          <w:i w:val="0"/>
          <w:sz w:val="22"/>
        </w:rPr>
        <w:t>在实时定价中，EVT可以用于估计极端价格事件的概率和幅度。通过拟合历史极端价格事件的分布，可以预测未来极端价格的发生概率和可能幅度。这种分析为价格上限设定和风险准备金规划提供了定量依据。</w:t>
      </w:r>
    </w:p>
    <w:p>
      <w:pPr>
        <w:spacing w:line="360" w:lineRule="auto" w:after="0"/>
        <w:ind w:firstLine="425"/>
      </w:pPr>
      <w:r>
        <w:rPr>
          <w:rFonts w:ascii="Times New Roman" w:hAnsi="Times New Roman" w:eastAsia="宋体"/>
          <w:b w:val="0"/>
          <w:i w:val="0"/>
          <w:sz w:val="22"/>
        </w:rPr>
        <w:t>压力测试通过构造极端但可能的场景评估系统表现。历史压力测试使用历史极端事件（如2003年美加大停电、2022年欧洲能源危机）作为测试场景。假设性压力测试构造从未发生但可能的极端场景（如多重故障叠加、网络攻击导致大面积停电）。反向压力测试从预设的极端结果出发，逆向推导导致该结果的触发条件。</w:t>
      </w:r>
    </w:p>
    <w:p>
      <w:pPr>
        <w:pStyle w:val="Heading3"/>
        <w:spacing w:before="160" w:after="60"/>
      </w:pPr>
      <w:r>
        <w:rPr>
          <w:rFonts w:ascii="Times New Roman" w:hAnsi="Times New Roman" w:eastAsia="黑体"/>
          <w:b/>
          <w:i w:val="0"/>
          <w:sz w:val="24"/>
        </w:rPr>
        <w:t>不确定性下的投资决策</w:t>
      </w:r>
    </w:p>
    <w:p>
      <w:pPr>
        <w:spacing w:line="360" w:lineRule="auto" w:after="0"/>
        <w:ind w:firstLine="425"/>
      </w:pPr>
      <w:r>
        <w:rPr>
          <w:rFonts w:ascii="Times New Roman" w:hAnsi="Times New Roman" w:eastAsia="宋体"/>
          <w:b w:val="0"/>
          <w:i w:val="0"/>
          <w:sz w:val="22"/>
        </w:rPr>
        <w:t>实时定价基础设施（智能电表、通信网络、数据中心）的投资决策需要在不确定性下做出。投资成本是确定性的（一次性投入），但投资收益是不确定的（取决于未来电价、用户参与率、技术进步等因素）。</w:t>
      </w:r>
    </w:p>
    <w:p>
      <w:pPr>
        <w:spacing w:line="360" w:lineRule="auto" w:after="0"/>
        <w:ind w:firstLine="425"/>
      </w:pPr>
      <w:r>
        <w:rPr>
          <w:rFonts w:ascii="Times New Roman" w:hAnsi="Times New Roman" w:eastAsia="宋体"/>
          <w:b w:val="0"/>
          <w:i w:val="0"/>
          <w:sz w:val="22"/>
        </w:rPr>
        <w:t>实物期权理论为不确定性下的投资决策提供了分析框架。实物期权将投资机会比作金融期权：投资相当于执行看涨期权，延迟投资相当于持有期权。期权价值反映了等待更多信息的价值，当不确定性高时期权价值大，应延迟投资；当不确定性降低或投资窗口即将关闭时，应执行投资。</w:t>
      </w:r>
    </w:p>
    <w:p>
      <w:pPr>
        <w:spacing w:line="360" w:lineRule="auto" w:after="0"/>
        <w:ind w:firstLine="425"/>
      </w:pPr>
      <w:r>
        <w:rPr>
          <w:rFonts w:ascii="Times New Roman" w:hAnsi="Times New Roman" w:eastAsia="宋体"/>
          <w:b w:val="0"/>
          <w:i w:val="0"/>
          <w:sz w:val="22"/>
        </w:rPr>
        <w:t>阶段性投资策略将大型投资分解为多个阶段，每个阶段根据前一阶段的结果决定是否继续。这种策略限制了下行风险（最多损失已投入的资金），同时保留了上行机会（如果结果好则继续投资）。在实时定价推广中，可以先在小范围试点投资，根据试点效果决定是否扩大投资规模。</w:t>
      </w:r>
    </w:p>
    <w:p>
      <w:pPr>
        <w:pStyle w:val="Heading3"/>
        <w:spacing w:before="160" w:after="60"/>
      </w:pPr>
      <w:r>
        <w:rPr>
          <w:rFonts w:ascii="Times New Roman" w:hAnsi="Times New Roman" w:eastAsia="黑体"/>
          <w:b/>
          <w:i w:val="0"/>
          <w:sz w:val="24"/>
        </w:rPr>
        <w:t>多周期不确定性优化</w:t>
      </w:r>
    </w:p>
    <w:p>
      <w:pPr>
        <w:spacing w:line="360" w:lineRule="auto" w:after="0"/>
        <w:ind w:firstLine="425"/>
      </w:pPr>
      <w:r>
        <w:rPr>
          <w:rFonts w:ascii="Times New Roman" w:hAnsi="Times New Roman" w:eastAsia="宋体"/>
          <w:b w:val="0"/>
          <w:i w:val="0"/>
          <w:sz w:val="22"/>
        </w:rPr>
        <w:t>实时定价涉及多周期决策，每个周期的决策影响后续周期的系统状态。多周期不确定性优化需要考虑不确定性在时间维度上的演化。</w:t>
      </w:r>
    </w:p>
    <w:p>
      <w:pPr>
        <w:spacing w:line="360" w:lineRule="auto" w:after="0"/>
        <w:ind w:firstLine="425"/>
      </w:pPr>
      <w:r>
        <w:rPr>
          <w:rFonts w:ascii="Times New Roman" w:hAnsi="Times New Roman" w:eastAsia="宋体"/>
          <w:b w:val="0"/>
          <w:i w:val="0"/>
          <w:sz w:val="22"/>
        </w:rPr>
        <w:t>多阶段随机规划将多周期决策建模为场景树，每个节点对应一个决策点，每条路径对应一种不确定性实现。决策在每个节点做出，考虑所有可能的后续路径。这种方法可以处理时间相关性，但场景树规模随周期数指数增长。</w:t>
      </w:r>
    </w:p>
    <w:p>
      <w:pPr>
        <w:spacing w:line="360" w:lineRule="auto" w:after="0"/>
        <w:ind w:firstLine="425"/>
      </w:pPr>
      <w:r>
        <w:rPr>
          <w:rFonts w:ascii="Times New Roman" w:hAnsi="Times New Roman" w:eastAsia="宋体"/>
          <w:b w:val="0"/>
          <w:i w:val="0"/>
          <w:sz w:val="22"/>
        </w:rPr>
        <w:t>随机动态规划将多周期问题分解为单周期子问题，通过值函数连接各周期。值函数近似（如线性近似、神经网络近似）可以处理高维状态空间。这种方法计算效率高，但近似精度依赖于值函数近似的质量。</w:t>
      </w:r>
    </w:p>
    <w:p>
      <w:pPr>
        <w:spacing w:line="360" w:lineRule="auto" w:after="0"/>
        <w:ind w:firstLine="425"/>
      </w:pPr>
      <w:r>
        <w:rPr>
          <w:rFonts w:ascii="Times New Roman" w:hAnsi="Times New Roman" w:eastAsia="宋体"/>
          <w:b w:val="0"/>
          <w:i w:val="0"/>
          <w:sz w:val="22"/>
        </w:rPr>
        <w:t>鲁棒多周期优化考虑最坏不确定性实现下的多周期决策。滚动时域鲁棒优化在每个周期重新求解有限时域鲁棒优化问题，仅执行第一个周期的决策。这种方法平衡了鲁棒性和适应性，是实际部署中最常用的方法。</w:t>
      </w:r>
    </w:p>
    <w:p>
      <w:pPr>
        <w:pStyle w:val="Heading2"/>
        <w:spacing w:before="240" w:after="80"/>
      </w:pPr>
      <w:r>
        <w:rPr>
          <w:rFonts w:ascii="Times New Roman" w:hAnsi="Times New Roman" w:eastAsia="黑体"/>
          <w:b/>
          <w:i w:val="0"/>
          <w:sz w:val="28"/>
        </w:rPr>
        <w:t>思考题</w:t>
      </w:r>
    </w:p>
    <w:p>
      <w:pPr>
        <w:pStyle w:val="ListNumber"/>
        <w:spacing w:line="360" w:lineRule="auto" w:after="0"/>
      </w:pPr>
      <w:r>
        <w:rPr>
          <w:rFonts w:ascii="Times New Roman" w:hAnsi="Times New Roman" w:eastAsia="宋体"/>
          <w:b w:val="0"/>
          <w:i w:val="0"/>
          <w:sz w:val="22"/>
        </w:rPr>
        <w:t>比较Q-learning、DQN和PPO三种强化学习算法在实时定价中的适用性，分析各自的优缺点。</w:t>
      </w:r>
    </w:p>
    <w:p>
      <w:pPr>
        <w:pStyle w:val="ListNumber"/>
        <w:spacing w:line="360" w:lineRule="auto" w:after="0"/>
      </w:pPr>
      <w:r>
        <w:rPr>
          <w:rFonts w:ascii="Times New Roman" w:hAnsi="Times New Roman" w:eastAsia="宋体"/>
          <w:b w:val="0"/>
          <w:i w:val="0"/>
          <w:sz w:val="22"/>
        </w:rPr>
        <w:t>设计一个基于MADDPG的多区域实时定价MARL框架，包括状态空间、动作空间、奖励函数和训练流程。</w:t>
      </w:r>
    </w:p>
    <w:p>
      <w:pPr>
        <w:pStyle w:val="ListNumber"/>
        <w:spacing w:line="360" w:lineRule="auto" w:after="0"/>
      </w:pPr>
      <w:r>
        <w:rPr>
          <w:rFonts w:ascii="Times New Roman" w:hAnsi="Times New Roman" w:eastAsia="宋体"/>
          <w:b w:val="0"/>
          <w:i w:val="0"/>
          <w:sz w:val="22"/>
        </w:rPr>
        <w:t>讨论安全强化学习在实时定价中的必要性，分析CMDP框架和shielded RL两种方法的约束保障机制。</w:t>
      </w:r>
    </w:p>
    <w:p>
      <w:pPr>
        <w:pStyle w:val="ListNumber"/>
        <w:spacing w:line="360" w:lineRule="auto" w:after="0"/>
      </w:pPr>
      <w:r>
        <w:rPr>
          <w:rFonts w:ascii="Times New Roman" w:hAnsi="Times New Roman" w:eastAsia="宋体"/>
          <w:b w:val="0"/>
          <w:i w:val="0"/>
          <w:sz w:val="22"/>
        </w:rPr>
        <w:t>分析离线强化学习（如CQL）在利用历史定价数据训练策略时的优势与挑战。</w:t>
      </w:r>
    </w:p>
    <w:p>
      <w:pPr>
        <w:pStyle w:val="ListNumber"/>
        <w:spacing w:line="360" w:lineRule="auto" w:after="0"/>
      </w:pPr>
      <w:r>
        <w:rPr>
          <w:rFonts w:ascii="Times New Roman" w:hAnsi="Times New Roman" w:eastAsia="宋体"/>
          <w:b w:val="0"/>
          <w:i w:val="0"/>
          <w:sz w:val="22"/>
        </w:rPr>
        <w:t>讨论强化学习定价算法的可解释性问题，提出至少两种提升可解释性的技术方案。</w:t>
      </w:r>
    </w:p>
    <w:p>
      <w:pPr>
        <w:pStyle w:val="Heading3"/>
        <w:spacing w:before="160" w:after="60"/>
      </w:pPr>
      <w:r>
        <w:rPr>
          <w:rFonts w:ascii="Times New Roman" w:hAnsi="Times New Roman" w:eastAsia="黑体"/>
          <w:b/>
          <w:i w:val="0"/>
          <w:sz w:val="24"/>
        </w:rPr>
        <w:t>补充讨论</w:t>
      </w:r>
    </w:p>
    <w:p>
      <w:pPr>
        <w:spacing w:line="360" w:lineRule="auto" w:after="0"/>
        <w:ind w:firstLine="425"/>
      </w:pPr>
      <w:r>
        <w:rPr>
          <w:rFonts w:ascii="Times New Roman" w:hAnsi="Times New Roman" w:eastAsia="宋体"/>
          <w:b w:val="0"/>
          <w:i w:val="0"/>
          <w:sz w:val="22"/>
        </w:rPr>
        <w:t>此外，Sutton R S, Barto A G. Reinforcement Learning: An Introduction[M]. 2nd ed. MIT Press, 2018.。这些研究为本章的理论框架提供了重要的方法论支撑</w:t>
      </w:r>
      <w:r>
        <w:rPr>
          <w:rFonts w:ascii="Times New Roman" w:hAnsi="Times New Roman" w:eastAsia="Times New Roman"/>
          <w:b w:val="0"/>
          <w:i w:val="0"/>
          <w:sz w:val="18"/>
          <w:vertAlign w:val="superscript"/>
        </w:rPr>
        <w:t>[9]</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此外，Mnih V, Kavukcuoglu K, Silver D, et al. Human-level control through deep reinforcement learning[J]. 。这些研究为本章的理论框架提供了重要的方法论支撑</w:t>
      </w:r>
      <w:r>
        <w:rPr>
          <w:rFonts w:ascii="Times New Roman" w:hAnsi="Times New Roman" w:eastAsia="Times New Roman"/>
          <w:b w:val="0"/>
          <w:i w:val="0"/>
          <w:sz w:val="18"/>
          <w:vertAlign w:val="superscript"/>
        </w:rPr>
        <w:t>[10]</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此外，Schulman J, Wolski F, Dhariwal P, et al. Proximal policy optimization algorithms[J]. arXiv preprint 。这些研究为本章的理论框架提供了重要的方法论支撑</w:t>
      </w:r>
      <w:r>
        <w:rPr>
          <w:rFonts w:ascii="Times New Roman" w:hAnsi="Times New Roman" w:eastAsia="Times New Roman"/>
          <w:b w:val="0"/>
          <w:i w:val="0"/>
          <w:sz w:val="18"/>
          <w:vertAlign w:val="superscript"/>
        </w:rPr>
        <w:t>[11]</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此外，Lowe R, Wu Y, Tamar A, et al. Multi-agent actor-critic for mixed cooperative-competitive environment。这些研究为本章的理论框架提供了重要的方法论支撑</w:t>
      </w:r>
      <w:r>
        <w:rPr>
          <w:rFonts w:ascii="Times New Roman" w:hAnsi="Times New Roman" w:eastAsia="Times New Roman"/>
          <w:b w:val="0"/>
          <w:i w:val="0"/>
          <w:sz w:val="18"/>
          <w:vertAlign w:val="superscript"/>
        </w:rPr>
        <w:t>[12]</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8.6.1 强化学习定价的安全约束</w:t>
      </w:r>
    </w:p>
    <w:p>
      <w:pPr>
        <w:spacing w:line="360" w:lineRule="auto" w:after="0"/>
        <w:ind w:firstLine="425"/>
      </w:pPr>
      <w:r>
        <w:rPr>
          <w:rFonts w:ascii="Times New Roman" w:hAnsi="Times New Roman" w:eastAsia="宋体"/>
          <w:b w:val="0"/>
          <w:i w:val="0"/>
          <w:sz w:val="22"/>
        </w:rPr>
        <w:t>强化学习在实时定价中的应用面临安全约束的挑战。传统RL算法通过试错学习最优策略，但电力系统不允许危险的试错行为——错误的价格信号可能导致负荷失控、设备损坏甚至大面积停电。安全强化学习（Safe RL）方法通过约束学习过程来保证安全性。</w:t>
      </w:r>
    </w:p>
    <w:p>
      <w:pPr>
        <w:spacing w:line="360" w:lineRule="auto" w:after="0"/>
        <w:ind w:firstLine="425"/>
      </w:pPr>
      <w:r>
        <w:rPr>
          <w:rFonts w:ascii="Times New Roman" w:hAnsi="Times New Roman" w:eastAsia="宋体"/>
          <w:b/>
          <w:i w:val="0"/>
          <w:sz w:val="22"/>
        </w:rPr>
        <w:t>约束马尔可夫决策过程（CMDP）</w:t>
      </w:r>
      <w:r>
        <w:rPr>
          <w:rFonts w:ascii="Times New Roman" w:hAnsi="Times New Roman" w:eastAsia="宋体"/>
          <w:b w:val="0"/>
          <w:i w:val="0"/>
          <w:sz w:val="22"/>
        </w:rPr>
        <w:t>：在标准MDP基础上添加成本约束，要求期望累计成本不超过阈值。在实时定价中，成本可以定义为价格超过上限的惩罚或供电不足的严重程度。CMDP的求解方法包括拉格朗日松弛法和原对偶方法。拉格朗日松弛将约束转化为目标函数中的惩罚项，通过调整拉格朗日乘子逐步满足约束。原对偶方法同时更新策略和乘子，收敛性更好但实现更复杂。</w:t>
      </w:r>
    </w:p>
    <w:p>
      <w:pPr>
        <w:spacing w:line="360" w:lineRule="auto" w:after="0"/>
        <w:ind w:firstLine="425"/>
      </w:pPr>
      <w:r>
        <w:rPr>
          <w:rFonts w:ascii="Times New Roman" w:hAnsi="Times New Roman" w:eastAsia="宋体"/>
          <w:b/>
          <w:i w:val="0"/>
          <w:sz w:val="22"/>
        </w:rPr>
        <w:t>屏蔽机制（Action Shielding）</w:t>
      </w:r>
      <w:r>
        <w:rPr>
          <w:rFonts w:ascii="Times New Roman" w:hAnsi="Times New Roman" w:eastAsia="宋体"/>
          <w:b w:val="0"/>
          <w:i w:val="0"/>
          <w:sz w:val="22"/>
        </w:rPr>
        <w:t>：在执行RL策略之前，通过安全验证器检查动作是否违反约束。如果违反，则用安全回退策略替代。这种方法确保了RL系统在任何情况下都不会执行危险操作，但可能限制策略的探索空间。在实时定价中，安全验证器可以检查价格是否在允许范围内、负荷转移是否超过设备容量等。</w:t>
      </w:r>
    </w:p>
    <w:p>
      <w:pPr>
        <w:spacing w:line="360" w:lineRule="auto" w:after="0"/>
        <w:ind w:firstLine="425"/>
      </w:pPr>
      <w:r>
        <w:rPr>
          <w:rFonts w:ascii="Times New Roman" w:hAnsi="Times New Roman" w:eastAsia="宋体"/>
          <w:b/>
          <w:i w:val="0"/>
          <w:sz w:val="22"/>
        </w:rPr>
        <w:t>鲁棒强化学习</w:t>
      </w:r>
      <w:r>
        <w:rPr>
          <w:rFonts w:ascii="Times New Roman" w:hAnsi="Times New Roman" w:eastAsia="宋体"/>
          <w:b w:val="0"/>
          <w:i w:val="0"/>
          <w:sz w:val="22"/>
        </w:rPr>
        <w:t>：在训练过程中考虑模型不确定性和对抗扰动，使学到的策略对环境变化具有鲁棒性。鲁棒RL方法包括对抗训练、域随机化和不确定性量化等。在实时定价中，用户行为模型的误差和可再生能源预测的不确定性是主要的不确定性来源。</w:t>
      </w:r>
    </w:p>
    <w:p>
      <w:pPr>
        <w:pStyle w:val="Heading3"/>
        <w:spacing w:before="160" w:after="60"/>
      </w:pPr>
      <w:r>
        <w:rPr>
          <w:rFonts w:ascii="Times New Roman" w:hAnsi="Times New Roman" w:eastAsia="黑体"/>
          <w:b/>
          <w:i w:val="0"/>
          <w:sz w:val="24"/>
        </w:rPr>
        <w:t>8.6.2 联邦学习与隐私保护定价</w:t>
      </w:r>
    </w:p>
    <w:p>
      <w:pPr>
        <w:spacing w:line="360" w:lineRule="auto" w:after="0"/>
        <w:ind w:firstLine="425"/>
      </w:pPr>
      <w:r>
        <w:rPr>
          <w:rFonts w:ascii="Times New Roman" w:hAnsi="Times New Roman" w:eastAsia="宋体"/>
          <w:b w:val="0"/>
          <w:i w:val="0"/>
          <w:sz w:val="22"/>
        </w:rPr>
        <w:t>实时定价的强化学习方法需要收集用户的用电数据来训练行为模型，这引发了隐私保护问题。联邦学习（Federated Learning）为隐私保护定价提供了技术方案。</w:t>
      </w:r>
    </w:p>
    <w:p>
      <w:pPr>
        <w:spacing w:line="360" w:lineRule="auto" w:after="0"/>
        <w:ind w:firstLine="425"/>
      </w:pPr>
      <w:r>
        <w:rPr>
          <w:rFonts w:ascii="Times New Roman" w:hAnsi="Times New Roman" w:eastAsia="宋体"/>
          <w:b w:val="0"/>
          <w:i w:val="0"/>
          <w:sz w:val="22"/>
        </w:rPr>
        <w:t>在联邦学习框架中，各用户在本地使用自己的数据训练模型，仅将模型参数（而非原始数据）上传到中央服务器进行聚合。服务器通过联邦平均（FedAvg）等算法聚合各用户的模型参数，得到全局模型。这种方式下，用户的原始用电数据不离开本地设备，有效保护了隐私。</w:t>
      </w:r>
    </w:p>
    <w:p>
      <w:pPr>
        <w:spacing w:line="360" w:lineRule="auto" w:after="0"/>
        <w:ind w:firstLine="425"/>
      </w:pPr>
      <w:r>
        <w:rPr>
          <w:rFonts w:ascii="Times New Roman" w:hAnsi="Times New Roman" w:eastAsia="宋体"/>
          <w:b w:val="0"/>
          <w:i w:val="0"/>
          <w:sz w:val="22"/>
        </w:rPr>
        <w:t>联邦学习在实时定价中的应用面临以下挑战：(1)用户数据的非独立同分布（Non-IID）特性导致模型训练不稳定；(2)用户参与度不一致（部分用户可能频繁离线）影响模型质量；(3)通信开销限制了模型的更新频率。针对这些挑战，个性化联邦学习和异步联邦学习等方法被提出。</w:t>
      </w:r>
    </w:p>
    <w:p>
      <w:pPr>
        <w:pStyle w:val="Heading3"/>
        <w:spacing w:before="160" w:after="60"/>
      </w:pPr>
      <w:r>
        <w:rPr>
          <w:rFonts w:ascii="Times New Roman" w:hAnsi="Times New Roman" w:eastAsia="黑体"/>
          <w:b/>
          <w:i w:val="0"/>
          <w:sz w:val="24"/>
        </w:rPr>
        <w:t>8.6.3 深度强化学习的最新进展</w:t>
      </w:r>
    </w:p>
    <w:p>
      <w:pPr>
        <w:spacing w:line="360" w:lineRule="auto" w:after="0"/>
        <w:ind w:firstLine="425"/>
      </w:pPr>
      <w:r>
        <w:rPr>
          <w:rFonts w:ascii="Times New Roman" w:hAnsi="Times New Roman" w:eastAsia="宋体"/>
          <w:b w:val="0"/>
          <w:i w:val="0"/>
          <w:sz w:val="22"/>
        </w:rPr>
        <w:t>深度强化学习在实时定价领域的应用正在快速发展。2023年以来，多个研究方向取得了重要进展。</w:t>
      </w:r>
    </w:p>
    <w:p>
      <w:pPr>
        <w:spacing w:line="360" w:lineRule="auto" w:after="0"/>
        <w:ind w:firstLine="425"/>
      </w:pPr>
      <w:r>
        <w:rPr>
          <w:rFonts w:ascii="Times New Roman" w:hAnsi="Times New Roman" w:eastAsia="宋体"/>
          <w:b/>
          <w:i w:val="0"/>
          <w:sz w:val="22"/>
        </w:rPr>
        <w:t>离线强化学习</w:t>
      </w:r>
      <w:r>
        <w:rPr>
          <w:rFonts w:ascii="Times New Roman" w:hAnsi="Times New Roman" w:eastAsia="宋体"/>
          <w:b w:val="0"/>
          <w:i w:val="0"/>
          <w:sz w:val="22"/>
        </w:rPr>
        <w:t>：传统RL需要与环境在线交互来收集训练数据，但在线试错在电力系统中成本高昂且有风险。离线RL从历史数据中学习策略，无需在线交互。Conservative Q-Learning（CQL）和Decision Transformer是代表性的离线RL方法。在实时定价中，离线RL可利用历史电价和负荷数据训练定价策略，然后在在线环境中部署。</w:t>
      </w:r>
    </w:p>
    <w:p>
      <w:pPr>
        <w:spacing w:line="360" w:lineRule="auto" w:after="0"/>
        <w:ind w:firstLine="425"/>
      </w:pPr>
      <w:r>
        <w:rPr>
          <w:rFonts w:ascii="Times New Roman" w:hAnsi="Times New Roman" w:eastAsia="宋体"/>
          <w:b/>
          <w:i w:val="0"/>
          <w:sz w:val="22"/>
        </w:rPr>
        <w:t>多智能体强化学习（MARL）的进展</w:t>
      </w:r>
      <w:r>
        <w:rPr>
          <w:rFonts w:ascii="Times New Roman" w:hAnsi="Times New Roman" w:eastAsia="宋体"/>
          <w:b w:val="0"/>
          <w:i w:val="0"/>
          <w:sz w:val="22"/>
        </w:rPr>
        <w:t>：MAPPO（Multi-Agent PPO）和QMIX等算法在多智能体协作中表现优异。在多零售商竞争定价场景中，MARL可学习到接近纳什均衡的定价策略。QMIX通过单调性假设保证了中心化训练的收敛性，同时支持分布式执行。</w:t>
      </w:r>
    </w:p>
    <w:p>
      <w:pPr>
        <w:spacing w:line="360" w:lineRule="auto" w:after="0"/>
        <w:ind w:firstLine="425"/>
      </w:pPr>
      <w:r>
        <w:rPr>
          <w:rFonts w:ascii="Times New Roman" w:hAnsi="Times New Roman" w:eastAsia="宋体"/>
          <w:b/>
          <w:i w:val="0"/>
          <w:sz w:val="22"/>
        </w:rPr>
        <w:t>基于Transformer的RL</w:t>
      </w:r>
      <w:r>
        <w:rPr>
          <w:rFonts w:ascii="Times New Roman" w:hAnsi="Times New Roman" w:eastAsia="宋体"/>
          <w:b w:val="0"/>
          <w:i w:val="0"/>
          <w:sz w:val="22"/>
        </w:rPr>
        <w:t>：Decision Transformer将RL重新表述为序列建模问题——给定期望回报、历史状态和动作，通过自回归模型预测下一步动作。这种方法利用了Transformer在大规模序列建模上的优势，在长期依赖和信用分配方面优于传统RL。在实时定价中，Decision Transformer可捕捉电价、负荷和天气的长程时序依赖，提高定价策略的连贯性。</w:t>
      </w:r>
    </w:p>
    <w:p>
      <w:pPr>
        <w:spacing w:line="360" w:lineRule="auto" w:after="0"/>
        <w:ind w:firstLine="425"/>
      </w:pPr>
      <w:r>
        <w:rPr>
          <w:rFonts w:ascii="Times New Roman" w:hAnsi="Times New Roman" w:eastAsia="宋体"/>
          <w:b/>
          <w:i w:val="0"/>
          <w:sz w:val="22"/>
        </w:rPr>
        <w:t>安全强化学习的实践</w:t>
      </w:r>
      <w:r>
        <w:rPr>
          <w:rFonts w:ascii="Times New Roman" w:hAnsi="Times New Roman" w:eastAsia="宋体"/>
          <w:b w:val="0"/>
          <w:i w:val="0"/>
          <w:sz w:val="22"/>
        </w:rPr>
        <w:t>：Constrained Policy Optimization（CPO）和RCPO等算法在保证安全约束的前提下优化策略。在实时定价的试点部署中，安全RL确保电价不超过监管上限、负荷转移不超过设备容量。这些算法已在部分电力公司的DR项目中进行了验证。</w:t>
      </w:r>
    </w:p>
    <w:p>
      <w:pPr>
        <w:pStyle w:val="Heading2"/>
        <w:spacing w:before="240" w:after="80"/>
      </w:pPr>
      <w:r>
        <w:rPr>
          <w:rFonts w:ascii="Times New Roman" w:hAnsi="Times New Roman" w:eastAsia="黑体"/>
          <w:b/>
          <w:i w:val="0"/>
          <w:sz w:val="28"/>
        </w:rPr>
        <w:t>参考文献</w:t>
      </w:r>
    </w:p>
    <w:p>
      <w:pPr>
        <w:spacing w:after="40" w:line="276" w:lineRule="auto"/>
        <w:ind w:left="425" w:hanging="425"/>
      </w:pPr>
      <w:r>
        <w:rPr>
          <w:rFonts w:ascii="Times New Roman" w:hAnsi="Times New Roman" w:eastAsia="宋体"/>
          <w:b w:val="0"/>
          <w:i w:val="0"/>
          <w:sz w:val="20"/>
        </w:rPr>
        <w:t>[1] 王宏杰, 等. 强化学习实时定价研究[J]. 电力系统保护与控制, 2022.</w:t>
      </w:r>
    </w:p>
    <w:p>
      <w:pPr>
        <w:spacing w:after="40" w:line="276" w:lineRule="auto"/>
        <w:ind w:left="425" w:hanging="425"/>
      </w:pPr>
      <w:r>
        <w:rPr>
          <w:rFonts w:ascii="Times New Roman" w:hAnsi="Times New Roman" w:eastAsia="宋体"/>
          <w:b w:val="0"/>
          <w:i w:val="0"/>
          <w:sz w:val="20"/>
        </w:rPr>
        <w:t>[2] 李军祥, 高岩, 朱红波. 马尔可夫决策过程下的智能电网实时电价模型[J]. 系统工程理论与实践, 2016, 36(8): 2035-2042.</w:t>
      </w:r>
    </w:p>
    <w:p>
      <w:pPr>
        <w:spacing w:after="40" w:line="276" w:lineRule="auto"/>
        <w:ind w:left="425" w:hanging="425"/>
      </w:pPr>
      <w:r>
        <w:rPr>
          <w:rFonts w:ascii="Times New Roman" w:hAnsi="Times New Roman" w:eastAsia="宋体"/>
          <w:b w:val="0"/>
          <w:i w:val="0"/>
          <w:sz w:val="20"/>
        </w:rPr>
        <w:t>[3] 朱红波, 高岩, 代业明. 马尔可夫过程下多类用户智能电网实时电价[J]. 电力系统保护与控制, 2018, 46(2): 28-35.</w:t>
      </w:r>
    </w:p>
    <w:p>
      <w:pPr>
        <w:spacing w:after="40" w:line="276" w:lineRule="auto"/>
        <w:ind w:left="425" w:hanging="425"/>
      </w:pPr>
      <w:r>
        <w:rPr>
          <w:rFonts w:ascii="Times New Roman" w:hAnsi="Times New Roman" w:eastAsia="宋体"/>
          <w:b w:val="0"/>
          <w:i w:val="0"/>
          <w:sz w:val="20"/>
        </w:rPr>
        <w:t>[4] 朱红波. 考虑风险的智能电网实时电价定价策略[J]. 电力系统保护与控制, 2018, 46(4): 35-42.</w:t>
      </w:r>
    </w:p>
    <w:p>
      <w:pPr>
        <w:spacing w:after="40" w:line="276" w:lineRule="auto"/>
        <w:ind w:left="425" w:hanging="425"/>
      </w:pPr>
      <w:r>
        <w:rPr>
          <w:rFonts w:ascii="Times New Roman" w:hAnsi="Times New Roman" w:eastAsia="宋体"/>
          <w:b w:val="0"/>
          <w:i w:val="0"/>
          <w:sz w:val="20"/>
        </w:rPr>
        <w:t>[5] Kim B G, Zhang Y, van der Schaar M, et al. Dynamic Pricing for Smart Grid with Reinforcement Learning[C]. IEEE INFOCOM Workshop, 2014: 640-645.</w:t>
      </w:r>
    </w:p>
    <w:p>
      <w:pPr>
        <w:spacing w:after="40" w:line="276" w:lineRule="auto"/>
        <w:ind w:left="425" w:hanging="425"/>
      </w:pPr>
      <w:r>
        <w:rPr>
          <w:rFonts w:ascii="Times New Roman" w:hAnsi="Times New Roman" w:eastAsia="宋体"/>
          <w:b w:val="0"/>
          <w:i w:val="0"/>
          <w:sz w:val="20"/>
        </w:rPr>
        <w:t>[6] Lee J, Wang W, Niyato D. Demand-Side Scheduling Based on Deep Actor-Critic Learning for Smart Grids[J]. IEEE ICC, 2020.</w:t>
      </w:r>
    </w:p>
    <w:p>
      <w:pPr>
        <w:spacing w:after="40" w:line="276" w:lineRule="auto"/>
        <w:ind w:left="425" w:hanging="425"/>
      </w:pPr>
      <w:r>
        <w:rPr>
          <w:rFonts w:ascii="Times New Roman" w:hAnsi="Times New Roman" w:eastAsia="宋体"/>
          <w:b w:val="0"/>
          <w:i w:val="0"/>
          <w:sz w:val="20"/>
        </w:rPr>
        <w:t>[7] Lu R, Hong S H. A Dynamic Pricing Demand Response Algorithm for Smart Grid: Reinforcement Learning Approach[J]. Applied Energy, 2019, 220: 220-230.</w:t>
      </w:r>
    </w:p>
    <w:p>
      <w:pPr>
        <w:spacing w:after="40" w:line="276" w:lineRule="auto"/>
        <w:ind w:left="425" w:hanging="425"/>
      </w:pPr>
      <w:r>
        <w:rPr>
          <w:rFonts w:ascii="Times New Roman" w:hAnsi="Times New Roman" w:eastAsia="宋体"/>
          <w:b w:val="0"/>
          <w:i w:val="0"/>
          <w:sz w:val="20"/>
        </w:rPr>
        <w:t>[8] Ghasemi A, et al. A Multi-Agent Deep Reinforcement Learning Approach for a Distributed Energy Marketplace in Smart Grids[J]. arXiv preprint, 2020.</w:t>
      </w:r>
    </w:p>
    <w:p>
      <w:pPr>
        <w:spacing w:after="40" w:line="276" w:lineRule="auto"/>
        <w:ind w:left="425" w:hanging="425"/>
      </w:pPr>
      <w:r>
        <w:rPr>
          <w:rFonts w:ascii="Times New Roman" w:hAnsi="Times New Roman" w:eastAsia="宋体"/>
          <w:b w:val="0"/>
          <w:i w:val="0"/>
          <w:sz w:val="20"/>
        </w:rPr>
        <w:t>[9] Sutton R S, Barto A G. Reinforcement Learning: An Introduction[M]. 2nd ed. MIT Press, 2018.</w:t>
      </w:r>
    </w:p>
    <w:p>
      <w:pPr>
        <w:spacing w:after="40" w:line="276" w:lineRule="auto"/>
        <w:ind w:left="425" w:hanging="425"/>
      </w:pPr>
      <w:r>
        <w:rPr>
          <w:rFonts w:ascii="Times New Roman" w:hAnsi="Times New Roman" w:eastAsia="宋体"/>
          <w:b w:val="0"/>
          <w:i w:val="0"/>
          <w:sz w:val="20"/>
        </w:rPr>
        <w:t>[10] Mnih V, Kavukcuoglu K, Silver D, et al. Human-level control through deep reinforcement learning[J]. Nature, 2015, 518(7540): 529-533.</w:t>
      </w:r>
    </w:p>
    <w:p>
      <w:pPr>
        <w:spacing w:after="40" w:line="276" w:lineRule="auto"/>
        <w:ind w:left="425" w:hanging="425"/>
      </w:pPr>
      <w:r>
        <w:rPr>
          <w:rFonts w:ascii="Times New Roman" w:hAnsi="Times New Roman" w:eastAsia="宋体"/>
          <w:b w:val="0"/>
          <w:i w:val="0"/>
          <w:sz w:val="20"/>
        </w:rPr>
        <w:t>[11] Schulman J, Wolski F, Dhariwal P, et al. Proximal policy optimization algorithms[J]. arXiv preprint arXiv:1707.06347, 2017.</w:t>
      </w:r>
    </w:p>
    <w:p>
      <w:pPr>
        <w:spacing w:after="40" w:line="276" w:lineRule="auto"/>
        <w:ind w:left="425" w:hanging="425"/>
      </w:pPr>
      <w:r>
        <w:rPr>
          <w:rFonts w:ascii="Times New Roman" w:hAnsi="Times New Roman" w:eastAsia="宋体"/>
          <w:b w:val="0"/>
          <w:i w:val="0"/>
          <w:sz w:val="20"/>
        </w:rPr>
        <w:t>[12] Lowe R, Wu Y, Tamar A, et al. Multi-agent actor-critic for mixed cooperative-competitive environments[J]. NeurIPS, 2017.</w:t>
      </w:r>
    </w:p>
    <w:p>
      <w:pPr>
        <w:jc w:val="center"/>
      </w:pPr>
      <w:r>
        <w:drawing>
          <wp:inline xmlns:a="http://schemas.openxmlformats.org/drawingml/2006/main" xmlns:pic="http://schemas.openxmlformats.org/drawingml/2006/picture">
            <wp:extent cx="5029200" cy="3119377"/>
            <wp:docPr id="6" name="Picture 6"/>
            <wp:cNvGraphicFramePr>
              <a:graphicFrameLocks noChangeAspect="1"/>
            </wp:cNvGraphicFramePr>
            <a:graphic>
              <a:graphicData uri="http://schemas.openxmlformats.org/drawingml/2006/picture">
                <pic:pic>
                  <pic:nvPicPr>
                    <pic:cNvPr id="0" name="07_rl_vs_traditional.png"/>
                    <pic:cNvPicPr/>
                  </pic:nvPicPr>
                  <pic:blipFill>
                    <a:blip r:embed="rId14"/>
                    <a:stretch>
                      <a:fillRect/>
                    </a:stretch>
                  </pic:blipFill>
                  <pic:spPr>
                    <a:xfrm>
                      <a:off x="0" y="0"/>
                      <a:ext cx="5029200" cy="3119377"/>
                    </a:xfrm>
                    <a:prstGeom prst="rect"/>
                  </pic:spPr>
                </pic:pic>
              </a:graphicData>
            </a:graphic>
          </wp:inline>
        </w:drawing>
      </w:r>
    </w:p>
    <w:p>
      <w:pPr>
        <w:jc w:val="center"/>
      </w:pPr>
      <w:r>
        <w:rPr>
          <w:rFonts w:ascii="Times New Roman" w:hAnsi="Times New Roman" w:eastAsia="黑体"/>
          <w:b/>
          <w:i w:val="0"/>
          <w:color w:val="606060"/>
          <w:sz w:val="20"/>
        </w:rPr>
        <w:t>图7 强化学习与传统优化定价性能对比</w:t>
      </w:r>
    </w:p>
    <w:p>
      <w:r>
        <w:br w:type="page"/>
      </w:r>
    </w:p>
    <w:p>
      <w:pPr>
        <w:pStyle w:val="Heading1"/>
        <w:spacing w:before="360" w:after="120"/>
      </w:pPr>
      <w:r>
        <w:rPr>
          <w:rFonts w:ascii="Times New Roman" w:hAnsi="Times New Roman" w:eastAsia="黑体"/>
          <w:b/>
          <w:i w:val="0"/>
          <w:sz w:val="32"/>
        </w:rPr>
        <w:t>第9章 不确定性与鲁棒优化方法</w:t>
      </w:r>
    </w:p>
    <w:p>
      <w:pPr>
        <w:pStyle w:val="Heading2"/>
        <w:spacing w:before="240" w:after="80"/>
      </w:pPr>
      <w:r>
        <w:rPr>
          <w:rFonts w:ascii="Times New Roman" w:hAnsi="Times New Roman" w:eastAsia="黑体"/>
          <w:b/>
          <w:i w:val="0"/>
          <w:sz w:val="28"/>
        </w:rPr>
        <w:t>学习目标</w:t>
      </w:r>
    </w:p>
    <w:p>
      <w:pPr>
        <w:pStyle w:val="ListBullet"/>
        <w:spacing w:line="360" w:lineRule="auto" w:after="0"/>
      </w:pPr>
      <w:r>
        <w:rPr>
          <w:rFonts w:ascii="Times New Roman" w:hAnsi="Times New Roman" w:eastAsia="宋体"/>
          <w:b w:val="0"/>
          <w:i w:val="0"/>
          <w:sz w:val="22"/>
        </w:rPr>
        <w:t>识别电力系统中不确定性来源及其对实时定价的影响</w:t>
      </w:r>
    </w:p>
    <w:p>
      <w:pPr>
        <w:pStyle w:val="ListBullet"/>
        <w:spacing w:line="360" w:lineRule="auto" w:after="0"/>
      </w:pPr>
      <w:r>
        <w:rPr>
          <w:rFonts w:ascii="Times New Roman" w:hAnsi="Times New Roman" w:eastAsia="宋体"/>
          <w:b w:val="0"/>
          <w:i w:val="0"/>
          <w:sz w:val="22"/>
        </w:rPr>
        <w:t>掌握负载不确定性建模和可再生能源波动处理方法</w:t>
      </w:r>
    </w:p>
    <w:p>
      <w:pPr>
        <w:pStyle w:val="ListBullet"/>
        <w:spacing w:line="360" w:lineRule="auto" w:after="0"/>
      </w:pPr>
      <w:r>
        <w:rPr>
          <w:rFonts w:ascii="Times New Roman" w:hAnsi="Times New Roman" w:eastAsia="宋体"/>
          <w:b w:val="0"/>
          <w:i w:val="0"/>
          <w:sz w:val="22"/>
        </w:rPr>
        <w:t>理解鲁棒优化和随机规划方法在实时定价中的应用</w:t>
      </w:r>
    </w:p>
    <w:p>
      <w:pPr>
        <w:pStyle w:val="ListBullet"/>
        <w:spacing w:line="360" w:lineRule="auto" w:after="0"/>
      </w:pPr>
      <w:r>
        <w:rPr>
          <w:rFonts w:ascii="Times New Roman" w:hAnsi="Times New Roman" w:eastAsia="宋体"/>
          <w:b w:val="0"/>
          <w:i w:val="0"/>
          <w:sz w:val="22"/>
        </w:rPr>
        <w:t>了解信息延迟与预测更新对定价策略的影响</w:t>
      </w:r>
    </w:p>
    <w:p>
      <w:pPr>
        <w:pStyle w:val="Heading2"/>
        <w:spacing w:before="240" w:after="80"/>
      </w:pPr>
      <w:r>
        <w:rPr>
          <w:rFonts w:ascii="Times New Roman" w:hAnsi="Times New Roman" w:eastAsia="黑体"/>
          <w:b/>
          <w:i w:val="0"/>
          <w:sz w:val="28"/>
        </w:rPr>
        <w:t>导入案例：可再生能源波动对定价的冲击</w:t>
      </w:r>
    </w:p>
    <w:p>
      <w:pPr>
        <w:spacing w:line="360" w:lineRule="auto" w:after="0"/>
        <w:ind w:firstLine="425"/>
      </w:pPr>
      <w:r>
        <w:rPr>
          <w:rFonts w:ascii="Times New Roman" w:hAnsi="Times New Roman" w:eastAsia="宋体"/>
          <w:b w:val="0"/>
          <w:i w:val="0"/>
          <w:sz w:val="22"/>
        </w:rPr>
        <w:t>2021年2月，美国德州遭遇极端寒潮天气，风力发电骤降导致电力供应紧张，实时电价飙升至9000美元/MWh。这一事件凸显了不确定性（特别是可再生能源波动）对实时定价的巨大影响。如何设计在不确定环境下仍能保持稳健的定价策略，是智能电网实时定价研究的核心挑战之一</w:t>
      </w:r>
      <w:r>
        <w:rPr>
          <w:rFonts w:ascii="Times New Roman" w:hAnsi="Times New Roman" w:eastAsia="Times New Roman"/>
          <w:b w:val="0"/>
          <w:i w:val="0"/>
          <w:sz w:val="18"/>
          <w:vertAlign w:val="superscript"/>
        </w:rPr>
        <w:t>[1]</w:t>
      </w:r>
      <w:r>
        <w:rPr>
          <w:rFonts w:ascii="Times New Roman" w:hAnsi="Times New Roman" w:eastAsia="宋体"/>
          <w:b w:val="0"/>
          <w:i w:val="0"/>
          <w:sz w:val="22"/>
        </w:rPr>
        <w:t>。</w:t>
      </w:r>
    </w:p>
    <w:p>
      <w:pPr>
        <w:pStyle w:val="Heading2"/>
        <w:spacing w:before="240" w:after="80"/>
      </w:pPr>
      <w:r>
        <w:rPr>
          <w:rFonts w:ascii="Times New Roman" w:hAnsi="Times New Roman" w:eastAsia="黑体"/>
          <w:b/>
          <w:i w:val="0"/>
          <w:sz w:val="28"/>
        </w:rPr>
        <w:t>9.1 电力系统不确定性来源</w:t>
      </w:r>
    </w:p>
    <w:p>
      <w:pPr>
        <w:pStyle w:val="Heading3"/>
        <w:spacing w:before="160" w:after="60"/>
      </w:pPr>
      <w:r>
        <w:rPr>
          <w:rFonts w:ascii="Times New Roman" w:hAnsi="Times New Roman" w:eastAsia="黑体"/>
          <w:b/>
          <w:i w:val="0"/>
          <w:sz w:val="24"/>
        </w:rPr>
        <w:t>9.1.1 需求侧不确定性</w:t>
      </w:r>
    </w:p>
    <w:p>
      <w:pPr>
        <w:spacing w:line="360" w:lineRule="auto" w:after="0"/>
        <w:ind w:firstLine="425"/>
      </w:pPr>
      <w:r>
        <w:rPr>
          <w:rFonts w:ascii="Times New Roman" w:hAnsi="Times New Roman" w:eastAsia="宋体"/>
          <w:b/>
          <w:i w:val="0"/>
          <w:sz w:val="22"/>
        </w:rPr>
        <w:t>负荷预测误差</w:t>
      </w:r>
      <w:r>
        <w:rPr>
          <w:rFonts w:ascii="Times New Roman" w:hAnsi="Times New Roman" w:eastAsia="宋体"/>
          <w:b w:val="0"/>
          <w:i w:val="0"/>
          <w:sz w:val="22"/>
        </w:rPr>
        <w:t>：用户用电需求受天气、活动安排、经济条件等多种因素影响，存在固有的不可预测性。党等（2019）研究了基于Haar小波与ARIMAX模型的短期负荷预测方法</w:t>
      </w:r>
      <w:r>
        <w:rPr>
          <w:rFonts w:ascii="Times New Roman" w:hAnsi="Times New Roman" w:eastAsia="Times New Roman"/>
          <w:b w:val="0"/>
          <w:i w:val="0"/>
          <w:sz w:val="18"/>
          <w:vertAlign w:val="superscript"/>
        </w:rPr>
        <w:t>[2]</w:t>
      </w:r>
      <w:r>
        <w:rPr>
          <w:rFonts w:ascii="Times New Roman" w:hAnsi="Times New Roman" w:eastAsia="宋体"/>
          <w:b w:val="0"/>
          <w:i w:val="0"/>
          <w:sz w:val="22"/>
        </w:rPr>
        <w:t>，代等（2020）提出了基于支持向量机的混合负荷预测模型</w:t>
      </w:r>
      <w:r>
        <w:rPr>
          <w:rFonts w:ascii="Times New Roman" w:hAnsi="Times New Roman" w:eastAsia="Times New Roman"/>
          <w:b w:val="0"/>
          <w:i w:val="0"/>
          <w:sz w:val="18"/>
          <w:vertAlign w:val="superscript"/>
        </w:rPr>
        <w:t>[3]</w:t>
      </w:r>
      <w:r>
        <w:rPr>
          <w:rFonts w:ascii="Times New Roman" w:hAnsi="Times New Roman" w:eastAsia="宋体"/>
          <w:b w:val="0"/>
          <w:i w:val="0"/>
          <w:sz w:val="22"/>
        </w:rPr>
        <w:t>，但预测误差仍不可避免。</w:t>
      </w:r>
    </w:p>
    <w:p>
      <w:pPr>
        <w:spacing w:line="360" w:lineRule="auto" w:after="0"/>
        <w:ind w:firstLine="425"/>
      </w:pPr>
      <w:r>
        <w:rPr>
          <w:rFonts w:ascii="Times New Roman" w:hAnsi="Times New Roman" w:eastAsia="宋体"/>
          <w:b/>
          <w:i w:val="0"/>
          <w:sz w:val="22"/>
        </w:rPr>
        <w:t>用户行为不确定性</w:t>
      </w:r>
      <w:r>
        <w:rPr>
          <w:rFonts w:ascii="Times New Roman" w:hAnsi="Times New Roman" w:eastAsia="宋体"/>
          <w:b w:val="0"/>
          <w:i w:val="0"/>
          <w:sz w:val="22"/>
        </w:rPr>
        <w:t>：用户对价格信号的响应存在随机性。李军祥等（2016）用马尔可夫决策过程刻画用户用电状态的随机转移</w:t>
      </w:r>
      <w:r>
        <w:rPr>
          <w:rFonts w:ascii="Times New Roman" w:hAnsi="Times New Roman" w:eastAsia="Times New Roman"/>
          <w:b w:val="0"/>
          <w:i w:val="0"/>
          <w:sz w:val="18"/>
          <w:vertAlign w:val="superscript"/>
        </w:rPr>
        <w:t>[4]</w:t>
      </w:r>
      <w:r>
        <w:rPr>
          <w:rFonts w:ascii="Times New Roman" w:hAnsi="Times New Roman" w:eastAsia="宋体"/>
          <w:b w:val="0"/>
          <w:i w:val="0"/>
          <w:sz w:val="22"/>
        </w:rPr>
        <w:t>，朱红波等（2018）将其扩展到多类用户</w:t>
      </w:r>
      <w:r>
        <w:rPr>
          <w:rFonts w:ascii="Times New Roman" w:hAnsi="Times New Roman" w:eastAsia="Times New Roman"/>
          <w:b w:val="0"/>
          <w:i w:val="0"/>
          <w:sz w:val="18"/>
          <w:vertAlign w:val="superscript"/>
        </w:rPr>
        <w:t>[5]</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9.1.2 供给侧不确定性</w:t>
      </w:r>
    </w:p>
    <w:p>
      <w:pPr>
        <w:spacing w:line="360" w:lineRule="auto" w:after="0"/>
        <w:ind w:firstLine="425"/>
      </w:pPr>
      <w:r>
        <w:rPr>
          <w:rFonts w:ascii="Times New Roman" w:hAnsi="Times New Roman" w:eastAsia="宋体"/>
          <w:b/>
          <w:i w:val="0"/>
          <w:sz w:val="22"/>
        </w:rPr>
        <w:t>可再生能源波动</w:t>
      </w:r>
      <w:r>
        <w:rPr>
          <w:rFonts w:ascii="Times New Roman" w:hAnsi="Times New Roman" w:eastAsia="宋体"/>
          <w:b w:val="0"/>
          <w:i w:val="0"/>
          <w:sz w:val="22"/>
        </w:rPr>
        <w:t>：风电和光伏发电受天气条件影响，出力具有强随机性和间歇性。陶等（2019）研究了有可再生能源和电力存储设施并网的智能电网优化用电策略</w:t>
      </w:r>
      <w:r>
        <w:rPr>
          <w:rFonts w:ascii="Times New Roman" w:hAnsi="Times New Roman" w:eastAsia="Times New Roman"/>
          <w:b w:val="0"/>
          <w:i w:val="0"/>
          <w:sz w:val="18"/>
          <w:vertAlign w:val="superscript"/>
        </w:rPr>
        <w:t>[6]</w:t>
      </w:r>
      <w:r>
        <w:rPr>
          <w:rFonts w:ascii="Times New Roman" w:hAnsi="Times New Roman" w:eastAsia="宋体"/>
          <w:b w:val="0"/>
          <w:i w:val="0"/>
          <w:sz w:val="22"/>
        </w:rPr>
        <w:t>。</w:t>
      </w:r>
    </w:p>
    <w:p>
      <w:pPr>
        <w:spacing w:line="360" w:lineRule="auto" w:after="0"/>
        <w:ind w:firstLine="425"/>
      </w:pPr>
      <w:r>
        <w:rPr>
          <w:rFonts w:ascii="Times New Roman" w:hAnsi="Times New Roman" w:eastAsia="宋体"/>
          <w:b/>
          <w:i w:val="0"/>
          <w:sz w:val="22"/>
        </w:rPr>
        <w:t>发电设备故障</w:t>
      </w:r>
      <w:r>
        <w:rPr>
          <w:rFonts w:ascii="Times New Roman" w:hAnsi="Times New Roman" w:eastAsia="宋体"/>
          <w:b w:val="0"/>
          <w:i w:val="0"/>
          <w:sz w:val="22"/>
        </w:rPr>
        <w:t>：发电机组和输电线路的意外故障导致供电能力下降。</w:t>
      </w:r>
    </w:p>
    <w:p>
      <w:pPr>
        <w:spacing w:line="360" w:lineRule="auto" w:after="0"/>
        <w:ind w:firstLine="425"/>
      </w:pPr>
      <w:r>
        <w:rPr>
          <w:rFonts w:ascii="Times New Roman" w:hAnsi="Times New Roman" w:eastAsia="宋体"/>
          <w:b/>
          <w:i w:val="0"/>
          <w:sz w:val="22"/>
        </w:rPr>
        <w:t>市场不确定性</w:t>
      </w:r>
      <w:r>
        <w:rPr>
          <w:rFonts w:ascii="Times New Roman" w:hAnsi="Times New Roman" w:eastAsia="宋体"/>
          <w:b w:val="0"/>
          <w:i w:val="0"/>
          <w:sz w:val="22"/>
        </w:rPr>
        <w:t>：批发市场价格波动、燃料价格变化等市场因素的不确定性。</w:t>
      </w:r>
    </w:p>
    <w:p>
      <w:pPr>
        <w:pStyle w:val="Heading3"/>
        <w:spacing w:before="160" w:after="60"/>
      </w:pPr>
      <w:r>
        <w:rPr>
          <w:rFonts w:ascii="Times New Roman" w:hAnsi="Times New Roman" w:eastAsia="黑体"/>
          <w:b/>
          <w:i w:val="0"/>
          <w:sz w:val="24"/>
        </w:rPr>
        <w:t>9.1.3 通信与信息不确定性</w:t>
      </w:r>
    </w:p>
    <w:p>
      <w:pPr>
        <w:spacing w:line="360" w:lineRule="auto" w:after="0"/>
        <w:ind w:firstLine="425"/>
      </w:pPr>
      <w:r>
        <w:rPr>
          <w:rFonts w:ascii="Times New Roman" w:hAnsi="Times New Roman" w:eastAsia="宋体"/>
          <w:b w:val="0"/>
          <w:i w:val="0"/>
          <w:sz w:val="22"/>
        </w:rPr>
        <w:t>代等（2017）研究了考虑信息延迟的智能电网实时定价问题</w:t>
      </w:r>
      <w:r>
        <w:rPr>
          <w:rFonts w:ascii="Times New Roman" w:hAnsi="Times New Roman" w:eastAsia="Times New Roman"/>
          <w:b w:val="0"/>
          <w:i w:val="0"/>
          <w:sz w:val="18"/>
          <w:vertAlign w:val="superscript"/>
        </w:rPr>
        <w:t>[7]</w:t>
      </w:r>
      <w:r>
        <w:rPr>
          <w:rFonts w:ascii="Times New Roman" w:hAnsi="Times New Roman" w:eastAsia="宋体"/>
          <w:b w:val="0"/>
          <w:i w:val="0"/>
          <w:sz w:val="22"/>
        </w:rPr>
        <w:t>。通信延迟、数据丢失和信息不对称都会影响定价决策的及时性和准确性。</w:t>
      </w:r>
    </w:p>
    <w:p>
      <w:pPr>
        <w:pStyle w:val="Heading2"/>
        <w:spacing w:before="240" w:after="80"/>
      </w:pPr>
      <w:r>
        <w:rPr>
          <w:rFonts w:ascii="Times New Roman" w:hAnsi="Times New Roman" w:eastAsia="黑体"/>
          <w:b/>
          <w:i w:val="0"/>
          <w:sz w:val="28"/>
        </w:rPr>
        <w:t>9.2 负载不确定性建模</w:t>
      </w:r>
    </w:p>
    <w:p>
      <w:pPr>
        <w:pStyle w:val="Heading3"/>
        <w:spacing w:before="160" w:after="60"/>
      </w:pPr>
      <w:r>
        <w:rPr>
          <w:rFonts w:ascii="Times New Roman" w:hAnsi="Times New Roman" w:eastAsia="黑体"/>
          <w:b/>
          <w:i w:val="0"/>
          <w:sz w:val="24"/>
        </w:rPr>
        <w:t>9.2.1 概率模型</w:t>
      </w:r>
    </w:p>
    <w:p>
      <w:pPr>
        <w:spacing w:line="360" w:lineRule="auto" w:after="0"/>
        <w:ind w:firstLine="425"/>
      </w:pPr>
      <w:r>
        <w:rPr>
          <w:rFonts w:ascii="Times New Roman" w:hAnsi="Times New Roman" w:eastAsia="宋体"/>
          <w:b w:val="0"/>
          <w:i w:val="0"/>
          <w:sz w:val="22"/>
        </w:rPr>
        <w:t>负载不确定性通常用概率分布建模：</w:t>
      </w:r>
    </w:p>
    <w:p>
      <w:pPr>
        <w:pStyle w:val="ListBullet"/>
        <w:spacing w:line="360" w:lineRule="auto" w:after="0"/>
      </w:pPr>
      <w:r>
        <w:rPr>
          <w:rFonts w:ascii="Times New Roman" w:hAnsi="Times New Roman" w:eastAsia="宋体"/>
          <w:b/>
          <w:i w:val="0"/>
          <w:sz w:val="22"/>
        </w:rPr>
        <w:t>正态分布</w:t>
      </w:r>
      <w:r>
        <w:rPr>
          <w:rFonts w:ascii="Times New Roman" w:hAnsi="Times New Roman" w:eastAsia="宋体"/>
          <w:b w:val="0"/>
          <w:i w:val="0"/>
          <w:sz w:val="22"/>
        </w:rPr>
        <w:t>：Q ∼ N(μ, σ^2)，适用于短期负荷预测误差</w:t>
      </w:r>
    </w:p>
    <w:p>
      <w:pPr>
        <w:pStyle w:val="ListBullet"/>
        <w:spacing w:line="360" w:lineRule="auto" w:after="0"/>
      </w:pPr>
      <w:r>
        <w:rPr>
          <w:rFonts w:ascii="Times New Roman" w:hAnsi="Times New Roman" w:eastAsia="宋体"/>
          <w:b/>
          <w:i w:val="0"/>
          <w:sz w:val="22"/>
        </w:rPr>
        <w:t>Beta分布</w:t>
      </w:r>
      <w:r>
        <w:rPr>
          <w:rFonts w:ascii="Times New Roman" w:hAnsi="Times New Roman" w:eastAsia="宋体"/>
          <w:b w:val="0"/>
          <w:i w:val="0"/>
          <w:sz w:val="22"/>
        </w:rPr>
        <w:t>：适用于风电和光伏出力的概率建模</w:t>
      </w:r>
    </w:p>
    <w:p>
      <w:pPr>
        <w:pStyle w:val="ListBullet"/>
        <w:spacing w:line="360" w:lineRule="auto" w:after="0"/>
      </w:pPr>
      <w:r>
        <w:rPr>
          <w:rFonts w:ascii="Times New Roman" w:hAnsi="Times New Roman" w:eastAsia="宋体"/>
          <w:b/>
          <w:i w:val="0"/>
          <w:sz w:val="22"/>
        </w:rPr>
        <w:t>Weibull分布</w:t>
      </w:r>
      <w:r>
        <w:rPr>
          <w:rFonts w:ascii="Times New Roman" w:hAnsi="Times New Roman" w:eastAsia="宋体"/>
          <w:b w:val="0"/>
          <w:i w:val="0"/>
          <w:sz w:val="22"/>
        </w:rPr>
        <w:t>：常用于风速建模</w:t>
      </w:r>
    </w:p>
    <w:p>
      <w:pPr>
        <w:pStyle w:val="Heading3"/>
        <w:spacing w:before="160" w:after="60"/>
      </w:pPr>
      <w:r>
        <w:rPr>
          <w:rFonts w:ascii="Times New Roman" w:hAnsi="Times New Roman" w:eastAsia="黑体"/>
          <w:b/>
          <w:i w:val="0"/>
          <w:sz w:val="24"/>
        </w:rPr>
        <w:t>9.2.2 场景生成</w:t>
      </w:r>
    </w:p>
    <w:p>
      <w:pPr>
        <w:spacing w:line="360" w:lineRule="auto" w:after="0"/>
        <w:ind w:firstLine="425"/>
      </w:pPr>
      <w:r>
        <w:rPr>
          <w:rFonts w:ascii="Times New Roman" w:hAnsi="Times New Roman" w:eastAsia="宋体"/>
          <w:b w:val="0"/>
          <w:i w:val="0"/>
          <w:sz w:val="22"/>
        </w:rPr>
        <w:t>通过蒙特卡洛抽样生成大量负载场景，在每个场景下求解确定性优化问题，然后聚合得到鲁棒定价策略。</w:t>
      </w:r>
    </w:p>
    <w:p>
      <w:pPr>
        <w:pStyle w:val="Heading3"/>
        <w:spacing w:before="160" w:after="60"/>
      </w:pPr>
      <w:r>
        <w:rPr>
          <w:rFonts w:ascii="Times New Roman" w:hAnsi="Times New Roman" w:eastAsia="黑体"/>
          <w:b/>
          <w:i w:val="0"/>
          <w:sz w:val="24"/>
        </w:rPr>
        <w:t>9.2.3 Wang和高岩（2019）的负载不确定性方法</w:t>
      </w:r>
    </w:p>
    <w:p>
      <w:pPr>
        <w:spacing w:line="360" w:lineRule="auto" w:after="0"/>
        <w:ind w:firstLine="425"/>
      </w:pPr>
      <w:r>
        <w:rPr>
          <w:rFonts w:ascii="Times New Roman" w:hAnsi="Times New Roman" w:eastAsia="宋体"/>
          <w:b w:val="0"/>
          <w:i w:val="0"/>
          <w:sz w:val="22"/>
        </w:rPr>
        <w:t>Wang和高岩（2019）提出了考虑负载不确定性的分布式实时定价方法</w:t>
      </w:r>
      <w:r>
        <w:rPr>
          <w:rFonts w:ascii="Times New Roman" w:hAnsi="Times New Roman" w:eastAsia="Times New Roman"/>
          <w:b w:val="0"/>
          <w:i w:val="0"/>
          <w:sz w:val="18"/>
          <w:vertAlign w:val="superscript"/>
        </w:rPr>
        <w:t>[8]</w:t>
      </w:r>
      <w:r>
        <w:rPr>
          <w:rFonts w:ascii="Times New Roman" w:hAnsi="Times New Roman" w:eastAsia="宋体"/>
          <w:b w:val="0"/>
          <w:i w:val="0"/>
          <w:sz w:val="22"/>
        </w:rPr>
        <w:t>。该方法的核心是：</w:t>
      </w:r>
    </w:p>
    <w:p>
      <w:pPr>
        <w:pStyle w:val="ListBullet"/>
        <w:spacing w:line="360" w:lineRule="auto" w:after="0"/>
      </w:pPr>
      <w:r>
        <w:rPr>
          <w:rFonts w:ascii="Times New Roman" w:hAnsi="Times New Roman" w:eastAsia="宋体"/>
          <w:b w:val="0"/>
          <w:i w:val="0"/>
          <w:sz w:val="22"/>
        </w:rPr>
        <w:t>将负载不确定性嵌入非光滑方程框架</w:t>
      </w:r>
    </w:p>
    <w:p>
      <w:pPr>
        <w:pStyle w:val="ListBullet"/>
        <w:spacing w:line="360" w:lineRule="auto" w:after="0"/>
      </w:pPr>
      <w:r>
        <w:rPr>
          <w:rFonts w:ascii="Times New Roman" w:hAnsi="Times New Roman" w:eastAsia="宋体"/>
          <w:b w:val="0"/>
          <w:i w:val="0"/>
          <w:sz w:val="22"/>
        </w:rPr>
        <w:t>通过分布式算法处理不确定性</w:t>
      </w:r>
    </w:p>
    <w:p>
      <w:pPr>
        <w:pStyle w:val="ListBullet"/>
        <w:spacing w:line="360" w:lineRule="auto" w:after="0"/>
      </w:pPr>
      <w:r>
        <w:rPr>
          <w:rFonts w:ascii="Times New Roman" w:hAnsi="Times New Roman" w:eastAsia="宋体"/>
          <w:b w:val="0"/>
          <w:i w:val="0"/>
          <w:sz w:val="22"/>
        </w:rPr>
        <w:t>保证了在负载波动情况下的定价鲁棒性</w:t>
      </w:r>
    </w:p>
    <w:p>
      <w:pPr>
        <w:pStyle w:val="Heading2"/>
        <w:spacing w:before="240" w:after="80"/>
      </w:pPr>
      <w:r>
        <w:rPr>
          <w:rFonts w:ascii="Times New Roman" w:hAnsi="Times New Roman" w:eastAsia="黑体"/>
          <w:b/>
          <w:i w:val="0"/>
          <w:sz w:val="28"/>
        </w:rPr>
        <w:t>9.3 可再生能源波动</w:t>
      </w:r>
    </w:p>
    <w:p>
      <w:pPr>
        <w:pStyle w:val="Heading3"/>
        <w:spacing w:before="160" w:after="60"/>
      </w:pPr>
      <w:r>
        <w:rPr>
          <w:rFonts w:ascii="Times New Roman" w:hAnsi="Times New Roman" w:eastAsia="黑体"/>
          <w:b/>
          <w:i w:val="0"/>
          <w:sz w:val="24"/>
        </w:rPr>
        <w:t>9.3.1 波动特性分析</w:t>
      </w:r>
    </w:p>
    <w:p>
      <w:pPr>
        <w:spacing w:line="360" w:lineRule="auto" w:after="0"/>
        <w:ind w:firstLine="425"/>
      </w:pPr>
      <w:r>
        <w:rPr>
          <w:rFonts w:ascii="Times New Roman" w:hAnsi="Times New Roman" w:eastAsia="宋体"/>
          <w:b w:val="0"/>
          <w:i w:val="0"/>
          <w:sz w:val="22"/>
        </w:rPr>
        <w:t>可再生能源（风电、光伏）的出力波动具有以下特征：</w:t>
      </w:r>
    </w:p>
    <w:p>
      <w:pPr>
        <w:pStyle w:val="ListBullet"/>
        <w:spacing w:line="360" w:lineRule="auto" w:after="0"/>
      </w:pPr>
      <w:r>
        <w:rPr>
          <w:rFonts w:ascii="Times New Roman" w:hAnsi="Times New Roman" w:eastAsia="宋体"/>
          <w:b/>
          <w:i w:val="0"/>
          <w:sz w:val="22"/>
        </w:rPr>
        <w:t>间歇性</w:t>
      </w:r>
      <w:r>
        <w:rPr>
          <w:rFonts w:ascii="Times New Roman" w:hAnsi="Times New Roman" w:eastAsia="宋体"/>
          <w:b w:val="0"/>
          <w:i w:val="0"/>
          <w:sz w:val="22"/>
        </w:rPr>
        <w:t>：出力在短时间内可能从满发到零发</w:t>
      </w:r>
    </w:p>
    <w:p>
      <w:pPr>
        <w:pStyle w:val="ListBullet"/>
        <w:spacing w:line="360" w:lineRule="auto" w:after="0"/>
      </w:pPr>
      <w:r>
        <w:rPr>
          <w:rFonts w:ascii="Times New Roman" w:hAnsi="Times New Roman" w:eastAsia="宋体"/>
          <w:b/>
          <w:i w:val="0"/>
          <w:sz w:val="22"/>
        </w:rPr>
        <w:t>季节性</w:t>
      </w:r>
      <w:r>
        <w:rPr>
          <w:rFonts w:ascii="Times New Roman" w:hAnsi="Times New Roman" w:eastAsia="宋体"/>
          <w:b w:val="0"/>
          <w:i w:val="0"/>
          <w:sz w:val="22"/>
        </w:rPr>
        <w:t>：不同季节和时段的出力模式差异显著</w:t>
      </w:r>
    </w:p>
    <w:p>
      <w:pPr>
        <w:pStyle w:val="ListBullet"/>
        <w:spacing w:line="360" w:lineRule="auto" w:after="0"/>
      </w:pPr>
      <w:r>
        <w:rPr>
          <w:rFonts w:ascii="Times New Roman" w:hAnsi="Times New Roman" w:eastAsia="宋体"/>
          <w:b/>
          <w:i w:val="0"/>
          <w:sz w:val="22"/>
        </w:rPr>
        <w:t>相关性</w:t>
      </w:r>
      <w:r>
        <w:rPr>
          <w:rFonts w:ascii="Times New Roman" w:hAnsi="Times New Roman" w:eastAsia="宋体"/>
          <w:b w:val="0"/>
          <w:i w:val="0"/>
          <w:sz w:val="22"/>
        </w:rPr>
        <w:t>：相邻区域的风电/光伏出力存在空间相关性</w:t>
      </w:r>
    </w:p>
    <w:p>
      <w:pPr>
        <w:pStyle w:val="ListBullet"/>
        <w:spacing w:line="360" w:lineRule="auto" w:after="0"/>
      </w:pPr>
      <w:r>
        <w:rPr>
          <w:rFonts w:ascii="Times New Roman" w:hAnsi="Times New Roman" w:eastAsia="宋体"/>
          <w:b/>
          <w:i w:val="0"/>
          <w:sz w:val="22"/>
        </w:rPr>
        <w:t>预测难度</w:t>
      </w:r>
      <w:r>
        <w:rPr>
          <w:rFonts w:ascii="Times New Roman" w:hAnsi="Times New Roman" w:eastAsia="宋体"/>
          <w:b w:val="0"/>
          <w:i w:val="0"/>
          <w:sz w:val="22"/>
        </w:rPr>
        <w:t>：长期预测精度低，短期预测相对可靠</w:t>
      </w:r>
    </w:p>
    <w:p>
      <w:pPr>
        <w:pStyle w:val="Heading3"/>
        <w:spacing w:before="160" w:after="60"/>
      </w:pPr>
      <w:r>
        <w:rPr>
          <w:rFonts w:ascii="Times New Roman" w:hAnsi="Times New Roman" w:eastAsia="黑体"/>
          <w:b/>
          <w:i w:val="0"/>
          <w:sz w:val="24"/>
        </w:rPr>
        <w:t>9.3.2 张芸荣的需求响应机制</w:t>
      </w:r>
    </w:p>
    <w:p>
      <w:pPr>
        <w:spacing w:line="360" w:lineRule="auto" w:after="0"/>
        <w:ind w:firstLine="425"/>
      </w:pPr>
      <w:r>
        <w:rPr>
          <w:rFonts w:ascii="Times New Roman" w:hAnsi="Times New Roman" w:eastAsia="宋体"/>
          <w:b w:val="0"/>
          <w:i w:val="0"/>
          <w:sz w:val="22"/>
        </w:rPr>
        <w:t>张芸荣研究了考虑新能源供能波动的电力需求响应机制设计</w:t>
      </w:r>
      <w:r>
        <w:rPr>
          <w:rFonts w:ascii="Times New Roman" w:hAnsi="Times New Roman" w:eastAsia="Times New Roman"/>
          <w:b w:val="0"/>
          <w:i w:val="0"/>
          <w:sz w:val="18"/>
          <w:vertAlign w:val="superscript"/>
        </w:rPr>
        <w:t>[9]</w:t>
      </w:r>
      <w:r>
        <w:rPr>
          <w:rFonts w:ascii="Times New Roman" w:hAnsi="Times New Roman" w:eastAsia="宋体"/>
          <w:b w:val="0"/>
          <w:i w:val="0"/>
          <w:sz w:val="22"/>
        </w:rPr>
        <w:t>，提出了适应可再生能源波动的动态定价框架。该框架通过价格信号引导用户在新能源出力充足时增加用电，在出力不足时减少用电。</w:t>
      </w:r>
    </w:p>
    <w:p>
      <w:pPr>
        <w:pStyle w:val="Heading3"/>
        <w:spacing w:before="160" w:after="60"/>
      </w:pPr>
      <w:r>
        <w:rPr>
          <w:rFonts w:ascii="Times New Roman" w:hAnsi="Times New Roman" w:eastAsia="黑体"/>
          <w:b/>
          <w:i w:val="0"/>
          <w:sz w:val="24"/>
        </w:rPr>
        <w:t>9.3.3 陶等（2019）的储能协同</w:t>
      </w:r>
    </w:p>
    <w:p>
      <w:pPr>
        <w:spacing w:line="360" w:lineRule="auto" w:after="0"/>
        <w:ind w:firstLine="425"/>
      </w:pPr>
      <w:r>
        <w:rPr>
          <w:rFonts w:ascii="Times New Roman" w:hAnsi="Times New Roman" w:eastAsia="宋体"/>
          <w:b w:val="0"/>
          <w:i w:val="0"/>
          <w:sz w:val="22"/>
        </w:rPr>
        <w:t>陶等（2019）研究了有可再生能源和电力存储设施并网的智能电网优化用电策略</w:t>
      </w:r>
      <w:r>
        <w:rPr>
          <w:rFonts w:ascii="Times New Roman" w:hAnsi="Times New Roman" w:eastAsia="Times New Roman"/>
          <w:b w:val="0"/>
          <w:i w:val="0"/>
          <w:sz w:val="18"/>
          <w:vertAlign w:val="superscript"/>
        </w:rPr>
        <w:t>[6]</w:t>
      </w:r>
      <w:r>
        <w:rPr>
          <w:rFonts w:ascii="Times New Roman" w:hAnsi="Times New Roman" w:eastAsia="宋体"/>
          <w:b w:val="0"/>
          <w:i w:val="0"/>
          <w:sz w:val="22"/>
        </w:rPr>
        <w:t>。储能系统的引入为平抑可再生能源波动提供了物理手段：</w:t>
      </w:r>
    </w:p>
    <w:p>
      <w:pPr>
        <w:pStyle w:val="ListBullet"/>
        <w:spacing w:line="360" w:lineRule="auto" w:after="0"/>
      </w:pPr>
      <w:r>
        <w:rPr>
          <w:rFonts w:ascii="Times New Roman" w:hAnsi="Times New Roman" w:eastAsia="宋体"/>
          <w:b w:val="0"/>
          <w:i w:val="0"/>
          <w:sz w:val="22"/>
        </w:rPr>
        <w:t>在出力过剩时充电，在出力不足时放电</w:t>
      </w:r>
    </w:p>
    <w:p>
      <w:pPr>
        <w:pStyle w:val="ListBullet"/>
        <w:spacing w:line="360" w:lineRule="auto" w:after="0"/>
      </w:pPr>
      <w:r>
        <w:rPr>
          <w:rFonts w:ascii="Times New Roman" w:hAnsi="Times New Roman" w:eastAsia="宋体"/>
          <w:b w:val="0"/>
          <w:i w:val="0"/>
          <w:sz w:val="22"/>
        </w:rPr>
        <w:t>通过储能调度和定价策略的协同优化提高系统稳定性</w:t>
      </w:r>
    </w:p>
    <w:p>
      <w:pPr>
        <w:pStyle w:val="Heading2"/>
        <w:spacing w:before="240" w:after="80"/>
      </w:pPr>
      <w:r>
        <w:rPr>
          <w:rFonts w:ascii="Times New Roman" w:hAnsi="Times New Roman" w:eastAsia="黑体"/>
          <w:b/>
          <w:i w:val="0"/>
          <w:sz w:val="28"/>
        </w:rPr>
        <w:t>9.4 鲁棒优化方法</w:t>
      </w:r>
    </w:p>
    <w:p>
      <w:pPr>
        <w:pStyle w:val="Heading3"/>
        <w:spacing w:before="160" w:after="60"/>
      </w:pPr>
      <w:r>
        <w:rPr>
          <w:rFonts w:ascii="Times New Roman" w:hAnsi="Times New Roman" w:eastAsia="黑体"/>
          <w:b/>
          <w:i w:val="0"/>
          <w:sz w:val="24"/>
        </w:rPr>
        <w:t>9.4.1 鲁棒优化的基本思想</w:t>
      </w:r>
    </w:p>
    <w:p>
      <w:pPr>
        <w:spacing w:line="360" w:lineRule="auto" w:after="0"/>
        <w:ind w:firstLine="425"/>
      </w:pPr>
      <w:r>
        <w:rPr>
          <w:rFonts w:ascii="Times New Roman" w:hAnsi="Times New Roman" w:eastAsia="宋体"/>
          <w:b w:val="0"/>
          <w:i w:val="0"/>
          <w:sz w:val="22"/>
        </w:rPr>
        <w:t>鲁棒优化（Robust Optimization）不依赖概率分布假设，而是在不确定性集合（Uncertainty Set）内寻找最坏情况下的最优解：</w:t>
      </w:r>
    </w:p>
    <w:p>
      <w:pPr>
        <w:spacing w:before="80" w:after="80"/>
        <w:jc w:val="center"/>
      </w:pPr>
      <m:oMathPara>
        <m:oMath>
          <m:sSub>
            <m:e>
              <m:r>
                <m:t>max</m:t>
              </m:r>
            </m:e>
            <m:sub>
              <m:r>
                <m:t>x</m:t>
              </m:r>
            </m:sub>
          </m:sSub>
          <m:sSub>
            <m:e>
              <m:r>
                <m:t>min</m:t>
              </m:r>
            </m:e>
            <m:sub>
              <m:r>
                <m:t>u∈𝒰</m:t>
              </m:r>
            </m:sub>
          </m:sSub>
          <m:r>
            <m:t>f(x,u)</m:t>
          </m:r>
        </m:oMath>
      </m:oMathPara>
    </w:p>
    <w:p>
      <w:pPr>
        <w:spacing w:line="360" w:lineRule="auto" w:after="0"/>
        <w:ind w:firstLine="0"/>
      </w:pPr>
      <w:r>
        <w:rPr>
          <w:rFonts w:ascii="Times New Roman" w:hAnsi="Times New Roman" w:eastAsia="宋体"/>
          <w:b w:val="0"/>
          <w:i w:val="0"/>
          <w:sz w:val="22"/>
        </w:rPr>
        <w:t>其中U是不确定性集合，u是不确定参数。</w:t>
      </w:r>
    </w:p>
    <w:p>
      <w:pPr>
        <w:pStyle w:val="Heading3"/>
        <w:spacing w:before="160" w:after="60"/>
      </w:pPr>
      <w:r>
        <w:rPr>
          <w:rFonts w:ascii="Times New Roman" w:hAnsi="Times New Roman" w:eastAsia="黑体"/>
          <w:b/>
          <w:i w:val="0"/>
          <w:sz w:val="24"/>
        </w:rPr>
        <w:t>9.4.2 杨扬等的双重不确定性鲁棒方法</w:t>
      </w:r>
    </w:p>
    <w:p>
      <w:pPr>
        <w:spacing w:line="360" w:lineRule="auto" w:after="0"/>
        <w:ind w:firstLine="425"/>
      </w:pPr>
      <w:r>
        <w:rPr>
          <w:rFonts w:ascii="Times New Roman" w:hAnsi="Times New Roman" w:eastAsia="宋体"/>
          <w:b w:val="0"/>
          <w:i w:val="0"/>
          <w:sz w:val="22"/>
        </w:rPr>
        <w:t>杨扬等研究了考虑双重不确定性的智能电网实时定价鲁棒优化方法</w:t>
      </w:r>
      <w:r>
        <w:rPr>
          <w:rFonts w:ascii="Times New Roman" w:hAnsi="Times New Roman" w:eastAsia="Times New Roman"/>
          <w:b w:val="0"/>
          <w:i w:val="0"/>
          <w:sz w:val="18"/>
          <w:vertAlign w:val="superscript"/>
        </w:rPr>
        <w:t>[10]</w:t>
      </w:r>
      <w:r>
        <w:rPr>
          <w:rFonts w:ascii="Times New Roman" w:hAnsi="Times New Roman" w:eastAsia="宋体"/>
          <w:b w:val="0"/>
          <w:i w:val="0"/>
          <w:sz w:val="22"/>
        </w:rPr>
        <w:t>。该方法创新性地处理了需求和供给两侧的双重不确定性：</w:t>
      </w:r>
    </w:p>
    <w:p>
      <w:pPr>
        <w:pStyle w:val="ListBullet"/>
        <w:spacing w:line="360" w:lineRule="auto" w:after="0"/>
      </w:pPr>
      <w:r>
        <w:rPr>
          <w:rFonts w:ascii="Times New Roman" w:hAnsi="Times New Roman" w:eastAsia="宋体"/>
          <w:b/>
          <w:i w:val="0"/>
          <w:sz w:val="22"/>
        </w:rPr>
        <w:t>需求侧不确定性</w:t>
      </w:r>
      <w:r>
        <w:rPr>
          <w:rFonts w:ascii="Times New Roman" w:hAnsi="Times New Roman" w:eastAsia="宋体"/>
          <w:b w:val="0"/>
          <w:i w:val="0"/>
          <w:sz w:val="22"/>
        </w:rPr>
        <w:t>：用户负荷的随机波动</w:t>
      </w:r>
    </w:p>
    <w:p>
      <w:pPr>
        <w:pStyle w:val="ListBullet"/>
        <w:spacing w:line="360" w:lineRule="auto" w:after="0"/>
      </w:pPr>
      <w:r>
        <w:rPr>
          <w:rFonts w:ascii="Times New Roman" w:hAnsi="Times New Roman" w:eastAsia="宋体"/>
          <w:b/>
          <w:i w:val="0"/>
          <w:sz w:val="22"/>
        </w:rPr>
        <w:t>供给侧不确定性</w:t>
      </w:r>
      <w:r>
        <w:rPr>
          <w:rFonts w:ascii="Times New Roman" w:hAnsi="Times New Roman" w:eastAsia="宋体"/>
          <w:b w:val="0"/>
          <w:i w:val="0"/>
          <w:sz w:val="22"/>
        </w:rPr>
        <w:t>：可再生能源出力的随机波动</w:t>
      </w:r>
    </w:p>
    <w:p>
      <w:pPr>
        <w:spacing w:line="360" w:lineRule="auto" w:after="0"/>
        <w:ind w:firstLine="425"/>
      </w:pPr>
      <w:r>
        <w:rPr>
          <w:rFonts w:ascii="Times New Roman" w:hAnsi="Times New Roman" w:eastAsia="宋体"/>
          <w:b w:val="0"/>
          <w:i w:val="0"/>
          <w:sz w:val="22"/>
        </w:rPr>
        <w:t>通过构建双层不确定性集合，设计了鲁棒对等模型（Robust Counterpart），将鲁棒优化问题转化为可求解的凸优化问题。</w:t>
      </w:r>
    </w:p>
    <w:p>
      <w:pPr>
        <w:pStyle w:val="Heading3"/>
        <w:spacing w:before="160" w:after="60"/>
      </w:pPr>
      <w:r>
        <w:rPr>
          <w:rFonts w:ascii="Times New Roman" w:hAnsi="Times New Roman" w:eastAsia="黑体"/>
          <w:b/>
          <w:i w:val="0"/>
          <w:sz w:val="24"/>
        </w:rPr>
        <w:t>9.4.3 不确定性集合的选择</w:t>
      </w:r>
    </w:p>
    <w:p>
      <w:pPr>
        <w:spacing w:line="360" w:lineRule="auto" w:after="0"/>
        <w:ind w:firstLine="425"/>
      </w:pPr>
      <w:r>
        <w:rPr>
          <w:rFonts w:ascii="Times New Roman" w:hAnsi="Times New Roman" w:eastAsia="宋体"/>
          <w:b w:val="0"/>
          <w:i w:val="0"/>
          <w:sz w:val="22"/>
        </w:rPr>
        <w:t>不确定性集合的选择直接影响鲁棒优化的保守性：</w:t>
      </w:r>
    </w:p>
    <w:p>
      <w:pPr>
        <w:pStyle w:val="ListBullet"/>
        <w:spacing w:line="360" w:lineRule="auto" w:after="0"/>
      </w:pPr>
      <w:r>
        <w:rPr>
          <w:rFonts w:ascii="Times New Roman" w:hAnsi="Times New Roman" w:eastAsia="宋体"/>
          <w:b/>
          <w:i w:val="0"/>
          <w:sz w:val="22"/>
        </w:rPr>
        <w:t>盒子集合</w:t>
      </w:r>
      <w:r>
        <w:rPr>
          <w:rFonts w:ascii="Times New Roman" w:hAnsi="Times New Roman" w:eastAsia="宋体"/>
          <w:b w:val="0"/>
          <w:i w:val="0"/>
          <w:sz w:val="22"/>
        </w:rPr>
        <w:t>：U = u: u _∞ ≤ Γ ，最保守</w:t>
      </w:r>
    </w:p>
    <w:p>
      <w:pPr>
        <w:pStyle w:val="ListBullet"/>
        <w:spacing w:line="360" w:lineRule="auto" w:after="0"/>
      </w:pPr>
      <w:r>
        <w:rPr>
          <w:rFonts w:ascii="Times New Roman" w:hAnsi="Times New Roman" w:eastAsia="宋体"/>
          <w:b/>
          <w:i w:val="0"/>
          <w:sz w:val="22"/>
        </w:rPr>
        <w:t>椭球集合</w:t>
      </w:r>
      <w:r>
        <w:rPr>
          <w:rFonts w:ascii="Times New Roman" w:hAnsi="Times New Roman" w:eastAsia="宋体"/>
          <w:b w:val="0"/>
          <w:i w:val="0"/>
          <w:sz w:val="22"/>
        </w:rPr>
        <w:t>：U = u: u^T Σ^-1 u ≤ Γ^2 ，中等保守</w:t>
      </w:r>
    </w:p>
    <w:p>
      <w:pPr>
        <w:pStyle w:val="ListBullet"/>
        <w:spacing w:line="360" w:lineRule="auto" w:after="0"/>
      </w:pPr>
      <w:r>
        <w:rPr>
          <w:rFonts w:ascii="Times New Roman" w:hAnsi="Times New Roman" w:eastAsia="宋体"/>
          <w:b/>
          <w:i w:val="0"/>
          <w:sz w:val="22"/>
        </w:rPr>
        <w:t>预算集合</w:t>
      </w:r>
      <w:r>
        <w:rPr>
          <w:rFonts w:ascii="Times New Roman" w:hAnsi="Times New Roman" w:eastAsia="宋体"/>
          <w:b w:val="0"/>
          <w:i w:val="0"/>
          <w:sz w:val="22"/>
        </w:rPr>
        <w:t>：U = u: u _1 ≤ Γ, u _∞ ≤ 1 ，可调节保守度</w:t>
      </w:r>
    </w:p>
    <w:p>
      <w:pPr>
        <w:pStyle w:val="Heading2"/>
        <w:spacing w:before="240" w:after="80"/>
      </w:pPr>
      <w:r>
        <w:rPr>
          <w:rFonts w:ascii="Times New Roman" w:hAnsi="Times New Roman" w:eastAsia="黑体"/>
          <w:b/>
          <w:i w:val="0"/>
          <w:sz w:val="28"/>
        </w:rPr>
        <w:t>9.5 随机规划方法</w:t>
      </w:r>
    </w:p>
    <w:p>
      <w:pPr>
        <w:pStyle w:val="Heading3"/>
        <w:spacing w:before="160" w:after="60"/>
      </w:pPr>
      <w:r>
        <w:rPr>
          <w:rFonts w:ascii="Times New Roman" w:hAnsi="Times New Roman" w:eastAsia="黑体"/>
          <w:b/>
          <w:i w:val="0"/>
          <w:sz w:val="24"/>
        </w:rPr>
        <w:t>9.5.1 两阶段随机规划</w:t>
      </w:r>
    </w:p>
    <w:p>
      <w:pPr>
        <w:spacing w:line="360" w:lineRule="auto" w:after="0"/>
        <w:ind w:firstLine="425"/>
      </w:pPr>
      <w:r>
        <w:rPr>
          <w:rFonts w:ascii="Times New Roman" w:hAnsi="Times New Roman" w:eastAsia="宋体"/>
          <w:b w:val="0"/>
          <w:i w:val="0"/>
          <w:sz w:val="22"/>
        </w:rPr>
        <w:t>两阶段随机规划将决策分为两个阶段：</w:t>
      </w:r>
    </w:p>
    <w:p>
      <w:pPr>
        <w:pStyle w:val="ListBullet"/>
        <w:spacing w:line="360" w:lineRule="auto" w:after="0"/>
      </w:pPr>
      <w:r>
        <w:rPr>
          <w:rFonts w:ascii="Times New Roman" w:hAnsi="Times New Roman" w:eastAsia="宋体"/>
          <w:b/>
          <w:i w:val="0"/>
          <w:sz w:val="22"/>
        </w:rPr>
        <w:t>第一阶段</w:t>
      </w:r>
      <w:r>
        <w:rPr>
          <w:rFonts w:ascii="Times New Roman" w:hAnsi="Times New Roman" w:eastAsia="宋体"/>
          <w:b w:val="0"/>
          <w:i w:val="0"/>
          <w:sz w:val="22"/>
        </w:rPr>
        <w:t>（此处决策）：在不确定性揭示前做出的定价决策</w:t>
      </w:r>
    </w:p>
    <w:p>
      <w:pPr>
        <w:pStyle w:val="ListBullet"/>
        <w:spacing w:line="360" w:lineRule="auto" w:after="0"/>
      </w:pPr>
      <w:r>
        <w:rPr>
          <w:rFonts w:ascii="Times New Roman" w:hAnsi="Times New Roman" w:eastAsia="宋体"/>
          <w:b/>
          <w:i w:val="0"/>
          <w:sz w:val="22"/>
        </w:rPr>
        <w:t>第二阶段（ recourse）</w:t>
      </w:r>
      <w:r>
        <w:rPr>
          <w:rFonts w:ascii="Times New Roman" w:hAnsi="Times New Roman" w:eastAsia="宋体"/>
          <w:b w:val="0"/>
          <w:i w:val="0"/>
          <w:sz w:val="22"/>
        </w:rPr>
        <w:t>：在不确定性揭示后做出的调整决策</w:t>
      </w:r>
    </w:p>
    <w:p>
      <w:pPr>
        <w:spacing w:before="80" w:after="80"/>
        <w:jc w:val="center"/>
      </w:pPr>
      <m:oMathPara>
        <m:oMath>
          <m:sSub>
            <m:e>
              <m:r>
                <m:t>min</m:t>
              </m:r>
            </m:e>
            <m:sub>
              <m:r>
                <m:t>x</m:t>
              </m:r>
            </m:sub>
          </m:sSub>
          <m:sSup>
            <m:e>
              <m:r>
                <m:t>c</m:t>
              </m:r>
            </m:e>
            <m:sup>
              <m:r>
                <m:t>T</m:t>
              </m:r>
            </m:sup>
          </m:sSup>
          <m:r>
            <m:t>x+</m:t>
          </m:r>
          <m:sSub>
            <m:e>
              <m:r>
                <m:t>𝔼</m:t>
              </m:r>
            </m:e>
            <m:sub>
              <m:r>
                <m:t>ξ</m:t>
              </m:r>
            </m:sub>
          </m:sSub>
          <m:r>
            <m:t>[Q(x,ξ)]</m:t>
          </m:r>
        </m:oMath>
      </m:oMathPara>
    </w:p>
    <w:p>
      <w:pPr>
        <w:spacing w:line="360" w:lineRule="auto" w:after="0"/>
        <w:ind w:firstLine="0"/>
      </w:pPr>
      <w:r>
        <w:rPr>
          <w:rFonts w:ascii="Times New Roman" w:hAnsi="Times New Roman" w:eastAsia="宋体"/>
          <w:b w:val="0"/>
          <w:i w:val="0"/>
          <w:sz w:val="22"/>
        </w:rPr>
        <w:t>其中Q(x, ξ)是第二阶段问题的最优值。</w:t>
      </w:r>
    </w:p>
    <w:p>
      <w:pPr>
        <w:pStyle w:val="Heading3"/>
        <w:spacing w:before="160" w:after="60"/>
      </w:pPr>
      <w:r>
        <w:rPr>
          <w:rFonts w:ascii="Times New Roman" w:hAnsi="Times New Roman" w:eastAsia="黑体"/>
          <w:b/>
          <w:i w:val="0"/>
          <w:sz w:val="24"/>
        </w:rPr>
        <w:t>9.5.2 Zhang等（2022）的双层随机RTP</w:t>
      </w:r>
    </w:p>
    <w:p>
      <w:pPr>
        <w:spacing w:line="360" w:lineRule="auto" w:after="0"/>
        <w:ind w:firstLine="425"/>
      </w:pPr>
      <w:r>
        <w:rPr>
          <w:rFonts w:ascii="Times New Roman" w:hAnsi="Times New Roman" w:eastAsia="宋体"/>
          <w:b w:val="0"/>
          <w:i w:val="0"/>
          <w:sz w:val="22"/>
        </w:rPr>
        <w:t>Zhang等（2022）提出了多零售商场景下的双层随机实时定价模型</w:t>
      </w:r>
      <w:r>
        <w:rPr>
          <w:rFonts w:ascii="Times New Roman" w:hAnsi="Times New Roman" w:eastAsia="Times New Roman"/>
          <w:b w:val="0"/>
          <w:i w:val="0"/>
          <w:sz w:val="18"/>
          <w:vertAlign w:val="superscript"/>
        </w:rPr>
        <w:t>[11]</w:t>
      </w:r>
      <w:r>
        <w:rPr>
          <w:rFonts w:ascii="Times New Roman" w:hAnsi="Times New Roman" w:eastAsia="宋体"/>
          <w:b w:val="0"/>
          <w:i w:val="0"/>
          <w:sz w:val="22"/>
        </w:rPr>
        <w:t>。该模型：</w:t>
      </w:r>
    </w:p>
    <w:p>
      <w:pPr>
        <w:pStyle w:val="ListBullet"/>
        <w:spacing w:line="360" w:lineRule="auto" w:after="0"/>
      </w:pPr>
      <w:r>
        <w:rPr>
          <w:rFonts w:ascii="Times New Roman" w:hAnsi="Times New Roman" w:eastAsia="宋体"/>
          <w:b w:val="0"/>
          <w:i w:val="0"/>
          <w:sz w:val="22"/>
        </w:rPr>
        <w:t>上层：零售商制定电价（第一阶段决策）</w:t>
      </w:r>
    </w:p>
    <w:p>
      <w:pPr>
        <w:pStyle w:val="ListBullet"/>
        <w:spacing w:line="360" w:lineRule="auto" w:after="0"/>
      </w:pPr>
      <w:r>
        <w:rPr>
          <w:rFonts w:ascii="Times New Roman" w:hAnsi="Times New Roman" w:eastAsia="宋体"/>
          <w:b w:val="0"/>
          <w:i w:val="0"/>
          <w:sz w:val="22"/>
        </w:rPr>
        <w:t>下层：用户在不确定需求下的用电优化（第二阶段决策）</w:t>
      </w:r>
    </w:p>
    <w:p>
      <w:pPr>
        <w:pStyle w:val="ListBullet"/>
        <w:spacing w:line="360" w:lineRule="auto" w:after="0"/>
      </w:pPr>
      <w:r>
        <w:rPr>
          <w:rFonts w:ascii="Times New Roman" w:hAnsi="Times New Roman" w:eastAsia="宋体"/>
          <w:b w:val="0"/>
          <w:i w:val="0"/>
          <w:sz w:val="22"/>
        </w:rPr>
        <w:t>通过场景法处理随机性</w:t>
      </w:r>
    </w:p>
    <w:p>
      <w:pPr>
        <w:pStyle w:val="Heading3"/>
        <w:spacing w:before="160" w:after="60"/>
      </w:pPr>
      <w:r>
        <w:rPr>
          <w:rFonts w:ascii="Times New Roman" w:hAnsi="Times New Roman" w:eastAsia="黑体"/>
          <w:b/>
          <w:i w:val="0"/>
          <w:sz w:val="24"/>
        </w:rPr>
        <w:t>9.5.3 机会约束规划</w:t>
      </w:r>
    </w:p>
    <w:p>
      <w:pPr>
        <w:spacing w:line="360" w:lineRule="auto" w:after="0"/>
        <w:ind w:firstLine="425"/>
      </w:pPr>
      <w:r>
        <w:rPr>
          <w:rFonts w:ascii="Times New Roman" w:hAnsi="Times New Roman" w:eastAsia="宋体"/>
          <w:b w:val="0"/>
          <w:i w:val="0"/>
          <w:sz w:val="22"/>
        </w:rPr>
        <w:t>机会约束规划允许约束以一定概率满足：</w:t>
      </w:r>
    </w:p>
    <w:p>
      <w:pPr>
        <w:spacing w:before="80" w:after="80"/>
        <w:jc w:val="center"/>
      </w:pPr>
      <m:oMathPara>
        <m:oMath>
          <m:r>
            <m:t>P(g(x,ξ)≤0)≥1−α</m:t>
          </m:r>
        </m:oMath>
      </m:oMathPara>
    </w:p>
    <w:p>
      <w:pPr>
        <w:spacing w:line="360" w:lineRule="auto" w:after="0"/>
        <w:ind w:firstLine="0"/>
      </w:pPr>
      <w:r>
        <w:rPr>
          <w:rFonts w:ascii="Times New Roman" w:hAnsi="Times New Roman" w:eastAsia="宋体"/>
          <w:b w:val="0"/>
          <w:i w:val="0"/>
          <w:sz w:val="22"/>
        </w:rPr>
        <w:t>其中1-α是置信水平。在实时定价中，机会约束可用于保证供电可靠性（如P(供给 ≥ 需求) ≥ 99 %）。</w:t>
      </w:r>
    </w:p>
    <w:p>
      <w:pPr>
        <w:pStyle w:val="Heading2"/>
        <w:spacing w:before="240" w:after="80"/>
      </w:pPr>
      <w:r>
        <w:rPr>
          <w:rFonts w:ascii="Times New Roman" w:hAnsi="Times New Roman" w:eastAsia="黑体"/>
          <w:b/>
          <w:i w:val="0"/>
          <w:sz w:val="28"/>
        </w:rPr>
        <w:t>9.6 信息延迟与预测更新</w:t>
      </w:r>
    </w:p>
    <w:p>
      <w:pPr>
        <w:pStyle w:val="Heading3"/>
        <w:spacing w:before="160" w:after="60"/>
      </w:pPr>
      <w:r>
        <w:rPr>
          <w:rFonts w:ascii="Times New Roman" w:hAnsi="Times New Roman" w:eastAsia="黑体"/>
          <w:b/>
          <w:i w:val="0"/>
          <w:sz w:val="24"/>
        </w:rPr>
        <w:t>9.6.1 代等（2017）的信息延迟模型</w:t>
      </w:r>
    </w:p>
    <w:p>
      <w:pPr>
        <w:spacing w:line="360" w:lineRule="auto" w:after="0"/>
        <w:ind w:firstLine="425"/>
      </w:pPr>
      <w:r>
        <w:rPr>
          <w:rFonts w:ascii="Times New Roman" w:hAnsi="Times New Roman" w:eastAsia="宋体"/>
          <w:b w:val="0"/>
          <w:i w:val="0"/>
          <w:sz w:val="22"/>
        </w:rPr>
        <w:t>代等（2017）研究了考虑信息延迟的智能电网实时定价和算法</w:t>
      </w:r>
      <w:r>
        <w:rPr>
          <w:rFonts w:ascii="Times New Roman" w:hAnsi="Times New Roman" w:eastAsia="Times New Roman"/>
          <w:b w:val="0"/>
          <w:i w:val="0"/>
          <w:sz w:val="18"/>
          <w:vertAlign w:val="superscript"/>
        </w:rPr>
        <w:t>[7]</w:t>
      </w:r>
      <w:r>
        <w:rPr>
          <w:rFonts w:ascii="Times New Roman" w:hAnsi="Times New Roman" w:eastAsia="宋体"/>
          <w:b w:val="0"/>
          <w:i w:val="0"/>
          <w:sz w:val="22"/>
        </w:rPr>
        <w:t>。信息延迟的影响包括：</w:t>
      </w:r>
    </w:p>
    <w:p>
      <w:pPr>
        <w:pStyle w:val="ListBullet"/>
        <w:spacing w:line="360" w:lineRule="auto" w:after="0"/>
      </w:pPr>
      <w:r>
        <w:rPr>
          <w:rFonts w:ascii="Times New Roman" w:hAnsi="Times New Roman" w:eastAsia="宋体"/>
          <w:b/>
          <w:i w:val="0"/>
          <w:sz w:val="22"/>
        </w:rPr>
        <w:t>价格信号滞后</w:t>
      </w:r>
      <w:r>
        <w:rPr>
          <w:rFonts w:ascii="Times New Roman" w:hAnsi="Times New Roman" w:eastAsia="宋体"/>
          <w:b w:val="0"/>
          <w:i w:val="0"/>
          <w:sz w:val="22"/>
        </w:rPr>
        <w:t>：用户收到的价格信息可能过时</w:t>
      </w:r>
    </w:p>
    <w:p>
      <w:pPr>
        <w:pStyle w:val="ListBullet"/>
        <w:spacing w:line="360" w:lineRule="auto" w:after="0"/>
      </w:pPr>
      <w:r>
        <w:rPr>
          <w:rFonts w:ascii="Times New Roman" w:hAnsi="Times New Roman" w:eastAsia="宋体"/>
          <w:b/>
          <w:i w:val="0"/>
          <w:sz w:val="22"/>
        </w:rPr>
        <w:t>反馈延迟</w:t>
      </w:r>
      <w:r>
        <w:rPr>
          <w:rFonts w:ascii="Times New Roman" w:hAnsi="Times New Roman" w:eastAsia="宋体"/>
          <w:b w:val="0"/>
          <w:i w:val="0"/>
          <w:sz w:val="22"/>
        </w:rPr>
        <w:t>：用户用电数据的反馈存在延迟</w:t>
      </w:r>
    </w:p>
    <w:p>
      <w:pPr>
        <w:pStyle w:val="ListBullet"/>
        <w:spacing w:line="360" w:lineRule="auto" w:after="0"/>
      </w:pPr>
      <w:r>
        <w:rPr>
          <w:rFonts w:ascii="Times New Roman" w:hAnsi="Times New Roman" w:eastAsia="宋体"/>
          <w:b/>
          <w:i w:val="0"/>
          <w:sz w:val="22"/>
        </w:rPr>
        <w:t>决策偏差</w:t>
      </w:r>
      <w:r>
        <w:rPr>
          <w:rFonts w:ascii="Times New Roman" w:hAnsi="Times New Roman" w:eastAsia="宋体"/>
          <w:b w:val="0"/>
          <w:i w:val="0"/>
          <w:sz w:val="22"/>
        </w:rPr>
        <w:t>：基于过时信息做出的定价决策偏离最优</w:t>
      </w:r>
    </w:p>
    <w:p>
      <w:pPr>
        <w:pStyle w:val="Heading3"/>
        <w:spacing w:before="160" w:after="60"/>
      </w:pPr>
      <w:r>
        <w:rPr>
          <w:rFonts w:ascii="Times New Roman" w:hAnsi="Times New Roman" w:eastAsia="黑体"/>
          <w:b/>
          <w:i w:val="0"/>
          <w:sz w:val="24"/>
        </w:rPr>
        <w:t>9.6.2 代等（2018）的预测更新机制</w:t>
      </w:r>
    </w:p>
    <w:p>
      <w:pPr>
        <w:spacing w:line="360" w:lineRule="auto" w:after="0"/>
        <w:ind w:firstLine="425"/>
      </w:pPr>
      <w:r>
        <w:rPr>
          <w:rFonts w:ascii="Times New Roman" w:hAnsi="Times New Roman" w:eastAsia="宋体"/>
          <w:b w:val="0"/>
          <w:i w:val="0"/>
          <w:sz w:val="22"/>
        </w:rPr>
        <w:t>代等（2018）研究了具有电力需求预测更新的智能电网实时定价机制</w:t>
      </w:r>
      <w:r>
        <w:rPr>
          <w:rFonts w:ascii="Times New Roman" w:hAnsi="Times New Roman" w:eastAsia="Times New Roman"/>
          <w:b w:val="0"/>
          <w:i w:val="0"/>
          <w:sz w:val="18"/>
          <w:vertAlign w:val="superscript"/>
        </w:rPr>
        <w:t>[12]</w:t>
      </w:r>
      <w:r>
        <w:rPr>
          <w:rFonts w:ascii="Times New Roman" w:hAnsi="Times New Roman" w:eastAsia="宋体"/>
          <w:b w:val="0"/>
          <w:i w:val="0"/>
          <w:sz w:val="22"/>
        </w:rPr>
        <w:t>。该方法通过定期更新负荷预测来修正定价决策：</w:t>
      </w:r>
    </w:p>
    <w:p>
      <w:pPr>
        <w:pStyle w:val="ListNumber"/>
        <w:spacing w:line="360" w:lineRule="auto" w:after="0"/>
      </w:pPr>
      <w:r>
        <w:rPr>
          <w:rFonts w:ascii="Times New Roman" w:hAnsi="Times New Roman" w:eastAsia="宋体"/>
          <w:b w:val="0"/>
          <w:i w:val="0"/>
          <w:sz w:val="22"/>
        </w:rPr>
        <w:t>在每个定价周期开始时发布初始价格</w:t>
      </w:r>
    </w:p>
    <w:p>
      <w:pPr>
        <w:pStyle w:val="ListNumber"/>
        <w:spacing w:line="360" w:lineRule="auto" w:after="0"/>
      </w:pPr>
      <w:r>
        <w:rPr>
          <w:rFonts w:ascii="Times New Roman" w:hAnsi="Times New Roman" w:eastAsia="宋体"/>
          <w:b w:val="0"/>
          <w:i w:val="0"/>
          <w:sz w:val="22"/>
        </w:rPr>
        <w:t>根据最新负荷数据更新预测</w:t>
      </w:r>
    </w:p>
    <w:p>
      <w:pPr>
        <w:pStyle w:val="ListNumber"/>
        <w:spacing w:line="360" w:lineRule="auto" w:after="0"/>
      </w:pPr>
      <w:r>
        <w:rPr>
          <w:rFonts w:ascii="Times New Roman" w:hAnsi="Times New Roman" w:eastAsia="宋体"/>
          <w:b w:val="0"/>
          <w:i w:val="0"/>
          <w:sz w:val="22"/>
        </w:rPr>
        <w:t>如预测偏差超过阈值，调整价格</w:t>
      </w:r>
    </w:p>
    <w:p>
      <w:pPr>
        <w:pStyle w:val="ListNumber"/>
        <w:spacing w:line="360" w:lineRule="auto" w:after="0"/>
      </w:pPr>
      <w:r>
        <w:rPr>
          <w:rFonts w:ascii="Times New Roman" w:hAnsi="Times New Roman" w:eastAsia="宋体"/>
          <w:b w:val="0"/>
          <w:i w:val="0"/>
          <w:sz w:val="22"/>
        </w:rPr>
        <w:t>重复直至周期结束</w:t>
      </w:r>
    </w:p>
    <w:p>
      <w:pPr>
        <w:pStyle w:val="Heading3"/>
        <w:spacing w:before="160" w:after="60"/>
      </w:pPr>
      <w:r>
        <w:rPr>
          <w:rFonts w:ascii="Times New Roman" w:hAnsi="Times New Roman" w:eastAsia="黑体"/>
          <w:b/>
          <w:i w:val="0"/>
          <w:sz w:val="24"/>
        </w:rPr>
        <w:t>9.6.3 中断风险下的定价</w:t>
      </w:r>
    </w:p>
    <w:p>
      <w:pPr>
        <w:spacing w:line="360" w:lineRule="auto" w:after="0"/>
        <w:ind w:firstLine="425"/>
      </w:pPr>
      <w:r>
        <w:rPr>
          <w:rFonts w:ascii="Times New Roman" w:hAnsi="Times New Roman" w:eastAsia="宋体"/>
          <w:b w:val="0"/>
          <w:i w:val="0"/>
          <w:sz w:val="22"/>
        </w:rPr>
        <w:t>代业明研究了中断风险下最优绿电合同比例与实时定价机制</w:t>
      </w:r>
      <w:r>
        <w:rPr>
          <w:rFonts w:ascii="Times New Roman" w:hAnsi="Times New Roman" w:eastAsia="Times New Roman"/>
          <w:b w:val="0"/>
          <w:i w:val="0"/>
          <w:sz w:val="18"/>
          <w:vertAlign w:val="superscript"/>
        </w:rPr>
        <w:t>[13]</w:t>
      </w:r>
      <w:r>
        <w:rPr>
          <w:rFonts w:ascii="Times New Roman" w:hAnsi="Times New Roman" w:eastAsia="宋体"/>
          <w:b w:val="0"/>
          <w:i w:val="0"/>
          <w:sz w:val="22"/>
        </w:rPr>
        <w:t>。该研究考虑了供电中断风险对定价策略的影响，设计了兼顾可靠性和经济性的定价方案。</w:t>
      </w:r>
    </w:p>
    <w:p>
      <w:pPr>
        <w:pStyle w:val="Heading3"/>
        <w:spacing w:before="160" w:after="60"/>
      </w:pPr>
      <w:r>
        <w:rPr>
          <w:rFonts w:ascii="Times New Roman" w:hAnsi="Times New Roman" w:eastAsia="黑体"/>
          <w:b/>
          <w:i w:val="0"/>
          <w:sz w:val="24"/>
        </w:rPr>
        <w:t>9.6.4 Zhu等的功率波动定价</w:t>
      </w:r>
    </w:p>
    <w:p>
      <w:pPr>
        <w:spacing w:line="360" w:lineRule="auto" w:after="0"/>
        <w:ind w:firstLine="425"/>
      </w:pPr>
      <w:r>
        <w:rPr>
          <w:rFonts w:ascii="Times New Roman" w:hAnsi="Times New Roman" w:eastAsia="宋体"/>
          <w:b w:val="0"/>
          <w:i w:val="0"/>
          <w:sz w:val="22"/>
        </w:rPr>
        <w:t>Zhu等（2018, 2019）系列研究了由功率波动引起的实时定价问题</w:t>
      </w:r>
      <w:r>
        <w:rPr>
          <w:rFonts w:ascii="Times New Roman" w:hAnsi="Times New Roman" w:eastAsia="Times New Roman"/>
          <w:b w:val="0"/>
          <w:i w:val="0"/>
          <w:sz w:val="18"/>
          <w:vertAlign w:val="superscript"/>
        </w:rPr>
        <w:t>[14]</w:t>
      </w:r>
      <w:r>
        <w:rPr>
          <w:rFonts w:ascii="Times New Roman" w:hAnsi="Times New Roman" w:eastAsia="Times New Roman"/>
          <w:b w:val="0"/>
          <w:i w:val="0"/>
          <w:sz w:val="18"/>
          <w:vertAlign w:val="superscript"/>
        </w:rPr>
        <w:t>[15]</w:t>
      </w:r>
      <w:r>
        <w:rPr>
          <w:rFonts w:ascii="Times New Roman" w:hAnsi="Times New Roman" w:eastAsia="Times New Roman"/>
          <w:b w:val="0"/>
          <w:i w:val="0"/>
          <w:sz w:val="18"/>
          <w:vertAlign w:val="superscript"/>
        </w:rPr>
        <w:t>[16]</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Zhu等（2018a）：基于交替方向法的需求响应实时定价</w:t>
      </w:r>
    </w:p>
    <w:p>
      <w:pPr>
        <w:pStyle w:val="ListBullet"/>
        <w:spacing w:line="360" w:lineRule="auto" w:after="0"/>
      </w:pPr>
      <w:r>
        <w:rPr>
          <w:rFonts w:ascii="Times New Roman" w:hAnsi="Times New Roman" w:eastAsia="宋体"/>
          <w:b w:val="0"/>
          <w:i w:val="0"/>
          <w:sz w:val="22"/>
        </w:rPr>
        <w:t>Zhu等（2018b）：考虑功率波动的多时段实时定价策略</w:t>
      </w:r>
    </w:p>
    <w:p>
      <w:pPr>
        <w:pStyle w:val="ListBullet"/>
        <w:spacing w:line="360" w:lineRule="auto" w:after="0"/>
      </w:pPr>
      <w:r>
        <w:rPr>
          <w:rFonts w:ascii="Times New Roman" w:hAnsi="Times New Roman" w:eastAsia="宋体"/>
          <w:b w:val="0"/>
          <w:i w:val="0"/>
          <w:sz w:val="22"/>
        </w:rPr>
        <w:t>Zhu等（2019）：考虑不同类型智能家居的实时定价</w:t>
      </w:r>
    </w:p>
    <w:p>
      <w:pPr>
        <w:spacing w:line="360" w:lineRule="auto" w:after="0"/>
        <w:ind w:firstLine="425"/>
      </w:pPr>
      <w:r>
        <w:rPr>
          <w:rFonts w:ascii="Times New Roman" w:hAnsi="Times New Roman" w:eastAsia="宋体"/>
          <w:b w:val="0"/>
          <w:i w:val="0"/>
          <w:sz w:val="22"/>
        </w:rPr>
        <w:t>这些研究系统性地处理了可再生能源功率波动对定价的影响。</w:t>
      </w:r>
    </w:p>
    <w:p>
      <w:pPr>
        <w:pStyle w:val="Heading2"/>
        <w:spacing w:before="240" w:after="80"/>
      </w:pPr>
      <w:r>
        <w:rPr>
          <w:rFonts w:ascii="Times New Roman" w:hAnsi="Times New Roman" w:eastAsia="黑体"/>
          <w:b/>
          <w:i w:val="0"/>
          <w:sz w:val="28"/>
        </w:rPr>
        <w:t>本章小结</w:t>
      </w:r>
    </w:p>
    <w:p>
      <w:pPr>
        <w:spacing w:line="360" w:lineRule="auto" w:after="0"/>
        <w:ind w:firstLine="425"/>
      </w:pPr>
      <w:r>
        <w:rPr>
          <w:rFonts w:ascii="Times New Roman" w:hAnsi="Times New Roman" w:eastAsia="宋体"/>
          <w:b w:val="0"/>
          <w:i w:val="0"/>
          <w:sz w:val="22"/>
        </w:rPr>
        <w:t>不确定性是智能电网实时定价面临的核心挑战。本章从需求侧、供给侧和通信信息三个维度分析了不确定性的来源，介绍了负载不确定性建模、可再生能源波动处理、鲁棒优化和随机规划等方法。杨扬等的双重不确定性鲁棒优化方法和Zhang等的双层随机RTP模型是这一方向的代表性工作。信息延迟和预测更新机制的研究进一步贴近了实际应用场景。在不确定性环境下设计稳健的定价策略，是实时定价从理论研究走向实际部署的关键。</w:t>
      </w:r>
    </w:p>
    <w:p>
      <w:pPr>
        <w:pStyle w:val="Heading2"/>
        <w:spacing w:before="240" w:after="80"/>
      </w:pPr>
      <w:r>
        <w:rPr>
          <w:rFonts w:ascii="Times New Roman" w:hAnsi="Times New Roman" w:eastAsia="黑体"/>
          <w:b/>
          <w:i w:val="0"/>
          <w:sz w:val="28"/>
        </w:rPr>
        <w:t>9.7 国际比较与经验借鉴</w:t>
      </w:r>
    </w:p>
    <w:p>
      <w:pPr>
        <w:pStyle w:val="Heading3"/>
        <w:spacing w:before="160" w:after="60"/>
      </w:pPr>
      <w:r>
        <w:rPr>
          <w:rFonts w:ascii="Times New Roman" w:hAnsi="Times New Roman" w:eastAsia="黑体"/>
          <w:b/>
          <w:i w:val="0"/>
          <w:sz w:val="24"/>
        </w:rPr>
        <w:t>国际不确定性优化研究</w:t>
      </w:r>
    </w:p>
    <w:p>
      <w:pPr>
        <w:spacing w:line="360" w:lineRule="auto" w:after="0"/>
        <w:ind w:firstLine="425"/>
      </w:pPr>
      <w:r>
        <w:rPr>
          <w:rFonts w:ascii="Times New Roman" w:hAnsi="Times New Roman" w:eastAsia="宋体"/>
          <w:b w:val="0"/>
          <w:i w:val="0"/>
          <w:sz w:val="22"/>
        </w:rPr>
        <w:t>国际上对电力系统不确定性优化有丰富研究：</w:t>
      </w:r>
    </w:p>
    <w:p>
      <w:pPr>
        <w:spacing w:line="360" w:lineRule="auto" w:after="0"/>
        <w:ind w:firstLine="425"/>
      </w:pPr>
      <w:r>
        <w:rPr>
          <w:rFonts w:ascii="Times New Roman" w:hAnsi="Times New Roman" w:eastAsia="宋体"/>
          <w:b/>
          <w:i w:val="0"/>
          <w:sz w:val="22"/>
        </w:rPr>
        <w:t>鲁棒优化方向</w:t>
      </w:r>
      <w:r>
        <w:rPr>
          <w:rFonts w:ascii="Times New Roman" w:hAnsi="Times New Roman" w:eastAsia="宋体"/>
          <w:b w:val="0"/>
          <w:i w:val="0"/>
          <w:sz w:val="22"/>
        </w:rPr>
        <w:t>：Nemati等（2026）提出了基于多边界鲁棒优化的可再生能源VPP市场参与方法，考虑了小时内不确定性暴露。Dieci等（2026）研究了可再生能源工厂的鲁棒MILP优化，重点关注BESS容量配置在不确定性缓解中的作用。</w:t>
      </w:r>
    </w:p>
    <w:p>
      <w:pPr>
        <w:spacing w:line="360" w:lineRule="auto" w:after="0"/>
        <w:ind w:firstLine="425"/>
      </w:pPr>
      <w:r>
        <w:rPr>
          <w:rFonts w:ascii="Times New Roman" w:hAnsi="Times New Roman" w:eastAsia="宋体"/>
          <w:b/>
          <w:i w:val="0"/>
          <w:sz w:val="22"/>
        </w:rPr>
        <w:t>分布鲁棒优化方向</w:t>
      </w:r>
      <w:r>
        <w:rPr>
          <w:rFonts w:ascii="Times New Roman" w:hAnsi="Times New Roman" w:eastAsia="宋体"/>
          <w:b w:val="0"/>
          <w:i w:val="0"/>
          <w:sz w:val="22"/>
        </w:rPr>
        <w:t>：近年来，分布鲁棒优化（Distributionally Robust Optimization, DRO）在电力定价中受到关注。DRO不依赖精确的概率分布，而是在概率分布的不确定性集合（如Wasserstein球）内寻找最坏分布下的最优解。国内研究者提出了基于条件风险价值的分布鲁棒优化在电力市场中的价格决策模型，将CVaR指标引入DRO框架。</w:t>
      </w:r>
    </w:p>
    <w:p>
      <w:pPr>
        <w:spacing w:line="360" w:lineRule="auto" w:after="0"/>
        <w:ind w:firstLine="425"/>
      </w:pPr>
      <w:r>
        <w:rPr>
          <w:rFonts w:ascii="Times New Roman" w:hAnsi="Times New Roman" w:eastAsia="宋体"/>
          <w:b/>
          <w:i w:val="0"/>
          <w:sz w:val="22"/>
        </w:rPr>
        <w:t>两阶段鲁棒优化</w:t>
      </w:r>
      <w:r>
        <w:rPr>
          <w:rFonts w:ascii="Times New Roman" w:hAnsi="Times New Roman" w:eastAsia="宋体"/>
          <w:b w:val="0"/>
          <w:i w:val="0"/>
          <w:sz w:val="22"/>
        </w:rPr>
        <w:t>：Sun等（2026）研究了考虑多种可再生能源供应不确定性的微电网两阶段鲁棒优化方法，基于安全边界约束处理源-荷双重不确定性。</w:t>
      </w:r>
    </w:p>
    <w:p>
      <w:pPr>
        <w:spacing w:line="360" w:lineRule="auto" w:after="0"/>
        <w:ind w:firstLine="425"/>
      </w:pPr>
      <w:r>
        <w:rPr>
          <w:rFonts w:ascii="Times New Roman" w:hAnsi="Times New Roman" w:eastAsia="宋体"/>
          <w:b/>
          <w:i w:val="0"/>
          <w:sz w:val="22"/>
        </w:rPr>
        <w:t>综合能源系统鲁棒优化</w:t>
      </w:r>
      <w:r>
        <w:rPr>
          <w:rFonts w:ascii="Times New Roman" w:hAnsi="Times New Roman" w:eastAsia="宋体"/>
          <w:b w:val="0"/>
          <w:i w:val="0"/>
          <w:sz w:val="22"/>
        </w:rPr>
        <w:t>：Mao等（2026）研究了考虑动态能效和动态碳交易的综合能源系统需求响应优化经济调度，将碳交易机制与鲁棒优化结合。</w:t>
      </w:r>
    </w:p>
    <w:p>
      <w:pPr>
        <w:pStyle w:val="Heading3"/>
        <w:spacing w:before="160" w:after="60"/>
      </w:pPr>
      <w:r>
        <w:rPr>
          <w:rFonts w:ascii="Times New Roman" w:hAnsi="Times New Roman" w:eastAsia="黑体"/>
          <w:b/>
          <w:i w:val="0"/>
          <w:sz w:val="24"/>
        </w:rPr>
        <w:t>可再生能源预测方法比较</w:t>
      </w:r>
    </w:p>
    <w:p>
      <w:pPr>
        <w:spacing w:line="360" w:lineRule="auto" w:after="0"/>
        <w:ind w:firstLine="425"/>
      </w:pPr>
      <w:r>
        <w:rPr>
          <w:rFonts w:ascii="Times New Roman" w:hAnsi="Times New Roman" w:eastAsia="宋体"/>
          <w:b w:val="0"/>
          <w:i w:val="0"/>
          <w:sz w:val="22"/>
        </w:rPr>
        <w:t>不同预测方法在可再生能源出力预测中的性能比较：</w:t>
      </w:r>
    </w:p>
    <w:tbl>
      <w:tblPr>
        <w:tblStyle w:val="LightGrid-Accent1"/>
        <w:tblW w:type="auto" w:w="0"/>
        <w:jc w:val="center"/>
        <w:tblLook w:firstColumn="1" w:firstRow="1" w:lastColumn="0" w:lastRow="0" w:noHBand="0" w:noVBand="1" w:val="04A0"/>
      </w:tblPr>
      <w:tblGrid>
        <w:gridCol w:w="1701"/>
        <w:gridCol w:w="1701"/>
        <w:gridCol w:w="1701"/>
        <w:gridCol w:w="1701"/>
        <w:gridCol w:w="1701"/>
      </w:tblGrid>
      <w:tr>
        <w:tc>
          <w:tcPr>
            <w:tcW w:type="dxa" w:w="1701"/>
          </w:tcPr>
          <w:p>
            <w:pPr>
              <w:spacing w:after="40" w:before="40"/>
            </w:pPr>
            <w:r>
              <w:rPr>
                <w:b/>
              </w:rPr>
            </w:r>
            <w:r>
              <w:rPr>
                <w:rFonts w:ascii="Times New Roman" w:hAnsi="Times New Roman" w:eastAsia="黑体"/>
                <w:b/>
                <w:i w:val="0"/>
                <w:sz w:val="20"/>
              </w:rPr>
              <w:t>预测方法</w:t>
            </w:r>
          </w:p>
        </w:tc>
        <w:tc>
          <w:tcPr>
            <w:tcW w:type="dxa" w:w="1701"/>
          </w:tcPr>
          <w:p>
            <w:pPr>
              <w:spacing w:after="40" w:before="40"/>
            </w:pPr>
            <w:r>
              <w:rPr>
                <w:b/>
              </w:rPr>
            </w:r>
            <w:r>
              <w:rPr>
                <w:rFonts w:ascii="Times New Roman" w:hAnsi="Times New Roman" w:eastAsia="黑体"/>
                <w:b/>
                <w:i w:val="0"/>
                <w:sz w:val="20"/>
              </w:rPr>
              <w:t>预测精度(MAPE)</w:t>
            </w:r>
          </w:p>
        </w:tc>
        <w:tc>
          <w:tcPr>
            <w:tcW w:type="dxa" w:w="1701"/>
          </w:tcPr>
          <w:p>
            <w:pPr>
              <w:spacing w:after="40" w:before="40"/>
            </w:pPr>
            <w:r>
              <w:rPr>
                <w:b/>
              </w:rPr>
            </w:r>
            <w:r>
              <w:rPr>
                <w:rFonts w:ascii="Times New Roman" w:hAnsi="Times New Roman" w:eastAsia="黑体"/>
                <w:b/>
                <w:i w:val="0"/>
                <w:sz w:val="20"/>
              </w:rPr>
              <w:t>适用时间尺度</w:t>
            </w:r>
          </w:p>
        </w:tc>
        <w:tc>
          <w:tcPr>
            <w:tcW w:type="dxa" w:w="1701"/>
          </w:tcPr>
          <w:p>
            <w:pPr>
              <w:spacing w:after="40" w:before="40"/>
            </w:pPr>
            <w:r>
              <w:rPr>
                <w:b/>
              </w:rPr>
            </w:r>
            <w:r>
              <w:rPr>
                <w:rFonts w:ascii="Times New Roman" w:hAnsi="Times New Roman" w:eastAsia="黑体"/>
                <w:b/>
                <w:i w:val="0"/>
                <w:sz w:val="20"/>
              </w:rPr>
              <w:t>计算复杂度</w:t>
            </w:r>
          </w:p>
        </w:tc>
        <w:tc>
          <w:tcPr>
            <w:tcW w:type="dxa" w:w="1701"/>
          </w:tcPr>
          <w:p>
            <w:pPr>
              <w:spacing w:after="40" w:before="40"/>
            </w:pPr>
            <w:r>
              <w:rPr>
                <w:b/>
              </w:rPr>
            </w:r>
            <w:r>
              <w:rPr>
                <w:rFonts w:ascii="Times New Roman" w:hAnsi="Times New Roman" w:eastAsia="黑体"/>
                <w:b/>
                <w:i w:val="0"/>
                <w:sz w:val="20"/>
              </w:rPr>
              <w:t>数据需求</w:t>
            </w:r>
          </w:p>
        </w:tc>
      </w:tr>
      <w:tr>
        <w:tc>
          <w:tcPr>
            <w:tcW w:type="dxa" w:w="1701"/>
          </w:tcPr>
          <w:p>
            <w:pPr>
              <w:spacing w:after="40" w:before="40"/>
            </w:pPr>
            <w:r/>
            <w:r>
              <w:rPr>
                <w:rFonts w:ascii="Times New Roman" w:hAnsi="Times New Roman" w:eastAsia="宋体"/>
                <w:b w:val="0"/>
                <w:i w:val="0"/>
                <w:sz w:val="20"/>
              </w:rPr>
              <w:t>ARIMAX</w:t>
            </w:r>
          </w:p>
        </w:tc>
        <w:tc>
          <w:tcPr>
            <w:tcW w:type="dxa" w:w="1701"/>
          </w:tcPr>
          <w:p>
            <w:pPr>
              <w:spacing w:after="40" w:before="40"/>
            </w:pPr>
            <w:r/>
            <w:r>
              <w:rPr>
                <w:rFonts w:ascii="Times New Roman" w:hAnsi="Times New Roman" w:eastAsia="宋体"/>
                <w:b w:val="0"/>
                <w:i w:val="0"/>
                <w:sz w:val="20"/>
              </w:rPr>
              <w:t>8%-15%</w:t>
            </w:r>
          </w:p>
        </w:tc>
        <w:tc>
          <w:tcPr>
            <w:tcW w:type="dxa" w:w="1701"/>
          </w:tcPr>
          <w:p>
            <w:pPr>
              <w:spacing w:after="40" w:before="40"/>
            </w:pPr>
            <w:r/>
            <w:r>
              <w:rPr>
                <w:rFonts w:ascii="Times New Roman" w:hAnsi="Times New Roman" w:eastAsia="宋体"/>
                <w:b w:val="0"/>
                <w:i w:val="0"/>
                <w:sz w:val="20"/>
              </w:rPr>
              <w:t>小时-天</w:t>
            </w:r>
          </w:p>
        </w:tc>
        <w:tc>
          <w:tcPr>
            <w:tcW w:type="dxa" w:w="1701"/>
          </w:tcPr>
          <w:p>
            <w:pPr>
              <w:spacing w:after="40" w:before="40"/>
            </w:pPr>
            <w:r/>
            <w:r>
              <w:rPr>
                <w:rFonts w:ascii="Times New Roman" w:hAnsi="Times New Roman" w:eastAsia="宋体"/>
                <w:b w:val="0"/>
                <w:i w:val="0"/>
                <w:sz w:val="20"/>
              </w:rPr>
              <w:t>低</w:t>
            </w:r>
          </w:p>
        </w:tc>
        <w:tc>
          <w:tcPr>
            <w:tcW w:type="dxa" w:w="1701"/>
          </w:tcPr>
          <w:p>
            <w:pPr>
              <w:spacing w:after="40" w:before="40"/>
            </w:pPr>
            <w:r/>
            <w:r>
              <w:rPr>
                <w:rFonts w:ascii="Times New Roman" w:hAnsi="Times New Roman" w:eastAsia="宋体"/>
                <w:b w:val="0"/>
                <w:i w:val="0"/>
                <w:sz w:val="20"/>
              </w:rPr>
              <w:t>历史序列</w:t>
            </w:r>
          </w:p>
        </w:tc>
      </w:tr>
      <w:tr>
        <w:tc>
          <w:tcPr>
            <w:tcW w:type="dxa" w:w="1701"/>
            <w:shd w:val="clear" w:color="auto" w:fill="F0F4F8"/>
          </w:tcPr>
          <w:p>
            <w:pPr>
              <w:spacing w:after="40" w:before="40"/>
            </w:pPr>
            <w:r/>
            <w:r>
              <w:rPr>
                <w:rFonts w:ascii="Times New Roman" w:hAnsi="Times New Roman" w:eastAsia="宋体"/>
                <w:b w:val="0"/>
                <w:i w:val="0"/>
                <w:sz w:val="20"/>
              </w:rPr>
              <w:t>Haar小波+ARIMAX</w:t>
            </w:r>
          </w:p>
        </w:tc>
        <w:tc>
          <w:tcPr>
            <w:tcW w:type="dxa" w:w="1701"/>
            <w:shd w:val="clear" w:color="auto" w:fill="F0F4F8"/>
          </w:tcPr>
          <w:p>
            <w:pPr>
              <w:spacing w:after="40" w:before="40"/>
            </w:pPr>
            <w:r/>
            <w:r>
              <w:rPr>
                <w:rFonts w:ascii="Times New Roman" w:hAnsi="Times New Roman" w:eastAsia="宋体"/>
                <w:b w:val="0"/>
                <w:i w:val="0"/>
                <w:sz w:val="20"/>
              </w:rPr>
              <w:t>6%-12%</w:t>
            </w:r>
          </w:p>
        </w:tc>
        <w:tc>
          <w:tcPr>
            <w:tcW w:type="dxa" w:w="1701"/>
            <w:shd w:val="clear" w:color="auto" w:fill="F0F4F8"/>
          </w:tcPr>
          <w:p>
            <w:pPr>
              <w:spacing w:after="40" w:before="40"/>
            </w:pPr>
            <w:r/>
            <w:r>
              <w:rPr>
                <w:rFonts w:ascii="Times New Roman" w:hAnsi="Times New Roman" w:eastAsia="宋体"/>
                <w:b w:val="0"/>
                <w:i w:val="0"/>
                <w:sz w:val="20"/>
              </w:rPr>
              <w:t>小时-天</w:t>
            </w:r>
          </w:p>
        </w:tc>
        <w:tc>
          <w:tcPr>
            <w:tcW w:type="dxa" w:w="1701"/>
            <w:shd w:val="clear" w:color="auto" w:fill="F0F4F8"/>
          </w:tcPr>
          <w:p>
            <w:pPr>
              <w:spacing w:after="40" w:before="40"/>
            </w:pPr>
            <w:r/>
            <w:r>
              <w:rPr>
                <w:rFonts w:ascii="Times New Roman" w:hAnsi="Times New Roman" w:eastAsia="宋体"/>
                <w:b w:val="0"/>
                <w:i w:val="0"/>
                <w:sz w:val="20"/>
              </w:rPr>
              <w:t>中</w:t>
            </w:r>
          </w:p>
        </w:tc>
        <w:tc>
          <w:tcPr>
            <w:tcW w:type="dxa" w:w="1701"/>
            <w:shd w:val="clear" w:color="auto" w:fill="F0F4F8"/>
          </w:tcPr>
          <w:p>
            <w:pPr>
              <w:spacing w:after="40" w:before="40"/>
            </w:pPr>
            <w:r/>
            <w:r>
              <w:rPr>
                <w:rFonts w:ascii="Times New Roman" w:hAnsi="Times New Roman" w:eastAsia="宋体"/>
                <w:b w:val="0"/>
                <w:i w:val="0"/>
                <w:sz w:val="20"/>
              </w:rPr>
              <w:t>历史序列</w:t>
            </w:r>
          </w:p>
        </w:tc>
      </w:tr>
      <w:tr>
        <w:tc>
          <w:tcPr>
            <w:tcW w:type="dxa" w:w="1701"/>
          </w:tcPr>
          <w:p>
            <w:pPr>
              <w:spacing w:after="40" w:before="40"/>
            </w:pPr>
            <w:r/>
            <w:r>
              <w:rPr>
                <w:rFonts w:ascii="Times New Roman" w:hAnsi="Times New Roman" w:eastAsia="宋体"/>
                <w:b w:val="0"/>
                <w:i w:val="0"/>
                <w:sz w:val="20"/>
              </w:rPr>
              <w:t>SVM</w:t>
            </w:r>
          </w:p>
        </w:tc>
        <w:tc>
          <w:tcPr>
            <w:tcW w:type="dxa" w:w="1701"/>
          </w:tcPr>
          <w:p>
            <w:pPr>
              <w:spacing w:after="40" w:before="40"/>
            </w:pPr>
            <w:r/>
            <w:r>
              <w:rPr>
                <w:rFonts w:ascii="Times New Roman" w:hAnsi="Times New Roman" w:eastAsia="宋体"/>
                <w:b w:val="0"/>
                <w:i w:val="0"/>
                <w:sz w:val="20"/>
              </w:rPr>
              <w:t>5%-10%</w:t>
            </w:r>
          </w:p>
        </w:tc>
        <w:tc>
          <w:tcPr>
            <w:tcW w:type="dxa" w:w="1701"/>
          </w:tcPr>
          <w:p>
            <w:pPr>
              <w:spacing w:after="40" w:before="40"/>
            </w:pPr>
            <w:r/>
            <w:r>
              <w:rPr>
                <w:rFonts w:ascii="Times New Roman" w:hAnsi="Times New Roman" w:eastAsia="宋体"/>
                <w:b w:val="0"/>
                <w:i w:val="0"/>
                <w:sz w:val="20"/>
              </w:rPr>
              <w:t>小时-天</w:t>
            </w:r>
          </w:p>
        </w:tc>
        <w:tc>
          <w:tcPr>
            <w:tcW w:type="dxa" w:w="1701"/>
          </w:tcPr>
          <w:p>
            <w:pPr>
              <w:spacing w:after="40" w:before="40"/>
            </w:pPr>
            <w:r/>
            <w:r>
              <w:rPr>
                <w:rFonts w:ascii="Times New Roman" w:hAnsi="Times New Roman" w:eastAsia="宋体"/>
                <w:b w:val="0"/>
                <w:i w:val="0"/>
                <w:sz w:val="20"/>
              </w:rPr>
              <w:t>中</w:t>
            </w:r>
          </w:p>
        </w:tc>
        <w:tc>
          <w:tcPr>
            <w:tcW w:type="dxa" w:w="1701"/>
          </w:tcPr>
          <w:p>
            <w:pPr>
              <w:spacing w:after="40" w:before="40"/>
            </w:pPr>
            <w:r/>
            <w:r>
              <w:rPr>
                <w:rFonts w:ascii="Times New Roman" w:hAnsi="Times New Roman" w:eastAsia="宋体"/>
                <w:b w:val="0"/>
                <w:i w:val="0"/>
                <w:sz w:val="20"/>
              </w:rPr>
              <w:t>历史序列+特征</w:t>
            </w:r>
          </w:p>
        </w:tc>
      </w:tr>
      <w:tr>
        <w:tc>
          <w:tcPr>
            <w:tcW w:type="dxa" w:w="1701"/>
            <w:shd w:val="clear" w:color="auto" w:fill="F0F4F8"/>
          </w:tcPr>
          <w:p>
            <w:pPr>
              <w:spacing w:after="40" w:before="40"/>
            </w:pPr>
            <w:r/>
            <w:r>
              <w:rPr>
                <w:rFonts w:ascii="Times New Roman" w:hAnsi="Times New Roman" w:eastAsia="宋体"/>
                <w:b w:val="0"/>
                <w:i w:val="0"/>
                <w:sz w:val="20"/>
              </w:rPr>
              <w:t>LSTM</w:t>
            </w:r>
          </w:p>
        </w:tc>
        <w:tc>
          <w:tcPr>
            <w:tcW w:type="dxa" w:w="1701"/>
            <w:shd w:val="clear" w:color="auto" w:fill="F0F4F8"/>
          </w:tcPr>
          <w:p>
            <w:pPr>
              <w:spacing w:after="40" w:before="40"/>
            </w:pPr>
            <w:r/>
            <w:r>
              <w:rPr>
                <w:rFonts w:ascii="Times New Roman" w:hAnsi="Times New Roman" w:eastAsia="宋体"/>
                <w:b w:val="0"/>
                <w:i w:val="0"/>
                <w:sz w:val="20"/>
              </w:rPr>
              <w:t>4%-8%</w:t>
            </w:r>
          </w:p>
        </w:tc>
        <w:tc>
          <w:tcPr>
            <w:tcW w:type="dxa" w:w="1701"/>
            <w:shd w:val="clear" w:color="auto" w:fill="F0F4F8"/>
          </w:tcPr>
          <w:p>
            <w:pPr>
              <w:spacing w:after="40" w:before="40"/>
            </w:pPr>
            <w:r/>
            <w:r>
              <w:rPr>
                <w:rFonts w:ascii="Times New Roman" w:hAnsi="Times New Roman" w:eastAsia="宋体"/>
                <w:b w:val="0"/>
                <w:i w:val="0"/>
                <w:sz w:val="20"/>
              </w:rPr>
              <w:t>分钟-天</w:t>
            </w:r>
          </w:p>
        </w:tc>
        <w:tc>
          <w:tcPr>
            <w:tcW w:type="dxa" w:w="1701"/>
            <w:shd w:val="clear" w:color="auto" w:fill="F0F4F8"/>
          </w:tcPr>
          <w:p>
            <w:pPr>
              <w:spacing w:after="40" w:before="40"/>
            </w:pPr>
            <w:r/>
            <w:r>
              <w:rPr>
                <w:rFonts w:ascii="Times New Roman" w:hAnsi="Times New Roman" w:eastAsia="宋体"/>
                <w:b w:val="0"/>
                <w:i w:val="0"/>
                <w:sz w:val="20"/>
              </w:rPr>
              <w:t>高</w:t>
            </w:r>
          </w:p>
        </w:tc>
        <w:tc>
          <w:tcPr>
            <w:tcW w:type="dxa" w:w="1701"/>
            <w:shd w:val="clear" w:color="auto" w:fill="F0F4F8"/>
          </w:tcPr>
          <w:p>
            <w:pPr>
              <w:spacing w:after="40" w:before="40"/>
            </w:pPr>
            <w:r/>
            <w:r>
              <w:rPr>
                <w:rFonts w:ascii="Times New Roman" w:hAnsi="Times New Roman" w:eastAsia="宋体"/>
                <w:b w:val="0"/>
                <w:i w:val="0"/>
                <w:sz w:val="20"/>
              </w:rPr>
              <w:t>大量历史数据</w:t>
            </w:r>
          </w:p>
        </w:tc>
      </w:tr>
      <w:tr>
        <w:tc>
          <w:tcPr>
            <w:tcW w:type="dxa" w:w="1701"/>
          </w:tcPr>
          <w:p>
            <w:pPr>
              <w:spacing w:after="40" w:before="40"/>
            </w:pPr>
            <w:r/>
            <w:r>
              <w:rPr>
                <w:rFonts w:ascii="Times New Roman" w:hAnsi="Times New Roman" w:eastAsia="宋体"/>
                <w:b w:val="0"/>
                <w:i w:val="0"/>
                <w:sz w:val="20"/>
              </w:rPr>
              <w:t>Transformer</w:t>
            </w:r>
          </w:p>
        </w:tc>
        <w:tc>
          <w:tcPr>
            <w:tcW w:type="dxa" w:w="1701"/>
          </w:tcPr>
          <w:p>
            <w:pPr>
              <w:spacing w:after="40" w:before="40"/>
            </w:pPr>
            <w:r/>
            <w:r>
              <w:rPr>
                <w:rFonts w:ascii="Times New Roman" w:hAnsi="Times New Roman" w:eastAsia="宋体"/>
                <w:b w:val="0"/>
                <w:i w:val="0"/>
                <w:sz w:val="20"/>
              </w:rPr>
              <w:t>3%-7%</w:t>
            </w:r>
          </w:p>
        </w:tc>
        <w:tc>
          <w:tcPr>
            <w:tcW w:type="dxa" w:w="1701"/>
          </w:tcPr>
          <w:p>
            <w:pPr>
              <w:spacing w:after="40" w:before="40"/>
            </w:pPr>
            <w:r/>
            <w:r>
              <w:rPr>
                <w:rFonts w:ascii="Times New Roman" w:hAnsi="Times New Roman" w:eastAsia="宋体"/>
                <w:b w:val="0"/>
                <w:i w:val="0"/>
                <w:sz w:val="20"/>
              </w:rPr>
              <w:t>分钟-天</w:t>
            </w:r>
          </w:p>
        </w:tc>
        <w:tc>
          <w:tcPr>
            <w:tcW w:type="dxa" w:w="1701"/>
          </w:tcPr>
          <w:p>
            <w:pPr>
              <w:spacing w:after="40" w:before="40"/>
            </w:pPr>
            <w:r/>
            <w:r>
              <w:rPr>
                <w:rFonts w:ascii="Times New Roman" w:hAnsi="Times New Roman" w:eastAsia="宋体"/>
                <w:b w:val="0"/>
                <w:i w:val="0"/>
                <w:sz w:val="20"/>
              </w:rPr>
              <w:t>极高</w:t>
            </w:r>
          </w:p>
        </w:tc>
        <w:tc>
          <w:tcPr>
            <w:tcW w:type="dxa" w:w="1701"/>
          </w:tcPr>
          <w:p>
            <w:pPr>
              <w:spacing w:after="40" w:before="40"/>
            </w:pPr>
            <w:r/>
            <w:r>
              <w:rPr>
                <w:rFonts w:ascii="Times New Roman" w:hAnsi="Times New Roman" w:eastAsia="宋体"/>
                <w:b w:val="0"/>
                <w:i w:val="0"/>
                <w:sz w:val="20"/>
              </w:rPr>
              <w:t>大量历史数据</w:t>
            </w:r>
          </w:p>
        </w:tc>
      </w:tr>
      <w:tr>
        <w:tc>
          <w:tcPr>
            <w:tcW w:type="dxa" w:w="1701"/>
            <w:shd w:val="clear" w:color="auto" w:fill="F0F4F8"/>
          </w:tcPr>
          <w:p>
            <w:pPr>
              <w:spacing w:after="40" w:before="40"/>
            </w:pPr>
            <w:r/>
            <w:r>
              <w:rPr>
                <w:rFonts w:ascii="Times New Roman" w:hAnsi="Times New Roman" w:eastAsia="宋体"/>
                <w:b w:val="0"/>
                <w:i w:val="0"/>
                <w:sz w:val="20"/>
              </w:rPr>
              <w:t>混合模型</w:t>
            </w:r>
          </w:p>
        </w:tc>
        <w:tc>
          <w:tcPr>
            <w:tcW w:type="dxa" w:w="1701"/>
            <w:shd w:val="clear" w:color="auto" w:fill="F0F4F8"/>
          </w:tcPr>
          <w:p>
            <w:pPr>
              <w:spacing w:after="40" w:before="40"/>
            </w:pPr>
            <w:r/>
            <w:r>
              <w:rPr>
                <w:rFonts w:ascii="Times New Roman" w:hAnsi="Times New Roman" w:eastAsia="宋体"/>
                <w:b w:val="0"/>
                <w:i w:val="0"/>
                <w:sz w:val="20"/>
              </w:rPr>
              <w:t>3%-6%</w:t>
            </w:r>
          </w:p>
        </w:tc>
        <w:tc>
          <w:tcPr>
            <w:tcW w:type="dxa" w:w="1701"/>
            <w:shd w:val="clear" w:color="auto" w:fill="F0F4F8"/>
          </w:tcPr>
          <w:p>
            <w:pPr>
              <w:spacing w:after="40" w:before="40"/>
            </w:pPr>
            <w:r/>
            <w:r>
              <w:rPr>
                <w:rFonts w:ascii="Times New Roman" w:hAnsi="Times New Roman" w:eastAsia="宋体"/>
                <w:b w:val="0"/>
                <w:i w:val="0"/>
                <w:sz w:val="20"/>
              </w:rPr>
              <w:t>分钟-天</w:t>
            </w:r>
          </w:p>
        </w:tc>
        <w:tc>
          <w:tcPr>
            <w:tcW w:type="dxa" w:w="1701"/>
            <w:shd w:val="clear" w:color="auto" w:fill="F0F4F8"/>
          </w:tcPr>
          <w:p>
            <w:pPr>
              <w:spacing w:after="40" w:before="40"/>
            </w:pPr>
            <w:r/>
            <w:r>
              <w:rPr>
                <w:rFonts w:ascii="Times New Roman" w:hAnsi="Times New Roman" w:eastAsia="宋体"/>
                <w:b w:val="0"/>
                <w:i w:val="0"/>
                <w:sz w:val="20"/>
              </w:rPr>
              <w:t>高</w:t>
            </w:r>
          </w:p>
        </w:tc>
        <w:tc>
          <w:tcPr>
            <w:tcW w:type="dxa" w:w="1701"/>
            <w:shd w:val="clear" w:color="auto" w:fill="F0F4F8"/>
          </w:tcPr>
          <w:p>
            <w:pPr>
              <w:spacing w:after="40" w:before="40"/>
            </w:pPr>
            <w:r/>
            <w:r>
              <w:rPr>
                <w:rFonts w:ascii="Times New Roman" w:hAnsi="Times New Roman" w:eastAsia="宋体"/>
                <w:b w:val="0"/>
                <w:i w:val="0"/>
                <w:sz w:val="20"/>
              </w:rPr>
              <w:t>历史+气象+特征</w:t>
            </w:r>
          </w:p>
        </w:tc>
      </w:tr>
    </w:tbl>
    <w:p>
      <w:pPr>
        <w:spacing w:line="360" w:lineRule="auto" w:after="0"/>
        <w:ind w:firstLine="425"/>
      </w:pPr>
      <w:r>
        <w:rPr>
          <w:rFonts w:ascii="Times New Roman" w:hAnsi="Times New Roman" w:eastAsia="宋体"/>
          <w:b w:val="0"/>
          <w:i w:val="0"/>
          <w:sz w:val="22"/>
        </w:rPr>
        <w:t>党等（2019）的Haar小波与ARIMAX方法</w:t>
      </w:r>
      <w:r>
        <w:rPr>
          <w:rFonts w:ascii="Times New Roman" w:hAnsi="Times New Roman" w:eastAsia="Times New Roman"/>
          <w:b w:val="0"/>
          <w:i w:val="0"/>
          <w:sz w:val="18"/>
          <w:vertAlign w:val="superscript"/>
        </w:rPr>
        <w:t>[2]</w:t>
      </w:r>
      <w:r>
        <w:rPr>
          <w:rFonts w:ascii="Times New Roman" w:hAnsi="Times New Roman" w:eastAsia="宋体"/>
          <w:b w:val="0"/>
          <w:i w:val="0"/>
          <w:sz w:val="22"/>
        </w:rPr>
        <w:t>在计算效率和预测精度之间取得了良好平衡，适合实时定价的实时性要求。代等（2020）的SVM混合模型</w:t>
      </w:r>
      <w:r>
        <w:rPr>
          <w:rFonts w:ascii="Times New Roman" w:hAnsi="Times New Roman" w:eastAsia="Times New Roman"/>
          <w:b w:val="0"/>
          <w:i w:val="0"/>
          <w:sz w:val="18"/>
          <w:vertAlign w:val="superscript"/>
        </w:rPr>
        <w:t>[3]</w:t>
      </w:r>
      <w:r>
        <w:rPr>
          <w:rFonts w:ascii="Times New Roman" w:hAnsi="Times New Roman" w:eastAsia="宋体"/>
          <w:b w:val="0"/>
          <w:i w:val="0"/>
          <w:sz w:val="22"/>
        </w:rPr>
        <w:t>通过改进粒子群优化进一步提高了预测精度。</w:t>
      </w:r>
    </w:p>
    <w:p>
      <w:pPr>
        <w:pStyle w:val="Heading3"/>
        <w:spacing w:before="160" w:after="60"/>
      </w:pPr>
      <w:r>
        <w:rPr>
          <w:rFonts w:ascii="Times New Roman" w:hAnsi="Times New Roman" w:eastAsia="黑体"/>
          <w:b/>
          <w:i w:val="0"/>
          <w:sz w:val="24"/>
        </w:rPr>
        <w:t>Chen等（2010）的实时需求响应模型</w:t>
      </w:r>
    </w:p>
    <w:p>
      <w:pPr>
        <w:spacing w:line="360" w:lineRule="auto" w:after="0"/>
        <w:ind w:firstLine="425"/>
      </w:pPr>
      <w:r>
        <w:rPr>
          <w:rFonts w:ascii="Times New Roman" w:hAnsi="Times New Roman" w:eastAsia="宋体"/>
          <w:b w:val="0"/>
          <w:i w:val="0"/>
          <w:sz w:val="22"/>
        </w:rPr>
        <w:t>Conejo等（2010）提出了基于实时需求响应模型的定价方法，将不确定性直接嵌入定价决策。该模型的特点是：</w:t>
      </w:r>
    </w:p>
    <w:p>
      <w:pPr>
        <w:pStyle w:val="ListBullet"/>
        <w:spacing w:line="360" w:lineRule="auto" w:after="0"/>
      </w:pPr>
      <w:r>
        <w:rPr>
          <w:rFonts w:ascii="Times New Roman" w:hAnsi="Times New Roman" w:eastAsia="宋体"/>
          <w:b w:val="0"/>
          <w:i w:val="0"/>
          <w:sz w:val="22"/>
        </w:rPr>
        <w:t>价格信号反映实时供需状况</w:t>
      </w:r>
    </w:p>
    <w:p>
      <w:pPr>
        <w:pStyle w:val="ListBullet"/>
        <w:spacing w:line="360" w:lineRule="auto" w:after="0"/>
      </w:pPr>
      <w:r>
        <w:rPr>
          <w:rFonts w:ascii="Times New Roman" w:hAnsi="Times New Roman" w:eastAsia="宋体"/>
          <w:b w:val="0"/>
          <w:i w:val="0"/>
          <w:sz w:val="22"/>
        </w:rPr>
        <w:t>用户通过价格弹性响应价格变化</w:t>
      </w:r>
    </w:p>
    <w:p>
      <w:pPr>
        <w:pStyle w:val="ListBullet"/>
        <w:spacing w:line="360" w:lineRule="auto" w:after="0"/>
      </w:pPr>
      <w:r>
        <w:rPr>
          <w:rFonts w:ascii="Times New Roman" w:hAnsi="Times New Roman" w:eastAsia="宋体"/>
          <w:b w:val="0"/>
          <w:i w:val="0"/>
          <w:sz w:val="22"/>
        </w:rPr>
        <w:t>考虑了价格弹性矩阵来描述用户跨时段的响应</w:t>
      </w:r>
    </w:p>
    <w:p>
      <w:pPr>
        <w:spacing w:line="360" w:lineRule="auto" w:after="0"/>
        <w:ind w:firstLine="425"/>
      </w:pPr>
      <w:r>
        <w:rPr>
          <w:rFonts w:ascii="Times New Roman" w:hAnsi="Times New Roman" w:eastAsia="宋体"/>
          <w:b w:val="0"/>
          <w:i w:val="0"/>
          <w:sz w:val="22"/>
        </w:rPr>
        <w:t>Chen等（2010, 2012）系列研究了基于随机优化和鲁棒优化的住宅设备实时价格需求响应管理，将不确定性处理方法系统性地应用于住宅场景。</w:t>
      </w:r>
    </w:p>
    <w:p>
      <w:pPr>
        <w:pStyle w:val="Heading2"/>
        <w:spacing w:before="240" w:after="80"/>
      </w:pPr>
      <w:r>
        <w:rPr>
          <w:rFonts w:ascii="Times New Roman" w:hAnsi="Times New Roman" w:eastAsia="黑体"/>
          <w:b/>
          <w:i w:val="0"/>
          <w:sz w:val="28"/>
        </w:rPr>
        <w:t>9.8 实践案例深度分析</w:t>
      </w:r>
    </w:p>
    <w:p>
      <w:pPr>
        <w:pStyle w:val="Heading3"/>
        <w:spacing w:before="160" w:after="60"/>
      </w:pPr>
      <w:r>
        <w:rPr>
          <w:rFonts w:ascii="Times New Roman" w:hAnsi="Times New Roman" w:eastAsia="黑体"/>
          <w:b/>
          <w:i w:val="0"/>
          <w:sz w:val="24"/>
        </w:rPr>
        <w:t>案例1：双重不确定性鲁棒优化的仿真验证</w:t>
      </w:r>
    </w:p>
    <w:p>
      <w:pPr>
        <w:spacing w:line="360" w:lineRule="auto" w:after="0"/>
        <w:ind w:firstLine="425"/>
      </w:pPr>
      <w:r>
        <w:rPr>
          <w:rFonts w:ascii="Times New Roman" w:hAnsi="Times New Roman" w:eastAsia="宋体"/>
          <w:b w:val="0"/>
          <w:i w:val="0"/>
          <w:sz w:val="22"/>
        </w:rPr>
        <w:t>杨扬等的双重不确定性鲁棒优化方法</w:t>
      </w:r>
      <w:r>
        <w:rPr>
          <w:rFonts w:ascii="Times New Roman" w:hAnsi="Times New Roman" w:eastAsia="Times New Roman"/>
          <w:b w:val="0"/>
          <w:i w:val="0"/>
          <w:sz w:val="18"/>
          <w:vertAlign w:val="superscript"/>
        </w:rPr>
        <w:t>[10]</w:t>
      </w:r>
      <w:r>
        <w:rPr>
          <w:rFonts w:ascii="Times New Roman" w:hAnsi="Times New Roman" w:eastAsia="宋体"/>
          <w:b w:val="0"/>
          <w:i w:val="0"/>
          <w:sz w:val="22"/>
        </w:rPr>
        <w:t>在某仿真环境中进行了验证：</w:t>
      </w:r>
    </w:p>
    <w:p>
      <w:pPr>
        <w:spacing w:line="360" w:lineRule="auto" w:after="0"/>
        <w:ind w:firstLine="425"/>
      </w:pPr>
      <w:r>
        <w:rPr>
          <w:rFonts w:ascii="Times New Roman" w:hAnsi="Times New Roman" w:eastAsia="宋体"/>
          <w:b/>
          <w:i w:val="0"/>
          <w:sz w:val="22"/>
        </w:rPr>
        <w:t>实验设置</w:t>
      </w:r>
      <w:r>
        <w:rPr>
          <w:rFonts w:ascii="Times New Roman" w:hAnsi="Times New Roman" w:eastAsia="宋体"/>
          <w:b w:val="0"/>
          <w:i w:val="0"/>
          <w:sz w:val="22"/>
        </w:rPr>
        <w:t>：500个用户，100MW风电，50MW光伏，24小时优化周期。</w:t>
      </w:r>
    </w:p>
    <w:p>
      <w:pPr>
        <w:spacing w:line="360" w:lineRule="auto" w:after="0"/>
        <w:ind w:firstLine="425"/>
      </w:pPr>
      <w:r>
        <w:rPr>
          <w:rFonts w:ascii="Times New Roman" w:hAnsi="Times New Roman" w:eastAsia="宋体"/>
          <w:b/>
          <w:i w:val="0"/>
          <w:sz w:val="22"/>
        </w:rPr>
        <w:t>不确定性建模</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需求不确定性：正态分布，标准差为均值的15%</w:t>
      </w:r>
    </w:p>
    <w:p>
      <w:pPr>
        <w:pStyle w:val="ListBullet"/>
        <w:spacing w:line="360" w:lineRule="auto" w:after="0"/>
      </w:pPr>
      <w:r>
        <w:rPr>
          <w:rFonts w:ascii="Times New Roman" w:hAnsi="Times New Roman" w:eastAsia="宋体"/>
          <w:b w:val="0"/>
          <w:i w:val="0"/>
          <w:sz w:val="22"/>
        </w:rPr>
        <w:t>风电不确定性：Beta分布，参数α=2, β=3</w:t>
      </w:r>
    </w:p>
    <w:p>
      <w:pPr>
        <w:pStyle w:val="ListBullet"/>
        <w:spacing w:line="360" w:lineRule="auto" w:after="0"/>
      </w:pPr>
      <w:r>
        <w:rPr>
          <w:rFonts w:ascii="Times New Roman" w:hAnsi="Times New Roman" w:eastAsia="宋体"/>
          <w:b w:val="0"/>
          <w:i w:val="0"/>
          <w:sz w:val="22"/>
        </w:rPr>
        <w:t>光伏不确定性：Beta分布，参数α=4, β=2</w:t>
      </w:r>
    </w:p>
    <w:p>
      <w:pPr>
        <w:spacing w:line="360" w:lineRule="auto" w:after="0"/>
        <w:ind w:firstLine="425"/>
      </w:pPr>
      <w:r>
        <w:rPr>
          <w:rFonts w:ascii="Times New Roman" w:hAnsi="Times New Roman" w:eastAsia="宋体"/>
          <w:b/>
          <w:i w:val="0"/>
          <w:sz w:val="22"/>
        </w:rPr>
        <w:t>鲁棒性参数</w:t>
      </w:r>
      <w:r>
        <w:rPr>
          <w:rFonts w:ascii="Times New Roman" w:hAnsi="Times New Roman" w:eastAsia="宋体"/>
          <w:b w:val="0"/>
          <w:i w:val="0"/>
          <w:sz w:val="22"/>
        </w:rPr>
        <w:t>：不确定性预算Γ=10（控制保守度）。</w:t>
      </w:r>
    </w:p>
    <w:p>
      <w:pPr>
        <w:spacing w:line="360" w:lineRule="auto" w:after="0"/>
        <w:ind w:firstLine="425"/>
      </w:pPr>
      <w:r>
        <w:rPr>
          <w:rFonts w:ascii="Times New Roman" w:hAnsi="Times New Roman" w:eastAsia="宋体"/>
          <w:b/>
          <w:i w:val="0"/>
          <w:sz w:val="22"/>
        </w:rPr>
        <w:t>比较方法</w:t>
      </w:r>
      <w:r>
        <w:rPr>
          <w:rFonts w:ascii="Times New Roman" w:hAnsi="Times New Roman" w:eastAsia="宋体"/>
          <w:b w:val="0"/>
          <w:i w:val="0"/>
          <w:sz w:val="22"/>
        </w:rPr>
        <w:t>：确定性优化、随机规划、鲁棒优化、分布鲁棒优化。</w:t>
      </w:r>
    </w:p>
    <w:p>
      <w:pPr>
        <w:spacing w:line="360" w:lineRule="auto" w:after="0"/>
        <w:ind w:firstLine="425"/>
      </w:pPr>
      <w:r>
        <w:rPr>
          <w:rFonts w:ascii="Times New Roman" w:hAnsi="Times New Roman" w:eastAsia="宋体"/>
          <w:b/>
          <w:i w:val="0"/>
          <w:sz w:val="22"/>
        </w:rPr>
        <w:t>测试结果</w:t>
      </w:r>
      <w:r>
        <w:rPr>
          <w:rFonts w:ascii="Times New Roman" w:hAnsi="Times New Roman" w:eastAsia="宋体"/>
          <w:b w:val="0"/>
          <w:i w:val="0"/>
          <w:sz w:val="22"/>
        </w:rPr>
        <w:t>：</w:t>
      </w:r>
    </w:p>
    <w:tbl>
      <w:tblPr>
        <w:tblStyle w:val="LightGrid-Accent1"/>
        <w:tblW w:type="auto" w:w="0"/>
        <w:jc w:val="center"/>
        <w:tblLook w:firstColumn="1" w:firstRow="1" w:lastColumn="0" w:lastRow="0" w:noHBand="0" w:noVBand="1" w:val="04A0"/>
      </w:tblPr>
      <w:tblGrid>
        <w:gridCol w:w="1701"/>
        <w:gridCol w:w="1701"/>
        <w:gridCol w:w="1701"/>
        <w:gridCol w:w="1701"/>
        <w:gridCol w:w="1701"/>
      </w:tblGrid>
      <w:tr>
        <w:tc>
          <w:tcPr>
            <w:tcW w:type="dxa" w:w="1701"/>
          </w:tcPr>
          <w:p>
            <w:pPr>
              <w:spacing w:after="40" w:before="40"/>
            </w:pPr>
            <w:r>
              <w:rPr>
                <w:b/>
              </w:rPr>
            </w:r>
            <w:r>
              <w:rPr>
                <w:rFonts w:ascii="Times New Roman" w:hAnsi="Times New Roman" w:eastAsia="黑体"/>
                <w:b/>
                <w:i w:val="0"/>
                <w:sz w:val="20"/>
              </w:rPr>
              <w:t>方法</w:t>
            </w:r>
          </w:p>
        </w:tc>
        <w:tc>
          <w:tcPr>
            <w:tcW w:type="dxa" w:w="1701"/>
          </w:tcPr>
          <w:p>
            <w:pPr>
              <w:spacing w:after="40" w:before="40"/>
            </w:pPr>
            <w:r>
              <w:rPr>
                <w:b/>
              </w:rPr>
            </w:r>
            <w:r>
              <w:rPr>
                <w:rFonts w:ascii="Times New Roman" w:hAnsi="Times New Roman" w:eastAsia="黑体"/>
                <w:b/>
                <w:i w:val="0"/>
                <w:sz w:val="20"/>
              </w:rPr>
              <w:t>社会福利(万元)</w:t>
            </w:r>
          </w:p>
        </w:tc>
        <w:tc>
          <w:tcPr>
            <w:tcW w:type="dxa" w:w="1701"/>
          </w:tcPr>
          <w:p>
            <w:pPr>
              <w:spacing w:after="40" w:before="40"/>
            </w:pPr>
            <w:r>
              <w:rPr>
                <w:b/>
              </w:rPr>
            </w:r>
            <w:r>
              <w:rPr>
                <w:rFonts w:ascii="Times New Roman" w:hAnsi="Times New Roman" w:eastAsia="黑体"/>
                <w:b/>
                <w:i w:val="0"/>
                <w:sz w:val="20"/>
              </w:rPr>
              <w:t>峰值负荷(MW)</w:t>
            </w:r>
          </w:p>
        </w:tc>
        <w:tc>
          <w:tcPr>
            <w:tcW w:type="dxa" w:w="1701"/>
          </w:tcPr>
          <w:p>
            <w:pPr>
              <w:spacing w:after="40" w:before="40"/>
            </w:pPr>
            <w:r>
              <w:rPr>
                <w:b/>
              </w:rPr>
            </w:r>
            <w:r>
              <w:rPr>
                <w:rFonts w:ascii="Times New Roman" w:hAnsi="Times New Roman" w:eastAsia="黑体"/>
                <w:b/>
                <w:i w:val="0"/>
                <w:sz w:val="20"/>
              </w:rPr>
              <w:t>可再生消纳率</w:t>
            </w:r>
          </w:p>
        </w:tc>
        <w:tc>
          <w:tcPr>
            <w:tcW w:type="dxa" w:w="1701"/>
          </w:tcPr>
          <w:p>
            <w:pPr>
              <w:spacing w:after="40" w:before="40"/>
            </w:pPr>
            <w:r>
              <w:rPr>
                <w:b/>
              </w:rPr>
            </w:r>
            <w:r>
              <w:rPr>
                <w:rFonts w:ascii="Times New Roman" w:hAnsi="Times New Roman" w:eastAsia="黑体"/>
                <w:b/>
                <w:i w:val="0"/>
                <w:sz w:val="20"/>
              </w:rPr>
              <w:t>违约概率</w:t>
            </w:r>
          </w:p>
        </w:tc>
      </w:tr>
      <w:tr>
        <w:tc>
          <w:tcPr>
            <w:tcW w:type="dxa" w:w="1701"/>
          </w:tcPr>
          <w:p>
            <w:pPr>
              <w:spacing w:after="40" w:before="40"/>
            </w:pPr>
            <w:r/>
            <w:r>
              <w:rPr>
                <w:rFonts w:ascii="Times New Roman" w:hAnsi="Times New Roman" w:eastAsia="宋体"/>
                <w:b w:val="0"/>
                <w:i w:val="0"/>
                <w:sz w:val="20"/>
              </w:rPr>
              <w:t>确定性优化</w:t>
            </w:r>
          </w:p>
        </w:tc>
        <w:tc>
          <w:tcPr>
            <w:tcW w:type="dxa" w:w="1701"/>
          </w:tcPr>
          <w:p>
            <w:pPr>
              <w:spacing w:after="40" w:before="40"/>
            </w:pPr>
            <w:r/>
            <w:r>
              <w:rPr>
                <w:rFonts w:ascii="Times New Roman" w:hAnsi="Times New Roman" w:eastAsia="宋体"/>
                <w:b w:val="0"/>
                <w:i w:val="0"/>
                <w:sz w:val="20"/>
              </w:rPr>
              <w:t>12.5</w:t>
            </w:r>
          </w:p>
        </w:tc>
        <w:tc>
          <w:tcPr>
            <w:tcW w:type="dxa" w:w="1701"/>
          </w:tcPr>
          <w:p>
            <w:pPr>
              <w:spacing w:after="40" w:before="40"/>
            </w:pPr>
            <w:r/>
            <w:r>
              <w:rPr>
                <w:rFonts w:ascii="Times New Roman" w:hAnsi="Times New Roman" w:eastAsia="宋体"/>
                <w:b w:val="0"/>
                <w:i w:val="0"/>
                <w:sz w:val="20"/>
              </w:rPr>
              <w:t>85.2</w:t>
            </w:r>
          </w:p>
        </w:tc>
        <w:tc>
          <w:tcPr>
            <w:tcW w:type="dxa" w:w="1701"/>
          </w:tcPr>
          <w:p>
            <w:pPr>
              <w:spacing w:after="40" w:before="40"/>
            </w:pPr>
            <w:r/>
            <w:r>
              <w:rPr>
                <w:rFonts w:ascii="Times New Roman" w:hAnsi="Times New Roman" w:eastAsia="宋体"/>
                <w:b w:val="0"/>
                <w:i w:val="0"/>
                <w:sz w:val="20"/>
              </w:rPr>
              <w:t>88.5%</w:t>
            </w:r>
          </w:p>
        </w:tc>
        <w:tc>
          <w:tcPr>
            <w:tcW w:type="dxa" w:w="1701"/>
          </w:tcPr>
          <w:p>
            <w:pPr>
              <w:spacing w:after="40" w:before="40"/>
            </w:pPr>
            <w:r/>
            <w:r>
              <w:rPr>
                <w:rFonts w:ascii="Times New Roman" w:hAnsi="Times New Roman" w:eastAsia="宋体"/>
                <w:b w:val="0"/>
                <w:i w:val="0"/>
                <w:sz w:val="20"/>
              </w:rPr>
              <w:t>22.3%</w:t>
            </w:r>
          </w:p>
        </w:tc>
      </w:tr>
      <w:tr>
        <w:tc>
          <w:tcPr>
            <w:tcW w:type="dxa" w:w="1701"/>
            <w:shd w:val="clear" w:color="auto" w:fill="F0F4F8"/>
          </w:tcPr>
          <w:p>
            <w:pPr>
              <w:spacing w:after="40" w:before="40"/>
            </w:pPr>
            <w:r/>
            <w:r>
              <w:rPr>
                <w:rFonts w:ascii="Times New Roman" w:hAnsi="Times New Roman" w:eastAsia="宋体"/>
                <w:b w:val="0"/>
                <w:i w:val="0"/>
                <w:sz w:val="20"/>
              </w:rPr>
              <w:t>随机规划</w:t>
            </w:r>
          </w:p>
        </w:tc>
        <w:tc>
          <w:tcPr>
            <w:tcW w:type="dxa" w:w="1701"/>
            <w:shd w:val="clear" w:color="auto" w:fill="F0F4F8"/>
          </w:tcPr>
          <w:p>
            <w:pPr>
              <w:spacing w:after="40" w:before="40"/>
            </w:pPr>
            <w:r/>
            <w:r>
              <w:rPr>
                <w:rFonts w:ascii="Times New Roman" w:hAnsi="Times New Roman" w:eastAsia="宋体"/>
                <w:b w:val="0"/>
                <w:i w:val="0"/>
                <w:sz w:val="20"/>
              </w:rPr>
              <w:t>12.1</w:t>
            </w:r>
          </w:p>
        </w:tc>
        <w:tc>
          <w:tcPr>
            <w:tcW w:type="dxa" w:w="1701"/>
            <w:shd w:val="clear" w:color="auto" w:fill="F0F4F8"/>
          </w:tcPr>
          <w:p>
            <w:pPr>
              <w:spacing w:after="40" w:before="40"/>
            </w:pPr>
            <w:r/>
            <w:r>
              <w:rPr>
                <w:rFonts w:ascii="Times New Roman" w:hAnsi="Times New Roman" w:eastAsia="宋体"/>
                <w:b w:val="0"/>
                <w:i w:val="0"/>
                <w:sz w:val="20"/>
              </w:rPr>
              <w:t>82.8</w:t>
            </w:r>
          </w:p>
        </w:tc>
        <w:tc>
          <w:tcPr>
            <w:tcW w:type="dxa" w:w="1701"/>
            <w:shd w:val="clear" w:color="auto" w:fill="F0F4F8"/>
          </w:tcPr>
          <w:p>
            <w:pPr>
              <w:spacing w:after="40" w:before="40"/>
            </w:pPr>
            <w:r/>
            <w:r>
              <w:rPr>
                <w:rFonts w:ascii="Times New Roman" w:hAnsi="Times New Roman" w:eastAsia="宋体"/>
                <w:b w:val="0"/>
                <w:i w:val="0"/>
                <w:sz w:val="20"/>
              </w:rPr>
              <w:t>91.2%</w:t>
            </w:r>
          </w:p>
        </w:tc>
        <w:tc>
          <w:tcPr>
            <w:tcW w:type="dxa" w:w="1701"/>
            <w:shd w:val="clear" w:color="auto" w:fill="F0F4F8"/>
          </w:tcPr>
          <w:p>
            <w:pPr>
              <w:spacing w:after="40" w:before="40"/>
            </w:pPr>
            <w:r/>
            <w:r>
              <w:rPr>
                <w:rFonts w:ascii="Times New Roman" w:hAnsi="Times New Roman" w:eastAsia="宋体"/>
                <w:b w:val="0"/>
                <w:i w:val="0"/>
                <w:sz w:val="20"/>
              </w:rPr>
              <w:t>8.5%</w:t>
            </w:r>
          </w:p>
        </w:tc>
      </w:tr>
      <w:tr>
        <w:tc>
          <w:tcPr>
            <w:tcW w:type="dxa" w:w="1701"/>
          </w:tcPr>
          <w:p>
            <w:pPr>
              <w:spacing w:after="40" w:before="40"/>
            </w:pPr>
            <w:r/>
            <w:r>
              <w:rPr>
                <w:rFonts w:ascii="Times New Roman" w:hAnsi="Times New Roman" w:eastAsia="宋体"/>
                <w:b w:val="0"/>
                <w:i w:val="0"/>
                <w:sz w:val="20"/>
              </w:rPr>
              <w:t>鲁棒优化</w:t>
            </w:r>
          </w:p>
        </w:tc>
        <w:tc>
          <w:tcPr>
            <w:tcW w:type="dxa" w:w="1701"/>
          </w:tcPr>
          <w:p>
            <w:pPr>
              <w:spacing w:after="40" w:before="40"/>
            </w:pPr>
            <w:r/>
            <w:r>
              <w:rPr>
                <w:rFonts w:ascii="Times New Roman" w:hAnsi="Times New Roman" w:eastAsia="宋体"/>
                <w:b w:val="0"/>
                <w:i w:val="0"/>
                <w:sz w:val="20"/>
              </w:rPr>
              <w:t>11.6</w:t>
            </w:r>
          </w:p>
        </w:tc>
        <w:tc>
          <w:tcPr>
            <w:tcW w:type="dxa" w:w="1701"/>
          </w:tcPr>
          <w:p>
            <w:pPr>
              <w:spacing w:after="40" w:before="40"/>
            </w:pPr>
            <w:r/>
            <w:r>
              <w:rPr>
                <w:rFonts w:ascii="Times New Roman" w:hAnsi="Times New Roman" w:eastAsia="宋体"/>
                <w:b w:val="0"/>
                <w:i w:val="0"/>
                <w:sz w:val="20"/>
              </w:rPr>
              <w:t>78.5</w:t>
            </w:r>
          </w:p>
        </w:tc>
        <w:tc>
          <w:tcPr>
            <w:tcW w:type="dxa" w:w="1701"/>
          </w:tcPr>
          <w:p>
            <w:pPr>
              <w:spacing w:after="40" w:before="40"/>
            </w:pPr>
            <w:r/>
            <w:r>
              <w:rPr>
                <w:rFonts w:ascii="Times New Roman" w:hAnsi="Times New Roman" w:eastAsia="宋体"/>
                <w:b w:val="0"/>
                <w:i w:val="0"/>
                <w:sz w:val="20"/>
              </w:rPr>
              <w:t>94.8%</w:t>
            </w:r>
          </w:p>
        </w:tc>
        <w:tc>
          <w:tcPr>
            <w:tcW w:type="dxa" w:w="1701"/>
          </w:tcPr>
          <w:p>
            <w:pPr>
              <w:spacing w:after="40" w:before="40"/>
            </w:pPr>
            <w:r/>
            <w:r>
              <w:rPr>
                <w:rFonts w:ascii="Times New Roman" w:hAnsi="Times New Roman" w:eastAsia="宋体"/>
                <w:b w:val="0"/>
                <w:i w:val="0"/>
                <w:sz w:val="20"/>
              </w:rPr>
              <w:t>1.2%</w:t>
            </w:r>
          </w:p>
        </w:tc>
      </w:tr>
      <w:tr>
        <w:tc>
          <w:tcPr>
            <w:tcW w:type="dxa" w:w="1701"/>
            <w:shd w:val="clear" w:color="auto" w:fill="F0F4F8"/>
          </w:tcPr>
          <w:p>
            <w:pPr>
              <w:spacing w:after="40" w:before="40"/>
            </w:pPr>
            <w:r/>
            <w:r>
              <w:rPr>
                <w:rFonts w:ascii="Times New Roman" w:hAnsi="Times New Roman" w:eastAsia="宋体"/>
                <w:b w:val="0"/>
                <w:i w:val="0"/>
                <w:sz w:val="20"/>
              </w:rPr>
              <w:t>分布鲁棒</w:t>
            </w:r>
          </w:p>
        </w:tc>
        <w:tc>
          <w:tcPr>
            <w:tcW w:type="dxa" w:w="1701"/>
            <w:shd w:val="clear" w:color="auto" w:fill="F0F4F8"/>
          </w:tcPr>
          <w:p>
            <w:pPr>
              <w:spacing w:after="40" w:before="40"/>
            </w:pPr>
            <w:r/>
            <w:r>
              <w:rPr>
                <w:rFonts w:ascii="Times New Roman" w:hAnsi="Times New Roman" w:eastAsia="宋体"/>
                <w:b w:val="0"/>
                <w:i w:val="0"/>
                <w:sz w:val="20"/>
              </w:rPr>
              <w:t>11.9</w:t>
            </w:r>
          </w:p>
        </w:tc>
        <w:tc>
          <w:tcPr>
            <w:tcW w:type="dxa" w:w="1701"/>
            <w:shd w:val="clear" w:color="auto" w:fill="F0F4F8"/>
          </w:tcPr>
          <w:p>
            <w:pPr>
              <w:spacing w:after="40" w:before="40"/>
            </w:pPr>
            <w:r/>
            <w:r>
              <w:rPr>
                <w:rFonts w:ascii="Times New Roman" w:hAnsi="Times New Roman" w:eastAsia="宋体"/>
                <w:b w:val="0"/>
                <w:i w:val="0"/>
                <w:sz w:val="20"/>
              </w:rPr>
              <w:t>80.1</w:t>
            </w:r>
          </w:p>
        </w:tc>
        <w:tc>
          <w:tcPr>
            <w:tcW w:type="dxa" w:w="1701"/>
            <w:shd w:val="clear" w:color="auto" w:fill="F0F4F8"/>
          </w:tcPr>
          <w:p>
            <w:pPr>
              <w:spacing w:after="40" w:before="40"/>
            </w:pPr>
            <w:r/>
            <w:r>
              <w:rPr>
                <w:rFonts w:ascii="Times New Roman" w:hAnsi="Times New Roman" w:eastAsia="宋体"/>
                <w:b w:val="0"/>
                <w:i w:val="0"/>
                <w:sz w:val="20"/>
              </w:rPr>
              <w:t>93.5%</w:t>
            </w:r>
          </w:p>
        </w:tc>
        <w:tc>
          <w:tcPr>
            <w:tcW w:type="dxa" w:w="1701"/>
            <w:shd w:val="clear" w:color="auto" w:fill="F0F4F8"/>
          </w:tcPr>
          <w:p>
            <w:pPr>
              <w:spacing w:after="40" w:before="40"/>
            </w:pPr>
            <w:r/>
            <w:r>
              <w:rPr>
                <w:rFonts w:ascii="Times New Roman" w:hAnsi="Times New Roman" w:eastAsia="宋体"/>
                <w:b w:val="0"/>
                <w:i w:val="0"/>
                <w:sz w:val="20"/>
              </w:rPr>
              <w:t>2.8%</w:t>
            </w:r>
          </w:p>
        </w:tc>
      </w:tr>
    </w:tbl>
    <w:p>
      <w:pPr>
        <w:spacing w:line="360" w:lineRule="auto" w:after="0"/>
        <w:ind w:firstLine="425"/>
      </w:pPr>
      <w:r>
        <w:rPr>
          <w:rFonts w:ascii="Times New Roman" w:hAnsi="Times New Roman" w:eastAsia="宋体"/>
          <w:b w:val="0"/>
          <w:i w:val="0"/>
          <w:sz w:val="22"/>
        </w:rPr>
        <w:t>鲁棒优化在违约概率和可再生能源消纳率方面表现最优，但社会福利略低于确定性优化（保守性代价）。分布鲁棒优化在保守性和效率之间取得了更好的平衡。</w:t>
      </w:r>
    </w:p>
    <w:p>
      <w:pPr>
        <w:pStyle w:val="Heading3"/>
        <w:spacing w:before="160" w:after="60"/>
      </w:pPr>
      <w:r>
        <w:rPr>
          <w:rFonts w:ascii="Times New Roman" w:hAnsi="Times New Roman" w:eastAsia="黑体"/>
          <w:b/>
          <w:i w:val="0"/>
          <w:sz w:val="24"/>
        </w:rPr>
        <w:t>案例2：信息延迟对定价效果的影响</w:t>
      </w:r>
    </w:p>
    <w:p>
      <w:pPr>
        <w:spacing w:line="360" w:lineRule="auto" w:after="0"/>
        <w:ind w:firstLine="425"/>
      </w:pPr>
      <w:r>
        <w:rPr>
          <w:rFonts w:ascii="Times New Roman" w:hAnsi="Times New Roman" w:eastAsia="宋体"/>
          <w:b w:val="0"/>
          <w:i w:val="0"/>
          <w:sz w:val="22"/>
        </w:rPr>
        <w:t>代等（2017）的信息延迟研究</w:t>
      </w:r>
      <w:r>
        <w:rPr>
          <w:rFonts w:ascii="Times New Roman" w:hAnsi="Times New Roman" w:eastAsia="Times New Roman"/>
          <w:b w:val="0"/>
          <w:i w:val="0"/>
          <w:sz w:val="18"/>
          <w:vertAlign w:val="superscript"/>
        </w:rPr>
        <w:t>[7]</w:t>
      </w:r>
      <w:r>
        <w:rPr>
          <w:rFonts w:ascii="Times New Roman" w:hAnsi="Times New Roman" w:eastAsia="宋体"/>
          <w:b w:val="0"/>
          <w:i w:val="0"/>
          <w:sz w:val="22"/>
        </w:rPr>
        <w:t>通过仿真量化了延迟对定价效果的影响：</w:t>
      </w:r>
    </w:p>
    <w:p>
      <w:pPr>
        <w:spacing w:line="360" w:lineRule="auto" w:after="0"/>
        <w:ind w:firstLine="425"/>
      </w:pPr>
      <w:r>
        <w:rPr>
          <w:rFonts w:ascii="Times New Roman" w:hAnsi="Times New Roman" w:eastAsia="宋体"/>
          <w:b/>
          <w:i w:val="0"/>
          <w:sz w:val="22"/>
        </w:rPr>
        <w:t>实验设置</w:t>
      </w:r>
      <w:r>
        <w:rPr>
          <w:rFonts w:ascii="Times New Roman" w:hAnsi="Times New Roman" w:eastAsia="宋体"/>
          <w:b w:val="0"/>
          <w:i w:val="0"/>
          <w:sz w:val="22"/>
        </w:rPr>
        <w:t>：15分钟定价周期，信息延迟分别为0、5、10、15分钟。</w:t>
      </w:r>
    </w:p>
    <w:p>
      <w:pPr>
        <w:spacing w:line="360" w:lineRule="auto" w:after="0"/>
        <w:ind w:firstLine="425"/>
      </w:pPr>
      <w:r>
        <w:rPr>
          <w:rFonts w:ascii="Times New Roman" w:hAnsi="Times New Roman" w:eastAsia="宋体"/>
          <w:b/>
          <w:i w:val="0"/>
          <w:sz w:val="22"/>
        </w:rPr>
        <w:t>影响分析</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0分钟延迟：社会福利100%（基准），峰值削减率18.5%</w:t>
      </w:r>
    </w:p>
    <w:p>
      <w:pPr>
        <w:pStyle w:val="ListBullet"/>
        <w:spacing w:line="360" w:lineRule="auto" w:after="0"/>
      </w:pPr>
      <w:r>
        <w:rPr>
          <w:rFonts w:ascii="Times New Roman" w:hAnsi="Times New Roman" w:eastAsia="宋体"/>
          <w:b w:val="0"/>
          <w:i w:val="0"/>
          <w:sz w:val="22"/>
        </w:rPr>
        <w:t>5分钟延迟：社会福利98.2%，峰值削减率17.1%</w:t>
      </w:r>
    </w:p>
    <w:p>
      <w:pPr>
        <w:pStyle w:val="ListBullet"/>
        <w:spacing w:line="360" w:lineRule="auto" w:after="0"/>
      </w:pPr>
      <w:r>
        <w:rPr>
          <w:rFonts w:ascii="Times New Roman" w:hAnsi="Times New Roman" w:eastAsia="宋体"/>
          <w:b w:val="0"/>
          <w:i w:val="0"/>
          <w:sz w:val="22"/>
        </w:rPr>
        <w:t>10分钟延迟：社会福利95.5%，峰值削减率15.3%</w:t>
      </w:r>
    </w:p>
    <w:p>
      <w:pPr>
        <w:pStyle w:val="ListBullet"/>
        <w:spacing w:line="360" w:lineRule="auto" w:after="0"/>
      </w:pPr>
      <w:r>
        <w:rPr>
          <w:rFonts w:ascii="Times New Roman" w:hAnsi="Times New Roman" w:eastAsia="宋体"/>
          <w:b w:val="0"/>
          <w:i w:val="0"/>
          <w:sz w:val="22"/>
        </w:rPr>
        <w:t>15分钟延迟：社会福利91.8%，峰值削减率12.8%</w:t>
      </w:r>
    </w:p>
    <w:p>
      <w:pPr>
        <w:spacing w:line="360" w:lineRule="auto" w:after="0"/>
        <w:ind w:firstLine="425"/>
      </w:pPr>
      <w:r>
        <w:rPr>
          <w:rFonts w:ascii="Times New Roman" w:hAnsi="Times New Roman" w:eastAsia="宋体"/>
          <w:b/>
          <w:i w:val="0"/>
          <w:sz w:val="22"/>
        </w:rPr>
        <w:t>缓解措施</w:t>
      </w:r>
      <w:r>
        <w:rPr>
          <w:rFonts w:ascii="Times New Roman" w:hAnsi="Times New Roman" w:eastAsia="宋体"/>
          <w:b w:val="0"/>
          <w:i w:val="0"/>
          <w:sz w:val="22"/>
        </w:rPr>
        <w:t>：代等（2018）的预测更新机制</w:t>
      </w:r>
      <w:r>
        <w:rPr>
          <w:rFonts w:ascii="Times New Roman" w:hAnsi="Times New Roman" w:eastAsia="Times New Roman"/>
          <w:b w:val="0"/>
          <w:i w:val="0"/>
          <w:sz w:val="18"/>
          <w:vertAlign w:val="superscript"/>
        </w:rPr>
        <w:t>[12]</w:t>
      </w:r>
      <w:r>
        <w:rPr>
          <w:rFonts w:ascii="Times New Roman" w:hAnsi="Times New Roman" w:eastAsia="宋体"/>
          <w:b w:val="0"/>
          <w:i w:val="0"/>
          <w:sz w:val="22"/>
        </w:rPr>
        <w:t>通过定期更新负荷预测来弥补信息延迟的影响。在10分钟延迟条件下，预测更新使社会福利恢复到97.5%。</w:t>
      </w:r>
    </w:p>
    <w:p>
      <w:pPr>
        <w:pStyle w:val="Heading3"/>
        <w:spacing w:before="160" w:after="60"/>
      </w:pPr>
      <w:r>
        <w:rPr>
          <w:rFonts w:ascii="Times New Roman" w:hAnsi="Times New Roman" w:eastAsia="黑体"/>
          <w:b/>
          <w:i w:val="0"/>
          <w:sz w:val="24"/>
        </w:rPr>
        <w:t>案例3：Zhu等的ADMM实时定价</w:t>
      </w:r>
    </w:p>
    <w:p>
      <w:pPr>
        <w:spacing w:line="360" w:lineRule="auto" w:after="0"/>
        <w:ind w:firstLine="425"/>
      </w:pPr>
      <w:r>
        <w:rPr>
          <w:rFonts w:ascii="Times New Roman" w:hAnsi="Times New Roman" w:eastAsia="宋体"/>
          <w:b w:val="0"/>
          <w:i w:val="0"/>
          <w:sz w:val="22"/>
        </w:rPr>
        <w:t>Zhu等（2018）使用ADMM求解基于需求响应的智能电网实时定价问题</w:t>
      </w:r>
      <w:r>
        <w:rPr>
          <w:rFonts w:ascii="Times New Roman" w:hAnsi="Times New Roman" w:eastAsia="Times New Roman"/>
          <w:b w:val="0"/>
          <w:i w:val="0"/>
          <w:sz w:val="18"/>
          <w:vertAlign w:val="superscript"/>
        </w:rPr>
        <w:t>[14]</w:t>
      </w:r>
      <w:r>
        <w:rPr>
          <w:rFonts w:ascii="Times New Roman" w:hAnsi="Times New Roman" w:eastAsia="宋体"/>
          <w:b w:val="0"/>
          <w:i w:val="0"/>
          <w:sz w:val="22"/>
        </w:rPr>
        <w:t>。该方法的特色在于：</w:t>
      </w:r>
    </w:p>
    <w:p>
      <w:pPr>
        <w:spacing w:line="360" w:lineRule="auto" w:after="0"/>
        <w:ind w:firstLine="425"/>
      </w:pPr>
      <w:r>
        <w:rPr>
          <w:rFonts w:ascii="Times New Roman" w:hAnsi="Times New Roman" w:eastAsia="宋体"/>
          <w:b/>
          <w:i w:val="0"/>
          <w:sz w:val="22"/>
        </w:rPr>
        <w:t>交替方向法</w:t>
      </w:r>
      <w:r>
        <w:rPr>
          <w:rFonts w:ascii="Times New Roman" w:hAnsi="Times New Roman" w:eastAsia="宋体"/>
          <w:b w:val="0"/>
          <w:i w:val="0"/>
          <w:sz w:val="22"/>
        </w:rPr>
        <w:t>：将优化问题分解为供电侧子问题和用户侧子问题，交替求解：</w:t>
      </w:r>
    </w:p>
    <w:p>
      <w:pPr>
        <w:pStyle w:val="ListNumber"/>
        <w:spacing w:line="360" w:lineRule="auto" w:after="0"/>
      </w:pPr>
      <w:r>
        <w:rPr>
          <w:rFonts w:ascii="Times New Roman" w:hAnsi="Times New Roman" w:eastAsia="宋体"/>
          <w:b w:val="0"/>
          <w:i w:val="0"/>
          <w:sz w:val="22"/>
        </w:rPr>
        <w:t>供电侧更新价格p^k（给定用户需求）</w:t>
      </w:r>
    </w:p>
    <w:p>
      <w:pPr>
        <w:pStyle w:val="ListNumber"/>
        <w:spacing w:line="360" w:lineRule="auto" w:after="0"/>
      </w:pPr>
      <w:r>
        <w:rPr>
          <w:rFonts w:ascii="Times New Roman" w:hAnsi="Times New Roman" w:eastAsia="宋体"/>
          <w:b w:val="0"/>
          <w:i w:val="0"/>
          <w:sz w:val="22"/>
        </w:rPr>
        <w:t>用户侧更新用电量x_i^k（给定价格）</w:t>
      </w:r>
    </w:p>
    <w:p>
      <w:pPr>
        <w:pStyle w:val="ListNumber"/>
        <w:spacing w:line="360" w:lineRule="auto" w:after="0"/>
      </w:pPr>
      <w:r>
        <w:rPr>
          <w:rFonts w:ascii="Times New Roman" w:hAnsi="Times New Roman" w:eastAsia="宋体"/>
          <w:b w:val="0"/>
          <w:i w:val="0"/>
          <w:sz w:val="22"/>
        </w:rPr>
        <w:t>更新对偶变量</w:t>
      </w:r>
    </w:p>
    <w:p>
      <w:pPr>
        <w:spacing w:line="360" w:lineRule="auto" w:after="0"/>
        <w:ind w:firstLine="425"/>
      </w:pPr>
      <w:r>
        <w:rPr>
          <w:rFonts w:ascii="Times New Roman" w:hAnsi="Times New Roman" w:eastAsia="宋体"/>
          <w:b/>
          <w:i w:val="0"/>
          <w:sz w:val="22"/>
        </w:rPr>
        <w:t>收敛性</w:t>
      </w:r>
      <w:r>
        <w:rPr>
          <w:rFonts w:ascii="Times New Roman" w:hAnsi="Times New Roman" w:eastAsia="宋体"/>
          <w:b w:val="0"/>
          <w:i w:val="0"/>
          <w:sz w:val="22"/>
        </w:rPr>
        <w:t>：在凸性条件下，ADMM保证收敛到全局最优。收敛速率O(1/k)。</w:t>
      </w:r>
    </w:p>
    <w:p>
      <w:pPr>
        <w:spacing w:line="360" w:lineRule="auto" w:after="0"/>
        <w:ind w:firstLine="425"/>
      </w:pPr>
      <w:r>
        <w:rPr>
          <w:rFonts w:ascii="Times New Roman" w:hAnsi="Times New Roman" w:eastAsia="宋体"/>
          <w:b/>
          <w:i w:val="0"/>
          <w:sz w:val="22"/>
        </w:rPr>
        <w:t>数值结果</w:t>
      </w:r>
      <w:r>
        <w:rPr>
          <w:rFonts w:ascii="Times New Roman" w:hAnsi="Times New Roman" w:eastAsia="宋体"/>
          <w:b w:val="0"/>
          <w:i w:val="0"/>
          <w:sz w:val="22"/>
        </w:rPr>
        <w:t>：在500用户的仿真中，ADMM在25轮迭代内收敛（约15秒），满足15分钟定价周期的实时性要求。</w:t>
      </w:r>
    </w:p>
    <w:p>
      <w:pPr>
        <w:pStyle w:val="Heading2"/>
        <w:spacing w:before="240" w:after="80"/>
      </w:pPr>
      <w:r>
        <w:rPr>
          <w:rFonts w:ascii="Times New Roman" w:hAnsi="Times New Roman" w:eastAsia="黑体"/>
          <w:b/>
          <w:i w:val="0"/>
          <w:sz w:val="28"/>
        </w:rPr>
        <w:t>9.9 理论深化与前沿探讨</w:t>
      </w:r>
    </w:p>
    <w:p>
      <w:pPr>
        <w:pStyle w:val="Heading3"/>
        <w:spacing w:before="160" w:after="60"/>
      </w:pPr>
      <w:r>
        <w:rPr>
          <w:rFonts w:ascii="Times New Roman" w:hAnsi="Times New Roman" w:eastAsia="黑体"/>
          <w:b/>
          <w:i w:val="0"/>
          <w:sz w:val="24"/>
        </w:rPr>
        <w:t>不确定性下的定价决策框架</w:t>
      </w:r>
    </w:p>
    <w:p>
      <w:pPr>
        <w:spacing w:line="360" w:lineRule="auto" w:after="0"/>
        <w:ind w:firstLine="425"/>
      </w:pPr>
      <w:r>
        <w:rPr>
          <w:rFonts w:ascii="Times New Roman" w:hAnsi="Times New Roman" w:eastAsia="宋体"/>
          <w:b w:val="0"/>
          <w:i w:val="0"/>
          <w:sz w:val="22"/>
        </w:rPr>
        <w:t>在不确定性环境下，实时定价决策需要综合考虑以下维度：</w:t>
      </w:r>
    </w:p>
    <w:p>
      <w:pPr>
        <w:spacing w:line="360" w:lineRule="auto" w:after="0"/>
        <w:ind w:firstLine="425"/>
      </w:pPr>
      <w:r>
        <w:rPr>
          <w:rFonts w:ascii="Times New Roman" w:hAnsi="Times New Roman" w:eastAsia="宋体"/>
          <w:b/>
          <w:i w:val="0"/>
          <w:sz w:val="22"/>
        </w:rPr>
        <w:t>时间维度</w:t>
      </w:r>
      <w:r>
        <w:rPr>
          <w:rFonts w:ascii="Times New Roman" w:hAnsi="Times New Roman" w:eastAsia="宋体"/>
          <w:b w:val="0"/>
          <w:i w:val="0"/>
          <w:sz w:val="22"/>
        </w:rPr>
        <w:t>：当前决策影响未来状态（如储能充放电影响后续时段的可用容量）。需要多时段优化或动态规划方法。</w:t>
      </w:r>
    </w:p>
    <w:p>
      <w:pPr>
        <w:spacing w:line="360" w:lineRule="auto" w:after="0"/>
        <w:ind w:firstLine="425"/>
      </w:pPr>
      <w:r>
        <w:rPr>
          <w:rFonts w:ascii="Times New Roman" w:hAnsi="Times New Roman" w:eastAsia="宋体"/>
          <w:b/>
          <w:i w:val="0"/>
          <w:sz w:val="22"/>
        </w:rPr>
        <w:t>空间维度</w:t>
      </w:r>
      <w:r>
        <w:rPr>
          <w:rFonts w:ascii="Times New Roman" w:hAnsi="Times New Roman" w:eastAsia="宋体"/>
          <w:b w:val="0"/>
          <w:i w:val="0"/>
          <w:sz w:val="22"/>
        </w:rPr>
        <w:t>：不同区域的负荷和可再生能源出力存在空间相关性。需要考虑空间相关性的随机优化。</w:t>
      </w:r>
    </w:p>
    <w:p>
      <w:pPr>
        <w:spacing w:line="360" w:lineRule="auto" w:after="0"/>
        <w:ind w:firstLine="425"/>
      </w:pPr>
      <w:r>
        <w:rPr>
          <w:rFonts w:ascii="Times New Roman" w:hAnsi="Times New Roman" w:eastAsia="宋体"/>
          <w:b/>
          <w:i w:val="0"/>
          <w:sz w:val="22"/>
        </w:rPr>
        <w:t>层级维度</w:t>
      </w:r>
      <w:r>
        <w:rPr>
          <w:rFonts w:ascii="Times New Roman" w:hAnsi="Times New Roman" w:eastAsia="宋体"/>
          <w:b w:val="0"/>
          <w:i w:val="0"/>
          <w:sz w:val="22"/>
        </w:rPr>
        <w:t>：批发市场价格不确定性影响零售定价决策。需要多层级优化框架。</w:t>
      </w:r>
    </w:p>
    <w:p>
      <w:pPr>
        <w:spacing w:line="360" w:lineRule="auto" w:after="0"/>
        <w:ind w:firstLine="425"/>
      </w:pPr>
      <w:r>
        <w:rPr>
          <w:rFonts w:ascii="Times New Roman" w:hAnsi="Times New Roman" w:eastAsia="宋体"/>
          <w:b/>
          <w:i w:val="0"/>
          <w:sz w:val="22"/>
        </w:rPr>
        <w:t>博弈维度</w:t>
      </w:r>
      <w:r>
        <w:rPr>
          <w:rFonts w:ascii="Times New Roman" w:hAnsi="Times New Roman" w:eastAsia="宋体"/>
          <w:b w:val="0"/>
          <w:i w:val="0"/>
          <w:sz w:val="22"/>
        </w:rPr>
        <w:t>：在不确定环境下，参与者的策略互动更加复杂。贝叶斯博弈和不完全信息博弈理论可以提供分析工具。</w:t>
      </w:r>
    </w:p>
    <w:p>
      <w:pPr>
        <w:pStyle w:val="Heading3"/>
        <w:spacing w:before="160" w:after="60"/>
      </w:pPr>
      <w:r>
        <w:rPr>
          <w:rFonts w:ascii="Times New Roman" w:hAnsi="Times New Roman" w:eastAsia="黑体"/>
          <w:b/>
          <w:i w:val="0"/>
          <w:sz w:val="24"/>
        </w:rPr>
        <w:t>分布鲁棒优化的最新进展</w:t>
      </w:r>
    </w:p>
    <w:p>
      <w:pPr>
        <w:spacing w:line="360" w:lineRule="auto" w:after="0"/>
        <w:ind w:firstLine="425"/>
      </w:pPr>
      <w:r>
        <w:rPr>
          <w:rFonts w:ascii="Times New Roman" w:hAnsi="Times New Roman" w:eastAsia="宋体"/>
          <w:b w:val="0"/>
          <w:i w:val="0"/>
          <w:sz w:val="22"/>
        </w:rPr>
        <w:t>分布鲁棒优化（DRO）是处理不确定性的前沿方法：</w:t>
      </w:r>
    </w:p>
    <w:p>
      <w:pPr>
        <w:spacing w:line="360" w:lineRule="auto" w:after="0"/>
        <w:ind w:firstLine="425"/>
      </w:pPr>
      <w:r>
        <w:rPr>
          <w:rFonts w:ascii="Times New Roman" w:hAnsi="Times New Roman" w:eastAsia="宋体"/>
          <w:b/>
          <w:i w:val="0"/>
          <w:sz w:val="22"/>
        </w:rPr>
        <w:t>Wasserstein DRO</w:t>
      </w:r>
      <w:r>
        <w:rPr>
          <w:rFonts w:ascii="Times New Roman" w:hAnsi="Times New Roman" w:eastAsia="宋体"/>
          <w:b w:val="0"/>
          <w:i w:val="0"/>
          <w:sz w:val="22"/>
        </w:rPr>
        <w:t>：以经验分布为中心，Wasserstein距离为半径构建分布不确定性集合。Wasserstein DRO具有良好的理论性质和可计算性。</w:t>
      </w:r>
    </w:p>
    <w:p>
      <w:pPr>
        <w:spacing w:line="360" w:lineRule="auto" w:after="0"/>
        <w:ind w:firstLine="425"/>
      </w:pPr>
      <w:r>
        <w:rPr>
          <w:rFonts w:ascii="Times New Roman" w:hAnsi="Times New Roman" w:eastAsia="宋体"/>
          <w:b/>
          <w:i w:val="0"/>
          <w:sz w:val="22"/>
        </w:rPr>
        <w:t>矩约束DRO</w:t>
      </w:r>
      <w:r>
        <w:rPr>
          <w:rFonts w:ascii="Times New Roman" w:hAnsi="Times New Roman" w:eastAsia="宋体"/>
          <w:b w:val="0"/>
          <w:i w:val="0"/>
          <w:sz w:val="22"/>
        </w:rPr>
        <w:t>：仅利用不确定变量的均值和方差（或更高阶矩）信息构建分布集合。适用于数据稀缺的场景。</w:t>
      </w:r>
    </w:p>
    <w:p>
      <w:pPr>
        <w:spacing w:line="360" w:lineRule="auto" w:after="0"/>
        <w:ind w:firstLine="425"/>
      </w:pPr>
      <w:r>
        <w:rPr>
          <w:rFonts w:ascii="Times New Roman" w:hAnsi="Times New Roman" w:eastAsia="宋体"/>
          <w:b/>
          <w:i w:val="0"/>
          <w:sz w:val="22"/>
        </w:rPr>
        <w:t>数据驱动DRO</w:t>
      </w:r>
      <w:r>
        <w:rPr>
          <w:rFonts w:ascii="Times New Roman" w:hAnsi="Times New Roman" w:eastAsia="宋体"/>
          <w:b w:val="0"/>
          <w:i w:val="0"/>
          <w:sz w:val="22"/>
        </w:rPr>
        <w:t>：利用历史数据自适应地学习分布集合的形状和大小。随着数据量增加，DRO解逐渐趋近于随机规划解。</w:t>
      </w:r>
    </w:p>
    <w:p>
      <w:pPr>
        <w:spacing w:line="360" w:lineRule="auto" w:after="0"/>
        <w:ind w:firstLine="425"/>
      </w:pPr>
      <w:r>
        <w:rPr>
          <w:rFonts w:ascii="Times New Roman" w:hAnsi="Times New Roman" w:eastAsia="宋体"/>
          <w:b w:val="0"/>
          <w:i w:val="0"/>
          <w:sz w:val="22"/>
        </w:rPr>
        <w:t>DRO在实时定价中的应用仍处于早期阶段，但其处理分布不确定性的能力使其成为极具前景的方向。</w:t>
      </w:r>
    </w:p>
    <w:p>
      <w:pPr>
        <w:pStyle w:val="Heading3"/>
        <w:spacing w:before="160" w:after="60"/>
      </w:pPr>
      <w:r>
        <w:rPr>
          <w:rFonts w:ascii="Times New Roman" w:hAnsi="Times New Roman" w:eastAsia="黑体"/>
          <w:b/>
          <w:i w:val="0"/>
          <w:sz w:val="24"/>
        </w:rPr>
        <w:t>机会约束规划在定价中的应用</w:t>
      </w:r>
    </w:p>
    <w:p>
      <w:pPr>
        <w:spacing w:line="360" w:lineRule="auto" w:after="0"/>
        <w:ind w:firstLine="425"/>
      </w:pPr>
      <w:r>
        <w:rPr>
          <w:rFonts w:ascii="Times New Roman" w:hAnsi="Times New Roman" w:eastAsia="宋体"/>
          <w:b w:val="0"/>
          <w:i w:val="0"/>
          <w:sz w:val="22"/>
        </w:rPr>
        <w:t>机会约束规划允许约束以一定概率满足，在定价中可用于：</w:t>
      </w:r>
    </w:p>
    <w:p>
      <w:pPr>
        <w:spacing w:line="360" w:lineRule="auto" w:after="0"/>
        <w:ind w:firstLine="425"/>
      </w:pPr>
      <w:r>
        <w:rPr>
          <w:rFonts w:ascii="Times New Roman" w:hAnsi="Times New Roman" w:eastAsia="宋体"/>
          <w:b/>
          <w:i w:val="0"/>
          <w:sz w:val="22"/>
        </w:rPr>
        <w:t>供电可靠性约束</w:t>
      </w:r>
      <w:r>
        <w:rPr>
          <w:rFonts w:ascii="Times New Roman" w:hAnsi="Times New Roman" w:eastAsia="宋体"/>
          <w:b w:val="0"/>
          <w:i w:val="0"/>
          <w:sz w:val="22"/>
        </w:rPr>
        <w:t>：P(Σ x_i ≤ Q_max) ≥ 1-α，确保供电能力不被超过的概率不低于1-α。</w:t>
      </w:r>
    </w:p>
    <w:p>
      <w:pPr>
        <w:spacing w:line="360" w:lineRule="auto" w:after="0"/>
        <w:ind w:firstLine="425"/>
      </w:pPr>
      <w:r>
        <w:rPr>
          <w:rFonts w:ascii="Times New Roman" w:hAnsi="Times New Roman" w:eastAsia="宋体"/>
          <w:b/>
          <w:i w:val="0"/>
          <w:sz w:val="22"/>
        </w:rPr>
        <w:t>用户舒适度约束</w:t>
      </w:r>
      <w:r>
        <w:rPr>
          <w:rFonts w:ascii="Times New Roman" w:hAnsi="Times New Roman" w:eastAsia="宋体"/>
          <w:b w:val="0"/>
          <w:i w:val="0"/>
          <w:sz w:val="22"/>
        </w:rPr>
        <w:t>：P(T_room ≤ T_max) ≥ 1-β，确保室温不超过舒适上限的概率不低于1-β。</w:t>
      </w:r>
    </w:p>
    <w:p>
      <w:pPr>
        <w:spacing w:line="360" w:lineRule="auto" w:after="0"/>
        <w:ind w:firstLine="425"/>
      </w:pPr>
      <w:r>
        <w:rPr>
          <w:rFonts w:ascii="Times New Roman" w:hAnsi="Times New Roman" w:eastAsia="宋体"/>
          <w:b/>
          <w:i w:val="0"/>
          <w:sz w:val="22"/>
        </w:rPr>
        <w:t>价格约束</w:t>
      </w:r>
      <w:r>
        <w:rPr>
          <w:rFonts w:ascii="Times New Roman" w:hAnsi="Times New Roman" w:eastAsia="宋体"/>
          <w:b w:val="0"/>
          <w:i w:val="0"/>
          <w:sz w:val="22"/>
        </w:rPr>
        <w:t>：P(p ≤ p_max) ≥ 1-γ，确保价格不超过上限的概率不低于1-γ。</w:t>
      </w:r>
    </w:p>
    <w:p>
      <w:pPr>
        <w:spacing w:line="360" w:lineRule="auto" w:after="0"/>
        <w:ind w:firstLine="425"/>
      </w:pPr>
      <w:r>
        <w:rPr>
          <w:rFonts w:ascii="Times New Roman" w:hAnsi="Times New Roman" w:eastAsia="宋体"/>
          <w:b w:val="0"/>
          <w:i w:val="0"/>
          <w:sz w:val="22"/>
        </w:rPr>
        <w:t>机会约束规划的挑战在于将概率约束转化为确定性约束。对于正态分布的不确定性，可以解析转化；对于一般分布，需要采样近似或场景法。</w:t>
      </w:r>
    </w:p>
    <w:p>
      <w:pPr>
        <w:pStyle w:val="Heading3"/>
        <w:spacing w:before="160" w:after="60"/>
      </w:pPr>
      <w:r>
        <w:rPr>
          <w:rFonts w:ascii="Times New Roman" w:hAnsi="Times New Roman" w:eastAsia="黑体"/>
          <w:b/>
          <w:i w:val="0"/>
          <w:sz w:val="24"/>
        </w:rPr>
        <w:t>实时定价中的风险管理</w:t>
      </w:r>
    </w:p>
    <w:p>
      <w:pPr>
        <w:spacing w:line="360" w:lineRule="auto" w:after="0"/>
        <w:ind w:firstLine="425"/>
      </w:pPr>
      <w:r>
        <w:rPr>
          <w:rFonts w:ascii="Times New Roman" w:hAnsi="Times New Roman" w:eastAsia="宋体"/>
          <w:b w:val="0"/>
          <w:i w:val="0"/>
          <w:sz w:val="22"/>
        </w:rPr>
        <w:t>在不确定性环境下，风险管理是实时定价的重要组成部分：</w:t>
      </w:r>
    </w:p>
    <w:p>
      <w:pPr>
        <w:spacing w:line="360" w:lineRule="auto" w:after="0"/>
        <w:ind w:firstLine="425"/>
      </w:pPr>
      <w:r>
        <w:rPr>
          <w:rFonts w:ascii="Times New Roman" w:hAnsi="Times New Roman" w:eastAsia="宋体"/>
          <w:b/>
          <w:i w:val="0"/>
          <w:sz w:val="22"/>
        </w:rPr>
        <w:t>VaR（在险价值）</w:t>
      </w:r>
      <w:r>
        <w:rPr>
          <w:rFonts w:ascii="Times New Roman" w:hAnsi="Times New Roman" w:eastAsia="宋体"/>
          <w:b w:val="0"/>
          <w:i w:val="0"/>
          <w:sz w:val="22"/>
        </w:rPr>
        <w:t>：给定置信水平α，VaR是损失分布的α分位数。VaR易于理解但不满足子可加性。</w:t>
      </w:r>
    </w:p>
    <w:p>
      <w:pPr>
        <w:spacing w:line="360" w:lineRule="auto" w:after="0"/>
        <w:ind w:firstLine="425"/>
      </w:pPr>
      <w:r>
        <w:rPr>
          <w:rFonts w:ascii="Times New Roman" w:hAnsi="Times New Roman" w:eastAsia="宋体"/>
          <w:b/>
          <w:i w:val="0"/>
          <w:sz w:val="22"/>
        </w:rPr>
        <w:t>CVaR（条件风险价值）</w:t>
      </w:r>
      <w:r>
        <w:rPr>
          <w:rFonts w:ascii="Times New Roman" w:hAnsi="Times New Roman" w:eastAsia="宋体"/>
          <w:b w:val="0"/>
          <w:i w:val="0"/>
          <w:sz w:val="22"/>
        </w:rPr>
        <w:t>：损失超过VaR部分的期望值。CVaR满足子可加性，是更保守的风险度量。张和高（2017）将CVaR引入非光滑优化方法</w:t>
      </w:r>
      <w:r>
        <w:rPr>
          <w:rFonts w:ascii="Times New Roman" w:hAnsi="Times New Roman" w:eastAsia="Times New Roman"/>
          <w:b w:val="0"/>
          <w:i w:val="0"/>
          <w:sz w:val="18"/>
          <w:vertAlign w:val="superscript"/>
        </w:rPr>
        <w:t>[11]</w:t>
      </w:r>
      <w:r>
        <w:rPr>
          <w:rFonts w:ascii="Times New Roman" w:hAnsi="Times New Roman" w:eastAsia="宋体"/>
          <w:b w:val="0"/>
          <w:i w:val="0"/>
          <w:sz w:val="22"/>
        </w:rPr>
        <w:t>。</w:t>
      </w:r>
    </w:p>
    <w:p>
      <w:pPr>
        <w:spacing w:line="360" w:lineRule="auto" w:after="0"/>
        <w:ind w:firstLine="425"/>
      </w:pPr>
      <w:r>
        <w:rPr>
          <w:rFonts w:ascii="Times New Roman" w:hAnsi="Times New Roman" w:eastAsia="宋体"/>
          <w:b/>
          <w:i w:val="0"/>
          <w:sz w:val="22"/>
        </w:rPr>
        <w:t>下行风险</w:t>
      </w:r>
      <w:r>
        <w:rPr>
          <w:rFonts w:ascii="Times New Roman" w:hAnsi="Times New Roman" w:eastAsia="宋体"/>
          <w:b w:val="0"/>
          <w:i w:val="0"/>
          <w:sz w:val="22"/>
        </w:rPr>
        <w:t>：仅关注不利偏离的风险度量，适用于非对称风险偏好。</w:t>
      </w:r>
    </w:p>
    <w:p>
      <w:pPr>
        <w:spacing w:line="360" w:lineRule="auto" w:after="0"/>
        <w:ind w:firstLine="425"/>
      </w:pPr>
      <w:r>
        <w:rPr>
          <w:rFonts w:ascii="Times New Roman" w:hAnsi="Times New Roman" w:eastAsia="宋体"/>
          <w:b/>
          <w:i w:val="0"/>
          <w:sz w:val="22"/>
        </w:rPr>
        <w:t>极端事件风险</w:t>
      </w:r>
      <w:r>
        <w:rPr>
          <w:rFonts w:ascii="Times New Roman" w:hAnsi="Times New Roman" w:eastAsia="宋体"/>
          <w:b w:val="0"/>
          <w:i w:val="0"/>
          <w:sz w:val="22"/>
        </w:rPr>
        <w:t>：关注低概率高影响事件（如极端天气导致的负荷激增）。需要使用极值理论进行分析。</w:t>
      </w:r>
    </w:p>
    <w:p>
      <w:pPr>
        <w:spacing w:line="360" w:lineRule="auto" w:after="0"/>
        <w:ind w:firstLine="425"/>
      </w:pPr>
      <w:r>
        <w:rPr>
          <w:rFonts w:ascii="Times New Roman" w:hAnsi="Times New Roman" w:eastAsia="宋体"/>
          <w:b w:val="0"/>
          <w:i w:val="0"/>
          <w:sz w:val="22"/>
        </w:rPr>
        <w:t>在实时定价中，风险度量可以嵌入优化目标函数（如最大化期望社会福利同时最小化CVaR），形成多目标优化问题。</w:t>
      </w:r>
    </w:p>
    <w:p>
      <w:pPr>
        <w:pStyle w:val="Heading3"/>
        <w:spacing w:before="160" w:after="60"/>
      </w:pPr>
      <w:r>
        <w:rPr>
          <w:rFonts w:ascii="Times New Roman" w:hAnsi="Times New Roman" w:eastAsia="黑体"/>
          <w:b/>
          <w:i w:val="0"/>
          <w:sz w:val="24"/>
        </w:rPr>
        <w:t>气候变化与极端事件定价</w:t>
      </w:r>
    </w:p>
    <w:p>
      <w:pPr>
        <w:spacing w:line="360" w:lineRule="auto" w:after="0"/>
        <w:ind w:firstLine="425"/>
      </w:pPr>
      <w:r>
        <w:rPr>
          <w:rFonts w:ascii="Times New Roman" w:hAnsi="Times New Roman" w:eastAsia="宋体"/>
          <w:b w:val="0"/>
          <w:i w:val="0"/>
          <w:sz w:val="22"/>
        </w:rPr>
        <w:t>气候变化导致极端天气事件频率和强度增加，对实时定价提出了新挑战：</w:t>
      </w:r>
    </w:p>
    <w:p>
      <w:pPr>
        <w:spacing w:line="360" w:lineRule="auto" w:after="0"/>
        <w:ind w:firstLine="425"/>
      </w:pPr>
      <w:r>
        <w:rPr>
          <w:rFonts w:ascii="Times New Roman" w:hAnsi="Times New Roman" w:eastAsia="宋体"/>
          <w:b/>
          <w:i w:val="0"/>
          <w:sz w:val="22"/>
        </w:rPr>
        <w:t>极端高温</w:t>
      </w:r>
      <w:r>
        <w:rPr>
          <w:rFonts w:ascii="Times New Roman" w:hAnsi="Times New Roman" w:eastAsia="宋体"/>
          <w:b w:val="0"/>
          <w:i w:val="0"/>
          <w:sz w:val="22"/>
        </w:rPr>
        <w:t>：导致空调负荷激增，可能超出系统供电能力。需要设计极端事件下的特殊定价机制（如CPP）。</w:t>
      </w:r>
    </w:p>
    <w:p>
      <w:pPr>
        <w:spacing w:line="360" w:lineRule="auto" w:after="0"/>
        <w:ind w:firstLine="425"/>
      </w:pPr>
      <w:r>
        <w:rPr>
          <w:rFonts w:ascii="Times New Roman" w:hAnsi="Times New Roman" w:eastAsia="宋体"/>
          <w:b/>
          <w:i w:val="0"/>
          <w:sz w:val="22"/>
        </w:rPr>
        <w:t>极端寒潮</w:t>
      </w:r>
      <w:r>
        <w:rPr>
          <w:rFonts w:ascii="Times New Roman" w:hAnsi="Times New Roman" w:eastAsia="宋体"/>
          <w:b w:val="0"/>
          <w:i w:val="0"/>
          <w:sz w:val="22"/>
        </w:rPr>
        <w:t>：导致取暖负荷激增，同时可能冻结发电设备。2021年德州事件是典型案例。</w:t>
      </w:r>
    </w:p>
    <w:p>
      <w:pPr>
        <w:spacing w:line="360" w:lineRule="auto" w:after="0"/>
        <w:ind w:firstLine="425"/>
      </w:pPr>
      <w:r>
        <w:rPr>
          <w:rFonts w:ascii="Times New Roman" w:hAnsi="Times New Roman" w:eastAsia="宋体"/>
          <w:b/>
          <w:i w:val="0"/>
          <w:sz w:val="22"/>
        </w:rPr>
        <w:t>干旱</w:t>
      </w:r>
      <w:r>
        <w:rPr>
          <w:rFonts w:ascii="Times New Roman" w:hAnsi="Times New Roman" w:eastAsia="宋体"/>
          <w:b w:val="0"/>
          <w:i w:val="0"/>
          <w:sz w:val="22"/>
        </w:rPr>
        <w:t>：影响水电出力，可能导致长期供电紧张。需要长时尺度定价策略。</w:t>
      </w:r>
    </w:p>
    <w:p>
      <w:pPr>
        <w:spacing w:line="360" w:lineRule="auto" w:after="0"/>
        <w:ind w:firstLine="425"/>
      </w:pPr>
      <w:r>
        <w:rPr>
          <w:rFonts w:ascii="Times New Roman" w:hAnsi="Times New Roman" w:eastAsia="宋体"/>
          <w:b/>
          <w:i w:val="0"/>
          <w:sz w:val="22"/>
        </w:rPr>
        <w:t>风暴和洪水</w:t>
      </w:r>
      <w:r>
        <w:rPr>
          <w:rFonts w:ascii="Times New Roman" w:hAnsi="Times New Roman" w:eastAsia="宋体"/>
          <w:b w:val="0"/>
          <w:i w:val="0"/>
          <w:sz w:val="22"/>
        </w:rPr>
        <w:t>：导致输配电设施损坏，需要局部定价调整。</w:t>
      </w:r>
    </w:p>
    <w:p>
      <w:pPr>
        <w:spacing w:line="360" w:lineRule="auto" w:after="0"/>
        <w:ind w:firstLine="425"/>
      </w:pPr>
      <w:r>
        <w:rPr>
          <w:rFonts w:ascii="Times New Roman" w:hAnsi="Times New Roman" w:eastAsia="宋体"/>
          <w:b w:val="0"/>
          <w:i w:val="0"/>
          <w:sz w:val="22"/>
        </w:rPr>
        <w:t>极端事件下的定价需要平衡效率（反映稀缺性的高价格）和公平性（保护弱势群体），是一个需要深入研究的课题。</w:t>
      </w:r>
    </w:p>
    <w:p>
      <w:pPr>
        <w:pStyle w:val="Heading2"/>
        <w:spacing w:before="240" w:after="80"/>
      </w:pPr>
      <w:r>
        <w:rPr>
          <w:rFonts w:ascii="Times New Roman" w:hAnsi="Times New Roman" w:eastAsia="黑体"/>
          <w:b/>
          <w:i w:val="0"/>
          <w:sz w:val="28"/>
        </w:rPr>
        <w:t>9.10 鲁棒优化在实时定价中的深度应用</w:t>
      </w:r>
    </w:p>
    <w:p>
      <w:pPr>
        <w:pStyle w:val="Heading3"/>
        <w:spacing w:before="160" w:after="60"/>
      </w:pPr>
      <w:r>
        <w:rPr>
          <w:rFonts w:ascii="Times New Roman" w:hAnsi="Times New Roman" w:eastAsia="黑体"/>
          <w:b/>
          <w:i w:val="0"/>
          <w:sz w:val="24"/>
        </w:rPr>
        <w:t>数据驱动的鲁棒优化</w:t>
      </w:r>
    </w:p>
    <w:p>
      <w:pPr>
        <w:spacing w:line="360" w:lineRule="auto" w:after="0"/>
        <w:ind w:firstLine="425"/>
      </w:pPr>
      <w:r>
        <w:rPr>
          <w:rFonts w:ascii="Times New Roman" w:hAnsi="Times New Roman" w:eastAsia="宋体"/>
          <w:b w:val="0"/>
          <w:i w:val="0"/>
          <w:sz w:val="22"/>
        </w:rPr>
        <w:t>传统鲁棒优化的不确定性集合通常基于参数的物理边界（如负荷的最大值和最小值），这种构造方式可能过于保守。数据驱动鲁棒优化利用历史数据构建不确定性集合，使集合更贴合实际不确定性特征。</w:t>
      </w:r>
    </w:p>
    <w:p>
      <w:pPr>
        <w:spacing w:line="360" w:lineRule="auto" w:after="0"/>
        <w:ind w:firstLine="425"/>
      </w:pPr>
      <w:r>
        <w:rPr>
          <w:rFonts w:ascii="Times New Roman" w:hAnsi="Times New Roman" w:eastAsia="宋体"/>
          <w:b w:val="0"/>
          <w:i w:val="0"/>
          <w:sz w:val="22"/>
        </w:rPr>
        <w:t>基于假设检验的方法利用统计推断确定不确定性集合的大小。给定显著性水平 α，假设检验可以确定参数的置信区间，将这些置信区间组合构成不确定性集合。这种方法的理论基础清晰，但对数据分布有假设要求。</w:t>
      </w:r>
    </w:p>
    <w:p>
      <w:pPr>
        <w:spacing w:line="360" w:lineRule="auto" w:after="0"/>
        <w:ind w:firstLine="425"/>
      </w:pPr>
      <w:r>
        <w:rPr>
          <w:rFonts w:ascii="Times New Roman" w:hAnsi="Times New Roman" w:eastAsia="宋体"/>
          <w:b w:val="0"/>
          <w:i w:val="0"/>
          <w:sz w:val="22"/>
        </w:rPr>
        <w:t>基于机器学习的方法利用预测模型的误差分布构建不确定性集合。例如，使用神经网络预测负荷后，将预测误差的分布（或其矩信息）用于构建模糊集。这种方法能够捕捉负荷的时间相关性和条件异方差性，比传统方法更精确。</w:t>
      </w:r>
    </w:p>
    <w:p>
      <w:pPr>
        <w:spacing w:line="360" w:lineRule="auto" w:after="0"/>
        <w:ind w:firstLine="425"/>
      </w:pPr>
      <w:r>
        <w:rPr>
          <w:rFonts w:ascii="Times New Roman" w:hAnsi="Times New Roman" w:eastAsia="宋体"/>
          <w:b w:val="0"/>
          <w:i w:val="0"/>
          <w:sz w:val="22"/>
        </w:rPr>
        <w:t>分位数回归方法直接估计条件分位数函数，无需假设分布形式。通过组合不同分位数水平（如5%和95%分位数），可以构建数据驱动的不确定性区间。分位数回归的灵活性使其适合处理具有异质性的负荷数据（如工作日/周末、季节性变化）。</w:t>
      </w:r>
    </w:p>
    <w:p>
      <w:pPr>
        <w:pStyle w:val="Heading3"/>
        <w:spacing w:before="160" w:after="60"/>
      </w:pPr>
      <w:r>
        <w:rPr>
          <w:rFonts w:ascii="Times New Roman" w:hAnsi="Times New Roman" w:eastAsia="黑体"/>
          <w:b/>
          <w:i w:val="0"/>
          <w:sz w:val="24"/>
        </w:rPr>
        <w:t>鲁棒定价的保守性控制</w:t>
      </w:r>
    </w:p>
    <w:p>
      <w:pPr>
        <w:spacing w:line="360" w:lineRule="auto" w:after="0"/>
        <w:ind w:firstLine="425"/>
      </w:pPr>
      <w:r>
        <w:rPr>
          <w:rFonts w:ascii="Times New Roman" w:hAnsi="Times New Roman" w:eastAsia="宋体"/>
          <w:b w:val="0"/>
          <w:i w:val="0"/>
          <w:sz w:val="22"/>
        </w:rPr>
        <w:t>鲁棒优化的一个核心挑战是过度保守问题：最坏情况可能极少发生，优化最坏情况导致日常运营效率显著降低。保守性控制技术旨在在鲁棒性和经济性之间取得平衡。</w:t>
      </w:r>
    </w:p>
    <w:p>
      <w:pPr>
        <w:spacing w:line="360" w:lineRule="auto" w:after="0"/>
        <w:ind w:firstLine="425"/>
      </w:pPr>
      <w:r>
        <w:rPr>
          <w:rFonts w:ascii="Times New Roman" w:hAnsi="Times New Roman" w:eastAsia="宋体"/>
          <w:b w:val="0"/>
          <w:i w:val="0"/>
          <w:sz w:val="22"/>
        </w:rPr>
        <w:t>概率鲁棒优化将不确定性集合与发生概率关联：集合内场景的发生概率之和为 Γ（预算参数）。当 Γ 较大时，集合覆盖更多极端场景，结果更鲁棒但更保守；当 Γ 较小时，集合更紧凑，结果更经济但鲁棒性降低。决策者可以根据风险偏好调整 Γ。</w:t>
      </w:r>
    </w:p>
    <w:p>
      <w:pPr>
        <w:spacing w:line="360" w:lineRule="auto" w:after="0"/>
        <w:ind w:firstLine="425"/>
      </w:pPr>
      <w:r>
        <w:rPr>
          <w:rFonts w:ascii="Times New Roman" w:hAnsi="Times New Roman" w:eastAsia="宋体"/>
          <w:b w:val="0"/>
          <w:i w:val="0"/>
          <w:sz w:val="22"/>
        </w:rPr>
        <w:t>松弛鲁棒优化将硬约束松弛为软约束，允许在最坏情况下约束有一定程度的违反，同时引入惩罚项。这种方法可以显著降低保守性，但需要仔细设计惩罚系数以平衡约束满足和经济效益。</w:t>
      </w:r>
    </w:p>
    <w:p>
      <w:pPr>
        <w:spacing w:line="360" w:lineRule="auto" w:after="0"/>
        <w:ind w:firstLine="425"/>
      </w:pPr>
      <w:r>
        <w:rPr>
          <w:rFonts w:ascii="Times New Roman" w:hAnsi="Times New Roman" w:eastAsia="宋体"/>
          <w:b w:val="0"/>
          <w:i w:val="0"/>
          <w:sz w:val="22"/>
        </w:rPr>
        <w:t>后悔鲁棒优化以最小化最大后悔为目标，其中后悔定义为鲁棒解的实际成本与事后最优成本之差。与最小-最大方法相比，最小-最大后悔方法通常更不保守，因为它衡量的是相对损失而非绝对损失。</w:t>
      </w:r>
    </w:p>
    <w:p>
      <w:pPr>
        <w:pStyle w:val="Heading3"/>
        <w:spacing w:before="160" w:after="60"/>
      </w:pPr>
      <w:r>
        <w:rPr>
          <w:rFonts w:ascii="Times New Roman" w:hAnsi="Times New Roman" w:eastAsia="黑体"/>
          <w:b/>
          <w:i w:val="0"/>
          <w:sz w:val="24"/>
        </w:rPr>
        <w:t>鲁棒定价与市场力抑制</w:t>
      </w:r>
    </w:p>
    <w:p>
      <w:pPr>
        <w:spacing w:line="360" w:lineRule="auto" w:after="0"/>
        <w:ind w:firstLine="425"/>
      </w:pPr>
      <w:r>
        <w:rPr>
          <w:rFonts w:ascii="Times New Roman" w:hAnsi="Times New Roman" w:eastAsia="宋体"/>
          <w:b w:val="0"/>
          <w:i w:val="0"/>
          <w:sz w:val="22"/>
        </w:rPr>
        <w:t>在寡头竞争的电力市场中，发电企业可能利用市场力操纵实时电价。鲁棒优化可以为市场力检测和抑制提供分析工具。通过比较鲁棒均衡价格和实际市场价格，可以识别异常定价行为。</w:t>
      </w:r>
    </w:p>
    <w:p>
      <w:pPr>
        <w:spacing w:line="360" w:lineRule="auto" w:after="0"/>
        <w:ind w:firstLine="425"/>
      </w:pPr>
      <w:r>
        <w:rPr>
          <w:rFonts w:ascii="Times New Roman" w:hAnsi="Times New Roman" w:eastAsia="宋体"/>
          <w:b w:val="0"/>
          <w:i w:val="0"/>
          <w:sz w:val="22"/>
        </w:rPr>
        <w:t>供应函数均衡的鲁棒分析考虑了需求不确定性对企业策略的影响。当需求不确定时，企业的最优供应函数可能包含策略性裕度（高于边际成本的报价），这种裕度的大小取决于不确定性的程度和企业对风险的态度。鲁棒分析可以帮助监管者设定合理的报价上限。</w:t>
      </w:r>
    </w:p>
    <w:p>
      <w:pPr>
        <w:pStyle w:val="Heading3"/>
        <w:spacing w:before="160" w:after="60"/>
      </w:pPr>
      <w:r>
        <w:rPr>
          <w:rFonts w:ascii="Times New Roman" w:hAnsi="Times New Roman" w:eastAsia="黑体"/>
          <w:b/>
          <w:i w:val="0"/>
          <w:sz w:val="24"/>
        </w:rPr>
        <w:t>实时定价中的极端事件管理</w:t>
      </w:r>
    </w:p>
    <w:p>
      <w:pPr>
        <w:spacing w:line="360" w:lineRule="auto" w:after="0"/>
        <w:ind w:firstLine="425"/>
      </w:pPr>
      <w:r>
        <w:rPr>
          <w:rFonts w:ascii="Times New Roman" w:hAnsi="Times New Roman" w:eastAsia="宋体"/>
          <w:b w:val="0"/>
          <w:i w:val="0"/>
          <w:sz w:val="22"/>
        </w:rPr>
        <w:t>极端事件（如极端天气、设备故障、网络攻击）对实时定价系统构成严峻挑战。这些事件具有低概率-高影响特征，传统概率方法难以充分处理。</w:t>
      </w:r>
    </w:p>
    <w:p>
      <w:pPr>
        <w:spacing w:line="360" w:lineRule="auto" w:after="0"/>
        <w:ind w:firstLine="425"/>
      </w:pPr>
      <w:r>
        <w:rPr>
          <w:rFonts w:ascii="Times New Roman" w:hAnsi="Times New Roman" w:eastAsia="宋体"/>
          <w:b w:val="0"/>
          <w:i w:val="0"/>
          <w:sz w:val="22"/>
        </w:rPr>
        <w:t>极端事件的鲁棒优化建模需要考虑不确定性集合的非常规构造。传统的盒形集合或椭球集合可能无法捕捉极端事件的尾部特征。条件不确定性集合仅包含导致极端影响的场景，可以更精确地刻画极端事件风险。</w:t>
      </w:r>
    </w:p>
    <w:p>
      <w:pPr>
        <w:spacing w:line="360" w:lineRule="auto" w:after="0"/>
        <w:ind w:firstLine="425"/>
      </w:pPr>
      <w:r>
        <w:rPr>
          <w:rFonts w:ascii="Times New Roman" w:hAnsi="Times New Roman" w:eastAsia="宋体"/>
          <w:b w:val="0"/>
          <w:i w:val="0"/>
          <w:sz w:val="22"/>
        </w:rPr>
        <w:t>极端事件下的定价策略需要平衡效率（反映稀缺性的高价格）和公平性（保护弱势群体）。价格上限机制是最常用的保护措施，但过低的限价可能抑制需求响应和投资激励。分级限价机制根据稀缺程度设置不同限价水平，可以在效率和公平之间取得更好平衡。</w:t>
      </w:r>
    </w:p>
    <w:p>
      <w:pPr>
        <w:spacing w:line="360" w:lineRule="auto" w:after="0"/>
        <w:ind w:firstLine="425"/>
      </w:pPr>
      <w:r>
        <w:rPr>
          <w:rFonts w:ascii="Times New Roman" w:hAnsi="Times New Roman" w:eastAsia="宋体"/>
          <w:b w:val="0"/>
          <w:i w:val="0"/>
          <w:sz w:val="22"/>
        </w:rPr>
        <w:t>储备容量的定价是极端事件管理的关键环节。容量市场通过为可用容量提供容量支付，激励发电投资和储备维护。然而，容量市场的设计（如容量需求曲线、资格标准）仍然存在争议。可靠性定价模型（RPM）是PJM等市场采用的最新容量定价机制，值得深入研究。</w:t>
      </w:r>
    </w:p>
    <w:p>
      <w:pPr>
        <w:pStyle w:val="Heading2"/>
        <w:spacing w:before="240" w:after="80"/>
      </w:pPr>
      <w:r>
        <w:rPr>
          <w:rFonts w:ascii="Times New Roman" w:hAnsi="Times New Roman" w:eastAsia="黑体"/>
          <w:b/>
          <w:i w:val="0"/>
          <w:sz w:val="28"/>
        </w:rPr>
        <w:t>9.11 鲁棒优化的实践验证与前沿发展</w:t>
      </w:r>
    </w:p>
    <w:p>
      <w:pPr>
        <w:pStyle w:val="Heading3"/>
        <w:spacing w:before="160" w:after="60"/>
      </w:pPr>
      <w:r>
        <w:rPr>
          <w:rFonts w:ascii="Times New Roman" w:hAnsi="Times New Roman" w:eastAsia="黑体"/>
          <w:b/>
          <w:i w:val="0"/>
          <w:sz w:val="24"/>
        </w:rPr>
        <w:t>水滴鲁棒优化的新范式</w:t>
      </w:r>
    </w:p>
    <w:p>
      <w:pPr>
        <w:spacing w:line="360" w:lineRule="auto" w:after="0"/>
        <w:ind w:firstLine="425"/>
      </w:pPr>
      <w:r>
        <w:rPr>
          <w:rFonts w:ascii="Times New Roman" w:hAnsi="Times New Roman" w:eastAsia="宋体"/>
          <w:b w:val="0"/>
          <w:i w:val="0"/>
          <w:sz w:val="22"/>
        </w:rPr>
        <w:t>Wasserstein鲁棒优化（WRO）是近年来最受关注的分布鲁棒优化方法之一。WRO以经验分布为中心，以Wasserstein距离为半径构建模糊集，具有严格的理论基础和良好的计算性质。WRO的最优解可以转化为凸优化问题（特别是对于线性决策规则），计算效率高。</w:t>
      </w:r>
    </w:p>
    <w:p>
      <w:pPr>
        <w:spacing w:line="360" w:lineRule="auto" w:after="0"/>
        <w:ind w:firstLine="425"/>
      </w:pPr>
      <w:r>
        <w:rPr>
          <w:rFonts w:ascii="Times New Roman" w:hAnsi="Times New Roman" w:eastAsia="宋体"/>
          <w:b w:val="0"/>
          <w:i w:val="0"/>
          <w:sz w:val="22"/>
        </w:rPr>
        <w:t>WRO的半径选择是一个关键的实践决策。半径过大导致模糊集过于宽泛，结果过于保守；半径过小导致模糊集过于狭窄，对分布偏差缺乏鲁棒性。基于统计理论的选择方法利用样本数量和置信水平确定半径，提供了理论保障但可能过于保守。基于交叉验证的选择方法通过历史数据评估不同半径的样本外性能，选择最优半径。</w:t>
      </w:r>
    </w:p>
    <w:p>
      <w:pPr>
        <w:spacing w:line="360" w:lineRule="auto" w:after="0"/>
        <w:ind w:firstLine="425"/>
      </w:pPr>
      <w:r>
        <w:rPr>
          <w:rFonts w:ascii="Times New Roman" w:hAnsi="Times New Roman" w:eastAsia="宋体"/>
          <w:b w:val="0"/>
          <w:i w:val="0"/>
          <w:sz w:val="22"/>
        </w:rPr>
        <w:t>在实时定价中，WRO可以同时处理负荷不确定性和可再生能源出力不确定性。当负荷和可再生能源出力的联合分布偏离经验分布时（如由于气候变化导致的历史模式偏移），WRO的模糊集仍然覆盖真实分布，保证定价策略的鲁棒性。</w:t>
      </w:r>
    </w:p>
    <w:p>
      <w:pPr>
        <w:pStyle w:val="Heading3"/>
        <w:spacing w:before="160" w:after="60"/>
      </w:pPr>
      <w:r>
        <w:rPr>
          <w:rFonts w:ascii="Times New Roman" w:hAnsi="Times New Roman" w:eastAsia="黑体"/>
          <w:b/>
          <w:i w:val="0"/>
          <w:sz w:val="24"/>
        </w:rPr>
        <w:t>数据驱动的场景生成</w:t>
      </w:r>
    </w:p>
    <w:p>
      <w:pPr>
        <w:spacing w:line="360" w:lineRule="auto" w:after="0"/>
        <w:ind w:firstLine="425"/>
      </w:pPr>
      <w:r>
        <w:rPr>
          <w:rFonts w:ascii="Times New Roman" w:hAnsi="Times New Roman" w:eastAsia="宋体"/>
          <w:b w:val="0"/>
          <w:i w:val="0"/>
          <w:sz w:val="22"/>
        </w:rPr>
        <w:t>传统场景生成方法（如蒙特卡洛抽样）依赖于已知概率分布的假设。当历史数据不足以可靠估计分布或分布随时间变化时，数据驱动方法提供了更灵活的替代方案。</w:t>
      </w:r>
    </w:p>
    <w:p>
      <w:pPr>
        <w:spacing w:line="360" w:lineRule="auto" w:after="0"/>
        <w:ind w:firstLine="425"/>
      </w:pPr>
      <w:r>
        <w:rPr>
          <w:rFonts w:ascii="Times New Roman" w:hAnsi="Times New Roman" w:eastAsia="宋体"/>
          <w:b w:val="0"/>
          <w:i w:val="0"/>
          <w:sz w:val="22"/>
        </w:rPr>
        <w:t>生成对抗网络（GAN）在电力系统场景生成中展现了强大能力。GAN由生成器和判别器组成，生成器学习从随机噪声生成逼真场景，判别器学习区分真实场景和生成场景。Wasserstein GAN使用Wasserstein距离作为训练目标，相比原始GAN具有更稳定的训练过程和更好的生成质量。</w:t>
      </w:r>
    </w:p>
    <w:p>
      <w:pPr>
        <w:spacing w:line="360" w:lineRule="auto" w:after="0"/>
        <w:ind w:firstLine="425"/>
      </w:pPr>
      <w:r>
        <w:rPr>
          <w:rFonts w:ascii="Times New Roman" w:hAnsi="Times New Roman" w:eastAsia="宋体"/>
          <w:b w:val="0"/>
          <w:i w:val="0"/>
          <w:sz w:val="22"/>
        </w:rPr>
        <w:t>在实时定价的场景生成中，GAN可以生成具有时间相关性（如日内负荷模式）和空间相关性（如不同节点负荷的关联）的联合场景。条件GAN（CGAN）可以根据给定条件（如天气预报、日期类型）生成条件场景，更贴合实时定价的应用需求。</w:t>
      </w:r>
    </w:p>
    <w:p>
      <w:pPr>
        <w:spacing w:line="360" w:lineRule="auto" w:after="0"/>
        <w:ind w:firstLine="425"/>
      </w:pPr>
      <w:r>
        <w:rPr>
          <w:rFonts w:ascii="Times New Roman" w:hAnsi="Times New Roman" w:eastAsia="宋体"/>
          <w:b w:val="0"/>
          <w:i w:val="0"/>
          <w:sz w:val="22"/>
        </w:rPr>
        <w:t>变分自编码器（VAE）是另一种强大的场景生成模型。VAE通过编码器将场景映射到低维隐空间，再通过解码器从隐空间重构场景。VAE的优势在于隐空间的结构化表示：可以在隐空间中插值或外推，生成历史数据中未出现但合理的场景。</w:t>
      </w:r>
    </w:p>
    <w:p>
      <w:pPr>
        <w:pStyle w:val="Heading3"/>
        <w:spacing w:before="160" w:after="60"/>
      </w:pPr>
      <w:r>
        <w:rPr>
          <w:rFonts w:ascii="Times New Roman" w:hAnsi="Times New Roman" w:eastAsia="黑体"/>
          <w:b/>
          <w:i w:val="0"/>
          <w:sz w:val="24"/>
        </w:rPr>
        <w:t>机会约束的保守性分析</w:t>
      </w:r>
    </w:p>
    <w:p>
      <w:pPr>
        <w:spacing w:line="360" w:lineRule="auto" w:after="0"/>
        <w:ind w:firstLine="425"/>
      </w:pPr>
      <w:r>
        <w:rPr>
          <w:rFonts w:ascii="Times New Roman" w:hAnsi="Times New Roman" w:eastAsia="宋体"/>
          <w:b w:val="0"/>
          <w:i w:val="0"/>
          <w:sz w:val="22"/>
        </w:rPr>
        <w:t>机会约束规划在实时定价中的应用需要仔细分析保守性。保守性的来源包括：概率约束到确定性约束的转化引入的近似误差、场景逼近的离散化误差和分布假设的偏差。</w:t>
      </w:r>
    </w:p>
    <w:p>
      <w:pPr>
        <w:spacing w:line="360" w:lineRule="auto" w:after="0"/>
        <w:ind w:firstLine="425"/>
      </w:pPr>
      <w:r>
        <w:rPr>
          <w:rFonts w:ascii="Times New Roman" w:hAnsi="Times New Roman" w:eastAsia="宋体"/>
          <w:b w:val="0"/>
          <w:i w:val="0"/>
          <w:sz w:val="22"/>
        </w:rPr>
        <w:t>Bernstein近似和Chebyshev近似是两种常用的概率约束转化方法。Bernstein近似利用样本均值和方差的 Bernstein不等式，将概率约束转化为确定性约束。Chebyshev近似仅利用均值和方差信息（无需分布假设），适用于分布信息有限的场景。两种方法的保守性取决于样本数量和不确定性维度。</w:t>
      </w:r>
    </w:p>
    <w:p>
      <w:pPr>
        <w:spacing w:line="360" w:lineRule="auto" w:after="0"/>
        <w:ind w:firstLine="425"/>
      </w:pPr>
      <w:r>
        <w:rPr>
          <w:rFonts w:ascii="Times New Roman" w:hAnsi="Times New Roman" w:eastAsia="宋体"/>
          <w:b w:val="0"/>
          <w:i w:val="0"/>
          <w:sz w:val="22"/>
        </w:rPr>
        <w:t>场景逼近方法通过大量随机场景将概率约束转化为有限个确定性约束。大数定律保证了当场景数量趋于无穷时逼近精确。然而，有限场景数量下的保守性分析需要考虑场景抽样方差和覆盖率。bootstrapping方法可以评估场景逼近的统计不确定性，为场景数量选择提供指导。</w:t>
      </w:r>
    </w:p>
    <w:p>
      <w:pPr>
        <w:pStyle w:val="Heading3"/>
        <w:spacing w:before="160" w:after="60"/>
      </w:pPr>
      <w:r>
        <w:rPr>
          <w:rFonts w:ascii="Times New Roman" w:hAnsi="Times New Roman" w:eastAsia="黑体"/>
          <w:b/>
          <w:i w:val="0"/>
          <w:sz w:val="24"/>
        </w:rPr>
        <w:t>鲁棒优化的计算效率优化</w:t>
      </w:r>
    </w:p>
    <w:p>
      <w:pPr>
        <w:spacing w:line="360" w:lineRule="auto" w:after="0"/>
        <w:ind w:firstLine="425"/>
      </w:pPr>
      <w:r>
        <w:rPr>
          <w:rFonts w:ascii="Times New Roman" w:hAnsi="Times New Roman" w:eastAsia="宋体"/>
          <w:b w:val="0"/>
          <w:i w:val="0"/>
          <w:sz w:val="22"/>
        </w:rPr>
        <w:t>大规模鲁棒优化问题的计算效率是实际应用的主要瓶颈。对偶理论可以将鲁棒优化的 max-min 结构转化为单层优化问题，显著降低计算复杂度。对于线性鲁棒优化，对偶转化后的等价问题仍然是线性规划，可以使用成熟的LP求解器高效求解。</w:t>
      </w:r>
    </w:p>
    <w:p>
      <w:pPr>
        <w:spacing w:line="360" w:lineRule="auto" w:after="0"/>
        <w:ind w:firstLine="425"/>
      </w:pPr>
      <w:r>
        <w:rPr>
          <w:rFonts w:ascii="Times New Roman" w:hAnsi="Times New Roman" w:eastAsia="宋体"/>
          <w:b w:val="0"/>
          <w:i w:val="0"/>
          <w:sz w:val="22"/>
        </w:rPr>
        <w:t>列约束生成（CCG）算法是求解两阶段鲁棒优化的主流方法。CCG算法交替求解主问题（给定最坏场景优化第一阶段决策）和子问题（给定第一阶段决策寻找最坏场景），通过割平面逐步收敛。CCG算法的收敛性在某些条件下可以证明，但在一般情况下可能需要较多迭代。</w:t>
      </w:r>
    </w:p>
    <w:p>
      <w:pPr>
        <w:spacing w:line="360" w:lineRule="auto" w:after="0"/>
        <w:ind w:firstLine="425"/>
      </w:pPr>
      <w:r>
        <w:rPr>
          <w:rFonts w:ascii="Times New Roman" w:hAnsi="Times New Roman" w:eastAsia="宋体"/>
          <w:b w:val="0"/>
          <w:i w:val="0"/>
          <w:sz w:val="22"/>
        </w:rPr>
        <w:t>并行计算可以加速CCG算法。子问题的求解可以并行化（当最坏场景的搜索空间可以分解时）。GPU加速可以加速主问题和子问题中的线性代数运算。云原生部署使得鲁棒优化算法可以根据计算需求弹性扩展资源。</w:t>
      </w:r>
    </w:p>
    <w:p>
      <w:pPr>
        <w:pStyle w:val="Heading3"/>
        <w:spacing w:before="160" w:after="60"/>
      </w:pPr>
      <w:r>
        <w:rPr>
          <w:rFonts w:ascii="Times New Roman" w:hAnsi="Times New Roman" w:eastAsia="黑体"/>
          <w:b/>
          <w:i w:val="0"/>
          <w:sz w:val="24"/>
        </w:rPr>
        <w:t>鲁棒定价的反馈机制</w:t>
      </w:r>
    </w:p>
    <w:p>
      <w:pPr>
        <w:spacing w:line="360" w:lineRule="auto" w:after="0"/>
        <w:ind w:firstLine="425"/>
      </w:pPr>
      <w:r>
        <w:rPr>
          <w:rFonts w:ascii="Times New Roman" w:hAnsi="Times New Roman" w:eastAsia="宋体"/>
          <w:b w:val="0"/>
          <w:i w:val="0"/>
          <w:sz w:val="22"/>
        </w:rPr>
        <w:t>鲁棒定价在实施过程中需要建立反馈机制，持续评估和调整定价策略的鲁棒性。事后评估通过比较实际系统表现与鲁棒优化预测的表现，评估鲁棒模型的准确性。如果实际表现显著优于预测，说明模型过于保守，可以适当缩小不确定性集合；如果实际表现劣于预测，说明模型不够鲁棒，需要扩大不确定性集合。</w:t>
      </w:r>
    </w:p>
    <w:p>
      <w:pPr>
        <w:spacing w:line="360" w:lineRule="auto" w:after="0"/>
        <w:ind w:firstLine="425"/>
      </w:pPr>
      <w:r>
        <w:rPr>
          <w:rFonts w:ascii="Times New Roman" w:hAnsi="Times New Roman" w:eastAsia="宋体"/>
          <w:b w:val="0"/>
          <w:i w:val="0"/>
          <w:sz w:val="22"/>
        </w:rPr>
        <w:t>贝叶斯更新框架可以系统地更新不确定性集合参数。将不确定性参数（如分布的均值、方差或模糊集半径）视为随机变量，根据每个定价周期的观测数据更新其后验分布。这种方法使不确定性集合能够自适应调整，反映系统状态的渐进变化。</w:t>
      </w:r>
    </w:p>
    <w:p>
      <w:pPr>
        <w:spacing w:line="360" w:lineRule="auto" w:after="0"/>
        <w:ind w:firstLine="425"/>
      </w:pPr>
      <w:r>
        <w:rPr>
          <w:rFonts w:ascii="Times New Roman" w:hAnsi="Times New Roman" w:eastAsia="宋体"/>
          <w:b w:val="0"/>
          <w:i w:val="0"/>
          <w:sz w:val="22"/>
        </w:rPr>
        <w:t>在线鲁棒优化将鲁棒优化与在线学习结合。在每个决策时刻，算法基于当前不确定性集合做出鲁棒决策，然后根据观测结果更新不确定性集合。regret bound分析保证在线鲁棒优化的累积regret（相对于事后最优策略的性能差距）有界。这种理论保证为实时定价的长期性能提供了保障。</w:t>
      </w:r>
    </w:p>
    <w:p>
      <w:pPr>
        <w:pStyle w:val="Heading2"/>
        <w:spacing w:before="240" w:after="80"/>
      </w:pPr>
      <w:r>
        <w:rPr>
          <w:rFonts w:ascii="Times New Roman" w:hAnsi="Times New Roman" w:eastAsia="黑体"/>
          <w:b/>
          <w:i w:val="0"/>
          <w:sz w:val="28"/>
        </w:rPr>
        <w:t>9.12 鲁棒优化的软件工具与实施指南</w:t>
      </w:r>
    </w:p>
    <w:p>
      <w:pPr>
        <w:pStyle w:val="Heading3"/>
        <w:spacing w:before="160" w:after="60"/>
      </w:pPr>
      <w:r>
        <w:rPr>
          <w:rFonts w:ascii="Times New Roman" w:hAnsi="Times New Roman" w:eastAsia="黑体"/>
          <w:b/>
          <w:i w:val="0"/>
          <w:sz w:val="24"/>
        </w:rPr>
        <w:t>建模框架与求解器选择</w:t>
      </w:r>
    </w:p>
    <w:p>
      <w:pPr>
        <w:spacing w:line="360" w:lineRule="auto" w:after="0"/>
        <w:ind w:firstLine="425"/>
      </w:pPr>
      <w:r>
        <w:rPr>
          <w:rFonts w:ascii="Times New Roman" w:hAnsi="Times New Roman" w:eastAsia="宋体"/>
          <w:b w:val="0"/>
          <w:i w:val="0"/>
          <w:sz w:val="22"/>
        </w:rPr>
        <w:t>鲁棒优化问题的建模和求解需要选择合适的软件工具。Pyomo.Robust是Python生态中的鲁棒优化建模框架，支持多种不确定性集类型（盒形、椭球、多面体）和多种鲁棒优化公式。Pyomo.Robust与主流求解器（CPLEX、Gurobi、GLPK）集成，支持线性鲁棒优化问题的高效求解。</w:t>
      </w:r>
    </w:p>
    <w:p>
      <w:pPr>
        <w:spacing w:line="360" w:lineRule="auto" w:after="0"/>
        <w:ind w:firstLine="425"/>
      </w:pPr>
      <w:r>
        <w:rPr>
          <w:rFonts w:ascii="Times New Roman" w:hAnsi="Times New Roman" w:eastAsia="宋体"/>
          <w:b w:val="0"/>
          <w:i w:val="0"/>
          <w:sz w:val="22"/>
        </w:rPr>
        <w:t>Julia生态中的RobustOptimization.jl提供了类似的建模能力，但利用Julia语言的高性能计算特性，在大规模问题上具有更好的计算效率。JuMP建模框架的声明式语法使得鲁棒优化模型的编写简洁明了。</w:t>
      </w:r>
    </w:p>
    <w:p>
      <w:pPr>
        <w:spacing w:line="360" w:lineRule="auto" w:after="0"/>
        <w:ind w:firstLine="425"/>
      </w:pPr>
      <w:r>
        <w:rPr>
          <w:rFonts w:ascii="Times New Roman" w:hAnsi="Times New Roman" w:eastAsia="宋体"/>
          <w:b w:val="0"/>
          <w:i w:val="0"/>
          <w:sz w:val="22"/>
        </w:rPr>
        <w:t>对于分布鲁棒优化，DRO工具包（如Pyomo.DRO、DRO_Julia）支持基于矩信息和Wasserstein距离的模糊集建模。这些工具包将DRO问题自动转化为等价的凸优化问题，用户无需手动推导对偶转化。</w:t>
      </w:r>
    </w:p>
    <w:p>
      <w:pPr>
        <w:spacing w:line="360" w:lineRule="auto" w:after="0"/>
        <w:ind w:firstLine="425"/>
      </w:pPr>
      <w:r>
        <w:rPr>
          <w:rFonts w:ascii="Times New Roman" w:hAnsi="Times New Roman" w:eastAsia="宋体"/>
          <w:b w:val="0"/>
          <w:i w:val="0"/>
          <w:sz w:val="22"/>
        </w:rPr>
        <w:t>商业求解器Gurobi和CPLEX对鲁棒优化有原生支持，可以直接处理某些类型的鲁棒约束。开源求解器SCIP和HiGHS也在逐步增加鲁棒优化支持。</w:t>
      </w:r>
    </w:p>
    <w:p>
      <w:pPr>
        <w:pStyle w:val="Heading3"/>
        <w:spacing w:before="160" w:after="60"/>
      </w:pPr>
      <w:r>
        <w:rPr>
          <w:rFonts w:ascii="Times New Roman" w:hAnsi="Times New Roman" w:eastAsia="黑体"/>
          <w:b/>
          <w:i w:val="0"/>
          <w:sz w:val="24"/>
        </w:rPr>
        <w:t>不确定性集的设计准则</w:t>
      </w:r>
    </w:p>
    <w:p>
      <w:pPr>
        <w:spacing w:line="360" w:lineRule="auto" w:after="0"/>
        <w:ind w:firstLine="425"/>
      </w:pPr>
      <w:r>
        <w:rPr>
          <w:rFonts w:ascii="Times New Roman" w:hAnsi="Times New Roman" w:eastAsia="宋体"/>
          <w:b w:val="0"/>
          <w:i w:val="0"/>
          <w:sz w:val="22"/>
        </w:rPr>
        <w:t>不确定性集的设计是鲁棒优化应用的核心决策，直接影响解的质量和保守性。设计准则包括：</w:t>
      </w:r>
    </w:p>
    <w:p>
      <w:pPr>
        <w:spacing w:line="360" w:lineRule="auto" w:after="0"/>
        <w:ind w:firstLine="425"/>
      </w:pPr>
      <w:r>
        <w:rPr>
          <w:rFonts w:ascii="Times New Roman" w:hAnsi="Times New Roman" w:eastAsia="宋体"/>
          <w:b w:val="0"/>
          <w:i w:val="0"/>
          <w:sz w:val="22"/>
        </w:rPr>
        <w:t>物理合理性：不确定性集应覆盖参数的物理可能取值范围。负荷预测误差不会超过总负荷的100%，可再生能源出力不会超过装机容量。物理约束为不确定性集提供了天然边界。</w:t>
      </w:r>
    </w:p>
    <w:p>
      <w:pPr>
        <w:spacing w:line="360" w:lineRule="auto" w:after="0"/>
        <w:ind w:firstLine="425"/>
      </w:pPr>
      <w:r>
        <w:rPr>
          <w:rFonts w:ascii="Times New Roman" w:hAnsi="Times New Roman" w:eastAsia="宋体"/>
          <w:b w:val="0"/>
          <w:i w:val="0"/>
          <w:sz w:val="22"/>
        </w:rPr>
        <w:t>统计覆盖性：不确定性集应以一定概率覆盖真实参数值。基于置信区间的不确定性集可以提供统计覆盖保证，但置信水平的选择需要权衡覆盖概率和保守性。</w:t>
      </w:r>
    </w:p>
    <w:p>
      <w:pPr>
        <w:spacing w:line="360" w:lineRule="auto" w:after="0"/>
        <w:ind w:firstLine="425"/>
      </w:pPr>
      <w:r>
        <w:rPr>
          <w:rFonts w:ascii="Times New Roman" w:hAnsi="Times New Roman" w:eastAsia="宋体"/>
          <w:b w:val="0"/>
          <w:i w:val="0"/>
          <w:sz w:val="22"/>
        </w:rPr>
        <w:t>计算可处理性：不确定性集应使得鲁棒优化问题可高效求解。盒形集合和椭球集合可以转化为线性和二阶锥约束，计算效率高。一般多面体集合可能需要额外的计算技巧。</w:t>
      </w:r>
    </w:p>
    <w:p>
      <w:pPr>
        <w:spacing w:line="360" w:lineRule="auto" w:after="0"/>
        <w:ind w:firstLine="425"/>
      </w:pPr>
      <w:r>
        <w:rPr>
          <w:rFonts w:ascii="Times New Roman" w:hAnsi="Times New Roman" w:eastAsia="宋体"/>
          <w:b w:val="0"/>
          <w:i w:val="0"/>
          <w:sz w:val="22"/>
        </w:rPr>
        <w:t>可调性：不确定性集应提供可调参数（如预算参数、置信水平）使决策者能够控制保守性水平。参数调优应基于历史数据评估和专家判断，而非任意设置。</w:t>
      </w:r>
    </w:p>
    <w:p>
      <w:pPr>
        <w:pStyle w:val="Heading3"/>
        <w:spacing w:before="160" w:after="60"/>
      </w:pPr>
      <w:r>
        <w:rPr>
          <w:rFonts w:ascii="Times New Roman" w:hAnsi="Times New Roman" w:eastAsia="黑体"/>
          <w:b/>
          <w:i w:val="0"/>
          <w:sz w:val="24"/>
        </w:rPr>
        <w:t>鲁棒解的事后评估</w:t>
      </w:r>
    </w:p>
    <w:p>
      <w:pPr>
        <w:spacing w:line="360" w:lineRule="auto" w:after="0"/>
        <w:ind w:firstLine="425"/>
      </w:pPr>
      <w:r>
        <w:rPr>
          <w:rFonts w:ascii="Times New Roman" w:hAnsi="Times New Roman" w:eastAsia="宋体"/>
          <w:b w:val="0"/>
          <w:i w:val="0"/>
          <w:sz w:val="22"/>
        </w:rPr>
        <w:t>鲁棒优化解的事后评估是验证解质量的必要步骤。事后评估通过将鲁棒解应用于历史实际场景，评估其在实际条件下的表现。</w:t>
      </w:r>
    </w:p>
    <w:p>
      <w:pPr>
        <w:spacing w:line="360" w:lineRule="auto" w:after="0"/>
        <w:ind w:firstLine="425"/>
      </w:pPr>
      <w:r>
        <w:rPr>
          <w:rFonts w:ascii="Times New Roman" w:hAnsi="Times New Roman" w:eastAsia="宋体"/>
          <w:b w:val="0"/>
          <w:i w:val="0"/>
          <w:sz w:val="22"/>
        </w:rPr>
        <w:t>样本外性能评估将鲁棒解与确定解（基于点预测的优化解）在历史场景上比较。评估指标包括：平均成本（鲁棒解的平均成本可能略高于确定解，因为保守性带来的额外成本）、最坏成本（鲁棒解的最坏成本应显著低于确定解）、成本方差（鲁棒解的成本方差应更低）、约束违反率（鲁棒解应确保约束满足）。</w:t>
      </w:r>
    </w:p>
    <w:p>
      <w:pPr>
        <w:spacing w:line="360" w:lineRule="auto" w:after="0"/>
        <w:ind w:firstLine="425"/>
      </w:pPr>
      <w:r>
        <w:rPr>
          <w:rFonts w:ascii="Times New Roman" w:hAnsi="Times New Roman" w:eastAsia="宋体"/>
          <w:b w:val="0"/>
          <w:i w:val="0"/>
          <w:sz w:val="22"/>
        </w:rPr>
        <w:t>帕累托前沿分析绘制保守性参数与性能指标之间的关系曲线，帮助决策者选择最优保守性水平。横轴为保守性参数（如不确定性集大小），纵轴为性能指标（如平均成本和最坏成本）。决策者根据风险偏好选择前沿上的最优点。</w:t>
      </w:r>
    </w:p>
    <w:p>
      <w:pPr>
        <w:spacing w:line="360" w:lineRule="auto" w:after="0"/>
        <w:ind w:firstLine="425"/>
      </w:pPr>
      <w:r>
        <w:rPr>
          <w:rFonts w:ascii="Times New Roman" w:hAnsi="Times New Roman" w:eastAsia="宋体"/>
          <w:b w:val="0"/>
          <w:i w:val="0"/>
          <w:sz w:val="22"/>
        </w:rPr>
        <w:t>后悔分析计算鲁棒解在每个场景下的后悔值（实际成本与事后最优成本之差），绘制后悔分布图。如果后悔分布集中在低值区域，说明鲁棒解在各种场景下都接近最优；如果存在高后悔的场景，需要进一步分析这些场景的特征并调整不确定性集。</w:t>
      </w:r>
    </w:p>
    <w:p>
      <w:pPr>
        <w:pStyle w:val="Heading3"/>
        <w:spacing w:before="160" w:after="60"/>
      </w:pPr>
      <w:r>
        <w:rPr>
          <w:rFonts w:ascii="Times New Roman" w:hAnsi="Times New Roman" w:eastAsia="黑体"/>
          <w:b/>
          <w:i w:val="0"/>
          <w:sz w:val="24"/>
        </w:rPr>
        <w:t>鲁棒优化与随机规划的比较选择</w:t>
      </w:r>
    </w:p>
    <w:p>
      <w:pPr>
        <w:spacing w:line="360" w:lineRule="auto" w:after="0"/>
        <w:ind w:firstLine="425"/>
      </w:pPr>
      <w:r>
        <w:rPr>
          <w:rFonts w:ascii="Times New Roman" w:hAnsi="Times New Roman" w:eastAsia="宋体"/>
          <w:b w:val="0"/>
          <w:i w:val="0"/>
          <w:sz w:val="22"/>
        </w:rPr>
        <w:t>鲁棒优化和随机规划是处理不确定性的两种主要方法，各有优劣。选择哪种方法取决于问题的特征和可用的信息。</w:t>
      </w:r>
    </w:p>
    <w:p>
      <w:pPr>
        <w:spacing w:line="360" w:lineRule="auto" w:after="0"/>
        <w:ind w:firstLine="425"/>
      </w:pPr>
      <w:r>
        <w:rPr>
          <w:rFonts w:ascii="Times New Roman" w:hAnsi="Times New Roman" w:eastAsia="宋体"/>
          <w:b w:val="0"/>
          <w:i w:val="0"/>
          <w:sz w:val="22"/>
        </w:rPr>
        <w:t>当不确定性的概率分布已知且可靠时，随机规划可以利用完整的分布信息获得期望最优解。然而，当分布信息不确定或分布可能变化时，鲁棒优化提供了对分布偏差的保护。</w:t>
      </w:r>
    </w:p>
    <w:p>
      <w:pPr>
        <w:spacing w:line="360" w:lineRule="auto" w:after="0"/>
        <w:ind w:firstLine="425"/>
      </w:pPr>
      <w:r>
        <w:rPr>
          <w:rFonts w:ascii="Times New Roman" w:hAnsi="Times New Roman" w:eastAsia="宋体"/>
          <w:b w:val="0"/>
          <w:i w:val="0"/>
          <w:sz w:val="22"/>
        </w:rPr>
        <w:t>随机规划的计算复杂度取决于场景数量：场景越多精度越高但计算量越大。鲁棒优化的计算复杂度取决于不确定性集的复杂度：简单集合（如盒形）的计算复杂度低但可能过于保守，复杂集合（如数据驱动集合）更精确但计算量更大。</w:t>
      </w:r>
    </w:p>
    <w:p>
      <w:pPr>
        <w:spacing w:line="360" w:lineRule="auto" w:after="0"/>
        <w:ind w:firstLine="425"/>
      </w:pPr>
      <w:r>
        <w:rPr>
          <w:rFonts w:ascii="Times New Roman" w:hAnsi="Times New Roman" w:eastAsia="宋体"/>
          <w:b w:val="0"/>
          <w:i w:val="0"/>
          <w:sz w:val="22"/>
        </w:rPr>
        <w:t>在实际应用中，可以采用混合策略：使用随机规划处理高频、小幅度不确定性（如负荷预测误差），使用鲁棒优化处理低频、大幅度不确定性（如极端事件）。这种分层策略兼顾了精度和鲁棒性。</w:t>
      </w:r>
    </w:p>
    <w:p>
      <w:pPr>
        <w:pStyle w:val="Heading3"/>
        <w:spacing w:before="160" w:after="60"/>
      </w:pPr>
      <w:r>
        <w:rPr>
          <w:rFonts w:ascii="Times New Roman" w:hAnsi="Times New Roman" w:eastAsia="黑体"/>
          <w:b/>
          <w:i w:val="0"/>
          <w:sz w:val="24"/>
        </w:rPr>
        <w:t>鲁棒定价的实施路线图</w:t>
      </w:r>
    </w:p>
    <w:p>
      <w:pPr>
        <w:spacing w:line="360" w:lineRule="auto" w:after="0"/>
        <w:ind w:firstLine="425"/>
      </w:pPr>
      <w:r>
        <w:rPr>
          <w:rFonts w:ascii="Times New Roman" w:hAnsi="Times New Roman" w:eastAsia="宋体"/>
          <w:b w:val="0"/>
          <w:i w:val="0"/>
          <w:sz w:val="22"/>
        </w:rPr>
        <w:t>鲁棒实时定价的实施应遵循渐进式路线图：</w:t>
      </w:r>
    </w:p>
    <w:p>
      <w:pPr>
        <w:spacing w:line="360" w:lineRule="auto" w:after="0"/>
        <w:ind w:firstLine="425"/>
      </w:pPr>
      <w:r>
        <w:rPr>
          <w:rFonts w:ascii="Times New Roman" w:hAnsi="Times New Roman" w:eastAsia="宋体"/>
          <w:b w:val="0"/>
          <w:i w:val="0"/>
          <w:sz w:val="22"/>
        </w:rPr>
        <w:t>第一阶段（数据准备）：收集历史负荷、价格和可再生能源出力数据；分析不确定性的统计特征（分布形状、时间相关性、空间相关性）；设计不确定性集并验证其覆盖性。</w:t>
      </w:r>
    </w:p>
    <w:p>
      <w:pPr>
        <w:spacing w:line="360" w:lineRule="auto" w:after="0"/>
        <w:ind w:firstLine="425"/>
      </w:pPr>
      <w:r>
        <w:rPr>
          <w:rFonts w:ascii="Times New Roman" w:hAnsi="Times New Roman" w:eastAsia="宋体"/>
          <w:b w:val="0"/>
          <w:i w:val="0"/>
          <w:sz w:val="22"/>
        </w:rPr>
        <w:t>第二阶段（模型构建）：建立实时定价的鲁棒优化模型；选择合适的求解器并测试求解效率；设计保守性参数调优方案。</w:t>
      </w:r>
    </w:p>
    <w:p>
      <w:pPr>
        <w:spacing w:line="360" w:lineRule="auto" w:after="0"/>
        <w:ind w:firstLine="425"/>
      </w:pPr>
      <w:r>
        <w:rPr>
          <w:rFonts w:ascii="Times New Roman" w:hAnsi="Times New Roman" w:eastAsia="宋体"/>
          <w:b w:val="0"/>
          <w:i w:val="0"/>
          <w:sz w:val="22"/>
        </w:rPr>
        <w:t>第三阶段（离线验证）：使用历史数据模拟鲁棒定价策略的表现；与现有定价策略比较；分析鲁棒解的优势和不足。</w:t>
      </w:r>
    </w:p>
    <w:p>
      <w:pPr>
        <w:spacing w:line="360" w:lineRule="auto" w:after="0"/>
        <w:ind w:firstLine="425"/>
      </w:pPr>
      <w:r>
        <w:rPr>
          <w:rFonts w:ascii="Times New Roman" w:hAnsi="Times New Roman" w:eastAsia="宋体"/>
          <w:b w:val="0"/>
          <w:i w:val="0"/>
          <w:sz w:val="22"/>
        </w:rPr>
        <w:t>第四阶段（在线试点）：在小范围试点区域部署鲁棒定价策略；监控实时性能指标；收集用户反馈并调整参数。</w:t>
      </w:r>
    </w:p>
    <w:p>
      <w:pPr>
        <w:spacing w:line="360" w:lineRule="auto" w:after="0"/>
        <w:ind w:firstLine="425"/>
      </w:pPr>
      <w:r>
        <w:rPr>
          <w:rFonts w:ascii="Times New Roman" w:hAnsi="Times New Roman" w:eastAsia="宋体"/>
          <w:b w:val="0"/>
          <w:i w:val="0"/>
          <w:sz w:val="22"/>
        </w:rPr>
        <w:t>第五阶段（全面推广）：在验证效果后将鲁棒定价推广到更大范围；建立持续监控和改进机制；定期更新不确定性集和模型参数。</w:t>
      </w:r>
    </w:p>
    <w:p>
      <w:pPr>
        <w:pStyle w:val="Heading2"/>
        <w:spacing w:before="240" w:after="80"/>
      </w:pPr>
      <w:r>
        <w:rPr>
          <w:rFonts w:ascii="Times New Roman" w:hAnsi="Times New Roman" w:eastAsia="黑体"/>
          <w:b/>
          <w:i w:val="0"/>
          <w:sz w:val="28"/>
        </w:rPr>
        <w:t>9.13 鲁棒优化的案例验证与性能基准</w:t>
      </w:r>
    </w:p>
    <w:p>
      <w:pPr>
        <w:pStyle w:val="Heading3"/>
        <w:spacing w:before="160" w:after="60"/>
      </w:pPr>
      <w:r>
        <w:rPr>
          <w:rFonts w:ascii="Times New Roman" w:hAnsi="Times New Roman" w:eastAsia="黑体"/>
          <w:b/>
          <w:i w:val="0"/>
          <w:sz w:val="24"/>
        </w:rPr>
        <w:t>IEEE标准测试系统验证</w:t>
      </w:r>
    </w:p>
    <w:p>
      <w:pPr>
        <w:spacing w:line="360" w:lineRule="auto" w:after="0"/>
        <w:ind w:firstLine="425"/>
      </w:pPr>
      <w:r>
        <w:rPr>
          <w:rFonts w:ascii="Times New Roman" w:hAnsi="Times New Roman" w:eastAsia="宋体"/>
          <w:b w:val="0"/>
          <w:i w:val="0"/>
          <w:sz w:val="22"/>
        </w:rPr>
        <w:t>IEEE标准测试系统是电力系统算法验证的国际通用基准。IEEE 9-bus系统适合快速原型验证，IEEE 30-bus和57-bus系统适合中等规模测试，IEEE 118-bus系统适合大规模验证，IEEE 300-bus系统适合超大规模测试。</w:t>
      </w:r>
    </w:p>
    <w:p>
      <w:pPr>
        <w:spacing w:line="360" w:lineRule="auto" w:after="0"/>
        <w:ind w:firstLine="425"/>
      </w:pPr>
      <w:r>
        <w:rPr>
          <w:rFonts w:ascii="Times New Roman" w:hAnsi="Times New Roman" w:eastAsia="宋体"/>
          <w:b w:val="0"/>
          <w:i w:val="0"/>
          <w:sz w:val="22"/>
        </w:rPr>
        <w:t>在鲁棒定价验证中，使用IEEE 118-bus系统模拟一个包含54台发电机、186条线路和91个负荷节点的区域电力市场。不确定性来源包括91个负荷节点的预测误差和若干风电场的出力波动。</w:t>
      </w:r>
    </w:p>
    <w:p>
      <w:pPr>
        <w:spacing w:line="360" w:lineRule="auto" w:after="0"/>
        <w:ind w:firstLine="425"/>
      </w:pPr>
      <w:r>
        <w:rPr>
          <w:rFonts w:ascii="Times New Roman" w:hAnsi="Times New Roman" w:eastAsia="宋体"/>
          <w:b w:val="0"/>
          <w:i w:val="0"/>
          <w:sz w:val="22"/>
        </w:rPr>
        <w:t>测试结果比较四种方法：确定性优化（基于点预测）、随机规划（基于场景生成）、传统鲁棒优化（盒形不确定性集）和Wasserstein DRO。评估指标包括：平均运行成本、最坏运行成本、成本标准差、约束违反率和求解时间。</w:t>
      </w:r>
    </w:p>
    <w:p>
      <w:pPr>
        <w:spacing w:line="360" w:lineRule="auto" w:after="0"/>
        <w:ind w:firstLine="425"/>
      </w:pPr>
      <w:r>
        <w:rPr>
          <w:rFonts w:ascii="Times New Roman" w:hAnsi="Times New Roman" w:eastAsia="宋体"/>
          <w:b w:val="0"/>
          <w:i w:val="0"/>
          <w:sz w:val="22"/>
        </w:rPr>
        <w:t>典型结果显示：确定性优化的平均成本最低但最坏成本最高且存在约束违反；随机规划的平均成本接近确定性优化且改善了最坏情况；传统鲁棒优化的约束满足率最高但平均成本显著增加（过度保守）；Wasserstein DRO在平均成本和最坏成本之间取得了最佳平衡，且约束满足率接近传统鲁棒优化。</w:t>
      </w:r>
    </w:p>
    <w:p>
      <w:pPr>
        <w:pStyle w:val="Heading3"/>
        <w:spacing w:before="160" w:after="60"/>
      </w:pPr>
      <w:r>
        <w:rPr>
          <w:rFonts w:ascii="Times New Roman" w:hAnsi="Times New Roman" w:eastAsia="黑体"/>
          <w:b/>
          <w:i w:val="0"/>
          <w:sz w:val="24"/>
        </w:rPr>
        <w:t>鲁棒性-经济性权衡的量化</w:t>
      </w:r>
    </w:p>
    <w:p>
      <w:pPr>
        <w:spacing w:line="360" w:lineRule="auto" w:after="0"/>
        <w:ind w:firstLine="425"/>
      </w:pPr>
      <w:r>
        <w:rPr>
          <w:rFonts w:ascii="Times New Roman" w:hAnsi="Times New Roman" w:eastAsia="宋体"/>
          <w:b w:val="0"/>
          <w:i w:val="0"/>
          <w:sz w:val="22"/>
        </w:rPr>
        <w:t>鲁棒性-经济性权衡的量化对决策者选择最优保守性水平至关重要。代价-鲁棒性曲线（Cost-Robustness Curve）以保守性参数为横轴，以平均成本和最坏成本为纵轴，直观展示权衡关系。</w:t>
      </w:r>
    </w:p>
    <w:p>
      <w:pPr>
        <w:spacing w:line="360" w:lineRule="auto" w:after="0"/>
        <w:ind w:firstLine="425"/>
      </w:pPr>
      <w:r>
        <w:rPr>
          <w:rFonts w:ascii="Times New Roman" w:hAnsi="Times New Roman" w:eastAsia="宋体"/>
          <w:b w:val="0"/>
          <w:i w:val="0"/>
          <w:sz w:val="22"/>
        </w:rPr>
        <w:t>代价-鲁棒性曲线通常呈现以下特征：当保守性参数从零开始增加时，平均成本缓慢上升而最坏成本快速下降（鲁棒性提升的边际成本较低）；当保守性参数继续增加时，平均成本加速上升而最坏成本的下降减缓（鲁棒性提升的边际成本增加）。曲线的拐点通常对应最优保守性水平。</w:t>
      </w:r>
    </w:p>
    <w:p>
      <w:pPr>
        <w:spacing w:line="360" w:lineRule="auto" w:after="0"/>
        <w:ind w:firstLine="425"/>
      </w:pPr>
      <w:r>
        <w:rPr>
          <w:rFonts w:ascii="Times New Roman" w:hAnsi="Times New Roman" w:eastAsia="宋体"/>
          <w:b w:val="0"/>
          <w:i w:val="0"/>
          <w:sz w:val="22"/>
        </w:rPr>
        <w:t>最坏成本减少率（WCR）和经济成本增加率（ECI）的比值可以作为保守性效率指标：Efficiency = WCR / ECI。当效率大于1时，每增加1单位经济成本可以减少超过1单位的最坏成本，保守性提升是划算的；当效率小于1时，继续增加保守性不经济。</w:t>
      </w:r>
    </w:p>
    <w:p>
      <w:pPr>
        <w:pStyle w:val="Heading3"/>
        <w:spacing w:before="160" w:after="60"/>
      </w:pPr>
      <w:r>
        <w:rPr>
          <w:rFonts w:ascii="Times New Roman" w:hAnsi="Times New Roman" w:eastAsia="黑体"/>
          <w:b/>
          <w:i w:val="0"/>
          <w:sz w:val="24"/>
        </w:rPr>
        <w:t>实际系统验证的挑战</w:t>
      </w:r>
    </w:p>
    <w:p>
      <w:pPr>
        <w:spacing w:line="360" w:lineRule="auto" w:after="0"/>
        <w:ind w:firstLine="425"/>
      </w:pPr>
      <w:r>
        <w:rPr>
          <w:rFonts w:ascii="Times New Roman" w:hAnsi="Times New Roman" w:eastAsia="宋体"/>
          <w:b w:val="0"/>
          <w:i w:val="0"/>
          <w:sz w:val="22"/>
        </w:rPr>
        <w:t>将鲁棒定价算法从标准测试系统推广到实际系统面临以下挑战：</w:t>
      </w:r>
    </w:p>
    <w:p>
      <w:pPr>
        <w:spacing w:line="360" w:lineRule="auto" w:after="0"/>
        <w:ind w:firstLine="425"/>
      </w:pPr>
      <w:r>
        <w:rPr>
          <w:rFonts w:ascii="Times New Roman" w:hAnsi="Times New Roman" w:eastAsia="宋体"/>
          <w:b w:val="0"/>
          <w:i w:val="0"/>
          <w:sz w:val="22"/>
        </w:rPr>
        <w:t>数据可得性：实际系统需要高质量的负荷、价格和可再生能源出力历史数据。数据缺失、异常和频率不一致等问题需要预处理。数据隐私法规可能限制数据的获取和使用。</w:t>
      </w:r>
    </w:p>
    <w:p>
      <w:pPr>
        <w:spacing w:line="360" w:lineRule="auto" w:after="0"/>
        <w:ind w:firstLine="425"/>
      </w:pPr>
      <w:r>
        <w:rPr>
          <w:rFonts w:ascii="Times New Roman" w:hAnsi="Times New Roman" w:eastAsia="宋体"/>
          <w:b w:val="0"/>
          <w:i w:val="0"/>
          <w:sz w:val="22"/>
        </w:rPr>
        <w:t>模型保真度：标准测试系统的参数是公开的且经过验证，实际系统的参数可能不准确或不完整。发电机成本曲线的估计、输电线路参数的校准和负荷特性的建模都存在不确定性。</w:t>
      </w:r>
    </w:p>
    <w:p>
      <w:pPr>
        <w:spacing w:line="360" w:lineRule="auto" w:after="0"/>
        <w:ind w:firstLine="425"/>
      </w:pPr>
      <w:r>
        <w:rPr>
          <w:rFonts w:ascii="Times New Roman" w:hAnsi="Times New Roman" w:eastAsia="宋体"/>
          <w:b w:val="0"/>
          <w:i w:val="0"/>
          <w:sz w:val="22"/>
        </w:rPr>
        <w:t>计算规模：实际系统的规模远超标准测试系统，计算复杂度显著增加。省级电网可能包含数千个节点和上万条线路，需要在合理时间内完成鲁棒优化求解。</w:t>
      </w:r>
    </w:p>
    <w:p>
      <w:pPr>
        <w:spacing w:line="360" w:lineRule="auto" w:after="0"/>
        <w:ind w:firstLine="425"/>
      </w:pPr>
      <w:r>
        <w:rPr>
          <w:rFonts w:ascii="Times New Roman" w:hAnsi="Times New Roman" w:eastAsia="宋体"/>
          <w:b w:val="0"/>
          <w:i w:val="0"/>
          <w:sz w:val="22"/>
        </w:rPr>
        <w:t>监管合规：实际定价决策需要符合市场规则和监管要求。鲁棒优化产生的定价方案可能在某些极端场景下违反监管约束（如价格上限），需要在算法中嵌入监管约束。</w:t>
      </w:r>
    </w:p>
    <w:p>
      <w:pPr>
        <w:pStyle w:val="Heading3"/>
        <w:spacing w:before="160" w:after="60"/>
      </w:pPr>
      <w:r>
        <w:rPr>
          <w:rFonts w:ascii="Times New Roman" w:hAnsi="Times New Roman" w:eastAsia="黑体"/>
          <w:b/>
          <w:i w:val="0"/>
          <w:sz w:val="24"/>
        </w:rPr>
        <w:t>鲁棒定价的可视化与解释</w:t>
      </w:r>
    </w:p>
    <w:p>
      <w:pPr>
        <w:spacing w:line="360" w:lineRule="auto" w:after="0"/>
        <w:ind w:firstLine="425"/>
      </w:pPr>
      <w:r>
        <w:rPr>
          <w:rFonts w:ascii="Times New Roman" w:hAnsi="Times New Roman" w:eastAsia="宋体"/>
          <w:b w:val="0"/>
          <w:i w:val="0"/>
          <w:sz w:val="22"/>
        </w:rPr>
        <w:t>鲁棒定价结果的可视化和解释对于决策者和监管者的理解至关重要。可视化工具应展示以下信息：</w:t>
      </w:r>
    </w:p>
    <w:p>
      <w:pPr>
        <w:spacing w:line="360" w:lineRule="auto" w:after="0"/>
        <w:ind w:firstLine="425"/>
      </w:pPr>
      <w:r>
        <w:rPr>
          <w:rFonts w:ascii="Times New Roman" w:hAnsi="Times New Roman" w:eastAsia="宋体"/>
          <w:b w:val="0"/>
          <w:i w:val="0"/>
          <w:sz w:val="22"/>
        </w:rPr>
        <w:t>不确定性传播图展示从输入不确定性到定价决策不确定性的传播路径和放大效应。Sankey图可以直观展示不确定性在不同环节的流量和分布。</w:t>
      </w:r>
    </w:p>
    <w:p>
      <w:pPr>
        <w:spacing w:line="360" w:lineRule="auto" w:after="0"/>
        <w:ind w:firstLine="425"/>
      </w:pPr>
      <w:r>
        <w:rPr>
          <w:rFonts w:ascii="Times New Roman" w:hAnsi="Times New Roman" w:eastAsia="宋体"/>
          <w:b w:val="0"/>
          <w:i w:val="0"/>
          <w:sz w:val="22"/>
        </w:rPr>
        <w:t>场景分析仪表盘展示不同场景下的定价决策和系统状态。决策者可以交互式地选择场景并查看对应的定价结果，理解不同不确定性实现对定价的影响。</w:t>
      </w:r>
    </w:p>
    <w:p>
      <w:pPr>
        <w:spacing w:line="360" w:lineRule="auto" w:after="0"/>
        <w:ind w:firstLine="425"/>
      </w:pPr>
      <w:r>
        <w:rPr>
          <w:rFonts w:ascii="Times New Roman" w:hAnsi="Times New Roman" w:eastAsia="宋体"/>
          <w:b w:val="0"/>
          <w:i w:val="0"/>
          <w:sz w:val="22"/>
        </w:rPr>
        <w:t>保守性调节面板允许决策者实时调整保守性参数并观察定价决策的变化。这种交互式工具帮助决策者建立对鲁棒定价的直觉理解，选择合适的保守性水平。</w:t>
      </w:r>
    </w:p>
    <w:p>
      <w:pPr>
        <w:spacing w:line="360" w:lineRule="auto" w:after="0"/>
        <w:ind w:firstLine="425"/>
      </w:pPr>
      <w:r>
        <w:rPr>
          <w:rFonts w:ascii="Times New Roman" w:hAnsi="Times New Roman" w:eastAsia="宋体"/>
          <w:b w:val="0"/>
          <w:i w:val="0"/>
          <w:sz w:val="22"/>
        </w:rPr>
        <w:t>解释性报告自动生成包含关键指标、图表和建议的定价决策报告。报告应使用非技术语言解释定价决策的逻辑和依据，使非技术背景的利益相关者也能理解。</w:t>
      </w:r>
    </w:p>
    <w:p>
      <w:pPr>
        <w:pStyle w:val="Heading3"/>
        <w:spacing w:before="160" w:after="60"/>
      </w:pPr>
      <w:r>
        <w:rPr>
          <w:rFonts w:ascii="Times New Roman" w:hAnsi="Times New Roman" w:eastAsia="黑体"/>
          <w:b/>
          <w:i w:val="0"/>
          <w:sz w:val="24"/>
        </w:rPr>
        <w:t>鲁棒定价的持续改进机制</w:t>
      </w:r>
    </w:p>
    <w:p>
      <w:pPr>
        <w:spacing w:line="360" w:lineRule="auto" w:after="0"/>
        <w:ind w:firstLine="425"/>
      </w:pPr>
      <w:r>
        <w:rPr>
          <w:rFonts w:ascii="Times New Roman" w:hAnsi="Times New Roman" w:eastAsia="宋体"/>
          <w:b w:val="0"/>
          <w:i w:val="0"/>
          <w:sz w:val="22"/>
        </w:rPr>
        <w:t>鲁棒定价系统需要建立持续改进机制，确保长期性能最优。持续改进的关键环节包括：</w:t>
      </w:r>
    </w:p>
    <w:p>
      <w:pPr>
        <w:spacing w:line="360" w:lineRule="auto" w:after="0"/>
        <w:ind w:firstLine="425"/>
      </w:pPr>
      <w:r>
        <w:rPr>
          <w:rFonts w:ascii="Times New Roman" w:hAnsi="Times New Roman" w:eastAsia="宋体"/>
          <w:b w:val="0"/>
          <w:i w:val="0"/>
          <w:sz w:val="22"/>
        </w:rPr>
        <w:t>数据质量监控：定期检查数据源的完整性、准确性和时效性。数据质量退化会直接影响鲁棒优化结果的质量。</w:t>
      </w:r>
    </w:p>
    <w:p>
      <w:pPr>
        <w:spacing w:line="360" w:lineRule="auto" w:after="0"/>
        <w:ind w:firstLine="425"/>
      </w:pPr>
      <w:r>
        <w:rPr>
          <w:rFonts w:ascii="Times New Roman" w:hAnsi="Times New Roman" w:eastAsia="宋体"/>
          <w:b w:val="0"/>
          <w:i w:val="0"/>
          <w:sz w:val="22"/>
        </w:rPr>
        <w:t>模型性能监控：跟踪定价决策的事后表现，与鲁棒优化预测进行比较。如果系统性偏差出现（如实际成本持续高于预测），表明模型需要更新。</w:t>
      </w:r>
    </w:p>
    <w:p>
      <w:pPr>
        <w:spacing w:line="360" w:lineRule="auto" w:after="0"/>
        <w:ind w:firstLine="425"/>
      </w:pPr>
      <w:r>
        <w:rPr>
          <w:rFonts w:ascii="Times New Roman" w:hAnsi="Times New Roman" w:eastAsia="宋体"/>
          <w:b w:val="0"/>
          <w:i w:val="0"/>
          <w:sz w:val="22"/>
        </w:rPr>
        <w:t>不确定性集更新：随着系统变化（如新增发电机组、负荷增长、气候变化），不确定性集的参数需要定期更新。自动化更新流程可以减少人工干预。</w:t>
      </w:r>
    </w:p>
    <w:p>
      <w:pPr>
        <w:spacing w:line="360" w:lineRule="auto" w:after="0"/>
        <w:ind w:firstLine="425"/>
      </w:pPr>
      <w:r>
        <w:rPr>
          <w:rFonts w:ascii="Times New Roman" w:hAnsi="Times New Roman" w:eastAsia="宋体"/>
          <w:b w:val="0"/>
          <w:i w:val="0"/>
          <w:sz w:val="22"/>
        </w:rPr>
        <w:t>算法版本管理：维护算法的版本历史，记录每次更新的原因和效果。A/B测试框架允许并行运行多个算法版本，比较性能差异。</w:t>
      </w:r>
    </w:p>
    <w:p>
      <w:pPr>
        <w:spacing w:line="360" w:lineRule="auto" w:after="0"/>
        <w:ind w:firstLine="425"/>
      </w:pPr>
      <w:r>
        <w:rPr>
          <w:rFonts w:ascii="Times New Roman" w:hAnsi="Times New Roman" w:eastAsia="宋体"/>
          <w:b w:val="0"/>
          <w:i w:val="0"/>
          <w:sz w:val="22"/>
        </w:rPr>
        <w:t>定期审查与审计：定期对鲁棒定价系统进行全面审查，包括模型假设的合理性、算法实现的正确性和定价结果的公平性。独立审计可以发现内部审查遗漏的问题。</w:t>
      </w:r>
    </w:p>
    <w:p>
      <w:pPr>
        <w:pStyle w:val="Heading2"/>
        <w:spacing w:before="240" w:after="80"/>
      </w:pPr>
      <w:r>
        <w:rPr>
          <w:rFonts w:ascii="Times New Roman" w:hAnsi="Times New Roman" w:eastAsia="黑体"/>
          <w:b/>
          <w:i w:val="0"/>
          <w:sz w:val="28"/>
        </w:rPr>
        <w:t>9.14 鲁棒优化的扩展理论与应用</w:t>
      </w:r>
    </w:p>
    <w:p>
      <w:pPr>
        <w:pStyle w:val="Heading3"/>
        <w:spacing w:before="160" w:after="60"/>
      </w:pPr>
      <w:r>
        <w:rPr>
          <w:rFonts w:ascii="Times New Roman" w:hAnsi="Times New Roman" w:eastAsia="黑体"/>
          <w:b/>
          <w:i w:val="0"/>
          <w:sz w:val="24"/>
        </w:rPr>
        <w:t>分布鲁棒优化的计算效率优化</w:t>
      </w:r>
    </w:p>
    <w:p>
      <w:pPr>
        <w:spacing w:line="360" w:lineRule="auto" w:after="0"/>
        <w:ind w:firstLine="425"/>
      </w:pPr>
      <w:r>
        <w:rPr>
          <w:rFonts w:ascii="Times New Roman" w:hAnsi="Times New Roman" w:eastAsia="宋体"/>
          <w:b w:val="0"/>
          <w:i w:val="0"/>
          <w:sz w:val="22"/>
        </w:rPr>
        <w:t>大规模DRO问题的计算效率是实际应用的主要瓶颈。Wasserstein DRO的对偶问题虽然是凸优化，但当问题规模增大时（数千节点、数万变量），求解时间可能超过实时计算窗口。</w:t>
      </w:r>
    </w:p>
    <w:p>
      <w:pPr>
        <w:spacing w:line="360" w:lineRule="auto" w:after="0"/>
        <w:ind w:firstLine="425"/>
      </w:pPr>
      <w:r>
        <w:rPr>
          <w:rFonts w:ascii="Times New Roman" w:hAnsi="Times New Roman" w:eastAsia="宋体"/>
          <w:b w:val="0"/>
          <w:i w:val="0"/>
          <w:sz w:val="22"/>
        </w:rPr>
        <w:t>切割平面法将DRO问题分解为主问题和子问题。主问题在有限的割平面约束下优化决策变量，子问题寻找最坏分布生成新的割平面。这种方法迭代地逼近完整问题，每步仅求解较小的子问题。收敛性在最坏情况下需要较多迭代，但在实践中通常快速收敛。</w:t>
      </w:r>
    </w:p>
    <w:p>
      <w:pPr>
        <w:spacing w:line="360" w:lineRule="auto" w:after="0"/>
        <w:ind w:firstLine="425"/>
      </w:pPr>
      <w:r>
        <w:rPr>
          <w:rFonts w:ascii="Times New Roman" w:hAnsi="Times New Roman" w:eastAsia="宋体"/>
          <w:b w:val="0"/>
          <w:i w:val="0"/>
          <w:sz w:val="22"/>
        </w:rPr>
        <w:t>场景分解法将大规模场景集分解为多个子集，各子集可以在不同处理器上并行求解。通过场景聚合和协调变量的迭代更新实现全局收敛。这种方法在大规模并行计算环境中具有良好的可扩展性。</w:t>
      </w:r>
    </w:p>
    <w:p>
      <w:pPr>
        <w:spacing w:line="360" w:lineRule="auto" w:after="0"/>
        <w:ind w:firstLine="425"/>
      </w:pPr>
      <w:r>
        <w:rPr>
          <w:rFonts w:ascii="Times New Roman" w:hAnsi="Times New Roman" w:eastAsia="宋体"/>
          <w:b w:val="0"/>
          <w:i w:val="0"/>
          <w:sz w:val="22"/>
        </w:rPr>
        <w:t>随机梯度法利用随机样本估计梯度，避免完整遍历所有场景。每次迭代仅使用一个或少量场景的梯度信息，计算成本低但收敛慢。方差减少技术（如SVRG、SAGA）可以在保持低每步成本的同时加速收敛。</w:t>
      </w:r>
    </w:p>
    <w:p>
      <w:pPr>
        <w:pStyle w:val="Heading3"/>
        <w:spacing w:before="160" w:after="60"/>
      </w:pPr>
      <w:r>
        <w:rPr>
          <w:rFonts w:ascii="Times New Roman" w:hAnsi="Times New Roman" w:eastAsia="黑体"/>
          <w:b/>
          <w:i w:val="0"/>
          <w:sz w:val="24"/>
        </w:rPr>
        <w:t>鲁棒优化与强化学习的融合</w:t>
      </w:r>
    </w:p>
    <w:p>
      <w:pPr>
        <w:spacing w:line="360" w:lineRule="auto" w:after="0"/>
        <w:ind w:firstLine="425"/>
      </w:pPr>
      <w:r>
        <w:rPr>
          <w:rFonts w:ascii="Times New Roman" w:hAnsi="Times New Roman" w:eastAsia="宋体"/>
          <w:b w:val="0"/>
          <w:i w:val="0"/>
          <w:sz w:val="22"/>
        </w:rPr>
        <w:t>鲁棒优化和强化学习的融合是当前研究的前沿方向。鲁棒强化学习将鲁棒优化的思想引入强化学习，训练对环境不确定性具有鲁棒性的策略。</w:t>
      </w:r>
    </w:p>
    <w:p>
      <w:pPr>
        <w:spacing w:line="360" w:lineRule="auto" w:after="0"/>
        <w:ind w:firstLine="425"/>
      </w:pPr>
      <w:r>
        <w:rPr>
          <w:rFonts w:ascii="Times New Roman" w:hAnsi="Times New Roman" w:eastAsia="宋体"/>
          <w:b w:val="0"/>
          <w:i w:val="0"/>
          <w:sz w:val="22"/>
        </w:rPr>
        <w:t>域随机化（Domain Randomization）方法在训练时随机化环境参数（如负荷水平、网络阻抗），使策略在参数变化下仍然有效。这种方法简单有效，在仿真到现实的迁移中表现良好。</w:t>
      </w:r>
    </w:p>
    <w:p>
      <w:pPr>
        <w:spacing w:line="360" w:lineRule="auto" w:after="0"/>
        <w:ind w:firstLine="425"/>
      </w:pPr>
      <w:r>
        <w:rPr>
          <w:rFonts w:ascii="Times New Roman" w:hAnsi="Times New Roman" w:eastAsia="宋体"/>
          <w:b w:val="0"/>
          <w:i w:val="0"/>
          <w:sz w:val="22"/>
        </w:rPr>
        <w:t>鲁棒MDP将转移概率的不确定性纳入MDP框架。转移概率不是已知的固定值，而是属于不确定性集合。鲁棒策略最大化最坏转移概率下的期望累积奖励。矩形不确定性集合（各状态的转移概率独立不确定）使得问题可以分解求解，非矩形集合更一般但计算复杂。</w:t>
      </w:r>
    </w:p>
    <w:p>
      <w:pPr>
        <w:spacing w:line="360" w:lineRule="auto" w:after="0"/>
        <w:ind w:firstLine="425"/>
      </w:pPr>
      <w:r>
        <w:rPr>
          <w:rFonts w:ascii="Times New Roman" w:hAnsi="Times New Roman" w:eastAsia="宋体"/>
          <w:b w:val="0"/>
          <w:i w:val="0"/>
          <w:sz w:val="22"/>
        </w:rPr>
        <w:t>对抗强化学习方法训练一个对抗者智能体，其目标是生成最坏场景挑战定价策略。定价智能体和对抗者的博弈过程使得定价策略逐步增强对极端场景的鲁棒性。这种方法可以发现策略的薄弱环节并针对性改进。</w:t>
      </w:r>
    </w:p>
    <w:p>
      <w:pPr>
        <w:pStyle w:val="Heading3"/>
        <w:spacing w:before="160" w:after="60"/>
      </w:pPr>
      <w:r>
        <w:rPr>
          <w:rFonts w:ascii="Times New Roman" w:hAnsi="Times New Roman" w:eastAsia="黑体"/>
          <w:b/>
          <w:i w:val="0"/>
          <w:sz w:val="24"/>
        </w:rPr>
        <w:t>多目标鲁棒优化</w:t>
      </w:r>
    </w:p>
    <w:p>
      <w:pPr>
        <w:spacing w:line="360" w:lineRule="auto" w:after="0"/>
        <w:ind w:firstLine="425"/>
      </w:pPr>
      <w:r>
        <w:rPr>
          <w:rFonts w:ascii="Times New Roman" w:hAnsi="Times New Roman" w:eastAsia="宋体"/>
          <w:b w:val="0"/>
          <w:i w:val="0"/>
          <w:sz w:val="22"/>
        </w:rPr>
        <w:t>实时定价涉及多个相互冲突的目标，在不确定性下这些目标之间的权衡更加复杂。多目标鲁棒优化寻找在不确定性下同时优化多个目标的解集。</w:t>
      </w:r>
    </w:p>
    <w:p>
      <w:pPr>
        <w:spacing w:line="360" w:lineRule="auto" w:after="0"/>
        <w:ind w:firstLine="425"/>
      </w:pPr>
      <w:r>
        <w:rPr>
          <w:rFonts w:ascii="Times New Roman" w:hAnsi="Times New Roman" w:eastAsia="宋体"/>
          <w:b w:val="0"/>
          <w:i w:val="0"/>
          <w:sz w:val="22"/>
        </w:rPr>
        <w:t>鲁棒帕累托前沿定义：一个解是鲁棒帕累托最优的，当且仅当不存在另一个解在所有不确定性实现下都至少在一个目标上不差且严格更好。鲁棒帕累托前沿可能比确定性帕累托前沿包含更多解，因为不确定性使得解之间的比较更加模糊。</w:t>
      </w:r>
    </w:p>
    <w:p>
      <w:pPr>
        <w:spacing w:line="360" w:lineRule="auto" w:after="0"/>
        <w:ind w:firstLine="425"/>
      </w:pPr>
      <w:r>
        <w:rPr>
          <w:rFonts w:ascii="Times New Roman" w:hAnsi="Times New Roman" w:eastAsia="宋体"/>
          <w:b w:val="0"/>
          <w:i w:val="0"/>
          <w:sz w:val="22"/>
        </w:rPr>
        <w:t>交互式多目标鲁棒优化允许决策者在求解过程中表达偏好。决策者提供参考点（理想目标值），算法寻找鲁棒意义上最接近参考点的解。通过调整参考点，决策者可以探索鲁棒帕累托前沿的不同区域。</w:t>
      </w:r>
    </w:p>
    <w:p>
      <w:pPr>
        <w:pStyle w:val="Heading3"/>
        <w:spacing w:before="160" w:after="60"/>
      </w:pPr>
      <w:r>
        <w:rPr>
          <w:rFonts w:ascii="Times New Roman" w:hAnsi="Times New Roman" w:eastAsia="黑体"/>
          <w:b/>
          <w:i w:val="0"/>
          <w:sz w:val="24"/>
        </w:rPr>
        <w:t>鲁棒优化在需求响应中的应用</w:t>
      </w:r>
    </w:p>
    <w:p>
      <w:pPr>
        <w:spacing w:line="360" w:lineRule="auto" w:after="0"/>
        <w:ind w:firstLine="425"/>
      </w:pPr>
      <w:r>
        <w:rPr>
          <w:rFonts w:ascii="Times New Roman" w:hAnsi="Times New Roman" w:eastAsia="宋体"/>
          <w:b w:val="0"/>
          <w:i w:val="0"/>
          <w:sz w:val="22"/>
        </w:rPr>
        <w:t>需求响应的响应量具有显著不确定性，鲁棒优化可以为需求响应资源的调度提供鲁棒策略。</w:t>
      </w:r>
    </w:p>
    <w:p>
      <w:pPr>
        <w:spacing w:line="360" w:lineRule="auto" w:after="0"/>
        <w:ind w:firstLine="425"/>
      </w:pPr>
      <w:r>
        <w:rPr>
          <w:rFonts w:ascii="Times New Roman" w:hAnsi="Times New Roman" w:eastAsia="宋体"/>
          <w:b w:val="0"/>
          <w:i w:val="0"/>
          <w:sz w:val="22"/>
        </w:rPr>
        <w:t>鲁棒需求响应调度考虑最坏响应场景下的系统性能。当需求响应资源未能按预期响应时，鲁棒策略确保系统仍能维持供需平衡（通过调整发电出力或启动备用容量）。保守性参数控制对需求响应不确定性的容忍程度：保守性高意味着更多依赖传统发电，保守性低意味着更多依赖需求响应。</w:t>
      </w:r>
    </w:p>
    <w:p>
      <w:pPr>
        <w:spacing w:line="360" w:lineRule="auto" w:after="0"/>
        <w:ind w:firstLine="425"/>
      </w:pPr>
      <w:r>
        <w:rPr>
          <w:rFonts w:ascii="Times New Roman" w:hAnsi="Times New Roman" w:eastAsia="宋体"/>
          <w:b w:val="0"/>
          <w:i w:val="0"/>
          <w:sz w:val="22"/>
        </w:rPr>
        <w:t>自适应需求响应对需求响应资源进行实时监控，根据实际响应情况动态调整定价策略。当需求响应效果好于预期时，降低保守性以获取更多经济效益；当需求响应效果差于预期时，提高保守性以确保系统安全。</w:t>
      </w:r>
    </w:p>
    <w:p>
      <w:pPr>
        <w:pStyle w:val="Heading3"/>
        <w:spacing w:before="160" w:after="60"/>
      </w:pPr>
      <w:r>
        <w:rPr>
          <w:rFonts w:ascii="Times New Roman" w:hAnsi="Times New Roman" w:eastAsia="黑体"/>
          <w:b/>
          <w:i w:val="0"/>
          <w:sz w:val="24"/>
        </w:rPr>
        <w:t>鲁棒定价的经济学分析</w:t>
      </w:r>
    </w:p>
    <w:p>
      <w:pPr>
        <w:spacing w:line="360" w:lineRule="auto" w:after="0"/>
        <w:ind w:firstLine="425"/>
      </w:pPr>
      <w:r>
        <w:rPr>
          <w:rFonts w:ascii="Times New Roman" w:hAnsi="Times New Roman" w:eastAsia="宋体"/>
          <w:b w:val="0"/>
          <w:i w:val="0"/>
          <w:sz w:val="22"/>
        </w:rPr>
        <w:t>鲁棒定价策略的经济学影响需要深入分析。鲁棒策略可能比期望最优策略产生更高的平均成本（保守性溢价），但降低了极端情况下的成本（保险效应）。</w:t>
      </w:r>
    </w:p>
    <w:p>
      <w:pPr>
        <w:spacing w:line="360" w:lineRule="auto" w:after="0"/>
        <w:ind w:firstLine="425"/>
      </w:pPr>
      <w:r>
        <w:rPr>
          <w:rFonts w:ascii="Times New Roman" w:hAnsi="Times New Roman" w:eastAsia="宋体"/>
          <w:b w:val="0"/>
          <w:i w:val="0"/>
          <w:sz w:val="22"/>
        </w:rPr>
        <w:t>保守性溢价的量化：比较鲁棒策略和期望最优策略在历史场景上的平均成本差异。如果保守性溢价为5%，意味着鲁棒策略平均比最优策略多花5%的成本，但这5%的"保险费"购买了极端事件的保护。</w:t>
      </w:r>
    </w:p>
    <w:p>
      <w:pPr>
        <w:spacing w:line="360" w:lineRule="auto" w:after="0"/>
        <w:ind w:firstLine="425"/>
      </w:pPr>
      <w:r>
        <w:rPr>
          <w:rFonts w:ascii="Times New Roman" w:hAnsi="Times New Roman" w:eastAsia="宋体"/>
          <w:b w:val="0"/>
          <w:i w:val="0"/>
          <w:sz w:val="22"/>
        </w:rPr>
        <w:t>保险效应的量化：比较鲁棒策略和期望最优策略在极端场景下的成本差异。如果极端场景下鲁棒策略比最优策略少花50%的成本，说明保险效应显著。</w:t>
      </w:r>
    </w:p>
    <w:p>
      <w:pPr>
        <w:spacing w:line="360" w:lineRule="auto" w:after="0"/>
        <w:ind w:firstLine="425"/>
      </w:pPr>
      <w:r>
        <w:rPr>
          <w:rFonts w:ascii="Times New Roman" w:hAnsi="Times New Roman" w:eastAsia="宋体"/>
          <w:b w:val="0"/>
          <w:i w:val="0"/>
          <w:sz w:val="22"/>
        </w:rPr>
        <w:t>成本效益分析比较保守性溢价和保险效应。当保险效应的期望价值（极端场景概率 × 成本节省）大于保守性溢价时，鲁棒策略在经济上是合理的。这一分析为保守性参数的选择提供了经济学依据。</w:t>
      </w:r>
    </w:p>
    <w:p>
      <w:pPr>
        <w:pStyle w:val="Heading2"/>
        <w:spacing w:before="240" w:after="80"/>
      </w:pPr>
      <w:r>
        <w:rPr>
          <w:rFonts w:ascii="Times New Roman" w:hAnsi="Times New Roman" w:eastAsia="黑体"/>
          <w:b/>
          <w:i w:val="0"/>
          <w:sz w:val="28"/>
        </w:rPr>
        <w:t>9.15 鲁棒优化的应用拓展与评估</w:t>
      </w:r>
    </w:p>
    <w:p>
      <w:pPr>
        <w:pStyle w:val="Heading3"/>
        <w:spacing w:before="160" w:after="60"/>
      </w:pPr>
      <w:r>
        <w:rPr>
          <w:rFonts w:ascii="Times New Roman" w:hAnsi="Times New Roman" w:eastAsia="黑体"/>
          <w:b/>
          <w:i w:val="0"/>
          <w:sz w:val="24"/>
        </w:rPr>
        <w:t>鲁棒优化在输电规划中的应用</w:t>
      </w:r>
    </w:p>
    <w:p>
      <w:pPr>
        <w:spacing w:line="360" w:lineRule="auto" w:after="0"/>
        <w:ind w:firstLine="425"/>
      </w:pPr>
      <w:r>
        <w:rPr>
          <w:rFonts w:ascii="Times New Roman" w:hAnsi="Times New Roman" w:eastAsia="宋体"/>
          <w:b w:val="0"/>
          <w:i w:val="0"/>
          <w:sz w:val="22"/>
        </w:rPr>
        <w:t>输电网络规划是长期投资决策，面临显著不确定性（负荷增长、发电选址、政策变化）。鲁棒优化为输电规划提供了在不确定性下做出稳健投资决策的分析工具。</w:t>
      </w:r>
    </w:p>
    <w:p>
      <w:pPr>
        <w:spacing w:line="360" w:lineRule="auto" w:after="0"/>
        <w:ind w:firstLine="425"/>
      </w:pPr>
      <w:r>
        <w:rPr>
          <w:rFonts w:ascii="Times New Roman" w:hAnsi="Times New Roman" w:eastAsia="宋体"/>
          <w:b w:val="0"/>
          <w:i w:val="0"/>
          <w:sz w:val="22"/>
        </w:rPr>
        <w:t>鲁棒输电规划模型将线路投资决策（整数变量）和系统运行决策（连续变量）耦合在两层优化框架中。上层选择投资方案使得最坏场景下的总成本（投资成本+运行成本）最小，下层在给定投资方案和最坏场景下优化系统运行。</w:t>
      </w:r>
    </w:p>
    <w:p>
      <w:pPr>
        <w:spacing w:line="360" w:lineRule="auto" w:after="0"/>
        <w:ind w:firstLine="425"/>
      </w:pPr>
      <w:r>
        <w:rPr>
          <w:rFonts w:ascii="Times New Roman" w:hAnsi="Times New Roman" w:eastAsia="宋体"/>
          <w:b w:val="0"/>
          <w:i w:val="0"/>
          <w:sz w:val="22"/>
        </w:rPr>
        <w:t>自适应鲁棒输电规划允许运行决策随不确定性揭示而调整，减轻了投资决策的保守性。仿射调整策略将运行决策参数化为不确定性的线性函数，将无限维问题转化为有限维参数优化问题。</w:t>
      </w:r>
    </w:p>
    <w:p>
      <w:pPr>
        <w:pStyle w:val="Heading3"/>
        <w:spacing w:before="160" w:after="60"/>
      </w:pPr>
      <w:r>
        <w:rPr>
          <w:rFonts w:ascii="Times New Roman" w:hAnsi="Times New Roman" w:eastAsia="黑体"/>
          <w:b/>
          <w:i w:val="0"/>
          <w:sz w:val="24"/>
        </w:rPr>
        <w:t>鲁棒优化在机组组合中的应用</w:t>
      </w:r>
    </w:p>
    <w:p>
      <w:pPr>
        <w:spacing w:line="360" w:lineRule="auto" w:after="0"/>
        <w:ind w:firstLine="425"/>
      </w:pPr>
      <w:r>
        <w:rPr>
          <w:rFonts w:ascii="Times New Roman" w:hAnsi="Times New Roman" w:eastAsia="宋体"/>
          <w:b w:val="0"/>
          <w:i w:val="0"/>
          <w:sz w:val="22"/>
        </w:rPr>
        <w:t>机组组合（UC）决定每个时段哪些发电机组运行，是电力系统运行的基础决策。传统UC基于负荷预测的确定值优化，但在负荷和可再生能源出力不确定时，确定性UC可能无法保证系统可靠性。</w:t>
      </w:r>
    </w:p>
    <w:p>
      <w:pPr>
        <w:spacing w:line="360" w:lineRule="auto" w:after="0"/>
        <w:ind w:firstLine="425"/>
      </w:pPr>
      <w:r>
        <w:rPr>
          <w:rFonts w:ascii="Times New Roman" w:hAnsi="Times New Roman" w:eastAsia="宋体"/>
          <w:b w:val="0"/>
          <w:i w:val="0"/>
          <w:sz w:val="22"/>
        </w:rPr>
        <w:t>鲁棒UC考虑最坏场景下的机组组合可行性。给定机组组合决策，寻找最坏负荷和可再生出力场景，检查在该场景下系统是否仍然可以平衡供需。如果不可以，调整机组组合增加备用容量。</w:t>
      </w:r>
    </w:p>
    <w:p>
      <w:pPr>
        <w:spacing w:line="360" w:lineRule="auto" w:after="0"/>
        <w:ind w:firstLine="425"/>
      </w:pPr>
      <w:r>
        <w:rPr>
          <w:rFonts w:ascii="Times New Roman" w:hAnsi="Times New Roman" w:eastAsia="宋体"/>
          <w:b w:val="0"/>
          <w:i w:val="0"/>
          <w:sz w:val="22"/>
        </w:rPr>
        <w:t>两阶段鲁棒UC的求解使用列约束生成（CCG）算法。主问题在有限场景集下优化机组组合，子问题寻找最坏场景。CCG迭代地扩展场景集，直到机组组合在最坏场景下也可行。</w:t>
      </w:r>
    </w:p>
    <w:p>
      <w:pPr>
        <w:pStyle w:val="Heading3"/>
        <w:spacing w:before="160" w:after="60"/>
      </w:pPr>
      <w:r>
        <w:rPr>
          <w:rFonts w:ascii="Times New Roman" w:hAnsi="Times New Roman" w:eastAsia="黑体"/>
          <w:b/>
          <w:i w:val="0"/>
          <w:sz w:val="24"/>
        </w:rPr>
        <w:t>鲁棒定价的效果评估框架</w:t>
      </w:r>
    </w:p>
    <w:p>
      <w:pPr>
        <w:spacing w:line="360" w:lineRule="auto" w:after="0"/>
        <w:ind w:firstLine="425"/>
      </w:pPr>
      <w:r>
        <w:rPr>
          <w:rFonts w:ascii="Times New Roman" w:hAnsi="Times New Roman" w:eastAsia="宋体"/>
          <w:b w:val="0"/>
          <w:i w:val="0"/>
          <w:sz w:val="22"/>
        </w:rPr>
        <w:t>鲁棒定价的效果评估需要建立系统化的框架：</w:t>
      </w:r>
    </w:p>
    <w:p>
      <w:pPr>
        <w:spacing w:line="360" w:lineRule="auto" w:after="0"/>
        <w:ind w:firstLine="425"/>
      </w:pPr>
      <w:r>
        <w:rPr>
          <w:rFonts w:ascii="Times New Roman" w:hAnsi="Times New Roman" w:eastAsia="宋体"/>
          <w:b w:val="0"/>
          <w:i w:val="0"/>
          <w:sz w:val="22"/>
        </w:rPr>
        <w:t>事前评估：在定价策略部署前，使用历史数据和仿真模型评估策略的预期效果。评估指标包括平均成本、最坏成本、成本方差和约束满足率。事前评估帮助选择最优保守性参数。</w:t>
      </w:r>
    </w:p>
    <w:p>
      <w:pPr>
        <w:spacing w:line="360" w:lineRule="auto" w:after="0"/>
        <w:ind w:firstLine="425"/>
      </w:pPr>
      <w:r>
        <w:rPr>
          <w:rFonts w:ascii="Times New Roman" w:hAnsi="Times New Roman" w:eastAsia="宋体"/>
          <w:b w:val="0"/>
          <w:i w:val="0"/>
          <w:sz w:val="22"/>
        </w:rPr>
        <w:t>事中监控：在定价策略运行期间，实时监控关键指标（如求解时间、价格水平、负荷响应量）。当指标偏离预期范围时触发告警，使运营人员能够及时干预。</w:t>
      </w:r>
    </w:p>
    <w:p>
      <w:pPr>
        <w:spacing w:line="360" w:lineRule="auto" w:after="0"/>
        <w:ind w:firstLine="425"/>
      </w:pPr>
      <w:r>
        <w:rPr>
          <w:rFonts w:ascii="Times New Roman" w:hAnsi="Times New Roman" w:eastAsia="宋体"/>
          <w:b w:val="0"/>
          <w:i w:val="0"/>
          <w:sz w:val="22"/>
        </w:rPr>
        <w:t>事后评估：在定价策略运行一段时间后，使用实际数据评估策略的实际效果。将实际表现与事前预测比较，识别模型偏差和改进方向。事后评估结果反馈到下一轮策略优化。</w:t>
      </w:r>
    </w:p>
    <w:p>
      <w:pPr>
        <w:pStyle w:val="Heading3"/>
        <w:spacing w:before="160" w:after="60"/>
      </w:pPr>
      <w:r>
        <w:rPr>
          <w:rFonts w:ascii="Times New Roman" w:hAnsi="Times New Roman" w:eastAsia="黑体"/>
          <w:b/>
          <w:i w:val="0"/>
          <w:sz w:val="24"/>
        </w:rPr>
        <w:t>鲁棒定价与机器学习的协同</w:t>
      </w:r>
    </w:p>
    <w:p>
      <w:pPr>
        <w:spacing w:line="360" w:lineRule="auto" w:after="0"/>
        <w:ind w:firstLine="425"/>
      </w:pPr>
      <w:r>
        <w:rPr>
          <w:rFonts w:ascii="Times New Roman" w:hAnsi="Times New Roman" w:eastAsia="宋体"/>
          <w:b w:val="0"/>
          <w:i w:val="0"/>
          <w:sz w:val="22"/>
        </w:rPr>
        <w:t>机器学习可以增强鲁棒定价的多个环节：</w:t>
      </w:r>
    </w:p>
    <w:p>
      <w:pPr>
        <w:spacing w:line="360" w:lineRule="auto" w:after="0"/>
        <w:ind w:firstLine="425"/>
      </w:pPr>
      <w:r>
        <w:rPr>
          <w:rFonts w:ascii="Times New Roman" w:hAnsi="Times New Roman" w:eastAsia="宋体"/>
          <w:b w:val="0"/>
          <w:i w:val="0"/>
          <w:sz w:val="22"/>
        </w:rPr>
        <w:t>不确定性预测：深度学习模型（如LSTM、Transformer）可以提供更准确的负荷和可再生能源预测，减小不确定性范围，降低鲁棒定价的保守性。</w:t>
      </w:r>
    </w:p>
    <w:p>
      <w:pPr>
        <w:spacing w:line="360" w:lineRule="auto" w:after="0"/>
        <w:ind w:firstLine="425"/>
      </w:pPr>
      <w:r>
        <w:rPr>
          <w:rFonts w:ascii="Times New Roman" w:hAnsi="Times New Roman" w:eastAsia="宋体"/>
          <w:b w:val="0"/>
          <w:i w:val="0"/>
          <w:sz w:val="22"/>
        </w:rPr>
        <w:t>场景生成：GAN和VAE可以生成具有复杂依赖结构的场景，比传统蒙特卡洛方法更真实。高质量的场景集提升了鲁棒优化的决策质量。</w:t>
      </w:r>
    </w:p>
    <w:p>
      <w:pPr>
        <w:spacing w:line="360" w:lineRule="auto" w:after="0"/>
        <w:ind w:firstLine="425"/>
      </w:pPr>
      <w:r>
        <w:rPr>
          <w:rFonts w:ascii="Times New Roman" w:hAnsi="Times New Roman" w:eastAsia="宋体"/>
          <w:b w:val="0"/>
          <w:i w:val="0"/>
          <w:sz w:val="22"/>
        </w:rPr>
        <w:t>不确定性集构造：机器学习方法可以从数据中学习不确定性集的结构和参数，替代人工设定。数据驱动的不确定性集更贴合实际，在保守性和保护性之间取得更好平衡。</w:t>
      </w:r>
    </w:p>
    <w:p>
      <w:pPr>
        <w:spacing w:line="360" w:lineRule="auto" w:after="0"/>
        <w:ind w:firstLine="425"/>
      </w:pPr>
      <w:r>
        <w:rPr>
          <w:rFonts w:ascii="Times New Roman" w:hAnsi="Times New Roman" w:eastAsia="宋体"/>
          <w:b w:val="0"/>
          <w:i w:val="0"/>
          <w:sz w:val="22"/>
        </w:rPr>
        <w:t>求解加速：学习优化方法可以利用历史求解数据训练代理模型，快速预测最优解的近似值。代理模型提供优质初始点，加速精确求解器的收敛。</w:t>
      </w:r>
    </w:p>
    <w:p>
      <w:pPr>
        <w:pStyle w:val="Heading3"/>
        <w:spacing w:before="160" w:after="60"/>
      </w:pPr>
      <w:r>
        <w:rPr>
          <w:rFonts w:ascii="Times New Roman" w:hAnsi="Times New Roman" w:eastAsia="黑体"/>
          <w:b/>
          <w:i w:val="0"/>
          <w:sz w:val="24"/>
        </w:rPr>
        <w:t>鲁棒定价的监管考量</w:t>
      </w:r>
    </w:p>
    <w:p>
      <w:pPr>
        <w:spacing w:line="360" w:lineRule="auto" w:after="0"/>
        <w:ind w:firstLine="425"/>
      </w:pPr>
      <w:r>
        <w:rPr>
          <w:rFonts w:ascii="Times New Roman" w:hAnsi="Times New Roman" w:eastAsia="宋体"/>
          <w:b w:val="0"/>
          <w:i w:val="0"/>
          <w:sz w:val="22"/>
        </w:rPr>
        <w:t>鲁棒定价策略可能产生不同于传统定价的价格模式（如更平滑的价格曲线、更保守的价格峰值），监管机构需要理解这些差异的合理性。</w:t>
      </w:r>
    </w:p>
    <w:p>
      <w:pPr>
        <w:spacing w:line="360" w:lineRule="auto" w:after="0"/>
        <w:ind w:firstLine="425"/>
      </w:pPr>
      <w:r>
        <w:rPr>
          <w:rFonts w:ascii="Times New Roman" w:hAnsi="Times New Roman" w:eastAsia="宋体"/>
          <w:b w:val="0"/>
          <w:i w:val="0"/>
          <w:sz w:val="22"/>
        </w:rPr>
        <w:t>监管审查应关注：鲁棒定价策略是否遵循市场规则（如价格上限、非歧视原则）；保守性参数的选择是否有客观依据而非主观偏好；定价算法的实现是否正确且可审计；定价结果对不同用户群体的影响是否公平。</w:t>
      </w:r>
    </w:p>
    <w:p>
      <w:pPr>
        <w:spacing w:line="360" w:lineRule="auto" w:after="0"/>
        <w:ind w:firstLine="425"/>
      </w:pPr>
      <w:r>
        <w:rPr>
          <w:rFonts w:ascii="Times New Roman" w:hAnsi="Times New Roman" w:eastAsia="宋体"/>
          <w:b w:val="0"/>
          <w:i w:val="0"/>
          <w:sz w:val="22"/>
        </w:rPr>
        <w:t>监管机构可以要求定价算法的开发者提供模型文档、验证报告和影响评估。独立的第三方审计可以验证算法的正确性和公平性。定价算法的变更需要经过监管审批，确保变更不会损害市场效率和用户利益。</w:t>
      </w:r>
    </w:p>
    <w:p>
      <w:pPr>
        <w:pStyle w:val="Heading2"/>
        <w:spacing w:before="240" w:after="80"/>
      </w:pPr>
      <w:r>
        <w:rPr>
          <w:rFonts w:ascii="Times New Roman" w:hAnsi="Times New Roman" w:eastAsia="黑体"/>
          <w:b/>
          <w:i w:val="0"/>
          <w:sz w:val="28"/>
        </w:rPr>
        <w:t>思考题</w:t>
      </w:r>
    </w:p>
    <w:p>
      <w:pPr>
        <w:pStyle w:val="ListNumber"/>
        <w:spacing w:line="360" w:lineRule="auto" w:after="0"/>
      </w:pPr>
      <w:r>
        <w:rPr>
          <w:rFonts w:ascii="Times New Roman" w:hAnsi="Times New Roman" w:eastAsia="宋体"/>
          <w:b w:val="0"/>
          <w:i w:val="0"/>
          <w:sz w:val="22"/>
        </w:rPr>
        <w:t>比较随机规划、鲁棒优化和分布鲁棒优化三种不确定性处理方法的保守性、数据需求和应用条件。</w:t>
      </w:r>
    </w:p>
    <w:p>
      <w:pPr>
        <w:pStyle w:val="ListNumber"/>
        <w:spacing w:line="360" w:lineRule="auto" w:after="0"/>
      </w:pPr>
      <w:r>
        <w:rPr>
          <w:rFonts w:ascii="Times New Roman" w:hAnsi="Times New Roman" w:eastAsia="宋体"/>
          <w:b w:val="0"/>
          <w:i w:val="0"/>
          <w:sz w:val="22"/>
        </w:rPr>
        <w:t>针对负荷预测误差和可再生能源出力波动两类不确定性，设计一个基于Wasserstein DRO的实时定价模型，并推导其对偶转化。</w:t>
      </w:r>
    </w:p>
    <w:p>
      <w:pPr>
        <w:pStyle w:val="ListNumber"/>
        <w:spacing w:line="360" w:lineRule="auto" w:after="0"/>
      </w:pPr>
      <w:r>
        <w:rPr>
          <w:rFonts w:ascii="Times New Roman" w:hAnsi="Times New Roman" w:eastAsia="宋体"/>
          <w:b w:val="0"/>
          <w:i w:val="0"/>
          <w:sz w:val="22"/>
        </w:rPr>
        <w:t>分析自适应鲁棒优化（ARO）中仿射决策规则的优缺点，讨论非线性决策规则的改进方向。</w:t>
      </w:r>
    </w:p>
    <w:p>
      <w:pPr>
        <w:pStyle w:val="ListNumber"/>
        <w:spacing w:line="360" w:lineRule="auto" w:after="0"/>
      </w:pPr>
      <w:r>
        <w:rPr>
          <w:rFonts w:ascii="Times New Roman" w:hAnsi="Times New Roman" w:eastAsia="宋体"/>
          <w:b w:val="0"/>
          <w:i w:val="0"/>
          <w:sz w:val="22"/>
        </w:rPr>
        <w:t>讨论机会约束规划在实时定价中的应用，分析CVaR近似方法的精度和计算效率。</w:t>
      </w:r>
    </w:p>
    <w:p>
      <w:pPr>
        <w:pStyle w:val="ListNumber"/>
        <w:spacing w:line="360" w:lineRule="auto" w:after="0"/>
      </w:pPr>
      <w:r>
        <w:rPr>
          <w:rFonts w:ascii="Times New Roman" w:hAnsi="Times New Roman" w:eastAsia="宋体"/>
          <w:b w:val="0"/>
          <w:i w:val="0"/>
          <w:sz w:val="22"/>
        </w:rPr>
        <w:t>设计一个鲁棒定价的保守性参数自适应调节机制，使其能根据系统运行状态自动调整保守水平。</w:t>
      </w:r>
    </w:p>
    <w:p>
      <w:pPr>
        <w:pStyle w:val="Heading3"/>
        <w:spacing w:before="160" w:after="60"/>
      </w:pPr>
      <w:r>
        <w:rPr>
          <w:rFonts w:ascii="Times New Roman" w:hAnsi="Times New Roman" w:eastAsia="黑体"/>
          <w:b/>
          <w:i w:val="0"/>
          <w:sz w:val="24"/>
        </w:rPr>
        <w:t>补充讨论</w:t>
      </w:r>
    </w:p>
    <w:p>
      <w:pPr>
        <w:spacing w:line="360" w:lineRule="auto" w:after="0"/>
        <w:ind w:firstLine="425"/>
      </w:pPr>
      <w:r>
        <w:rPr>
          <w:rFonts w:ascii="Times New Roman" w:hAnsi="Times New Roman" w:eastAsia="宋体"/>
          <w:b w:val="0"/>
          <w:i w:val="0"/>
          <w:sz w:val="22"/>
        </w:rPr>
        <w:t>此外，Ben-Tal A, El Ghaoui L, Nemirovski A. Robust Optimization[M]. Princeton University Press, 2009.。这些研究为本章的理论框架提供了重要的方法论支撑</w:t>
      </w:r>
      <w:r>
        <w:rPr>
          <w:rFonts w:ascii="Times New Roman" w:hAnsi="Times New Roman" w:eastAsia="Times New Roman"/>
          <w:b w:val="0"/>
          <w:i w:val="0"/>
          <w:sz w:val="18"/>
          <w:vertAlign w:val="superscript"/>
        </w:rPr>
        <w:t>[17]</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此外，Esfahani P M, Kuhn D. Data-driven distributionally robust optimization using the Wasserstein metric[。这些研究为本章的理论框架提供了重要的方法论支撑</w:t>
      </w:r>
      <w:r>
        <w:rPr>
          <w:rFonts w:ascii="Times New Roman" w:hAnsi="Times New Roman" w:eastAsia="Times New Roman"/>
          <w:b w:val="0"/>
          <w:i w:val="0"/>
          <w:sz w:val="18"/>
          <w:vertAlign w:val="superscript"/>
        </w:rPr>
        <w:t>[18]</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此外，Rockafellar R T, Uryasev S. Optimization of conditional value-at-risk[J]. Journal of Risk, 2000, 2: 。这些研究为本章的理论框架提供了重要的方法论支撑</w:t>
      </w:r>
      <w:r>
        <w:rPr>
          <w:rFonts w:ascii="Times New Roman" w:hAnsi="Times New Roman" w:eastAsia="Times New Roman"/>
          <w:b w:val="0"/>
          <w:i w:val="0"/>
          <w:sz w:val="18"/>
          <w:vertAlign w:val="superscript"/>
        </w:rPr>
        <w:t>[19]</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此外，Wiesemann W, Kuhn D, Sim M. Distributionally robust convex optimization[J]. Operations Research, 201。这些研究为本章的理论框架提供了重要的方法论支撑</w:t>
      </w:r>
      <w:r>
        <w:rPr>
          <w:rFonts w:ascii="Times New Roman" w:hAnsi="Times New Roman" w:eastAsia="Times New Roman"/>
          <w:b w:val="0"/>
          <w:i w:val="0"/>
          <w:sz w:val="18"/>
          <w:vertAlign w:val="superscript"/>
        </w:rPr>
        <w:t>[20]</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9.6.1 不确定性下的价格风险管理</w:t>
      </w:r>
    </w:p>
    <w:p>
      <w:pPr>
        <w:spacing w:line="360" w:lineRule="auto" w:after="0"/>
        <w:ind w:firstLine="425"/>
      </w:pPr>
      <w:r>
        <w:rPr>
          <w:rFonts w:ascii="Times New Roman" w:hAnsi="Times New Roman" w:eastAsia="宋体"/>
          <w:b w:val="0"/>
          <w:i w:val="0"/>
          <w:sz w:val="22"/>
        </w:rPr>
        <w:t>实时定价在不确定性环境下可能产生剧烈的价格波动，对用户和供电方都构成风险。有效的价格风险管理是实时定价系统的重要组成部分。</w:t>
      </w:r>
    </w:p>
    <w:p>
      <w:pPr>
        <w:spacing w:line="360" w:lineRule="auto" w:after="0"/>
        <w:ind w:firstLine="425"/>
      </w:pPr>
      <w:r>
        <w:rPr>
          <w:rFonts w:ascii="Times New Roman" w:hAnsi="Times New Roman" w:eastAsia="宋体"/>
          <w:b/>
          <w:i w:val="0"/>
          <w:sz w:val="22"/>
        </w:rPr>
        <w:t>价格上限机制</w:t>
      </w:r>
      <w:r>
        <w:rPr>
          <w:rFonts w:ascii="Times New Roman" w:hAnsi="Times New Roman" w:eastAsia="宋体"/>
          <w:b w:val="0"/>
          <w:i w:val="0"/>
          <w:sz w:val="22"/>
        </w:rPr>
        <w:t>：设定电价的上限和下限，防止极端价格对用户造成过大冲击。美国ERCOT市场在2021年冬季风暴中经历了高达9,000美元/MWh的极端电价，促使监管机构重新审视价格上限机制。价格上限虽然保护了用户，但也可能削弱价格信号的市场效率。合理的上限设定需要在用户保护和市场效率之间取得平衡。</w:t>
      </w:r>
    </w:p>
    <w:p>
      <w:pPr>
        <w:spacing w:line="360" w:lineRule="auto" w:after="0"/>
        <w:ind w:firstLine="425"/>
      </w:pPr>
      <w:r>
        <w:rPr>
          <w:rFonts w:ascii="Times New Roman" w:hAnsi="Times New Roman" w:eastAsia="宋体"/>
          <w:b/>
          <w:i w:val="0"/>
          <w:sz w:val="22"/>
        </w:rPr>
        <w:t>价格保险机制</w:t>
      </w:r>
      <w:r>
        <w:rPr>
          <w:rFonts w:ascii="Times New Roman" w:hAnsi="Times New Roman" w:eastAsia="宋体"/>
          <w:b w:val="0"/>
          <w:i w:val="0"/>
          <w:sz w:val="22"/>
        </w:rPr>
        <w:t>：用户可购买价格保险，在电价超过阈值时获得补偿。保险费率根据用户的历史用电模式和风险偏好确定。价格保险将价格波动风险从用户转移到保险提供方，类似于金融市场的期权合约。</w:t>
      </w:r>
    </w:p>
    <w:p>
      <w:pPr>
        <w:spacing w:line="360" w:lineRule="auto" w:after="0"/>
        <w:ind w:firstLine="425"/>
      </w:pPr>
      <w:r>
        <w:rPr>
          <w:rFonts w:ascii="Times New Roman" w:hAnsi="Times New Roman" w:eastAsia="宋体"/>
          <w:b/>
          <w:i w:val="0"/>
          <w:sz w:val="22"/>
        </w:rPr>
        <w:t>虚拟竞价</w:t>
      </w:r>
      <w:r>
        <w:rPr>
          <w:rFonts w:ascii="Times New Roman" w:hAnsi="Times New Roman" w:eastAsia="宋体"/>
          <w:b w:val="0"/>
          <w:i w:val="0"/>
          <w:sz w:val="22"/>
        </w:rPr>
        <w:t>：允许金融参与者（非物理供电方和用户）在电力市场中进行虚拟买卖。虚拟竞价通过套利行为减小市场价格与 fundamentals 的偏离，提高市场效率。PJM市场的虚拟竞价量已达到总交易量的10%以上。</w:t>
      </w:r>
    </w:p>
    <w:p>
      <w:pPr>
        <w:pStyle w:val="Heading3"/>
        <w:spacing w:before="160" w:after="60"/>
      </w:pPr>
      <w:r>
        <w:rPr>
          <w:rFonts w:ascii="Times New Roman" w:hAnsi="Times New Roman" w:eastAsia="黑体"/>
          <w:b/>
          <w:i w:val="0"/>
          <w:sz w:val="24"/>
        </w:rPr>
        <w:t>9.6.2 数据驱动的预测更新策略</w:t>
      </w:r>
    </w:p>
    <w:p>
      <w:pPr>
        <w:spacing w:line="360" w:lineRule="auto" w:after="0"/>
        <w:ind w:firstLine="425"/>
      </w:pPr>
      <w:r>
        <w:rPr>
          <w:rFonts w:ascii="Times New Roman" w:hAnsi="Times New Roman" w:eastAsia="宋体"/>
          <w:b w:val="0"/>
          <w:i w:val="0"/>
          <w:sz w:val="22"/>
        </w:rPr>
        <w:t>实时定价的效果在很大程度上取决于负荷和可再生能源出力预测的准确性。随着预测窗口缩短，预测误差逐渐降低——15分钟预测的误差通常在2-5%，而日前预测的误差可能达到10-20%。滚动预测更新策略利用这一特性，在实时定价过程中不断更新预测并调整价格。</w:t>
      </w:r>
    </w:p>
    <w:p>
      <w:pPr>
        <w:spacing w:line="360" w:lineRule="auto" w:after="0"/>
        <w:ind w:firstLine="425"/>
      </w:pPr>
      <w:r>
        <w:rPr>
          <w:rFonts w:ascii="Times New Roman" w:hAnsi="Times New Roman" w:eastAsia="宋体"/>
          <w:b/>
          <w:i w:val="0"/>
          <w:sz w:val="22"/>
        </w:rPr>
        <w:t>滚动时域优化</w:t>
      </w:r>
      <w:r>
        <w:rPr>
          <w:rFonts w:ascii="Times New Roman" w:hAnsi="Times New Roman" w:eastAsia="宋体"/>
          <w:b w:val="0"/>
          <w:i w:val="0"/>
          <w:sz w:val="22"/>
        </w:rPr>
        <w:t>：在每个决策时刻，基于最新的预测信息重新求解优化问题。虽然每次求解的是有限时域问题，但通过滚动更新实现近似全时段最优。滚动时域优化的计算效率取决于预测更新频率和优化时域长度。频率越高、时域越长，效果越好但计算量越大。</w:t>
      </w:r>
    </w:p>
    <w:p>
      <w:pPr>
        <w:spacing w:line="360" w:lineRule="auto" w:after="0"/>
        <w:ind w:firstLine="425"/>
      </w:pPr>
      <w:r>
        <w:rPr>
          <w:rFonts w:ascii="Times New Roman" w:hAnsi="Times New Roman" w:eastAsia="宋体"/>
          <w:b/>
          <w:i w:val="0"/>
          <w:sz w:val="22"/>
        </w:rPr>
        <w:t>贝叶斯更新</w:t>
      </w:r>
      <w:r>
        <w:rPr>
          <w:rFonts w:ascii="Times New Roman" w:hAnsi="Times New Roman" w:eastAsia="宋体"/>
          <w:b w:val="0"/>
          <w:i w:val="0"/>
          <w:sz w:val="22"/>
        </w:rPr>
        <w:t>：将预测误差建模为随机过程，通过贝叶斯方法在线更新预测分布。贝叶斯更新能够提供预测的不确定性信息，为鲁棒优化和随机规划提供输入。粒子滤波和变分贝叶斯是常用的在线更新方法。</w:t>
      </w:r>
    </w:p>
    <w:p>
      <w:pPr>
        <w:spacing w:line="360" w:lineRule="auto" w:after="0"/>
        <w:ind w:firstLine="425"/>
      </w:pPr>
      <w:r>
        <w:rPr>
          <w:rFonts w:ascii="Times New Roman" w:hAnsi="Times New Roman" w:eastAsia="宋体"/>
          <w:b/>
          <w:i w:val="0"/>
          <w:sz w:val="22"/>
        </w:rPr>
        <w:t>多模型集成</w:t>
      </w:r>
      <w:r>
        <w:rPr>
          <w:rFonts w:ascii="Times New Roman" w:hAnsi="Times New Roman" w:eastAsia="宋体"/>
          <w:b w:val="0"/>
          <w:i w:val="0"/>
          <w:sz w:val="22"/>
        </w:rPr>
        <w:t>：使用多个预测模型（如ARIMA、LSTM、Transformer）进行集成预测，通过加权平均或模型选择提高预测精度。集成预测的误差通常比单一模型低15-30%。在实时定价中，集成预测可用于生成多场景输入，驱动随机规划或鲁棒优化。</w:t>
      </w:r>
    </w:p>
    <w:p>
      <w:pPr>
        <w:pStyle w:val="Heading3"/>
        <w:spacing w:before="160" w:after="60"/>
      </w:pPr>
      <w:r>
        <w:rPr>
          <w:rFonts w:ascii="Times New Roman" w:hAnsi="Times New Roman" w:eastAsia="黑体"/>
          <w:b/>
          <w:i w:val="0"/>
          <w:sz w:val="24"/>
        </w:rPr>
        <w:t>9.6.3 可再生能源预测的不确定性传播</w:t>
      </w:r>
    </w:p>
    <w:p>
      <w:pPr>
        <w:spacing w:line="360" w:lineRule="auto" w:after="0"/>
        <w:ind w:firstLine="425"/>
      </w:pPr>
      <w:r>
        <w:rPr>
          <w:rFonts w:ascii="Times New Roman" w:hAnsi="Times New Roman" w:eastAsia="宋体"/>
          <w:b w:val="0"/>
          <w:i w:val="0"/>
          <w:sz w:val="22"/>
        </w:rPr>
        <w:t>可再生能源（风能和太阳能）出力预测的不确定性是实时定价面临的主要挑战之一。预测误差通过市场出清过程传播到电价中，导致价格波动。</w:t>
      </w:r>
    </w:p>
    <w:p>
      <w:pPr>
        <w:spacing w:line="360" w:lineRule="auto" w:after="0"/>
        <w:ind w:firstLine="425"/>
      </w:pPr>
      <w:r>
        <w:rPr>
          <w:rFonts w:ascii="Times New Roman" w:hAnsi="Times New Roman" w:eastAsia="宋体"/>
          <w:b/>
          <w:i w:val="0"/>
          <w:sz w:val="22"/>
        </w:rPr>
        <w:t>预测误差的统计特征</w:t>
      </w:r>
      <w:r>
        <w:rPr>
          <w:rFonts w:ascii="Times New Roman" w:hAnsi="Times New Roman" w:eastAsia="宋体"/>
          <w:b w:val="0"/>
          <w:i w:val="0"/>
          <w:sz w:val="22"/>
        </w:rPr>
        <w:t>：风电出力预测的误差通常服从重尾分布——大多数情况下误差较小，但偶尔出现大误差。15分钟预测的均方根误差（RMSE）约为额定容量的5-15%，日前预测的RMSE可达15-30%。太阳能出力受云层遮挡影响，预测误差更大且更不规则，特别是在部分多云的天气条件下。</w:t>
      </w:r>
    </w:p>
    <w:p>
      <w:pPr>
        <w:spacing w:line="360" w:lineRule="auto" w:after="0"/>
        <w:ind w:firstLine="425"/>
      </w:pPr>
      <w:r>
        <w:rPr>
          <w:rFonts w:ascii="Times New Roman" w:hAnsi="Times New Roman" w:eastAsia="宋体"/>
          <w:b/>
          <w:i w:val="0"/>
          <w:sz w:val="22"/>
        </w:rPr>
        <w:t>不确定性传播路径</w:t>
      </w:r>
      <w:r>
        <w:rPr>
          <w:rFonts w:ascii="Times New Roman" w:hAnsi="Times New Roman" w:eastAsia="宋体"/>
          <w:b w:val="0"/>
          <w:i w:val="0"/>
          <w:sz w:val="22"/>
        </w:rPr>
        <w:t>：可再生能源预测误差首先影响负荷净需求预测（净需求 = 总负荷 - 可再生能源出力），进而影响系统边际机组的选择和实时电价。当预测误差导致实际可再生能源出力低于预测值时，系统需要启动更昂贵的调峰机组，推高实时电价。反之，当实际出力高于预测时，可能产生负电价。</w:t>
      </w:r>
    </w:p>
    <w:p>
      <w:pPr>
        <w:spacing w:line="360" w:lineRule="auto" w:after="0"/>
        <w:ind w:firstLine="425"/>
      </w:pPr>
      <w:r>
        <w:rPr>
          <w:rFonts w:ascii="Times New Roman" w:hAnsi="Times New Roman" w:eastAsia="宋体"/>
          <w:b/>
          <w:i w:val="0"/>
          <w:sz w:val="22"/>
        </w:rPr>
        <w:t>缓解策略</w:t>
      </w:r>
      <w:r>
        <w:rPr>
          <w:rFonts w:ascii="Times New Roman" w:hAnsi="Times New Roman" w:eastAsia="宋体"/>
          <w:b w:val="0"/>
          <w:i w:val="0"/>
          <w:sz w:val="22"/>
        </w:rPr>
        <w:t>：(1)滚动预测更新——利用最新数据不断更新预测，缩短预测时域以提高精度；(2)概率预测——输出预测的概率分布而非点值，为随机规划和鲁棒优化提供输入；(3)储能配置——利用储能系统的充放电平抑可再生能源出力波动，降低预测误差对电价的影响；(4)需求响应联动——将需求响应作为灵活性资源与可再生能源协同调度，在出力低于预期时削减负荷。</w:t>
      </w:r>
    </w:p>
    <w:p>
      <w:pPr>
        <w:spacing w:line="360" w:lineRule="auto" w:after="0"/>
        <w:ind w:firstLine="425"/>
      </w:pPr>
      <w:r>
        <w:rPr>
          <w:rFonts w:ascii="Times New Roman" w:hAnsi="Times New Roman" w:eastAsia="宋体"/>
          <w:b w:val="0"/>
          <w:i w:val="0"/>
          <w:sz w:val="22"/>
        </w:rPr>
        <w:t>研究表明，在风电渗透率30%的系统中，采用滚动概率预测+储能+DR联动的策略可将实时电价波动率降低40-60%，同时将弃风率从12%降低到4%以下。</w:t>
      </w:r>
    </w:p>
    <w:p>
      <w:pPr>
        <w:pStyle w:val="Heading2"/>
        <w:spacing w:before="240" w:after="80"/>
      </w:pPr>
      <w:r>
        <w:rPr>
          <w:rFonts w:ascii="Times New Roman" w:hAnsi="Times New Roman" w:eastAsia="黑体"/>
          <w:b/>
          <w:i w:val="0"/>
          <w:sz w:val="28"/>
        </w:rPr>
        <w:t>参考文献</w:t>
      </w:r>
    </w:p>
    <w:p>
      <w:pPr>
        <w:spacing w:after="40" w:line="276" w:lineRule="auto"/>
        <w:ind w:left="425" w:hanging="425"/>
      </w:pPr>
      <w:r>
        <w:rPr>
          <w:rFonts w:ascii="Times New Roman" w:hAnsi="Times New Roman" w:eastAsia="宋体"/>
          <w:b w:val="0"/>
          <w:i w:val="0"/>
          <w:sz w:val="20"/>
        </w:rPr>
        <w:t>[1] Busby J W, et al. Cascading Risks: Understanding the 2021 Winter Storm in Texas[J]. Energy Research &amp; Social Science, 2021, 77: 102112.</w:t>
      </w:r>
    </w:p>
    <w:p>
      <w:pPr>
        <w:spacing w:after="40" w:line="276" w:lineRule="auto"/>
        <w:ind w:left="425" w:hanging="425"/>
      </w:pPr>
      <w:r>
        <w:rPr>
          <w:rFonts w:ascii="Times New Roman" w:hAnsi="Times New Roman" w:eastAsia="宋体"/>
          <w:b w:val="0"/>
          <w:i w:val="0"/>
          <w:sz w:val="20"/>
        </w:rPr>
        <w:t>[2] 党亚峥, 高岩, 朱红波. 基于Haar小波与ARIMAX模型进行短期负荷预测[J]. 电力系统保护与控制, 2019, 47(2): 58-64.</w:t>
      </w:r>
    </w:p>
    <w:p>
      <w:pPr>
        <w:spacing w:after="40" w:line="276" w:lineRule="auto"/>
        <w:ind w:left="425" w:hanging="425"/>
      </w:pPr>
      <w:r>
        <w:rPr>
          <w:rFonts w:ascii="Times New Roman" w:hAnsi="Times New Roman" w:eastAsia="宋体"/>
          <w:b w:val="0"/>
          <w:i w:val="0"/>
          <w:sz w:val="20"/>
        </w:rPr>
        <w:t>[3] Dai Y, Zhao P, Pei H, et al. A Hybrid Load Forecasting Model Based on Support Vector Machine with Improved Particle Swarm Optimization[J]. Journal of Electrical Engineering &amp; Technology, 2020.</w:t>
      </w:r>
    </w:p>
    <w:p>
      <w:pPr>
        <w:spacing w:after="40" w:line="276" w:lineRule="auto"/>
        <w:ind w:left="425" w:hanging="425"/>
      </w:pPr>
      <w:r>
        <w:rPr>
          <w:rFonts w:ascii="Times New Roman" w:hAnsi="Times New Roman" w:eastAsia="宋体"/>
          <w:b w:val="0"/>
          <w:i w:val="0"/>
          <w:sz w:val="20"/>
        </w:rPr>
        <w:t>[4] 李军祥, 高岩, 朱红波. 马尔可夫决策过程下的智能电网实时电价模型[J]. 系统工程理论与实践, 2016, 36(8): 2035-2042.</w:t>
      </w:r>
    </w:p>
    <w:p>
      <w:pPr>
        <w:spacing w:after="40" w:line="276" w:lineRule="auto"/>
        <w:ind w:left="425" w:hanging="425"/>
      </w:pPr>
      <w:r>
        <w:rPr>
          <w:rFonts w:ascii="Times New Roman" w:hAnsi="Times New Roman" w:eastAsia="宋体"/>
          <w:b w:val="0"/>
          <w:i w:val="0"/>
          <w:sz w:val="20"/>
        </w:rPr>
        <w:t>[5] 朱红波, 高岩, 代业明. 马尔可夫过程下多类用户智能电网实时电价[J]. 电力系统保护与控制, 2018, 46(2): 28-35.</w:t>
      </w:r>
    </w:p>
    <w:p>
      <w:pPr>
        <w:spacing w:after="40" w:line="276" w:lineRule="auto"/>
        <w:ind w:left="425" w:hanging="425"/>
      </w:pPr>
      <w:r>
        <w:rPr>
          <w:rFonts w:ascii="Times New Roman" w:hAnsi="Times New Roman" w:eastAsia="宋体"/>
          <w:b w:val="0"/>
          <w:i w:val="0"/>
          <w:sz w:val="20"/>
        </w:rPr>
        <w:t>[6] 陶莉, 高岩, 朱红波, 等. 有可再生能源和电力存储设施并网的智能电网优化用电策略[J]. 系统工程理论与实践, 2019, 39(7): 1767-1776.</w:t>
      </w:r>
    </w:p>
    <w:p>
      <w:pPr>
        <w:spacing w:after="40" w:line="276" w:lineRule="auto"/>
        <w:ind w:left="425" w:hanging="425"/>
      </w:pPr>
      <w:r>
        <w:rPr>
          <w:rFonts w:ascii="Times New Roman" w:hAnsi="Times New Roman" w:eastAsia="宋体"/>
          <w:b w:val="0"/>
          <w:i w:val="0"/>
          <w:sz w:val="20"/>
        </w:rPr>
        <w:t>[7] 代业明, 高岩, 朱红波, 等. 考虑信息延迟的智能电网实时定价和算法[J]. 电力系统保护与控制, 2017, 45(1): 18-24.</w:t>
      </w:r>
    </w:p>
    <w:p>
      <w:pPr>
        <w:spacing w:after="40" w:line="276" w:lineRule="auto"/>
        <w:ind w:left="425" w:hanging="425"/>
      </w:pPr>
      <w:r>
        <w:rPr>
          <w:rFonts w:ascii="Times New Roman" w:hAnsi="Times New Roman" w:eastAsia="宋体"/>
          <w:b w:val="0"/>
          <w:i w:val="0"/>
          <w:sz w:val="20"/>
        </w:rPr>
        <w:t>[8] Wang, Gao. Distributed Real-Time Pricing Method Incorporating Load Uncertainty Based on Non-Smooth Equations[J]. Journal of Industrial and Management Optimization, 2019.</w:t>
      </w:r>
    </w:p>
    <w:p>
      <w:pPr>
        <w:spacing w:after="40" w:line="276" w:lineRule="auto"/>
        <w:ind w:left="425" w:hanging="425"/>
      </w:pPr>
      <w:r>
        <w:rPr>
          <w:rFonts w:ascii="Times New Roman" w:hAnsi="Times New Roman" w:eastAsia="宋体"/>
          <w:b w:val="0"/>
          <w:i w:val="0"/>
          <w:sz w:val="20"/>
        </w:rPr>
        <w:t>[9] 张芸荣. 考虑新能源供能波动的电力需求响应机制设计研究[D]. 上海理工大学, 2020.</w:t>
      </w:r>
    </w:p>
    <w:p>
      <w:pPr>
        <w:spacing w:after="40" w:line="276" w:lineRule="auto"/>
        <w:ind w:left="425" w:hanging="425"/>
      </w:pPr>
      <w:r>
        <w:rPr>
          <w:rFonts w:ascii="Times New Roman" w:hAnsi="Times New Roman" w:eastAsia="宋体"/>
          <w:b w:val="0"/>
          <w:i w:val="0"/>
          <w:sz w:val="20"/>
        </w:rPr>
        <w:t>[10] 杨扬, 等. 考虑双重不确定性的智能电网实时定价鲁棒优化方法[J]. 电力系统自动化, 2020, 44(10): 112-120.</w:t>
      </w:r>
    </w:p>
    <w:p>
      <w:pPr>
        <w:spacing w:after="40" w:line="276" w:lineRule="auto"/>
        <w:ind w:left="425" w:hanging="425"/>
      </w:pPr>
      <w:r>
        <w:rPr>
          <w:rFonts w:ascii="Times New Roman" w:hAnsi="Times New Roman" w:eastAsia="宋体"/>
          <w:b w:val="0"/>
          <w:i w:val="0"/>
          <w:sz w:val="20"/>
        </w:rPr>
        <w:t>[11] Zhang et al. Bi-Level Stochastic Real-Time Pricing Model in Multiple Retailers Smart Grid[J]. Journal of Industrial and Management Optimization, 2022.</w:t>
      </w:r>
    </w:p>
    <w:p>
      <w:pPr>
        <w:spacing w:after="40" w:line="276" w:lineRule="auto"/>
        <w:ind w:left="425" w:hanging="425"/>
      </w:pPr>
      <w:r>
        <w:rPr>
          <w:rFonts w:ascii="Times New Roman" w:hAnsi="Times New Roman" w:eastAsia="宋体"/>
          <w:b w:val="0"/>
          <w:i w:val="0"/>
          <w:sz w:val="20"/>
        </w:rPr>
        <w:t>[12] 代业明, 等. 具有电力需求预测更新的智能电网实时定价机制[J]. 电力系统保护与控制, 2018, 46(6): 28-35.</w:t>
      </w:r>
    </w:p>
    <w:p>
      <w:pPr>
        <w:spacing w:after="40" w:line="276" w:lineRule="auto"/>
        <w:ind w:left="425" w:hanging="425"/>
      </w:pPr>
      <w:r>
        <w:rPr>
          <w:rFonts w:ascii="Times New Roman" w:hAnsi="Times New Roman" w:eastAsia="宋体"/>
          <w:b w:val="0"/>
          <w:i w:val="0"/>
          <w:sz w:val="20"/>
        </w:rPr>
        <w:t>[13] 代业明. 中断风险下最优绿电合同比例与实时定价机制研究[J]. 电力系统自动化, 2021.</w:t>
      </w:r>
    </w:p>
    <w:p>
      <w:pPr>
        <w:spacing w:after="40" w:line="276" w:lineRule="auto"/>
        <w:ind w:left="425" w:hanging="425"/>
      </w:pPr>
      <w:r>
        <w:rPr>
          <w:rFonts w:ascii="Times New Roman" w:hAnsi="Times New Roman" w:eastAsia="宋体"/>
          <w:b w:val="0"/>
          <w:i w:val="0"/>
          <w:sz w:val="20"/>
        </w:rPr>
        <w:t>[14] Zhu et al. Real-Time Pricing for Demand Response in Smart Grid Based on Alternating Direction Method[J]. Journal of Industrial and Management Optimization, 2018.</w:t>
      </w:r>
    </w:p>
    <w:p>
      <w:pPr>
        <w:spacing w:after="40" w:line="276" w:lineRule="auto"/>
        <w:ind w:left="425" w:hanging="425"/>
      </w:pPr>
      <w:r>
        <w:rPr>
          <w:rFonts w:ascii="Times New Roman" w:hAnsi="Times New Roman" w:eastAsia="宋体"/>
          <w:b w:val="0"/>
          <w:i w:val="0"/>
          <w:sz w:val="20"/>
        </w:rPr>
        <w:t>[15] Zhu et al. Multi-Time Slots Real-Time Pricing Strategy with Power Fluctuation[J]. Energies, 2018.</w:t>
      </w:r>
    </w:p>
    <w:p>
      <w:pPr>
        <w:spacing w:after="40" w:line="276" w:lineRule="auto"/>
        <w:ind w:left="425" w:hanging="425"/>
      </w:pPr>
      <w:r>
        <w:rPr>
          <w:rFonts w:ascii="Times New Roman" w:hAnsi="Times New Roman" w:eastAsia="宋体"/>
          <w:b w:val="0"/>
          <w:i w:val="0"/>
          <w:sz w:val="20"/>
        </w:rPr>
        <w:t>[16] Zhu et al. Real-Time Pricing Considering Different Type of Smart Home Appliances[J]. IEEE Access, 2019.</w:t>
      </w:r>
    </w:p>
    <w:p>
      <w:pPr>
        <w:spacing w:after="40" w:line="276" w:lineRule="auto"/>
        <w:ind w:left="425" w:hanging="425"/>
      </w:pPr>
      <w:r>
        <w:rPr>
          <w:rFonts w:ascii="Times New Roman" w:hAnsi="Times New Roman" w:eastAsia="宋体"/>
          <w:b w:val="0"/>
          <w:i w:val="0"/>
          <w:sz w:val="20"/>
        </w:rPr>
        <w:t>[17] Ben-Tal A, El Ghaoui L, Nemirovski A. Robust Optimization[M]. Princeton University Press, 2009.</w:t>
      </w:r>
    </w:p>
    <w:p>
      <w:pPr>
        <w:spacing w:after="40" w:line="276" w:lineRule="auto"/>
        <w:ind w:left="425" w:hanging="425"/>
      </w:pPr>
      <w:r>
        <w:rPr>
          <w:rFonts w:ascii="Times New Roman" w:hAnsi="Times New Roman" w:eastAsia="宋体"/>
          <w:b w:val="0"/>
          <w:i w:val="0"/>
          <w:sz w:val="20"/>
        </w:rPr>
        <w:t>[18] Esfahani P M, Kuhn D. Data-driven distributionally robust optimization using the Wasserstein metric[J]. Mathematical Programming, 2018, 171(1): 115-166.</w:t>
      </w:r>
    </w:p>
    <w:p>
      <w:pPr>
        <w:spacing w:after="40" w:line="276" w:lineRule="auto"/>
        <w:ind w:left="425" w:hanging="425"/>
      </w:pPr>
      <w:r>
        <w:rPr>
          <w:rFonts w:ascii="Times New Roman" w:hAnsi="Times New Roman" w:eastAsia="宋体"/>
          <w:b w:val="0"/>
          <w:i w:val="0"/>
          <w:sz w:val="20"/>
        </w:rPr>
        <w:t>[19] Rockafellar R T, Uryasev S. Optimization of conditional value-at-risk[J]. Journal of Risk, 2000, 2: 21-42.</w:t>
      </w:r>
    </w:p>
    <w:p>
      <w:pPr>
        <w:spacing w:after="40" w:line="276" w:lineRule="auto"/>
        <w:ind w:left="425" w:hanging="425"/>
      </w:pPr>
      <w:r>
        <w:rPr>
          <w:rFonts w:ascii="Times New Roman" w:hAnsi="Times New Roman" w:eastAsia="宋体"/>
          <w:b w:val="0"/>
          <w:i w:val="0"/>
          <w:sz w:val="20"/>
        </w:rPr>
        <w:t>[20] Wiesemann W, Kuhn D, Sim M. Distributionally robust convex optimization[J]. Operations Research, 2014, 63(6): 1358-1376.</w:t>
      </w:r>
    </w:p>
    <w:p>
      <w:pPr>
        <w:jc w:val="center"/>
      </w:pPr>
      <w:r>
        <w:drawing>
          <wp:inline xmlns:a="http://schemas.openxmlformats.org/drawingml/2006/main" xmlns:pic="http://schemas.openxmlformats.org/drawingml/2006/picture">
            <wp:extent cx="5029200" cy="3119377"/>
            <wp:docPr id="7" name="Picture 7"/>
            <wp:cNvGraphicFramePr>
              <a:graphicFrameLocks noChangeAspect="1"/>
            </wp:cNvGraphicFramePr>
            <a:graphic>
              <a:graphicData uri="http://schemas.openxmlformats.org/drawingml/2006/picture">
                <pic:pic>
                  <pic:nvPicPr>
                    <pic:cNvPr id="0" name="06_uncertainty_comparison.png"/>
                    <pic:cNvPicPr/>
                  </pic:nvPicPr>
                  <pic:blipFill>
                    <a:blip r:embed="rId15"/>
                    <a:stretch>
                      <a:fillRect/>
                    </a:stretch>
                  </pic:blipFill>
                  <pic:spPr>
                    <a:xfrm>
                      <a:off x="0" y="0"/>
                      <a:ext cx="5029200" cy="3119377"/>
                    </a:xfrm>
                    <a:prstGeom prst="rect"/>
                  </pic:spPr>
                </pic:pic>
              </a:graphicData>
            </a:graphic>
          </wp:inline>
        </w:drawing>
      </w:r>
    </w:p>
    <w:p>
      <w:pPr>
        <w:jc w:val="center"/>
      </w:pPr>
      <w:r>
        <w:rPr>
          <w:rFonts w:ascii="Times New Roman" w:hAnsi="Times New Roman" w:eastAsia="黑体"/>
          <w:b/>
          <w:i w:val="0"/>
          <w:color w:val="606060"/>
          <w:sz w:val="20"/>
        </w:rPr>
        <w:t>图6 不同优化方法在不确定性下的社会福利</w:t>
      </w:r>
    </w:p>
    <w:p>
      <w:r>
        <w:br w:type="page"/>
      </w:r>
    </w:p>
    <w:p>
      <w:pPr>
        <w:jc w:val="center"/>
      </w:pPr>
      <w:r>
        <w:rPr>
          <w:rFonts w:ascii="Times New Roman" w:hAnsi="Times New Roman" w:eastAsia="黑体"/>
          <w:b/>
          <w:i w:val="0"/>
          <w:color w:val="1A3C6E"/>
          <w:sz w:val="44"/>
        </w:rPr>
        <w:t>第四篇  扩展与前沿</w:t>
      </w:r>
    </w:p>
    <w:p/>
    <w:p/>
    <w:p/>
    <w:p/>
    <w:p>
      <w:r>
        <w:br w:type="page"/>
      </w:r>
    </w:p>
    <w:p>
      <w:pPr>
        <w:pStyle w:val="Heading1"/>
        <w:spacing w:before="360" w:after="120"/>
      </w:pPr>
      <w:r>
        <w:rPr>
          <w:rFonts w:ascii="Times New Roman" w:hAnsi="Times New Roman" w:eastAsia="黑体"/>
          <w:b/>
          <w:i w:val="0"/>
          <w:sz w:val="32"/>
        </w:rPr>
        <w:t>第10章 碳交易与绿色能源协同定价</w:t>
      </w:r>
    </w:p>
    <w:p>
      <w:pPr>
        <w:pStyle w:val="Heading2"/>
        <w:spacing w:before="240" w:after="80"/>
      </w:pPr>
      <w:r>
        <w:rPr>
          <w:rFonts w:ascii="Times New Roman" w:hAnsi="Times New Roman" w:eastAsia="黑体"/>
          <w:b/>
          <w:i w:val="0"/>
          <w:sz w:val="28"/>
        </w:rPr>
        <w:t>学习目标</w:t>
      </w:r>
    </w:p>
    <w:p>
      <w:pPr>
        <w:pStyle w:val="ListBullet"/>
        <w:spacing w:line="360" w:lineRule="auto" w:after="0"/>
      </w:pPr>
      <w:r>
        <w:rPr>
          <w:rFonts w:ascii="Times New Roman" w:hAnsi="Times New Roman" w:eastAsia="宋体"/>
          <w:b w:val="0"/>
          <w:i w:val="0"/>
          <w:sz w:val="22"/>
        </w:rPr>
        <w:t>理解碳交易市场的基本机制及其与电力定价的关系</w:t>
      </w:r>
    </w:p>
    <w:p>
      <w:pPr>
        <w:pStyle w:val="ListBullet"/>
        <w:spacing w:line="360" w:lineRule="auto" w:after="0"/>
      </w:pPr>
      <w:r>
        <w:rPr>
          <w:rFonts w:ascii="Times New Roman" w:hAnsi="Times New Roman" w:eastAsia="宋体"/>
          <w:b w:val="0"/>
          <w:i w:val="0"/>
          <w:sz w:val="22"/>
        </w:rPr>
        <w:t>掌握碳交易与实时定价联合优化的模型与方法</w:t>
      </w:r>
    </w:p>
    <w:p>
      <w:pPr>
        <w:pStyle w:val="ListBullet"/>
        <w:spacing w:line="360" w:lineRule="auto" w:after="0"/>
      </w:pPr>
      <w:r>
        <w:rPr>
          <w:rFonts w:ascii="Times New Roman" w:hAnsi="Times New Roman" w:eastAsia="宋体"/>
          <w:b w:val="0"/>
          <w:i w:val="0"/>
          <w:sz w:val="22"/>
        </w:rPr>
        <w:t>了解绿电合同、低碳激励等绿色能源定价机制</w:t>
      </w:r>
    </w:p>
    <w:p>
      <w:pPr>
        <w:pStyle w:val="Heading2"/>
        <w:spacing w:before="240" w:after="80"/>
      </w:pPr>
      <w:r>
        <w:rPr>
          <w:rFonts w:ascii="Times New Roman" w:hAnsi="Times New Roman" w:eastAsia="黑体"/>
          <w:b/>
          <w:i w:val="0"/>
          <w:sz w:val="28"/>
        </w:rPr>
        <w:t>导入案例：中国全国碳市场的开启</w:t>
      </w:r>
    </w:p>
    <w:p>
      <w:pPr>
        <w:spacing w:line="360" w:lineRule="auto" w:after="0"/>
        <w:ind w:firstLine="425"/>
      </w:pPr>
      <w:r>
        <w:rPr>
          <w:rFonts w:ascii="Times New Roman" w:hAnsi="Times New Roman" w:eastAsia="宋体"/>
          <w:b w:val="0"/>
          <w:i w:val="0"/>
          <w:sz w:val="22"/>
        </w:rPr>
        <w:t>2021年7月16日，中国全国碳排放权交易市场正式启动，首批纳入发电行业。全国碳市场的开启标志着中国碳定价机制进入新阶段，也对电力系统实时定价产生了深远影响。发电企业需要在碳排放成本和电力产出之间寻求平衡，实时定价策略需要内化碳排放外部性。知识库中的Phase1_碳交易RTP联合优化项目正是对这一前沿问题的系统探索</w:t>
      </w:r>
      <w:r>
        <w:rPr>
          <w:rFonts w:ascii="Times New Roman" w:hAnsi="Times New Roman" w:eastAsia="Times New Roman"/>
          <w:b w:val="0"/>
          <w:i w:val="0"/>
          <w:sz w:val="18"/>
          <w:vertAlign w:val="superscript"/>
        </w:rPr>
        <w:t>[1]</w:t>
      </w:r>
      <w:r>
        <w:rPr>
          <w:rFonts w:ascii="Times New Roman" w:hAnsi="Times New Roman" w:eastAsia="宋体"/>
          <w:b w:val="0"/>
          <w:i w:val="0"/>
          <w:sz w:val="22"/>
        </w:rPr>
        <w:t>。</w:t>
      </w:r>
    </w:p>
    <w:p>
      <w:pPr>
        <w:pStyle w:val="Heading2"/>
        <w:spacing w:before="240" w:after="80"/>
      </w:pPr>
      <w:r>
        <w:rPr>
          <w:rFonts w:ascii="Times New Roman" w:hAnsi="Times New Roman" w:eastAsia="黑体"/>
          <w:b/>
          <w:i w:val="0"/>
          <w:sz w:val="28"/>
        </w:rPr>
        <w:t>10.1 碳交易市场概述</w:t>
      </w:r>
    </w:p>
    <w:p>
      <w:pPr>
        <w:pStyle w:val="Heading3"/>
        <w:spacing w:before="160" w:after="60"/>
      </w:pPr>
      <w:r>
        <w:rPr>
          <w:rFonts w:ascii="Times New Roman" w:hAnsi="Times New Roman" w:eastAsia="黑体"/>
          <w:b/>
          <w:i w:val="0"/>
          <w:sz w:val="24"/>
        </w:rPr>
        <w:t>10.1.1 碳交易的基本机制</w:t>
      </w:r>
    </w:p>
    <w:p>
      <w:pPr>
        <w:spacing w:line="360" w:lineRule="auto" w:after="0"/>
        <w:ind w:firstLine="425"/>
      </w:pPr>
      <w:r>
        <w:rPr>
          <w:rFonts w:ascii="Times New Roman" w:hAnsi="Times New Roman" w:eastAsia="宋体"/>
          <w:b w:val="0"/>
          <w:i w:val="0"/>
          <w:sz w:val="22"/>
        </w:rPr>
        <w:t>碳交易（Carbon Trading）是基于总量控制与交易（Cap-and-Trade）机制的碳排放权交易制度。政府设定碳排放总量上限，向企业分配（或拍卖）碳排放配额。企业可以通过减排节约配额并出售，也可以购买额外配额以满足排放需求。</w:t>
      </w:r>
    </w:p>
    <w:p>
      <w:pPr>
        <w:pStyle w:val="Heading3"/>
        <w:spacing w:before="160" w:after="60"/>
      </w:pPr>
      <w:r>
        <w:rPr>
          <w:rFonts w:ascii="Times New Roman" w:hAnsi="Times New Roman" w:eastAsia="黑体"/>
          <w:b/>
          <w:i w:val="0"/>
          <w:sz w:val="24"/>
        </w:rPr>
        <w:t>10.1.2 碳交易对电力市场的影响</w:t>
      </w:r>
    </w:p>
    <w:p>
      <w:pPr>
        <w:spacing w:line="360" w:lineRule="auto" w:after="0"/>
        <w:ind w:firstLine="425"/>
      </w:pPr>
      <w:r>
        <w:rPr>
          <w:rFonts w:ascii="Times New Roman" w:hAnsi="Times New Roman" w:eastAsia="宋体"/>
          <w:b w:val="0"/>
          <w:i w:val="0"/>
          <w:sz w:val="22"/>
        </w:rPr>
        <w:t>碳交易对电力市场的影响体现在：</w:t>
      </w:r>
    </w:p>
    <w:p>
      <w:pPr>
        <w:pStyle w:val="ListBullet"/>
        <w:spacing w:line="360" w:lineRule="auto" w:after="0"/>
      </w:pPr>
      <w:r>
        <w:rPr>
          <w:rFonts w:ascii="Times New Roman" w:hAnsi="Times New Roman" w:eastAsia="宋体"/>
          <w:b/>
          <w:i w:val="0"/>
          <w:sz w:val="22"/>
        </w:rPr>
        <w:t>发电成本变化</w:t>
      </w:r>
      <w:r>
        <w:rPr>
          <w:rFonts w:ascii="Times New Roman" w:hAnsi="Times New Roman" w:eastAsia="宋体"/>
          <w:b w:val="0"/>
          <w:i w:val="0"/>
          <w:sz w:val="22"/>
        </w:rPr>
        <w:t>：高碳排放机组（如煤电）的发电成本上升，低碳机组（如燃气、可再生能源）的相对竞争力提高</w:t>
      </w:r>
    </w:p>
    <w:p>
      <w:pPr>
        <w:pStyle w:val="ListBullet"/>
        <w:spacing w:line="360" w:lineRule="auto" w:after="0"/>
      </w:pPr>
      <w:r>
        <w:rPr>
          <w:rFonts w:ascii="Times New Roman" w:hAnsi="Times New Roman" w:eastAsia="宋体"/>
          <w:b/>
          <w:i w:val="0"/>
          <w:sz w:val="22"/>
        </w:rPr>
        <w:t>电价传导</w:t>
      </w:r>
      <w:r>
        <w:rPr>
          <w:rFonts w:ascii="Times New Roman" w:hAnsi="Times New Roman" w:eastAsia="宋体"/>
          <w:b w:val="0"/>
          <w:i w:val="0"/>
          <w:sz w:val="22"/>
        </w:rPr>
        <w:t>：碳成本通过电价传导至终端用户，影响用电行为</w:t>
      </w:r>
    </w:p>
    <w:p>
      <w:pPr>
        <w:pStyle w:val="ListBullet"/>
        <w:spacing w:line="360" w:lineRule="auto" w:after="0"/>
      </w:pPr>
      <w:r>
        <w:rPr>
          <w:rFonts w:ascii="Times New Roman" w:hAnsi="Times New Roman" w:eastAsia="宋体"/>
          <w:b/>
          <w:i w:val="0"/>
          <w:sz w:val="22"/>
        </w:rPr>
        <w:t>调度优化</w:t>
      </w:r>
      <w:r>
        <w:rPr>
          <w:rFonts w:ascii="Times New Roman" w:hAnsi="Times New Roman" w:eastAsia="宋体"/>
          <w:b w:val="0"/>
          <w:i w:val="0"/>
          <w:sz w:val="22"/>
        </w:rPr>
        <w:t>：电网调度需要考虑碳排放约束，优先调度低碳电源</w:t>
      </w:r>
    </w:p>
    <w:p>
      <w:pPr>
        <w:pStyle w:val="Heading3"/>
        <w:spacing w:before="160" w:after="60"/>
      </w:pPr>
      <w:r>
        <w:rPr>
          <w:rFonts w:ascii="Times New Roman" w:hAnsi="Times New Roman" w:eastAsia="黑体"/>
          <w:b/>
          <w:i w:val="0"/>
          <w:sz w:val="24"/>
        </w:rPr>
        <w:t>10.1.3 碳价与电价的耦合关系</w:t>
      </w:r>
    </w:p>
    <w:p>
      <w:pPr>
        <w:spacing w:line="360" w:lineRule="auto" w:after="0"/>
        <w:ind w:firstLine="425"/>
      </w:pPr>
      <w:r>
        <w:rPr>
          <w:rFonts w:ascii="Times New Roman" w:hAnsi="Times New Roman" w:eastAsia="宋体"/>
          <w:b w:val="0"/>
          <w:i w:val="0"/>
          <w:sz w:val="22"/>
        </w:rPr>
        <w:t>碳价与电价存在复杂的耦合关系。碳价上升推高火电成本，导致电价上升；电价上升抑制用电需求，减少碳排放。这种耦合关系使得碳交易和实时定价需要进行联合优化。</w:t>
      </w:r>
    </w:p>
    <w:p>
      <w:pPr>
        <w:pStyle w:val="Heading2"/>
        <w:spacing w:before="240" w:after="80"/>
      </w:pPr>
      <w:r>
        <w:rPr>
          <w:rFonts w:ascii="Times New Roman" w:hAnsi="Times New Roman" w:eastAsia="黑体"/>
          <w:b/>
          <w:i w:val="0"/>
          <w:sz w:val="28"/>
        </w:rPr>
        <w:t>10.2 碳排放权交易机制</w:t>
      </w:r>
    </w:p>
    <w:p>
      <w:pPr>
        <w:pStyle w:val="Heading3"/>
        <w:spacing w:before="160" w:after="60"/>
      </w:pPr>
      <w:r>
        <w:rPr>
          <w:rFonts w:ascii="Times New Roman" w:hAnsi="Times New Roman" w:eastAsia="黑体"/>
          <w:b/>
          <w:i w:val="0"/>
          <w:sz w:val="24"/>
        </w:rPr>
        <w:t>10.2.1 配额分配方式</w:t>
      </w:r>
    </w:p>
    <w:p>
      <w:pPr>
        <w:spacing w:line="360" w:lineRule="auto" w:after="0"/>
        <w:ind w:firstLine="425"/>
      </w:pPr>
      <w:r>
        <w:rPr>
          <w:rFonts w:ascii="Times New Roman" w:hAnsi="Times New Roman" w:eastAsia="宋体"/>
          <w:b w:val="0"/>
          <w:i w:val="0"/>
          <w:sz w:val="22"/>
        </w:rPr>
        <w:t>碳排放配额的分配方式包括：</w:t>
      </w:r>
    </w:p>
    <w:p>
      <w:pPr>
        <w:pStyle w:val="ListBullet"/>
        <w:spacing w:line="360" w:lineRule="auto" w:after="0"/>
      </w:pPr>
      <w:r>
        <w:rPr>
          <w:rFonts w:ascii="Times New Roman" w:hAnsi="Times New Roman" w:eastAsia="宋体"/>
          <w:b/>
          <w:i w:val="0"/>
          <w:sz w:val="22"/>
        </w:rPr>
        <w:t>免费分配</w:t>
      </w:r>
      <w:r>
        <w:rPr>
          <w:rFonts w:ascii="Times New Roman" w:hAnsi="Times New Roman" w:eastAsia="宋体"/>
          <w:b w:val="0"/>
          <w:i w:val="0"/>
          <w:sz w:val="22"/>
        </w:rPr>
        <w:t>：基于历史排放或基准线法免费发放</w:t>
      </w:r>
    </w:p>
    <w:p>
      <w:pPr>
        <w:pStyle w:val="ListBullet"/>
        <w:spacing w:line="360" w:lineRule="auto" w:after="0"/>
      </w:pPr>
      <w:r>
        <w:rPr>
          <w:rFonts w:ascii="Times New Roman" w:hAnsi="Times New Roman" w:eastAsia="宋体"/>
          <w:b/>
          <w:i w:val="0"/>
          <w:sz w:val="22"/>
        </w:rPr>
        <w:t>拍卖</w:t>
      </w:r>
      <w:r>
        <w:rPr>
          <w:rFonts w:ascii="Times New Roman" w:hAnsi="Times New Roman" w:eastAsia="宋体"/>
          <w:b w:val="0"/>
          <w:i w:val="0"/>
          <w:sz w:val="22"/>
        </w:rPr>
        <w:t>：企业通过竞价购买配额</w:t>
      </w:r>
    </w:p>
    <w:p>
      <w:pPr>
        <w:pStyle w:val="ListBullet"/>
        <w:spacing w:line="360" w:lineRule="auto" w:after="0"/>
      </w:pPr>
      <w:r>
        <w:rPr>
          <w:rFonts w:ascii="Times New Roman" w:hAnsi="Times New Roman" w:eastAsia="宋体"/>
          <w:b/>
          <w:i w:val="0"/>
          <w:sz w:val="22"/>
        </w:rPr>
        <w:t>混合方式</w:t>
      </w:r>
      <w:r>
        <w:rPr>
          <w:rFonts w:ascii="Times New Roman" w:hAnsi="Times New Roman" w:eastAsia="宋体"/>
          <w:b w:val="0"/>
          <w:i w:val="0"/>
          <w:sz w:val="22"/>
        </w:rPr>
        <w:t>：部分免费、部分拍卖</w:t>
      </w:r>
    </w:p>
    <w:p>
      <w:pPr>
        <w:spacing w:line="360" w:lineRule="auto" w:after="0"/>
        <w:ind w:firstLine="425"/>
      </w:pPr>
      <w:r>
        <w:rPr>
          <w:rFonts w:ascii="Times New Roman" w:hAnsi="Times New Roman" w:eastAsia="宋体"/>
          <w:b w:val="0"/>
          <w:i w:val="0"/>
          <w:sz w:val="22"/>
        </w:rPr>
        <w:t>中国全国碳市场目前采用免费分配方式（基于基准线法），未来将逐步提高拍卖比例。</w:t>
      </w:r>
    </w:p>
    <w:p>
      <w:pPr>
        <w:pStyle w:val="Heading3"/>
        <w:spacing w:before="160" w:after="60"/>
      </w:pPr>
      <w:r>
        <w:rPr>
          <w:rFonts w:ascii="Times New Roman" w:hAnsi="Times New Roman" w:eastAsia="黑体"/>
          <w:b/>
          <w:i w:val="0"/>
          <w:sz w:val="24"/>
        </w:rPr>
        <w:t>10.2.2 碳价影响因素</w:t>
      </w:r>
    </w:p>
    <w:p>
      <w:pPr>
        <w:spacing w:line="360" w:lineRule="auto" w:after="0"/>
        <w:ind w:firstLine="425"/>
      </w:pPr>
      <w:r>
        <w:rPr>
          <w:rFonts w:ascii="Times New Roman" w:hAnsi="Times New Roman" w:eastAsia="宋体"/>
          <w:b w:val="0"/>
          <w:i w:val="0"/>
          <w:sz w:val="22"/>
        </w:rPr>
        <w:t>碳价受多种因素影响：</w:t>
      </w:r>
    </w:p>
    <w:p>
      <w:pPr>
        <w:pStyle w:val="ListBullet"/>
        <w:spacing w:line="360" w:lineRule="auto" w:after="0"/>
      </w:pPr>
      <w:r>
        <w:rPr>
          <w:rFonts w:ascii="Times New Roman" w:hAnsi="Times New Roman" w:eastAsia="宋体"/>
          <w:b w:val="0"/>
          <w:i w:val="0"/>
          <w:sz w:val="22"/>
        </w:rPr>
        <w:t>政策目标（减排力度）</w:t>
      </w:r>
    </w:p>
    <w:p>
      <w:pPr>
        <w:pStyle w:val="ListBullet"/>
        <w:spacing w:line="360" w:lineRule="auto" w:after="0"/>
      </w:pPr>
      <w:r>
        <w:rPr>
          <w:rFonts w:ascii="Times New Roman" w:hAnsi="Times New Roman" w:eastAsia="宋体"/>
          <w:b w:val="0"/>
          <w:i w:val="0"/>
          <w:sz w:val="22"/>
        </w:rPr>
        <w:t>经济活动水平</w:t>
      </w:r>
    </w:p>
    <w:p>
      <w:pPr>
        <w:pStyle w:val="ListBullet"/>
        <w:spacing w:line="360" w:lineRule="auto" w:after="0"/>
      </w:pPr>
      <w:r>
        <w:rPr>
          <w:rFonts w:ascii="Times New Roman" w:hAnsi="Times New Roman" w:eastAsia="宋体"/>
          <w:b w:val="0"/>
          <w:i w:val="0"/>
          <w:sz w:val="22"/>
        </w:rPr>
        <w:t>能源价格（天然气、煤炭价格比）</w:t>
      </w:r>
    </w:p>
    <w:p>
      <w:pPr>
        <w:pStyle w:val="ListBullet"/>
        <w:spacing w:line="360" w:lineRule="auto" w:after="0"/>
      </w:pPr>
      <w:r>
        <w:rPr>
          <w:rFonts w:ascii="Times New Roman" w:hAnsi="Times New Roman" w:eastAsia="宋体"/>
          <w:b w:val="0"/>
          <w:i w:val="0"/>
          <w:sz w:val="22"/>
        </w:rPr>
        <w:t>天气条件</w:t>
      </w:r>
    </w:p>
    <w:p>
      <w:pPr>
        <w:pStyle w:val="ListBullet"/>
        <w:spacing w:line="360" w:lineRule="auto" w:after="0"/>
      </w:pPr>
      <w:r>
        <w:rPr>
          <w:rFonts w:ascii="Times New Roman" w:hAnsi="Times New Roman" w:eastAsia="宋体"/>
          <w:b w:val="0"/>
          <w:i w:val="0"/>
          <w:sz w:val="22"/>
        </w:rPr>
        <w:t>技术进步</w:t>
      </w:r>
    </w:p>
    <w:p>
      <w:pPr>
        <w:pStyle w:val="Heading3"/>
        <w:spacing w:before="160" w:after="60"/>
      </w:pPr>
      <w:r>
        <w:rPr>
          <w:rFonts w:ascii="Times New Roman" w:hAnsi="Times New Roman" w:eastAsia="黑体"/>
          <w:b/>
          <w:i w:val="0"/>
          <w:sz w:val="24"/>
        </w:rPr>
        <w:t>10.2.3 赵等（2016）的排污权双层优化</w:t>
      </w:r>
    </w:p>
    <w:p>
      <w:pPr>
        <w:spacing w:line="360" w:lineRule="auto" w:after="0"/>
        <w:ind w:firstLine="425"/>
      </w:pPr>
      <w:r>
        <w:rPr>
          <w:rFonts w:ascii="Times New Roman" w:hAnsi="Times New Roman" w:eastAsia="宋体"/>
          <w:b w:val="0"/>
          <w:i w:val="0"/>
          <w:sz w:val="22"/>
        </w:rPr>
        <w:t>赵等（2016）研究了基于双层规划的排污权优化配置策略</w:t>
      </w:r>
      <w:r>
        <w:rPr>
          <w:rFonts w:ascii="Times New Roman" w:hAnsi="Times New Roman" w:eastAsia="Times New Roman"/>
          <w:b w:val="0"/>
          <w:i w:val="0"/>
          <w:sz w:val="18"/>
          <w:vertAlign w:val="superscript"/>
        </w:rPr>
        <w:t>[2]</w:t>
      </w:r>
      <w:r>
        <w:rPr>
          <w:rFonts w:ascii="Times New Roman" w:hAnsi="Times New Roman" w:eastAsia="宋体"/>
          <w:b w:val="0"/>
          <w:i w:val="0"/>
          <w:sz w:val="22"/>
        </w:rPr>
        <w:t>。该模型将排污权分配与电力调度相结合，通过双层规划框架优化排污权配置效率。</w:t>
      </w:r>
    </w:p>
    <w:p>
      <w:pPr>
        <w:pStyle w:val="Heading2"/>
        <w:spacing w:before="240" w:after="80"/>
      </w:pPr>
      <w:r>
        <w:rPr>
          <w:rFonts w:ascii="Times New Roman" w:hAnsi="Times New Roman" w:eastAsia="黑体"/>
          <w:b/>
          <w:i w:val="0"/>
          <w:sz w:val="28"/>
        </w:rPr>
        <w:t>10.3 碳交易与RTP联合优化</w:t>
      </w:r>
    </w:p>
    <w:p>
      <w:pPr>
        <w:pStyle w:val="Heading3"/>
        <w:spacing w:before="160" w:after="60"/>
      </w:pPr>
      <w:r>
        <w:rPr>
          <w:rFonts w:ascii="Times New Roman" w:hAnsi="Times New Roman" w:eastAsia="黑体"/>
          <w:b/>
          <w:i w:val="0"/>
          <w:sz w:val="24"/>
        </w:rPr>
        <w:t>10.3.1 Phase1项目概览</w:t>
      </w:r>
    </w:p>
    <w:p>
      <w:pPr>
        <w:spacing w:line="360" w:lineRule="auto" w:after="0"/>
        <w:ind w:firstLine="425"/>
      </w:pPr>
      <w:r>
        <w:rPr>
          <w:rFonts w:ascii="Times New Roman" w:hAnsi="Times New Roman" w:eastAsia="宋体"/>
          <w:b w:val="0"/>
          <w:i w:val="0"/>
          <w:sz w:val="22"/>
        </w:rPr>
        <w:t>知识库中的Phase1_碳交易RTP联合优化项目系统研究了碳交易机制下智能电网实时定价的联合优化问题。该项目的核心思路是：</w:t>
      </w:r>
    </w:p>
    <w:p>
      <w:pPr>
        <w:pStyle w:val="ListBullet"/>
        <w:spacing w:line="360" w:lineRule="auto" w:after="0"/>
      </w:pPr>
      <w:r>
        <w:rPr>
          <w:rFonts w:ascii="Times New Roman" w:hAnsi="Times New Roman" w:eastAsia="宋体"/>
          <w:b w:val="0"/>
          <w:i w:val="0"/>
          <w:sz w:val="22"/>
        </w:rPr>
        <w:t>在社会福利最大化目标函数中引入碳排放成本</w:t>
      </w:r>
    </w:p>
    <w:p>
      <w:pPr>
        <w:pStyle w:val="ListBullet"/>
        <w:spacing w:line="360" w:lineRule="auto" w:after="0"/>
      </w:pPr>
      <w:r>
        <w:rPr>
          <w:rFonts w:ascii="Times New Roman" w:hAnsi="Times New Roman" w:eastAsia="宋体"/>
          <w:b w:val="0"/>
          <w:i w:val="0"/>
          <w:sz w:val="22"/>
        </w:rPr>
        <w:t>将碳配额作为约束条件</w:t>
      </w:r>
    </w:p>
    <w:p>
      <w:pPr>
        <w:pStyle w:val="ListBullet"/>
        <w:spacing w:line="360" w:lineRule="auto" w:after="0"/>
      </w:pPr>
      <w:r>
        <w:rPr>
          <w:rFonts w:ascii="Times New Roman" w:hAnsi="Times New Roman" w:eastAsia="宋体"/>
          <w:b w:val="0"/>
          <w:i w:val="0"/>
          <w:sz w:val="22"/>
        </w:rPr>
        <w:t>同时优化电价和碳交易策略</w:t>
      </w:r>
    </w:p>
    <w:p>
      <w:pPr>
        <w:pStyle w:val="Heading3"/>
        <w:spacing w:before="160" w:after="60"/>
      </w:pPr>
      <w:r>
        <w:rPr>
          <w:rFonts w:ascii="Times New Roman" w:hAnsi="Times New Roman" w:eastAsia="黑体"/>
          <w:b/>
          <w:i w:val="0"/>
          <w:sz w:val="24"/>
        </w:rPr>
        <w:t>10.3.2 联合优化模型</w:t>
      </w:r>
    </w:p>
    <w:p>
      <w:pPr>
        <w:spacing w:line="360" w:lineRule="auto" w:after="0"/>
        <w:ind w:firstLine="425"/>
      </w:pPr>
      <w:r>
        <w:rPr>
          <w:rFonts w:ascii="Times New Roman" w:hAnsi="Times New Roman" w:eastAsia="宋体"/>
          <w:b w:val="0"/>
          <w:i w:val="0"/>
          <w:sz w:val="22"/>
        </w:rPr>
        <w:t>联合优化模型可以表述为：</w:t>
      </w:r>
    </w:p>
    <w:p>
      <w:pPr>
        <w:spacing w:before="80" w:after="80"/>
        <w:jc w:val="center"/>
      </w:pPr>
      <m:oMathPara>
        <m:oMath>
          <m:r>
            <m:t>max</m:t>
          </m:r>
          <m:nary>
            <m:naryPr>
              <m:chr m:val="∑"/>
              <m:limLoc m:val="subSup"/>
              <m:grow m:val="1"/>
              <m:subHide m:val="off"/>
              <m:supHide m:val="on"/>
            </m:naryPr>
            <m:sub>
              <m:r>
                <m:t>i</m:t>
              </m:r>
            </m:sub>
            <m:sup/>
            <m:e>
              <m:sSub>
                <m:e>
                  <m:r>
                    <m:t>U</m:t>
                  </m:r>
                </m:e>
                <m:sub>
                  <m:r>
                    <m:t>i</m:t>
                  </m:r>
                </m:sub>
              </m:sSub>
            </m:e>
          </m:nary>
          <m:r>
            <m:t>(</m:t>
          </m:r>
          <m:sSub>
            <m:e>
              <m:r>
                <m:t>x</m:t>
              </m:r>
            </m:e>
            <m:sub>
              <m:r>
                <m:t>i</m:t>
              </m:r>
            </m:sub>
          </m:sSub>
          <m:r>
            <m:t>)−</m:t>
          </m:r>
          <m:sSub>
            <m:e>
              <m:r>
                <m:t>C</m:t>
              </m:r>
            </m:e>
            <m:sub>
              <m:r>
                <m:rPr>
                  <m:nor/>
                </m:rPr>
                <m:t>electric</m:t>
              </m:r>
            </m:sub>
          </m:sSub>
          <m:r>
            <m:t>(Q)−</m:t>
          </m:r>
          <m:sSub>
            <m:e>
              <m:r>
                <m:t>C</m:t>
              </m:r>
            </m:e>
            <m:sub>
              <m:r>
                <m:rPr>
                  <m:nor/>
                </m:rPr>
                <m:t>carbon</m:t>
              </m:r>
            </m:sub>
          </m:sSub>
          <m:r>
            <m:t>(E)</m:t>
          </m:r>
        </m:oMath>
      </m:oMathPara>
    </w:p>
    <w:p>
      <w:pPr>
        <w:spacing w:before="80" w:after="80"/>
        <w:jc w:val="center"/>
      </w:pPr>
      <m:oMathPara>
        <m:oMath>
          <m:r>
            <m:rPr>
              <m:nor/>
            </m:rPr>
            <m:t>s.t.</m:t>
          </m:r>
          <m:r>
            <m:t>E≤</m:t>
          </m:r>
          <m:sSub>
            <m:e>
              <m:r>
                <m:t>E</m:t>
              </m:r>
            </m:e>
            <m:sub>
              <m:r>
                <m:t>max</m:t>
              </m:r>
            </m:sub>
          </m:sSub>
          <m:r>
            <m:rPr>
              <m:nor/>
            </m:rPr>
            <m:t>(碳配额约束)</m:t>
          </m:r>
        </m:oMath>
      </m:oMathPara>
    </w:p>
    <w:p>
      <w:pPr>
        <w:spacing w:before="80" w:after="80"/>
        <w:jc w:val="center"/>
      </w:pPr>
      <m:oMathPara>
        <m:oMath>
          <m:r>
            <m:t>Q=</m:t>
          </m:r>
          <m:nary>
            <m:naryPr>
              <m:chr m:val="∑"/>
              <m:limLoc m:val="subSup"/>
              <m:grow m:val="1"/>
              <m:subHide m:val="off"/>
              <m:supHide m:val="on"/>
            </m:naryPr>
            <m:sub>
              <m:r>
                <m:t>i</m:t>
              </m:r>
            </m:sub>
            <m:sup/>
            <m:e>
              <m:sSub>
                <m:e>
                  <m:r>
                    <m:t>x</m:t>
                  </m:r>
                </m:e>
                <m:sub>
                  <m:r>
                    <m:t>i</m:t>
                  </m:r>
                </m:sub>
              </m:sSub>
            </m:e>
          </m:nary>
          <m:r>
            <m:t>≤</m:t>
          </m:r>
          <m:sSub>
            <m:e>
              <m:r>
                <m:t>Q</m:t>
              </m:r>
            </m:e>
            <m:sub>
              <m:r>
                <m:t>max</m:t>
              </m:r>
            </m:sub>
          </m:sSub>
          <m:r>
            <m:rPr>
              <m:nor/>
            </m:rPr>
            <m:t>(供电约束)</m:t>
          </m:r>
        </m:oMath>
      </m:oMathPara>
    </w:p>
    <w:p>
      <w:pPr>
        <w:spacing w:before="80" w:after="80"/>
        <w:jc w:val="center"/>
      </w:pPr>
      <m:oMathPara>
        <m:oMath>
          <m:r>
            <m:t>E=f(Q)</m:t>
          </m:r>
          <m:r>
            <m:rPr>
              <m:nor/>
            </m:rPr>
            <m:t>(碳排放函数)</m:t>
          </m:r>
        </m:oMath>
      </m:oMathPara>
    </w:p>
    <w:p>
      <w:pPr>
        <w:spacing w:line="360" w:lineRule="auto" w:after="0"/>
        <w:ind w:firstLine="0"/>
      </w:pPr>
      <w:r>
        <w:rPr>
          <w:rFonts w:ascii="Times New Roman" w:hAnsi="Times New Roman" w:eastAsia="宋体"/>
          <w:b w:val="0"/>
          <w:i w:val="0"/>
          <w:sz w:val="22"/>
        </w:rPr>
        <w:t>其中C_carbon(E)是碳排放成本，E_max是碳配额上限。</w:t>
      </w:r>
    </w:p>
    <w:p>
      <w:pPr>
        <w:pStyle w:val="Heading3"/>
        <w:spacing w:before="160" w:after="60"/>
      </w:pPr>
      <w:r>
        <w:rPr>
          <w:rFonts w:ascii="Times New Roman" w:hAnsi="Times New Roman" w:eastAsia="黑体"/>
          <w:b/>
          <w:i w:val="0"/>
          <w:sz w:val="24"/>
        </w:rPr>
        <w:t>10.3.3 求解方法</w:t>
      </w:r>
    </w:p>
    <w:p>
      <w:pPr>
        <w:spacing w:line="360" w:lineRule="auto" w:after="0"/>
        <w:ind w:firstLine="425"/>
      </w:pPr>
      <w:r>
        <w:rPr>
          <w:rFonts w:ascii="Times New Roman" w:hAnsi="Times New Roman" w:eastAsia="宋体"/>
          <w:b w:val="0"/>
          <w:i w:val="0"/>
          <w:sz w:val="22"/>
        </w:rPr>
        <w:t>联合优化问题可以通过以下方法求解：</w:t>
      </w:r>
    </w:p>
    <w:p>
      <w:pPr>
        <w:pStyle w:val="ListBullet"/>
        <w:spacing w:line="360" w:lineRule="auto" w:after="0"/>
      </w:pPr>
      <w:r>
        <w:rPr>
          <w:rFonts w:ascii="Times New Roman" w:hAnsi="Times New Roman" w:eastAsia="宋体"/>
          <w:b/>
          <w:i w:val="0"/>
          <w:sz w:val="22"/>
        </w:rPr>
        <w:t>拉格朗日松弛</w:t>
      </w:r>
      <w:r>
        <w:rPr>
          <w:rFonts w:ascii="Times New Roman" w:hAnsi="Times New Roman" w:eastAsia="宋体"/>
          <w:b w:val="0"/>
          <w:i w:val="0"/>
          <w:sz w:val="22"/>
        </w:rPr>
        <w:t>：将碳配额约束松弛，通过碳价（拉格朗日乘子）协调电力定价和碳交易</w:t>
      </w:r>
    </w:p>
    <w:p>
      <w:pPr>
        <w:pStyle w:val="ListBullet"/>
        <w:spacing w:line="360" w:lineRule="auto" w:after="0"/>
      </w:pPr>
      <w:r>
        <w:rPr>
          <w:rFonts w:ascii="Times New Roman" w:hAnsi="Times New Roman" w:eastAsia="宋体"/>
          <w:b/>
          <w:i w:val="0"/>
          <w:sz w:val="22"/>
        </w:rPr>
        <w:t>分层优化</w:t>
      </w:r>
      <w:r>
        <w:rPr>
          <w:rFonts w:ascii="Times New Roman" w:hAnsi="Times New Roman" w:eastAsia="宋体"/>
          <w:b w:val="0"/>
          <w:i w:val="0"/>
          <w:sz w:val="22"/>
        </w:rPr>
        <w:t>：上层优化碳交易策略，下层优化电力定价</w:t>
      </w:r>
    </w:p>
    <w:p>
      <w:pPr>
        <w:pStyle w:val="ListBullet"/>
        <w:spacing w:line="360" w:lineRule="auto" w:after="0"/>
      </w:pPr>
      <w:r>
        <w:rPr>
          <w:rFonts w:ascii="Times New Roman" w:hAnsi="Times New Roman" w:eastAsia="宋体"/>
          <w:b/>
          <w:i w:val="0"/>
          <w:sz w:val="22"/>
        </w:rPr>
        <w:t>场景法</w:t>
      </w:r>
      <w:r>
        <w:rPr>
          <w:rFonts w:ascii="Times New Roman" w:hAnsi="Times New Roman" w:eastAsia="宋体"/>
          <w:b w:val="0"/>
          <w:i w:val="0"/>
          <w:sz w:val="22"/>
        </w:rPr>
        <w:t>：考虑碳价和负荷的随机性，通过场景法求解随机规划问题</w:t>
      </w:r>
    </w:p>
    <w:p>
      <w:pPr>
        <w:pStyle w:val="Heading2"/>
        <w:spacing w:before="240" w:after="80"/>
      </w:pPr>
      <w:r>
        <w:rPr>
          <w:rFonts w:ascii="Times New Roman" w:hAnsi="Times New Roman" w:eastAsia="黑体"/>
          <w:b/>
          <w:i w:val="0"/>
          <w:sz w:val="28"/>
        </w:rPr>
        <w:t>10.4 绿电合同与实时定价</w:t>
      </w:r>
    </w:p>
    <w:p>
      <w:pPr>
        <w:pStyle w:val="Heading3"/>
        <w:spacing w:before="160" w:after="60"/>
      </w:pPr>
      <w:r>
        <w:rPr>
          <w:rFonts w:ascii="Times New Roman" w:hAnsi="Times New Roman" w:eastAsia="黑体"/>
          <w:b/>
          <w:i w:val="0"/>
          <w:sz w:val="24"/>
        </w:rPr>
        <w:t>10.4.1 绿电合同机制</w:t>
      </w:r>
    </w:p>
    <w:p>
      <w:pPr>
        <w:spacing w:line="360" w:lineRule="auto" w:after="0"/>
        <w:ind w:firstLine="425"/>
      </w:pPr>
      <w:r>
        <w:rPr>
          <w:rFonts w:ascii="Times New Roman" w:hAnsi="Times New Roman" w:eastAsia="宋体"/>
          <w:b w:val="0"/>
          <w:i w:val="0"/>
          <w:sz w:val="22"/>
        </w:rPr>
        <w:t>代业明研究了中断风险下最优绿电合同比例与实时定价机制</w:t>
      </w:r>
      <w:r>
        <w:rPr>
          <w:rFonts w:ascii="Times New Roman" w:hAnsi="Times New Roman" w:eastAsia="Times New Roman"/>
          <w:b w:val="0"/>
          <w:i w:val="0"/>
          <w:sz w:val="18"/>
          <w:vertAlign w:val="superscript"/>
        </w:rPr>
        <w:t>[3]</w:t>
      </w:r>
      <w:r>
        <w:rPr>
          <w:rFonts w:ascii="Times New Roman" w:hAnsi="Times New Roman" w:eastAsia="宋体"/>
          <w:b w:val="0"/>
          <w:i w:val="0"/>
          <w:sz w:val="22"/>
        </w:rPr>
        <w:t>。绿电合同允许用户以约定价格购买一定比例的绿色电力，具有以下特点：</w:t>
      </w:r>
    </w:p>
    <w:p>
      <w:pPr>
        <w:pStyle w:val="ListBullet"/>
        <w:spacing w:line="360" w:lineRule="auto" w:after="0"/>
      </w:pPr>
      <w:r>
        <w:rPr>
          <w:rFonts w:ascii="Times New Roman" w:hAnsi="Times New Roman" w:eastAsia="宋体"/>
          <w:b w:val="0"/>
          <w:i w:val="0"/>
          <w:sz w:val="22"/>
        </w:rPr>
        <w:t>用户通过绿电合同锁定部分电力价格</w:t>
      </w:r>
    </w:p>
    <w:p>
      <w:pPr>
        <w:pStyle w:val="ListBullet"/>
        <w:spacing w:line="360" w:lineRule="auto" w:after="0"/>
      </w:pPr>
      <w:r>
        <w:rPr>
          <w:rFonts w:ascii="Times New Roman" w:hAnsi="Times New Roman" w:eastAsia="宋体"/>
          <w:b w:val="0"/>
          <w:i w:val="0"/>
          <w:sz w:val="22"/>
        </w:rPr>
        <w:t>实时定价应用于合同外的用电量</w:t>
      </w:r>
    </w:p>
    <w:p>
      <w:pPr>
        <w:pStyle w:val="ListBullet"/>
        <w:spacing w:line="360" w:lineRule="auto" w:after="0"/>
      </w:pPr>
      <w:r>
        <w:rPr>
          <w:rFonts w:ascii="Times New Roman" w:hAnsi="Times New Roman" w:eastAsia="宋体"/>
          <w:b w:val="0"/>
          <w:i w:val="0"/>
          <w:sz w:val="22"/>
        </w:rPr>
        <w:t>绿电供应中断时需要调整定价策略</w:t>
      </w:r>
    </w:p>
    <w:p>
      <w:pPr>
        <w:pStyle w:val="Heading3"/>
        <w:spacing w:before="160" w:after="60"/>
      </w:pPr>
      <w:r>
        <w:rPr>
          <w:rFonts w:ascii="Times New Roman" w:hAnsi="Times New Roman" w:eastAsia="黑体"/>
          <w:b/>
          <w:i w:val="0"/>
          <w:sz w:val="24"/>
        </w:rPr>
        <w:t>10.4.2 最优绿电合同比例</w:t>
      </w:r>
    </w:p>
    <w:p>
      <w:pPr>
        <w:spacing w:line="360" w:lineRule="auto" w:after="0"/>
        <w:ind w:firstLine="425"/>
      </w:pPr>
      <w:r>
        <w:rPr>
          <w:rFonts w:ascii="Times New Roman" w:hAnsi="Times New Roman" w:eastAsia="宋体"/>
          <w:b w:val="0"/>
          <w:i w:val="0"/>
          <w:sz w:val="22"/>
        </w:rPr>
        <w:t>最优绿电合同比例的确定需要平衡：</w:t>
      </w:r>
    </w:p>
    <w:p>
      <w:pPr>
        <w:pStyle w:val="ListBullet"/>
        <w:spacing w:line="360" w:lineRule="auto" w:after="0"/>
      </w:pPr>
      <w:r>
        <w:rPr>
          <w:rFonts w:ascii="Times New Roman" w:hAnsi="Times New Roman" w:eastAsia="宋体"/>
          <w:b/>
          <w:i w:val="0"/>
          <w:sz w:val="22"/>
        </w:rPr>
        <w:t>价格风险</w:t>
      </w:r>
      <w:r>
        <w:rPr>
          <w:rFonts w:ascii="Times New Roman" w:hAnsi="Times New Roman" w:eastAsia="宋体"/>
          <w:b w:val="0"/>
          <w:i w:val="0"/>
          <w:sz w:val="22"/>
        </w:rPr>
        <w:t>：合同比例越高，用户价格风险越低</w:t>
      </w:r>
    </w:p>
    <w:p>
      <w:pPr>
        <w:pStyle w:val="ListBullet"/>
        <w:spacing w:line="360" w:lineRule="auto" w:after="0"/>
      </w:pPr>
      <w:r>
        <w:rPr>
          <w:rFonts w:ascii="Times New Roman" w:hAnsi="Times New Roman" w:eastAsia="宋体"/>
          <w:b/>
          <w:i w:val="0"/>
          <w:sz w:val="22"/>
        </w:rPr>
        <w:t>灵活性</w:t>
      </w:r>
      <w:r>
        <w:rPr>
          <w:rFonts w:ascii="Times New Roman" w:hAnsi="Times New Roman" w:eastAsia="宋体"/>
          <w:b w:val="0"/>
          <w:i w:val="0"/>
          <w:sz w:val="22"/>
        </w:rPr>
        <w:t>：合同比例越高，用电灵活性越低</w:t>
      </w:r>
    </w:p>
    <w:p>
      <w:pPr>
        <w:pStyle w:val="ListBullet"/>
        <w:spacing w:line="360" w:lineRule="auto" w:after="0"/>
      </w:pPr>
      <w:r>
        <w:rPr>
          <w:rFonts w:ascii="Times New Roman" w:hAnsi="Times New Roman" w:eastAsia="宋体"/>
          <w:b/>
          <w:i w:val="0"/>
          <w:sz w:val="22"/>
        </w:rPr>
        <w:t>中断风险</w:t>
      </w:r>
      <w:r>
        <w:rPr>
          <w:rFonts w:ascii="Times New Roman" w:hAnsi="Times New Roman" w:eastAsia="宋体"/>
          <w:b w:val="0"/>
          <w:i w:val="0"/>
          <w:sz w:val="22"/>
        </w:rPr>
        <w:t>：绿电供应中断时合同无法履行</w:t>
      </w:r>
    </w:p>
    <w:p>
      <w:pPr>
        <w:spacing w:line="360" w:lineRule="auto" w:after="0"/>
        <w:ind w:firstLine="425"/>
      </w:pPr>
      <w:r>
        <w:rPr>
          <w:rFonts w:ascii="Times New Roman" w:hAnsi="Times New Roman" w:eastAsia="宋体"/>
          <w:b w:val="0"/>
          <w:i w:val="0"/>
          <w:sz w:val="22"/>
        </w:rPr>
        <w:t>代业明的研究通过优化模型求解最优绿电合同比例，使社会福利在考虑中断风险的情况下最大化</w:t>
      </w:r>
      <w:r>
        <w:rPr>
          <w:rFonts w:ascii="Times New Roman" w:hAnsi="Times New Roman" w:eastAsia="Times New Roman"/>
          <w:b w:val="0"/>
          <w:i w:val="0"/>
          <w:sz w:val="18"/>
          <w:vertAlign w:val="superscript"/>
        </w:rPr>
        <w:t>[3]</w:t>
      </w:r>
      <w:r>
        <w:rPr>
          <w:rFonts w:ascii="Times New Roman" w:hAnsi="Times New Roman" w:eastAsia="宋体"/>
          <w:b w:val="0"/>
          <w:i w:val="0"/>
          <w:sz w:val="22"/>
        </w:rPr>
        <w:t>。</w:t>
      </w:r>
    </w:p>
    <w:p>
      <w:pPr>
        <w:pStyle w:val="Heading2"/>
        <w:spacing w:before="240" w:after="80"/>
      </w:pPr>
      <w:r>
        <w:rPr>
          <w:rFonts w:ascii="Times New Roman" w:hAnsi="Times New Roman" w:eastAsia="黑体"/>
          <w:b/>
          <w:i w:val="0"/>
          <w:sz w:val="28"/>
        </w:rPr>
        <w:t>10.5 低碳激励与定价策略</w:t>
      </w:r>
    </w:p>
    <w:p>
      <w:pPr>
        <w:pStyle w:val="Heading3"/>
        <w:spacing w:before="160" w:after="60"/>
      </w:pPr>
      <w:r>
        <w:rPr>
          <w:rFonts w:ascii="Times New Roman" w:hAnsi="Times New Roman" w:eastAsia="黑体"/>
          <w:b/>
          <w:i w:val="0"/>
          <w:sz w:val="24"/>
        </w:rPr>
        <w:t>10.5.1 低碳电价设计</w:t>
      </w:r>
    </w:p>
    <w:p>
      <w:pPr>
        <w:spacing w:line="360" w:lineRule="auto" w:after="0"/>
        <w:ind w:firstLine="425"/>
      </w:pPr>
      <w:r>
        <w:rPr>
          <w:rFonts w:ascii="Times New Roman" w:hAnsi="Times New Roman" w:eastAsia="宋体"/>
          <w:b w:val="0"/>
          <w:i w:val="0"/>
          <w:sz w:val="22"/>
        </w:rPr>
        <w:t>低碳电价是在实时定价中内化碳排放成本的定价机制：</w:t>
      </w:r>
    </w:p>
    <w:p>
      <w:pPr>
        <w:pStyle w:val="ListBullet"/>
        <w:spacing w:line="360" w:lineRule="auto" w:after="0"/>
      </w:pPr>
      <w:r>
        <w:rPr>
          <w:rFonts w:ascii="Times New Roman" w:hAnsi="Times New Roman" w:eastAsia="宋体"/>
          <w:b w:val="0"/>
          <w:i w:val="0"/>
          <w:sz w:val="22"/>
        </w:rPr>
        <w:t>对高碳电源设定较高的电价</w:t>
      </w:r>
    </w:p>
    <w:p>
      <w:pPr>
        <w:pStyle w:val="ListBullet"/>
        <w:spacing w:line="360" w:lineRule="auto" w:after="0"/>
      </w:pPr>
      <w:r>
        <w:rPr>
          <w:rFonts w:ascii="Times New Roman" w:hAnsi="Times New Roman" w:eastAsia="宋体"/>
          <w:b w:val="0"/>
          <w:i w:val="0"/>
          <w:sz w:val="22"/>
        </w:rPr>
        <w:t>对低碳电源设定较低的电价</w:t>
      </w:r>
    </w:p>
    <w:p>
      <w:pPr>
        <w:pStyle w:val="ListBullet"/>
        <w:spacing w:line="360" w:lineRule="auto" w:after="0"/>
      </w:pPr>
      <w:r>
        <w:rPr>
          <w:rFonts w:ascii="Times New Roman" w:hAnsi="Times New Roman" w:eastAsia="宋体"/>
          <w:b w:val="0"/>
          <w:i w:val="0"/>
          <w:sz w:val="22"/>
        </w:rPr>
        <w:t>通过价格差异引导用户偏好低碳电力</w:t>
      </w:r>
    </w:p>
    <w:p>
      <w:pPr>
        <w:pStyle w:val="Heading3"/>
        <w:spacing w:before="160" w:after="60"/>
      </w:pPr>
      <w:r>
        <w:rPr>
          <w:rFonts w:ascii="Times New Roman" w:hAnsi="Times New Roman" w:eastAsia="黑体"/>
          <w:b/>
          <w:i w:val="0"/>
          <w:sz w:val="24"/>
        </w:rPr>
        <w:t>10.5.2 用户低碳行为激励</w:t>
      </w:r>
    </w:p>
    <w:p>
      <w:pPr>
        <w:spacing w:line="360" w:lineRule="auto" w:after="0"/>
        <w:ind w:firstLine="425"/>
      </w:pPr>
      <w:r>
        <w:rPr>
          <w:rFonts w:ascii="Times New Roman" w:hAnsi="Times New Roman" w:eastAsia="宋体"/>
          <w:b w:val="0"/>
          <w:i w:val="0"/>
          <w:sz w:val="22"/>
        </w:rPr>
        <w:t>通过实时定价激励用户的低碳用电行为：</w:t>
      </w:r>
    </w:p>
    <w:p>
      <w:pPr>
        <w:pStyle w:val="ListBullet"/>
        <w:spacing w:line="360" w:lineRule="auto" w:after="0"/>
      </w:pPr>
      <w:r>
        <w:rPr>
          <w:rFonts w:ascii="Times New Roman" w:hAnsi="Times New Roman" w:eastAsia="宋体"/>
          <w:b w:val="0"/>
          <w:i w:val="0"/>
          <w:sz w:val="22"/>
        </w:rPr>
        <w:t>在可再生能源出力充足时降低电价，鼓励用户增加用电</w:t>
      </w:r>
    </w:p>
    <w:p>
      <w:pPr>
        <w:pStyle w:val="ListBullet"/>
        <w:spacing w:line="360" w:lineRule="auto" w:after="0"/>
      </w:pPr>
      <w:r>
        <w:rPr>
          <w:rFonts w:ascii="Times New Roman" w:hAnsi="Times New Roman" w:eastAsia="宋体"/>
          <w:b w:val="0"/>
          <w:i w:val="0"/>
          <w:sz w:val="22"/>
        </w:rPr>
        <w:t>在化石能源发电占比高时提高电价，抑制用电</w:t>
      </w:r>
    </w:p>
    <w:p>
      <w:pPr>
        <w:pStyle w:val="ListBullet"/>
        <w:spacing w:line="360" w:lineRule="auto" w:after="0"/>
      </w:pPr>
      <w:r>
        <w:rPr>
          <w:rFonts w:ascii="Times New Roman" w:hAnsi="Times New Roman" w:eastAsia="宋体"/>
          <w:b w:val="0"/>
          <w:i w:val="0"/>
          <w:sz w:val="22"/>
        </w:rPr>
        <w:t>通过碳排放信息披露增强用户的环保意识</w:t>
      </w:r>
    </w:p>
    <w:p>
      <w:pPr>
        <w:pStyle w:val="Heading3"/>
        <w:spacing w:before="160" w:after="60"/>
      </w:pPr>
      <w:r>
        <w:rPr>
          <w:rFonts w:ascii="Times New Roman" w:hAnsi="Times New Roman" w:eastAsia="黑体"/>
          <w:b/>
          <w:i w:val="0"/>
          <w:sz w:val="24"/>
        </w:rPr>
        <w:t>10.5.3 Ye等（2021）的可再生能源投资</w:t>
      </w:r>
    </w:p>
    <w:p>
      <w:pPr>
        <w:spacing w:line="360" w:lineRule="auto" w:after="0"/>
        <w:ind w:firstLine="425"/>
      </w:pPr>
      <w:r>
        <w:rPr>
          <w:rFonts w:ascii="Times New Roman" w:hAnsi="Times New Roman" w:eastAsia="宋体"/>
          <w:b w:val="0"/>
          <w:i w:val="0"/>
          <w:sz w:val="22"/>
        </w:rPr>
        <w:t>Ye等（2021）研究了基于时间一致性的电力企业可再生能源投资问题</w:t>
      </w:r>
      <w:r>
        <w:rPr>
          <w:rFonts w:ascii="Times New Roman" w:hAnsi="Times New Roman" w:eastAsia="Times New Roman"/>
          <w:b w:val="0"/>
          <w:i w:val="0"/>
          <w:sz w:val="18"/>
          <w:vertAlign w:val="superscript"/>
        </w:rPr>
        <w:t>[4]</w:t>
      </w:r>
      <w:r>
        <w:rPr>
          <w:rFonts w:ascii="Times New Roman" w:hAnsi="Times New Roman" w:eastAsia="宋体"/>
          <w:b w:val="0"/>
          <w:i w:val="0"/>
          <w:sz w:val="22"/>
        </w:rPr>
        <w:t>。该研究将可再生能源投资决策与实时定价策略相结合，为电力企业的低碳转型提供了决策支持。</w:t>
      </w:r>
    </w:p>
    <w:p>
      <w:pPr>
        <w:pStyle w:val="Heading2"/>
        <w:spacing w:before="240" w:after="80"/>
      </w:pPr>
      <w:r>
        <w:rPr>
          <w:rFonts w:ascii="Times New Roman" w:hAnsi="Times New Roman" w:eastAsia="黑体"/>
          <w:b/>
          <w:i w:val="0"/>
          <w:sz w:val="28"/>
        </w:rPr>
        <w:t>本章小结</w:t>
      </w:r>
    </w:p>
    <w:p>
      <w:pPr>
        <w:spacing w:line="360" w:lineRule="auto" w:after="0"/>
        <w:ind w:firstLine="425"/>
      </w:pPr>
      <w:r>
        <w:rPr>
          <w:rFonts w:ascii="Times New Roman" w:hAnsi="Times New Roman" w:eastAsia="宋体"/>
          <w:b w:val="0"/>
          <w:i w:val="0"/>
          <w:sz w:val="22"/>
        </w:rPr>
        <w:t>碳交易与绿色能源协同定价是智能电网实时定价的前沿方向。全国碳市场的启动使得碳排放成本内化成为定价策略的重要组成部分。Phase1项目系统探索了碳交易与RTP的联合优化方法。绿电合同和低碳激励机制为用户参与低碳转型提供了经济激励。随着"双碳"目标的推进，碳交易与实时定价的协同优化将成为智能电网定价研究的核心议题。</w:t>
      </w:r>
    </w:p>
    <w:p>
      <w:pPr>
        <w:pStyle w:val="Heading2"/>
        <w:spacing w:before="240" w:after="80"/>
      </w:pPr>
      <w:r>
        <w:rPr>
          <w:rFonts w:ascii="Times New Roman" w:hAnsi="Times New Roman" w:eastAsia="黑体"/>
          <w:b/>
          <w:i w:val="0"/>
          <w:sz w:val="28"/>
        </w:rPr>
        <w:t>10.6 国际比较与经验借鉴</w:t>
      </w:r>
    </w:p>
    <w:p>
      <w:pPr>
        <w:pStyle w:val="Heading3"/>
        <w:spacing w:before="160" w:after="60"/>
      </w:pPr>
      <w:r>
        <w:rPr>
          <w:rFonts w:ascii="Times New Roman" w:hAnsi="Times New Roman" w:eastAsia="黑体"/>
          <w:b/>
          <w:i w:val="0"/>
          <w:sz w:val="24"/>
        </w:rPr>
        <w:t>欧盟碳排放交易体系（EU ETS）</w:t>
      </w:r>
    </w:p>
    <w:p>
      <w:pPr>
        <w:spacing w:line="360" w:lineRule="auto" w:after="0"/>
        <w:ind w:firstLine="425"/>
      </w:pPr>
      <w:r>
        <w:rPr>
          <w:rFonts w:ascii="Times New Roman" w:hAnsi="Times New Roman" w:eastAsia="宋体"/>
          <w:b w:val="0"/>
          <w:i w:val="0"/>
          <w:sz w:val="22"/>
        </w:rPr>
        <w:t>欧盟碳排放交易体系（EU ETS）是全球最早和最大的碳交易市场，覆盖电力和工业部门约45%的温室气体排放。Chakraborty（2025）分析了EU ETS的效率、价格行为和市场稳定性。</w:t>
      </w:r>
    </w:p>
    <w:p>
      <w:pPr>
        <w:spacing w:line="360" w:lineRule="auto" w:after="0"/>
        <w:ind w:firstLine="425"/>
      </w:pPr>
      <w:r>
        <w:rPr>
          <w:rFonts w:ascii="Times New Roman" w:hAnsi="Times New Roman" w:eastAsia="宋体"/>
          <w:b/>
          <w:i w:val="0"/>
          <w:sz w:val="22"/>
        </w:rPr>
        <w:t>EU ETS对电力定价的影响</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碳价通过提高化石能源发电成本传导至电价</w:t>
      </w:r>
    </w:p>
    <w:p>
      <w:pPr>
        <w:pStyle w:val="ListBullet"/>
        <w:spacing w:line="360" w:lineRule="auto" w:after="0"/>
      </w:pPr>
      <w:r>
        <w:rPr>
          <w:rFonts w:ascii="Times New Roman" w:hAnsi="Times New Roman" w:eastAsia="宋体"/>
          <w:b w:val="0"/>
          <w:i w:val="0"/>
          <w:sz w:val="22"/>
        </w:rPr>
        <w:t>碳价信号促使发电商从煤炭转向天然气和可再生能源</w:t>
      </w:r>
    </w:p>
    <w:p>
      <w:pPr>
        <w:pStyle w:val="ListBullet"/>
        <w:spacing w:line="360" w:lineRule="auto" w:after="0"/>
      </w:pPr>
      <w:r>
        <w:rPr>
          <w:rFonts w:ascii="Times New Roman" w:hAnsi="Times New Roman" w:eastAsia="宋体"/>
          <w:b w:val="0"/>
          <w:i w:val="0"/>
          <w:sz w:val="22"/>
        </w:rPr>
        <w:t>碳价波动增加了电价的不确定性</w:t>
      </w:r>
    </w:p>
    <w:p>
      <w:pPr>
        <w:spacing w:line="360" w:lineRule="auto" w:after="0"/>
        <w:ind w:firstLine="425"/>
      </w:pPr>
      <w:r>
        <w:rPr>
          <w:rFonts w:ascii="Times New Roman" w:hAnsi="Times New Roman" w:eastAsia="宋体"/>
          <w:b/>
          <w:i w:val="0"/>
          <w:sz w:val="22"/>
        </w:rPr>
        <w:t>EU ETS的经验启示</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碳市场需要稳定的政策预期</w:t>
      </w:r>
    </w:p>
    <w:p>
      <w:pPr>
        <w:pStyle w:val="ListBullet"/>
        <w:spacing w:line="360" w:lineRule="auto" w:after="0"/>
      </w:pPr>
      <w:r>
        <w:rPr>
          <w:rFonts w:ascii="Times New Roman" w:hAnsi="Times New Roman" w:eastAsia="宋体"/>
          <w:b w:val="0"/>
          <w:i w:val="0"/>
          <w:sz w:val="22"/>
        </w:rPr>
        <w:t>市场稳定机制（MSR）对于防止碳价过度波动至关重要</w:t>
      </w:r>
    </w:p>
    <w:p>
      <w:pPr>
        <w:pStyle w:val="ListBullet"/>
        <w:spacing w:line="360" w:lineRule="auto" w:after="0"/>
      </w:pPr>
      <w:r>
        <w:rPr>
          <w:rFonts w:ascii="Times New Roman" w:hAnsi="Times New Roman" w:eastAsia="宋体"/>
          <w:b w:val="0"/>
          <w:i w:val="0"/>
          <w:sz w:val="22"/>
        </w:rPr>
        <w:t>碳市场的覆盖范围需要逐步扩大</w:t>
      </w:r>
    </w:p>
    <w:p>
      <w:pPr>
        <w:pStyle w:val="Heading3"/>
        <w:spacing w:before="160" w:after="60"/>
      </w:pPr>
      <w:r>
        <w:rPr>
          <w:rFonts w:ascii="Times New Roman" w:hAnsi="Times New Roman" w:eastAsia="黑体"/>
          <w:b/>
          <w:i w:val="0"/>
          <w:sz w:val="24"/>
        </w:rPr>
        <w:t>中国全国碳市场</w:t>
      </w:r>
    </w:p>
    <w:p>
      <w:pPr>
        <w:spacing w:line="360" w:lineRule="auto" w:after="0"/>
        <w:ind w:firstLine="425"/>
      </w:pPr>
      <w:r>
        <w:rPr>
          <w:rFonts w:ascii="Times New Roman" w:hAnsi="Times New Roman" w:eastAsia="宋体"/>
          <w:b w:val="0"/>
          <w:i w:val="0"/>
          <w:sz w:val="22"/>
        </w:rPr>
        <w:t>中国全国碳市场于2021年7月正式启动，首批纳入发电行业。截至2024年，覆盖超过2000家发电企业，碳排放量约50亿吨/年。</w:t>
      </w:r>
    </w:p>
    <w:p>
      <w:pPr>
        <w:spacing w:line="360" w:lineRule="auto" w:after="0"/>
        <w:ind w:firstLine="425"/>
      </w:pPr>
      <w:r>
        <w:rPr>
          <w:rFonts w:ascii="Times New Roman" w:hAnsi="Times New Roman" w:eastAsia="宋体"/>
          <w:b/>
          <w:i w:val="0"/>
          <w:sz w:val="22"/>
        </w:rPr>
        <w:t>中国碳市场的特点</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以强度为基础的配额分配（而非总量控制）</w:t>
      </w:r>
    </w:p>
    <w:p>
      <w:pPr>
        <w:pStyle w:val="ListBullet"/>
        <w:spacing w:line="360" w:lineRule="auto" w:after="0"/>
      </w:pPr>
      <w:r>
        <w:rPr>
          <w:rFonts w:ascii="Times New Roman" w:hAnsi="Times New Roman" w:eastAsia="宋体"/>
          <w:b w:val="0"/>
          <w:i w:val="0"/>
          <w:sz w:val="22"/>
        </w:rPr>
        <w:t>目前仅覆盖发电行业，未来将逐步扩大到其他行业</w:t>
      </w:r>
    </w:p>
    <w:p>
      <w:pPr>
        <w:pStyle w:val="ListBullet"/>
        <w:spacing w:line="360" w:lineRule="auto" w:after="0"/>
      </w:pPr>
      <w:r>
        <w:rPr>
          <w:rFonts w:ascii="Times New Roman" w:hAnsi="Times New Roman" w:eastAsia="宋体"/>
          <w:b w:val="0"/>
          <w:i w:val="0"/>
          <w:sz w:val="22"/>
        </w:rPr>
        <w:t>碳价相对较低（约50-100元/吨CO2），低于EU ETS（约60-100欧元/吨）</w:t>
      </w:r>
    </w:p>
    <w:p>
      <w:pPr>
        <w:spacing w:line="360" w:lineRule="auto" w:after="0"/>
        <w:ind w:firstLine="425"/>
      </w:pPr>
      <w:r>
        <w:rPr>
          <w:rFonts w:ascii="Times New Roman" w:hAnsi="Times New Roman" w:eastAsia="宋体"/>
          <w:b/>
          <w:i w:val="0"/>
          <w:sz w:val="22"/>
        </w:rPr>
        <w:t>对实时定价的影响</w:t>
      </w:r>
      <w:r>
        <w:rPr>
          <w:rFonts w:ascii="Times New Roman" w:hAnsi="Times New Roman" w:eastAsia="宋体"/>
          <w:b w:val="0"/>
          <w:i w:val="0"/>
          <w:sz w:val="22"/>
        </w:rPr>
        <w:t>：中国碳市场对电力实时定价的影响仍在初期阶段。随着碳价上升和市场机制完善，碳成本将逐步内化到电价中。</w:t>
      </w:r>
    </w:p>
    <w:p>
      <w:pPr>
        <w:pStyle w:val="Heading3"/>
        <w:spacing w:before="160" w:after="60"/>
      </w:pPr>
      <w:r>
        <w:rPr>
          <w:rFonts w:ascii="Times New Roman" w:hAnsi="Times New Roman" w:eastAsia="黑体"/>
          <w:b/>
          <w:i w:val="0"/>
          <w:sz w:val="24"/>
        </w:rPr>
        <w:t>电-碳-绿证市场耦合</w:t>
      </w:r>
    </w:p>
    <w:p>
      <w:pPr>
        <w:spacing w:line="360" w:lineRule="auto" w:after="0"/>
        <w:ind w:firstLine="425"/>
      </w:pPr>
      <w:r>
        <w:rPr>
          <w:rFonts w:ascii="Times New Roman" w:hAnsi="Times New Roman" w:eastAsia="宋体"/>
          <w:b w:val="0"/>
          <w:i w:val="0"/>
          <w:sz w:val="22"/>
        </w:rPr>
        <w:t>最新的研究方向是电-碳-绿证三市场耦合定价：</w:t>
      </w:r>
    </w:p>
    <w:p>
      <w:pPr>
        <w:spacing w:line="360" w:lineRule="auto" w:after="0"/>
        <w:ind w:firstLine="425"/>
      </w:pPr>
      <w:r>
        <w:rPr>
          <w:rFonts w:ascii="Times New Roman" w:hAnsi="Times New Roman" w:eastAsia="宋体"/>
          <w:b/>
          <w:i w:val="0"/>
          <w:sz w:val="22"/>
        </w:rPr>
        <w:t>耦合机制</w:t>
      </w:r>
      <w:r>
        <w:rPr>
          <w:rFonts w:ascii="Times New Roman" w:hAnsi="Times New Roman" w:eastAsia="宋体"/>
          <w:b w:val="0"/>
          <w:i w:val="0"/>
          <w:sz w:val="22"/>
        </w:rPr>
        <w:t>：电力市场、碳市场和绿色电力证书（绿证）市场之间存在复杂的交互关系。绿证价格反映可再生能源的环境属性价值，碳价反映碳排放的社会成本，电价反映电力的商品价值。</w:t>
      </w:r>
    </w:p>
    <w:p>
      <w:pPr>
        <w:spacing w:line="360" w:lineRule="auto" w:after="0"/>
        <w:ind w:firstLine="425"/>
      </w:pPr>
      <w:r>
        <w:rPr>
          <w:rFonts w:ascii="Times New Roman" w:hAnsi="Times New Roman" w:eastAsia="宋体"/>
          <w:b/>
          <w:i w:val="0"/>
          <w:sz w:val="22"/>
        </w:rPr>
        <w:t>Stackelberg博弈模型</w:t>
      </w:r>
      <w:r>
        <w:rPr>
          <w:rFonts w:ascii="Times New Roman" w:hAnsi="Times New Roman" w:eastAsia="宋体"/>
          <w:b w:val="0"/>
          <w:i w:val="0"/>
          <w:sz w:val="22"/>
        </w:rPr>
        <w:t>：国内研究者提出了电-碳-绿证交易耦合下多虚拟电厂动态定价模型，以配电网运营商（DSO）为领导者、多个VPP为跟随者，建立Stackelberg博弈模型分析耦合市场中的动态定价机制。</w:t>
      </w:r>
    </w:p>
    <w:p>
      <w:pPr>
        <w:spacing w:line="360" w:lineRule="auto" w:after="0"/>
        <w:ind w:firstLine="425"/>
      </w:pPr>
      <w:r>
        <w:rPr>
          <w:rFonts w:ascii="Times New Roman" w:hAnsi="Times New Roman" w:eastAsia="宋体"/>
          <w:b/>
          <w:i w:val="0"/>
          <w:sz w:val="22"/>
        </w:rPr>
        <w:t>绿证-碳交易等价交互</w:t>
      </w:r>
      <w:r>
        <w:rPr>
          <w:rFonts w:ascii="Times New Roman" w:hAnsi="Times New Roman" w:eastAsia="宋体"/>
          <w:b w:val="0"/>
          <w:i w:val="0"/>
          <w:sz w:val="22"/>
        </w:rPr>
        <w:t>：国内研究者提出了基于绿证-碳交易等价交互的综合能源系统低碳优化调度策略，建立了绿证市场与碳市场的交互机制。</w:t>
      </w:r>
    </w:p>
    <w:p>
      <w:pPr>
        <w:pStyle w:val="Heading3"/>
        <w:spacing w:before="160" w:after="60"/>
      </w:pPr>
      <w:r>
        <w:rPr>
          <w:rFonts w:ascii="Times New Roman" w:hAnsi="Times New Roman" w:eastAsia="黑体"/>
          <w:b/>
          <w:i w:val="0"/>
          <w:sz w:val="24"/>
        </w:rPr>
        <w:t>Mao等（2026）的动态碳交易</w:t>
      </w:r>
    </w:p>
    <w:p>
      <w:pPr>
        <w:spacing w:line="360" w:lineRule="auto" w:after="0"/>
        <w:ind w:firstLine="425"/>
      </w:pPr>
      <w:r>
        <w:rPr>
          <w:rFonts w:ascii="Times New Roman" w:hAnsi="Times New Roman" w:eastAsia="宋体"/>
          <w:b w:val="0"/>
          <w:i w:val="0"/>
          <w:sz w:val="22"/>
        </w:rPr>
        <w:t>Mao等（2026）研究了考虑动态能效和动态碳交易的综合能源系统需求响应优化经济调度。该研究的创新在于：</w:t>
      </w:r>
    </w:p>
    <w:p>
      <w:pPr>
        <w:pStyle w:val="ListBullet"/>
        <w:spacing w:line="360" w:lineRule="auto" w:after="0"/>
      </w:pPr>
      <w:r>
        <w:rPr>
          <w:rFonts w:ascii="Times New Roman" w:hAnsi="Times New Roman" w:eastAsia="宋体"/>
          <w:b w:val="0"/>
          <w:i w:val="0"/>
          <w:sz w:val="22"/>
        </w:rPr>
        <w:t>将碳交易机制内嵌到实时定价框架</w:t>
      </w:r>
    </w:p>
    <w:p>
      <w:pPr>
        <w:pStyle w:val="ListBullet"/>
        <w:spacing w:line="360" w:lineRule="auto" w:after="0"/>
      </w:pPr>
      <w:r>
        <w:rPr>
          <w:rFonts w:ascii="Times New Roman" w:hAnsi="Times New Roman" w:eastAsia="宋体"/>
          <w:b w:val="0"/>
          <w:i w:val="0"/>
          <w:sz w:val="22"/>
        </w:rPr>
        <w:t>考虑了能源效率的动态变化</w:t>
      </w:r>
    </w:p>
    <w:p>
      <w:pPr>
        <w:pStyle w:val="ListBullet"/>
        <w:spacing w:line="360" w:lineRule="auto" w:after="0"/>
      </w:pPr>
      <w:r>
        <w:rPr>
          <w:rFonts w:ascii="Times New Roman" w:hAnsi="Times New Roman" w:eastAsia="宋体"/>
          <w:b w:val="0"/>
          <w:i w:val="0"/>
          <w:sz w:val="22"/>
        </w:rPr>
        <w:t>通过需求响应优化碳排放和经济效益</w:t>
      </w:r>
    </w:p>
    <w:p>
      <w:pPr>
        <w:pStyle w:val="Heading2"/>
        <w:spacing w:before="240" w:after="80"/>
      </w:pPr>
      <w:r>
        <w:rPr>
          <w:rFonts w:ascii="Times New Roman" w:hAnsi="Times New Roman" w:eastAsia="黑体"/>
          <w:b/>
          <w:i w:val="0"/>
          <w:sz w:val="28"/>
        </w:rPr>
        <w:t>10.7 实践案例深度分析</w:t>
      </w:r>
    </w:p>
    <w:p>
      <w:pPr>
        <w:pStyle w:val="Heading3"/>
        <w:spacing w:before="160" w:after="60"/>
      </w:pPr>
      <w:r>
        <w:rPr>
          <w:rFonts w:ascii="Times New Roman" w:hAnsi="Times New Roman" w:eastAsia="黑体"/>
          <w:b/>
          <w:i w:val="0"/>
          <w:sz w:val="24"/>
        </w:rPr>
        <w:t>案例1：Phase1碳交易RTP联合优化项目</w:t>
      </w:r>
    </w:p>
    <w:p>
      <w:pPr>
        <w:spacing w:line="360" w:lineRule="auto" w:after="0"/>
        <w:ind w:firstLine="425"/>
      </w:pPr>
      <w:r>
        <w:rPr>
          <w:rFonts w:ascii="Times New Roman" w:hAnsi="Times New Roman" w:eastAsia="宋体"/>
          <w:b w:val="0"/>
          <w:i w:val="0"/>
          <w:sz w:val="22"/>
        </w:rPr>
        <w:t>知识库中的Phase1_碳交易RTP联合优化项目系统验证了碳交易与实时定价联合优化的效果：</w:t>
      </w:r>
    </w:p>
    <w:p>
      <w:pPr>
        <w:spacing w:line="360" w:lineRule="auto" w:after="0"/>
        <w:ind w:firstLine="425"/>
      </w:pPr>
      <w:r>
        <w:rPr>
          <w:rFonts w:ascii="Times New Roman" w:hAnsi="Times New Roman" w:eastAsia="宋体"/>
          <w:b/>
          <w:i w:val="0"/>
          <w:sz w:val="22"/>
        </w:rPr>
        <w:t>实验设置</w:t>
      </w:r>
      <w:r>
        <w:rPr>
          <w:rFonts w:ascii="Times New Roman" w:hAnsi="Times New Roman" w:eastAsia="宋体"/>
          <w:b w:val="0"/>
          <w:i w:val="0"/>
          <w:sz w:val="22"/>
        </w:rPr>
        <w:t>：500个用户，3类发电机组（煤电、气电、风电），碳配额5000吨/天。</w:t>
      </w:r>
    </w:p>
    <w:p>
      <w:pPr>
        <w:spacing w:line="360" w:lineRule="auto" w:after="0"/>
        <w:ind w:firstLine="425"/>
      </w:pPr>
      <w:r>
        <w:rPr>
          <w:rFonts w:ascii="Times New Roman" w:hAnsi="Times New Roman" w:eastAsia="宋体"/>
          <w:b/>
          <w:i w:val="0"/>
          <w:sz w:val="22"/>
        </w:rPr>
        <w:t>联合优化模型</w:t>
      </w:r>
      <w:r>
        <w:rPr>
          <w:rFonts w:ascii="Times New Roman" w:hAnsi="Times New Roman" w:eastAsia="宋体"/>
          <w:b w:val="0"/>
          <w:i w:val="0"/>
          <w:sz w:val="22"/>
        </w:rPr>
        <w:t>：</w:t>
      </w:r>
    </w:p>
    <w:p>
      <w:pPr>
        <w:spacing w:before="80" w:after="80"/>
        <w:jc w:val="center"/>
      </w:pPr>
      <m:oMathPara>
        <m:oMath>
          <m:r>
            <m:t>max</m:t>
          </m:r>
          <m:nary>
            <m:naryPr>
              <m:chr m:val="∑"/>
              <m:limLoc m:val="subSup"/>
              <m:grow m:val="1"/>
              <m:subHide m:val="off"/>
              <m:supHide m:val="on"/>
            </m:naryPr>
            <m:sub>
              <m:r>
                <m:t>i</m:t>
              </m:r>
            </m:sub>
            <m:sup/>
            <m:e>
              <m:sSub>
                <m:e>
                  <m:r>
                    <m:t>U</m:t>
                  </m:r>
                </m:e>
                <m:sub>
                  <m:r>
                    <m:t>i</m:t>
                  </m:r>
                </m:sub>
              </m:sSub>
            </m:e>
          </m:nary>
          <m:r>
            <m:t>(</m:t>
          </m:r>
          <m:sSub>
            <m:e>
              <m:r>
                <m:t>x</m:t>
              </m:r>
            </m:e>
            <m:sub>
              <m:r>
                <m:t>i</m:t>
              </m:r>
            </m:sub>
          </m:sSub>
          <m:r>
            <m:t>)−</m:t>
          </m:r>
          <m:sSub>
            <m:e>
              <m:r>
                <m:t>C</m:t>
              </m:r>
            </m:e>
            <m:sub>
              <m:r>
                <m:rPr>
                  <m:nor/>
                </m:rPr>
                <m:t>elec</m:t>
              </m:r>
            </m:sub>
          </m:sSub>
          <m:r>
            <m:t>(Q)−</m:t>
          </m:r>
          <m:sSub>
            <m:e>
              <m:r>
                <m:t>p</m:t>
              </m:r>
            </m:e>
            <m:sub>
              <m:r>
                <m:t>c</m:t>
              </m:r>
            </m:sub>
          </m:sSub>
          <m:r>
            <m:t>·E</m:t>
          </m:r>
        </m:oMath>
      </m:oMathPara>
    </w:p>
    <w:p>
      <w:pPr>
        <w:spacing w:before="80" w:after="80"/>
        <w:jc w:val="center"/>
      </w:pPr>
      <m:oMathPara>
        <m:oMath>
          <m:r>
            <m:rPr>
              <m:nor/>
            </m:rPr>
            <m:t>s.t.</m:t>
          </m:r>
          <m:r>
            <m:t>E=</m:t>
          </m:r>
          <m:nary>
            <m:naryPr>
              <m:chr m:val="∑"/>
              <m:limLoc m:val="subSup"/>
              <m:grow m:val="1"/>
              <m:subHide m:val="off"/>
              <m:supHide m:val="on"/>
            </m:naryPr>
            <m:sub>
              <m:r>
                <m:t>j</m:t>
              </m:r>
            </m:sub>
            <m:sup/>
            <m:e>
              <m:sSub>
                <m:e>
                  <m:r>
                    <m:t>e</m:t>
                  </m:r>
                </m:e>
                <m:sub>
                  <m:r>
                    <m:t>j</m:t>
                  </m:r>
                </m:sub>
              </m:sSub>
            </m:e>
          </m:nary>
          <m:r>
            <m:t>·</m:t>
          </m:r>
          <m:sSub>
            <m:e>
              <m:r>
                <m:t>y</m:t>
              </m:r>
            </m:e>
            <m:sub>
              <m:r>
                <m:t>j</m:t>
              </m:r>
            </m:sub>
          </m:sSub>
          <m:r>
            <m:t>≤</m:t>
          </m:r>
          <m:sSub>
            <m:e>
              <m:r>
                <m:t>E</m:t>
              </m:r>
            </m:e>
            <m:sub>
              <m:r>
                <m:t>max</m:t>
              </m:r>
            </m:sub>
          </m:sSub>
        </m:oMath>
      </m:oMathPara>
    </w:p>
    <w:p>
      <w:pPr>
        <w:spacing w:line="360" w:lineRule="auto" w:after="0"/>
        <w:ind w:firstLine="0"/>
      </w:pPr>
      <w:r>
        <w:rPr>
          <w:rFonts w:ascii="Times New Roman" w:hAnsi="Times New Roman" w:eastAsia="宋体"/>
          <w:b w:val="0"/>
          <w:i w:val="0"/>
          <w:sz w:val="22"/>
        </w:rPr>
        <w:t>其中p_c是碳价，E是总碳排放量，e_j是机组j的排放因子，y_j是机组j的发电量。</w:t>
      </w:r>
    </w:p>
    <w:p>
      <w:pPr>
        <w:spacing w:line="360" w:lineRule="auto" w:after="0"/>
        <w:ind w:firstLine="425"/>
      </w:pPr>
      <w:r>
        <w:rPr>
          <w:rFonts w:ascii="Times New Roman" w:hAnsi="Times New Roman" w:eastAsia="宋体"/>
          <w:b/>
          <w:i w:val="0"/>
          <w:sz w:val="22"/>
        </w:rPr>
        <w:t>仿真结果</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碳价50元/吨时，煤电占比从60%降至52%，风电占比从20%升至28%</w:t>
      </w:r>
    </w:p>
    <w:p>
      <w:pPr>
        <w:pStyle w:val="ListBullet"/>
        <w:spacing w:line="360" w:lineRule="auto" w:after="0"/>
      </w:pPr>
      <w:r>
        <w:rPr>
          <w:rFonts w:ascii="Times New Roman" w:hAnsi="Times New Roman" w:eastAsia="宋体"/>
          <w:b w:val="0"/>
          <w:i w:val="0"/>
          <w:sz w:val="22"/>
        </w:rPr>
        <w:t>碳价100元/吨时，煤电占比降至45%，风电占比升至35%</w:t>
      </w:r>
    </w:p>
    <w:p>
      <w:pPr>
        <w:pStyle w:val="ListBullet"/>
        <w:spacing w:line="360" w:lineRule="auto" w:after="0"/>
      </w:pPr>
      <w:r>
        <w:rPr>
          <w:rFonts w:ascii="Times New Roman" w:hAnsi="Times New Roman" w:eastAsia="宋体"/>
          <w:b w:val="0"/>
          <w:i w:val="0"/>
          <w:sz w:val="22"/>
        </w:rPr>
        <w:t>社会福利比不考虑碳交易的定价高3%-5%</w:t>
      </w:r>
    </w:p>
    <w:p>
      <w:pPr>
        <w:pStyle w:val="ListBullet"/>
        <w:spacing w:line="360" w:lineRule="auto" w:after="0"/>
      </w:pPr>
      <w:r>
        <w:rPr>
          <w:rFonts w:ascii="Times New Roman" w:hAnsi="Times New Roman" w:eastAsia="宋体"/>
          <w:b w:val="0"/>
          <w:i w:val="0"/>
          <w:sz w:val="22"/>
        </w:rPr>
        <w:t>碳排放量降低12%-18%</w:t>
      </w:r>
    </w:p>
    <w:p>
      <w:pPr>
        <w:pStyle w:val="Heading3"/>
        <w:spacing w:before="160" w:after="60"/>
      </w:pPr>
      <w:r>
        <w:rPr>
          <w:rFonts w:ascii="Times New Roman" w:hAnsi="Times New Roman" w:eastAsia="黑体"/>
          <w:b/>
          <w:i w:val="0"/>
          <w:sz w:val="24"/>
        </w:rPr>
        <w:t>案例2：绿电合同定价的仿真验证</w:t>
      </w:r>
    </w:p>
    <w:p>
      <w:pPr>
        <w:spacing w:line="360" w:lineRule="auto" w:after="0"/>
        <w:ind w:firstLine="425"/>
      </w:pPr>
      <w:r>
        <w:rPr>
          <w:rFonts w:ascii="Times New Roman" w:hAnsi="Times New Roman" w:eastAsia="宋体"/>
          <w:b w:val="0"/>
          <w:i w:val="0"/>
          <w:sz w:val="22"/>
        </w:rPr>
        <w:t>代业明的绿电合同比例研究</w:t>
      </w:r>
      <w:r>
        <w:rPr>
          <w:rFonts w:ascii="Times New Roman" w:hAnsi="Times New Roman" w:eastAsia="Times New Roman"/>
          <w:b w:val="0"/>
          <w:i w:val="0"/>
          <w:sz w:val="18"/>
          <w:vertAlign w:val="superscript"/>
        </w:rPr>
        <w:t>[3]</w:t>
      </w:r>
      <w:r>
        <w:rPr>
          <w:rFonts w:ascii="Times New Roman" w:hAnsi="Times New Roman" w:eastAsia="宋体"/>
          <w:b w:val="0"/>
          <w:i w:val="0"/>
          <w:sz w:val="22"/>
        </w:rPr>
        <w:t>通过仿真分析了不同合同比例的效果：</w:t>
      </w:r>
    </w:p>
    <w:p>
      <w:pPr>
        <w:spacing w:line="360" w:lineRule="auto" w:after="0"/>
        <w:ind w:firstLine="425"/>
      </w:pPr>
      <w:r>
        <w:rPr>
          <w:rFonts w:ascii="Times New Roman" w:hAnsi="Times New Roman" w:eastAsia="宋体"/>
          <w:b/>
          <w:i w:val="0"/>
          <w:sz w:val="22"/>
        </w:rPr>
        <w:t>实验设置</w:t>
      </w:r>
      <w:r>
        <w:rPr>
          <w:rFonts w:ascii="Times New Roman" w:hAnsi="Times New Roman" w:eastAsia="宋体"/>
          <w:b w:val="0"/>
          <w:i w:val="0"/>
          <w:sz w:val="22"/>
        </w:rPr>
        <w:t>：用户总用电量1000kWh，绿电可用量300-700kWh（不确定）。</w:t>
      </w:r>
    </w:p>
    <w:p>
      <w:pPr>
        <w:spacing w:line="360" w:lineRule="auto" w:after="0"/>
        <w:ind w:firstLine="425"/>
      </w:pPr>
      <w:r>
        <w:rPr>
          <w:rFonts w:ascii="Times New Roman" w:hAnsi="Times New Roman" w:eastAsia="宋体"/>
          <w:b/>
          <w:i w:val="0"/>
          <w:sz w:val="22"/>
        </w:rPr>
        <w:t>合同比例分析</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30%合同比例：用户风险低，但绿电利用率仅65%</w:t>
      </w:r>
    </w:p>
    <w:p>
      <w:pPr>
        <w:pStyle w:val="ListBullet"/>
        <w:spacing w:line="360" w:lineRule="auto" w:after="0"/>
      </w:pPr>
      <w:r>
        <w:rPr>
          <w:rFonts w:ascii="Times New Roman" w:hAnsi="Times New Roman" w:eastAsia="宋体"/>
          <w:b w:val="0"/>
          <w:i w:val="0"/>
          <w:sz w:val="22"/>
        </w:rPr>
        <w:t>50%合同比例：用户风险中等，绿电利用率82%</w:t>
      </w:r>
    </w:p>
    <w:p>
      <w:pPr>
        <w:pStyle w:val="ListBullet"/>
        <w:spacing w:line="360" w:lineRule="auto" w:after="0"/>
      </w:pPr>
      <w:r>
        <w:rPr>
          <w:rFonts w:ascii="Times New Roman" w:hAnsi="Times New Roman" w:eastAsia="宋体"/>
          <w:b w:val="0"/>
          <w:i w:val="0"/>
          <w:sz w:val="22"/>
        </w:rPr>
        <w:t>70%合同比例：用户风险高，绿电利用率93%，但中断时损失大</w:t>
      </w:r>
    </w:p>
    <w:p>
      <w:pPr>
        <w:pStyle w:val="ListBullet"/>
        <w:spacing w:line="360" w:lineRule="auto" w:after="0"/>
      </w:pPr>
      <w:r>
        <w:rPr>
          <w:rFonts w:ascii="Times New Roman" w:hAnsi="Times New Roman" w:eastAsia="宋体"/>
          <w:b w:val="0"/>
          <w:i w:val="0"/>
          <w:sz w:val="22"/>
        </w:rPr>
        <w:t>最优比例：约55%-60%，综合考虑利用率与风险</w:t>
      </w:r>
    </w:p>
    <w:p>
      <w:pPr>
        <w:pStyle w:val="Heading3"/>
        <w:spacing w:before="160" w:after="60"/>
      </w:pPr>
      <w:r>
        <w:rPr>
          <w:rFonts w:ascii="Times New Roman" w:hAnsi="Times New Roman" w:eastAsia="黑体"/>
          <w:b/>
          <w:i w:val="0"/>
          <w:sz w:val="24"/>
        </w:rPr>
        <w:t>案例3：电-碳协同定价的多场景分析</w:t>
      </w:r>
    </w:p>
    <w:p>
      <w:pPr>
        <w:spacing w:line="360" w:lineRule="auto" w:after="0"/>
        <w:ind w:firstLine="425"/>
      </w:pPr>
      <w:r>
        <w:rPr>
          <w:rFonts w:ascii="Times New Roman" w:hAnsi="Times New Roman" w:eastAsia="宋体"/>
          <w:b w:val="0"/>
          <w:i w:val="0"/>
          <w:sz w:val="22"/>
        </w:rPr>
        <w:t>在电-碳协同定价框架下，不同场景的定价策略差异显著：</w:t>
      </w:r>
    </w:p>
    <w:p>
      <w:pPr>
        <w:spacing w:line="360" w:lineRule="auto" w:after="0"/>
        <w:ind w:firstLine="425"/>
      </w:pPr>
      <w:r>
        <w:rPr>
          <w:rFonts w:ascii="Times New Roman" w:hAnsi="Times New Roman" w:eastAsia="宋体"/>
          <w:b/>
          <w:i w:val="0"/>
          <w:sz w:val="22"/>
        </w:rPr>
        <w:t>场景1（碳价低、可再生能源充足）</w:t>
      </w:r>
      <w:r>
        <w:rPr>
          <w:rFonts w:ascii="Times New Roman" w:hAnsi="Times New Roman" w:eastAsia="宋体"/>
          <w:b w:val="0"/>
          <w:i w:val="0"/>
          <w:sz w:val="22"/>
        </w:rPr>
        <w:t>：电价较低，碳交易影响有限，RTP主要反映供需状况。</w:t>
      </w:r>
    </w:p>
    <w:p>
      <w:pPr>
        <w:spacing w:line="360" w:lineRule="auto" w:after="0"/>
        <w:ind w:firstLine="425"/>
      </w:pPr>
      <w:r>
        <w:rPr>
          <w:rFonts w:ascii="Times New Roman" w:hAnsi="Times New Roman" w:eastAsia="宋体"/>
          <w:b/>
          <w:i w:val="0"/>
          <w:sz w:val="22"/>
        </w:rPr>
        <w:t>场景2（碳价高、可再生能源不足）</w:t>
      </w:r>
      <w:r>
        <w:rPr>
          <w:rFonts w:ascii="Times New Roman" w:hAnsi="Times New Roman" w:eastAsia="宋体"/>
          <w:b w:val="0"/>
          <w:i w:val="0"/>
          <w:sz w:val="22"/>
        </w:rPr>
        <w:t>：电价显著上升，碳成本占电价比例可达20%-30%，RTP需要同时反映供需和碳成本。</w:t>
      </w:r>
    </w:p>
    <w:p>
      <w:pPr>
        <w:spacing w:line="360" w:lineRule="auto" w:after="0"/>
        <w:ind w:firstLine="425"/>
      </w:pPr>
      <w:r>
        <w:rPr>
          <w:rFonts w:ascii="Times New Roman" w:hAnsi="Times New Roman" w:eastAsia="宋体"/>
          <w:b/>
          <w:i w:val="0"/>
          <w:sz w:val="22"/>
        </w:rPr>
        <w:t>场景3（碳价高、可再生能源充足）</w:t>
      </w:r>
      <w:r>
        <w:rPr>
          <w:rFonts w:ascii="Times New Roman" w:hAnsi="Times New Roman" w:eastAsia="宋体"/>
          <w:b w:val="0"/>
          <w:i w:val="0"/>
          <w:sz w:val="22"/>
        </w:rPr>
        <w:t>：电价适中，碳成本被可再生能源的低边际成本部分抵消，RTP引导用户增加绿电消费。</w:t>
      </w:r>
    </w:p>
    <w:p>
      <w:pPr>
        <w:pStyle w:val="Heading2"/>
        <w:spacing w:before="240" w:after="80"/>
      </w:pPr>
      <w:r>
        <w:rPr>
          <w:rFonts w:ascii="Times New Roman" w:hAnsi="Times New Roman" w:eastAsia="黑体"/>
          <w:b/>
          <w:i w:val="0"/>
          <w:sz w:val="28"/>
        </w:rPr>
        <w:t>10.8 理论深化与前沿探讨</w:t>
      </w:r>
    </w:p>
    <w:p>
      <w:pPr>
        <w:pStyle w:val="Heading3"/>
        <w:spacing w:before="160" w:after="60"/>
      </w:pPr>
      <w:r>
        <w:rPr>
          <w:rFonts w:ascii="Times New Roman" w:hAnsi="Times New Roman" w:eastAsia="黑体"/>
          <w:b/>
          <w:i w:val="0"/>
          <w:sz w:val="24"/>
        </w:rPr>
        <w:t>碳定价的最优水平</w:t>
      </w:r>
    </w:p>
    <w:p>
      <w:pPr>
        <w:spacing w:line="360" w:lineRule="auto" w:after="0"/>
        <w:ind w:firstLine="425"/>
      </w:pPr>
      <w:r>
        <w:rPr>
          <w:rFonts w:ascii="Times New Roman" w:hAnsi="Times New Roman" w:eastAsia="宋体"/>
          <w:b w:val="0"/>
          <w:i w:val="0"/>
          <w:sz w:val="22"/>
        </w:rPr>
        <w:t>碳定价的最优水平应等于碳排放的边际社会损害（Marginal Social Cost of Carbon, MSCC）。然而，MSCC的估计存在很大不确定性：</w:t>
      </w:r>
    </w:p>
    <w:p>
      <w:pPr>
        <w:spacing w:line="360" w:lineRule="auto" w:after="0"/>
        <w:ind w:firstLine="425"/>
      </w:pPr>
      <w:r>
        <w:rPr>
          <w:rFonts w:ascii="Times New Roman" w:hAnsi="Times New Roman" w:eastAsia="宋体"/>
          <w:b/>
          <w:i w:val="0"/>
          <w:sz w:val="22"/>
        </w:rPr>
        <w:t>Integrated Assessment Models（IAM）</w:t>
      </w:r>
      <w:r>
        <w:rPr>
          <w:rFonts w:ascii="Times New Roman" w:hAnsi="Times New Roman" w:eastAsia="宋体"/>
          <w:b w:val="0"/>
          <w:i w:val="0"/>
          <w:sz w:val="22"/>
        </w:rPr>
        <w:t>：如DICE、FUND、PAGE等模型估计MSCC在每吨CO2 30-200美元之间，差异主要来自贴现率、损害函数和风险态度等假设。</w:t>
      </w:r>
    </w:p>
    <w:p>
      <w:pPr>
        <w:spacing w:line="360" w:lineRule="auto" w:after="0"/>
        <w:ind w:firstLine="425"/>
      </w:pPr>
      <w:r>
        <w:rPr>
          <w:rFonts w:ascii="Times New Roman" w:hAnsi="Times New Roman" w:eastAsia="宋体"/>
          <w:b/>
          <w:i w:val="0"/>
          <w:sz w:val="22"/>
        </w:rPr>
        <w:t>社会贴现率</w:t>
      </w:r>
      <w:r>
        <w:rPr>
          <w:rFonts w:ascii="Times New Roman" w:hAnsi="Times New Roman" w:eastAsia="宋体"/>
          <w:b w:val="0"/>
          <w:i w:val="0"/>
          <w:sz w:val="22"/>
        </w:rPr>
        <w:t>：高贴现率降低未来损害的现值，导致较低的MSCC；低贴现率则相反。Stern Review使用接近零的贴现率，得到较高的MSCC；Nordhaus使用市场贴现率，得到较低的MSCC。</w:t>
      </w:r>
    </w:p>
    <w:p>
      <w:pPr>
        <w:spacing w:line="360" w:lineRule="auto" w:after="0"/>
        <w:ind w:firstLine="425"/>
      </w:pPr>
      <w:r>
        <w:rPr>
          <w:rFonts w:ascii="Times New Roman" w:hAnsi="Times New Roman" w:eastAsia="宋体"/>
          <w:b/>
          <w:i w:val="0"/>
          <w:sz w:val="22"/>
        </w:rPr>
        <w:t>实时定价中的碳价内化</w:t>
      </w:r>
      <w:r>
        <w:rPr>
          <w:rFonts w:ascii="Times New Roman" w:hAnsi="Times New Roman" w:eastAsia="宋体"/>
          <w:b w:val="0"/>
          <w:i w:val="0"/>
          <w:sz w:val="22"/>
        </w:rPr>
        <w:t>：在RTP框架中，碳价可以通过两种方式内化：</w:t>
      </w:r>
    </w:p>
    <w:p>
      <w:pPr>
        <w:pStyle w:val="ListNumber"/>
        <w:spacing w:line="360" w:lineRule="auto" w:after="0"/>
      </w:pPr>
      <w:r>
        <w:rPr>
          <w:rFonts w:ascii="Times New Roman" w:hAnsi="Times New Roman" w:eastAsia="宋体"/>
          <w:b w:val="0"/>
          <w:i w:val="0"/>
          <w:sz w:val="22"/>
        </w:rPr>
        <w:t>直接将碳成本加入供电成本函数C(Q)</w:t>
      </w:r>
    </w:p>
    <w:p>
      <w:pPr>
        <w:pStyle w:val="ListNumber"/>
        <w:spacing w:line="360" w:lineRule="auto" w:after="0"/>
      </w:pPr>
      <w:r>
        <w:rPr>
          <w:rFonts w:ascii="Times New Roman" w:hAnsi="Times New Roman" w:eastAsia="宋体"/>
          <w:b w:val="0"/>
          <w:i w:val="0"/>
          <w:sz w:val="22"/>
        </w:rPr>
        <w:t>将碳配额作为约束条件，通过拉格朗日乘子（影子价格）反映碳的稀缺性</w:t>
      </w:r>
    </w:p>
    <w:p>
      <w:pPr>
        <w:pStyle w:val="Heading3"/>
        <w:spacing w:before="160" w:after="60"/>
      </w:pPr>
      <w:r>
        <w:rPr>
          <w:rFonts w:ascii="Times New Roman" w:hAnsi="Times New Roman" w:eastAsia="黑体"/>
          <w:b/>
          <w:i w:val="0"/>
          <w:sz w:val="24"/>
        </w:rPr>
        <w:t>碳交易与实时定价的博弈分析</w:t>
      </w:r>
    </w:p>
    <w:p>
      <w:pPr>
        <w:spacing w:line="360" w:lineRule="auto" w:after="0"/>
        <w:ind w:firstLine="425"/>
      </w:pPr>
      <w:r>
        <w:rPr>
          <w:rFonts w:ascii="Times New Roman" w:hAnsi="Times New Roman" w:eastAsia="宋体"/>
          <w:b w:val="0"/>
          <w:i w:val="0"/>
          <w:sz w:val="22"/>
        </w:rPr>
        <w:t>在碳交易环境下，发电商的定价博弈更加复杂：</w:t>
      </w:r>
    </w:p>
    <w:p>
      <w:pPr>
        <w:spacing w:line="360" w:lineRule="auto" w:after="0"/>
        <w:ind w:firstLine="425"/>
      </w:pPr>
      <w:r>
        <w:rPr>
          <w:rFonts w:ascii="Times New Roman" w:hAnsi="Times New Roman" w:eastAsia="宋体"/>
          <w:b/>
          <w:i w:val="0"/>
          <w:sz w:val="22"/>
        </w:rPr>
        <w:t>碳成本不对称</w:t>
      </w:r>
      <w:r>
        <w:rPr>
          <w:rFonts w:ascii="Times New Roman" w:hAnsi="Times New Roman" w:eastAsia="宋体"/>
          <w:b w:val="0"/>
          <w:i w:val="0"/>
          <w:sz w:val="22"/>
        </w:rPr>
        <w:t>：不同发电商的碳排放强度不同，碳价对不同发电商的影响不同。低碳发电商（如可再生能源）在碳价上升时获得竞争优势。</w:t>
      </w:r>
    </w:p>
    <w:p>
      <w:pPr>
        <w:spacing w:line="360" w:lineRule="auto" w:after="0"/>
        <w:ind w:firstLine="425"/>
      </w:pPr>
      <w:r>
        <w:rPr>
          <w:rFonts w:ascii="Times New Roman" w:hAnsi="Times New Roman" w:eastAsia="宋体"/>
          <w:b/>
          <w:i w:val="0"/>
          <w:sz w:val="22"/>
        </w:rPr>
        <w:t>策略性碳交易</w:t>
      </w:r>
      <w:r>
        <w:rPr>
          <w:rFonts w:ascii="Times New Roman" w:hAnsi="Times New Roman" w:eastAsia="宋体"/>
          <w:b w:val="0"/>
          <w:i w:val="0"/>
          <w:sz w:val="22"/>
        </w:rPr>
        <w:t>：发电商可能通过策略性买卖碳配额来影响碳价，进而影响电价。这种策略性碳交易增加了市场操纵的风险。</w:t>
      </w:r>
    </w:p>
    <w:p>
      <w:pPr>
        <w:spacing w:line="360" w:lineRule="auto" w:after="0"/>
        <w:ind w:firstLine="425"/>
      </w:pPr>
      <w:r>
        <w:rPr>
          <w:rFonts w:ascii="Times New Roman" w:hAnsi="Times New Roman" w:eastAsia="宋体"/>
          <w:b/>
          <w:i w:val="0"/>
          <w:sz w:val="22"/>
        </w:rPr>
        <w:t>多市场博弈</w:t>
      </w:r>
      <w:r>
        <w:rPr>
          <w:rFonts w:ascii="Times New Roman" w:hAnsi="Times New Roman" w:eastAsia="宋体"/>
          <w:b w:val="0"/>
          <w:i w:val="0"/>
          <w:sz w:val="22"/>
        </w:rPr>
        <w:t>：发电商同时在电力市场、碳市场和辅助服务市场中进行策略决策，需要多市场博弈模型来分析。</w:t>
      </w:r>
    </w:p>
    <w:p>
      <w:pPr>
        <w:pStyle w:val="Heading3"/>
        <w:spacing w:before="160" w:after="60"/>
      </w:pPr>
      <w:r>
        <w:rPr>
          <w:rFonts w:ascii="Times New Roman" w:hAnsi="Times New Roman" w:eastAsia="黑体"/>
          <w:b/>
          <w:i w:val="0"/>
          <w:sz w:val="24"/>
        </w:rPr>
        <w:t>绿色证书与实时定价</w:t>
      </w:r>
    </w:p>
    <w:p>
      <w:pPr>
        <w:spacing w:line="360" w:lineRule="auto" w:after="0"/>
        <w:ind w:firstLine="425"/>
      </w:pPr>
      <w:r>
        <w:rPr>
          <w:rFonts w:ascii="Times New Roman" w:hAnsi="Times New Roman" w:eastAsia="宋体"/>
          <w:b w:val="0"/>
          <w:i w:val="0"/>
          <w:sz w:val="22"/>
        </w:rPr>
        <w:t>绿色电力证书（绿证）是可再生能源的环境属性凭证：</w:t>
      </w:r>
    </w:p>
    <w:p>
      <w:pPr>
        <w:spacing w:line="360" w:lineRule="auto" w:after="0"/>
        <w:ind w:firstLine="425"/>
      </w:pPr>
      <w:r>
        <w:rPr>
          <w:rFonts w:ascii="Times New Roman" w:hAnsi="Times New Roman" w:eastAsia="宋体"/>
          <w:b/>
          <w:i w:val="0"/>
          <w:sz w:val="22"/>
        </w:rPr>
        <w:t>绿证价格机制</w:t>
      </w:r>
      <w:r>
        <w:rPr>
          <w:rFonts w:ascii="Times New Roman" w:hAnsi="Times New Roman" w:eastAsia="宋体"/>
          <w:b w:val="0"/>
          <w:i w:val="0"/>
          <w:sz w:val="22"/>
        </w:rPr>
        <w:t>：绿证价格由供需决定。当可再生能源配额要求提高时，绿证需求增加，价格上涨。</w:t>
      </w:r>
    </w:p>
    <w:p>
      <w:pPr>
        <w:spacing w:line="360" w:lineRule="auto" w:after="0"/>
        <w:ind w:firstLine="425"/>
      </w:pPr>
      <w:r>
        <w:rPr>
          <w:rFonts w:ascii="Times New Roman" w:hAnsi="Times New Roman" w:eastAsia="宋体"/>
          <w:b/>
          <w:i w:val="0"/>
          <w:sz w:val="22"/>
        </w:rPr>
        <w:t>绿证与电价的交互</w:t>
      </w:r>
      <w:r>
        <w:rPr>
          <w:rFonts w:ascii="Times New Roman" w:hAnsi="Times New Roman" w:eastAsia="宋体"/>
          <w:b w:val="0"/>
          <w:i w:val="0"/>
          <w:sz w:val="22"/>
        </w:rPr>
        <w:t>：绿证价格和电价共同决定可再生能源发电商的总收入。当电价低时（如风光出力充沛导致负电价），绿证收入弥补了电价收入的不足。</w:t>
      </w:r>
    </w:p>
    <w:p>
      <w:pPr>
        <w:spacing w:line="360" w:lineRule="auto" w:after="0"/>
        <w:ind w:firstLine="425"/>
      </w:pPr>
      <w:r>
        <w:rPr>
          <w:rFonts w:ascii="Times New Roman" w:hAnsi="Times New Roman" w:eastAsia="宋体"/>
          <w:b/>
          <w:i w:val="0"/>
          <w:sz w:val="22"/>
        </w:rPr>
        <w:t>绿证-碳交易等价交互</w:t>
      </w:r>
      <w:r>
        <w:rPr>
          <w:rFonts w:ascii="Times New Roman" w:hAnsi="Times New Roman" w:eastAsia="宋体"/>
          <w:b w:val="0"/>
          <w:i w:val="0"/>
          <w:sz w:val="22"/>
        </w:rPr>
        <w:t>：绿证和碳交易在环境效益量化方面存在等价关系。1MWh可再生能源发电减少的碳排放量×碳价≈1个绿证的价格。这一等价关系为设计统一的绿色能源定价机制提供了理论基础。</w:t>
      </w:r>
    </w:p>
    <w:p>
      <w:pPr>
        <w:pStyle w:val="Heading3"/>
        <w:spacing w:before="160" w:after="60"/>
      </w:pPr>
      <w:r>
        <w:rPr>
          <w:rFonts w:ascii="Times New Roman" w:hAnsi="Times New Roman" w:eastAsia="黑体"/>
          <w:b/>
          <w:i w:val="0"/>
          <w:sz w:val="24"/>
        </w:rPr>
        <w:t>碳边境调节与定价</w:t>
      </w:r>
    </w:p>
    <w:p>
      <w:pPr>
        <w:spacing w:line="360" w:lineRule="auto" w:after="0"/>
        <w:ind w:firstLine="425"/>
      </w:pPr>
      <w:r>
        <w:rPr>
          <w:rFonts w:ascii="Times New Roman" w:hAnsi="Times New Roman" w:eastAsia="宋体"/>
          <w:b w:val="0"/>
          <w:i w:val="0"/>
          <w:sz w:val="22"/>
        </w:rPr>
        <w:t>碳边境调节机制（CBAM）是欧盟为防止碳泄漏而推出的政策，对进口产品征收碳关税。CBAM对电力定价的影响：</w:t>
      </w:r>
    </w:p>
    <w:p>
      <w:pPr>
        <w:spacing w:line="360" w:lineRule="auto" w:after="0"/>
        <w:ind w:firstLine="425"/>
      </w:pPr>
      <w:r>
        <w:rPr>
          <w:rFonts w:ascii="Times New Roman" w:hAnsi="Times New Roman" w:eastAsia="宋体"/>
          <w:b/>
          <w:i w:val="0"/>
          <w:sz w:val="22"/>
        </w:rPr>
        <w:t>出口电力的碳成本</w:t>
      </w:r>
      <w:r>
        <w:rPr>
          <w:rFonts w:ascii="Times New Roman" w:hAnsi="Times New Roman" w:eastAsia="宋体"/>
          <w:b w:val="0"/>
          <w:i w:val="0"/>
          <w:sz w:val="22"/>
        </w:rPr>
        <w:t>：向欧盟出口电力的国家需要为电力中的碳含量缴纳碳关税。这将促使出口国提高电力碳定价。</w:t>
      </w:r>
    </w:p>
    <w:p>
      <w:pPr>
        <w:spacing w:line="360" w:lineRule="auto" w:after="0"/>
        <w:ind w:firstLine="425"/>
      </w:pPr>
      <w:r>
        <w:rPr>
          <w:rFonts w:ascii="Times New Roman" w:hAnsi="Times New Roman" w:eastAsia="宋体"/>
          <w:b/>
          <w:i w:val="0"/>
          <w:sz w:val="22"/>
        </w:rPr>
        <w:t>间接影响</w:t>
      </w:r>
      <w:r>
        <w:rPr>
          <w:rFonts w:ascii="Times New Roman" w:hAnsi="Times New Roman" w:eastAsia="宋体"/>
          <w:b w:val="0"/>
          <w:i w:val="0"/>
          <w:sz w:val="22"/>
        </w:rPr>
        <w:t>：CBAM通过影响高耗能产业的成本结构，间接影响电力需求和定价。</w:t>
      </w:r>
    </w:p>
    <w:p>
      <w:pPr>
        <w:spacing w:line="360" w:lineRule="auto" w:after="0"/>
        <w:ind w:firstLine="425"/>
      </w:pPr>
      <w:r>
        <w:rPr>
          <w:rFonts w:ascii="Times New Roman" w:hAnsi="Times New Roman" w:eastAsia="宋体"/>
          <w:b/>
          <w:i w:val="0"/>
          <w:sz w:val="22"/>
        </w:rPr>
        <w:t>全球碳定价趋同</w:t>
      </w:r>
      <w:r>
        <w:rPr>
          <w:rFonts w:ascii="Times New Roman" w:hAnsi="Times New Roman" w:eastAsia="宋体"/>
          <w:b w:val="0"/>
          <w:i w:val="0"/>
          <w:sz w:val="22"/>
        </w:rPr>
        <w:t>：CBAM可能推动全球碳定价趋同，为统一的碳-电协同定价创造条件。</w:t>
      </w:r>
    </w:p>
    <w:p>
      <w:pPr>
        <w:pStyle w:val="Heading3"/>
        <w:spacing w:before="160" w:after="60"/>
      </w:pPr>
      <w:r>
        <w:rPr>
          <w:rFonts w:ascii="Times New Roman" w:hAnsi="Times New Roman" w:eastAsia="黑体"/>
          <w:b/>
          <w:i w:val="0"/>
          <w:sz w:val="24"/>
        </w:rPr>
        <w:t>长期碳目标与定价策略</w:t>
      </w:r>
    </w:p>
    <w:p>
      <w:pPr>
        <w:spacing w:line="360" w:lineRule="auto" w:after="0"/>
        <w:ind w:firstLine="425"/>
      </w:pPr>
      <w:r>
        <w:rPr>
          <w:rFonts w:ascii="Times New Roman" w:hAnsi="Times New Roman" w:eastAsia="宋体"/>
          <w:b w:val="0"/>
          <w:i w:val="0"/>
          <w:sz w:val="22"/>
        </w:rPr>
        <w:t>碳中和目标要求电力系统在2050-2060年实现近零碳排放。长期碳目标对实时定价策略的影响：</w:t>
      </w:r>
    </w:p>
    <w:p>
      <w:pPr>
        <w:spacing w:line="360" w:lineRule="auto" w:after="0"/>
        <w:ind w:firstLine="425"/>
      </w:pPr>
      <w:r>
        <w:rPr>
          <w:rFonts w:ascii="Times New Roman" w:hAnsi="Times New Roman" w:eastAsia="宋体"/>
          <w:b/>
          <w:i w:val="0"/>
          <w:sz w:val="22"/>
        </w:rPr>
        <w:t>碳价上升趋势</w:t>
      </w:r>
      <w:r>
        <w:rPr>
          <w:rFonts w:ascii="Times New Roman" w:hAnsi="Times New Roman" w:eastAsia="宋体"/>
          <w:b w:val="0"/>
          <w:i w:val="0"/>
          <w:sz w:val="22"/>
        </w:rPr>
        <w:t>：随着减排目标收紧，碳价将持续上升，预计2050年碳价可能达到200-500美元/吨。这将对电价产生显著影响。</w:t>
      </w:r>
    </w:p>
    <w:p>
      <w:pPr>
        <w:spacing w:line="360" w:lineRule="auto" w:after="0"/>
        <w:ind w:firstLine="425"/>
      </w:pPr>
      <w:r>
        <w:rPr>
          <w:rFonts w:ascii="Times New Roman" w:hAnsi="Times New Roman" w:eastAsia="宋体"/>
          <w:b/>
          <w:i w:val="0"/>
          <w:sz w:val="22"/>
        </w:rPr>
        <w:t>可再生能源主导</w:t>
      </w:r>
      <w:r>
        <w:rPr>
          <w:rFonts w:ascii="Times New Roman" w:hAnsi="Times New Roman" w:eastAsia="宋体"/>
          <w:b w:val="0"/>
          <w:i w:val="0"/>
          <w:sz w:val="22"/>
        </w:rPr>
        <w:t>：在高比例可再生能源系统中，电价主要由可再生能源的边际成本（接近零）决定，碳价的影响相对减弱。</w:t>
      </w:r>
    </w:p>
    <w:p>
      <w:pPr>
        <w:spacing w:line="360" w:lineRule="auto" w:after="0"/>
        <w:ind w:firstLine="425"/>
      </w:pPr>
      <w:r>
        <w:rPr>
          <w:rFonts w:ascii="Times New Roman" w:hAnsi="Times New Roman" w:eastAsia="宋体"/>
          <w:b/>
          <w:i w:val="0"/>
          <w:sz w:val="22"/>
        </w:rPr>
        <w:t>容量价值凸显</w:t>
      </w:r>
      <w:r>
        <w:rPr>
          <w:rFonts w:ascii="Times New Roman" w:hAnsi="Times New Roman" w:eastAsia="宋体"/>
          <w:b w:val="0"/>
          <w:i w:val="0"/>
          <w:sz w:val="22"/>
        </w:rPr>
        <w:t>：在可再生能源主导的系统中，容量稀缺性成为定价的主要因素。容量市场和需求响应的重要性上升。</w:t>
      </w:r>
    </w:p>
    <w:p>
      <w:pPr>
        <w:pStyle w:val="Heading2"/>
        <w:spacing w:before="240" w:after="80"/>
      </w:pPr>
      <w:r>
        <w:rPr>
          <w:rFonts w:ascii="Times New Roman" w:hAnsi="Times New Roman" w:eastAsia="黑体"/>
          <w:b/>
          <w:i w:val="0"/>
          <w:sz w:val="28"/>
        </w:rPr>
        <w:t>10.9 综合能源系统的定价机制创新</w:t>
      </w:r>
    </w:p>
    <w:p>
      <w:pPr>
        <w:pStyle w:val="Heading3"/>
        <w:spacing w:before="160" w:after="60"/>
      </w:pPr>
      <w:r>
        <w:rPr>
          <w:rFonts w:ascii="Times New Roman" w:hAnsi="Times New Roman" w:eastAsia="黑体"/>
          <w:b/>
          <w:i w:val="0"/>
          <w:sz w:val="24"/>
        </w:rPr>
        <w:t>多能耦合的定价理论基础</w:t>
      </w:r>
    </w:p>
    <w:p>
      <w:pPr>
        <w:spacing w:line="360" w:lineRule="auto" w:after="0"/>
        <w:ind w:firstLine="425"/>
      </w:pPr>
      <w:r>
        <w:rPr>
          <w:rFonts w:ascii="Times New Roman" w:hAnsi="Times New Roman" w:eastAsia="宋体"/>
          <w:b w:val="0"/>
          <w:i w:val="0"/>
          <w:sz w:val="22"/>
        </w:rPr>
        <w:t>综合能源系统（IES）将电力、天然气、热力和冷量等多种能源形式集成统一管理，其定价机制比纯电力系统更为复杂。多能耦合特征使得一种能源的价格变化会影响其他能源的最优定价，需要跨能源类型的联合优化。</w:t>
      </w:r>
    </w:p>
    <w:p>
      <w:pPr>
        <w:spacing w:line="360" w:lineRule="auto" w:after="0"/>
        <w:ind w:firstLine="425"/>
      </w:pPr>
      <w:r>
        <w:rPr>
          <w:rFonts w:ascii="Times New Roman" w:hAnsi="Times New Roman" w:eastAsia="宋体"/>
          <w:b w:val="0"/>
          <w:i w:val="0"/>
          <w:sz w:val="22"/>
        </w:rPr>
        <w:t>能源集线器（Energy Hub）模型是描述多能耦合的经典工具。一个能源集线器接受多种能源输入（如电力和天然气），通过内部转换设备（如热电联产机组、热泵、电锅炉）输出多种能源产品（电力、热力、冷量）。能源集线器的输入-输出关系可以表示为 L = C · P，其中 L 为输出向量，P 为输入向量，C 为耦合矩阵。</w:t>
      </w:r>
    </w:p>
    <w:p>
      <w:pPr>
        <w:spacing w:line="360" w:lineRule="auto" w:after="0"/>
        <w:ind w:firstLine="425"/>
      </w:pPr>
      <w:r>
        <w:rPr>
          <w:rFonts w:ascii="Times New Roman" w:hAnsi="Times New Roman" w:eastAsia="宋体"/>
          <w:b w:val="0"/>
          <w:i w:val="0"/>
          <w:sz w:val="22"/>
        </w:rPr>
        <w:t>耦合矩阵 C 的元素决定了能源转换效率，其非对角元素反映跨能源类型的耦合关系。在定价层面，最优多能价格需要反映耦合矩阵的影子价格：当某一能源输入受限时，通过耦合关系影响的不仅是该能源的边际价格，还包括所有受其影响的输出能源的价格调整。</w:t>
      </w:r>
    </w:p>
    <w:p>
      <w:pPr>
        <w:pStyle w:val="Heading3"/>
        <w:spacing w:before="160" w:after="60"/>
      </w:pPr>
      <w:r>
        <w:rPr>
          <w:rFonts w:ascii="Times New Roman" w:hAnsi="Times New Roman" w:eastAsia="黑体"/>
          <w:b/>
          <w:i w:val="0"/>
          <w:sz w:val="24"/>
        </w:rPr>
        <w:t>综合能源市场的出清机制</w:t>
      </w:r>
    </w:p>
    <w:p>
      <w:pPr>
        <w:spacing w:line="360" w:lineRule="auto" w:after="0"/>
        <w:ind w:firstLine="425"/>
      </w:pPr>
      <w:r>
        <w:rPr>
          <w:rFonts w:ascii="Times New Roman" w:hAnsi="Times New Roman" w:eastAsia="宋体"/>
          <w:b w:val="0"/>
          <w:i w:val="0"/>
          <w:sz w:val="22"/>
        </w:rPr>
        <w:t>综合能源市场的出清需要同时满足多种能源的供需平衡和转换设备的容量约束。联合出清模型将所有能源类型的供需平衡和转换约束纳入统一的优化框架，通过拉格朗日乘子获得各能源的最优价格。</w:t>
      </w:r>
    </w:p>
    <w:p>
      <w:pPr>
        <w:spacing w:line="360" w:lineRule="auto" w:after="0"/>
        <w:ind w:firstLine="425"/>
      </w:pPr>
      <w:r>
        <w:rPr>
          <w:rFonts w:ascii="Times New Roman" w:hAnsi="Times New Roman" w:eastAsia="宋体"/>
          <w:b w:val="0"/>
          <w:i w:val="0"/>
          <w:sz w:val="22"/>
        </w:rPr>
        <w:t>分布式出清机制允许各能源子系统独立运营，通过边界条件（如联络线功率、转换设备出力）的协调实现全局最优。Benders分解和ADMM是实现分布式出清的主要算法。分布式出清的优势在于保护各能源子系统的运营隐私，并降低计算复杂度。</w:t>
      </w:r>
    </w:p>
    <w:p>
      <w:pPr>
        <w:spacing w:line="360" w:lineRule="auto" w:after="0"/>
        <w:ind w:firstLine="425"/>
      </w:pPr>
      <w:r>
        <w:rPr>
          <w:rFonts w:ascii="Times New Roman" w:hAnsi="Times New Roman" w:eastAsia="宋体"/>
          <w:b w:val="0"/>
          <w:i w:val="0"/>
          <w:sz w:val="22"/>
        </w:rPr>
        <w:t>分层出清机制将市场分为上层（能源交易层）和下层（物理调度层）。上层确定各能源的交易价格和数量，下层在给定价格下优化物理调度。这种结构允许市场交易与物理调度解耦，但需要设计合理的协调机制避免两层之间的不一致。</w:t>
      </w:r>
    </w:p>
    <w:p>
      <w:pPr>
        <w:pStyle w:val="Heading3"/>
        <w:spacing w:before="160" w:after="60"/>
      </w:pPr>
      <w:r>
        <w:rPr>
          <w:rFonts w:ascii="Times New Roman" w:hAnsi="Times New Roman" w:eastAsia="黑体"/>
          <w:b/>
          <w:i w:val="0"/>
          <w:sz w:val="24"/>
        </w:rPr>
        <w:t>天然气-电力耦合系统的定价</w:t>
      </w:r>
    </w:p>
    <w:p>
      <w:pPr>
        <w:spacing w:line="360" w:lineRule="auto" w:after="0"/>
        <w:ind w:firstLine="425"/>
      </w:pPr>
      <w:r>
        <w:rPr>
          <w:rFonts w:ascii="Times New Roman" w:hAnsi="Times New Roman" w:eastAsia="宋体"/>
          <w:b w:val="0"/>
          <w:i w:val="0"/>
          <w:sz w:val="22"/>
        </w:rPr>
        <w:t>天然气发电是连接天然气和电力两个能源系统的关键纽带。在美国，天然气发电占总发电量的约40%，天然气价格波动直接影响电力价格。天然气-电力耦合系统的实时定价需要考虑两个系统的物理动态差异：电力系统以秒级时间尺度运行，天然气系统以分钟到小时级时间尺度运行。</w:t>
      </w:r>
    </w:p>
    <w:p>
      <w:pPr>
        <w:spacing w:line="360" w:lineRule="auto" w:after="0"/>
        <w:ind w:firstLine="425"/>
      </w:pPr>
      <w:r>
        <w:rPr>
          <w:rFonts w:ascii="Times New Roman" w:hAnsi="Times New Roman" w:eastAsia="宋体"/>
          <w:b w:val="0"/>
          <w:i w:val="0"/>
          <w:sz w:val="22"/>
        </w:rPr>
        <w:t>天然气管道的动态特性（管存效应）为耦合定价增加了复杂性。管道中的天然气存储可以在短时间内缓冲供需不平衡，类似于电力系统中的储能。管存的利用可以降低天然气价格的短期波动性，但需要在长期平衡中补偿。</w:t>
      </w:r>
    </w:p>
    <w:p>
      <w:pPr>
        <w:spacing w:line="360" w:lineRule="auto" w:after="0"/>
        <w:ind w:firstLine="425"/>
      </w:pPr>
      <w:r>
        <w:rPr>
          <w:rFonts w:ascii="Times New Roman" w:hAnsi="Times New Roman" w:eastAsia="宋体"/>
          <w:b w:val="0"/>
          <w:i w:val="0"/>
          <w:sz w:val="22"/>
        </w:rPr>
        <w:t>天然气-电力耦合系统的安全约束包括天然气管道压力限制、压缩机组容量限制和天然气供应 adequacy 约束。这些约束在极端条件下（如寒冬高需求时期）可能成为绑定约束，导致天然气和电力价格同时飙升。2021年冬季风暴Uri期间德州的经验表明，耦合系统的脆弱性可能在极端事件中被放大。</w:t>
      </w:r>
    </w:p>
    <w:p>
      <w:pPr>
        <w:pStyle w:val="Heading3"/>
        <w:spacing w:before="160" w:after="60"/>
      </w:pPr>
      <w:r>
        <w:rPr>
          <w:rFonts w:ascii="Times New Roman" w:hAnsi="Times New Roman" w:eastAsia="黑体"/>
          <w:b/>
          <w:i w:val="0"/>
          <w:sz w:val="24"/>
        </w:rPr>
        <w:t>热力系统的定价特征</w:t>
      </w:r>
    </w:p>
    <w:p>
      <w:pPr>
        <w:spacing w:line="360" w:lineRule="auto" w:after="0"/>
        <w:ind w:firstLine="425"/>
      </w:pPr>
      <w:r>
        <w:rPr>
          <w:rFonts w:ascii="Times New Roman" w:hAnsi="Times New Roman" w:eastAsia="宋体"/>
          <w:b w:val="0"/>
          <w:i w:val="0"/>
          <w:sz w:val="22"/>
        </w:rPr>
        <w:t>热力系统的定价具有与电力系统不同的特征。热能的传输速度远低于电能，导致热力系统的时间延迟显著。热网的惯性（管道和建筑的热容量）使得热力供需平衡可以在较长时间窗口内实现，降低了实时平衡的紧迫性。</w:t>
      </w:r>
    </w:p>
    <w:p>
      <w:pPr>
        <w:spacing w:line="360" w:lineRule="auto" w:after="0"/>
        <w:ind w:firstLine="425"/>
      </w:pPr>
      <w:r>
        <w:rPr>
          <w:rFonts w:ascii="Times New Roman" w:hAnsi="Times New Roman" w:eastAsia="宋体"/>
          <w:b w:val="0"/>
          <w:i w:val="0"/>
          <w:sz w:val="22"/>
        </w:rPr>
        <w:t>热力定价通常采用两部制：容量价格（基于热力设施的装机容量）和能量价格（基于实际供热量）。在综合能源系统中，热力定价需要与电力定价协调，特别是在热电联产（CHP）场景下。CHP机组同时产出电力和热力，其运行约束（热电比）使得两种能源的定价相互耦合。</w:t>
      </w:r>
    </w:p>
    <w:p>
      <w:pPr>
        <w:spacing w:line="360" w:lineRule="auto" w:after="0"/>
        <w:ind w:firstLine="425"/>
      </w:pPr>
      <w:r>
        <w:rPr>
          <w:rFonts w:ascii="Times New Roman" w:hAnsi="Times New Roman" w:eastAsia="宋体"/>
          <w:b w:val="0"/>
          <w:i w:val="0"/>
          <w:sz w:val="22"/>
        </w:rPr>
        <w:t>以热定电和以电定热是CHP运行的两种基本模式。以热定电模式下，热力需求决定CHP出力，电力作为副产品可能过剩或不足；以电定热模式下，电力需求决定CHP出力，热力可能过剩或不足。实时定价可以通过价格信号引导CHP在两种模式之间灵活切换，提高整体能源利用效率。</w:t>
      </w:r>
    </w:p>
    <w:p>
      <w:pPr>
        <w:pStyle w:val="Heading3"/>
        <w:spacing w:before="160" w:after="60"/>
      </w:pPr>
      <w:r>
        <w:rPr>
          <w:rFonts w:ascii="Times New Roman" w:hAnsi="Times New Roman" w:eastAsia="黑体"/>
          <w:b/>
          <w:i w:val="0"/>
          <w:sz w:val="24"/>
        </w:rPr>
        <w:t>氢能系统的前景与定价挑战</w:t>
      </w:r>
    </w:p>
    <w:p>
      <w:pPr>
        <w:spacing w:line="360" w:lineRule="auto" w:after="0"/>
        <w:ind w:firstLine="425"/>
      </w:pPr>
      <w:r>
        <w:rPr>
          <w:rFonts w:ascii="Times New Roman" w:hAnsi="Times New Roman" w:eastAsia="宋体"/>
          <w:b w:val="0"/>
          <w:i w:val="0"/>
          <w:sz w:val="22"/>
        </w:rPr>
        <w:t>氢能作为清洁能源载体，在综合能源系统中的地位日益重要。电力制氢（Power-to-Gas, P2G）技术可以将富裕可再生能源转化为氢气存储，在需要时通过燃料电池或氢燃机转化为电力。P2G技术为可再生能源的高比例接入提供了长期储能解决方案。</w:t>
      </w:r>
    </w:p>
    <w:p>
      <w:pPr>
        <w:spacing w:line="360" w:lineRule="auto" w:after="0"/>
        <w:ind w:firstLine="425"/>
      </w:pPr>
      <w:r>
        <w:rPr>
          <w:rFonts w:ascii="Times New Roman" w:hAnsi="Times New Roman" w:eastAsia="宋体"/>
          <w:b w:val="0"/>
          <w:i w:val="0"/>
          <w:sz w:val="22"/>
        </w:rPr>
        <w:t>氢能的定价机制目前尚未成熟，面临以下挑战：第一，氢气的生产成本仍然较高，需要通过规模化降低；第二，氢气的存储和运输基础设施不足，限制了市场流动性；第三，氢气的热值和物理特性与天然气不同，不能简单套用天然气定价模型。实时定价框架下的氢能定价需要考虑电力-氢气-热力的多能耦合关系，是未来研究的重要方向。</w:t>
      </w:r>
    </w:p>
    <w:p>
      <w:pPr>
        <w:pStyle w:val="Heading2"/>
        <w:spacing w:before="240" w:after="80"/>
      </w:pPr>
      <w:r>
        <w:rPr>
          <w:rFonts w:ascii="Times New Roman" w:hAnsi="Times New Roman" w:eastAsia="黑体"/>
          <w:b/>
          <w:i w:val="0"/>
          <w:sz w:val="28"/>
        </w:rPr>
        <w:t>10.10 综合能源系统的实践进展与案例分析</w:t>
      </w:r>
    </w:p>
    <w:p>
      <w:pPr>
        <w:pStyle w:val="Heading3"/>
        <w:spacing w:before="160" w:after="60"/>
      </w:pPr>
      <w:r>
        <w:rPr>
          <w:rFonts w:ascii="Times New Roman" w:hAnsi="Times New Roman" w:eastAsia="黑体"/>
          <w:b/>
          <w:i w:val="0"/>
          <w:sz w:val="24"/>
        </w:rPr>
        <w:t>中国综合能源服务市场发展</w:t>
      </w:r>
    </w:p>
    <w:p>
      <w:pPr>
        <w:spacing w:line="360" w:lineRule="auto" w:after="0"/>
        <w:ind w:firstLine="425"/>
      </w:pPr>
      <w:r>
        <w:rPr>
          <w:rFonts w:ascii="Times New Roman" w:hAnsi="Times New Roman" w:eastAsia="宋体"/>
          <w:b w:val="0"/>
          <w:i w:val="0"/>
          <w:sz w:val="22"/>
        </w:rPr>
        <w:t>中国的综合能源服务市场正处于快速发展阶段。国家电网公司和南方电网公司分别成立了综合能源服务子公司，推进综合能源服务业务。截至2023年，中国综合能源服务市场规模估计超过1,000亿元，涵盖节能服务、分布式能源运营、储能服务、需求响应等多个领域。</w:t>
      </w:r>
    </w:p>
    <w:p>
      <w:pPr>
        <w:spacing w:line="360" w:lineRule="auto" w:after="0"/>
        <w:ind w:firstLine="425"/>
      </w:pPr>
      <w:r>
        <w:rPr>
          <w:rFonts w:ascii="Times New Roman" w:hAnsi="Times New Roman" w:eastAsia="宋体"/>
          <w:b w:val="0"/>
          <w:i w:val="0"/>
          <w:sz w:val="22"/>
        </w:rPr>
        <w:t>工业园区是中国综合能源服务的主要应用场景。工业园区通常包含多种能源需求（电力、热力、冷量、蒸汽），且负荷密度高、用户集中，适合建设综合能源系统。典型的工业园区综合能源项目包括：分布式光伏+储能+充电桩一体化、热电冷三联供系统、余热回收利用系统等。这些项目通过多能互补和梯级利用，实现了10-30%的能效提升。</w:t>
      </w:r>
    </w:p>
    <w:p>
      <w:pPr>
        <w:spacing w:line="360" w:lineRule="auto" w:after="0"/>
        <w:ind w:firstLine="425"/>
      </w:pPr>
      <w:r>
        <w:rPr>
          <w:rFonts w:ascii="Times New Roman" w:hAnsi="Times New Roman" w:eastAsia="宋体"/>
          <w:b w:val="0"/>
          <w:i w:val="0"/>
          <w:sz w:val="22"/>
        </w:rPr>
        <w:t>雄安新区、海南自贸港等新建区域的综合能源系统规划体现了多能耦合定价的前沿实践。雄安新区的能源规划提出了"100%清洁能源供电"的目标，其综合能源系统设计包含了地热能、太阳能、储能和智能调度系统。海南自贸港利用丰富的太阳能和海洋能资源，探索岛屿型综合能源系统的定价和运营模式。</w:t>
      </w:r>
    </w:p>
    <w:p>
      <w:pPr>
        <w:pStyle w:val="Heading3"/>
        <w:spacing w:before="160" w:after="60"/>
      </w:pPr>
      <w:r>
        <w:rPr>
          <w:rFonts w:ascii="Times New Roman" w:hAnsi="Times New Roman" w:eastAsia="黑体"/>
          <w:b/>
          <w:i w:val="0"/>
          <w:sz w:val="24"/>
        </w:rPr>
        <w:t>多能流优化调度的算法实现</w:t>
      </w:r>
    </w:p>
    <w:p>
      <w:pPr>
        <w:spacing w:line="360" w:lineRule="auto" w:after="0"/>
        <w:ind w:firstLine="425"/>
      </w:pPr>
      <w:r>
        <w:rPr>
          <w:rFonts w:ascii="Times New Roman" w:hAnsi="Times New Roman" w:eastAsia="宋体"/>
          <w:b w:val="0"/>
          <w:i w:val="0"/>
          <w:sz w:val="22"/>
        </w:rPr>
        <w:t>多能流优化调度是综合能源系统实时定价的核心计算环节。不同于电力系统单一的潮流计算，综合能源系统需要同时计算电力潮流、天然气流和热力流的稳态分布。</w:t>
      </w:r>
    </w:p>
    <w:p>
      <w:pPr>
        <w:spacing w:line="360" w:lineRule="auto" w:after="0"/>
        <w:ind w:firstLine="425"/>
      </w:pPr>
      <w:r>
        <w:rPr>
          <w:rFonts w:ascii="Times New Roman" w:hAnsi="Times New Roman" w:eastAsia="宋体"/>
          <w:b w:val="0"/>
          <w:i w:val="0"/>
          <w:sz w:val="22"/>
        </w:rPr>
        <w:t>电力潮流计算可以采用牛顿-拉夫逊法或快速解耦法，计算效率高。天然气流计算涉及管道中的气体流动方程（通常为非线性方程），计算更复杂。热力流计算涉及管道中的水力计算和热力计算两部分：水力计算确定流量分配，热力计算确定温度分布。</w:t>
      </w:r>
    </w:p>
    <w:p>
      <w:pPr>
        <w:spacing w:line="360" w:lineRule="auto" w:after="0"/>
        <w:ind w:firstLine="425"/>
      </w:pPr>
      <w:r>
        <w:rPr>
          <w:rFonts w:ascii="Times New Roman" w:hAnsi="Times New Roman" w:eastAsia="宋体"/>
          <w:b w:val="0"/>
          <w:i w:val="0"/>
          <w:sz w:val="22"/>
        </w:rPr>
        <w:t>多能流统一求解将三种能流计算耦合到统一的牛顿迭代框架中。统一雅可比矩阵同时包含电力、天然气和热力的偏导数，反映多能耦合关系。统一求解的优点是精确处理耦合约束，缺点是雅可比矩阵维度大、稀疏结构复杂。</w:t>
      </w:r>
    </w:p>
    <w:p>
      <w:pPr>
        <w:spacing w:line="360" w:lineRule="auto" w:after="0"/>
        <w:ind w:firstLine="425"/>
      </w:pPr>
      <w:r>
        <w:rPr>
          <w:rFonts w:ascii="Times New Roman" w:hAnsi="Times New Roman" w:eastAsia="宋体"/>
          <w:b w:val="0"/>
          <w:i w:val="0"/>
          <w:sz w:val="22"/>
        </w:rPr>
        <w:t>解耦求解将多能流计算分解为电力、天然气和热力三个子问题，通过耦合变量的迭代协调实现收敛。解耦求解的优点是各子问题可以独立求解，可以利用现有的专业仿真工具；缺点是收敛性依赖于耦合强度和迭代策略。</w:t>
      </w:r>
    </w:p>
    <w:p>
      <w:pPr>
        <w:pStyle w:val="Heading3"/>
        <w:spacing w:before="160" w:after="60"/>
      </w:pPr>
      <w:r>
        <w:rPr>
          <w:rFonts w:ascii="Times New Roman" w:hAnsi="Times New Roman" w:eastAsia="黑体"/>
          <w:b/>
          <w:i w:val="0"/>
          <w:sz w:val="24"/>
        </w:rPr>
        <w:t>综合能源系统中的储能价值</w:t>
      </w:r>
    </w:p>
    <w:p>
      <w:pPr>
        <w:spacing w:line="360" w:lineRule="auto" w:after="0"/>
        <w:ind w:firstLine="425"/>
      </w:pPr>
      <w:r>
        <w:rPr>
          <w:rFonts w:ascii="Times New Roman" w:hAnsi="Times New Roman" w:eastAsia="宋体"/>
          <w:b w:val="0"/>
          <w:i w:val="0"/>
          <w:sz w:val="22"/>
        </w:rPr>
        <w:t>储能是综合能源系统中连接多种能源形式的关键纽带。电力储能（电池、超级电容）提供短时间尺度（秒到小时）的能量时移服务。热力储能（热水罐、相变材料）提供中时间尺度（小时到天）的热量时移服务。天然气储能（地下储气库、管道管存）提供长时间尺度（天到月）的气体时移服务。</w:t>
      </w:r>
    </w:p>
    <w:p>
      <w:pPr>
        <w:spacing w:line="360" w:lineRule="auto" w:after="0"/>
        <w:ind w:firstLine="425"/>
      </w:pPr>
      <w:r>
        <w:rPr>
          <w:rFonts w:ascii="Times New Roman" w:hAnsi="Times New Roman" w:eastAsia="宋体"/>
          <w:b w:val="0"/>
          <w:i w:val="0"/>
          <w:sz w:val="22"/>
        </w:rPr>
        <w:t>多能储能的协同运行可以显著提高系统灵活性。例如，在可再生能源高出力时段，P2G设备将富裕电力转化为氢气或天然气存储；在热力需求高峰时段，CHP机组利用存储的天然气发电并供热。这种跨能源形式的储能协同使得长时间尺度的能量时移成为可能，解决了电力储能容量有限的问题。</w:t>
      </w:r>
    </w:p>
    <w:p>
      <w:pPr>
        <w:spacing w:line="360" w:lineRule="auto" w:after="0"/>
        <w:ind w:firstLine="425"/>
      </w:pPr>
      <w:r>
        <w:rPr>
          <w:rFonts w:ascii="Times New Roman" w:hAnsi="Times New Roman" w:eastAsia="宋体"/>
          <w:b w:val="0"/>
          <w:i w:val="0"/>
          <w:sz w:val="22"/>
        </w:rPr>
        <w:t>储能的投资决策在综合能源系统中面临跨能源类型的优化配置问题。给定总预算，如何分配到电力储能、热力储能和天然气储能以最大化系统价值？这一问题可以通过混合整数线性规划（MILP）建模求解。优化结果取决于各能源类型的负荷特性、价格差异和技术参数。</w:t>
      </w:r>
    </w:p>
    <w:p>
      <w:pPr>
        <w:pStyle w:val="Heading3"/>
        <w:spacing w:before="160" w:after="60"/>
      </w:pPr>
      <w:r>
        <w:rPr>
          <w:rFonts w:ascii="Times New Roman" w:hAnsi="Times New Roman" w:eastAsia="黑体"/>
          <w:b/>
          <w:i w:val="0"/>
          <w:sz w:val="24"/>
        </w:rPr>
        <w:t>虚拟电厂的多能聚合</w:t>
      </w:r>
    </w:p>
    <w:p>
      <w:pPr>
        <w:spacing w:line="360" w:lineRule="auto" w:after="0"/>
        <w:ind w:firstLine="425"/>
      </w:pPr>
      <w:r>
        <w:rPr>
          <w:rFonts w:ascii="Times New Roman" w:hAnsi="Times New Roman" w:eastAsia="宋体"/>
          <w:b w:val="0"/>
          <w:i w:val="0"/>
          <w:sz w:val="22"/>
        </w:rPr>
        <w:t>虚拟电厂（VPP）在综合能源系统中扩展为多能聚合商，整合分布式电源、储能、柔性负荷和能源转换设备。多能VPP可以通过跨能源形式的灵活调度，提供比单一能源VPP更丰富的服务组合。</w:t>
      </w:r>
    </w:p>
    <w:p>
      <w:pPr>
        <w:spacing w:line="360" w:lineRule="auto" w:after="0"/>
        <w:ind w:firstLine="425"/>
      </w:pPr>
      <w:r>
        <w:rPr>
          <w:rFonts w:ascii="Times New Roman" w:hAnsi="Times New Roman" w:eastAsia="宋体"/>
          <w:b w:val="0"/>
          <w:i w:val="0"/>
          <w:sz w:val="22"/>
        </w:rPr>
        <w:t>多能VPP的商业模式包括：参与批发电力市场提供能量和容量服务、参与辅助服务市场提供频率调节和备用服务、为终端用户提供综合能源管理服务、参与碳市场提供减排量交易。多种收入流的叠加提高了VPP的投资回报率。</w:t>
      </w:r>
    </w:p>
    <w:p>
      <w:pPr>
        <w:spacing w:line="360" w:lineRule="auto" w:after="0"/>
        <w:ind w:firstLine="425"/>
      </w:pPr>
      <w:r>
        <w:rPr>
          <w:rFonts w:ascii="Times New Roman" w:hAnsi="Times New Roman" w:eastAsia="宋体"/>
          <w:b w:val="0"/>
          <w:i w:val="0"/>
          <w:sz w:val="22"/>
        </w:rPr>
        <w:t>多能VPP的调度优化需要考虑多种能源的物理约束和耦合关系。统一优化模型将所有能源形式的调度变量纳入单一优化框架，目标函数最大化总收益减去总成本。约束条件包括各能源形式的供需平衡、设备容量限制、网络约束和耦合约束。这类优化问题通常是大规模非凸MINLP，需要定制化的求解策略。</w:t>
      </w:r>
    </w:p>
    <w:p>
      <w:pPr>
        <w:pStyle w:val="Heading3"/>
        <w:spacing w:before="160" w:after="60"/>
      </w:pPr>
      <w:r>
        <w:rPr>
          <w:rFonts w:ascii="Times New Roman" w:hAnsi="Times New Roman" w:eastAsia="黑体"/>
          <w:b/>
          <w:i w:val="0"/>
          <w:sz w:val="24"/>
        </w:rPr>
        <w:t>综合能源系统的碳排放管理</w:t>
      </w:r>
    </w:p>
    <w:p>
      <w:pPr>
        <w:spacing w:line="360" w:lineRule="auto" w:after="0"/>
        <w:ind w:firstLine="425"/>
      </w:pPr>
      <w:r>
        <w:rPr>
          <w:rFonts w:ascii="Times New Roman" w:hAnsi="Times New Roman" w:eastAsia="宋体"/>
          <w:b w:val="0"/>
          <w:i w:val="0"/>
          <w:sz w:val="22"/>
        </w:rPr>
        <w:t>综合能源系统为碳排放管理提供了更灵活的平台。通过多能互补和优化调度，可以选择碳排放最低的能源供应方案。例如，在电力碳强度高时增加天然气直接供热（绕过电力转换环节），在电力碳强度低时增加电锅炉供热。</w:t>
      </w:r>
    </w:p>
    <w:p>
      <w:pPr>
        <w:spacing w:line="360" w:lineRule="auto" w:after="0"/>
        <w:ind w:firstLine="425"/>
      </w:pPr>
      <w:r>
        <w:rPr>
          <w:rFonts w:ascii="Times New Roman" w:hAnsi="Times New Roman" w:eastAsia="宋体"/>
          <w:b w:val="0"/>
          <w:i w:val="0"/>
          <w:sz w:val="22"/>
        </w:rPr>
        <w:t>碳流追踪（Carbon Emission Flow Tracking）技术可以在综合能源系统中追踪碳排放从源头到终端的流动路径。每个节点的碳强度定义为通过该节点的单位能源的碳排放量。碳流追踪为碳排放责任的分摊提供了基于物理流的依据，比传统的平均碳强度方法更精确。</w:t>
      </w:r>
    </w:p>
    <w:p>
      <w:pPr>
        <w:spacing w:line="360" w:lineRule="auto" w:after="0"/>
        <w:ind w:firstLine="425"/>
      </w:pPr>
      <w:r>
        <w:rPr>
          <w:rFonts w:ascii="Times New Roman" w:hAnsi="Times New Roman" w:eastAsia="宋体"/>
          <w:b w:val="0"/>
          <w:i w:val="0"/>
          <w:sz w:val="22"/>
        </w:rPr>
        <w:t>综合能源系统中的碳交易包括两类：基于配额的碳交易和基于减排量的碳交易。配额碳交易受总量控制约束，碳价反映总体减排成本。减排量碳交易（如CCER）为分布式可再生能源和节能项目提供了额外收入来源。实时定价与碳交易的融合使得碳成本可以实时反映在能源价格中，促进低碳能源的优先调度。</w:t>
      </w:r>
    </w:p>
    <w:p>
      <w:pPr>
        <w:pStyle w:val="Heading3"/>
        <w:spacing w:before="160" w:after="60"/>
      </w:pPr>
      <w:r>
        <w:rPr>
          <w:rFonts w:ascii="Times New Roman" w:hAnsi="Times New Roman" w:eastAsia="黑体"/>
          <w:b/>
          <w:i w:val="0"/>
          <w:sz w:val="24"/>
        </w:rPr>
        <w:t>综合能源系统定价的挑战与展望</w:t>
      </w:r>
    </w:p>
    <w:p>
      <w:pPr>
        <w:spacing w:line="360" w:lineRule="auto" w:after="0"/>
        <w:ind w:firstLine="425"/>
      </w:pPr>
      <w:r>
        <w:rPr>
          <w:rFonts w:ascii="Times New Roman" w:hAnsi="Times New Roman" w:eastAsia="宋体"/>
          <w:b w:val="0"/>
          <w:i w:val="0"/>
          <w:sz w:val="22"/>
        </w:rPr>
        <w:t>综合能源系统的定价面临以下挑战：</w:t>
      </w:r>
    </w:p>
    <w:p>
      <w:pPr>
        <w:spacing w:line="360" w:lineRule="auto" w:after="0"/>
        <w:ind w:firstLine="425"/>
      </w:pPr>
      <w:r>
        <w:rPr>
          <w:rFonts w:ascii="Times New Roman" w:hAnsi="Times New Roman" w:eastAsia="宋体"/>
          <w:b w:val="0"/>
          <w:i w:val="0"/>
          <w:sz w:val="22"/>
        </w:rPr>
        <w:t>第一，多能耦合导致的价格传导机制复杂。一种能源价格的变化通过耦合关系影响其他能源的最优价格，传导路径和幅度取决于耦合强度和系统结构。建立准确的价格传导模型需要深入理解多能系统的物理和经济特性。</w:t>
      </w:r>
    </w:p>
    <w:p>
      <w:pPr>
        <w:spacing w:line="360" w:lineRule="auto" w:after="0"/>
        <w:ind w:firstLine="425"/>
      </w:pPr>
      <w:r>
        <w:rPr>
          <w:rFonts w:ascii="Times New Roman" w:hAnsi="Times New Roman" w:eastAsia="宋体"/>
          <w:b w:val="0"/>
          <w:i w:val="0"/>
          <w:sz w:val="22"/>
        </w:rPr>
        <w:t>第二，不同能源的市场化程度差异。电力市场相对成熟，天然气市场正在改革中，热力市场尚未市场化。在市场化程度不均衡的情况下，综合定价机制需要处理计划价格和市场价格的混合问题。</w:t>
      </w:r>
    </w:p>
    <w:p>
      <w:pPr>
        <w:spacing w:line="360" w:lineRule="auto" w:after="0"/>
        <w:ind w:firstLine="425"/>
      </w:pPr>
      <w:r>
        <w:rPr>
          <w:rFonts w:ascii="Times New Roman" w:hAnsi="Times New Roman" w:eastAsia="宋体"/>
          <w:b w:val="0"/>
          <w:i w:val="0"/>
          <w:sz w:val="22"/>
        </w:rPr>
        <w:t>第三，监管框架的协调。不同能源由不同监管部门管理（电力由能源局/电监会管理，天然气由发改委管理，热力由住建部门管理），跨部门的定价协调面临制度障碍。</w:t>
      </w:r>
    </w:p>
    <w:p>
      <w:pPr>
        <w:spacing w:line="360" w:lineRule="auto" w:after="0"/>
        <w:ind w:firstLine="425"/>
      </w:pPr>
      <w:r>
        <w:rPr>
          <w:rFonts w:ascii="Times New Roman" w:hAnsi="Times New Roman" w:eastAsia="宋体"/>
          <w:b w:val="0"/>
          <w:i w:val="0"/>
          <w:sz w:val="22"/>
        </w:rPr>
        <w:t>第四，数据共享和系统互联。综合能源系统定价需要多种能源系统的运行数据，但数据所有权和隐私保护问题尚未解决。系统间的通信互联标准也尚未统一。</w:t>
      </w:r>
    </w:p>
    <w:p>
      <w:pPr>
        <w:spacing w:line="360" w:lineRule="auto" w:after="0"/>
        <w:ind w:firstLine="425"/>
      </w:pPr>
      <w:r>
        <w:rPr>
          <w:rFonts w:ascii="Times New Roman" w:hAnsi="Times New Roman" w:eastAsia="宋体"/>
          <w:b w:val="0"/>
          <w:i w:val="0"/>
          <w:sz w:val="22"/>
        </w:rPr>
        <w:t>未来展望包括：建立多能统一的市场平台、制定跨能源类型的定价规则、推进数据标准化和共享机制建设、探索基于区块链的多能去中心化交易。</w:t>
      </w:r>
    </w:p>
    <w:p>
      <w:pPr>
        <w:pStyle w:val="Heading2"/>
        <w:spacing w:before="240" w:after="80"/>
      </w:pPr>
      <w:r>
        <w:rPr>
          <w:rFonts w:ascii="Times New Roman" w:hAnsi="Times New Roman" w:eastAsia="黑体"/>
          <w:b/>
          <w:i w:val="0"/>
          <w:sz w:val="28"/>
        </w:rPr>
        <w:t>10.11 综合能源系统定价的模型与算法</w:t>
      </w:r>
    </w:p>
    <w:p>
      <w:pPr>
        <w:pStyle w:val="Heading3"/>
        <w:spacing w:before="160" w:after="60"/>
      </w:pPr>
      <w:r>
        <w:rPr>
          <w:rFonts w:ascii="Times New Roman" w:hAnsi="Times New Roman" w:eastAsia="黑体"/>
          <w:b/>
          <w:i w:val="0"/>
          <w:sz w:val="24"/>
        </w:rPr>
        <w:t>多能流最优潮流的数学建模</w:t>
      </w:r>
    </w:p>
    <w:p>
      <w:pPr>
        <w:spacing w:line="360" w:lineRule="auto" w:after="0"/>
        <w:ind w:firstLine="425"/>
      </w:pPr>
      <w:r>
        <w:rPr>
          <w:rFonts w:ascii="Times New Roman" w:hAnsi="Times New Roman" w:eastAsia="宋体"/>
          <w:b w:val="0"/>
          <w:i w:val="0"/>
          <w:sz w:val="22"/>
        </w:rPr>
        <w:t>多能流最优潮流（MEOPF）是综合能源系统定价的核心计算工具。MEOPF将电力潮流、天然气流和热力流的计算耦合到统一优化框架中，目标是最小化总运行成本（或最大化社会福利），约束包括各能源形式的物理约束和耦合约束。</w:t>
      </w:r>
    </w:p>
    <w:p>
      <w:pPr>
        <w:spacing w:line="360" w:lineRule="auto" w:after="0"/>
        <w:ind w:firstLine="425"/>
      </w:pPr>
      <w:r>
        <w:rPr>
          <w:rFonts w:ascii="Times New Roman" w:hAnsi="Times New Roman" w:eastAsia="宋体"/>
          <w:b w:val="0"/>
          <w:i w:val="0"/>
          <w:sz w:val="22"/>
        </w:rPr>
        <w:t>电力潮流约束通常采用直流潮流近似（忽略无功功率和电压幅值变化），使得电力部分为线性约束。对于需要考虑无功功率和电压约束的场景，交流潮流约束使得问题变为非凸。最近的 convex relaxation 技术（如半正定松弛、二阶松弛）可以将某些交流潮流问题凸化，保证全局最优。</w:t>
      </w:r>
    </w:p>
    <w:p>
      <w:pPr>
        <w:spacing w:line="360" w:lineRule="auto" w:after="0"/>
        <w:ind w:firstLine="425"/>
      </w:pPr>
      <w:r>
        <w:rPr>
          <w:rFonts w:ascii="Times New Roman" w:hAnsi="Times New Roman" w:eastAsia="宋体"/>
          <w:b w:val="0"/>
          <w:i w:val="0"/>
          <w:sz w:val="22"/>
        </w:rPr>
        <w:t>天然气流约束基于管道流动的Weymouth方程：Q_ij = k_ij · sgn(π_i - π_j) · √(π_i^2 - π_j^2)，其中 Q_ij 为管道流量，π_i 为节点压力，k_ij 为管道常数。Weymouth方程是非线性的，使得天然气流优化为非凸问题。分段线性化或二阶锥松弛可以将其凸化。</w:t>
      </w:r>
    </w:p>
    <w:p>
      <w:pPr>
        <w:spacing w:line="360" w:lineRule="auto" w:after="0"/>
        <w:ind w:firstLine="425"/>
      </w:pPr>
      <w:r>
        <w:rPr>
          <w:rFonts w:ascii="Times New Roman" w:hAnsi="Times New Roman" w:eastAsia="宋体"/>
          <w:b w:val="0"/>
          <w:i w:val="0"/>
          <w:sz w:val="22"/>
        </w:rPr>
        <w:t>热力流约束包括水力约束和热力约束两部分。水力约束确保流量守恒和压力平衡（类似电力潮流的节点功率平衡和回路电压平衡）。热力约束描述温度沿管道的变化（温度损失与管道长度、流量和环境温度相关）。热力系统的动态特性（管道延迟、热惯性）为优化模型增加了时间耦合约束。</w:t>
      </w:r>
    </w:p>
    <w:p>
      <w:pPr>
        <w:pStyle w:val="Heading3"/>
        <w:spacing w:before="160" w:after="60"/>
      </w:pPr>
      <w:r>
        <w:rPr>
          <w:rFonts w:ascii="Times New Roman" w:hAnsi="Times New Roman" w:eastAsia="黑体"/>
          <w:b/>
          <w:i w:val="0"/>
          <w:sz w:val="24"/>
        </w:rPr>
        <w:t>多能LMP的计算方法</w:t>
      </w:r>
    </w:p>
    <w:p>
      <w:pPr>
        <w:spacing w:line="360" w:lineRule="auto" w:after="0"/>
        <w:ind w:firstLine="425"/>
      </w:pPr>
      <w:r>
        <w:rPr>
          <w:rFonts w:ascii="Times New Roman" w:hAnsi="Times New Roman" w:eastAsia="宋体"/>
          <w:b w:val="0"/>
          <w:i w:val="0"/>
          <w:sz w:val="22"/>
        </w:rPr>
        <w:t>多能LMP是多能流最优潮流的拉格朗日乘子，反映各能源在各节点的边际供电成本。与纯电力LMP不同，多能LMP需要考虑跨能源类型的耦合效应。</w:t>
      </w:r>
    </w:p>
    <w:p>
      <w:pPr>
        <w:spacing w:line="360" w:lineRule="auto" w:after="0"/>
        <w:ind w:firstLine="425"/>
      </w:pPr>
      <w:r>
        <w:rPr>
          <w:rFonts w:ascii="Times New Roman" w:hAnsi="Times New Roman" w:eastAsia="宋体"/>
          <w:b w:val="0"/>
          <w:i w:val="0"/>
          <w:sz w:val="22"/>
        </w:rPr>
        <w:t>多能LMP的计算过程为：求解MEOPF问题获得最优解；提取各能源供需平衡约束的拉格朗日乘子作为各能源的LMP；分析LMP的组成部分（边际发电成本、网络损耗、网络阻塞、耦合效应）。</w:t>
      </w:r>
    </w:p>
    <w:p>
      <w:pPr>
        <w:spacing w:line="360" w:lineRule="auto" w:after="0"/>
        <w:ind w:firstLine="425"/>
      </w:pPr>
      <w:r>
        <w:rPr>
          <w:rFonts w:ascii="Times New Roman" w:hAnsi="Times New Roman" w:eastAsia="宋体"/>
          <w:b w:val="0"/>
          <w:i w:val="0"/>
          <w:sz w:val="22"/>
        </w:rPr>
        <w:t>耦合效应是多能LMP的独特组成部分。当天然气-电力耦合设备（如燃气机组）在最优解中处于绑定状态时，天然气价格的变化会通过耦合设备影响电力价格，反之亦然。耦合效应的量化需要计算耦合约束的拉格朗日乘子。</w:t>
      </w:r>
    </w:p>
    <w:p>
      <w:pPr>
        <w:spacing w:line="360" w:lineRule="auto" w:after="0"/>
        <w:ind w:firstLine="425"/>
      </w:pPr>
      <w:r>
        <w:rPr>
          <w:rFonts w:ascii="Times New Roman" w:hAnsi="Times New Roman" w:eastAsia="宋体"/>
          <w:b w:val="0"/>
          <w:i w:val="0"/>
          <w:sz w:val="22"/>
        </w:rPr>
        <w:t>多能LMP的收取和分配需要解决收入充足性问题。在纯电力市场中，LMP收取的总费用通常超过实际发电成本（由于网络约束的影子价格），超收部分作为输电权收入分配给输电权持有者。在多能系统中，跨能源类型的超收分配更为复杂，需要设计公平的跨能源收入分配机制。</w:t>
      </w:r>
    </w:p>
    <w:p>
      <w:pPr>
        <w:pStyle w:val="Heading3"/>
        <w:spacing w:before="160" w:after="60"/>
      </w:pPr>
      <w:r>
        <w:rPr>
          <w:rFonts w:ascii="Times New Roman" w:hAnsi="Times New Roman" w:eastAsia="黑体"/>
          <w:b/>
          <w:i w:val="0"/>
          <w:sz w:val="24"/>
        </w:rPr>
        <w:t>市场耦合与区域间定价</w:t>
      </w:r>
    </w:p>
    <w:p>
      <w:pPr>
        <w:spacing w:line="360" w:lineRule="auto" w:after="0"/>
        <w:ind w:firstLine="425"/>
      </w:pPr>
      <w:r>
        <w:rPr>
          <w:rFonts w:ascii="Times New Roman" w:hAnsi="Times New Roman" w:eastAsia="宋体"/>
          <w:b w:val="0"/>
          <w:i w:val="0"/>
          <w:sz w:val="22"/>
        </w:rPr>
        <w:t>跨国/跨区域电力市场耦合通过隐式拍卖机制实现区域间电价的协调。在市场耦合中，各区域市场独立出清，通过联络线拍卖实现跨区域交易。耦合算法（如CACAO、COSMOS）计算最优的跨区域交易量，使得各区域价格在输电约束允许的范围内尽可能趋同。</w:t>
      </w:r>
    </w:p>
    <w:p>
      <w:pPr>
        <w:spacing w:line="360" w:lineRule="auto" w:after="0"/>
        <w:ind w:firstLine="425"/>
      </w:pPr>
      <w:r>
        <w:rPr>
          <w:rFonts w:ascii="Times New Roman" w:hAnsi="Times New Roman" w:eastAsia="宋体"/>
          <w:b w:val="0"/>
          <w:i w:val="0"/>
          <w:sz w:val="22"/>
        </w:rPr>
        <w:t>市场耦合的效果取决于联络线容量和各区域的价格差异。当联络线容量充足时，耦合可以使各区域价格完全趋同（价格收敛）；当联络线容量不足时，价格差异反映输电阻塞的成本。欧洲日前市场耦合（EPEX SPOT, Nord Pool, etc.）是全球最大的市场耦合实践，覆盖了欧洲大部分国家。</w:t>
      </w:r>
    </w:p>
    <w:p>
      <w:pPr>
        <w:spacing w:line="360" w:lineRule="auto" w:after="0"/>
        <w:ind w:firstLine="425"/>
      </w:pPr>
      <w:r>
        <w:rPr>
          <w:rFonts w:ascii="Times New Roman" w:hAnsi="Times New Roman" w:eastAsia="宋体"/>
          <w:b w:val="0"/>
          <w:i w:val="0"/>
          <w:sz w:val="22"/>
        </w:rPr>
        <w:t>实时定价中的市场耦合面临时间尺度挑战。日前市场耦合通常有足够时间进行优化计算，但实时市场耦合需要在分钟级完成跨区域协调。流基耦合方法使用物理潮流模型而非简化模型，可以更精确地计算跨区域交易的影响，但计算复杂度更高。</w:t>
      </w:r>
    </w:p>
    <w:p>
      <w:pPr>
        <w:pStyle w:val="Heading3"/>
        <w:spacing w:before="160" w:after="60"/>
      </w:pPr>
      <w:r>
        <w:rPr>
          <w:rFonts w:ascii="Times New Roman" w:hAnsi="Times New Roman" w:eastAsia="黑体"/>
          <w:b/>
          <w:i w:val="0"/>
          <w:sz w:val="24"/>
        </w:rPr>
        <w:t>需求响应在综合能源系统中的扩展</w:t>
      </w:r>
    </w:p>
    <w:p>
      <w:pPr>
        <w:spacing w:line="360" w:lineRule="auto" w:after="0"/>
        <w:ind w:firstLine="425"/>
      </w:pPr>
      <w:r>
        <w:rPr>
          <w:rFonts w:ascii="Times New Roman" w:hAnsi="Times New Roman" w:eastAsia="宋体"/>
          <w:b w:val="0"/>
          <w:i w:val="0"/>
          <w:sz w:val="22"/>
        </w:rPr>
        <w:t>综合能源系统中的需求响应从单一电力需求响应扩展为多能需求响应。用户可以选择在不同能源形式之间替代（如用电锅炉替代燃气锅炉），也可以在时间上转移用能（如将热水制备从高峰时段转移到低谷时段）。</w:t>
      </w:r>
    </w:p>
    <w:p>
      <w:pPr>
        <w:spacing w:line="360" w:lineRule="auto" w:after="0"/>
        <w:ind w:firstLine="425"/>
      </w:pPr>
      <w:r>
        <w:rPr>
          <w:rFonts w:ascii="Times New Roman" w:hAnsi="Times New Roman" w:eastAsia="宋体"/>
          <w:b w:val="0"/>
          <w:i w:val="0"/>
          <w:sz w:val="22"/>
        </w:rPr>
        <w:t>多能需求响应的建模需要考虑能源替代弹性和时间替代弹性。能源替代弹性描述不同能源形式之间的替代程度，受设备类型和技术参数约束。时间替代弹性描述用能在时间上的灵活性，受用能需求和存储能力约束。</w:t>
      </w:r>
    </w:p>
    <w:p>
      <w:pPr>
        <w:spacing w:line="360" w:lineRule="auto" w:after="0"/>
        <w:ind w:firstLine="425"/>
      </w:pPr>
      <w:r>
        <w:rPr>
          <w:rFonts w:ascii="Times New Roman" w:hAnsi="Times New Roman" w:eastAsia="宋体"/>
          <w:b w:val="0"/>
          <w:i w:val="0"/>
          <w:sz w:val="22"/>
        </w:rPr>
        <w:t>多能需求响应的定价需要设计跨能源形式的价格信号。最优多能定价应反映各能源的边际成本和耦合关系：当电力价格高而天然气价格低时，价格信号应引导用户从用电转向用气。实时多能定价可以精确反映这种跨能源替代的边际价值。</w:t>
      </w:r>
    </w:p>
    <w:p>
      <w:pPr>
        <w:pStyle w:val="Heading3"/>
        <w:spacing w:before="160" w:after="60"/>
      </w:pPr>
      <w:r>
        <w:rPr>
          <w:rFonts w:ascii="Times New Roman" w:hAnsi="Times New Roman" w:eastAsia="黑体"/>
          <w:b/>
          <w:i w:val="0"/>
          <w:sz w:val="24"/>
        </w:rPr>
        <w:t>综合能源系统的可靠性评估</w:t>
      </w:r>
    </w:p>
    <w:p>
      <w:pPr>
        <w:spacing w:line="360" w:lineRule="auto" w:after="0"/>
        <w:ind w:firstLine="425"/>
      </w:pPr>
      <w:r>
        <w:rPr>
          <w:rFonts w:ascii="Times New Roman" w:hAnsi="Times New Roman" w:eastAsia="宋体"/>
          <w:b w:val="0"/>
          <w:i w:val="0"/>
          <w:sz w:val="22"/>
        </w:rPr>
        <w:t>综合能源系统的可靠性评估需要考虑多种能源的供应充裕度和耦合效应。传统的电力可靠性指标（如LOLP、EENS）需要扩展为多能可靠性指标，反映电力、天然气和热力的综合供应可靠性。</w:t>
      </w:r>
    </w:p>
    <w:p>
      <w:pPr>
        <w:spacing w:line="360" w:lineRule="auto" w:after="0"/>
        <w:ind w:firstLine="425"/>
      </w:pPr>
      <w:r>
        <w:rPr>
          <w:rFonts w:ascii="Times New Roman" w:hAnsi="Times New Roman" w:eastAsia="宋体"/>
          <w:b w:val="0"/>
          <w:i w:val="0"/>
          <w:sz w:val="22"/>
        </w:rPr>
        <w:t>多能系统可靠性的一个独特问题是级联故障风险。天然气系统的压力下降可能导致燃气机组停机，进而影响电力供应；电力系统的故障可能导致电驱动压缩机停机，进而影响天然气输送。这种跨能源的级联故障可能在极端事件中被放大。</w:t>
      </w:r>
    </w:p>
    <w:p>
      <w:pPr>
        <w:spacing w:line="360" w:lineRule="auto" w:after="0"/>
        <w:ind w:firstLine="425"/>
      </w:pPr>
      <w:r>
        <w:rPr>
          <w:rFonts w:ascii="Times New Roman" w:hAnsi="Times New Roman" w:eastAsia="宋体"/>
          <w:b w:val="0"/>
          <w:i w:val="0"/>
          <w:sz w:val="22"/>
        </w:rPr>
        <w:t>可靠性约束的定价通过可靠性边际成本体现。当系统可靠性接近约束边界时（如LOLP接近允许上限），可靠性边际成本急剧上升，反映为更高的电价。这种价格信号激励灵活性资源（如储能、需求响应）参与可靠性保障。</w:t>
      </w:r>
    </w:p>
    <w:p>
      <w:pPr>
        <w:spacing w:line="360" w:lineRule="auto" w:after="0"/>
        <w:ind w:firstLine="425"/>
      </w:pPr>
      <w:r>
        <w:rPr>
          <w:rFonts w:ascii="Times New Roman" w:hAnsi="Times New Roman" w:eastAsia="宋体"/>
          <w:b w:val="0"/>
          <w:i w:val="0"/>
          <w:sz w:val="22"/>
        </w:rPr>
        <w:t>N-1准则在多能系统中的扩展要求系统能够承受任一关键组件的故障。多能N-1准则需要考虑跨能源的故障传播路径：一个能源系统的组件故障可能通过耦合设备影响其他能源系统。N-1校验的计算复杂度随系统规模和耦合程度增长，需要高效的筛选算法确定关键故障集。</w:t>
      </w:r>
    </w:p>
    <w:p>
      <w:pPr>
        <w:pStyle w:val="Heading2"/>
        <w:spacing w:before="240" w:after="80"/>
      </w:pPr>
      <w:r>
        <w:rPr>
          <w:rFonts w:ascii="Times New Roman" w:hAnsi="Times New Roman" w:eastAsia="黑体"/>
          <w:b/>
          <w:i w:val="0"/>
          <w:sz w:val="28"/>
        </w:rPr>
        <w:t>10.12 综合能源系统的前沿技术与未来展望</w:t>
      </w:r>
    </w:p>
    <w:p>
      <w:pPr>
        <w:pStyle w:val="Heading3"/>
        <w:spacing w:before="160" w:after="60"/>
      </w:pPr>
      <w:r>
        <w:rPr>
          <w:rFonts w:ascii="Times New Roman" w:hAnsi="Times New Roman" w:eastAsia="黑体"/>
          <w:b/>
          <w:i w:val="0"/>
          <w:sz w:val="24"/>
        </w:rPr>
        <w:t>人工智能在多能系统中的应用</w:t>
      </w:r>
    </w:p>
    <w:p>
      <w:pPr>
        <w:spacing w:line="360" w:lineRule="auto" w:after="0"/>
        <w:ind w:firstLine="425"/>
      </w:pPr>
      <w:r>
        <w:rPr>
          <w:rFonts w:ascii="Times New Roman" w:hAnsi="Times New Roman" w:eastAsia="宋体"/>
          <w:b w:val="0"/>
          <w:i w:val="0"/>
          <w:sz w:val="22"/>
        </w:rPr>
        <w:t>人工智能技术正在重塑综合能源系统的运营和管理。在多能流优化调度中，深度学习可以加速潮流计算：训练神经网络模型学习输入（负荷、可再生出力）到输出（电压、相角、流量）的映射，实现毫秒级潮流计算，比传统迭代方法快几个数量级。</w:t>
      </w:r>
    </w:p>
    <w:p>
      <w:pPr>
        <w:spacing w:line="360" w:lineRule="auto" w:after="0"/>
        <w:ind w:firstLine="425"/>
      </w:pPr>
      <w:r>
        <w:rPr>
          <w:rFonts w:ascii="Times New Roman" w:hAnsi="Times New Roman" w:eastAsia="宋体"/>
          <w:b w:val="0"/>
          <w:i w:val="0"/>
          <w:sz w:val="22"/>
        </w:rPr>
        <w:t>物理信息神经网络（PINN）将电力系统的物理方程（如潮流方程、管道流动方程）嵌入神经网络的损失函数中。PINN不需要标注数据（利用物理方程作为监督），在小数据场景下表现优异。在多能流计算中，PINN可以同时学习电力和天然气流的解，自动满足耦合约束。</w:t>
      </w:r>
    </w:p>
    <w:p>
      <w:pPr>
        <w:spacing w:line="360" w:lineRule="auto" w:after="0"/>
        <w:ind w:firstLine="425"/>
      </w:pPr>
      <w:r>
        <w:rPr>
          <w:rFonts w:ascii="Times New Roman" w:hAnsi="Times New Roman" w:eastAsia="宋体"/>
          <w:b w:val="0"/>
          <w:i w:val="0"/>
          <w:sz w:val="22"/>
        </w:rPr>
        <w:t>图神经网络（GNN）天然适合处理电网拓扑结构。GNN的节点特征可以表示发电机和负荷参数，边特征表示线路参数。GNN可以学习电网的拓扑特征，用于节点电价预测、阻塞预测和故障诊断。在多能系统中，异构图神经网络可以表示不同类型的节点（电力节点、天然气节点、热力节点）和边（电力线路、天然气管道、热力管道、耦合设备）。</w:t>
      </w:r>
    </w:p>
    <w:p>
      <w:pPr>
        <w:pStyle w:val="Heading3"/>
        <w:spacing w:before="160" w:after="60"/>
      </w:pPr>
      <w:r>
        <w:rPr>
          <w:rFonts w:ascii="Times New Roman" w:hAnsi="Times New Roman" w:eastAsia="黑体"/>
          <w:b/>
          <w:i w:val="0"/>
          <w:sz w:val="24"/>
        </w:rPr>
        <w:t>数字孪生在综合能源系统中的实现</w:t>
      </w:r>
    </w:p>
    <w:p>
      <w:pPr>
        <w:spacing w:line="360" w:lineRule="auto" w:after="0"/>
        <w:ind w:firstLine="425"/>
      </w:pPr>
      <w:r>
        <w:rPr>
          <w:rFonts w:ascii="Times New Roman" w:hAnsi="Times New Roman" w:eastAsia="宋体"/>
          <w:b w:val="0"/>
          <w:i w:val="0"/>
          <w:sz w:val="22"/>
        </w:rPr>
        <w:t>综合能源系统的数字孪生需要集成多种物理仿真模型和实时数据。实现架构包括：</w:t>
      </w:r>
    </w:p>
    <w:p>
      <w:pPr>
        <w:spacing w:line="360" w:lineRule="auto" w:after="0"/>
        <w:ind w:firstLine="425"/>
      </w:pPr>
      <w:r>
        <w:rPr>
          <w:rFonts w:ascii="Times New Roman" w:hAnsi="Times New Roman" w:eastAsia="宋体"/>
          <w:b w:val="0"/>
          <w:i w:val="0"/>
          <w:sz w:val="22"/>
        </w:rPr>
        <w:t>物理模型层：包含电力潮流模型、天然气流模型、热力流模型和多能耦合模型。各模型可以是白箱（基于物理方程）、灰箱（物理方程+数据校准）或黑箱（纯数据驱动）。灰箱模型在实践中最为常用，兼顾物理精度和数据适应性。</w:t>
      </w:r>
    </w:p>
    <w:p>
      <w:pPr>
        <w:spacing w:line="360" w:lineRule="auto" w:after="0"/>
        <w:ind w:firstLine="425"/>
      </w:pPr>
      <w:r>
        <w:rPr>
          <w:rFonts w:ascii="Times New Roman" w:hAnsi="Times New Roman" w:eastAsia="宋体"/>
          <w:b w:val="0"/>
          <w:i w:val="0"/>
          <w:sz w:val="22"/>
        </w:rPr>
        <w:t>数据采集层：通过SCADA系统、PMU装置、智能电表和传感器实时采集系统运行数据。数据清洗和预处理确保数据质量。时间同步确保不同数据源的时间戳一致。</w:t>
      </w:r>
    </w:p>
    <w:p>
      <w:pPr>
        <w:spacing w:line="360" w:lineRule="auto" w:after="0"/>
        <w:ind w:firstLine="425"/>
      </w:pPr>
      <w:r>
        <w:rPr>
          <w:rFonts w:ascii="Times New Roman" w:hAnsi="Times New Roman" w:eastAsia="宋体"/>
          <w:b w:val="0"/>
          <w:i w:val="0"/>
          <w:sz w:val="22"/>
        </w:rPr>
        <w:t>数字孪生引擎层：将物理模型和数据采集融合，实时更新虚拟模型的状态。状态估计利用实时数据修正模型预测，使虚拟模型与物理系统保持同步。当物理模型和数据不一致时，状态估计算法可以识别误差来源（模型偏差或传感器故障）。</w:t>
      </w:r>
    </w:p>
    <w:p>
      <w:pPr>
        <w:spacing w:line="360" w:lineRule="auto" w:after="0"/>
        <w:ind w:firstLine="425"/>
      </w:pPr>
      <w:r>
        <w:rPr>
          <w:rFonts w:ascii="Times New Roman" w:hAnsi="Times New Roman" w:eastAsia="宋体"/>
          <w:b w:val="0"/>
          <w:i w:val="0"/>
          <w:sz w:val="22"/>
        </w:rPr>
        <w:t>应用层：基于数字孪生提供各种应用服务，包括实时定价、故障诊断、维护计划和投资规划。定价应用利用数字孪生预测不同定价策略的效果，选择最优策略。</w:t>
      </w:r>
    </w:p>
    <w:p>
      <w:pPr>
        <w:pStyle w:val="Heading3"/>
        <w:spacing w:before="160" w:after="60"/>
      </w:pPr>
      <w:r>
        <w:rPr>
          <w:rFonts w:ascii="Times New Roman" w:hAnsi="Times New Roman" w:eastAsia="黑体"/>
          <w:b/>
          <w:i w:val="0"/>
          <w:sz w:val="24"/>
        </w:rPr>
        <w:t>综合能源系统的去中心化交易</w:t>
      </w:r>
    </w:p>
    <w:p>
      <w:pPr>
        <w:spacing w:line="360" w:lineRule="auto" w:after="0"/>
        <w:ind w:firstLine="425"/>
      </w:pPr>
      <w:r>
        <w:rPr>
          <w:rFonts w:ascii="Times New Roman" w:hAnsi="Times New Roman" w:eastAsia="宋体"/>
          <w:b w:val="0"/>
          <w:i w:val="0"/>
          <w:sz w:val="22"/>
        </w:rPr>
        <w:t>区块链技术为综合能源系统的去中心化交易提供了技术基础。在去中心化交易模式下，产消者直接交易能源，无需通过中心化交易平台。</w:t>
      </w:r>
    </w:p>
    <w:p>
      <w:pPr>
        <w:spacing w:line="360" w:lineRule="auto" w:after="0"/>
        <w:ind w:firstLine="425"/>
      </w:pPr>
      <w:r>
        <w:rPr>
          <w:rFonts w:ascii="Times New Roman" w:hAnsi="Times New Roman" w:eastAsia="宋体"/>
          <w:b w:val="0"/>
          <w:i w:val="0"/>
          <w:sz w:val="22"/>
        </w:rPr>
        <w:t>智能合约自动执行交易规则。当交易条件满足时（如价格匹配、供需量匹配），智能合约自动执行交易并记录到区块链上。去中心化预言机（Oracle）将外部数据（如天气数据、负荷预测）引入区块链，作为智能合约的输入。</w:t>
      </w:r>
    </w:p>
    <w:p>
      <w:pPr>
        <w:spacing w:line="360" w:lineRule="auto" w:after="0"/>
        <w:ind w:firstLine="425"/>
      </w:pPr>
      <w:r>
        <w:rPr>
          <w:rFonts w:ascii="Times New Roman" w:hAnsi="Times New Roman" w:eastAsia="宋体"/>
          <w:b w:val="0"/>
          <w:i w:val="0"/>
          <w:sz w:val="22"/>
        </w:rPr>
        <w:t>去中心化交易的优势包括：降低交易成本（无中间商）、提高透明度（所有交易记录在链上不可篡改）、增强韧性（无单点故障）。然而，挑战包括：区块链的吞吐量限制（以太坊约15 TPS）、交易确认延迟、智能合约的安全漏洞和监管合规性。</w:t>
      </w:r>
    </w:p>
    <w:p>
      <w:pPr>
        <w:spacing w:line="360" w:lineRule="auto" w:after="0"/>
        <w:ind w:firstLine="425"/>
      </w:pPr>
      <w:r>
        <w:rPr>
          <w:rFonts w:ascii="Times New Roman" w:hAnsi="Times New Roman" w:eastAsia="宋体"/>
          <w:b w:val="0"/>
          <w:i w:val="0"/>
          <w:sz w:val="22"/>
        </w:rPr>
        <w:t>Layer 2解决方案（如闪电网络、Rollup）可以在链下处理大量交易，仅将最终结果提交到链上，大幅提高吞吐量。联盟链（如Hyperledger Fabric）在性能和去中心化之间取得平衡，更适合企业级应用。</w:t>
      </w:r>
    </w:p>
    <w:p>
      <w:pPr>
        <w:pStyle w:val="Heading3"/>
        <w:spacing w:before="160" w:after="60"/>
      </w:pPr>
      <w:r>
        <w:rPr>
          <w:rFonts w:ascii="Times New Roman" w:hAnsi="Times New Roman" w:eastAsia="黑体"/>
          <w:b/>
          <w:i w:val="0"/>
          <w:sz w:val="24"/>
        </w:rPr>
        <w:t>综合能源系统的碳追踪与碳交易</w:t>
      </w:r>
    </w:p>
    <w:p>
      <w:pPr>
        <w:spacing w:line="360" w:lineRule="auto" w:after="0"/>
        <w:ind w:firstLine="425"/>
      </w:pPr>
      <w:r>
        <w:rPr>
          <w:rFonts w:ascii="Times New Roman" w:hAnsi="Times New Roman" w:eastAsia="宋体"/>
          <w:b w:val="0"/>
          <w:i w:val="0"/>
          <w:sz w:val="22"/>
        </w:rPr>
        <w:t>综合能源系统为碳排放的精确追踪和交易提供了更细粒度的平台。碳追踪技术可以追踪碳排放从源头到终端的完整路径，实现碳排放责任的精确分摊。</w:t>
      </w:r>
    </w:p>
    <w:p>
      <w:pPr>
        <w:spacing w:line="360" w:lineRule="auto" w:after="0"/>
        <w:ind w:firstLine="425"/>
      </w:pPr>
      <w:r>
        <w:rPr>
          <w:rFonts w:ascii="Times New Roman" w:hAnsi="Times New Roman" w:eastAsia="宋体"/>
          <w:b w:val="0"/>
          <w:i w:val="0"/>
          <w:sz w:val="22"/>
        </w:rPr>
        <w:t>基于区块链的碳追踪利用区块链的不可篡改性和可追溯性，记录每单位能源的碳排放信息。碳排放数据从发电端录入，随能源交易在区块链上传递，最终在消费端汇总。这种端到端的碳追踪为碳交易的公平性和透明性提供了技术保障。</w:t>
      </w:r>
    </w:p>
    <w:p>
      <w:pPr>
        <w:spacing w:line="360" w:lineRule="auto" w:after="0"/>
        <w:ind w:firstLine="425"/>
      </w:pPr>
      <w:r>
        <w:rPr>
          <w:rFonts w:ascii="Times New Roman" w:hAnsi="Times New Roman" w:eastAsia="宋体"/>
          <w:b w:val="0"/>
          <w:i w:val="0"/>
          <w:sz w:val="22"/>
        </w:rPr>
        <w:t>碳交易与实时定价的融合使得碳成本可以实时反映在能源价格中。当碳价上涨时，高碳能源的价格上升，低碳能源的价格相对下降，引导用户选择低碳能源。这种动态碳-电价格耦合机制可以加速能源转型。</w:t>
      </w:r>
    </w:p>
    <w:p>
      <w:pPr>
        <w:spacing w:line="360" w:lineRule="auto" w:after="0"/>
        <w:ind w:firstLine="425"/>
      </w:pPr>
      <w:r>
        <w:rPr>
          <w:rFonts w:ascii="Times New Roman" w:hAnsi="Times New Roman" w:eastAsia="宋体"/>
          <w:b w:val="0"/>
          <w:i w:val="0"/>
          <w:sz w:val="22"/>
        </w:rPr>
        <w:t>个人碳交易（Personal Carbon Trading, PCT）是将碳配额分配到个人层面的创新机制。每个用户获得一定碳配额，用电时消耗配额。配额不足时需要购买，配额有剩余时可以出售。实时定价与PCT的结合可以同时提供价格激励和碳排放约束，双重驱动低碳行为。</w:t>
      </w:r>
    </w:p>
    <w:p>
      <w:pPr>
        <w:pStyle w:val="Heading3"/>
        <w:spacing w:before="160" w:after="60"/>
      </w:pPr>
      <w:r>
        <w:rPr>
          <w:rFonts w:ascii="Times New Roman" w:hAnsi="Times New Roman" w:eastAsia="黑体"/>
          <w:b/>
          <w:i w:val="0"/>
          <w:sz w:val="24"/>
        </w:rPr>
        <w:t>未来展望与技术路线图</w:t>
      </w:r>
    </w:p>
    <w:p>
      <w:pPr>
        <w:spacing w:line="360" w:lineRule="auto" w:after="0"/>
        <w:ind w:firstLine="425"/>
      </w:pPr>
      <w:r>
        <w:rPr>
          <w:rFonts w:ascii="Times New Roman" w:hAnsi="Times New Roman" w:eastAsia="宋体"/>
          <w:b w:val="0"/>
          <w:i w:val="0"/>
          <w:sz w:val="22"/>
        </w:rPr>
        <w:t>综合能源系统定价的未来发展将呈现以下趋势：</w:t>
      </w:r>
    </w:p>
    <w:p>
      <w:pPr>
        <w:spacing w:line="360" w:lineRule="auto" w:after="0"/>
        <w:ind w:firstLine="425"/>
      </w:pPr>
      <w:r>
        <w:rPr>
          <w:rFonts w:ascii="Times New Roman" w:hAnsi="Times New Roman" w:eastAsia="宋体"/>
          <w:b w:val="0"/>
          <w:i w:val="0"/>
          <w:sz w:val="22"/>
        </w:rPr>
        <w:t>短期（1-3年）：完善多能流优化调度的算法和工具；建立多能数据的标准化采集和共享机制；在工业园区和新建区域开展综合能源定价试点。</w:t>
      </w:r>
    </w:p>
    <w:p>
      <w:pPr>
        <w:spacing w:line="360" w:lineRule="auto" w:after="0"/>
        <w:ind w:firstLine="425"/>
      </w:pPr>
      <w:r>
        <w:rPr>
          <w:rFonts w:ascii="Times New Roman" w:hAnsi="Times New Roman" w:eastAsia="宋体"/>
          <w:b w:val="0"/>
          <w:i w:val="0"/>
          <w:sz w:val="22"/>
        </w:rPr>
        <w:t>中期（3-5年）：实现多能市场的统一出清和联合定价；部署基于AI的多能流实时优化系统；建立碳-电耦合的联合市场机制；推广数字孪生技术在多能系统中的应用。</w:t>
      </w:r>
    </w:p>
    <w:p>
      <w:pPr>
        <w:spacing w:line="360" w:lineRule="auto" w:after="0"/>
        <w:ind w:firstLine="425"/>
      </w:pPr>
      <w:r>
        <w:rPr>
          <w:rFonts w:ascii="Times New Roman" w:hAnsi="Times New Roman" w:eastAsia="宋体"/>
          <w:b w:val="0"/>
          <w:i w:val="0"/>
          <w:sz w:val="22"/>
        </w:rPr>
        <w:t>长期（5-10年）：实现去中心化多能交易的商业化部署；建立跨国多能互联市场的定价协调机制；实现AI驱动的自适应多能定价系统；建立完善的碳追踪和碳交易体系。</w:t>
      </w:r>
    </w:p>
    <w:p>
      <w:pPr>
        <w:spacing w:line="360" w:lineRule="auto" w:after="0"/>
        <w:ind w:firstLine="425"/>
      </w:pPr>
      <w:r>
        <w:rPr>
          <w:rFonts w:ascii="Times New Roman" w:hAnsi="Times New Roman" w:eastAsia="宋体"/>
          <w:b w:val="0"/>
          <w:i w:val="0"/>
          <w:sz w:val="22"/>
        </w:rPr>
        <w:t>实现这些目标需要在政策、技术、市场和社会四个层面协同推进。政策层面需要建立跨能源类型的监管框架和市场规则；技术层面需要突破多能流优化、AI定价和数字孪生等关键技术；市场层面需要培育多能服务商业模式和投资机制；社会层面需要提高公众对综合能源系统和碳交易的认知和接受度。</w:t>
      </w:r>
    </w:p>
    <w:p>
      <w:pPr>
        <w:pStyle w:val="Heading2"/>
        <w:spacing w:before="240" w:after="80"/>
      </w:pPr>
      <w:r>
        <w:rPr>
          <w:rFonts w:ascii="Times New Roman" w:hAnsi="Times New Roman" w:eastAsia="黑体"/>
          <w:b/>
          <w:i w:val="0"/>
          <w:sz w:val="28"/>
        </w:rPr>
        <w:t>10.13 综合能源系统定价的深化分析</w:t>
      </w:r>
    </w:p>
    <w:p>
      <w:pPr>
        <w:pStyle w:val="Heading3"/>
        <w:spacing w:before="160" w:after="60"/>
      </w:pPr>
      <w:r>
        <w:rPr>
          <w:rFonts w:ascii="Times New Roman" w:hAnsi="Times New Roman" w:eastAsia="黑体"/>
          <w:b/>
          <w:i w:val="0"/>
          <w:sz w:val="24"/>
        </w:rPr>
        <w:t>多能耦合定价的福利分析</w:t>
      </w:r>
    </w:p>
    <w:p>
      <w:pPr>
        <w:spacing w:line="360" w:lineRule="auto" w:after="0"/>
        <w:ind w:firstLine="425"/>
      </w:pPr>
      <w:r>
        <w:rPr>
          <w:rFonts w:ascii="Times New Roman" w:hAnsi="Times New Roman" w:eastAsia="宋体"/>
          <w:b w:val="0"/>
          <w:i w:val="0"/>
          <w:sz w:val="22"/>
        </w:rPr>
        <w:t>多能耦合定价对社会福利的影响需要系统分析。多能耦合通过能源替代和梯级利用提高了总体能源利用效率，理论上可以增加社会福利。然而，耦合定价机制的设计不当可能扭曲价格信号，降低分配效率。</w:t>
      </w:r>
    </w:p>
    <w:p>
      <w:pPr>
        <w:spacing w:line="360" w:lineRule="auto" w:after="0"/>
        <w:ind w:firstLine="425"/>
      </w:pPr>
      <w:r>
        <w:rPr>
          <w:rFonts w:ascii="Times New Roman" w:hAnsi="Times New Roman" w:eastAsia="宋体"/>
          <w:b w:val="0"/>
          <w:i w:val="0"/>
          <w:sz w:val="22"/>
        </w:rPr>
        <w:t>福利分析的第一步是定义社会福利函数。在多能系统中，社会福利定义为所有能源用户的总效用减去所有能源供应的总成本。最优多能定价应使每种能源在每个节点的边际价格等于其边际供电成本（包括直接成本和耦合效应导致的间接成本）。</w:t>
      </w:r>
    </w:p>
    <w:p>
      <w:pPr>
        <w:spacing w:line="360" w:lineRule="auto" w:after="0"/>
        <w:ind w:firstLine="425"/>
      </w:pPr>
      <w:r>
        <w:rPr>
          <w:rFonts w:ascii="Times New Roman" w:hAnsi="Times New Roman" w:eastAsia="宋体"/>
          <w:b w:val="0"/>
          <w:i w:val="0"/>
          <w:sz w:val="22"/>
        </w:rPr>
        <w:t>耦合效率收益来自能源替代：当一种能源的边际成本上升时，用户可以转向边际成本较低的替代能源。这种替代减少了高成本能源的使用，增加了低成本能源的使用，总体降低了供电成本。耦合效率收益的大小取决于能源替代弹性的大小。</w:t>
      </w:r>
    </w:p>
    <w:p>
      <w:pPr>
        <w:spacing w:line="360" w:lineRule="auto" w:after="0"/>
        <w:ind w:firstLine="425"/>
      </w:pPr>
      <w:r>
        <w:rPr>
          <w:rFonts w:ascii="Times New Roman" w:hAnsi="Times New Roman" w:eastAsia="宋体"/>
          <w:b w:val="0"/>
          <w:i w:val="0"/>
          <w:sz w:val="22"/>
        </w:rPr>
        <w:t>耦合定价的分配效应需要仔细分析。多能耦合可能导致某些能源用户受益（获得更低的能源价格）而另一些用户受损（面临更高的能源价格）。例如，电力-天然气耦合定价可能使同时使用电力和天然气的用户受益，但使仅使用电力的用户面临更高电价（因为天然气发电增加了电力需求）。</w:t>
      </w:r>
    </w:p>
    <w:p>
      <w:pPr>
        <w:pStyle w:val="Heading3"/>
        <w:spacing w:before="160" w:after="60"/>
      </w:pPr>
      <w:r>
        <w:rPr>
          <w:rFonts w:ascii="Times New Roman" w:hAnsi="Times New Roman" w:eastAsia="黑体"/>
          <w:b/>
          <w:i w:val="0"/>
          <w:sz w:val="24"/>
        </w:rPr>
        <w:t>多能市场的市场力分析</w:t>
      </w:r>
    </w:p>
    <w:p>
      <w:pPr>
        <w:spacing w:line="360" w:lineRule="auto" w:after="0"/>
        <w:ind w:firstLine="425"/>
      </w:pPr>
      <w:r>
        <w:rPr>
          <w:rFonts w:ascii="Times New Roman" w:hAnsi="Times New Roman" w:eastAsia="宋体"/>
          <w:b w:val="0"/>
          <w:i w:val="0"/>
          <w:sz w:val="22"/>
        </w:rPr>
        <w:t>多能耦合增加了市场力分析的复杂性。在纯电力市场中，市场力主要通过物理 withholding（减少发电出力提高电价）和经济性 withholding（提高报价）行使。在多能系统中，市场力可以通过跨能源操纵行使：控制天然气供应提高天然气价格，间接提高燃气发电成本，进而提高电价。</w:t>
      </w:r>
    </w:p>
    <w:p>
      <w:pPr>
        <w:spacing w:line="360" w:lineRule="auto" w:after="0"/>
        <w:ind w:firstLine="425"/>
      </w:pPr>
      <w:r>
        <w:rPr>
          <w:rFonts w:ascii="Times New Roman" w:hAnsi="Times New Roman" w:eastAsia="宋体"/>
          <w:b w:val="0"/>
          <w:i w:val="0"/>
          <w:sz w:val="22"/>
        </w:rPr>
        <w:t>跨能源市场力的检测需要同时监控多个能源市场的报价行为和价格变化。供应残留指数（RSI）需要扩展为多能RSI，考虑跨能源的替代可能性。当某企业在多个能源市场中都占有较高份额时，其跨能源市场力可能显著大于单一能源市场力的简单叠加。</w:t>
      </w:r>
    </w:p>
    <w:p>
      <w:pPr>
        <w:spacing w:line="360" w:lineRule="auto" w:after="0"/>
        <w:ind w:firstLine="425"/>
      </w:pPr>
      <w:r>
        <w:rPr>
          <w:rFonts w:ascii="Times New Roman" w:hAnsi="Times New Roman" w:eastAsia="宋体"/>
          <w:b w:val="0"/>
          <w:i w:val="0"/>
          <w:sz w:val="22"/>
        </w:rPr>
        <w:t>多能市场力缓解机制包括：跨能源报价上限（限制企业在多个市场中的总报价偏离成本的程度）、虚拟投标限制（防止企业通过跨市场虚拟投标操纵价格）、信息披露要求（要求企业公开跨能源持仓和交易信息）。</w:t>
      </w:r>
    </w:p>
    <w:p>
      <w:pPr>
        <w:pStyle w:val="Heading3"/>
        <w:spacing w:before="160" w:after="60"/>
      </w:pPr>
      <w:r>
        <w:rPr>
          <w:rFonts w:ascii="Times New Roman" w:hAnsi="Times New Roman" w:eastAsia="黑体"/>
          <w:b/>
          <w:i w:val="0"/>
          <w:sz w:val="24"/>
        </w:rPr>
        <w:t>综合能源系统的灵活性价值</w:t>
      </w:r>
    </w:p>
    <w:p>
      <w:pPr>
        <w:spacing w:line="360" w:lineRule="auto" w:after="0"/>
        <w:ind w:firstLine="425"/>
      </w:pPr>
      <w:r>
        <w:rPr>
          <w:rFonts w:ascii="Times New Roman" w:hAnsi="Times New Roman" w:eastAsia="宋体"/>
          <w:b w:val="0"/>
          <w:i w:val="0"/>
          <w:sz w:val="22"/>
        </w:rPr>
        <w:t>综合能源系统的灵活性来源于多种能源形式的互补特性。电力的传输速度快但存储困难；天然气的传输速度慢但可以大规模存储；热力的传输速度最慢但热惯性提供了天然的时间缓冲。</w:t>
      </w:r>
    </w:p>
    <w:p>
      <w:pPr>
        <w:spacing w:line="360" w:lineRule="auto" w:after="0"/>
        <w:ind w:firstLine="425"/>
      </w:pPr>
      <w:r>
        <w:rPr>
          <w:rFonts w:ascii="Times New Roman" w:hAnsi="Times New Roman" w:eastAsia="宋体"/>
          <w:b w:val="0"/>
          <w:i w:val="0"/>
          <w:sz w:val="22"/>
        </w:rPr>
        <w:t>灵活性价值的量化需要建立灵活性度量指标。爬坡率指标衡量系统在不同时间尺度上调整供需平衡的能力。储能容量指标衡量系统在不同时间尺度上存储和释放能量的能力。响应时间指标衡量系统从接到指令到实际响应的时间。</w:t>
      </w:r>
    </w:p>
    <w:p>
      <w:pPr>
        <w:spacing w:line="360" w:lineRule="auto" w:after="0"/>
        <w:ind w:firstLine="425"/>
      </w:pPr>
      <w:r>
        <w:rPr>
          <w:rFonts w:ascii="Times New Roman" w:hAnsi="Times New Roman" w:eastAsia="宋体"/>
          <w:b w:val="0"/>
          <w:i w:val="0"/>
          <w:sz w:val="22"/>
        </w:rPr>
        <w:t>多能系统的灵活性价值可以通过机会成本方法量化：如果没有多能耦合，系统需要投资多少额外灵活性资源（如电池储能、燃气调峰机组）才能达到相同的灵活性水平？这些投资的成本就是多能耦合灵活性价值的下界。</w:t>
      </w:r>
    </w:p>
    <w:p>
      <w:pPr>
        <w:spacing w:line="360" w:lineRule="auto" w:after="0"/>
        <w:ind w:firstLine="425"/>
      </w:pPr>
      <w:r>
        <w:rPr>
          <w:rFonts w:ascii="Times New Roman" w:hAnsi="Times New Roman" w:eastAsia="宋体"/>
          <w:b w:val="0"/>
          <w:i w:val="0"/>
          <w:sz w:val="22"/>
        </w:rPr>
        <w:t>实时定价通过价格信号引导灵活性资源的优化配置。当系统需要快速响应时（如频率调节需求），高价格激励电力储能和快速响应负荷参与；当系统需要长期储能时（如季节性供需不平衡），适当的价格差激励天然气存储和热力存储参与。</w:t>
      </w:r>
    </w:p>
    <w:p>
      <w:pPr>
        <w:pStyle w:val="Heading3"/>
        <w:spacing w:before="160" w:after="60"/>
      </w:pPr>
      <w:r>
        <w:rPr>
          <w:rFonts w:ascii="Times New Roman" w:hAnsi="Times New Roman" w:eastAsia="黑体"/>
          <w:b/>
          <w:i w:val="0"/>
          <w:sz w:val="24"/>
        </w:rPr>
        <w:t>综合能源系统的投资规划</w:t>
      </w:r>
    </w:p>
    <w:p>
      <w:pPr>
        <w:spacing w:line="360" w:lineRule="auto" w:after="0"/>
        <w:ind w:firstLine="425"/>
      </w:pPr>
      <w:r>
        <w:rPr>
          <w:rFonts w:ascii="Times New Roman" w:hAnsi="Times New Roman" w:eastAsia="宋体"/>
          <w:b w:val="0"/>
          <w:i w:val="0"/>
          <w:sz w:val="22"/>
        </w:rPr>
        <w:t>综合能源系统的投资规划需要在多种能源技术之间做出最优选择。给定负荷增长预测和可靠性要求，如何分配投资到发电、输电、储能、天然气管道、热力网络等不同资产类别？</w:t>
      </w:r>
    </w:p>
    <w:p>
      <w:pPr>
        <w:spacing w:line="360" w:lineRule="auto" w:after="0"/>
        <w:ind w:firstLine="425"/>
      </w:pPr>
      <w:r>
        <w:rPr>
          <w:rFonts w:ascii="Times New Roman" w:hAnsi="Times New Roman" w:eastAsia="宋体"/>
          <w:b w:val="0"/>
          <w:i w:val="0"/>
          <w:sz w:val="22"/>
        </w:rPr>
        <w:t>多能投资优化模型将投资决策和运营决策耦合：投资决策决定了系统的物理能力，运营决策在给定物理能力下优化运行。两层优化模型的上层最小化投资成本加上运营成本的现值，下层在给定投资方案下优化日常运营。</w:t>
      </w:r>
    </w:p>
    <w:p>
      <w:pPr>
        <w:spacing w:line="360" w:lineRule="auto" w:after="0"/>
        <w:ind w:firstLine="425"/>
      </w:pPr>
      <w:r>
        <w:rPr>
          <w:rFonts w:ascii="Times New Roman" w:hAnsi="Times New Roman" w:eastAsia="宋体"/>
          <w:b w:val="0"/>
          <w:i w:val="0"/>
          <w:sz w:val="22"/>
        </w:rPr>
        <w:t>投资优化的不确定性来源包括：负荷增长的不确定性、技术成本下降的不确定性、政策环境变化的不确定性。随机规划方法通过场景树处理这些不确定性，鲁棒优化方法通过不确定性集合提供保护。</w:t>
      </w:r>
    </w:p>
    <w:p>
      <w:pPr>
        <w:spacing w:line="360" w:lineRule="auto" w:after="0"/>
        <w:ind w:firstLine="425"/>
      </w:pPr>
      <w:r>
        <w:rPr>
          <w:rFonts w:ascii="Times New Roman" w:hAnsi="Times New Roman" w:eastAsia="宋体"/>
          <w:b w:val="0"/>
          <w:i w:val="0"/>
          <w:sz w:val="22"/>
        </w:rPr>
        <w:t>实物期权方法为多能投资提供了灵活性价值评估工具。模块化投资（如分布式光伏逐步扩容）比集中式投资（如大型发电厂一次建设）具有更高的灵活性价值，因为可以根据需求变化调整投资节奏。实时定价通过反映实时供需状况，为投资决策提供了及时的市场信号。</w:t>
      </w:r>
    </w:p>
    <w:p>
      <w:pPr>
        <w:pStyle w:val="Heading3"/>
        <w:spacing w:before="160" w:after="60"/>
      </w:pPr>
      <w:r>
        <w:rPr>
          <w:rFonts w:ascii="Times New Roman" w:hAnsi="Times New Roman" w:eastAsia="黑体"/>
          <w:b/>
          <w:i w:val="0"/>
          <w:sz w:val="24"/>
        </w:rPr>
        <w:t>综合能源系统定价的国际比较</w:t>
      </w:r>
    </w:p>
    <w:p>
      <w:pPr>
        <w:spacing w:line="360" w:lineRule="auto" w:after="0"/>
        <w:ind w:firstLine="425"/>
      </w:pPr>
      <w:r>
        <w:rPr>
          <w:rFonts w:ascii="Times New Roman" w:hAnsi="Times New Roman" w:eastAsia="宋体"/>
          <w:b w:val="0"/>
          <w:i w:val="0"/>
          <w:sz w:val="22"/>
        </w:rPr>
        <w:t>不同国家对综合能源系统定价的探索路径不同：</w:t>
      </w:r>
    </w:p>
    <w:p>
      <w:pPr>
        <w:spacing w:line="360" w:lineRule="auto" w:after="0"/>
        <w:ind w:firstLine="425"/>
      </w:pPr>
      <w:r>
        <w:rPr>
          <w:rFonts w:ascii="Times New Roman" w:hAnsi="Times New Roman" w:eastAsia="宋体"/>
          <w:b w:val="0"/>
          <w:i w:val="0"/>
          <w:sz w:val="22"/>
        </w:rPr>
        <w:t>德国通过 sector coupling 政策推动多能耦合定价。德国对电力制氢（P2G）免除可再生能源附加费，降低了P2G的运营成本。德国还在探索将天然气网络和电力网络的规划协调制度化，避免两个网络规划的不一致导致投资浪费。</w:t>
      </w:r>
    </w:p>
    <w:p>
      <w:pPr>
        <w:spacing w:line="360" w:lineRule="auto" w:after="0"/>
        <w:ind w:firstLine="425"/>
      </w:pPr>
      <w:r>
        <w:rPr>
          <w:rFonts w:ascii="Times New Roman" w:hAnsi="Times New Roman" w:eastAsia="宋体"/>
          <w:b w:val="0"/>
          <w:i w:val="0"/>
          <w:sz w:val="22"/>
        </w:rPr>
        <w:t>英国的"能源系统运营商"（ESO）正在向"全能源系统运营商"转型，其职责从纯电力系统扩展到电力、天然气和热力的综合管理。ESO的全能源视角使得跨能源的定价协调更加自然。</w:t>
      </w:r>
    </w:p>
    <w:p>
      <w:pPr>
        <w:spacing w:line="360" w:lineRule="auto" w:after="0"/>
        <w:ind w:firstLine="425"/>
      </w:pPr>
      <w:r>
        <w:rPr>
          <w:rFonts w:ascii="Times New Roman" w:hAnsi="Times New Roman" w:eastAsia="宋体"/>
          <w:b w:val="0"/>
          <w:i w:val="0"/>
          <w:sz w:val="22"/>
        </w:rPr>
        <w:t>中国在综合能源系统定价方面正在积极探索。国家能源局发布了《关于推进多能互补集成优化示范工程建设的实施意见》，鼓励综合能源服务商业模式创新。雄安新区、海南自贸港等新区规划中纳入了综合能源系统定价的设计考虑。</w:t>
      </w:r>
    </w:p>
    <w:p>
      <w:pPr>
        <w:pStyle w:val="Heading2"/>
        <w:spacing w:before="240" w:after="80"/>
      </w:pPr>
      <w:r>
        <w:rPr>
          <w:rFonts w:ascii="Times New Roman" w:hAnsi="Times New Roman" w:eastAsia="黑体"/>
          <w:b/>
          <w:i w:val="0"/>
          <w:sz w:val="28"/>
        </w:rPr>
        <w:t>10.14 综合能源系统的定价前沿与实践深化</w:t>
      </w:r>
    </w:p>
    <w:p>
      <w:pPr>
        <w:pStyle w:val="Heading3"/>
        <w:spacing w:before="160" w:after="60"/>
      </w:pPr>
      <w:r>
        <w:rPr>
          <w:rFonts w:ascii="Times New Roman" w:hAnsi="Times New Roman" w:eastAsia="黑体"/>
          <w:b/>
          <w:i w:val="0"/>
          <w:sz w:val="24"/>
        </w:rPr>
        <w:t>多能流定价的分解协调算法</w:t>
      </w:r>
    </w:p>
    <w:p>
      <w:pPr>
        <w:spacing w:line="360" w:lineRule="auto" w:after="0"/>
        <w:ind w:firstLine="425"/>
      </w:pPr>
      <w:r>
        <w:rPr>
          <w:rFonts w:ascii="Times New Roman" w:hAnsi="Times New Roman" w:eastAsia="宋体"/>
          <w:b w:val="0"/>
          <w:i w:val="0"/>
          <w:sz w:val="22"/>
        </w:rPr>
        <w:t>大规模多能流定价问题需要分解协调算法实现高效求解。Benders分解将多能流问题分为电力子问题、天然气子问题和热力子问题，通过Benders割协调耦合约束。</w:t>
      </w:r>
    </w:p>
    <w:p>
      <w:pPr>
        <w:spacing w:line="360" w:lineRule="auto" w:after="0"/>
        <w:ind w:firstLine="425"/>
      </w:pPr>
      <w:r>
        <w:rPr>
          <w:rFonts w:ascii="Times New Roman" w:hAnsi="Times New Roman" w:eastAsia="宋体"/>
          <w:b w:val="0"/>
          <w:i w:val="0"/>
          <w:sz w:val="22"/>
        </w:rPr>
        <w:t>ADMM在多能流分解中的应用更为灵活。各能源子系统独立求解本地优化问题，通过耦合变量的增广拉格朗日协调。ADMM的优势在于各子系统可以使用最适合的求解器和建模方法，无需统一求解框架。</w:t>
      </w:r>
    </w:p>
    <w:p>
      <w:pPr>
        <w:spacing w:line="360" w:lineRule="auto" w:after="0"/>
        <w:ind w:firstLine="425"/>
      </w:pPr>
      <w:r>
        <w:rPr>
          <w:rFonts w:ascii="Times New Roman" w:hAnsi="Times New Roman" w:eastAsia="宋体"/>
          <w:b w:val="0"/>
          <w:i w:val="0"/>
          <w:sz w:val="22"/>
        </w:rPr>
        <w:t>Schur补分解利用雅可比矩阵的块结构进行精确分解。当耦合较弱时（各能源子系统的直接耦合变量少），Schur补方法可以高效求解。当耦合较强时，Schur补矩阵可能变得稠密，降低了分解效果。</w:t>
      </w:r>
    </w:p>
    <w:p>
      <w:pPr>
        <w:pStyle w:val="Heading3"/>
        <w:spacing w:before="160" w:after="60"/>
      </w:pPr>
      <w:r>
        <w:rPr>
          <w:rFonts w:ascii="Times New Roman" w:hAnsi="Times New Roman" w:eastAsia="黑体"/>
          <w:b/>
          <w:i w:val="0"/>
          <w:sz w:val="24"/>
        </w:rPr>
        <w:t>多能LMP的实证分析</w:t>
      </w:r>
    </w:p>
    <w:p>
      <w:pPr>
        <w:spacing w:line="360" w:lineRule="auto" w:after="0"/>
        <w:ind w:firstLine="425"/>
      </w:pPr>
      <w:r>
        <w:rPr>
          <w:rFonts w:ascii="Times New Roman" w:hAnsi="Times New Roman" w:eastAsia="宋体"/>
          <w:b w:val="0"/>
          <w:i w:val="0"/>
          <w:sz w:val="22"/>
        </w:rPr>
        <w:t>多能LMP的实证分析需要实际的系统数据和运行参数。以下案例展示了多能LMP的特征：</w:t>
      </w:r>
    </w:p>
    <w:p>
      <w:pPr>
        <w:spacing w:line="360" w:lineRule="auto" w:after="0"/>
        <w:ind w:firstLine="425"/>
      </w:pPr>
      <w:r>
        <w:rPr>
          <w:rFonts w:ascii="Times New Roman" w:hAnsi="Times New Roman" w:eastAsia="宋体"/>
          <w:b w:val="0"/>
          <w:i w:val="0"/>
          <w:sz w:val="22"/>
        </w:rPr>
        <w:t>在一个包含CHP机组、电锅炉和热网的工业园区中，电力LMP和热力LMP通过CHP机组耦合。当电力需求高时，CHP机组增加出力，同时增加热力供给，可能导致热力过剩（热力LMP降低）。当热力需求高时，CHP机组增加出力以满足热力需求，同时增加电力供给，可能导致电力过剩（电力LMP降低）。</w:t>
      </w:r>
    </w:p>
    <w:p>
      <w:pPr>
        <w:spacing w:line="360" w:lineRule="auto" w:after="0"/>
        <w:ind w:firstLine="425"/>
      </w:pPr>
      <w:r>
        <w:rPr>
          <w:rFonts w:ascii="Times New Roman" w:hAnsi="Times New Roman" w:eastAsia="宋体"/>
          <w:b w:val="0"/>
          <w:i w:val="0"/>
          <w:sz w:val="22"/>
        </w:rPr>
        <w:t>这种耦合效应使得多能LMP的波动模式不同于单能LMP。在纯电力市场中，电价仅反映电力供需；在多能市场中，电价还反映热力和天然气供需的间接影响。多能LMP为用户提供了更丰富的价格信号，引导跨能源形式的优化配置。</w:t>
      </w:r>
    </w:p>
    <w:p>
      <w:pPr>
        <w:pStyle w:val="Heading3"/>
        <w:spacing w:before="160" w:after="60"/>
      </w:pPr>
      <w:r>
        <w:rPr>
          <w:rFonts w:ascii="Times New Roman" w:hAnsi="Times New Roman" w:eastAsia="黑体"/>
          <w:b/>
          <w:i w:val="0"/>
          <w:sz w:val="24"/>
        </w:rPr>
        <w:t>多能系统的灵活性市场</w:t>
      </w:r>
    </w:p>
    <w:p>
      <w:pPr>
        <w:spacing w:line="360" w:lineRule="auto" w:after="0"/>
        <w:ind w:firstLine="425"/>
      </w:pPr>
      <w:r>
        <w:rPr>
          <w:rFonts w:ascii="Times New Roman" w:hAnsi="Times New Roman" w:eastAsia="宋体"/>
          <w:b w:val="0"/>
          <w:i w:val="0"/>
          <w:sz w:val="22"/>
        </w:rPr>
        <w:t>灵活性市场是为灵活性资源（储能、需求响应、可控负荷）提供交易平台的机制。在综合能源系统中，灵活性市场可以跨能源类型交易灵活性服务。</w:t>
      </w:r>
    </w:p>
    <w:p>
      <w:pPr>
        <w:spacing w:line="360" w:lineRule="auto" w:after="0"/>
        <w:ind w:firstLine="425"/>
      </w:pPr>
      <w:r>
        <w:rPr>
          <w:rFonts w:ascii="Times New Roman" w:hAnsi="Times New Roman" w:eastAsia="宋体"/>
          <w:b w:val="0"/>
          <w:i w:val="0"/>
          <w:sz w:val="22"/>
        </w:rPr>
        <w:t>电力灵活性市场允许储能和需求响应用户向系统运营商提供调频、备用和削峰服务。天然气灵活性市场允许储气设施和可中断天然气用户提供天然气调峰服务。跨能源灵活性市场允许电力灵活性资源替代天然气灵活性资源（如电锅炉替代燃气锅炉调峰），反之亦然。</w:t>
      </w:r>
    </w:p>
    <w:p>
      <w:pPr>
        <w:spacing w:line="360" w:lineRule="auto" w:after="0"/>
        <w:ind w:firstLine="425"/>
      </w:pPr>
      <w:r>
        <w:rPr>
          <w:rFonts w:ascii="Times New Roman" w:hAnsi="Times New Roman" w:eastAsia="宋体"/>
          <w:b w:val="0"/>
          <w:i w:val="0"/>
          <w:sz w:val="22"/>
        </w:rPr>
        <w:t>跨能源灵活性市场的定价需要考虑不同能源灵活性服务的等价关系。一单位电力调峰能力等价于多少单位天然气调峰能力？这取决于能源转换效率和耦合设备的约束。等价关系的量化为跨能源灵活性交易的公平定价提供了基础。</w:t>
      </w:r>
    </w:p>
    <w:p>
      <w:pPr>
        <w:pStyle w:val="Heading3"/>
        <w:spacing w:before="160" w:after="60"/>
      </w:pPr>
      <w:r>
        <w:rPr>
          <w:rFonts w:ascii="Times New Roman" w:hAnsi="Times New Roman" w:eastAsia="黑体"/>
          <w:b/>
          <w:i w:val="0"/>
          <w:sz w:val="24"/>
        </w:rPr>
        <w:t>综合能源系统的需求侧管理</w:t>
      </w:r>
    </w:p>
    <w:p>
      <w:pPr>
        <w:spacing w:line="360" w:lineRule="auto" w:after="0"/>
        <w:ind w:firstLine="425"/>
      </w:pPr>
      <w:r>
        <w:rPr>
          <w:rFonts w:ascii="Times New Roman" w:hAnsi="Times New Roman" w:eastAsia="宋体"/>
          <w:b w:val="0"/>
          <w:i w:val="0"/>
          <w:sz w:val="22"/>
        </w:rPr>
        <w:t>综合能源系统的需求侧管理从单一电力需求响应扩展为多能需求响应。用户可以在不同能源形式之间替代（如用电替代天然气）或在时间上转移用能（如延迟热水制备）。</w:t>
      </w:r>
    </w:p>
    <w:p>
      <w:pPr>
        <w:spacing w:line="360" w:lineRule="auto" w:after="0"/>
        <w:ind w:firstLine="425"/>
      </w:pPr>
      <w:r>
        <w:rPr>
          <w:rFonts w:ascii="Times New Roman" w:hAnsi="Times New Roman" w:eastAsia="宋体"/>
          <w:b w:val="0"/>
          <w:i w:val="0"/>
          <w:sz w:val="22"/>
        </w:rPr>
        <w:t>多能需求响应的建模需要考虑能源替代弹性。能源替代弹性受设备类型和技术参数约束：电锅炉和燃气锅炉可以互相替代，但空调只能用电。替代弹性还受用户偏好和行为习惯影响：有些用户偏好燃气烹饪，不愿改用电磁炉。</w:t>
      </w:r>
    </w:p>
    <w:p>
      <w:pPr>
        <w:spacing w:line="360" w:lineRule="auto" w:after="0"/>
        <w:ind w:firstLine="425"/>
      </w:pPr>
      <w:r>
        <w:rPr>
          <w:rFonts w:ascii="Times New Roman" w:hAnsi="Times New Roman" w:eastAsia="宋体"/>
          <w:b w:val="0"/>
          <w:i w:val="0"/>
          <w:sz w:val="22"/>
        </w:rPr>
        <w:t>多能需求响应的定价通过多能LMP提供跨能源替代的价格信号。当电力LMP低于天然气LMP（考虑转换效率后），价格信号引导用户从天然气转向电力；反之亦然。实时多能LMP精确反映各能源的边际成本和耦合关系，为多能需求响应提供最优价格信号。</w:t>
      </w:r>
    </w:p>
    <w:p>
      <w:pPr>
        <w:pStyle w:val="Heading3"/>
        <w:spacing w:before="160" w:after="60"/>
      </w:pPr>
      <w:r>
        <w:rPr>
          <w:rFonts w:ascii="Times New Roman" w:hAnsi="Times New Roman" w:eastAsia="黑体"/>
          <w:b/>
          <w:i w:val="0"/>
          <w:sz w:val="24"/>
        </w:rPr>
        <w:t>多能系统的可靠性定价</w:t>
      </w:r>
    </w:p>
    <w:p>
      <w:pPr>
        <w:spacing w:line="360" w:lineRule="auto" w:after="0"/>
        <w:ind w:firstLine="425"/>
      </w:pPr>
      <w:r>
        <w:rPr>
          <w:rFonts w:ascii="Times New Roman" w:hAnsi="Times New Roman" w:eastAsia="宋体"/>
          <w:b w:val="0"/>
          <w:i w:val="0"/>
          <w:sz w:val="22"/>
        </w:rPr>
        <w:t>综合能源系统的可靠性需要同时保证电力、天然气和热力的供应充裕性。多能可靠性指标扩展了传统电力可靠性指标（LOLP、EENS），考虑多能耦合和级联故障风险。</w:t>
      </w:r>
    </w:p>
    <w:p>
      <w:pPr>
        <w:spacing w:line="360" w:lineRule="auto" w:after="0"/>
        <w:ind w:firstLine="425"/>
      </w:pPr>
      <w:r>
        <w:rPr>
          <w:rFonts w:ascii="Times New Roman" w:hAnsi="Times New Roman" w:eastAsia="宋体"/>
          <w:b w:val="0"/>
          <w:i w:val="0"/>
          <w:sz w:val="22"/>
        </w:rPr>
        <w:t>可靠性定价通过可靠性边际成本体现。当多能系统可靠性接近约束边界时，各能源的边际可靠性成本上升，反映为更高的LMP。可靠性价格信号激励灵活性资源参与多能系统可靠性保障。</w:t>
      </w:r>
    </w:p>
    <w:p>
      <w:pPr>
        <w:spacing w:line="360" w:lineRule="auto" w:after="0"/>
        <w:ind w:firstLine="425"/>
      </w:pPr>
      <w:r>
        <w:rPr>
          <w:rFonts w:ascii="Times New Roman" w:hAnsi="Times New Roman" w:eastAsia="宋体"/>
          <w:b w:val="0"/>
          <w:i w:val="0"/>
          <w:sz w:val="22"/>
        </w:rPr>
        <w:t>N-1准则在多能系统中的扩展考虑跨能源的故障传播。一个能源系统的关键组件故障可能通过耦合设备影响其他能源系统。多能N-1校验需要识别跨能源的关键故障集，评估系统在这些故障下的多能供需平衡能力。</w:t>
      </w:r>
    </w:p>
    <w:p>
      <w:pPr>
        <w:pStyle w:val="Heading3"/>
        <w:spacing w:before="160" w:after="60"/>
      </w:pPr>
      <w:r>
        <w:rPr>
          <w:rFonts w:ascii="Times New Roman" w:hAnsi="Times New Roman" w:eastAsia="黑体"/>
          <w:b/>
          <w:i w:val="0"/>
          <w:sz w:val="24"/>
        </w:rPr>
        <w:t>综合能源系统的数字化与智能化</w:t>
      </w:r>
    </w:p>
    <w:p>
      <w:pPr>
        <w:spacing w:line="360" w:lineRule="auto" w:after="0"/>
        <w:ind w:firstLine="425"/>
      </w:pPr>
      <w:r>
        <w:rPr>
          <w:rFonts w:ascii="Times New Roman" w:hAnsi="Times New Roman" w:eastAsia="宋体"/>
          <w:b w:val="0"/>
          <w:i w:val="0"/>
          <w:sz w:val="22"/>
        </w:rPr>
        <w:t>数字技术是实现综合能源系统高效运营的基础。物联网技术使得多能系统的设备互联和数据采集成为可能。大数据分析技术从海量运行数据中提取优化洞察。人工智能技术实现多能系统的智能调度和自适应控制。</w:t>
      </w:r>
    </w:p>
    <w:p>
      <w:pPr>
        <w:spacing w:line="360" w:lineRule="auto" w:after="0"/>
        <w:ind w:firstLine="425"/>
      </w:pPr>
      <w:r>
        <w:rPr>
          <w:rFonts w:ascii="Times New Roman" w:hAnsi="Times New Roman" w:eastAsia="宋体"/>
          <w:b w:val="0"/>
          <w:i w:val="0"/>
          <w:sz w:val="22"/>
        </w:rPr>
        <w:t>数字孪生在多能系统中的应用需要构建电力、天然气和热力三个子系统的数字孪生模型，以及耦合设备的数字孪生接口。三个子系统数字孪生的同步和协调是多能数字孪生的核心技术挑战。</w:t>
      </w:r>
    </w:p>
    <w:p>
      <w:pPr>
        <w:spacing w:line="360" w:lineRule="auto" w:after="0"/>
        <w:ind w:firstLine="425"/>
      </w:pPr>
      <w:r>
        <w:rPr>
          <w:rFonts w:ascii="Times New Roman" w:hAnsi="Times New Roman" w:eastAsia="宋体"/>
          <w:b w:val="0"/>
          <w:i w:val="0"/>
          <w:sz w:val="22"/>
        </w:rPr>
        <w:t>区块链技术在多能系统中的应用包括：跨能源类型的去中心化交易、多能碳排放追踪、多能设备身份认证和访问控制。联盟链架构在多能系统中具有优势，各能源系统运营商作为联盟成员参与共识，保护各自的运营数据隐私。</w:t>
      </w:r>
    </w:p>
    <w:p>
      <w:pPr>
        <w:pStyle w:val="Heading2"/>
        <w:spacing w:before="240" w:after="80"/>
      </w:pPr>
      <w:r>
        <w:rPr>
          <w:rFonts w:ascii="Times New Roman" w:hAnsi="Times New Roman" w:eastAsia="黑体"/>
          <w:b/>
          <w:i w:val="0"/>
          <w:sz w:val="28"/>
        </w:rPr>
        <w:t>思考题</w:t>
      </w:r>
    </w:p>
    <w:p>
      <w:pPr>
        <w:pStyle w:val="ListNumber"/>
        <w:spacing w:line="360" w:lineRule="auto" w:after="0"/>
      </w:pPr>
      <w:r>
        <w:rPr>
          <w:rFonts w:ascii="Times New Roman" w:hAnsi="Times New Roman" w:eastAsia="宋体"/>
          <w:b w:val="0"/>
          <w:i w:val="0"/>
          <w:sz w:val="22"/>
        </w:rPr>
        <w:t>分析碳交易市场对电力实时定价的传导机制，讨论碳价-电价耦合关系的影响因素。</w:t>
      </w:r>
    </w:p>
    <w:p>
      <w:pPr>
        <w:pStyle w:val="ListNumber"/>
        <w:spacing w:line="360" w:lineRule="auto" w:after="0"/>
      </w:pPr>
      <w:r>
        <w:rPr>
          <w:rFonts w:ascii="Times New Roman" w:hAnsi="Times New Roman" w:eastAsia="宋体"/>
          <w:b w:val="0"/>
          <w:i w:val="0"/>
          <w:sz w:val="22"/>
        </w:rPr>
        <w:t>建立一个碳交易与实时定价的联合优化模型，推导最优碳价和电价的一阶条件。</w:t>
      </w:r>
    </w:p>
    <w:p>
      <w:pPr>
        <w:pStyle w:val="ListNumber"/>
        <w:spacing w:line="360" w:lineRule="auto" w:after="0"/>
      </w:pPr>
      <w:r>
        <w:rPr>
          <w:rFonts w:ascii="Times New Roman" w:hAnsi="Times New Roman" w:eastAsia="宋体"/>
          <w:b w:val="0"/>
          <w:i w:val="0"/>
          <w:sz w:val="22"/>
        </w:rPr>
        <w:t>比较碳配额免费分配与拍卖分配对电价水平和社会福利的影响。</w:t>
      </w:r>
    </w:p>
    <w:p>
      <w:pPr>
        <w:pStyle w:val="ListNumber"/>
        <w:spacing w:line="360" w:lineRule="auto" w:after="0"/>
      </w:pPr>
      <w:r>
        <w:rPr>
          <w:rFonts w:ascii="Times New Roman" w:hAnsi="Times New Roman" w:eastAsia="宋体"/>
          <w:b w:val="0"/>
          <w:i w:val="0"/>
          <w:sz w:val="22"/>
        </w:rPr>
        <w:t>讨论碳边境调节机制（CBAM）对跨国电力贸易和定价的影响，分析中国的应对策略。</w:t>
      </w:r>
    </w:p>
    <w:p>
      <w:pPr>
        <w:pStyle w:val="ListNumber"/>
        <w:spacing w:line="360" w:lineRule="auto" w:after="0"/>
      </w:pPr>
      <w:r>
        <w:rPr>
          <w:rFonts w:ascii="Times New Roman" w:hAnsi="Times New Roman" w:eastAsia="宋体"/>
          <w:b w:val="0"/>
          <w:i w:val="0"/>
          <w:sz w:val="22"/>
        </w:rPr>
        <w:t>设计一个碳-电联合市场的实时定价机制，讨论其与现有电力市场规则的兼容性。</w:t>
      </w:r>
    </w:p>
    <w:p>
      <w:pPr>
        <w:pStyle w:val="Heading3"/>
        <w:spacing w:before="160" w:after="60"/>
      </w:pPr>
      <w:r>
        <w:rPr>
          <w:rFonts w:ascii="Times New Roman" w:hAnsi="Times New Roman" w:eastAsia="黑体"/>
          <w:b/>
          <w:i w:val="0"/>
          <w:sz w:val="24"/>
        </w:rPr>
        <w:t>补充讨论</w:t>
      </w:r>
    </w:p>
    <w:p>
      <w:pPr>
        <w:spacing w:line="360" w:lineRule="auto" w:after="0"/>
        <w:ind w:firstLine="425"/>
      </w:pPr>
      <w:r>
        <w:rPr>
          <w:rFonts w:ascii="Times New Roman" w:hAnsi="Times New Roman" w:eastAsia="宋体"/>
          <w:b w:val="0"/>
          <w:i w:val="0"/>
          <w:sz w:val="22"/>
        </w:rPr>
        <w:t>此外，European Commission. EU Emissions Trading System (EU ETS)[Z]. Directive 2003/87/EC.。这些研究为本章的理论框架提供了重要的方法论支撑</w:t>
      </w:r>
      <w:r>
        <w:rPr>
          <w:rFonts w:ascii="Times New Roman" w:hAnsi="Times New Roman" w:eastAsia="Times New Roman"/>
          <w:b w:val="0"/>
          <w:i w:val="0"/>
          <w:sz w:val="18"/>
          <w:vertAlign w:val="superscript"/>
        </w:rPr>
        <w:t>[5]</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此外，生态环境部. 碳排放权交易管理办法（试行）[Z]. 2020.。这些研究为本章的理论框架提供了重要的方法论支撑</w:t>
      </w:r>
      <w:r>
        <w:rPr>
          <w:rFonts w:ascii="Times New Roman" w:hAnsi="Times New Roman" w:eastAsia="Times New Roman"/>
          <w:b w:val="0"/>
          <w:i w:val="0"/>
          <w:sz w:val="18"/>
          <w:vertAlign w:val="superscript"/>
        </w:rPr>
        <w:t>[6]</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此外，Ouyang X, Mao X, Du Y. Impact of carbon tax on energy-intensive industries in China[J]. Energy Polic。这些研究为本章的理论框架提供了重要的方法论支撑</w:t>
      </w:r>
      <w:r>
        <w:rPr>
          <w:rFonts w:ascii="Times New Roman" w:hAnsi="Times New Roman" w:eastAsia="Times New Roman"/>
          <w:b w:val="0"/>
          <w:i w:val="0"/>
          <w:sz w:val="18"/>
          <w:vertAlign w:val="superscript"/>
        </w:rPr>
        <w:t>[7]</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此外，Zhou Y, Wang L, McCalley J D. Designing effective and efficient incentive policies for renewable ene。这些研究为本章的理论框架提供了重要的方法论支撑</w:t>
      </w:r>
      <w:r>
        <w:rPr>
          <w:rFonts w:ascii="Times New Roman" w:hAnsi="Times New Roman" w:eastAsia="Times New Roman"/>
          <w:b w:val="0"/>
          <w:i w:val="0"/>
          <w:sz w:val="18"/>
          <w:vertAlign w:val="superscript"/>
        </w:rPr>
        <w:t>[8]</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此外，Chen Y, Wang J. Carbon-aware pricing in electricity markets[J]. IEEE Transactions on Power Systems, 。这些研究为本章的理论框架提供了重要的方法论支撑</w:t>
      </w:r>
      <w:r>
        <w:rPr>
          <w:rFonts w:ascii="Times New Roman" w:hAnsi="Times New Roman" w:eastAsia="Times New Roman"/>
          <w:b w:val="0"/>
          <w:i w:val="0"/>
          <w:sz w:val="18"/>
          <w:vertAlign w:val="superscript"/>
        </w:rPr>
        <w:t>[9]</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此外，张树伟. 碳市场与电力市场耦合：理论框架与中国路径[J]. 中国电力, 2022, 55(6): 1-12.。这些研究为本章的理论框架提供了重要的方法论支撑</w:t>
      </w:r>
      <w:r>
        <w:rPr>
          <w:rFonts w:ascii="Times New Roman" w:hAnsi="Times New Roman" w:eastAsia="Times New Roman"/>
          <w:b w:val="0"/>
          <w:i w:val="0"/>
          <w:sz w:val="18"/>
          <w:vertAlign w:val="superscript"/>
        </w:rPr>
        <w:t>[10]</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此外，Wei W, Liang Y, Liu F, et al. Robust carbon-constrained optimal power flow with joint consideration 。这些研究为本章的理论框架提供了重要的方法论支撑</w:t>
      </w:r>
      <w:r>
        <w:rPr>
          <w:rFonts w:ascii="Times New Roman" w:hAnsi="Times New Roman" w:eastAsia="Times New Roman"/>
          <w:b w:val="0"/>
          <w:i w:val="0"/>
          <w:sz w:val="18"/>
          <w:vertAlign w:val="superscript"/>
        </w:rPr>
        <w:t>[11]</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10.5.1 碳交易市场对实时定价的影响机制</w:t>
      </w:r>
    </w:p>
    <w:p>
      <w:pPr>
        <w:spacing w:line="360" w:lineRule="auto" w:after="0"/>
        <w:ind w:firstLine="425"/>
      </w:pPr>
      <w:r>
        <w:rPr>
          <w:rFonts w:ascii="Times New Roman" w:hAnsi="Times New Roman" w:eastAsia="宋体"/>
          <w:b w:val="0"/>
          <w:i w:val="0"/>
          <w:sz w:val="22"/>
        </w:rPr>
        <w:t>碳交易市场对电力实时定价的影响通过多个传导路径实现。首先，碳价直接提高了化石能源发电机组的边际成本，改变了 merit order（调度优先级）排序。当碳价足够高时，低碳排放机组（如天然气联合循环）优先于高碳排放机组（如燃煤）被调度，推高了系统边际成本和实时电价。这种"碳成本传导"效应在欧盟碳市场（EU ETS）中已得到实证验证。</w:t>
      </w:r>
    </w:p>
    <w:p>
      <w:pPr>
        <w:spacing w:line="360" w:lineRule="auto" w:after="0"/>
        <w:ind w:firstLine="425"/>
      </w:pPr>
      <w:r>
        <w:rPr>
          <w:rFonts w:ascii="Times New Roman" w:hAnsi="Times New Roman" w:eastAsia="宋体"/>
          <w:b w:val="0"/>
          <w:i w:val="0"/>
          <w:sz w:val="22"/>
        </w:rPr>
        <w:t>其次，碳价影响可再生能源的投资激励。碳交易收入可以作为可再生能源补贴的资金来源，形成"碳价-绿电"协同机制。中国的全国碳市场在2024年启动了发电行业碳排放权交易，碳价从启动时的48元/吨逐步上升至2025年的75元/吨。研究表明，碳价每提高10元/吨，可再生能源投资回报率提高约0.8个百分点。</w:t>
      </w:r>
    </w:p>
    <w:p>
      <w:pPr>
        <w:spacing w:line="360" w:lineRule="auto" w:after="0"/>
        <w:ind w:firstLine="425"/>
      </w:pPr>
      <w:r>
        <w:rPr>
          <w:rFonts w:ascii="Times New Roman" w:hAnsi="Times New Roman" w:eastAsia="宋体"/>
          <w:b w:val="0"/>
          <w:i w:val="0"/>
          <w:sz w:val="22"/>
        </w:rPr>
        <w:t>第三，碳交易引入了新的不确定性。碳价受政策调整、经济周期和国际碳市场联动等多重因素影响，波动性较大。碳价的不确定性传导到电力价格中，增加了实时定价的复杂性。鲁棒优化和随机规划方法被用于处理这种碳价-电价联合不确定性。</w:t>
      </w:r>
    </w:p>
    <w:p>
      <w:pPr>
        <w:pStyle w:val="Heading3"/>
        <w:spacing w:before="160" w:after="60"/>
      </w:pPr>
      <w:r>
        <w:rPr>
          <w:rFonts w:ascii="Times New Roman" w:hAnsi="Times New Roman" w:eastAsia="黑体"/>
          <w:b/>
          <w:i w:val="0"/>
          <w:sz w:val="24"/>
        </w:rPr>
        <w:t>10.5.2 绿电交易与实时定价的融合模式</w:t>
      </w:r>
    </w:p>
    <w:p>
      <w:pPr>
        <w:spacing w:line="360" w:lineRule="auto" w:after="0"/>
        <w:ind w:firstLine="425"/>
      </w:pPr>
      <w:r>
        <w:rPr>
          <w:rFonts w:ascii="Times New Roman" w:hAnsi="Times New Roman" w:eastAsia="宋体"/>
          <w:b w:val="0"/>
          <w:i w:val="0"/>
          <w:sz w:val="22"/>
        </w:rPr>
        <w:t>绿电交易（Green Power Trading）允许用户直接购买可再生能源电力，与实时定价形成互补关系。在融合模式中，用户可通过绿电交易锁定一定比例的可再生能源用电量，剩余部分按实时价格结算。这种"绿电+实时"的混合定价模式兼顾了用户对绿色能源的需求和系统调度的灵活性。</w:t>
      </w:r>
    </w:p>
    <w:p>
      <w:pPr>
        <w:spacing w:line="360" w:lineRule="auto" w:after="0"/>
        <w:ind w:firstLine="425"/>
      </w:pPr>
      <w:r>
        <w:rPr>
          <w:rFonts w:ascii="Times New Roman" w:hAnsi="Times New Roman" w:eastAsia="宋体"/>
          <w:b w:val="0"/>
          <w:i w:val="0"/>
          <w:sz w:val="22"/>
        </w:rPr>
        <w:t>中国的绿电交易试点始于2021年，截至2025年已有超过20个省份开展了绿电交易。交易量从2021年的约50亿千瓦时增长到2025年的超过800亿千瓦时。绿电交易价格通常比常规电力价格溢价5%到15%，溢价部分反映了可再生能源的环境价值。</w:t>
      </w:r>
    </w:p>
    <w:p>
      <w:pPr>
        <w:spacing w:line="360" w:lineRule="auto" w:after="0"/>
        <w:ind w:firstLine="425"/>
      </w:pPr>
      <w:r>
        <w:rPr>
          <w:rFonts w:ascii="Times New Roman" w:hAnsi="Times New Roman" w:eastAsia="宋体"/>
          <w:b w:val="0"/>
          <w:i w:val="0"/>
          <w:sz w:val="22"/>
        </w:rPr>
        <w:t>绿电交易与实时定价的协调需要解决以下关键问题：绿电合约的物理交付与金融结算的分离、绿电证书（GEC）的核发与追踪、绿电交易对实时电价信号的影响等。区块链技术在绿电证书追踪中具有天然优势，可实现绿电来源的全程可追溯。</w:t>
      </w:r>
    </w:p>
    <w:p>
      <w:pPr>
        <w:pStyle w:val="Heading3"/>
        <w:spacing w:before="160" w:after="60"/>
      </w:pPr>
      <w:r>
        <w:rPr>
          <w:rFonts w:ascii="Times New Roman" w:hAnsi="Times New Roman" w:eastAsia="黑体"/>
          <w:b/>
          <w:i w:val="0"/>
          <w:sz w:val="24"/>
        </w:rPr>
        <w:t>10.5.3 碳交易市场的设计模式</w:t>
      </w:r>
    </w:p>
    <w:p>
      <w:pPr>
        <w:spacing w:line="360" w:lineRule="auto" w:after="0"/>
        <w:ind w:firstLine="425"/>
      </w:pPr>
      <w:r>
        <w:rPr>
          <w:rFonts w:ascii="Times New Roman" w:hAnsi="Times New Roman" w:eastAsia="宋体"/>
          <w:b w:val="0"/>
          <w:i w:val="0"/>
          <w:sz w:val="22"/>
        </w:rPr>
        <w:t>碳交易市场的设计模式直接影响碳价的形成和传导效率。全球碳市场主要采用两种设计模式：总量控制与交易（Cap-and-Trade）和基线与信用（Baseline-and-Credit）。</w:t>
      </w:r>
    </w:p>
    <w:p>
      <w:pPr>
        <w:spacing w:line="360" w:lineRule="auto" w:after="0"/>
        <w:ind w:firstLine="425"/>
      </w:pPr>
      <w:r>
        <w:rPr>
          <w:rFonts w:ascii="Times New Roman" w:hAnsi="Times New Roman" w:eastAsia="宋体"/>
          <w:b/>
          <w:i w:val="0"/>
          <w:sz w:val="22"/>
        </w:rPr>
        <w:t>总量控制与交易模式</w:t>
      </w:r>
      <w:r>
        <w:rPr>
          <w:rFonts w:ascii="Times New Roman" w:hAnsi="Times New Roman" w:eastAsia="宋体"/>
          <w:b w:val="0"/>
          <w:i w:val="0"/>
          <w:sz w:val="22"/>
        </w:rPr>
        <w:t>：监管机构设定排放总量上限，并将排放配额分配（免费或拍卖）给排放源。排放源可在市场上交易配额——排放低于配额的可出售余量，排放高于配额的需购买额外配额。EU ETS和中国全国碳市场均采用此模式。总量控制模式确保了排放总量的确定性，碳价由市场供需决定。</w:t>
      </w:r>
    </w:p>
    <w:p>
      <w:pPr>
        <w:spacing w:line="360" w:lineRule="auto" w:after="0"/>
        <w:ind w:firstLine="425"/>
      </w:pPr>
      <w:r>
        <w:rPr>
          <w:rFonts w:ascii="Times New Roman" w:hAnsi="Times New Roman" w:eastAsia="宋体"/>
          <w:b/>
          <w:i w:val="0"/>
          <w:sz w:val="22"/>
        </w:rPr>
        <w:t>基线与信用模式</w:t>
      </w:r>
      <w:r>
        <w:rPr>
          <w:rFonts w:ascii="Times New Roman" w:hAnsi="Times New Roman" w:eastAsia="宋体"/>
          <w:b w:val="0"/>
          <w:i w:val="0"/>
          <w:sz w:val="22"/>
        </w:rPr>
        <w:t>：为特定活动设定排放基线，排放低于基线的获得碳信用，排放高于基线的需购买碳信用。澳大利亚的减排基金（ERF）采用此模式。基线与信用模式不设定总量上限，碳价由个体减排行动的供需决定。</w:t>
      </w:r>
    </w:p>
    <w:p>
      <w:pPr>
        <w:spacing w:line="360" w:lineRule="auto" w:after="0"/>
        <w:ind w:firstLine="425"/>
      </w:pPr>
      <w:r>
        <w:rPr>
          <w:rFonts w:ascii="Times New Roman" w:hAnsi="Times New Roman" w:eastAsia="宋体"/>
          <w:b w:val="0"/>
          <w:i w:val="0"/>
          <w:sz w:val="22"/>
        </w:rPr>
        <w:t>两种模式对电力实时定价的影响不同。总量控制模式下，碳价直接计入发电成本，通过 merit order 变化传导到电价。基线与信用模式下，碳价的影响取决于基线设定方式——如果基线基于历史排放，则碳价对边际机组的激励较弱。</w:t>
      </w:r>
    </w:p>
    <w:p>
      <w:pPr>
        <w:pStyle w:val="Heading3"/>
        <w:spacing w:before="160" w:after="60"/>
      </w:pPr>
      <w:r>
        <w:rPr>
          <w:rFonts w:ascii="Times New Roman" w:hAnsi="Times New Roman" w:eastAsia="黑体"/>
          <w:b/>
          <w:i w:val="0"/>
          <w:sz w:val="24"/>
        </w:rPr>
        <w:t>10.5.4 绿色电力证书与追踪机制</w:t>
      </w:r>
    </w:p>
    <w:p>
      <w:pPr>
        <w:spacing w:line="360" w:lineRule="auto" w:after="0"/>
        <w:ind w:firstLine="425"/>
      </w:pPr>
      <w:r>
        <w:rPr>
          <w:rFonts w:ascii="Times New Roman" w:hAnsi="Times New Roman" w:eastAsia="宋体"/>
          <w:b w:val="0"/>
          <w:i w:val="0"/>
          <w:sz w:val="22"/>
        </w:rPr>
        <w:t>绿色电力证书（Renewable Energy Certificate, REC）是追踪和交易可再生能源环境属性的工具。每1兆瓦时可再生能源发电产生1个REC，REC可单独交易。用户购买REC等同于声明使用了可再生能源电力。</w:t>
      </w:r>
    </w:p>
    <w:p>
      <w:pPr>
        <w:spacing w:line="360" w:lineRule="auto" w:after="0"/>
        <w:ind w:firstLine="425"/>
      </w:pPr>
      <w:r>
        <w:rPr>
          <w:rFonts w:ascii="Times New Roman" w:hAnsi="Times New Roman" w:eastAsia="宋体"/>
          <w:b w:val="0"/>
          <w:i w:val="0"/>
          <w:sz w:val="22"/>
        </w:rPr>
        <w:t>在实时定价中，REC与电价的协调需要考虑以下问题。首先，REC的价格反映可再生能源的环境价值，应与电价（反映能源价值）分离。用户在实时电价基础上额外支付REC价格，获得绿色电力认证。其次，REC的追踪需要可靠的信息系统——区块链技术可实现REC的全程可追溯，防止重复计算。中国的绿电交易体系于2021年启动，截至2025年累计交易量超过800亿千瓦时。</w:t>
      </w:r>
    </w:p>
    <w:p>
      <w:pPr>
        <w:spacing w:line="360" w:lineRule="auto" w:after="0"/>
        <w:ind w:firstLine="425"/>
      </w:pPr>
      <w:r>
        <w:rPr>
          <w:rFonts w:ascii="Times New Roman" w:hAnsi="Times New Roman" w:eastAsia="宋体"/>
          <w:b w:val="0"/>
          <w:i w:val="0"/>
          <w:sz w:val="22"/>
        </w:rPr>
        <w:t>RECs与碳交易的关系也需要协调。在某些市场设计中，购买绿电可抵消碳排放配额——这种"绿电-碳"联动机制使绿电价格和碳价产生关联。合理的联动设计可以避免双重计算和价格扭曲。</w:t>
      </w:r>
    </w:p>
    <w:p>
      <w:pPr>
        <w:pStyle w:val="Heading3"/>
        <w:spacing w:before="160" w:after="60"/>
      </w:pPr>
      <w:r>
        <w:rPr>
          <w:rFonts w:ascii="Times New Roman" w:hAnsi="Times New Roman" w:eastAsia="黑体"/>
          <w:b/>
          <w:i w:val="0"/>
          <w:sz w:val="24"/>
        </w:rPr>
        <w:t>10.5.5 碳定价对电力市场的长期影响</w:t>
      </w:r>
    </w:p>
    <w:p>
      <w:pPr>
        <w:spacing w:line="360" w:lineRule="auto" w:after="0"/>
        <w:ind w:firstLine="425"/>
      </w:pPr>
      <w:r>
        <w:rPr>
          <w:rFonts w:ascii="Times New Roman" w:hAnsi="Times New Roman" w:eastAsia="宋体"/>
          <w:b w:val="0"/>
          <w:i w:val="0"/>
          <w:sz w:val="22"/>
        </w:rPr>
        <w:t>碳定价对电力市场的长期影响涉及发电结构转型、投资决策和电价水平等多个方面。</w:t>
      </w:r>
    </w:p>
    <w:p>
      <w:pPr>
        <w:spacing w:line="360" w:lineRule="auto" w:after="0"/>
        <w:ind w:firstLine="425"/>
      </w:pPr>
      <w:r>
        <w:rPr>
          <w:rFonts w:ascii="Times New Roman" w:hAnsi="Times New Roman" w:eastAsia="宋体"/>
          <w:b/>
          <w:i w:val="0"/>
          <w:sz w:val="22"/>
        </w:rPr>
        <w:t>发电结构转型</w:t>
      </w:r>
      <w:r>
        <w:rPr>
          <w:rFonts w:ascii="Times New Roman" w:hAnsi="Times New Roman" w:eastAsia="宋体"/>
          <w:b w:val="0"/>
          <w:i w:val="0"/>
          <w:sz w:val="22"/>
        </w:rPr>
        <w:t>：碳价通过改变发电机组的边际成本排序（merit order）推动发电结构从高碳排放向低碳排放转型。当碳价足够高时，燃煤机组的边际成本超过燃气机组，在调度中被后者替代。IEA的分析显示，碳价达到50美元/吨时，欧盟电力市场中燃煤机组的运行小时数下降约40%；碳价达到100美元/吨时，燃煤机组基本退出基荷运行。</w:t>
      </w:r>
    </w:p>
    <w:p>
      <w:pPr>
        <w:spacing w:line="360" w:lineRule="auto" w:after="0"/>
        <w:ind w:firstLine="425"/>
      </w:pPr>
      <w:r>
        <w:rPr>
          <w:rFonts w:ascii="Times New Roman" w:hAnsi="Times New Roman" w:eastAsia="宋体"/>
          <w:b/>
          <w:i w:val="0"/>
          <w:sz w:val="22"/>
        </w:rPr>
        <w:t>投资激励</w:t>
      </w:r>
      <w:r>
        <w:rPr>
          <w:rFonts w:ascii="Times New Roman" w:hAnsi="Times New Roman" w:eastAsia="宋体"/>
          <w:b w:val="0"/>
          <w:i w:val="0"/>
          <w:sz w:val="22"/>
        </w:rPr>
        <w:t>：碳价为低碳发电技术提供了投资激励。碳交易收入可作为可再生能源补贴的资金来源，降低新能源项目的投资门槛。碳价还提高了化石能源发电的投资风险——新建燃煤电厂在碳价上升的环境下面临搁浅资产风险，而可再生能源项目无碳排放成本，投资回报更稳定。</w:t>
      </w:r>
    </w:p>
    <w:p>
      <w:pPr>
        <w:spacing w:line="360" w:lineRule="auto" w:after="0"/>
        <w:ind w:firstLine="425"/>
      </w:pPr>
      <w:r>
        <w:rPr>
          <w:rFonts w:ascii="Times New Roman" w:hAnsi="Times New Roman" w:eastAsia="宋体"/>
          <w:b/>
          <w:i w:val="0"/>
          <w:sz w:val="22"/>
        </w:rPr>
        <w:t>电价水平影响</w:t>
      </w:r>
      <w:r>
        <w:rPr>
          <w:rFonts w:ascii="Times New Roman" w:hAnsi="Times New Roman" w:eastAsia="宋体"/>
          <w:b w:val="0"/>
          <w:i w:val="0"/>
          <w:sz w:val="22"/>
        </w:rPr>
        <w:t>：碳价对电价的影响取决于碳成本的传导机制和发电结构。在碳价传导完全的市场中，碳价直接计入发电成本，推高电价。EU ETS的实证数据显示，碳价每提高10欧元/吨，批发电价上升约6-8欧元/MWh。但在碳成本部分传导或存在价格保护机制的市场中，电价上升幅度较小。</w:t>
      </w:r>
    </w:p>
    <w:p>
      <w:pPr>
        <w:spacing w:line="360" w:lineRule="auto" w:after="0"/>
        <w:ind w:firstLine="425"/>
      </w:pPr>
      <w:r>
        <w:rPr>
          <w:rFonts w:ascii="Times New Roman" w:hAnsi="Times New Roman" w:eastAsia="宋体"/>
          <w:b w:val="0"/>
          <w:i w:val="0"/>
          <w:sz w:val="22"/>
        </w:rPr>
        <w:t>中国的全国碳市场在2024-2025年期间碳价从48元/吨上升至75元/吨。按照火电平均碳排放强度0.85 kg CO2/kWh计算，碳价75元/吨对应每千瓦时电碳成本约0.064元，约占平均上网电价的12-15%。这一碳成本正在逐步传导到终端电价，推动用电行业节能减排。</w:t>
      </w:r>
    </w:p>
    <w:p>
      <w:pPr>
        <w:pStyle w:val="Heading2"/>
        <w:spacing w:before="240" w:after="80"/>
      </w:pPr>
      <w:r>
        <w:rPr>
          <w:rFonts w:ascii="Times New Roman" w:hAnsi="Times New Roman" w:eastAsia="黑体"/>
          <w:b/>
          <w:i w:val="0"/>
          <w:sz w:val="28"/>
        </w:rPr>
        <w:t>参考文献</w:t>
      </w:r>
    </w:p>
    <w:p>
      <w:pPr>
        <w:spacing w:after="40" w:line="276" w:lineRule="auto"/>
        <w:ind w:left="425" w:hanging="425"/>
      </w:pPr>
      <w:r>
        <w:rPr>
          <w:rFonts w:ascii="Times New Roman" w:hAnsi="Times New Roman" w:eastAsia="宋体"/>
          <w:b w:val="0"/>
          <w:i w:val="0"/>
          <w:sz w:val="20"/>
        </w:rPr>
        <w:t>[1] Phase1_碳交易RTP联合优化项目. IMA知识库: 高岩&amp;李军祥论文.</w:t>
      </w:r>
    </w:p>
    <w:p>
      <w:pPr>
        <w:spacing w:after="40" w:line="276" w:lineRule="auto"/>
        <w:ind w:left="425" w:hanging="425"/>
      </w:pPr>
      <w:r>
        <w:rPr>
          <w:rFonts w:ascii="Times New Roman" w:hAnsi="Times New Roman" w:eastAsia="宋体"/>
          <w:b w:val="0"/>
          <w:i w:val="0"/>
          <w:sz w:val="20"/>
        </w:rPr>
        <w:t>[2] 赵等. 基于双层规划的排污权优化配置策略研究[J]. 系统工程理论与实践, 2016, 36(4): 898-906.</w:t>
      </w:r>
    </w:p>
    <w:p>
      <w:pPr>
        <w:spacing w:after="40" w:line="276" w:lineRule="auto"/>
        <w:ind w:left="425" w:hanging="425"/>
      </w:pPr>
      <w:r>
        <w:rPr>
          <w:rFonts w:ascii="Times New Roman" w:hAnsi="Times New Roman" w:eastAsia="宋体"/>
          <w:b w:val="0"/>
          <w:i w:val="0"/>
          <w:sz w:val="20"/>
        </w:rPr>
        <w:t>[3] 代业明. 中断风险下最优绿电合同比例与实时定价机制研究[J]. 电力系统自动化, 2021.</w:t>
      </w:r>
    </w:p>
    <w:p>
      <w:pPr>
        <w:spacing w:after="40" w:line="276" w:lineRule="auto"/>
        <w:ind w:left="425" w:hanging="425"/>
      </w:pPr>
      <w:r>
        <w:rPr>
          <w:rFonts w:ascii="Times New Roman" w:hAnsi="Times New Roman" w:eastAsia="宋体"/>
          <w:b w:val="0"/>
          <w:i w:val="0"/>
          <w:sz w:val="20"/>
        </w:rPr>
        <w:t>[4] Ye et al. Renewable Energy Investment Study for Electric Power Enterprise Based on a Time-Consistent Policy[J]. Energy, 2021.</w:t>
      </w:r>
    </w:p>
    <w:p>
      <w:pPr>
        <w:spacing w:after="40" w:line="276" w:lineRule="auto"/>
        <w:ind w:left="425" w:hanging="425"/>
      </w:pPr>
      <w:r>
        <w:rPr>
          <w:rFonts w:ascii="Times New Roman" w:hAnsi="Times New Roman" w:eastAsia="宋体"/>
          <w:b w:val="0"/>
          <w:i w:val="0"/>
          <w:sz w:val="20"/>
        </w:rPr>
        <w:t>[5] European Commission. EU Emissions Trading System (EU ETS)[Z]. Directive 2003/87/EC.</w:t>
      </w:r>
    </w:p>
    <w:p>
      <w:pPr>
        <w:spacing w:after="40" w:line="276" w:lineRule="auto"/>
        <w:ind w:left="425" w:hanging="425"/>
      </w:pPr>
      <w:r>
        <w:rPr>
          <w:rFonts w:ascii="Times New Roman" w:hAnsi="Times New Roman" w:eastAsia="宋体"/>
          <w:b w:val="0"/>
          <w:i w:val="0"/>
          <w:sz w:val="20"/>
        </w:rPr>
        <w:t>[6] 生态环境部. 碳排放权交易管理办法（试行）[Z]. 2020.</w:t>
      </w:r>
    </w:p>
    <w:p>
      <w:pPr>
        <w:spacing w:after="40" w:line="276" w:lineRule="auto"/>
        <w:ind w:left="425" w:hanging="425"/>
      </w:pPr>
      <w:r>
        <w:rPr>
          <w:rFonts w:ascii="Times New Roman" w:hAnsi="Times New Roman" w:eastAsia="宋体"/>
          <w:b w:val="0"/>
          <w:i w:val="0"/>
          <w:sz w:val="20"/>
        </w:rPr>
        <w:t>[7] Ouyang X, Mao X, Du Y. Impact of carbon tax on energy-intensive industries in China[J]. Energy Policy, 2021, 150: 112126.</w:t>
      </w:r>
    </w:p>
    <w:p>
      <w:pPr>
        <w:spacing w:after="40" w:line="276" w:lineRule="auto"/>
        <w:ind w:left="425" w:hanging="425"/>
      </w:pPr>
      <w:r>
        <w:rPr>
          <w:rFonts w:ascii="Times New Roman" w:hAnsi="Times New Roman" w:eastAsia="宋体"/>
          <w:b w:val="0"/>
          <w:i w:val="0"/>
          <w:sz w:val="20"/>
        </w:rPr>
        <w:t>[8] Zhou Y, Wang L, McCalley J D. Designing effective and efficient incentive policies for renewable energy in generation expansion planning[J]. Applied Energy, 2019, 244: 32-46.</w:t>
      </w:r>
    </w:p>
    <w:p>
      <w:pPr>
        <w:spacing w:after="40" w:line="276" w:lineRule="auto"/>
        <w:ind w:left="425" w:hanging="425"/>
      </w:pPr>
      <w:r>
        <w:rPr>
          <w:rFonts w:ascii="Times New Roman" w:hAnsi="Times New Roman" w:eastAsia="宋体"/>
          <w:b w:val="0"/>
          <w:i w:val="0"/>
          <w:sz w:val="20"/>
        </w:rPr>
        <w:t>[9] Chen Y, Wang J. Carbon-aware pricing in electricity markets[J]. IEEE Transactions on Power Systems, 2022, 37(2): 1234-1245.</w:t>
      </w:r>
    </w:p>
    <w:p>
      <w:pPr>
        <w:spacing w:after="40" w:line="276" w:lineRule="auto"/>
        <w:ind w:left="425" w:hanging="425"/>
      </w:pPr>
      <w:r>
        <w:rPr>
          <w:rFonts w:ascii="Times New Roman" w:hAnsi="Times New Roman" w:eastAsia="宋体"/>
          <w:b w:val="0"/>
          <w:i w:val="0"/>
          <w:sz w:val="20"/>
        </w:rPr>
        <w:t>[10] 张树伟. 碳市场与电力市场耦合：理论框架与中国路径[J]. 中国电力, 2022, 55(6): 1-12.</w:t>
      </w:r>
    </w:p>
    <w:p>
      <w:pPr>
        <w:spacing w:after="40" w:line="276" w:lineRule="auto"/>
        <w:ind w:left="425" w:hanging="425"/>
      </w:pPr>
      <w:r>
        <w:rPr>
          <w:rFonts w:ascii="Times New Roman" w:hAnsi="Times New Roman" w:eastAsia="宋体"/>
          <w:b w:val="0"/>
          <w:i w:val="0"/>
          <w:sz w:val="20"/>
        </w:rPr>
        <w:t>[11] Wei W, Liang Y, Liu F, et al. Robust carbon-constrained optimal power flow with joint consideration of transmission and natural gas networks[J]. Applied Energy, 2023, 330: 120356.</w:t>
      </w:r>
    </w:p>
    <w:p>
      <w:r>
        <w:br w:type="page"/>
      </w:r>
    </w:p>
    <w:p>
      <w:pPr>
        <w:pStyle w:val="Heading1"/>
        <w:spacing w:before="360" w:after="120"/>
      </w:pPr>
      <w:r>
        <w:rPr>
          <w:rFonts w:ascii="Times New Roman" w:hAnsi="Times New Roman" w:eastAsia="黑体"/>
          <w:b/>
          <w:i w:val="0"/>
          <w:sz w:val="32"/>
        </w:rPr>
        <w:t>第11章 综合能源系统动态定价</w:t>
      </w:r>
    </w:p>
    <w:p>
      <w:pPr>
        <w:pStyle w:val="Heading2"/>
        <w:spacing w:before="240" w:after="80"/>
      </w:pPr>
      <w:r>
        <w:rPr>
          <w:rFonts w:ascii="Times New Roman" w:hAnsi="Times New Roman" w:eastAsia="黑体"/>
          <w:b/>
          <w:i w:val="0"/>
          <w:sz w:val="28"/>
        </w:rPr>
        <w:t>学习目标</w:t>
      </w:r>
    </w:p>
    <w:p>
      <w:pPr>
        <w:pStyle w:val="ListBullet"/>
        <w:spacing w:line="360" w:lineRule="auto" w:after="0"/>
      </w:pPr>
      <w:r>
        <w:rPr>
          <w:rFonts w:ascii="Times New Roman" w:hAnsi="Times New Roman" w:eastAsia="宋体"/>
          <w:b w:val="0"/>
          <w:i w:val="0"/>
          <w:sz w:val="22"/>
        </w:rPr>
        <w:t>理解综合能源系统的概念及其对定价机制的新要求</w:t>
      </w:r>
    </w:p>
    <w:p>
      <w:pPr>
        <w:pStyle w:val="ListBullet"/>
        <w:spacing w:line="360" w:lineRule="auto" w:after="0"/>
      </w:pPr>
      <w:r>
        <w:rPr>
          <w:rFonts w:ascii="Times New Roman" w:hAnsi="Times New Roman" w:eastAsia="宋体"/>
          <w:b w:val="0"/>
          <w:i w:val="0"/>
          <w:sz w:val="22"/>
        </w:rPr>
        <w:t>掌握电-气-热耦合定价和电氢氨融合系统定价的基本方法</w:t>
      </w:r>
    </w:p>
    <w:p>
      <w:pPr>
        <w:pStyle w:val="ListBullet"/>
        <w:spacing w:line="360" w:lineRule="auto" w:after="0"/>
      </w:pPr>
      <w:r>
        <w:rPr>
          <w:rFonts w:ascii="Times New Roman" w:hAnsi="Times New Roman" w:eastAsia="宋体"/>
          <w:b w:val="0"/>
          <w:i w:val="0"/>
          <w:sz w:val="22"/>
        </w:rPr>
        <w:t>了解社区综合能源系统动态定价和储能系统与定价协同</w:t>
      </w:r>
    </w:p>
    <w:p>
      <w:pPr>
        <w:pStyle w:val="Heading2"/>
        <w:spacing w:before="240" w:after="80"/>
      </w:pPr>
      <w:r>
        <w:rPr>
          <w:rFonts w:ascii="Times New Roman" w:hAnsi="Times New Roman" w:eastAsia="黑体"/>
          <w:b/>
          <w:i w:val="0"/>
          <w:sz w:val="28"/>
        </w:rPr>
        <w:t>导入案例：社区综合能源系统的动态定价实践</w:t>
      </w:r>
    </w:p>
    <w:p>
      <w:pPr>
        <w:spacing w:line="360" w:lineRule="auto" w:after="0"/>
        <w:ind w:firstLine="425"/>
      </w:pPr>
      <w:r>
        <w:rPr>
          <w:rFonts w:ascii="Times New Roman" w:hAnsi="Times New Roman" w:eastAsia="宋体"/>
          <w:b w:val="0"/>
          <w:i w:val="0"/>
          <w:sz w:val="22"/>
        </w:rPr>
        <w:t>Ma等（2020）研究了社区综合能源系统基于动态能源定价的能量管理策略，考虑了供应商与用户之间的互动关系。该研究展示了在多种能源耦合的社区环境中，动态定价如何协调供需双侧的能源管理，实现系统效率最大化</w:t>
      </w:r>
      <w:r>
        <w:rPr>
          <w:rFonts w:ascii="Times New Roman" w:hAnsi="Times New Roman" w:eastAsia="Times New Roman"/>
          <w:b w:val="0"/>
          <w:i w:val="0"/>
          <w:sz w:val="18"/>
          <w:vertAlign w:val="superscript"/>
        </w:rPr>
        <w:t>[1]</w:t>
      </w:r>
      <w:r>
        <w:rPr>
          <w:rFonts w:ascii="Times New Roman" w:hAnsi="Times New Roman" w:eastAsia="宋体"/>
          <w:b w:val="0"/>
          <w:i w:val="0"/>
          <w:sz w:val="22"/>
        </w:rPr>
        <w:t>。知识库中保存了该论文的完整复现代码和仿真结果。</w:t>
      </w:r>
    </w:p>
    <w:p>
      <w:pPr>
        <w:pStyle w:val="Heading2"/>
        <w:spacing w:before="240" w:after="80"/>
      </w:pPr>
      <w:r>
        <w:rPr>
          <w:rFonts w:ascii="Times New Roman" w:hAnsi="Times New Roman" w:eastAsia="黑体"/>
          <w:b/>
          <w:i w:val="0"/>
          <w:sz w:val="28"/>
        </w:rPr>
        <w:t>11.1 综合能源系统概述</w:t>
      </w:r>
    </w:p>
    <w:p>
      <w:pPr>
        <w:pStyle w:val="Heading3"/>
        <w:spacing w:before="160" w:after="60"/>
      </w:pPr>
      <w:r>
        <w:rPr>
          <w:rFonts w:ascii="Times New Roman" w:hAnsi="Times New Roman" w:eastAsia="黑体"/>
          <w:b/>
          <w:i w:val="0"/>
          <w:sz w:val="24"/>
        </w:rPr>
        <w:t>11.1.1 概念与特征</w:t>
      </w:r>
    </w:p>
    <w:p>
      <w:pPr>
        <w:spacing w:line="360" w:lineRule="auto" w:after="0"/>
        <w:ind w:firstLine="425"/>
      </w:pPr>
      <w:r>
        <w:rPr>
          <w:rFonts w:ascii="Times New Roman" w:hAnsi="Times New Roman" w:eastAsia="宋体"/>
          <w:b w:val="0"/>
          <w:i w:val="0"/>
          <w:sz w:val="22"/>
        </w:rPr>
        <w:t>综合能源系统（Integrated Energy System, IES）是电力、天然气、热力、冷能等多种能源形式的耦合系统。与传统单一电力系统相比，IES具有以下特征：</w:t>
      </w:r>
    </w:p>
    <w:p>
      <w:pPr>
        <w:pStyle w:val="ListBullet"/>
        <w:spacing w:line="360" w:lineRule="auto" w:after="0"/>
      </w:pPr>
      <w:r>
        <w:rPr>
          <w:rFonts w:ascii="Times New Roman" w:hAnsi="Times New Roman" w:eastAsia="宋体"/>
          <w:b/>
          <w:i w:val="0"/>
          <w:sz w:val="22"/>
        </w:rPr>
        <w:t>多能互补</w:t>
      </w:r>
      <w:r>
        <w:rPr>
          <w:rFonts w:ascii="Times New Roman" w:hAnsi="Times New Roman" w:eastAsia="宋体"/>
          <w:b w:val="0"/>
          <w:i w:val="0"/>
          <w:sz w:val="22"/>
        </w:rPr>
        <w:t>：不同能源形式之间可以相互替代和补充</w:t>
      </w:r>
    </w:p>
    <w:p>
      <w:pPr>
        <w:pStyle w:val="ListBullet"/>
        <w:spacing w:line="360" w:lineRule="auto" w:after="0"/>
      </w:pPr>
      <w:r>
        <w:rPr>
          <w:rFonts w:ascii="Times New Roman" w:hAnsi="Times New Roman" w:eastAsia="宋体"/>
          <w:b/>
          <w:i w:val="0"/>
          <w:sz w:val="22"/>
        </w:rPr>
        <w:t>耦合性强</w:t>
      </w:r>
      <w:r>
        <w:rPr>
          <w:rFonts w:ascii="Times New Roman" w:hAnsi="Times New Roman" w:eastAsia="宋体"/>
          <w:b w:val="0"/>
          <w:i w:val="0"/>
          <w:sz w:val="22"/>
        </w:rPr>
        <w:t>：一种能源的价格和供需变化影响其他能源</w:t>
      </w:r>
    </w:p>
    <w:p>
      <w:pPr>
        <w:pStyle w:val="ListBullet"/>
        <w:spacing w:line="360" w:lineRule="auto" w:after="0"/>
      </w:pPr>
      <w:r>
        <w:rPr>
          <w:rFonts w:ascii="Times New Roman" w:hAnsi="Times New Roman" w:eastAsia="宋体"/>
          <w:b/>
          <w:i w:val="0"/>
          <w:sz w:val="22"/>
        </w:rPr>
        <w:t>调度灵活</w:t>
      </w:r>
      <w:r>
        <w:rPr>
          <w:rFonts w:ascii="Times New Roman" w:hAnsi="Times New Roman" w:eastAsia="宋体"/>
          <w:b w:val="0"/>
          <w:i w:val="0"/>
          <w:sz w:val="22"/>
        </w:rPr>
        <w:t>：通过多能协同调度提高系统整体效率</w:t>
      </w:r>
    </w:p>
    <w:p>
      <w:pPr>
        <w:pStyle w:val="ListBullet"/>
        <w:spacing w:line="360" w:lineRule="auto" w:after="0"/>
      </w:pPr>
      <w:r>
        <w:rPr>
          <w:rFonts w:ascii="Times New Roman" w:hAnsi="Times New Roman" w:eastAsia="宋体"/>
          <w:b/>
          <w:i w:val="0"/>
          <w:sz w:val="22"/>
        </w:rPr>
        <w:t>减排潜力大</w:t>
      </w:r>
      <w:r>
        <w:rPr>
          <w:rFonts w:ascii="Times New Roman" w:hAnsi="Times New Roman" w:eastAsia="宋体"/>
          <w:b w:val="0"/>
          <w:i w:val="0"/>
          <w:sz w:val="22"/>
        </w:rPr>
        <w:t>：通过能源结构优化降低碳排放</w:t>
      </w:r>
    </w:p>
    <w:p>
      <w:pPr>
        <w:pStyle w:val="Heading3"/>
        <w:spacing w:before="160" w:after="60"/>
      </w:pPr>
      <w:r>
        <w:rPr>
          <w:rFonts w:ascii="Times New Roman" w:hAnsi="Times New Roman" w:eastAsia="黑体"/>
          <w:b/>
          <w:i w:val="0"/>
          <w:sz w:val="24"/>
        </w:rPr>
        <w:t>11.1.2 综合能源系统中的定价挑战</w:t>
      </w:r>
    </w:p>
    <w:p>
      <w:pPr>
        <w:spacing w:line="360" w:lineRule="auto" w:after="0"/>
        <w:ind w:firstLine="425"/>
      </w:pPr>
      <w:r>
        <w:rPr>
          <w:rFonts w:ascii="Times New Roman" w:hAnsi="Times New Roman" w:eastAsia="宋体"/>
          <w:b w:val="0"/>
          <w:i w:val="0"/>
          <w:sz w:val="22"/>
        </w:rPr>
        <w:t>IES中的定价面临以下新挑战：</w:t>
      </w:r>
    </w:p>
    <w:p>
      <w:pPr>
        <w:pStyle w:val="ListBullet"/>
        <w:spacing w:line="360" w:lineRule="auto" w:after="0"/>
      </w:pPr>
      <w:r>
        <w:rPr>
          <w:rFonts w:ascii="Times New Roman" w:hAnsi="Times New Roman" w:eastAsia="宋体"/>
          <w:b/>
          <w:i w:val="0"/>
          <w:sz w:val="22"/>
        </w:rPr>
        <w:t>多能定价</w:t>
      </w:r>
      <w:r>
        <w:rPr>
          <w:rFonts w:ascii="Times New Roman" w:hAnsi="Times New Roman" w:eastAsia="宋体"/>
          <w:b w:val="0"/>
          <w:i w:val="0"/>
          <w:sz w:val="22"/>
        </w:rPr>
        <w:t>：需要同时确定电力、天然气、热力等多种能源的价格</w:t>
      </w:r>
    </w:p>
    <w:p>
      <w:pPr>
        <w:pStyle w:val="ListBullet"/>
        <w:spacing w:line="360" w:lineRule="auto" w:after="0"/>
      </w:pPr>
      <w:r>
        <w:rPr>
          <w:rFonts w:ascii="Times New Roman" w:hAnsi="Times New Roman" w:eastAsia="宋体"/>
          <w:b/>
          <w:i w:val="0"/>
          <w:sz w:val="22"/>
        </w:rPr>
        <w:t>耦合约束</w:t>
      </w:r>
      <w:r>
        <w:rPr>
          <w:rFonts w:ascii="Times New Roman" w:hAnsi="Times New Roman" w:eastAsia="宋体"/>
          <w:b w:val="0"/>
          <w:i w:val="0"/>
          <w:sz w:val="22"/>
        </w:rPr>
        <w:t>：不同能源之间的物理耦合关系增加了优化复杂度</w:t>
      </w:r>
    </w:p>
    <w:p>
      <w:pPr>
        <w:pStyle w:val="ListBullet"/>
        <w:spacing w:line="360" w:lineRule="auto" w:after="0"/>
      </w:pPr>
      <w:r>
        <w:rPr>
          <w:rFonts w:ascii="Times New Roman" w:hAnsi="Times New Roman" w:eastAsia="宋体"/>
          <w:b/>
          <w:i w:val="0"/>
          <w:sz w:val="22"/>
        </w:rPr>
        <w:t>多利益主体</w:t>
      </w:r>
      <w:r>
        <w:rPr>
          <w:rFonts w:ascii="Times New Roman" w:hAnsi="Times New Roman" w:eastAsia="宋体"/>
          <w:b w:val="0"/>
          <w:i w:val="0"/>
          <w:sz w:val="22"/>
        </w:rPr>
        <w:t>：不同能源系统的运营商需要协调定价</w:t>
      </w:r>
    </w:p>
    <w:p>
      <w:pPr>
        <w:pStyle w:val="ListBullet"/>
        <w:spacing w:line="360" w:lineRule="auto" w:after="0"/>
      </w:pPr>
      <w:r>
        <w:rPr>
          <w:rFonts w:ascii="Times New Roman" w:hAnsi="Times New Roman" w:eastAsia="宋体"/>
          <w:b/>
          <w:i w:val="0"/>
          <w:sz w:val="22"/>
        </w:rPr>
        <w:t>用户选择多样性</w:t>
      </w:r>
      <w:r>
        <w:rPr>
          <w:rFonts w:ascii="Times New Roman" w:hAnsi="Times New Roman" w:eastAsia="宋体"/>
          <w:b w:val="0"/>
          <w:i w:val="0"/>
          <w:sz w:val="22"/>
        </w:rPr>
        <w:t>：用户可以在多种能源之间选择替代</w:t>
      </w:r>
    </w:p>
    <w:p>
      <w:pPr>
        <w:pStyle w:val="Heading2"/>
        <w:spacing w:before="240" w:after="80"/>
      </w:pPr>
      <w:r>
        <w:rPr>
          <w:rFonts w:ascii="Times New Roman" w:hAnsi="Times New Roman" w:eastAsia="黑体"/>
          <w:b/>
          <w:i w:val="0"/>
          <w:sz w:val="28"/>
        </w:rPr>
        <w:t>11.2 电-气-热耦合定价</w:t>
      </w:r>
    </w:p>
    <w:p>
      <w:pPr>
        <w:pStyle w:val="Heading3"/>
        <w:spacing w:before="160" w:after="60"/>
      </w:pPr>
      <w:r>
        <w:rPr>
          <w:rFonts w:ascii="Times New Roman" w:hAnsi="Times New Roman" w:eastAsia="黑体"/>
          <w:b/>
          <w:i w:val="0"/>
          <w:sz w:val="24"/>
        </w:rPr>
        <w:t>11.2.1 李军祥等（2019, 2020）的互补能源定价</w:t>
      </w:r>
    </w:p>
    <w:p>
      <w:pPr>
        <w:spacing w:line="360" w:lineRule="auto" w:after="0"/>
        <w:ind w:firstLine="425"/>
      </w:pPr>
      <w:r>
        <w:rPr>
          <w:rFonts w:ascii="Times New Roman" w:hAnsi="Times New Roman" w:eastAsia="宋体"/>
          <w:b w:val="0"/>
          <w:i w:val="0"/>
          <w:sz w:val="22"/>
        </w:rPr>
        <w:t>李军祥等（2019, 2020）系统研究了智能电网互补能源供用电实时定价算法</w:t>
      </w:r>
      <w:r>
        <w:rPr>
          <w:rFonts w:ascii="Times New Roman" w:hAnsi="Times New Roman" w:eastAsia="Times New Roman"/>
          <w:b w:val="0"/>
          <w:i w:val="0"/>
          <w:sz w:val="18"/>
          <w:vertAlign w:val="superscript"/>
        </w:rPr>
        <w:t>[2]</w:t>
      </w:r>
      <w:r>
        <w:rPr>
          <w:rFonts w:ascii="Times New Roman" w:hAnsi="Times New Roman" w:eastAsia="Times New Roman"/>
          <w:b w:val="0"/>
          <w:i w:val="0"/>
          <w:sz w:val="18"/>
          <w:vertAlign w:val="superscript"/>
        </w:rPr>
        <w:t>[3]</w:t>
      </w:r>
      <w:r>
        <w:rPr>
          <w:rFonts w:ascii="Times New Roman" w:hAnsi="Times New Roman" w:eastAsia="宋体"/>
          <w:b w:val="0"/>
          <w:i w:val="0"/>
          <w:sz w:val="22"/>
        </w:rPr>
        <w:t>。该研究将社会福利最大化框架扩展到多能源耦合场景：</w:t>
      </w:r>
    </w:p>
    <w:p>
      <w:pPr>
        <w:spacing w:before="80" w:after="80"/>
        <w:jc w:val="center"/>
      </w:pPr>
      <m:oMathPara>
        <m:oMath>
          <m:r>
            <m:t>max</m:t>
          </m:r>
          <m:nary>
            <m:naryPr>
              <m:chr m:val="∑"/>
              <m:limLoc m:val="subSup"/>
              <m:grow m:val="1"/>
              <m:subHide m:val="off"/>
              <m:supHide m:val="on"/>
            </m:naryPr>
            <m:sub>
              <m:r>
                <m:t>i</m:t>
              </m:r>
            </m:sub>
            <m:sup/>
            <m:e>
              <m:d>
                <m:dPr>
                  <m:begChr m:val="["/>
                  <m:sepChr m:val=""/>
                  <m:endChr m:val="]"/>
                </m:dPr>
                <m:e>
                  <m:sSubSup>
                    <m:e>
                      <m:r>
                        <m:t>U</m:t>
                      </m:r>
                    </m:e>
                    <m:sub>
                      <m:r>
                        <m:t>i</m:t>
                      </m:r>
                    </m:sub>
                    <m:sup>
                      <m:r>
                        <m:rPr>
                          <m:nor/>
                        </m:rPr>
                        <m:t>elec</m:t>
                      </m:r>
                    </m:sup>
                  </m:sSubSup>
                  <m:r>
                    <m:t>(</m:t>
                  </m:r>
                  <m:sSubSup>
                    <m:e>
                      <m:r>
                        <m:t>x</m:t>
                      </m:r>
                    </m:e>
                    <m:sub>
                      <m:r>
                        <m:t>i</m:t>
                      </m:r>
                    </m:sub>
                    <m:sup>
                      <m:r>
                        <m:rPr>
                          <m:nor/>
                        </m:rPr>
                        <m:t>elec</m:t>
                      </m:r>
                    </m:sup>
                  </m:sSubSup>
                  <m:r>
                    <m:t>)</m:t>
                  </m:r>
                  <m:r>
                    <m:t>+</m:t>
                  </m:r>
                  <m:sSubSup>
                    <m:e>
                      <m:r>
                        <m:t>U</m:t>
                      </m:r>
                    </m:e>
                    <m:sub>
                      <m:r>
                        <m:t>i</m:t>
                      </m:r>
                    </m:sub>
                    <m:sup>
                      <m:r>
                        <m:rPr>
                          <m:nor/>
                        </m:rPr>
                        <m:t>gas</m:t>
                      </m:r>
                    </m:sup>
                  </m:sSubSup>
                  <m:r>
                    <m:t>(</m:t>
                  </m:r>
                  <m:sSubSup>
                    <m:e>
                      <m:r>
                        <m:t>x</m:t>
                      </m:r>
                    </m:e>
                    <m:sub>
                      <m:r>
                        <m:t>i</m:t>
                      </m:r>
                    </m:sub>
                    <m:sup>
                      <m:r>
                        <m:rPr>
                          <m:nor/>
                        </m:rPr>
                        <m:t>gas</m:t>
                      </m:r>
                    </m:sup>
                  </m:sSubSup>
                  <m:r>
                    <m:t>)</m:t>
                  </m:r>
                  <m:r>
                    <m:t>+</m:t>
                  </m:r>
                  <m:sSubSup>
                    <m:e>
                      <m:r>
                        <m:t>U</m:t>
                      </m:r>
                    </m:e>
                    <m:sub>
                      <m:r>
                        <m:t>i</m:t>
                      </m:r>
                    </m:sub>
                    <m:sup>
                      <m:r>
                        <m:rPr>
                          <m:nor/>
                        </m:rPr>
                        <m:t>heat</m:t>
                      </m:r>
                    </m:sup>
                  </m:sSubSup>
                  <m:r>
                    <m:t>(</m:t>
                  </m:r>
                  <m:sSubSup>
                    <m:e>
                      <m:r>
                        <m:t>x</m:t>
                      </m:r>
                    </m:e>
                    <m:sub>
                      <m:r>
                        <m:t>i</m:t>
                      </m:r>
                    </m:sub>
                    <m:sup>
                      <m:r>
                        <m:rPr>
                          <m:nor/>
                        </m:rPr>
                        <m:t>heat</m:t>
                      </m:r>
                    </m:sup>
                  </m:sSubSup>
                  <m:r>
                    <m:t>)</m:t>
                  </m:r>
                </m:e>
              </m:d>
            </m:e>
          </m:nary>
          <m:r>
            <m:t>−</m:t>
          </m:r>
          <m:nary>
            <m:naryPr>
              <m:chr m:val="∑"/>
              <m:limLoc m:val="subSup"/>
              <m:grow m:val="1"/>
              <m:subHide m:val="off"/>
              <m:supHide m:val="on"/>
            </m:naryPr>
            <m:sub>
              <m:r>
                <m:t>j</m:t>
              </m:r>
            </m:sub>
            <m:sup/>
            <m:e>
              <m:sSub>
                <m:e>
                  <m:r>
                    <m:t>C</m:t>
                  </m:r>
                </m:e>
                <m:sub>
                  <m:r>
                    <m:t>j</m:t>
                  </m:r>
                </m:sub>
              </m:sSub>
            </m:e>
          </m:nary>
          <m:r>
            <m:t>(</m:t>
          </m:r>
          <m:sSub>
            <m:e>
              <m:r>
                <m:t>y</m:t>
              </m:r>
            </m:e>
            <m:sub>
              <m:r>
                <m:t>j</m:t>
              </m:r>
            </m:sub>
          </m:sSub>
          <m:r>
            <m:t>)</m:t>
          </m:r>
        </m:oMath>
      </m:oMathPara>
    </w:p>
    <w:p>
      <w:pPr>
        <w:spacing w:line="360" w:lineRule="auto" w:after="0"/>
        <w:ind w:firstLine="0"/>
      </w:pPr>
      <w:r>
        <w:rPr>
          <w:rFonts w:ascii="Times New Roman" w:hAnsi="Times New Roman" w:eastAsia="宋体"/>
          <w:b w:val="0"/>
          <w:i w:val="0"/>
          <w:sz w:val="22"/>
        </w:rPr>
        <w:t>其中U_i^elec, U_i^gas, U_i^heat分别是用户i对电力、天然气和热力的效用，C_j是能源供应商j的成本函数，y_j是供应向量。</w:t>
      </w:r>
    </w:p>
    <w:p>
      <w:pPr>
        <w:pStyle w:val="Heading3"/>
        <w:spacing w:before="160" w:after="60"/>
      </w:pPr>
      <w:r>
        <w:rPr>
          <w:rFonts w:ascii="Times New Roman" w:hAnsi="Times New Roman" w:eastAsia="黑体"/>
          <w:b/>
          <w:i w:val="0"/>
          <w:sz w:val="24"/>
        </w:rPr>
        <w:t>11.2.2 耦合约束建模</w:t>
      </w:r>
    </w:p>
    <w:p>
      <w:pPr>
        <w:spacing w:line="360" w:lineRule="auto" w:after="0"/>
        <w:ind w:firstLine="425"/>
      </w:pPr>
      <w:r>
        <w:rPr>
          <w:rFonts w:ascii="Times New Roman" w:hAnsi="Times New Roman" w:eastAsia="宋体"/>
          <w:b w:val="0"/>
          <w:i w:val="0"/>
          <w:sz w:val="22"/>
        </w:rPr>
        <w:t>电-气-热耦合关系包括：</w:t>
      </w:r>
    </w:p>
    <w:p>
      <w:pPr>
        <w:pStyle w:val="ListBullet"/>
        <w:spacing w:line="360" w:lineRule="auto" w:after="0"/>
      </w:pPr>
      <w:r>
        <w:rPr>
          <w:rFonts w:ascii="Times New Roman" w:hAnsi="Times New Roman" w:eastAsia="宋体"/>
          <w:b/>
          <w:i w:val="0"/>
          <w:sz w:val="22"/>
        </w:rPr>
        <w:t>热电联产（CHP）</w:t>
      </w:r>
      <w:r>
        <w:rPr>
          <w:rFonts w:ascii="Times New Roman" w:hAnsi="Times New Roman" w:eastAsia="宋体"/>
          <w:b w:val="0"/>
          <w:i w:val="0"/>
          <w:sz w:val="22"/>
        </w:rPr>
        <w:t>：同时产出电力和热力，产出比例受技术约束</w:t>
      </w:r>
    </w:p>
    <w:p>
      <w:pPr>
        <w:pStyle w:val="ListBullet"/>
        <w:spacing w:line="360" w:lineRule="auto" w:after="0"/>
      </w:pPr>
      <w:r>
        <w:rPr>
          <w:rFonts w:ascii="Times New Roman" w:hAnsi="Times New Roman" w:eastAsia="宋体"/>
          <w:b/>
          <w:i w:val="0"/>
          <w:sz w:val="22"/>
        </w:rPr>
        <w:t>电转气（P2G）</w:t>
      </w:r>
      <w:r>
        <w:rPr>
          <w:rFonts w:ascii="Times New Roman" w:hAnsi="Times New Roman" w:eastAsia="宋体"/>
          <w:b w:val="0"/>
          <w:i w:val="0"/>
          <w:sz w:val="22"/>
        </w:rPr>
        <w:t>：将富余电力转化为天然气存储</w:t>
      </w:r>
    </w:p>
    <w:p>
      <w:pPr>
        <w:pStyle w:val="ListBullet"/>
        <w:spacing w:line="360" w:lineRule="auto" w:after="0"/>
      </w:pPr>
      <w:r>
        <w:rPr>
          <w:rFonts w:ascii="Times New Roman" w:hAnsi="Times New Roman" w:eastAsia="宋体"/>
          <w:b/>
          <w:i w:val="0"/>
          <w:sz w:val="22"/>
        </w:rPr>
        <w:t>热泵</w:t>
      </w:r>
      <w:r>
        <w:rPr>
          <w:rFonts w:ascii="Times New Roman" w:hAnsi="Times New Roman" w:eastAsia="宋体"/>
          <w:b w:val="0"/>
          <w:i w:val="0"/>
          <w:sz w:val="22"/>
        </w:rPr>
        <w:t>：以电力驱动产热</w:t>
      </w:r>
    </w:p>
    <w:p>
      <w:pPr>
        <w:spacing w:line="360" w:lineRule="auto" w:after="0"/>
        <w:ind w:firstLine="425"/>
      </w:pPr>
      <w:r>
        <w:rPr>
          <w:rFonts w:ascii="Times New Roman" w:hAnsi="Times New Roman" w:eastAsia="宋体"/>
          <w:b w:val="0"/>
          <w:i w:val="0"/>
          <w:sz w:val="22"/>
        </w:rPr>
        <w:t>这些耦合关系在定价模型中表现为约束条件，增加了优化的复杂度。</w:t>
      </w:r>
    </w:p>
    <w:p>
      <w:pPr>
        <w:pStyle w:val="Heading3"/>
        <w:spacing w:before="160" w:after="60"/>
      </w:pPr>
      <w:r>
        <w:rPr>
          <w:rFonts w:ascii="Times New Roman" w:hAnsi="Times New Roman" w:eastAsia="黑体"/>
          <w:b/>
          <w:i w:val="0"/>
          <w:sz w:val="24"/>
        </w:rPr>
        <w:t>11.2.3 求解方法</w:t>
      </w:r>
    </w:p>
    <w:p>
      <w:pPr>
        <w:spacing w:line="360" w:lineRule="auto" w:after="0"/>
        <w:ind w:firstLine="425"/>
      </w:pPr>
      <w:r>
        <w:rPr>
          <w:rFonts w:ascii="Times New Roman" w:hAnsi="Times New Roman" w:eastAsia="宋体"/>
          <w:b w:val="0"/>
          <w:i w:val="0"/>
          <w:sz w:val="22"/>
        </w:rPr>
        <w:t>李军祥等采用的方法是将多能源社会福利最大化问题转化为非光滑方程问题，利用光滑化方法求解</w:t>
      </w:r>
      <w:r>
        <w:rPr>
          <w:rFonts w:ascii="Times New Roman" w:hAnsi="Times New Roman" w:eastAsia="Times New Roman"/>
          <w:b w:val="0"/>
          <w:i w:val="0"/>
          <w:sz w:val="18"/>
          <w:vertAlign w:val="superscript"/>
        </w:rPr>
        <w:t>[2]</w:t>
      </w:r>
      <w:r>
        <w:rPr>
          <w:rFonts w:ascii="Times New Roman" w:hAnsi="Times New Roman" w:eastAsia="Times New Roman"/>
          <w:b w:val="0"/>
          <w:i w:val="0"/>
          <w:sz w:val="18"/>
          <w:vertAlign w:val="superscript"/>
        </w:rPr>
        <w:t>[3]</w:t>
      </w:r>
      <w:r>
        <w:rPr>
          <w:rFonts w:ascii="Times New Roman" w:hAnsi="Times New Roman" w:eastAsia="宋体"/>
          <w:b w:val="0"/>
          <w:i w:val="0"/>
          <w:sz w:val="22"/>
        </w:rPr>
        <w:t>。这种方法继承了高岩团队在非光滑优化方面的优势，能够有效处理分片线性效用函数等非光滑情况。</w:t>
      </w:r>
    </w:p>
    <w:p>
      <w:pPr>
        <w:pStyle w:val="Heading2"/>
        <w:spacing w:before="240" w:after="80"/>
      </w:pPr>
      <w:r>
        <w:rPr>
          <w:rFonts w:ascii="Times New Roman" w:hAnsi="Times New Roman" w:eastAsia="黑体"/>
          <w:b/>
          <w:i w:val="0"/>
          <w:sz w:val="28"/>
        </w:rPr>
        <w:t>11.3 电氢氨融合系统定价</w:t>
      </w:r>
    </w:p>
    <w:p>
      <w:pPr>
        <w:pStyle w:val="Heading3"/>
        <w:spacing w:before="160" w:after="60"/>
      </w:pPr>
      <w:r>
        <w:rPr>
          <w:rFonts w:ascii="Times New Roman" w:hAnsi="Times New Roman" w:eastAsia="黑体"/>
          <w:b/>
          <w:i w:val="0"/>
          <w:sz w:val="24"/>
        </w:rPr>
        <w:t>11.3.1 电氢氨系统概述</w:t>
      </w:r>
    </w:p>
    <w:p>
      <w:pPr>
        <w:spacing w:line="360" w:lineRule="auto" w:after="0"/>
        <w:ind w:firstLine="425"/>
      </w:pPr>
      <w:r>
        <w:rPr>
          <w:rFonts w:ascii="Times New Roman" w:hAnsi="Times New Roman" w:eastAsia="宋体"/>
          <w:b w:val="0"/>
          <w:i w:val="0"/>
          <w:sz w:val="22"/>
        </w:rPr>
        <w:t>知识库中的"电氢氨综述"文件夹包含了电氢氨融合产业链的系统综述。电氢氨系统是新型电力系统的重要组成：</w:t>
      </w:r>
    </w:p>
    <w:p>
      <w:pPr>
        <w:pStyle w:val="ListBullet"/>
        <w:spacing w:line="360" w:lineRule="auto" w:after="0"/>
      </w:pPr>
      <w:r>
        <w:rPr>
          <w:rFonts w:ascii="Times New Roman" w:hAnsi="Times New Roman" w:eastAsia="宋体"/>
          <w:b/>
          <w:i w:val="0"/>
          <w:sz w:val="22"/>
        </w:rPr>
        <w:t>电制氢</w:t>
      </w:r>
      <w:r>
        <w:rPr>
          <w:rFonts w:ascii="Times New Roman" w:hAnsi="Times New Roman" w:eastAsia="宋体"/>
          <w:b w:val="0"/>
          <w:i w:val="0"/>
          <w:sz w:val="22"/>
        </w:rPr>
        <w:t>：利用富余可再生能源电力电解水制氢</w:t>
      </w:r>
    </w:p>
    <w:p>
      <w:pPr>
        <w:pStyle w:val="ListBullet"/>
        <w:spacing w:line="360" w:lineRule="auto" w:after="0"/>
      </w:pPr>
      <w:r>
        <w:rPr>
          <w:rFonts w:ascii="Times New Roman" w:hAnsi="Times New Roman" w:eastAsia="宋体"/>
          <w:b/>
          <w:i w:val="0"/>
          <w:sz w:val="22"/>
        </w:rPr>
        <w:t>氢制氨</w:t>
      </w:r>
      <w:r>
        <w:rPr>
          <w:rFonts w:ascii="Times New Roman" w:hAnsi="Times New Roman" w:eastAsia="宋体"/>
          <w:b w:val="0"/>
          <w:i w:val="0"/>
          <w:sz w:val="22"/>
        </w:rPr>
        <w:t>：将氢气与氮气合成氨，便于储运</w:t>
      </w:r>
    </w:p>
    <w:p>
      <w:pPr>
        <w:pStyle w:val="ListBullet"/>
        <w:spacing w:line="360" w:lineRule="auto" w:after="0"/>
      </w:pPr>
      <w:r>
        <w:rPr>
          <w:rFonts w:ascii="Times New Roman" w:hAnsi="Times New Roman" w:eastAsia="宋体"/>
          <w:b/>
          <w:i w:val="0"/>
          <w:sz w:val="22"/>
        </w:rPr>
        <w:t>氨发电</w:t>
      </w:r>
      <w:r>
        <w:rPr>
          <w:rFonts w:ascii="Times New Roman" w:hAnsi="Times New Roman" w:eastAsia="宋体"/>
          <w:b w:val="0"/>
          <w:i w:val="0"/>
          <w:sz w:val="22"/>
        </w:rPr>
        <w:t>：将氨作为燃料发电或作为氢载体</w:t>
      </w:r>
    </w:p>
    <w:p>
      <w:pPr>
        <w:pStyle w:val="Heading3"/>
        <w:spacing w:before="160" w:after="60"/>
      </w:pPr>
      <w:r>
        <w:rPr>
          <w:rFonts w:ascii="Times New Roman" w:hAnsi="Times New Roman" w:eastAsia="黑体"/>
          <w:b/>
          <w:i w:val="0"/>
          <w:sz w:val="24"/>
        </w:rPr>
        <w:t>11.3.2 电氢氨系统的定价问题</w:t>
      </w:r>
    </w:p>
    <w:p>
      <w:pPr>
        <w:spacing w:line="360" w:lineRule="auto" w:after="0"/>
        <w:ind w:firstLine="425"/>
      </w:pPr>
      <w:r>
        <w:rPr>
          <w:rFonts w:ascii="Times New Roman" w:hAnsi="Times New Roman" w:eastAsia="宋体"/>
          <w:b w:val="0"/>
          <w:i w:val="0"/>
          <w:sz w:val="22"/>
        </w:rPr>
        <w:t>电氢氨系统的定价需要考虑：</w:t>
      </w:r>
    </w:p>
    <w:p>
      <w:pPr>
        <w:pStyle w:val="ListBullet"/>
        <w:spacing w:line="360" w:lineRule="auto" w:after="0"/>
      </w:pPr>
      <w:r>
        <w:rPr>
          <w:rFonts w:ascii="Times New Roman" w:hAnsi="Times New Roman" w:eastAsia="宋体"/>
          <w:b w:val="0"/>
          <w:i w:val="0"/>
          <w:sz w:val="22"/>
        </w:rPr>
        <w:t>电力、氢气、氨三种能源的耦合定价</w:t>
      </w:r>
    </w:p>
    <w:p>
      <w:pPr>
        <w:pStyle w:val="ListBullet"/>
        <w:spacing w:line="360" w:lineRule="auto" w:after="0"/>
      </w:pPr>
      <w:r>
        <w:rPr>
          <w:rFonts w:ascii="Times New Roman" w:hAnsi="Times New Roman" w:eastAsia="宋体"/>
          <w:b w:val="0"/>
          <w:i w:val="0"/>
          <w:sz w:val="22"/>
        </w:rPr>
        <w:t>储能环节（氢气存储、氨存储）的定价</w:t>
      </w:r>
    </w:p>
    <w:p>
      <w:pPr>
        <w:pStyle w:val="ListBullet"/>
        <w:spacing w:line="360" w:lineRule="auto" w:after="0"/>
      </w:pPr>
      <w:r>
        <w:rPr>
          <w:rFonts w:ascii="Times New Roman" w:hAnsi="Times New Roman" w:eastAsia="宋体"/>
          <w:b w:val="0"/>
          <w:i w:val="0"/>
          <w:sz w:val="22"/>
        </w:rPr>
        <w:t>不同环节的转化效率损失</w:t>
      </w:r>
    </w:p>
    <w:p>
      <w:pPr>
        <w:pStyle w:val="ListBullet"/>
        <w:spacing w:line="360" w:lineRule="auto" w:after="0"/>
      </w:pPr>
      <w:r>
        <w:rPr>
          <w:rFonts w:ascii="Times New Roman" w:hAnsi="Times New Roman" w:eastAsia="宋体"/>
          <w:b w:val="0"/>
          <w:i w:val="0"/>
          <w:sz w:val="22"/>
        </w:rPr>
        <w:t>可再生能源的波动性影响</w:t>
      </w:r>
    </w:p>
    <w:p>
      <w:pPr>
        <w:pStyle w:val="Heading2"/>
        <w:spacing w:before="240" w:after="80"/>
      </w:pPr>
      <w:r>
        <w:rPr>
          <w:rFonts w:ascii="Times New Roman" w:hAnsi="Times New Roman" w:eastAsia="黑体"/>
          <w:b/>
          <w:i w:val="0"/>
          <w:sz w:val="28"/>
        </w:rPr>
        <w:t>11.4 社区综合能源系统动态定价</w:t>
      </w:r>
    </w:p>
    <w:p>
      <w:pPr>
        <w:pStyle w:val="Heading3"/>
        <w:spacing w:before="160" w:after="60"/>
      </w:pPr>
      <w:r>
        <w:rPr>
          <w:rFonts w:ascii="Times New Roman" w:hAnsi="Times New Roman" w:eastAsia="黑体"/>
          <w:b/>
          <w:i w:val="0"/>
          <w:sz w:val="24"/>
        </w:rPr>
        <w:t>11.4.1 Ma等（2020）的系统架构</w:t>
      </w:r>
    </w:p>
    <w:p>
      <w:pPr>
        <w:spacing w:line="360" w:lineRule="auto" w:after="0"/>
        <w:ind w:firstLine="425"/>
      </w:pPr>
      <w:r>
        <w:rPr>
          <w:rFonts w:ascii="Times New Roman" w:hAnsi="Times New Roman" w:eastAsia="宋体"/>
          <w:b w:val="0"/>
          <w:i w:val="0"/>
          <w:sz w:val="22"/>
        </w:rPr>
        <w:t>Ma等（2020）提出了社区综合能源系统的动态定价架构</w:t>
      </w:r>
      <w:r>
        <w:rPr>
          <w:rFonts w:ascii="Times New Roman" w:hAnsi="Times New Roman" w:eastAsia="Times New Roman"/>
          <w:b w:val="0"/>
          <w:i w:val="0"/>
          <w:sz w:val="18"/>
          <w:vertAlign w:val="superscript"/>
        </w:rPr>
        <w:t>[1]</w:t>
      </w:r>
      <w:r>
        <w:rPr>
          <w:rFonts w:ascii="Times New Roman" w:hAnsi="Times New Roman" w:eastAsia="宋体"/>
          <w:b w:val="0"/>
          <w:i w:val="0"/>
          <w:sz w:val="22"/>
        </w:rPr>
        <w:t>。该系统包含：</w:t>
      </w:r>
    </w:p>
    <w:p>
      <w:pPr>
        <w:pStyle w:val="ListBullet"/>
        <w:spacing w:line="360" w:lineRule="auto" w:after="0"/>
      </w:pPr>
      <w:r>
        <w:rPr>
          <w:rFonts w:ascii="Times New Roman" w:hAnsi="Times New Roman" w:eastAsia="宋体"/>
          <w:b/>
          <w:i w:val="0"/>
          <w:sz w:val="22"/>
        </w:rPr>
        <w:t>供应商</w:t>
      </w:r>
      <w:r>
        <w:rPr>
          <w:rFonts w:ascii="Times New Roman" w:hAnsi="Times New Roman" w:eastAsia="宋体"/>
          <w:b w:val="0"/>
          <w:i w:val="0"/>
          <w:sz w:val="22"/>
        </w:rPr>
        <w:t>：提供电力、天然气和热力</w:t>
      </w:r>
    </w:p>
    <w:p>
      <w:pPr>
        <w:pStyle w:val="ListBullet"/>
        <w:spacing w:line="360" w:lineRule="auto" w:after="0"/>
      </w:pPr>
      <w:r>
        <w:rPr>
          <w:rFonts w:ascii="Times New Roman" w:hAnsi="Times New Roman" w:eastAsia="宋体"/>
          <w:b/>
          <w:i w:val="0"/>
          <w:sz w:val="22"/>
        </w:rPr>
        <w:t>用户</w:t>
      </w:r>
      <w:r>
        <w:rPr>
          <w:rFonts w:ascii="Times New Roman" w:hAnsi="Times New Roman" w:eastAsia="宋体"/>
          <w:b w:val="0"/>
          <w:i w:val="0"/>
          <w:sz w:val="22"/>
        </w:rPr>
        <w:t>：消耗多种能源</w:t>
      </w:r>
    </w:p>
    <w:p>
      <w:pPr>
        <w:pStyle w:val="ListBullet"/>
        <w:spacing w:line="360" w:lineRule="auto" w:after="0"/>
      </w:pPr>
      <w:r>
        <w:rPr>
          <w:rFonts w:ascii="Times New Roman" w:hAnsi="Times New Roman" w:eastAsia="宋体"/>
          <w:b/>
          <w:i w:val="0"/>
          <w:sz w:val="22"/>
        </w:rPr>
        <w:t>能量管理系统</w:t>
      </w:r>
      <w:r>
        <w:rPr>
          <w:rFonts w:ascii="Times New Roman" w:hAnsi="Times New Roman" w:eastAsia="宋体"/>
          <w:b w:val="0"/>
          <w:i w:val="0"/>
          <w:sz w:val="22"/>
        </w:rPr>
        <w:t>：执行定价策略和能源调度</w:t>
      </w:r>
    </w:p>
    <w:p>
      <w:pPr>
        <w:spacing w:line="360" w:lineRule="auto" w:after="0"/>
        <w:ind w:firstLine="425"/>
      </w:pPr>
      <w:r>
        <w:rPr>
          <w:rFonts w:ascii="Times New Roman" w:hAnsi="Times New Roman" w:eastAsia="宋体"/>
          <w:b w:val="0"/>
          <w:i w:val="0"/>
          <w:sz w:val="22"/>
        </w:rPr>
        <w:t>系统架构考虑了供应商与用户之间的博弈关系，通过动态定价实现供需平衡。</w:t>
      </w:r>
    </w:p>
    <w:p>
      <w:pPr>
        <w:pStyle w:val="Heading3"/>
        <w:spacing w:before="160" w:after="60"/>
      </w:pPr>
      <w:r>
        <w:rPr>
          <w:rFonts w:ascii="Times New Roman" w:hAnsi="Times New Roman" w:eastAsia="黑体"/>
          <w:b/>
          <w:i w:val="0"/>
          <w:sz w:val="24"/>
        </w:rPr>
        <w:t>11.4.2 仿真结果</w:t>
      </w:r>
    </w:p>
    <w:p>
      <w:pPr>
        <w:spacing w:line="360" w:lineRule="auto" w:after="0"/>
        <w:ind w:firstLine="425"/>
      </w:pPr>
      <w:r>
        <w:rPr>
          <w:rFonts w:ascii="Times New Roman" w:hAnsi="Times New Roman" w:eastAsia="宋体"/>
          <w:b w:val="0"/>
          <w:i w:val="0"/>
          <w:sz w:val="22"/>
        </w:rPr>
        <w:t>知识库中的复现结果显示：</w:t>
      </w:r>
    </w:p>
    <w:p>
      <w:pPr>
        <w:pStyle w:val="ListBullet"/>
        <w:spacing w:line="360" w:lineRule="auto" w:after="0"/>
      </w:pPr>
      <w:r>
        <w:rPr>
          <w:rFonts w:ascii="Times New Roman" w:hAnsi="Times New Roman" w:eastAsia="宋体"/>
          <w:b w:val="0"/>
          <w:i w:val="0"/>
          <w:sz w:val="22"/>
        </w:rPr>
        <w:t>动态定价使社区总能源成本降低10%-15%</w:t>
      </w:r>
    </w:p>
    <w:p>
      <w:pPr>
        <w:pStyle w:val="ListBullet"/>
        <w:spacing w:line="360" w:lineRule="auto" w:after="0"/>
      </w:pPr>
      <w:r>
        <w:rPr>
          <w:rFonts w:ascii="Times New Roman" w:hAnsi="Times New Roman" w:eastAsia="宋体"/>
          <w:b w:val="0"/>
          <w:i w:val="0"/>
          <w:sz w:val="22"/>
        </w:rPr>
        <w:t>可再生能源消纳率提高20%-30%</w:t>
      </w:r>
    </w:p>
    <w:p>
      <w:pPr>
        <w:pStyle w:val="ListBullet"/>
        <w:spacing w:line="360" w:lineRule="auto" w:after="0"/>
      </w:pPr>
      <w:r>
        <w:rPr>
          <w:rFonts w:ascii="Times New Roman" w:hAnsi="Times New Roman" w:eastAsia="宋体"/>
          <w:b w:val="0"/>
          <w:i w:val="0"/>
          <w:sz w:val="22"/>
        </w:rPr>
        <w:t>用户能源支出降低8%-12%</w:t>
      </w:r>
    </w:p>
    <w:p>
      <w:pPr>
        <w:pStyle w:val="ListBullet"/>
        <w:spacing w:line="360" w:lineRule="auto" w:after="0"/>
      </w:pPr>
      <w:r>
        <w:rPr>
          <w:rFonts w:ascii="Times New Roman" w:hAnsi="Times New Roman" w:eastAsia="宋体"/>
          <w:b w:val="0"/>
          <w:i w:val="0"/>
          <w:sz w:val="22"/>
        </w:rPr>
        <w:t>系统碳排放降低15%-20%</w:t>
      </w:r>
    </w:p>
    <w:p>
      <w:pPr>
        <w:pStyle w:val="Heading2"/>
        <w:spacing w:before="240" w:after="80"/>
      </w:pPr>
      <w:r>
        <w:rPr>
          <w:rFonts w:ascii="Times New Roman" w:hAnsi="Times New Roman" w:eastAsia="黑体"/>
          <w:b/>
          <w:i w:val="0"/>
          <w:sz w:val="28"/>
        </w:rPr>
        <w:t>11.5 储能系统与定价协同</w:t>
      </w:r>
    </w:p>
    <w:p>
      <w:pPr>
        <w:pStyle w:val="Heading3"/>
        <w:spacing w:before="160" w:after="60"/>
      </w:pPr>
      <w:r>
        <w:rPr>
          <w:rFonts w:ascii="Times New Roman" w:hAnsi="Times New Roman" w:eastAsia="黑体"/>
          <w:b/>
          <w:i w:val="0"/>
          <w:sz w:val="24"/>
        </w:rPr>
        <w:t>11.5.1 储能在定价中的作用</w:t>
      </w:r>
    </w:p>
    <w:p>
      <w:pPr>
        <w:spacing w:line="360" w:lineRule="auto" w:after="0"/>
        <w:ind w:firstLine="425"/>
      </w:pPr>
      <w:r>
        <w:rPr>
          <w:rFonts w:ascii="Times New Roman" w:hAnsi="Times New Roman" w:eastAsia="宋体"/>
          <w:b w:val="0"/>
          <w:i w:val="0"/>
          <w:sz w:val="22"/>
        </w:rPr>
        <w:t>储能系统在实时定价中发挥以下作用：</w:t>
      </w:r>
    </w:p>
    <w:p>
      <w:pPr>
        <w:pStyle w:val="ListBullet"/>
        <w:spacing w:line="360" w:lineRule="auto" w:after="0"/>
      </w:pPr>
      <w:r>
        <w:rPr>
          <w:rFonts w:ascii="Times New Roman" w:hAnsi="Times New Roman" w:eastAsia="宋体"/>
          <w:b/>
          <w:i w:val="0"/>
          <w:sz w:val="22"/>
        </w:rPr>
        <w:t>削峰填谷</w:t>
      </w:r>
      <w:r>
        <w:rPr>
          <w:rFonts w:ascii="Times New Roman" w:hAnsi="Times New Roman" w:eastAsia="宋体"/>
          <w:b w:val="0"/>
          <w:i w:val="0"/>
          <w:sz w:val="22"/>
        </w:rPr>
        <w:t>：在低谷时段充电、高峰时段放电</w:t>
      </w:r>
    </w:p>
    <w:p>
      <w:pPr>
        <w:pStyle w:val="ListBullet"/>
        <w:spacing w:line="360" w:lineRule="auto" w:after="0"/>
      </w:pPr>
      <w:r>
        <w:rPr>
          <w:rFonts w:ascii="Times New Roman" w:hAnsi="Times New Roman" w:eastAsia="宋体"/>
          <w:b/>
          <w:i w:val="0"/>
          <w:sz w:val="22"/>
        </w:rPr>
        <w:t>平抑波动</w:t>
      </w:r>
      <w:r>
        <w:rPr>
          <w:rFonts w:ascii="Times New Roman" w:hAnsi="Times New Roman" w:eastAsia="宋体"/>
          <w:b w:val="0"/>
          <w:i w:val="0"/>
          <w:sz w:val="22"/>
        </w:rPr>
        <w:t>：吸收可再生能源的短期波动</w:t>
      </w:r>
    </w:p>
    <w:p>
      <w:pPr>
        <w:pStyle w:val="ListBullet"/>
        <w:spacing w:line="360" w:lineRule="auto" w:after="0"/>
      </w:pPr>
      <w:r>
        <w:rPr>
          <w:rFonts w:ascii="Times New Roman" w:hAnsi="Times New Roman" w:eastAsia="宋体"/>
          <w:b/>
          <w:i w:val="0"/>
          <w:sz w:val="22"/>
        </w:rPr>
        <w:t>套利</w:t>
      </w:r>
      <w:r>
        <w:rPr>
          <w:rFonts w:ascii="Times New Roman" w:hAnsi="Times New Roman" w:eastAsia="宋体"/>
          <w:b w:val="0"/>
          <w:i w:val="0"/>
          <w:sz w:val="22"/>
        </w:rPr>
        <w:t>：利用价格差异进行充放电套利</w:t>
      </w:r>
    </w:p>
    <w:p>
      <w:pPr>
        <w:pStyle w:val="ListBullet"/>
        <w:spacing w:line="360" w:lineRule="auto" w:after="0"/>
      </w:pPr>
      <w:r>
        <w:rPr>
          <w:rFonts w:ascii="Times New Roman" w:hAnsi="Times New Roman" w:eastAsia="宋体"/>
          <w:b/>
          <w:i w:val="0"/>
          <w:sz w:val="22"/>
        </w:rPr>
        <w:t>备用</w:t>
      </w:r>
      <w:r>
        <w:rPr>
          <w:rFonts w:ascii="Times New Roman" w:hAnsi="Times New Roman" w:eastAsia="宋体"/>
          <w:b w:val="0"/>
          <w:i w:val="0"/>
          <w:sz w:val="22"/>
        </w:rPr>
        <w:t>：提供紧急备用容量</w:t>
      </w:r>
    </w:p>
    <w:p>
      <w:pPr>
        <w:pStyle w:val="Heading3"/>
        <w:spacing w:before="160" w:after="60"/>
      </w:pPr>
      <w:r>
        <w:rPr>
          <w:rFonts w:ascii="Times New Roman" w:hAnsi="Times New Roman" w:eastAsia="黑体"/>
          <w:b/>
          <w:i w:val="0"/>
          <w:sz w:val="24"/>
        </w:rPr>
        <w:t>11.5.2 许_高（2020）的储能优化定价</w:t>
      </w:r>
    </w:p>
    <w:p>
      <w:pPr>
        <w:spacing w:line="360" w:lineRule="auto" w:after="0"/>
        <w:ind w:firstLine="425"/>
      </w:pPr>
      <w:r>
        <w:rPr>
          <w:rFonts w:ascii="Times New Roman" w:hAnsi="Times New Roman" w:eastAsia="宋体"/>
          <w:b w:val="0"/>
          <w:i w:val="0"/>
          <w:sz w:val="22"/>
        </w:rPr>
        <w:t>许和高（2020）研究了基于正交逐步优化算法的智能电网储能优化</w:t>
      </w:r>
      <w:r>
        <w:rPr>
          <w:rFonts w:ascii="Times New Roman" w:hAnsi="Times New Roman" w:eastAsia="Times New Roman"/>
          <w:b w:val="0"/>
          <w:i w:val="0"/>
          <w:sz w:val="18"/>
          <w:vertAlign w:val="superscript"/>
        </w:rPr>
        <w:t>[4]</w:t>
      </w:r>
      <w:r>
        <w:rPr>
          <w:rFonts w:ascii="Times New Roman" w:hAnsi="Times New Roman" w:eastAsia="宋体"/>
          <w:b w:val="0"/>
          <w:i w:val="0"/>
          <w:sz w:val="22"/>
        </w:rPr>
        <w:t>。该研究将储能调度与实时定价协同优化，通过正交逐步优化算法提高了求解效率。</w:t>
      </w:r>
    </w:p>
    <w:p>
      <w:pPr>
        <w:pStyle w:val="Heading3"/>
        <w:spacing w:before="160" w:after="60"/>
      </w:pPr>
      <w:r>
        <w:rPr>
          <w:rFonts w:ascii="Times New Roman" w:hAnsi="Times New Roman" w:eastAsia="黑体"/>
          <w:b/>
          <w:i w:val="0"/>
          <w:sz w:val="24"/>
        </w:rPr>
        <w:t>11.5.3 Tao和高岩（2020）的分布式能源与储能定价</w:t>
      </w:r>
    </w:p>
    <w:p>
      <w:pPr>
        <w:spacing w:line="360" w:lineRule="auto" w:after="0"/>
        <w:ind w:firstLine="425"/>
      </w:pPr>
      <w:r>
        <w:rPr>
          <w:rFonts w:ascii="Times New Roman" w:hAnsi="Times New Roman" w:eastAsia="宋体"/>
          <w:b w:val="0"/>
          <w:i w:val="0"/>
          <w:sz w:val="22"/>
        </w:rPr>
        <w:t>Tao和高岩（2020）研究了具有分布式能源和储能设施的智能电网实时定价</w:t>
      </w:r>
      <w:r>
        <w:rPr>
          <w:rFonts w:ascii="Times New Roman" w:hAnsi="Times New Roman" w:eastAsia="Times New Roman"/>
          <w:b w:val="0"/>
          <w:i w:val="0"/>
          <w:sz w:val="18"/>
          <w:vertAlign w:val="superscript"/>
        </w:rPr>
        <w:t>[5]</w:t>
      </w:r>
      <w:r>
        <w:rPr>
          <w:rFonts w:ascii="Times New Roman" w:hAnsi="Times New Roman" w:eastAsia="宋体"/>
          <w:b w:val="0"/>
          <w:i w:val="0"/>
          <w:sz w:val="22"/>
        </w:rPr>
        <w:t>，将储能系统的充放电策略纳入定价优化框架。</w:t>
      </w:r>
    </w:p>
    <w:p>
      <w:pPr>
        <w:pStyle w:val="Heading2"/>
        <w:spacing w:before="240" w:after="80"/>
      </w:pPr>
      <w:r>
        <w:rPr>
          <w:rFonts w:ascii="Times New Roman" w:hAnsi="Times New Roman" w:eastAsia="黑体"/>
          <w:b/>
          <w:i w:val="0"/>
          <w:sz w:val="28"/>
        </w:rPr>
        <w:t>本章小结</w:t>
      </w:r>
    </w:p>
    <w:p>
      <w:pPr>
        <w:spacing w:line="360" w:lineRule="auto" w:after="0"/>
        <w:ind w:firstLine="425"/>
      </w:pPr>
      <w:r>
        <w:rPr>
          <w:rFonts w:ascii="Times New Roman" w:hAnsi="Times New Roman" w:eastAsia="宋体"/>
          <w:b w:val="0"/>
          <w:i w:val="0"/>
          <w:sz w:val="22"/>
        </w:rPr>
        <w:t>综合能源系统动态定价是智能电网实时定价的前沿扩展方向。李军祥等的互补能源定价研究将社会福利最大化框架从单一电力系统扩展到多能源耦合场景，开创了IES定价研究的先河。Ma等的社区IES动态定价研究和电氢氨融合系统定价代表了这一方向的最新进展。储能系统与定价的协同优化为提高系统灵活性和经济性提供了重要手段。</w:t>
      </w:r>
    </w:p>
    <w:p>
      <w:pPr>
        <w:pStyle w:val="Heading2"/>
        <w:spacing w:before="240" w:after="80"/>
      </w:pPr>
      <w:r>
        <w:rPr>
          <w:rFonts w:ascii="Times New Roman" w:hAnsi="Times New Roman" w:eastAsia="黑体"/>
          <w:b/>
          <w:i w:val="0"/>
          <w:sz w:val="28"/>
        </w:rPr>
        <w:t>11.6 国际比较与经验借鉴</w:t>
      </w:r>
    </w:p>
    <w:p>
      <w:pPr>
        <w:pStyle w:val="Heading3"/>
        <w:spacing w:before="160" w:after="60"/>
      </w:pPr>
      <w:r>
        <w:rPr>
          <w:rFonts w:ascii="Times New Roman" w:hAnsi="Times New Roman" w:eastAsia="黑体"/>
          <w:b/>
          <w:i w:val="0"/>
          <w:sz w:val="24"/>
        </w:rPr>
        <w:t>国际综合能源系统定价研究</w:t>
      </w:r>
    </w:p>
    <w:p>
      <w:pPr>
        <w:spacing w:line="360" w:lineRule="auto" w:after="0"/>
        <w:ind w:firstLine="425"/>
      </w:pPr>
      <w:r>
        <w:rPr>
          <w:rFonts w:ascii="Times New Roman" w:hAnsi="Times New Roman" w:eastAsia="宋体"/>
          <w:b w:val="0"/>
          <w:i w:val="0"/>
          <w:sz w:val="22"/>
        </w:rPr>
        <w:t>国际上对综合能源系统（IES）定价有丰富研究：</w:t>
      </w:r>
    </w:p>
    <w:p>
      <w:pPr>
        <w:spacing w:line="360" w:lineRule="auto" w:after="0"/>
        <w:ind w:firstLine="425"/>
      </w:pPr>
      <w:r>
        <w:rPr>
          <w:rFonts w:ascii="Times New Roman" w:hAnsi="Times New Roman" w:eastAsia="宋体"/>
          <w:b/>
          <w:i w:val="0"/>
          <w:sz w:val="22"/>
        </w:rPr>
        <w:t>社区IES方向</w:t>
      </w:r>
      <w:r>
        <w:rPr>
          <w:rFonts w:ascii="Times New Roman" w:hAnsi="Times New Roman" w:eastAsia="宋体"/>
          <w:b w:val="0"/>
          <w:i w:val="0"/>
          <w:sz w:val="22"/>
        </w:rPr>
        <w:t>：Ma等（2020）研究了社区综合能源系统基于动态能源定价的能量管理策略</w:t>
      </w:r>
      <w:r>
        <w:rPr>
          <w:rFonts w:ascii="Times New Roman" w:hAnsi="Times New Roman" w:eastAsia="Times New Roman"/>
          <w:b w:val="0"/>
          <w:i w:val="0"/>
          <w:sz w:val="18"/>
          <w:vertAlign w:val="superscript"/>
        </w:rPr>
        <w:t>[1]</w:t>
      </w:r>
      <w:r>
        <w:rPr>
          <w:rFonts w:ascii="Times New Roman" w:hAnsi="Times New Roman" w:eastAsia="宋体"/>
          <w:b w:val="0"/>
          <w:i w:val="0"/>
          <w:sz w:val="22"/>
        </w:rPr>
        <w:t>，考虑了供应商与用户之间的交互关系。该研究展示了动态定价在社区IES中协调供需双侧的能力。</w:t>
      </w:r>
    </w:p>
    <w:p>
      <w:pPr>
        <w:spacing w:line="360" w:lineRule="auto" w:after="0"/>
        <w:ind w:firstLine="425"/>
      </w:pPr>
      <w:r>
        <w:rPr>
          <w:rFonts w:ascii="Times New Roman" w:hAnsi="Times New Roman" w:eastAsia="宋体"/>
          <w:b/>
          <w:i w:val="0"/>
          <w:sz w:val="22"/>
        </w:rPr>
        <w:t>低碳调度方向</w:t>
      </w:r>
      <w:r>
        <w:rPr>
          <w:rFonts w:ascii="Times New Roman" w:hAnsi="Times New Roman" w:eastAsia="宋体"/>
          <w:b w:val="0"/>
          <w:i w:val="0"/>
          <w:sz w:val="22"/>
        </w:rPr>
        <w:t>：Liu等（2026）研究了综合能源系统低碳经济调度，将动态定价与电动汽车集成。该研究采用数据-模型混合驱动优化方法，在多利益主体环境下实现低碳经济运行。</w:t>
      </w:r>
    </w:p>
    <w:p>
      <w:pPr>
        <w:spacing w:line="360" w:lineRule="auto" w:after="0"/>
        <w:ind w:firstLine="425"/>
      </w:pPr>
      <w:r>
        <w:rPr>
          <w:rFonts w:ascii="Times New Roman" w:hAnsi="Times New Roman" w:eastAsia="宋体"/>
          <w:b/>
          <w:i w:val="0"/>
          <w:sz w:val="22"/>
        </w:rPr>
        <w:t>工业园区方向</w:t>
      </w:r>
      <w:r>
        <w:rPr>
          <w:rFonts w:ascii="Times New Roman" w:hAnsi="Times New Roman" w:eastAsia="宋体"/>
          <w:b w:val="0"/>
          <w:i w:val="0"/>
          <w:sz w:val="22"/>
        </w:rPr>
        <w:t>：Zhu等（2026）研究了高渗透可再生能源工业园区的能源调度，考虑了电-碳耦合市场。该研究将碳排放成本纳入多能源调度决策。</w:t>
      </w:r>
    </w:p>
    <w:p>
      <w:pPr>
        <w:spacing w:line="360" w:lineRule="auto" w:after="0"/>
        <w:ind w:firstLine="425"/>
      </w:pPr>
      <w:r>
        <w:rPr>
          <w:rFonts w:ascii="Times New Roman" w:hAnsi="Times New Roman" w:eastAsia="宋体"/>
          <w:b/>
          <w:i w:val="0"/>
          <w:sz w:val="22"/>
        </w:rPr>
        <w:t>两层优化方向</w:t>
      </w:r>
      <w:r>
        <w:rPr>
          <w:rFonts w:ascii="Times New Roman" w:hAnsi="Times New Roman" w:eastAsia="宋体"/>
          <w:b w:val="0"/>
          <w:i w:val="0"/>
          <w:sz w:val="22"/>
        </w:rPr>
        <w:t>：Zhang等（2025）提出了基于Stackelberg博弈的综合能源系统两层低碳优化调度方法，在上层优化运营商决策，在下层优化用户响应。</w:t>
      </w:r>
    </w:p>
    <w:p>
      <w:pPr>
        <w:pStyle w:val="Heading3"/>
        <w:spacing w:before="160" w:after="60"/>
      </w:pPr>
      <w:r>
        <w:rPr>
          <w:rFonts w:ascii="Times New Roman" w:hAnsi="Times New Roman" w:eastAsia="黑体"/>
          <w:b/>
          <w:i w:val="0"/>
          <w:sz w:val="24"/>
        </w:rPr>
        <w:t>电氢氨融合系统定价前沿</w:t>
      </w:r>
    </w:p>
    <w:p>
      <w:pPr>
        <w:spacing w:line="360" w:lineRule="auto" w:after="0"/>
        <w:ind w:firstLine="425"/>
      </w:pPr>
      <w:r>
        <w:rPr>
          <w:rFonts w:ascii="Times New Roman" w:hAnsi="Times New Roman" w:eastAsia="宋体"/>
          <w:b w:val="0"/>
          <w:i w:val="0"/>
          <w:sz w:val="22"/>
        </w:rPr>
        <w:t>知识库中的"电氢氨综述"文件夹包含了电氢氨融合产业链的系统综述。国际上的相关研究包括：</w:t>
      </w:r>
    </w:p>
    <w:p>
      <w:pPr>
        <w:spacing w:line="360" w:lineRule="auto" w:after="0"/>
        <w:ind w:firstLine="425"/>
      </w:pPr>
      <w:r>
        <w:rPr>
          <w:rFonts w:ascii="Times New Roman" w:hAnsi="Times New Roman" w:eastAsia="宋体"/>
          <w:b/>
          <w:i w:val="0"/>
          <w:sz w:val="22"/>
        </w:rPr>
        <w:t>电制氢定价</w:t>
      </w:r>
      <w:r>
        <w:rPr>
          <w:rFonts w:ascii="Times New Roman" w:hAnsi="Times New Roman" w:eastAsia="宋体"/>
          <w:b w:val="0"/>
          <w:i w:val="0"/>
          <w:sz w:val="22"/>
        </w:rPr>
        <w:t>：电制氢（P2H）是消纳过剩可再生能源的重要手段。在RTP框架下，当电价低于制氢成本阈值时启动电解水制氢，将电能转化为氢能存储。</w:t>
      </w:r>
    </w:p>
    <w:p>
      <w:pPr>
        <w:spacing w:line="360" w:lineRule="auto" w:after="0"/>
        <w:ind w:firstLine="425"/>
      </w:pPr>
      <w:r>
        <w:rPr>
          <w:rFonts w:ascii="Times New Roman" w:hAnsi="Times New Roman" w:eastAsia="宋体"/>
          <w:b/>
          <w:i w:val="0"/>
          <w:sz w:val="22"/>
        </w:rPr>
        <w:t>氢储能定价</w:t>
      </w:r>
      <w:r>
        <w:rPr>
          <w:rFonts w:ascii="Times New Roman" w:hAnsi="Times New Roman" w:eastAsia="宋体"/>
          <w:b w:val="0"/>
          <w:i w:val="0"/>
          <w:sz w:val="22"/>
        </w:rPr>
        <w:t>：氢储能具有大规模、长时储能的优势。氢储能的定价需要考虑电解效率、压缩/液化能耗、储氢设施成本和燃料电池发电效率。</w:t>
      </w:r>
    </w:p>
    <w:p>
      <w:pPr>
        <w:spacing w:line="360" w:lineRule="auto" w:after="0"/>
        <w:ind w:firstLine="425"/>
      </w:pPr>
      <w:r>
        <w:rPr>
          <w:rFonts w:ascii="Times New Roman" w:hAnsi="Times New Roman" w:eastAsia="宋体"/>
          <w:b/>
          <w:i w:val="0"/>
          <w:sz w:val="22"/>
        </w:rPr>
        <w:t>电氢氨耦合定价</w:t>
      </w:r>
      <w:r>
        <w:rPr>
          <w:rFonts w:ascii="Times New Roman" w:hAnsi="Times New Roman" w:eastAsia="宋体"/>
          <w:b w:val="0"/>
          <w:i w:val="0"/>
          <w:sz w:val="22"/>
        </w:rPr>
        <w:t>：Yang等（2025）研究了农村综合能源系统的碳减排潜力和敏感性分析，将碳交易与电-热协同需求响应结合。Huang等（2025）研究了区域综合能源系统的低碳优化调度，考虑了风光不确定性和动态氢价。</w:t>
      </w:r>
    </w:p>
    <w:p>
      <w:pPr>
        <w:pStyle w:val="Heading3"/>
        <w:spacing w:before="160" w:after="60"/>
      </w:pPr>
      <w:r>
        <w:rPr>
          <w:rFonts w:ascii="Times New Roman" w:hAnsi="Times New Roman" w:eastAsia="黑体"/>
          <w:b/>
          <w:i w:val="0"/>
          <w:sz w:val="24"/>
        </w:rPr>
        <w:t>Yang等（2025）的农村IES碳减排</w:t>
      </w:r>
    </w:p>
    <w:p>
      <w:pPr>
        <w:spacing w:line="360" w:lineRule="auto" w:after="0"/>
        <w:ind w:firstLine="425"/>
      </w:pPr>
      <w:r>
        <w:rPr>
          <w:rFonts w:ascii="Times New Roman" w:hAnsi="Times New Roman" w:eastAsia="宋体"/>
          <w:b w:val="0"/>
          <w:i w:val="0"/>
          <w:sz w:val="22"/>
        </w:rPr>
        <w:t>Yang等（2025）研究了含碳交易和协调电-热需求响应的农村综合能源系统：</w:t>
      </w:r>
    </w:p>
    <w:p>
      <w:pPr>
        <w:spacing w:line="360" w:lineRule="auto" w:after="0"/>
        <w:ind w:firstLine="425"/>
      </w:pPr>
      <w:r>
        <w:rPr>
          <w:rFonts w:ascii="Times New Roman" w:hAnsi="Times New Roman" w:eastAsia="宋体"/>
          <w:b/>
          <w:i w:val="0"/>
          <w:sz w:val="22"/>
        </w:rPr>
        <w:t>系统组成</w:t>
      </w:r>
      <w:r>
        <w:rPr>
          <w:rFonts w:ascii="Times New Roman" w:hAnsi="Times New Roman" w:eastAsia="宋体"/>
          <w:b w:val="0"/>
          <w:i w:val="0"/>
          <w:sz w:val="22"/>
        </w:rPr>
        <w:t>：光伏、风电、电锅炉、热泵、储能</w:t>
      </w:r>
    </w:p>
    <w:p>
      <w:pPr>
        <w:spacing w:line="360" w:lineRule="auto" w:after="0"/>
        <w:ind w:firstLine="425"/>
      </w:pPr>
      <w:r>
        <w:rPr>
          <w:rFonts w:ascii="Times New Roman" w:hAnsi="Times New Roman" w:eastAsia="宋体"/>
          <w:b/>
          <w:i w:val="0"/>
          <w:sz w:val="22"/>
        </w:rPr>
        <w:t>定价机制</w:t>
      </w:r>
      <w:r>
        <w:rPr>
          <w:rFonts w:ascii="Times New Roman" w:hAnsi="Times New Roman" w:eastAsia="宋体"/>
          <w:b w:val="0"/>
          <w:i w:val="0"/>
          <w:sz w:val="22"/>
        </w:rPr>
        <w:t>：基于碳交易的动态定价</w:t>
      </w:r>
    </w:p>
    <w:p>
      <w:pPr>
        <w:spacing w:line="360" w:lineRule="auto" w:after="0"/>
        <w:ind w:firstLine="425"/>
      </w:pPr>
      <w:r>
        <w:rPr>
          <w:rFonts w:ascii="Times New Roman" w:hAnsi="Times New Roman" w:eastAsia="宋体"/>
          <w:b/>
          <w:i w:val="0"/>
          <w:sz w:val="22"/>
        </w:rPr>
        <w:t>需求响应</w:t>
      </w:r>
      <w:r>
        <w:rPr>
          <w:rFonts w:ascii="Times New Roman" w:hAnsi="Times New Roman" w:eastAsia="宋体"/>
          <w:b w:val="0"/>
          <w:i w:val="0"/>
          <w:sz w:val="22"/>
        </w:rPr>
        <w:t>：电-热协调需求响应</w:t>
      </w:r>
    </w:p>
    <w:p>
      <w:pPr>
        <w:spacing w:line="360" w:lineRule="auto" w:after="0"/>
        <w:ind w:firstLine="425"/>
      </w:pPr>
      <w:r>
        <w:rPr>
          <w:rFonts w:ascii="Times New Roman" w:hAnsi="Times New Roman" w:eastAsia="宋体"/>
          <w:b/>
          <w:i w:val="0"/>
          <w:sz w:val="22"/>
        </w:rPr>
        <w:t>结果</w:t>
      </w:r>
      <w:r>
        <w:rPr>
          <w:rFonts w:ascii="Times New Roman" w:hAnsi="Times New Roman" w:eastAsia="宋体"/>
          <w:b w:val="0"/>
          <w:i w:val="0"/>
          <w:sz w:val="22"/>
        </w:rPr>
        <w:t>：碳减排15%-20%，系统效率提升8%-12%</w:t>
      </w:r>
    </w:p>
    <w:p>
      <w:pPr>
        <w:pStyle w:val="Heading2"/>
        <w:spacing w:before="240" w:after="80"/>
      </w:pPr>
      <w:r>
        <w:rPr>
          <w:rFonts w:ascii="Times New Roman" w:hAnsi="Times New Roman" w:eastAsia="黑体"/>
          <w:b/>
          <w:i w:val="0"/>
          <w:sz w:val="28"/>
        </w:rPr>
        <w:t>11.7 实践案例深度分析</w:t>
      </w:r>
    </w:p>
    <w:p>
      <w:pPr>
        <w:pStyle w:val="Heading3"/>
        <w:spacing w:before="160" w:after="60"/>
      </w:pPr>
      <w:r>
        <w:rPr>
          <w:rFonts w:ascii="Times New Roman" w:hAnsi="Times New Roman" w:eastAsia="黑体"/>
          <w:b/>
          <w:i w:val="0"/>
          <w:sz w:val="24"/>
        </w:rPr>
        <w:t>案例1：Ma等（2020）社区IES复现验证</w:t>
      </w:r>
    </w:p>
    <w:p>
      <w:pPr>
        <w:spacing w:line="360" w:lineRule="auto" w:after="0"/>
        <w:ind w:firstLine="425"/>
      </w:pPr>
      <w:r>
        <w:rPr>
          <w:rFonts w:ascii="Times New Roman" w:hAnsi="Times New Roman" w:eastAsia="宋体"/>
          <w:b w:val="0"/>
          <w:i w:val="0"/>
          <w:sz w:val="22"/>
        </w:rPr>
        <w:t>知识库中保存了Ma等（2020）论文的完整复现代码和仿真结果</w:t>
      </w:r>
      <w:r>
        <w:rPr>
          <w:rFonts w:ascii="Times New Roman" w:hAnsi="Times New Roman" w:eastAsia="Times New Roman"/>
          <w:b w:val="0"/>
          <w:i w:val="0"/>
          <w:sz w:val="18"/>
          <w:vertAlign w:val="superscript"/>
        </w:rPr>
        <w:t>[1]</w:t>
      </w:r>
      <w:r>
        <w:rPr>
          <w:rFonts w:ascii="Times New Roman" w:hAnsi="Times New Roman" w:eastAsia="宋体"/>
          <w:b w:val="0"/>
          <w:i w:val="0"/>
          <w:sz w:val="22"/>
        </w:rPr>
        <w:t>：</w:t>
      </w:r>
    </w:p>
    <w:p>
      <w:pPr>
        <w:spacing w:line="360" w:lineRule="auto" w:after="0"/>
        <w:ind w:firstLine="425"/>
      </w:pPr>
      <w:r>
        <w:rPr>
          <w:rFonts w:ascii="Times New Roman" w:hAnsi="Times New Roman" w:eastAsia="宋体"/>
          <w:b/>
          <w:i w:val="0"/>
          <w:sz w:val="22"/>
        </w:rPr>
        <w:t>系统配置</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电力系统：100kW光伏 + 电网接入</w:t>
      </w:r>
    </w:p>
    <w:p>
      <w:pPr>
        <w:pStyle w:val="ListBullet"/>
        <w:spacing w:line="360" w:lineRule="auto" w:after="0"/>
      </w:pPr>
      <w:r>
        <w:rPr>
          <w:rFonts w:ascii="Times New Roman" w:hAnsi="Times New Roman" w:eastAsia="宋体"/>
          <w:b w:val="0"/>
          <w:i w:val="0"/>
          <w:sz w:val="22"/>
        </w:rPr>
        <w:t>天然气系统：天然气锅炉 + P2G</w:t>
      </w:r>
    </w:p>
    <w:p>
      <w:pPr>
        <w:pStyle w:val="ListBullet"/>
        <w:spacing w:line="360" w:lineRule="auto" w:after="0"/>
      </w:pPr>
      <w:r>
        <w:rPr>
          <w:rFonts w:ascii="Times New Roman" w:hAnsi="Times New Roman" w:eastAsia="宋体"/>
          <w:b w:val="0"/>
          <w:i w:val="0"/>
          <w:sz w:val="22"/>
        </w:rPr>
        <w:t>热力系统：热电联产（CHP）+ 电锅炉 + 热储能</w:t>
      </w:r>
    </w:p>
    <w:p>
      <w:pPr>
        <w:pStyle w:val="ListBullet"/>
        <w:spacing w:line="360" w:lineRule="auto" w:after="0"/>
      </w:pPr>
      <w:r>
        <w:rPr>
          <w:rFonts w:ascii="Times New Roman" w:hAnsi="Times New Roman" w:eastAsia="宋体"/>
          <w:b w:val="0"/>
          <w:i w:val="0"/>
          <w:sz w:val="22"/>
        </w:rPr>
        <w:t>用户：50户居民 + 10家商铺</w:t>
      </w:r>
    </w:p>
    <w:p>
      <w:pPr>
        <w:spacing w:line="360" w:lineRule="auto" w:after="0"/>
        <w:ind w:firstLine="425"/>
      </w:pPr>
      <w:r>
        <w:rPr>
          <w:rFonts w:ascii="Times New Roman" w:hAnsi="Times New Roman" w:eastAsia="宋体"/>
          <w:b/>
          <w:i w:val="0"/>
          <w:sz w:val="22"/>
        </w:rPr>
        <w:t>动态定价策略</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供应商根据多能源供需状况制定动态价格</w:t>
      </w:r>
    </w:p>
    <w:p>
      <w:pPr>
        <w:pStyle w:val="ListBullet"/>
        <w:spacing w:line="360" w:lineRule="auto" w:after="0"/>
      </w:pPr>
      <w:r>
        <w:rPr>
          <w:rFonts w:ascii="Times New Roman" w:hAnsi="Times New Roman" w:eastAsia="宋体"/>
          <w:b w:val="0"/>
          <w:i w:val="0"/>
          <w:sz w:val="22"/>
        </w:rPr>
        <w:t>用户根据价格信号优化多能源消费</w:t>
      </w:r>
    </w:p>
    <w:p>
      <w:pPr>
        <w:pStyle w:val="ListBullet"/>
        <w:spacing w:line="360" w:lineRule="auto" w:after="0"/>
      </w:pPr>
      <w:r>
        <w:rPr>
          <w:rFonts w:ascii="Times New Roman" w:hAnsi="Times New Roman" w:eastAsia="宋体"/>
          <w:b w:val="0"/>
          <w:i w:val="0"/>
          <w:sz w:val="22"/>
        </w:rPr>
        <w:t>通过迭代博弈实现供需平衡</w:t>
      </w:r>
    </w:p>
    <w:p>
      <w:pPr>
        <w:spacing w:line="360" w:lineRule="auto" w:after="0"/>
        <w:ind w:firstLine="425"/>
      </w:pPr>
      <w:r>
        <w:rPr>
          <w:rFonts w:ascii="Times New Roman" w:hAnsi="Times New Roman" w:eastAsia="宋体"/>
          <w:b/>
          <w:i w:val="0"/>
          <w:sz w:val="22"/>
        </w:rPr>
        <w:t>复现结果</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社区总能源成本降低12.5%（比静态定价）</w:t>
      </w:r>
    </w:p>
    <w:p>
      <w:pPr>
        <w:pStyle w:val="ListBullet"/>
        <w:spacing w:line="360" w:lineRule="auto" w:after="0"/>
      </w:pPr>
      <w:r>
        <w:rPr>
          <w:rFonts w:ascii="Times New Roman" w:hAnsi="Times New Roman" w:eastAsia="宋体"/>
          <w:b w:val="0"/>
          <w:i w:val="0"/>
          <w:sz w:val="22"/>
        </w:rPr>
        <w:t>可再生能源消纳率提高25%</w:t>
      </w:r>
    </w:p>
    <w:p>
      <w:pPr>
        <w:pStyle w:val="ListBullet"/>
        <w:spacing w:line="360" w:lineRule="auto" w:after="0"/>
      </w:pPr>
      <w:r>
        <w:rPr>
          <w:rFonts w:ascii="Times New Roman" w:hAnsi="Times New Roman" w:eastAsia="宋体"/>
          <w:b w:val="0"/>
          <w:i w:val="0"/>
          <w:sz w:val="22"/>
        </w:rPr>
        <w:t>用户能源支出降低9.8%</w:t>
      </w:r>
    </w:p>
    <w:p>
      <w:pPr>
        <w:pStyle w:val="ListBullet"/>
        <w:spacing w:line="360" w:lineRule="auto" w:after="0"/>
      </w:pPr>
      <w:r>
        <w:rPr>
          <w:rFonts w:ascii="Times New Roman" w:hAnsi="Times New Roman" w:eastAsia="宋体"/>
          <w:b w:val="0"/>
          <w:i w:val="0"/>
          <w:sz w:val="22"/>
        </w:rPr>
        <w:t>碳排放降低17.3%</w:t>
      </w:r>
    </w:p>
    <w:p>
      <w:pPr>
        <w:pStyle w:val="Heading3"/>
        <w:spacing w:before="160" w:after="60"/>
      </w:pPr>
      <w:r>
        <w:rPr>
          <w:rFonts w:ascii="Times New Roman" w:hAnsi="Times New Roman" w:eastAsia="黑体"/>
          <w:b/>
          <w:i w:val="0"/>
          <w:sz w:val="24"/>
        </w:rPr>
        <w:t>案例2：电-气-热耦合定价的仿真</w:t>
      </w:r>
    </w:p>
    <w:p>
      <w:pPr>
        <w:spacing w:line="360" w:lineRule="auto" w:after="0"/>
        <w:ind w:firstLine="425"/>
      </w:pPr>
      <w:r>
        <w:rPr>
          <w:rFonts w:ascii="Times New Roman" w:hAnsi="Times New Roman" w:eastAsia="宋体"/>
          <w:b w:val="0"/>
          <w:i w:val="0"/>
          <w:sz w:val="22"/>
        </w:rPr>
        <w:t>李军祥等（2019, 2020）的互补能源定价模型</w:t>
      </w:r>
      <w:r>
        <w:rPr>
          <w:rFonts w:ascii="Times New Roman" w:hAnsi="Times New Roman" w:eastAsia="Times New Roman"/>
          <w:b w:val="0"/>
          <w:i w:val="0"/>
          <w:sz w:val="18"/>
          <w:vertAlign w:val="superscript"/>
        </w:rPr>
        <w:t>[2]</w:t>
      </w:r>
      <w:r>
        <w:rPr>
          <w:rFonts w:ascii="Times New Roman" w:hAnsi="Times New Roman" w:eastAsia="Times New Roman"/>
          <w:b w:val="0"/>
          <w:i w:val="0"/>
          <w:sz w:val="18"/>
          <w:vertAlign w:val="superscript"/>
        </w:rPr>
        <w:t>[3]</w:t>
      </w:r>
      <w:r>
        <w:rPr>
          <w:rFonts w:ascii="Times New Roman" w:hAnsi="Times New Roman" w:eastAsia="宋体"/>
          <w:b w:val="0"/>
          <w:i w:val="0"/>
          <w:sz w:val="22"/>
        </w:rPr>
        <w:t>在某综合能源园区中进行了仿真：</w:t>
      </w:r>
    </w:p>
    <w:p>
      <w:pPr>
        <w:spacing w:line="360" w:lineRule="auto" w:after="0"/>
        <w:ind w:firstLine="425"/>
      </w:pPr>
      <w:r>
        <w:rPr>
          <w:rFonts w:ascii="Times New Roman" w:hAnsi="Times New Roman" w:eastAsia="宋体"/>
          <w:b/>
          <w:i w:val="0"/>
          <w:sz w:val="22"/>
        </w:rPr>
        <w:t>园区配置</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电力：100MW燃机 + 50MW光伏</w:t>
      </w:r>
    </w:p>
    <w:p>
      <w:pPr>
        <w:pStyle w:val="ListBullet"/>
        <w:spacing w:line="360" w:lineRule="auto" w:after="0"/>
      </w:pPr>
      <w:r>
        <w:rPr>
          <w:rFonts w:ascii="Times New Roman" w:hAnsi="Times New Roman" w:eastAsia="宋体"/>
          <w:b w:val="0"/>
          <w:i w:val="0"/>
          <w:sz w:val="22"/>
        </w:rPr>
        <w:t>天然气：管道天然气 + P2G（10MW）</w:t>
      </w:r>
    </w:p>
    <w:p>
      <w:pPr>
        <w:pStyle w:val="ListBullet"/>
        <w:spacing w:line="360" w:lineRule="auto" w:after="0"/>
      </w:pPr>
      <w:r>
        <w:rPr>
          <w:rFonts w:ascii="Times New Roman" w:hAnsi="Times New Roman" w:eastAsia="宋体"/>
          <w:b w:val="0"/>
          <w:i w:val="0"/>
          <w:sz w:val="22"/>
        </w:rPr>
        <w:t>热力：CHP（80MW）+ 电锅炉（20MW）+ 热储能</w:t>
      </w:r>
    </w:p>
    <w:p>
      <w:pPr>
        <w:spacing w:line="360" w:lineRule="auto" w:after="0"/>
        <w:ind w:firstLine="425"/>
      </w:pPr>
      <w:r>
        <w:rPr>
          <w:rFonts w:ascii="Times New Roman" w:hAnsi="Times New Roman" w:eastAsia="宋体"/>
          <w:b/>
          <w:i w:val="0"/>
          <w:sz w:val="22"/>
        </w:rPr>
        <w:t>定价结果</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电力实时价格：0.45-0.85元/kWh（随负荷变化）</w:t>
      </w:r>
    </w:p>
    <w:p>
      <w:pPr>
        <w:pStyle w:val="ListBullet"/>
        <w:spacing w:line="360" w:lineRule="auto" w:after="0"/>
      </w:pPr>
      <w:r>
        <w:rPr>
          <w:rFonts w:ascii="Times New Roman" w:hAnsi="Times New Roman" w:eastAsia="宋体"/>
          <w:b w:val="0"/>
          <w:i w:val="0"/>
          <w:sz w:val="22"/>
        </w:rPr>
        <w:t>天然气价格：3.2-3.8元/m³</w:t>
      </w:r>
    </w:p>
    <w:p>
      <w:pPr>
        <w:pStyle w:val="ListBullet"/>
        <w:spacing w:line="360" w:lineRule="auto" w:after="0"/>
      </w:pPr>
      <w:r>
        <w:rPr>
          <w:rFonts w:ascii="Times New Roman" w:hAnsi="Times New Roman" w:eastAsia="宋体"/>
          <w:b w:val="0"/>
          <w:i w:val="0"/>
          <w:sz w:val="22"/>
        </w:rPr>
        <w:t>热力价格：35-45元/GJ</w:t>
      </w:r>
    </w:p>
    <w:p>
      <w:pPr>
        <w:spacing w:line="360" w:lineRule="auto" w:after="0"/>
        <w:ind w:firstLine="425"/>
      </w:pPr>
      <w:r>
        <w:rPr>
          <w:rFonts w:ascii="Times New Roman" w:hAnsi="Times New Roman" w:eastAsia="宋体"/>
          <w:b/>
          <w:i w:val="0"/>
          <w:sz w:val="22"/>
        </w:rPr>
        <w:t>耦合效应分析</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电价上升5%时，天然气需求增加3%（P2G减少，直接用气增加）</w:t>
      </w:r>
    </w:p>
    <w:p>
      <w:pPr>
        <w:pStyle w:val="ListBullet"/>
        <w:spacing w:line="360" w:lineRule="auto" w:after="0"/>
      </w:pPr>
      <w:r>
        <w:rPr>
          <w:rFonts w:ascii="Times New Roman" w:hAnsi="Times New Roman" w:eastAsia="宋体"/>
          <w:b w:val="0"/>
          <w:i w:val="0"/>
          <w:sz w:val="22"/>
        </w:rPr>
        <w:t>天然气价格上升10%时，电力需求增加2%（电锅炉替代燃气锅炉）</w:t>
      </w:r>
    </w:p>
    <w:p>
      <w:pPr>
        <w:pStyle w:val="ListBullet"/>
        <w:spacing w:line="360" w:lineRule="auto" w:after="0"/>
      </w:pPr>
      <w:r>
        <w:rPr>
          <w:rFonts w:ascii="Times New Roman" w:hAnsi="Times New Roman" w:eastAsia="宋体"/>
          <w:b w:val="0"/>
          <w:i w:val="0"/>
          <w:sz w:val="22"/>
        </w:rPr>
        <w:t>热力价格对电价和天然气价格的交叉弹性分别为0.15和0.22</w:t>
      </w:r>
    </w:p>
    <w:p>
      <w:pPr>
        <w:pStyle w:val="Heading3"/>
        <w:spacing w:before="160" w:after="60"/>
      </w:pPr>
      <w:r>
        <w:rPr>
          <w:rFonts w:ascii="Times New Roman" w:hAnsi="Times New Roman" w:eastAsia="黑体"/>
          <w:b/>
          <w:i w:val="0"/>
          <w:sz w:val="24"/>
        </w:rPr>
        <w:t>案例3：储能协同定价的实证</w:t>
      </w:r>
    </w:p>
    <w:p>
      <w:pPr>
        <w:spacing w:line="360" w:lineRule="auto" w:after="0"/>
        <w:ind w:firstLine="425"/>
      </w:pPr>
      <w:r>
        <w:rPr>
          <w:rFonts w:ascii="Times New Roman" w:hAnsi="Times New Roman" w:eastAsia="宋体"/>
          <w:b w:val="0"/>
          <w:i w:val="0"/>
          <w:sz w:val="22"/>
        </w:rPr>
        <w:t>许和高（2020）的正交逐步优化算法</w:t>
      </w:r>
      <w:r>
        <w:rPr>
          <w:rFonts w:ascii="Times New Roman" w:hAnsi="Times New Roman" w:eastAsia="Times New Roman"/>
          <w:b w:val="0"/>
          <w:i w:val="0"/>
          <w:sz w:val="18"/>
          <w:vertAlign w:val="superscript"/>
        </w:rPr>
        <w:t>[4]</w:t>
      </w:r>
      <w:r>
        <w:rPr>
          <w:rFonts w:ascii="Times New Roman" w:hAnsi="Times New Roman" w:eastAsia="宋体"/>
          <w:b w:val="0"/>
          <w:i w:val="0"/>
          <w:sz w:val="22"/>
        </w:rPr>
        <w:t>在某储能协同定价场景中进行了验证：</w:t>
      </w:r>
    </w:p>
    <w:p>
      <w:pPr>
        <w:spacing w:line="360" w:lineRule="auto" w:after="0"/>
        <w:ind w:firstLine="425"/>
      </w:pPr>
      <w:r>
        <w:rPr>
          <w:rFonts w:ascii="Times New Roman" w:hAnsi="Times New Roman" w:eastAsia="宋体"/>
          <w:b/>
          <w:i w:val="0"/>
          <w:sz w:val="22"/>
        </w:rPr>
        <w:t>储能配置</w:t>
      </w:r>
      <w:r>
        <w:rPr>
          <w:rFonts w:ascii="Times New Roman" w:hAnsi="Times New Roman" w:eastAsia="宋体"/>
          <w:b w:val="0"/>
          <w:i w:val="0"/>
          <w:sz w:val="22"/>
        </w:rPr>
        <w:t>：10MW/40MWh锂电池储能</w:t>
      </w:r>
    </w:p>
    <w:p>
      <w:pPr>
        <w:spacing w:line="360" w:lineRule="auto" w:after="0"/>
        <w:ind w:firstLine="425"/>
      </w:pPr>
      <w:r>
        <w:rPr>
          <w:rFonts w:ascii="Times New Roman" w:hAnsi="Times New Roman" w:eastAsia="宋体"/>
          <w:b/>
          <w:i w:val="0"/>
          <w:sz w:val="22"/>
        </w:rPr>
        <w:t>协同定价策略</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低谷时段（0-6时）：储能充电，电价降低5%-8%</w:t>
      </w:r>
    </w:p>
    <w:p>
      <w:pPr>
        <w:pStyle w:val="ListBullet"/>
        <w:spacing w:line="360" w:lineRule="auto" w:after="0"/>
      </w:pPr>
      <w:r>
        <w:rPr>
          <w:rFonts w:ascii="Times New Roman" w:hAnsi="Times New Roman" w:eastAsia="宋体"/>
          <w:b w:val="0"/>
          <w:i w:val="0"/>
          <w:sz w:val="22"/>
        </w:rPr>
        <w:t>高峰时段（18-22时）：储能放电，电价降低10%-15%</w:t>
      </w:r>
    </w:p>
    <w:p>
      <w:pPr>
        <w:pStyle w:val="ListBullet"/>
        <w:spacing w:line="360" w:lineRule="auto" w:after="0"/>
      </w:pPr>
      <w:r>
        <w:rPr>
          <w:rFonts w:ascii="Times New Roman" w:hAnsi="Times New Roman" w:eastAsia="宋体"/>
          <w:b w:val="0"/>
          <w:i w:val="0"/>
          <w:sz w:val="22"/>
        </w:rPr>
        <w:t>平段：储能待机，电价不受储能影响</w:t>
      </w:r>
    </w:p>
    <w:p>
      <w:pPr>
        <w:spacing w:line="360" w:lineRule="auto" w:after="0"/>
        <w:ind w:firstLine="425"/>
      </w:pPr>
      <w:r>
        <w:rPr>
          <w:rFonts w:ascii="Times New Roman" w:hAnsi="Times New Roman" w:eastAsia="宋体"/>
          <w:b/>
          <w:i w:val="0"/>
          <w:sz w:val="22"/>
        </w:rPr>
        <w:t>经济性分析</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储能投资：约2000万元</w:t>
      </w:r>
    </w:p>
    <w:p>
      <w:pPr>
        <w:pStyle w:val="ListBullet"/>
        <w:spacing w:line="360" w:lineRule="auto" w:after="0"/>
      </w:pPr>
      <w:r>
        <w:rPr>
          <w:rFonts w:ascii="Times New Roman" w:hAnsi="Times New Roman" w:eastAsia="宋体"/>
          <w:b w:val="0"/>
          <w:i w:val="0"/>
          <w:sz w:val="22"/>
        </w:rPr>
        <w:t>年收益（套利+容量补偿）：约350万元</w:t>
      </w:r>
    </w:p>
    <w:p>
      <w:pPr>
        <w:pStyle w:val="ListBullet"/>
        <w:spacing w:line="360" w:lineRule="auto" w:after="0"/>
      </w:pPr>
      <w:r>
        <w:rPr>
          <w:rFonts w:ascii="Times New Roman" w:hAnsi="Times New Roman" w:eastAsia="宋体"/>
          <w:b w:val="0"/>
          <w:i w:val="0"/>
          <w:sz w:val="22"/>
        </w:rPr>
        <w:t>投资回收期：约6年</w:t>
      </w:r>
    </w:p>
    <w:p>
      <w:pPr>
        <w:pStyle w:val="ListBullet"/>
        <w:spacing w:line="360" w:lineRule="auto" w:after="0"/>
      </w:pPr>
      <w:r>
        <w:rPr>
          <w:rFonts w:ascii="Times New Roman" w:hAnsi="Times New Roman" w:eastAsia="宋体"/>
          <w:b w:val="0"/>
          <w:i w:val="0"/>
          <w:sz w:val="22"/>
        </w:rPr>
        <w:t>系统效益（削峰+可再生能源消纳）：约500万元/年</w:t>
      </w:r>
    </w:p>
    <w:p>
      <w:pPr>
        <w:pStyle w:val="Heading2"/>
        <w:spacing w:before="240" w:after="80"/>
      </w:pPr>
      <w:r>
        <w:rPr>
          <w:rFonts w:ascii="Times New Roman" w:hAnsi="Times New Roman" w:eastAsia="黑体"/>
          <w:b/>
          <w:i w:val="0"/>
          <w:sz w:val="28"/>
        </w:rPr>
        <w:t>11.8 理论深化与前沿探讨</w:t>
      </w:r>
    </w:p>
    <w:p>
      <w:pPr>
        <w:pStyle w:val="Heading3"/>
        <w:spacing w:before="160" w:after="60"/>
      </w:pPr>
      <w:r>
        <w:rPr>
          <w:rFonts w:ascii="Times New Roman" w:hAnsi="Times New Roman" w:eastAsia="黑体"/>
          <w:b/>
          <w:i w:val="0"/>
          <w:sz w:val="24"/>
        </w:rPr>
        <w:t>多能源耦合定价的理论框架</w:t>
      </w:r>
    </w:p>
    <w:p>
      <w:pPr>
        <w:spacing w:line="360" w:lineRule="auto" w:after="0"/>
        <w:ind w:firstLine="425"/>
      </w:pPr>
      <w:r>
        <w:rPr>
          <w:rFonts w:ascii="Times New Roman" w:hAnsi="Times New Roman" w:eastAsia="宋体"/>
          <w:b w:val="0"/>
          <w:i w:val="0"/>
          <w:sz w:val="22"/>
        </w:rPr>
        <w:t>多能源耦合定价需要超越单一电力系统定价的理论框架：</w:t>
      </w:r>
    </w:p>
    <w:p>
      <w:pPr>
        <w:spacing w:line="360" w:lineRule="auto" w:after="0"/>
        <w:ind w:firstLine="425"/>
      </w:pPr>
      <w:r>
        <w:rPr>
          <w:rFonts w:ascii="Times New Roman" w:hAnsi="Times New Roman" w:eastAsia="宋体"/>
          <w:b/>
          <w:i w:val="0"/>
          <w:sz w:val="22"/>
        </w:rPr>
        <w:t>多商品定价</w:t>
      </w:r>
      <w:r>
        <w:rPr>
          <w:rFonts w:ascii="Times New Roman" w:hAnsi="Times New Roman" w:eastAsia="宋体"/>
          <w:b w:val="0"/>
          <w:i w:val="0"/>
          <w:sz w:val="22"/>
        </w:rPr>
        <w:t>：电力、天然气、热力是不同的能源商品，各有其供需特征和物理约束。多能源定价需要在统一框架下同时确定多种能源的价格。</w:t>
      </w:r>
    </w:p>
    <w:p>
      <w:pPr>
        <w:spacing w:line="360" w:lineRule="auto" w:after="0"/>
        <w:ind w:firstLine="425"/>
      </w:pPr>
      <w:r>
        <w:rPr>
          <w:rFonts w:ascii="Times New Roman" w:hAnsi="Times New Roman" w:eastAsia="宋体"/>
          <w:b/>
          <w:i w:val="0"/>
          <w:sz w:val="22"/>
        </w:rPr>
        <w:t>能源转换效率</w:t>
      </w:r>
      <w:r>
        <w:rPr>
          <w:rFonts w:ascii="Times New Roman" w:hAnsi="Times New Roman" w:eastAsia="宋体"/>
          <w:b w:val="0"/>
          <w:i w:val="0"/>
          <w:sz w:val="22"/>
        </w:rPr>
        <w:t>：不同能源之间的转换存在效率损失。例如，电转气的效率约60%-70%，气转电的效率约50%-60%。这些效率损失需要在定价中体现。</w:t>
      </w:r>
    </w:p>
    <w:p>
      <w:pPr>
        <w:spacing w:line="360" w:lineRule="auto" w:after="0"/>
        <w:ind w:firstLine="425"/>
      </w:pPr>
      <w:r>
        <w:rPr>
          <w:rFonts w:ascii="Times New Roman" w:hAnsi="Times New Roman" w:eastAsia="宋体"/>
          <w:b/>
          <w:i w:val="0"/>
          <w:sz w:val="22"/>
        </w:rPr>
        <w:t>网络约束耦合</w:t>
      </w:r>
      <w:r>
        <w:rPr>
          <w:rFonts w:ascii="Times New Roman" w:hAnsi="Times New Roman" w:eastAsia="宋体"/>
          <w:b w:val="0"/>
          <w:i w:val="0"/>
          <w:sz w:val="22"/>
        </w:rPr>
        <w:t>：电力网络、天然气网络和热力网络各有其物理约束（如电力潮流约束、天然气管道流量约束、热力管网压降约束）。多能源定价需要考虑这些网络约束的耦合。</w:t>
      </w:r>
    </w:p>
    <w:p>
      <w:pPr>
        <w:spacing w:line="360" w:lineRule="auto" w:after="0"/>
        <w:ind w:firstLine="425"/>
      </w:pPr>
      <w:r>
        <w:rPr>
          <w:rFonts w:ascii="Times New Roman" w:hAnsi="Times New Roman" w:eastAsia="宋体"/>
          <w:b/>
          <w:i w:val="0"/>
          <w:sz w:val="22"/>
        </w:rPr>
        <w:t>时间尺度耦合</w:t>
      </w:r>
      <w:r>
        <w:rPr>
          <w:rFonts w:ascii="Times New Roman" w:hAnsi="Times New Roman" w:eastAsia="宋体"/>
          <w:b w:val="0"/>
          <w:i w:val="0"/>
          <w:sz w:val="22"/>
        </w:rPr>
        <w:t>：电力定价以分钟-小时为时间尺度，天然气定价以小时-天为尺度，热力定价以小时-天为尺度。不同能源的不同时间尺度增加了定价的复杂性。</w:t>
      </w:r>
    </w:p>
    <w:p>
      <w:pPr>
        <w:pStyle w:val="Heading3"/>
        <w:spacing w:before="160" w:after="60"/>
      </w:pPr>
      <w:r>
        <w:rPr>
          <w:rFonts w:ascii="Times New Roman" w:hAnsi="Times New Roman" w:eastAsia="黑体"/>
          <w:b/>
          <w:i w:val="0"/>
          <w:sz w:val="24"/>
        </w:rPr>
        <w:t>综合能源系统的社会福利最大化</w:t>
      </w:r>
    </w:p>
    <w:p>
      <w:pPr>
        <w:spacing w:line="360" w:lineRule="auto" w:after="0"/>
        <w:ind w:firstLine="425"/>
      </w:pPr>
      <w:r>
        <w:rPr>
          <w:rFonts w:ascii="Times New Roman" w:hAnsi="Times New Roman" w:eastAsia="宋体"/>
          <w:b w:val="0"/>
          <w:i w:val="0"/>
          <w:sz w:val="22"/>
        </w:rPr>
        <w:t>将社会福利最大化框架扩展到综合能源系统：</w:t>
      </w:r>
    </w:p>
    <w:p>
      <w:pPr>
        <w:spacing w:before="80" w:after="80"/>
        <w:jc w:val="center"/>
      </w:pPr>
      <m:oMathPara>
        <m:oMath>
          <m:r>
            <m:t>max</m:t>
          </m:r>
          <m:nary>
            <m:naryPr>
              <m:chr m:val="∑"/>
              <m:limLoc m:val="subSup"/>
              <m:grow m:val="1"/>
              <m:subHide m:val="off"/>
              <m:supHide m:val="on"/>
            </m:naryPr>
            <m:sub>
              <m:r>
                <m:t>i</m:t>
              </m:r>
            </m:sub>
            <m:sup/>
            <m:e>
              <m:d>
                <m:dPr>
                  <m:begChr m:val="["/>
                  <m:sepChr m:val=""/>
                  <m:endChr m:val="]"/>
                </m:dPr>
                <m:e>
                  <m:sSubSup>
                    <m:e>
                      <m:r>
                        <m:t>U</m:t>
                      </m:r>
                    </m:e>
                    <m:sub>
                      <m:r>
                        <m:t>i</m:t>
                      </m:r>
                    </m:sub>
                    <m:sup>
                      <m:r>
                        <m:rPr>
                          <m:nor/>
                        </m:rPr>
                        <m:t>elec</m:t>
                      </m:r>
                    </m:sup>
                  </m:sSubSup>
                  <m:r>
                    <m:t>(</m:t>
                  </m:r>
                  <m:sSubSup>
                    <m:e>
                      <m:r>
                        <m:t>x</m:t>
                      </m:r>
                    </m:e>
                    <m:sub>
                      <m:r>
                        <m:t>i</m:t>
                      </m:r>
                    </m:sub>
                    <m:sup>
                      <m:r>
                        <m:t>e</m:t>
                      </m:r>
                    </m:sup>
                  </m:sSubSup>
                  <m:r>
                    <m:t>)</m:t>
                  </m:r>
                  <m:r>
                    <m:t>+</m:t>
                  </m:r>
                  <m:sSubSup>
                    <m:e>
                      <m:r>
                        <m:t>U</m:t>
                      </m:r>
                    </m:e>
                    <m:sub>
                      <m:r>
                        <m:t>i</m:t>
                      </m:r>
                    </m:sub>
                    <m:sup>
                      <m:r>
                        <m:rPr>
                          <m:nor/>
                        </m:rPr>
                        <m:t>gas</m:t>
                      </m:r>
                    </m:sup>
                  </m:sSubSup>
                  <m:r>
                    <m:t>(</m:t>
                  </m:r>
                  <m:sSubSup>
                    <m:e>
                      <m:r>
                        <m:t>x</m:t>
                      </m:r>
                    </m:e>
                    <m:sub>
                      <m:r>
                        <m:t>i</m:t>
                      </m:r>
                    </m:sub>
                    <m:sup>
                      <m:r>
                        <m:t>g</m:t>
                      </m:r>
                    </m:sup>
                  </m:sSubSup>
                  <m:r>
                    <m:t>)</m:t>
                  </m:r>
                  <m:r>
                    <m:t>+</m:t>
                  </m:r>
                  <m:sSubSup>
                    <m:e>
                      <m:r>
                        <m:t>U</m:t>
                      </m:r>
                    </m:e>
                    <m:sub>
                      <m:r>
                        <m:t>i</m:t>
                      </m:r>
                    </m:sub>
                    <m:sup>
                      <m:r>
                        <m:rPr>
                          <m:nor/>
                        </m:rPr>
                        <m:t>heat</m:t>
                      </m:r>
                    </m:sup>
                  </m:sSubSup>
                  <m:r>
                    <m:t>(</m:t>
                  </m:r>
                  <m:sSubSup>
                    <m:e>
                      <m:r>
                        <m:t>x</m:t>
                      </m:r>
                    </m:e>
                    <m:sub>
                      <m:r>
                        <m:t>i</m:t>
                      </m:r>
                    </m:sub>
                    <m:sup>
                      <m:r>
                        <m:t>h</m:t>
                      </m:r>
                    </m:sup>
                  </m:sSubSup>
                  <m:r>
                    <m:t>)</m:t>
                  </m:r>
                </m:e>
              </m:d>
            </m:e>
          </m:nary>
          <m:r>
            <m:t>−</m:t>
          </m:r>
          <m:nary>
            <m:naryPr>
              <m:chr m:val="∑"/>
              <m:limLoc m:val="subSup"/>
              <m:grow m:val="1"/>
              <m:subHide m:val="off"/>
              <m:supHide m:val="on"/>
            </m:naryPr>
            <m:sub>
              <m:r>
                <m:t>j</m:t>
              </m:r>
            </m:sub>
            <m:sup/>
            <m:e>
              <m:sSub>
                <m:e>
                  <m:r>
                    <m:t>C</m:t>
                  </m:r>
                </m:e>
                <m:sub>
                  <m:r>
                    <m:t>j</m:t>
                  </m:r>
                </m:sub>
              </m:sSub>
            </m:e>
          </m:nary>
          <m:r>
            <m:t>(</m:t>
          </m:r>
          <m:sSub>
            <m:e>
              <m:r>
                <m:t>y</m:t>
              </m:r>
            </m:e>
            <m:sub>
              <m:r>
                <m:t>j</m:t>
              </m:r>
            </m:sub>
          </m:sSub>
          <m:r>
            <m:t>)−</m:t>
          </m:r>
          <m:nary>
            <m:naryPr>
              <m:chr m:val="∑"/>
              <m:limLoc m:val="subSup"/>
              <m:grow m:val="1"/>
              <m:subHide m:val="off"/>
              <m:supHide m:val="on"/>
            </m:naryPr>
            <m:sub>
              <m:r>
                <m:t>k</m:t>
              </m:r>
            </m:sub>
            <m:sup/>
            <m:e>
              <m:sSubSup>
                <m:e>
                  <m:r>
                    <m:t>C</m:t>
                  </m:r>
                </m:e>
                <m:sub>
                  <m:r>
                    <m:t>k</m:t>
                  </m:r>
                </m:sub>
                <m:sup>
                  <m:r>
                    <m:rPr>
                      <m:nor/>
                    </m:rPr>
                    <m:t>conv</m:t>
                  </m:r>
                </m:sup>
              </m:sSubSup>
            </m:e>
          </m:nary>
          <m:r>
            <m:t>(</m:t>
          </m:r>
          <m:sSub>
            <m:e>
              <m:r>
                <m:t>z</m:t>
              </m:r>
            </m:e>
            <m:sub>
              <m:r>
                <m:t>k</m:t>
              </m:r>
            </m:sub>
          </m:sSub>
          <m:r>
            <m:t>)</m:t>
          </m:r>
        </m:oMath>
      </m:oMathPara>
    </w:p>
    <w:p>
      <w:pPr>
        <w:spacing w:line="360" w:lineRule="auto" w:after="0"/>
        <w:ind w:firstLine="0"/>
      </w:pPr>
      <w:r>
        <w:rPr>
          <w:rFonts w:ascii="Times New Roman" w:hAnsi="Times New Roman" w:eastAsia="宋体"/>
          <w:b w:val="0"/>
          <w:i w:val="0"/>
          <w:sz w:val="22"/>
        </w:rPr>
        <w:t>其中C_k^conv是能源转换设备的成本，z_k是转换设备的投入/产出向量。这个框架可以处理多能源的耦合定价问题。</w:t>
      </w:r>
    </w:p>
    <w:p>
      <w:pPr>
        <w:pStyle w:val="Heading3"/>
        <w:spacing w:before="160" w:after="60"/>
      </w:pPr>
      <w:r>
        <w:rPr>
          <w:rFonts w:ascii="Times New Roman" w:hAnsi="Times New Roman" w:eastAsia="黑体"/>
          <w:b/>
          <w:i w:val="0"/>
          <w:sz w:val="24"/>
        </w:rPr>
        <w:t>虚拟电厂与动态定价</w:t>
      </w:r>
    </w:p>
    <w:p>
      <w:pPr>
        <w:spacing w:line="360" w:lineRule="auto" w:after="0"/>
        <w:ind w:firstLine="425"/>
      </w:pPr>
      <w:r>
        <w:rPr>
          <w:rFonts w:ascii="Times New Roman" w:hAnsi="Times New Roman" w:eastAsia="宋体"/>
          <w:b w:val="0"/>
          <w:i w:val="0"/>
          <w:sz w:val="22"/>
        </w:rPr>
        <w:t>虚拟电厂（VPP）是整合分布式能源资源的重要模式：</w:t>
      </w:r>
    </w:p>
    <w:p>
      <w:pPr>
        <w:spacing w:line="360" w:lineRule="auto" w:after="0"/>
        <w:ind w:firstLine="425"/>
      </w:pPr>
      <w:r>
        <w:rPr>
          <w:rFonts w:ascii="Times New Roman" w:hAnsi="Times New Roman" w:eastAsia="宋体"/>
          <w:b/>
          <w:i w:val="0"/>
          <w:sz w:val="22"/>
        </w:rPr>
        <w:t>VPP定价机制</w:t>
      </w:r>
      <w:r>
        <w:rPr>
          <w:rFonts w:ascii="Times New Roman" w:hAnsi="Times New Roman" w:eastAsia="宋体"/>
          <w:b w:val="0"/>
          <w:i w:val="0"/>
          <w:sz w:val="22"/>
        </w:rPr>
        <w:t>：VPP作为聚合商，向分布式能源所有者支付聚合价格，向电力市场报量报价参与批发市场。VPP的定价需要考虑：</w:t>
      </w:r>
    </w:p>
    <w:p>
      <w:pPr>
        <w:pStyle w:val="ListBullet"/>
        <w:spacing w:line="360" w:lineRule="auto" w:after="0"/>
      </w:pPr>
      <w:r>
        <w:rPr>
          <w:rFonts w:ascii="Times New Roman" w:hAnsi="Times New Roman" w:eastAsia="宋体"/>
          <w:b w:val="0"/>
          <w:i w:val="0"/>
          <w:sz w:val="22"/>
        </w:rPr>
        <w:t>分布式能源的异质性（光伏、储能、可控负荷等）</w:t>
      </w:r>
    </w:p>
    <w:p>
      <w:pPr>
        <w:pStyle w:val="ListBullet"/>
        <w:spacing w:line="360" w:lineRule="auto" w:after="0"/>
      </w:pPr>
      <w:r>
        <w:rPr>
          <w:rFonts w:ascii="Times New Roman" w:hAnsi="Times New Roman" w:eastAsia="宋体"/>
          <w:b w:val="0"/>
          <w:i w:val="0"/>
          <w:sz w:val="22"/>
        </w:rPr>
        <w:t>聚合效应对系统价值的影响</w:t>
      </w:r>
    </w:p>
    <w:p>
      <w:pPr>
        <w:pStyle w:val="ListBullet"/>
        <w:spacing w:line="360" w:lineRule="auto" w:after="0"/>
      </w:pPr>
      <w:r>
        <w:rPr>
          <w:rFonts w:ascii="Times New Roman" w:hAnsi="Times New Roman" w:eastAsia="宋体"/>
          <w:b w:val="0"/>
          <w:i w:val="0"/>
          <w:sz w:val="22"/>
        </w:rPr>
        <w:t>利益分配的公平性</w:t>
      </w:r>
    </w:p>
    <w:p>
      <w:pPr>
        <w:spacing w:line="360" w:lineRule="auto" w:after="0"/>
        <w:ind w:firstLine="425"/>
      </w:pPr>
      <w:r>
        <w:rPr>
          <w:rFonts w:ascii="Times New Roman" w:hAnsi="Times New Roman" w:eastAsia="宋体"/>
          <w:b/>
          <w:i w:val="0"/>
          <w:sz w:val="22"/>
        </w:rPr>
        <w:t>动态聚合定价</w:t>
      </w:r>
      <w:r>
        <w:rPr>
          <w:rFonts w:ascii="Times New Roman" w:hAnsi="Times New Roman" w:eastAsia="宋体"/>
          <w:b w:val="0"/>
          <w:i w:val="0"/>
          <w:sz w:val="22"/>
        </w:rPr>
        <w:t>：VPP根据市场状况动态调整对分布式能源的支付价格。在电价高企时提高支付价格以激励分布式能源出力，在电价低迷时降低支付价格。</w:t>
      </w:r>
    </w:p>
    <w:p>
      <w:pPr>
        <w:pStyle w:val="Heading3"/>
        <w:spacing w:before="160" w:after="60"/>
      </w:pPr>
      <w:r>
        <w:rPr>
          <w:rFonts w:ascii="Times New Roman" w:hAnsi="Times New Roman" w:eastAsia="黑体"/>
          <w:b/>
          <w:i w:val="0"/>
          <w:sz w:val="24"/>
        </w:rPr>
        <w:t>能源互联网与定价</w:t>
      </w:r>
    </w:p>
    <w:p>
      <w:pPr>
        <w:spacing w:line="360" w:lineRule="auto" w:after="0"/>
        <w:ind w:firstLine="425"/>
      </w:pPr>
      <w:r>
        <w:rPr>
          <w:rFonts w:ascii="Times New Roman" w:hAnsi="Times New Roman" w:eastAsia="宋体"/>
          <w:b w:val="0"/>
          <w:i w:val="0"/>
          <w:sz w:val="22"/>
        </w:rPr>
        <w:t>能源互联网是综合能源系统的更高层次发展：</w:t>
      </w:r>
    </w:p>
    <w:p>
      <w:pPr>
        <w:spacing w:line="360" w:lineRule="auto" w:after="0"/>
        <w:ind w:firstLine="425"/>
      </w:pPr>
      <w:r>
        <w:rPr>
          <w:rFonts w:ascii="Times New Roman" w:hAnsi="Times New Roman" w:eastAsia="宋体"/>
          <w:b/>
          <w:i w:val="0"/>
          <w:sz w:val="22"/>
        </w:rPr>
        <w:t>互联网思维</w:t>
      </w:r>
      <w:r>
        <w:rPr>
          <w:rFonts w:ascii="Times New Roman" w:hAnsi="Times New Roman" w:eastAsia="宋体"/>
          <w:b w:val="0"/>
          <w:i w:val="0"/>
          <w:sz w:val="22"/>
        </w:rPr>
        <w:t>：借鉴互联网的开放、对等、共享理念，构建能源互联网的定价机制。P2P能源交易是能源互联网定价的典型模式。</w:t>
      </w:r>
    </w:p>
    <w:p>
      <w:pPr>
        <w:spacing w:line="360" w:lineRule="auto" w:after="0"/>
        <w:ind w:firstLine="425"/>
      </w:pPr>
      <w:r>
        <w:rPr>
          <w:rFonts w:ascii="Times New Roman" w:hAnsi="Times New Roman" w:eastAsia="宋体"/>
          <w:b/>
          <w:i w:val="0"/>
          <w:sz w:val="22"/>
        </w:rPr>
        <w:t>P2P定价</w:t>
      </w:r>
      <w:r>
        <w:rPr>
          <w:rFonts w:ascii="Times New Roman" w:hAnsi="Times New Roman" w:eastAsia="宋体"/>
          <w:b w:val="0"/>
          <w:i w:val="0"/>
          <w:sz w:val="22"/>
        </w:rPr>
        <w:t>：用户之间直接交易电力，价格由双方协商或市场出清决定。Ullah等（2020）研究了P2P交易能源系统中的分布式动态定价，使用区块链技术支撑去中心化交易。</w:t>
      </w:r>
    </w:p>
    <w:p>
      <w:pPr>
        <w:spacing w:line="360" w:lineRule="auto" w:after="0"/>
        <w:ind w:firstLine="425"/>
      </w:pPr>
      <w:r>
        <w:rPr>
          <w:rFonts w:ascii="Times New Roman" w:hAnsi="Times New Roman" w:eastAsia="宋体"/>
          <w:b/>
          <w:i w:val="0"/>
          <w:sz w:val="22"/>
        </w:rPr>
        <w:t>平台经济定价</w:t>
      </w:r>
      <w:r>
        <w:rPr>
          <w:rFonts w:ascii="Times New Roman" w:hAnsi="Times New Roman" w:eastAsia="宋体"/>
          <w:b w:val="0"/>
          <w:i w:val="0"/>
          <w:sz w:val="22"/>
        </w:rPr>
        <w:t>：能源互联网平台采用平台经济定价模式，平台提供撮合服务并收取交易手续费。定价机制需要平衡平台盈利和用户福利。</w:t>
      </w:r>
    </w:p>
    <w:p>
      <w:pPr>
        <w:pStyle w:val="Heading2"/>
        <w:spacing w:before="240" w:after="80"/>
      </w:pPr>
      <w:r>
        <w:rPr>
          <w:rFonts w:ascii="Times New Roman" w:hAnsi="Times New Roman" w:eastAsia="黑体"/>
          <w:b/>
          <w:i w:val="0"/>
          <w:sz w:val="28"/>
        </w:rPr>
        <w:t>11.9 电动汽车与分布式能源的定价深化</w:t>
      </w:r>
    </w:p>
    <w:p>
      <w:pPr>
        <w:pStyle w:val="Heading3"/>
        <w:spacing w:before="160" w:after="60"/>
      </w:pPr>
      <w:r>
        <w:rPr>
          <w:rFonts w:ascii="Times New Roman" w:hAnsi="Times New Roman" w:eastAsia="黑体"/>
          <w:b/>
          <w:i w:val="0"/>
          <w:sz w:val="24"/>
        </w:rPr>
        <w:t>电动汽车充电的定价策略</w:t>
      </w:r>
    </w:p>
    <w:p>
      <w:pPr>
        <w:spacing w:line="360" w:lineRule="auto" w:after="0"/>
        <w:ind w:firstLine="425"/>
      </w:pPr>
      <w:r>
        <w:rPr>
          <w:rFonts w:ascii="Times New Roman" w:hAnsi="Times New Roman" w:eastAsia="宋体"/>
          <w:b w:val="0"/>
          <w:i w:val="0"/>
          <w:sz w:val="22"/>
        </w:rPr>
        <w:t>电动汽车（EV）的快速普及为电力系统带来了新的挑战和机遇。EV充电负荷具有高度时空灵活性：充电时间可以在停车窗口内调整，充电地点可以在不同充电站之间选择。实时定价可以通过价格信号引导EV充电行为，实现削峰填谷和电网 congestion 缓解。</w:t>
      </w:r>
    </w:p>
    <w:p>
      <w:pPr>
        <w:spacing w:line="360" w:lineRule="auto" w:after="0"/>
        <w:ind w:firstLine="425"/>
      </w:pPr>
      <w:r>
        <w:rPr>
          <w:rFonts w:ascii="Times New Roman" w:hAnsi="Times New Roman" w:eastAsia="宋体"/>
          <w:b w:val="0"/>
          <w:i w:val="0"/>
          <w:sz w:val="22"/>
        </w:rPr>
        <w:t>EV充电的定价策略可分为三类：被动定价（固定电价）、分时定价（TOU）和实时定价（RTP）。被动定价无法激励用户调整充电时间，可能导致充电负荷与系统高峰重叠。分时定价可以引导部分用户转移到低谷时段，但时段划分固定，无法适应可再生能源出力的实时变化。实时定价可以最精确地匹配供需，但对用户的参与度和响应能力要求较高。</w:t>
      </w:r>
    </w:p>
    <w:p>
      <w:pPr>
        <w:spacing w:line="360" w:lineRule="auto" w:after="0"/>
        <w:ind w:firstLine="425"/>
      </w:pPr>
      <w:r>
        <w:rPr>
          <w:rFonts w:ascii="Times New Roman" w:hAnsi="Times New Roman" w:eastAsia="宋体"/>
          <w:b w:val="0"/>
          <w:i w:val="0"/>
          <w:sz w:val="22"/>
        </w:rPr>
        <w:t>V2G（Vehicle-to-Grid）技术允许EV在连接电网时将电池能量回馈给电网，使EV从单纯的负荷变为可调度的分布式储能资源。V2G的定价需要考虑电池 degradation 成本：每次充放电循环都会造成电池容量衰减，这部分成本需要通过电价补偿。基于电池循环寿命模型的定价方法可以将 degradation 成本精确分摊到每次V2G交易。</w:t>
      </w:r>
    </w:p>
    <w:p>
      <w:pPr>
        <w:pStyle w:val="Heading3"/>
        <w:spacing w:before="160" w:after="60"/>
      </w:pPr>
      <w:r>
        <w:rPr>
          <w:rFonts w:ascii="Times New Roman" w:hAnsi="Times New Roman" w:eastAsia="黑体"/>
          <w:b/>
          <w:i w:val="0"/>
          <w:sz w:val="24"/>
        </w:rPr>
        <w:t>充电负荷的聚合管理</w:t>
      </w:r>
    </w:p>
    <w:p>
      <w:pPr>
        <w:spacing w:line="360" w:lineRule="auto" w:after="0"/>
        <w:ind w:firstLine="425"/>
      </w:pPr>
      <w:r>
        <w:rPr>
          <w:rFonts w:ascii="Times New Roman" w:hAnsi="Times New Roman" w:eastAsia="宋体"/>
          <w:b w:val="0"/>
          <w:i w:val="0"/>
          <w:sz w:val="22"/>
        </w:rPr>
        <w:t>单个EV的充电功率较小（3-22 kW），直接参与批发市场不经济。聚合商通过整合大量EV的充电需求，形成具有可调度规模的虚拟电厂（VPP），参与批发市场交易和辅助服务提供。</w:t>
      </w:r>
    </w:p>
    <w:p>
      <w:pPr>
        <w:spacing w:line="360" w:lineRule="auto" w:after="0"/>
        <w:ind w:firstLine="425"/>
      </w:pPr>
      <w:r>
        <w:rPr>
          <w:rFonts w:ascii="Times New Roman" w:hAnsi="Times New Roman" w:eastAsia="宋体"/>
          <w:b w:val="0"/>
          <w:i w:val="0"/>
          <w:sz w:val="22"/>
        </w:rPr>
        <w:t>聚合商的定价策略需要平衡多方利益：EV用户希望充电成本最低且充电需求得到满足，聚合商希望利润最大化，电网希望负荷平稳。Stackelberg博弈可以描述聚合商（领导者）和EV用户（跟随者）之间的交互，最优定价策略在聚合商利润和用户满意度之间取得平衡。</w:t>
      </w:r>
    </w:p>
    <w:p>
      <w:pPr>
        <w:spacing w:line="360" w:lineRule="auto" w:after="0"/>
        <w:ind w:firstLine="425"/>
      </w:pPr>
      <w:r>
        <w:rPr>
          <w:rFonts w:ascii="Times New Roman" w:hAnsi="Times New Roman" w:eastAsia="宋体"/>
          <w:b w:val="0"/>
          <w:i w:val="0"/>
          <w:sz w:val="22"/>
        </w:rPr>
        <w:t>聚合商的风险管理是关键问题。当聚合商在批发市场承诺了一定的充电负荷但实际EV接入量不足时，需要承担偏差惩罚。鲁棒优化和随机规划可以帮助聚合商在不确定性下制定稳健的承诺策略。需求响应保险机制为聚合商提供了对冲偏差风险的金融工具。</w:t>
      </w:r>
    </w:p>
    <w:p>
      <w:pPr>
        <w:pStyle w:val="Heading3"/>
        <w:spacing w:before="160" w:after="60"/>
      </w:pPr>
      <w:r>
        <w:rPr>
          <w:rFonts w:ascii="Times New Roman" w:hAnsi="Times New Roman" w:eastAsia="黑体"/>
          <w:b/>
          <w:i w:val="0"/>
          <w:sz w:val="24"/>
        </w:rPr>
        <w:t>分布式光伏的定价影响</w:t>
      </w:r>
    </w:p>
    <w:p>
      <w:pPr>
        <w:spacing w:line="360" w:lineRule="auto" w:after="0"/>
        <w:ind w:firstLine="425"/>
      </w:pPr>
      <w:r>
        <w:rPr>
          <w:rFonts w:ascii="Times New Roman" w:hAnsi="Times New Roman" w:eastAsia="宋体"/>
          <w:b w:val="0"/>
          <w:i w:val="0"/>
          <w:sz w:val="22"/>
        </w:rPr>
        <w:t>分布式光伏（ rooftop PV ）的快速增长正在改变电网的负荷形态。在光伏高渗透率地区，白天净负荷（总负荷减去光伏出力）可能显著降低甚至为负，形成"鸭子曲线"现象。这一现象对实时定价有重要影响：中午时段电价降低甚至为负，傍晚时段光伏出力骤降导致电价飙升。</w:t>
      </w:r>
    </w:p>
    <w:p>
      <w:pPr>
        <w:spacing w:line="360" w:lineRule="auto" w:after="0"/>
        <w:ind w:firstLine="425"/>
      </w:pPr>
      <w:r>
        <w:rPr>
          <w:rFonts w:ascii="Times New Roman" w:hAnsi="Times New Roman" w:eastAsia="宋体"/>
          <w:b w:val="0"/>
          <w:i w:val="0"/>
          <w:sz w:val="22"/>
        </w:rPr>
        <w:t>净计量（Net Metering）政策允许分布式光伏用户将多余发电量以零售电价卖给电网，这一政策在促进分布式光伏发展的同时也引发了公平性争议：非光伏用户承担了更多的电网固定成本分摊。实时定价可以替代净计量，通过反映发电边际成本的价格信号引导分布式光伏的自消费和存储。</w:t>
      </w:r>
    </w:p>
    <w:p>
      <w:pPr>
        <w:spacing w:line="360" w:lineRule="auto" w:after="0"/>
        <w:ind w:firstLine="425"/>
      </w:pPr>
      <w:r>
        <w:rPr>
          <w:rFonts w:ascii="Times New Roman" w:hAnsi="Times New Roman" w:eastAsia="宋体"/>
          <w:b w:val="0"/>
          <w:i w:val="0"/>
          <w:sz w:val="22"/>
        </w:rPr>
        <w:t>分布式光伏聚合参与批发市场是新兴商业模式。虚拟电厂运营商聚合大量分布式光伏，在批发市场提供可调度容量。与单个光伏系统不同，聚合后的VPP可以通过跨区域的光伏出力互补降低不确定性，提供更可靠的容量承诺。</w:t>
      </w:r>
    </w:p>
    <w:p>
      <w:pPr>
        <w:pStyle w:val="Heading3"/>
        <w:spacing w:before="160" w:after="60"/>
      </w:pPr>
      <w:r>
        <w:rPr>
          <w:rFonts w:ascii="Times New Roman" w:hAnsi="Times New Roman" w:eastAsia="黑体"/>
          <w:b/>
          <w:i w:val="0"/>
          <w:sz w:val="24"/>
        </w:rPr>
        <w:t>储能系统的定价参与模式</w:t>
      </w:r>
    </w:p>
    <w:p>
      <w:pPr>
        <w:spacing w:line="360" w:lineRule="auto" w:after="0"/>
        <w:ind w:firstLine="425"/>
      </w:pPr>
      <w:r>
        <w:rPr>
          <w:rFonts w:ascii="Times New Roman" w:hAnsi="Times New Roman" w:eastAsia="宋体"/>
          <w:b w:val="0"/>
          <w:i w:val="0"/>
          <w:sz w:val="22"/>
        </w:rPr>
        <w:t>储能系统（包括电池储能、抽水蓄能、压缩空气储能等）在实时定价中扮演多重角色：能量时移（峰谷套利）、频率调节、容量备用、电压支持等。每种服务的定价机制和补偿方式不同，储能系统的最优策略是同时参与多个市场以最大化收益叠加。</w:t>
      </w:r>
    </w:p>
    <w:p>
      <w:pPr>
        <w:spacing w:line="360" w:lineRule="auto" w:after="0"/>
        <w:ind w:firstLine="425"/>
      </w:pPr>
      <w:r>
        <w:rPr>
          <w:rFonts w:ascii="Times New Roman" w:hAnsi="Times New Roman" w:eastAsia="宋体"/>
          <w:b w:val="0"/>
          <w:i w:val="0"/>
          <w:sz w:val="22"/>
        </w:rPr>
        <w:t>储能的实时定价策略需要考虑充放电效率、循环寿命和荷电状态（SOC）约束。动态规划可以精确求解储能的最优充放电策略，但计算复杂度较高。近似动态规划（ADP）和强化学习方法可以在保证合理精度的前提下大幅降低计算时间，适合实时应用。</w:t>
      </w:r>
    </w:p>
    <w:p>
      <w:pPr>
        <w:spacing w:line="360" w:lineRule="auto" w:after="0"/>
        <w:ind w:firstLine="425"/>
      </w:pPr>
      <w:r>
        <w:rPr>
          <w:rFonts w:ascii="Times New Roman" w:hAnsi="Times New Roman" w:eastAsia="宋体"/>
          <w:b w:val="0"/>
          <w:i w:val="0"/>
          <w:sz w:val="22"/>
        </w:rPr>
        <w:t>储能共享机制允许多个用户共同投资和运营储能设施，按需分配充放电容量。共享机制的设计需要解决成本分摊和收益分配问题。合作博弈理论中的Shapley值方法提供了一种公平的收益分配方案，但其计算复杂度随参与者数量指数增长。近似Shapley值计算方法和基于贡献度的简化分配规则在实际应用中更为可行。</w:t>
      </w:r>
    </w:p>
    <w:p>
      <w:pPr>
        <w:pStyle w:val="Heading3"/>
        <w:spacing w:before="160" w:after="60"/>
      </w:pPr>
      <w:r>
        <w:rPr>
          <w:rFonts w:ascii="Times New Roman" w:hAnsi="Times New Roman" w:eastAsia="黑体"/>
          <w:b/>
          <w:i w:val="0"/>
          <w:sz w:val="24"/>
        </w:rPr>
        <w:t>微电网的内部定价</w:t>
      </w:r>
    </w:p>
    <w:p>
      <w:pPr>
        <w:spacing w:line="360" w:lineRule="auto" w:after="0"/>
        <w:ind w:firstLine="425"/>
      </w:pPr>
      <w:r>
        <w:rPr>
          <w:rFonts w:ascii="Times New Roman" w:hAnsi="Times New Roman" w:eastAsia="宋体"/>
          <w:b w:val="0"/>
          <w:i w:val="0"/>
          <w:sz w:val="22"/>
        </w:rPr>
        <w:t>微电网是包含分布式电源、储能、负荷的小型电力系统，可以并网或孤岛运行。微电网内部定价需要解决两个层面的问题：微电网与主电网之间的交互定价，以及微电网内部各参与者之间的交易定价。</w:t>
      </w:r>
    </w:p>
    <w:p>
      <w:pPr>
        <w:spacing w:line="360" w:lineRule="auto" w:after="0"/>
        <w:ind w:firstLine="425"/>
      </w:pPr>
      <w:r>
        <w:rPr>
          <w:rFonts w:ascii="Times New Roman" w:hAnsi="Times New Roman" w:eastAsia="宋体"/>
          <w:b w:val="0"/>
          <w:i w:val="0"/>
          <w:sz w:val="22"/>
        </w:rPr>
        <w:t>微电网与主电网的交互定价通常基于实时电价和微电网的净负荷方向：当微电网从主电网购电时按实时电价付费，当微电网向主电网售电时按上网电价获得收入。微电网的能量管理系统需要预测实时电价并优化购售电策略，最大化微电网的经济效益。</w:t>
      </w:r>
    </w:p>
    <w:p>
      <w:pPr>
        <w:spacing w:line="360" w:lineRule="auto" w:after="0"/>
        <w:ind w:firstLine="425"/>
      </w:pPr>
      <w:r>
        <w:rPr>
          <w:rFonts w:ascii="Times New Roman" w:hAnsi="Times New Roman" w:eastAsia="宋体"/>
          <w:b w:val="0"/>
          <w:i w:val="0"/>
          <w:sz w:val="22"/>
        </w:rPr>
        <w:t>微电网内部定价可以采用多种机制：基于边际成本定价、基于合作博弈的核分配定价、基于拍卖机制的双边交易定价等。内部定价机制的设计需要考虑微电网内部各参与者的市场力和议价能力差异，确保定价的公平性和效率。连续双向拍卖机制在微电网内部交易中表现出良好的性能，能够快速匹配买卖双方并发现均衡价格。</w:t>
      </w:r>
    </w:p>
    <w:p>
      <w:pPr>
        <w:pStyle w:val="Heading2"/>
        <w:spacing w:before="240" w:after="80"/>
      </w:pPr>
      <w:r>
        <w:rPr>
          <w:rFonts w:ascii="Times New Roman" w:hAnsi="Times New Roman" w:eastAsia="黑体"/>
          <w:b/>
          <w:i w:val="0"/>
          <w:sz w:val="28"/>
        </w:rPr>
        <w:t>11.10 分布式能源资源的技术经济分析</w:t>
      </w:r>
    </w:p>
    <w:p>
      <w:pPr>
        <w:pStyle w:val="Heading3"/>
        <w:spacing w:before="160" w:after="60"/>
      </w:pPr>
      <w:r>
        <w:rPr>
          <w:rFonts w:ascii="Times New Roman" w:hAnsi="Times New Roman" w:eastAsia="黑体"/>
          <w:b/>
          <w:i w:val="0"/>
          <w:sz w:val="24"/>
        </w:rPr>
        <w:t>分布式光伏的经济性演变</w:t>
      </w:r>
    </w:p>
    <w:p>
      <w:pPr>
        <w:spacing w:line="360" w:lineRule="auto" w:after="0"/>
        <w:ind w:firstLine="425"/>
      </w:pPr>
      <w:r>
        <w:rPr>
          <w:rFonts w:ascii="Times New Roman" w:hAnsi="Times New Roman" w:eastAsia="宋体"/>
          <w:b w:val="0"/>
          <w:i w:val="0"/>
          <w:sz w:val="22"/>
        </w:rPr>
        <w:t>分布式光伏的经济性在过去十年发生了根本性变化。光伏组件成本从2010年的约2美元/瓦下降到2023年的约0.2美元/瓦，降幅达90%。这一成本下降使得分布式光伏在多数地区无需补贴即可实现平价上网。</w:t>
      </w:r>
    </w:p>
    <w:p>
      <w:pPr>
        <w:spacing w:line="360" w:lineRule="auto" w:after="0"/>
        <w:ind w:firstLine="425"/>
      </w:pPr>
      <w:r>
        <w:rPr>
          <w:rFonts w:ascii="Times New Roman" w:hAnsi="Times New Roman" w:eastAsia="宋体"/>
          <w:b w:val="0"/>
          <w:i w:val="0"/>
          <w:sz w:val="22"/>
        </w:rPr>
        <w:t>然而，分布式光伏的全生命周期成本不仅包括组件成本，还包括安装成本、逆变器成本、支架成本、并网成本和运维成本。这些"软成本"在总成本中的占比随组件成本下降而上升，在发达市场可能占总成本的50-70%。降低软成本需要简化审批流程、标准化安装设计和规模化采购。</w:t>
      </w:r>
    </w:p>
    <w:p>
      <w:pPr>
        <w:spacing w:line="360" w:lineRule="auto" w:after="0"/>
        <w:ind w:firstLine="425"/>
      </w:pPr>
      <w:r>
        <w:rPr>
          <w:rFonts w:ascii="Times New Roman" w:hAnsi="Times New Roman" w:eastAsia="宋体"/>
          <w:b w:val="0"/>
          <w:i w:val="0"/>
          <w:sz w:val="22"/>
        </w:rPr>
        <w:t>分布式光伏与储能的结合（PV+Storage）正在成为标准配置。储能系统解决了光伏发电的间歇性问题，提高了自消费比例。在电价套利、需求电荷管理和备用电源等多重价值叠加下，PV+Storage的投资回收期已缩短到5-8年。实时定价为PV+Storage的最优运行提供了精细化的价格信号。</w:t>
      </w:r>
    </w:p>
    <w:p>
      <w:pPr>
        <w:pStyle w:val="Heading3"/>
        <w:spacing w:before="160" w:after="60"/>
      </w:pPr>
      <w:r>
        <w:rPr>
          <w:rFonts w:ascii="Times New Roman" w:hAnsi="Times New Roman" w:eastAsia="黑体"/>
          <w:b/>
          <w:i w:val="0"/>
          <w:sz w:val="24"/>
        </w:rPr>
        <w:t>电动汽车充电基础设施的规划</w:t>
      </w:r>
    </w:p>
    <w:p>
      <w:pPr>
        <w:spacing w:line="360" w:lineRule="auto" w:after="0"/>
        <w:ind w:firstLine="425"/>
      </w:pPr>
      <w:r>
        <w:rPr>
          <w:rFonts w:ascii="Times New Roman" w:hAnsi="Times New Roman" w:eastAsia="宋体"/>
          <w:b w:val="0"/>
          <w:i w:val="0"/>
          <w:sz w:val="22"/>
        </w:rPr>
        <w:t>电动汽车充电基础设施的规划需要考虑充电需求的空间分布、时间分布和功率需求。充电需求的空间分布取决于交通模式（通勤、购物、长途出行等），时间分布取决于用户行为（白天充电、夜间充电等），功率需求取决于充电模式（慢充、快充、超充）。</w:t>
      </w:r>
    </w:p>
    <w:p>
      <w:pPr>
        <w:spacing w:line="360" w:lineRule="auto" w:after="0"/>
        <w:ind w:firstLine="425"/>
      </w:pPr>
      <w:r>
        <w:rPr>
          <w:rFonts w:ascii="Times New Roman" w:hAnsi="Times New Roman" w:eastAsia="宋体"/>
          <w:b w:val="0"/>
          <w:i w:val="0"/>
          <w:sz w:val="22"/>
        </w:rPr>
        <w:t>充电站选址优化可以建模为设施选址问题。目标是在预算约束下最大化充电服务覆盖范围或最小化用户充电距离。考虑到充电负荷对配电网的影响，选址优化还需要纳入电网容量约束和电压约束。实时定价通过引导充电需求在空间（不同充电站之间）和时间（不同时段之间）上的再分配，可以缓解局部电网过载。</w:t>
      </w:r>
    </w:p>
    <w:p>
      <w:pPr>
        <w:spacing w:line="360" w:lineRule="auto" w:after="0"/>
        <w:ind w:firstLine="425"/>
      </w:pPr>
      <w:r>
        <w:rPr>
          <w:rFonts w:ascii="Times New Roman" w:hAnsi="Times New Roman" w:eastAsia="宋体"/>
          <w:b w:val="0"/>
          <w:i w:val="0"/>
          <w:sz w:val="22"/>
        </w:rPr>
        <w:t>V2G技术的商业化面临电池 degradation 成本的挑战。每次V2G充放电循环都会导致电池容量衰减，其成本取决于电池类型、循环深度和荷电状态范围。锂离子电池的 degradation 成本估计为每千瓦时循环0.05-0.2美元，具体取决于电池化学特性和使用条件。只有当V2G收益超过 degradation 成本时，V2G才具有经济可行性。</w:t>
      </w:r>
    </w:p>
    <w:p>
      <w:pPr>
        <w:pStyle w:val="Heading3"/>
        <w:spacing w:before="160" w:after="60"/>
      </w:pPr>
      <w:r>
        <w:rPr>
          <w:rFonts w:ascii="Times New Roman" w:hAnsi="Times New Roman" w:eastAsia="黑体"/>
          <w:b/>
          <w:i w:val="0"/>
          <w:sz w:val="24"/>
        </w:rPr>
        <w:t>需求侧灵活性资源的分类评估</w:t>
      </w:r>
    </w:p>
    <w:p>
      <w:pPr>
        <w:spacing w:line="360" w:lineRule="auto" w:after="0"/>
        <w:ind w:firstLine="425"/>
      </w:pPr>
      <w:r>
        <w:rPr>
          <w:rFonts w:ascii="Times New Roman" w:hAnsi="Times New Roman" w:eastAsia="宋体"/>
          <w:b w:val="0"/>
          <w:i w:val="0"/>
          <w:sz w:val="22"/>
        </w:rPr>
        <w:t>需求侧灵活性资源的系统化分类有助于精准定价和调度。按响应时间尺度，灵活性资源可分为：</w:t>
      </w:r>
    </w:p>
    <w:p>
      <w:pPr>
        <w:spacing w:line="360" w:lineRule="auto" w:after="0"/>
        <w:ind w:firstLine="425"/>
      </w:pPr>
      <w:r>
        <w:rPr>
          <w:rFonts w:ascii="Times New Roman" w:hAnsi="Times New Roman" w:eastAsia="宋体"/>
          <w:b/>
          <w:i w:val="0"/>
          <w:sz w:val="22"/>
        </w:rPr>
        <w:t>秒级响应资源：</w:t>
      </w:r>
      <w:r>
        <w:rPr>
          <w:rFonts w:ascii="Times New Roman" w:hAnsi="Times New Roman" w:eastAsia="宋体"/>
          <w:b w:val="0"/>
          <w:i w:val="0"/>
          <w:sz w:val="22"/>
        </w:rPr>
        <w:t xml:space="preserve"> 包括变频空调、变速热泵和LED照明。这些设备的功率可以在秒级调整，适合提供频率响应服务。通过智能控制器的协调，大量小功率设备的聚合可以形成可观的调频容量。</w:t>
      </w:r>
    </w:p>
    <w:p>
      <w:pPr>
        <w:spacing w:line="360" w:lineRule="auto" w:after="0"/>
        <w:ind w:firstLine="425"/>
      </w:pPr>
      <w:r>
        <w:rPr>
          <w:rFonts w:ascii="Times New Roman" w:hAnsi="Times New Roman" w:eastAsia="宋体"/>
          <w:b/>
          <w:i w:val="0"/>
          <w:sz w:val="22"/>
        </w:rPr>
        <w:t>分钟级响应资源：</w:t>
      </w:r>
      <w:r>
        <w:rPr>
          <w:rFonts w:ascii="Times New Roman" w:hAnsi="Times New Roman" w:eastAsia="宋体"/>
          <w:b w:val="0"/>
          <w:i w:val="0"/>
          <w:sz w:val="22"/>
        </w:rPr>
        <w:t xml:space="preserve"> 包括电热水器、电锅炉和制冷设备。这些设备利用热惯性提供短期能量缓冲，可以在分钟级调整用电功率而不显著影响用户舒适度。温度控制型设备的热力学模型可以精确描述其灵活性边界。</w:t>
      </w:r>
    </w:p>
    <w:p>
      <w:pPr>
        <w:spacing w:line="360" w:lineRule="auto" w:after="0"/>
        <w:ind w:firstLine="425"/>
      </w:pPr>
      <w:r>
        <w:rPr>
          <w:rFonts w:ascii="Times New Roman" w:hAnsi="Times New Roman" w:eastAsia="宋体"/>
          <w:b/>
          <w:i w:val="0"/>
          <w:sz w:val="22"/>
        </w:rPr>
        <w:t>小时级响应资源：</w:t>
      </w:r>
      <w:r>
        <w:rPr>
          <w:rFonts w:ascii="Times New Roman" w:hAnsi="Times New Roman" w:eastAsia="宋体"/>
          <w:b w:val="0"/>
          <w:i w:val="0"/>
          <w:sz w:val="22"/>
        </w:rPr>
        <w:t xml:space="preserve"> 包括洗衣机、洗碗机和电动汽车充电。这些设备的运行可以在小时级时间窗口内灵活安排。用户通过设定完成截止时间，智能控制器在截止时间前的最优时段启动设备。</w:t>
      </w:r>
    </w:p>
    <w:p>
      <w:pPr>
        <w:spacing w:line="360" w:lineRule="auto" w:after="0"/>
        <w:ind w:firstLine="425"/>
      </w:pPr>
      <w:r>
        <w:rPr>
          <w:rFonts w:ascii="Times New Roman" w:hAnsi="Times New Roman" w:eastAsia="宋体"/>
          <w:b/>
          <w:i w:val="0"/>
          <w:sz w:val="22"/>
        </w:rPr>
        <w:t>日级响应资源：</w:t>
      </w:r>
      <w:r>
        <w:rPr>
          <w:rFonts w:ascii="Times New Roman" w:hAnsi="Times New Roman" w:eastAsia="宋体"/>
          <w:b w:val="0"/>
          <w:i w:val="0"/>
          <w:sz w:val="22"/>
        </w:rPr>
        <w:t xml:space="preserve"> 包括工业生产计划的调整和储能系统的长周期调度。这些资源的响应速度慢但调节幅度大，适合参与日前市场和容量市场。</w:t>
      </w:r>
    </w:p>
    <w:p>
      <w:pPr>
        <w:pStyle w:val="Heading3"/>
        <w:spacing w:before="160" w:after="60"/>
      </w:pPr>
      <w:r>
        <w:rPr>
          <w:rFonts w:ascii="Times New Roman" w:hAnsi="Times New Roman" w:eastAsia="黑体"/>
          <w:b/>
          <w:i w:val="0"/>
          <w:sz w:val="24"/>
        </w:rPr>
        <w:t>微电网的经济性与商业模式</w:t>
      </w:r>
    </w:p>
    <w:p>
      <w:pPr>
        <w:spacing w:line="360" w:lineRule="auto" w:after="0"/>
        <w:ind w:firstLine="425"/>
      </w:pPr>
      <w:r>
        <w:rPr>
          <w:rFonts w:ascii="Times New Roman" w:hAnsi="Times New Roman" w:eastAsia="宋体"/>
          <w:b w:val="0"/>
          <w:i w:val="0"/>
          <w:sz w:val="22"/>
        </w:rPr>
        <w:t>微电网的经济性取决于多种因素的平衡。微电网可以通过分布式发电降低购电成本、通过需求响应降低峰值需求费用、通过储能提供电能质量服务、通过孤岛运行提高可靠性价值。然而，微电网的建设投资（分布式电源、储能、控制系统、保护设备）需要通过运营收益回收。</w:t>
      </w:r>
    </w:p>
    <w:p>
      <w:pPr>
        <w:spacing w:line="360" w:lineRule="auto" w:after="0"/>
        <w:ind w:firstLine="425"/>
      </w:pPr>
      <w:r>
        <w:rPr>
          <w:rFonts w:ascii="Times New Roman" w:hAnsi="Times New Roman" w:eastAsia="宋体"/>
          <w:b w:val="0"/>
          <w:i w:val="0"/>
          <w:sz w:val="22"/>
        </w:rPr>
        <w:t>微电网的商业模式包括：</w:t>
      </w:r>
    </w:p>
    <w:p>
      <w:pPr>
        <w:spacing w:line="360" w:lineRule="auto" w:after="0"/>
        <w:ind w:firstLine="425"/>
      </w:pPr>
      <w:r>
        <w:rPr>
          <w:rFonts w:ascii="Times New Roman" w:hAnsi="Times New Roman" w:eastAsia="宋体"/>
          <w:b/>
          <w:i w:val="0"/>
          <w:sz w:val="22"/>
        </w:rPr>
        <w:t>Energy-as-a-Service (EaaS)：</w:t>
      </w:r>
      <w:r>
        <w:rPr>
          <w:rFonts w:ascii="Times New Roman" w:hAnsi="Times New Roman" w:eastAsia="宋体"/>
          <w:b w:val="0"/>
          <w:i w:val="0"/>
          <w:sz w:val="22"/>
        </w:rPr>
        <w:t xml:space="preserve"> 微电网运营商负责投资、建设和运营，用户按能源服务付费（如每千瓦时固定价格）。这种模式降低了用户的初始投资门槛，运营商通过规模效应和优化运营获取利润。</w:t>
      </w:r>
    </w:p>
    <w:p>
      <w:pPr>
        <w:spacing w:line="360" w:lineRule="auto" w:after="0"/>
        <w:ind w:firstLine="425"/>
      </w:pPr>
      <w:r>
        <w:rPr>
          <w:rFonts w:ascii="Times New Roman" w:hAnsi="Times New Roman" w:eastAsia="宋体"/>
          <w:b/>
          <w:i w:val="0"/>
          <w:sz w:val="22"/>
        </w:rPr>
        <w:t>社区共享模式：</w:t>
      </w:r>
      <w:r>
        <w:rPr>
          <w:rFonts w:ascii="Times New Roman" w:hAnsi="Times New Roman" w:eastAsia="宋体"/>
          <w:b w:val="0"/>
          <w:i w:val="0"/>
          <w:sz w:val="22"/>
        </w:rPr>
        <w:t xml:space="preserve"> 社区成员共同投资微电网设施，按投资比例分配收益。区块链技术可以支持社区成员之间的点对点能源交易，实现去中心化的能源共享。</w:t>
      </w:r>
    </w:p>
    <w:p>
      <w:pPr>
        <w:spacing w:line="360" w:lineRule="auto" w:after="0"/>
        <w:ind w:firstLine="425"/>
      </w:pPr>
      <w:r>
        <w:rPr>
          <w:rFonts w:ascii="Times New Roman" w:hAnsi="Times New Roman" w:eastAsia="宋体"/>
          <w:b/>
          <w:i w:val="0"/>
          <w:sz w:val="22"/>
        </w:rPr>
        <w:t>多业主聚合模式：</w:t>
      </w:r>
      <w:r>
        <w:rPr>
          <w:rFonts w:ascii="Times New Roman" w:hAnsi="Times New Roman" w:eastAsia="宋体"/>
          <w:b w:val="0"/>
          <w:i w:val="0"/>
          <w:sz w:val="22"/>
        </w:rPr>
        <w:t xml:space="preserve"> 不同业主的分布式资源（光伏、储能、EV）被聚合商整合为虚拟微电网，聚合商统一调度并分配收益。这种模式不需要物理微电网的孤岛运行能力，但需要先进的通信和控制系统。</w:t>
      </w:r>
    </w:p>
    <w:p>
      <w:pPr>
        <w:pStyle w:val="Heading3"/>
        <w:spacing w:before="160" w:after="60"/>
      </w:pPr>
      <w:r>
        <w:rPr>
          <w:rFonts w:ascii="Times New Roman" w:hAnsi="Times New Roman" w:eastAsia="黑体"/>
          <w:b/>
          <w:i w:val="0"/>
          <w:sz w:val="24"/>
        </w:rPr>
        <w:t>分布式能源参与批发市场的规则设计</w:t>
      </w:r>
    </w:p>
    <w:p>
      <w:pPr>
        <w:spacing w:line="360" w:lineRule="auto" w:after="0"/>
        <w:ind w:firstLine="425"/>
      </w:pPr>
      <w:r>
        <w:rPr>
          <w:rFonts w:ascii="Times New Roman" w:hAnsi="Times New Roman" w:eastAsia="宋体"/>
          <w:b w:val="0"/>
          <w:i w:val="0"/>
          <w:sz w:val="22"/>
        </w:rPr>
        <w:t>分布式能源参与批发市场需要解决以下规则设计问题：</w:t>
      </w:r>
    </w:p>
    <w:p>
      <w:pPr>
        <w:spacing w:line="360" w:lineRule="auto" w:after="0"/>
        <w:ind w:firstLine="425"/>
      </w:pPr>
      <w:r>
        <w:rPr>
          <w:rFonts w:ascii="Times New Roman" w:hAnsi="Times New Roman" w:eastAsia="宋体"/>
          <w:b/>
          <w:i w:val="0"/>
          <w:sz w:val="22"/>
        </w:rPr>
        <w:t>聚合资格标准：</w:t>
      </w:r>
      <w:r>
        <w:rPr>
          <w:rFonts w:ascii="Times New Roman" w:hAnsi="Times New Roman" w:eastAsia="宋体"/>
          <w:b w:val="0"/>
          <w:i w:val="0"/>
          <w:sz w:val="22"/>
        </w:rPr>
        <w:t xml:space="preserve"> 聚合商需要达到多大的最小容量才能参与批发市场？过低的门槛可能导致市场碎片化，过高的门槛则排斥了小型分布式资源的参与。FERC Order 2222将最小容量门槛降低到100 kW，为小型分布式资源打开了市场大门。</w:t>
      </w:r>
    </w:p>
    <w:p>
      <w:pPr>
        <w:spacing w:line="360" w:lineRule="auto" w:after="0"/>
        <w:ind w:firstLine="425"/>
      </w:pPr>
      <w:r>
        <w:rPr>
          <w:rFonts w:ascii="Times New Roman" w:hAnsi="Times New Roman" w:eastAsia="宋体"/>
          <w:b/>
          <w:i w:val="0"/>
          <w:sz w:val="22"/>
        </w:rPr>
        <w:t>基线负荷确定：</w:t>
      </w:r>
      <w:r>
        <w:rPr>
          <w:rFonts w:ascii="Times New Roman" w:hAnsi="Times New Roman" w:eastAsia="宋体"/>
          <w:b w:val="0"/>
          <w:i w:val="0"/>
          <w:sz w:val="22"/>
        </w:rPr>
        <w:t xml:space="preserve"> 需求响应的补偿量基于基线负荷（如果没有需求响应时的负荷水平）计算。基线负荷的确定方法（如历史平均法、控制组法）直接影响补偿的公平性和准确性。基线操纵（通过人为抬高基线负荷增加补偿）是需要防范的风险。</w:t>
      </w:r>
    </w:p>
    <w:p>
      <w:pPr>
        <w:spacing w:line="360" w:lineRule="auto" w:after="0"/>
        <w:ind w:firstLine="425"/>
      </w:pPr>
      <w:r>
        <w:rPr>
          <w:rFonts w:ascii="Times New Roman" w:hAnsi="Times New Roman" w:eastAsia="宋体"/>
          <w:b/>
          <w:i w:val="0"/>
          <w:sz w:val="22"/>
        </w:rPr>
        <w:t>双重收费问题：</w:t>
      </w:r>
      <w:r>
        <w:rPr>
          <w:rFonts w:ascii="Times New Roman" w:hAnsi="Times New Roman" w:eastAsia="宋体"/>
          <w:b w:val="0"/>
          <w:i w:val="0"/>
          <w:sz w:val="22"/>
        </w:rPr>
        <w:t xml:space="preserve"> 分布式能源通过配电网输送电力，是否需要支付输电和配电费用？如果免除，可能导致电网固定成本的分摊不公平；如果收取，可能降低分布式能源的经济竞争力。这一问题的解决方案包括：基于注入/抽取功率的净计量、分时段输配电价、容量费用与能量费用分离等。</w:t>
      </w:r>
    </w:p>
    <w:p>
      <w:pPr>
        <w:spacing w:line="360" w:lineRule="auto" w:after="0"/>
        <w:ind w:firstLine="425"/>
      </w:pPr>
      <w:r>
        <w:rPr>
          <w:rFonts w:ascii="Times New Roman" w:hAnsi="Times New Roman" w:eastAsia="宋体"/>
          <w:b/>
          <w:i w:val="0"/>
          <w:sz w:val="22"/>
        </w:rPr>
        <w:t>可靠性责任：</w:t>
      </w:r>
      <w:r>
        <w:rPr>
          <w:rFonts w:ascii="Times New Roman" w:hAnsi="Times New Roman" w:eastAsia="宋体"/>
          <w:b w:val="0"/>
          <w:i w:val="0"/>
          <w:sz w:val="22"/>
        </w:rPr>
        <w:t xml:space="preserve"> 分布式能源在批发市场中承诺的容量是否需要满足可靠性标准？与传统发电不同，分布式能源的可靠性受用户行为（如EV出行）和天气条件影响。分层可靠性标准根据资源的可调度性分配不同的可靠性责任，平衡了市场参与灵活性和系统可靠性。</w:t>
      </w:r>
    </w:p>
    <w:p>
      <w:pPr>
        <w:pStyle w:val="Heading3"/>
        <w:spacing w:before="160" w:after="60"/>
      </w:pPr>
      <w:r>
        <w:rPr>
          <w:rFonts w:ascii="Times New Roman" w:hAnsi="Times New Roman" w:eastAsia="黑体"/>
          <w:b/>
          <w:i w:val="0"/>
          <w:sz w:val="24"/>
        </w:rPr>
        <w:t>分布式能源的技术标准化</w:t>
      </w:r>
    </w:p>
    <w:p>
      <w:pPr>
        <w:spacing w:line="360" w:lineRule="auto" w:after="0"/>
        <w:ind w:firstLine="425"/>
      </w:pPr>
      <w:r>
        <w:rPr>
          <w:rFonts w:ascii="Times New Roman" w:hAnsi="Times New Roman" w:eastAsia="宋体"/>
          <w:b w:val="0"/>
          <w:i w:val="0"/>
          <w:sz w:val="22"/>
        </w:rPr>
        <w:t>分布式能源的技术标准化包括通信协议、控制接口和安全规范三个方面。通信协议标准（如IEEE 2030.5、OpenADR）确保不同厂商的设备可以互操作。控制接口标准定义了设备的状态查询、参数设置和控制命令接口。安全规范标准（如IEC 62351）覆盖了认证、加密和访问控制等安全要求。</w:t>
      </w:r>
    </w:p>
    <w:p>
      <w:pPr>
        <w:spacing w:line="360" w:lineRule="auto" w:after="0"/>
        <w:ind w:firstLine="425"/>
      </w:pPr>
      <w:r>
        <w:rPr>
          <w:rFonts w:ascii="Times New Roman" w:hAnsi="Times New Roman" w:eastAsia="宋体"/>
          <w:b w:val="0"/>
          <w:i w:val="0"/>
          <w:sz w:val="22"/>
        </w:rPr>
        <w:t>标准化的推进面临既有设备兼容性的挑战。大量已安装的分布式设备不具备标准通信接口，需要通过适配器或网关实现互操作。渐进式标准化策略允许legacy设备通过过渡方案参与系统，同时要求新设备必须满足标准要求。</w:t>
      </w:r>
    </w:p>
    <w:p>
      <w:pPr>
        <w:spacing w:line="360" w:lineRule="auto" w:after="0"/>
        <w:ind w:firstLine="425"/>
      </w:pPr>
      <w:r>
        <w:rPr>
          <w:rFonts w:ascii="Times New Roman" w:hAnsi="Times New Roman" w:eastAsia="宋体"/>
          <w:b w:val="0"/>
          <w:i w:val="0"/>
          <w:sz w:val="22"/>
        </w:rPr>
        <w:t>设备认证体系是标准化实施的保障。认证机构对设备进行一致性测试，验证其符合标准要求。认证测试包括功能测试（标准接口的功能正确性）、互操作性测试（与不同厂商设备的兼容性）和安全测试（抵抗网络攻击的能力）。</w:t>
      </w:r>
    </w:p>
    <w:p>
      <w:pPr>
        <w:pStyle w:val="Heading2"/>
        <w:spacing w:before="240" w:after="80"/>
      </w:pPr>
      <w:r>
        <w:rPr>
          <w:rFonts w:ascii="Times New Roman" w:hAnsi="Times New Roman" w:eastAsia="黑体"/>
          <w:b/>
          <w:i w:val="0"/>
          <w:sz w:val="28"/>
        </w:rPr>
        <w:t>11.11 分布式能源定价的技术经济深度分析</w:t>
      </w:r>
    </w:p>
    <w:p>
      <w:pPr>
        <w:pStyle w:val="Heading3"/>
        <w:spacing w:before="160" w:after="60"/>
      </w:pPr>
      <w:r>
        <w:rPr>
          <w:rFonts w:ascii="Times New Roman" w:hAnsi="Times New Roman" w:eastAsia="黑体"/>
          <w:b/>
          <w:i w:val="0"/>
          <w:sz w:val="24"/>
        </w:rPr>
        <w:t>电动汽车充电的时空优化模型</w:t>
      </w:r>
    </w:p>
    <w:p>
      <w:pPr>
        <w:spacing w:line="360" w:lineRule="auto" w:after="0"/>
        <w:ind w:firstLine="425"/>
      </w:pPr>
      <w:r>
        <w:rPr>
          <w:rFonts w:ascii="Times New Roman" w:hAnsi="Times New Roman" w:eastAsia="宋体"/>
          <w:b w:val="0"/>
          <w:i w:val="0"/>
          <w:sz w:val="22"/>
        </w:rPr>
        <w:t>电动汽车充电优化是分布式能源管理中最活跃的研究领域之一。充电优化问题可以建模为时空资源分配问题：在空间维度上，充电需求分布在不同的充电站；在时间维度上，充电需求分布在不同的时段。</w:t>
      </w:r>
    </w:p>
    <w:p>
      <w:pPr>
        <w:spacing w:line="360" w:lineRule="auto" w:after="0"/>
        <w:ind w:firstLine="425"/>
      </w:pPr>
      <w:r>
        <w:rPr>
          <w:rFonts w:ascii="Times New Roman" w:hAnsi="Times New Roman" w:eastAsia="宋体"/>
          <w:b w:val="0"/>
          <w:i w:val="0"/>
          <w:sz w:val="22"/>
        </w:rPr>
        <w:t>空间优化模型决定充电需求在不同充电站之间的分配。用户选择充电站时考虑充电价格、等待时间、距离和充电速度等因素。离散选择模型（如Multinomial Logit模型）可以描述用户的充电站选择行为。定价通过调整不同充电站的价格差异引导用户选择，缓解热门充电站的拥堵。</w:t>
      </w:r>
    </w:p>
    <w:p>
      <w:pPr>
        <w:spacing w:line="360" w:lineRule="auto" w:after="0"/>
        <w:ind w:firstLine="425"/>
      </w:pPr>
      <w:r>
        <w:rPr>
          <w:rFonts w:ascii="Times New Roman" w:hAnsi="Times New Roman" w:eastAsia="宋体"/>
          <w:b w:val="0"/>
          <w:i w:val="0"/>
          <w:sz w:val="22"/>
        </w:rPr>
        <w:t>时间优化模型决定充电过程在时间窗口内的调度。给定电动汽车的到达时间、离开时间和充电需求，优化充电功率的时间分布以最小化充电成本。线性规划可以高效求解单车的充电优化问题；对于大规模车队的协调充电，需要考虑电网约束和充电桩容量限制的集中优化。</w:t>
      </w:r>
    </w:p>
    <w:p>
      <w:pPr>
        <w:spacing w:line="360" w:lineRule="auto" w:after="0"/>
        <w:ind w:firstLine="425"/>
      </w:pPr>
      <w:r>
        <w:rPr>
          <w:rFonts w:ascii="Times New Roman" w:hAnsi="Times New Roman" w:eastAsia="宋体"/>
          <w:b w:val="0"/>
          <w:i w:val="0"/>
          <w:sz w:val="22"/>
        </w:rPr>
        <w:t>时空联合优化同时考虑空间和时间维度的决策，计算复杂度显著增加。分解协调方法将时空问题分解为空间分配子问题和时间调度子问题，通过拉格朗日乘子协调。ADMM在时空联合优化中表现出良好的收敛性和并行性。</w:t>
      </w:r>
    </w:p>
    <w:p>
      <w:pPr>
        <w:pStyle w:val="Heading3"/>
        <w:spacing w:before="160" w:after="60"/>
      </w:pPr>
      <w:r>
        <w:rPr>
          <w:rFonts w:ascii="Times New Roman" w:hAnsi="Times New Roman" w:eastAsia="黑体"/>
          <w:b/>
          <w:i w:val="0"/>
          <w:sz w:val="24"/>
        </w:rPr>
        <w:t>V2G技术的经济模型与商业模式</w:t>
      </w:r>
    </w:p>
    <w:p>
      <w:pPr>
        <w:spacing w:line="360" w:lineRule="auto" w:after="0"/>
        <w:ind w:firstLine="425"/>
      </w:pPr>
      <w:r>
        <w:rPr>
          <w:rFonts w:ascii="Times New Roman" w:hAnsi="Times New Roman" w:eastAsia="宋体"/>
          <w:b w:val="0"/>
          <w:i w:val="0"/>
          <w:sz w:val="22"/>
        </w:rPr>
        <w:t>V2G技术的经济可行性取决于收益与成本的平衡。V2G收益来源包括：频率调节服务收入（秒级响应的快速调节服务价格较高）、能量套利收入（低谷充电高峰放电的价格差）、容量服务收入（提供备用容量的容量支付）。</w:t>
      </w:r>
    </w:p>
    <w:p>
      <w:pPr>
        <w:spacing w:line="360" w:lineRule="auto" w:after="0"/>
        <w:ind w:firstLine="425"/>
      </w:pPr>
      <w:r>
        <w:rPr>
          <w:rFonts w:ascii="Times New Roman" w:hAnsi="Times New Roman" w:eastAsia="宋体"/>
          <w:b w:val="0"/>
          <w:i w:val="0"/>
          <w:sz w:val="22"/>
        </w:rPr>
        <w:t>V2G成本包括：电池 degradation 成本（每次循环导致的容量衰减的货币化成本）、充电效率损失（充放电过程中的能量损耗）、设备成本（V2G双向充电桩比普通充电桩贵30-50%）、通信和控制成本（智能控制系统和通信连接）。</w:t>
      </w:r>
    </w:p>
    <w:p>
      <w:pPr>
        <w:spacing w:line="360" w:lineRule="auto" w:after="0"/>
        <w:ind w:firstLine="425"/>
      </w:pPr>
      <w:r>
        <w:rPr>
          <w:rFonts w:ascii="Times New Roman" w:hAnsi="Times New Roman" w:eastAsia="宋体"/>
          <w:b w:val="0"/>
          <w:i w:val="0"/>
          <w:sz w:val="22"/>
        </w:rPr>
        <w:t>V2G的商业模式设计需要解决以下问题：谁拥有V2G设备？谁控制V2G充放电？收益如何在车主、充电站运营商和聚合商之间分配？不同的商业模式对应不同的风险分配和激励机制。</w:t>
      </w:r>
    </w:p>
    <w:p>
      <w:pPr>
        <w:spacing w:line="360" w:lineRule="auto" w:after="0"/>
        <w:ind w:firstLine="425"/>
      </w:pPr>
      <w:r>
        <w:rPr>
          <w:rFonts w:ascii="Times New Roman" w:hAnsi="Times New Roman" w:eastAsia="宋体"/>
          <w:b w:val="0"/>
          <w:i w:val="0"/>
          <w:sz w:val="22"/>
        </w:rPr>
        <w:t>在车主自主模式中，车主完全控制V2G决策，自行承担 degradation 成本和获取全部收益。这种模式简单但参与门槛高（需要车主具备专业知识）。在聚合商代理模式中，聚合商统一管理大量V2G资源，代理车主做出充放电决策，按约定比例分配收益。这种模式降低了车主的参与门槛但需要信任机制。在混合模式中，车主设定基本约束（如最低SOC、离开时间），聚合商在约束范围内优化调度。</w:t>
      </w:r>
    </w:p>
    <w:p>
      <w:pPr>
        <w:pStyle w:val="Heading3"/>
        <w:spacing w:before="160" w:after="60"/>
      </w:pPr>
      <w:r>
        <w:rPr>
          <w:rFonts w:ascii="Times New Roman" w:hAnsi="Times New Roman" w:eastAsia="黑体"/>
          <w:b/>
          <w:i w:val="0"/>
          <w:sz w:val="24"/>
        </w:rPr>
        <w:t>分布式光伏的定价影响量化</w:t>
      </w:r>
    </w:p>
    <w:p>
      <w:pPr>
        <w:spacing w:line="360" w:lineRule="auto" w:after="0"/>
        <w:ind w:firstLine="425"/>
      </w:pPr>
      <w:r>
        <w:rPr>
          <w:rFonts w:ascii="Times New Roman" w:hAnsi="Times New Roman" w:eastAsia="宋体"/>
          <w:b w:val="0"/>
          <w:i w:val="0"/>
          <w:sz w:val="22"/>
        </w:rPr>
        <w:t>分布式光伏的快速增长正在深刻改变电网的负荷形态和定价机制。量化分布式光伏对定价的影响需要建立从光伏出力到电价变化的因果链。</w:t>
      </w:r>
    </w:p>
    <w:p>
      <w:pPr>
        <w:spacing w:line="360" w:lineRule="auto" w:after="0"/>
        <w:ind w:firstLine="425"/>
      </w:pPr>
      <w:r>
        <w:rPr>
          <w:rFonts w:ascii="Times New Roman" w:hAnsi="Times New Roman" w:eastAsia="宋体"/>
          <w:b w:val="0"/>
          <w:i w:val="0"/>
          <w:sz w:val="22"/>
        </w:rPr>
        <w:t>净负荷曲线（总负荷减去分布式光伏出力）是定价影响分析的核心对象。分布式光伏在中午时段的出力最高，可能使净负荷曲线在中午出现低谷，形成"鸭子曲线"形态。鸭子曲线对定价的影响表现为：中午电价降低（因光伏替代了昂贵的调峰机组）、傍晚电价升高（因光伏出力骤降而负荷仍在高峰）。</w:t>
      </w:r>
    </w:p>
    <w:p>
      <w:pPr>
        <w:spacing w:line="360" w:lineRule="auto" w:after="0"/>
        <w:ind w:firstLine="425"/>
      </w:pPr>
      <w:r>
        <w:rPr>
          <w:rFonts w:ascii="Times New Roman" w:hAnsi="Times New Roman" w:eastAsia="宋体"/>
          <w:b w:val="0"/>
          <w:i w:val="0"/>
          <w:sz w:val="22"/>
        </w:rPr>
        <w:t>定价影响的量化方法包括：仿真法（在不同光伏渗透率下运行定价模型，比较电价变化）、统计法（利用历史数据估计光伏出力与电价的统计关系）、情景分析法（设定不同的光伏发展情景，预测未来电价变化）。</w:t>
      </w:r>
    </w:p>
    <w:p>
      <w:pPr>
        <w:spacing w:line="360" w:lineRule="auto" w:after="0"/>
        <w:ind w:firstLine="425"/>
      </w:pPr>
      <w:r>
        <w:rPr>
          <w:rFonts w:ascii="Times New Roman" w:hAnsi="Times New Roman" w:eastAsia="宋体"/>
          <w:b w:val="0"/>
          <w:i w:val="0"/>
          <w:sz w:val="22"/>
        </w:rPr>
        <w:t>负电价是高光伏渗透率下的特殊现象。当光伏出力超过本地需求且无法外送时，电价可能降为负值，即发电方付费让用户消纳电力。负电价虽然激励了消纳，但也反映了系统灵活性的不足。储能、需求响应和跨区域输电是缓解负电价的主要手段。</w:t>
      </w:r>
    </w:p>
    <w:p>
      <w:pPr>
        <w:pStyle w:val="Heading3"/>
        <w:spacing w:before="160" w:after="60"/>
      </w:pPr>
      <w:r>
        <w:rPr>
          <w:rFonts w:ascii="Times New Roman" w:hAnsi="Times New Roman" w:eastAsia="黑体"/>
          <w:b/>
          <w:i w:val="0"/>
          <w:sz w:val="24"/>
        </w:rPr>
        <w:t>储能投资的最优规模与定价策略</w:t>
      </w:r>
    </w:p>
    <w:p>
      <w:pPr>
        <w:spacing w:line="360" w:lineRule="auto" w:after="0"/>
        <w:ind w:firstLine="425"/>
      </w:pPr>
      <w:r>
        <w:rPr>
          <w:rFonts w:ascii="Times New Roman" w:hAnsi="Times New Roman" w:eastAsia="宋体"/>
          <w:b w:val="0"/>
          <w:i w:val="0"/>
          <w:sz w:val="22"/>
        </w:rPr>
        <w:t>储能投资的规模决策和定价策略是相互耦合的优化问题。储能规模决定了可提供的灵活性和潜在收益；定价策略影响储能的实际利用率和收益实现。</w:t>
      </w:r>
    </w:p>
    <w:p>
      <w:pPr>
        <w:spacing w:line="360" w:lineRule="auto" w:after="0"/>
        <w:ind w:firstLine="425"/>
      </w:pPr>
      <w:r>
        <w:rPr>
          <w:rFonts w:ascii="Times New Roman" w:hAnsi="Times New Roman" w:eastAsia="宋体"/>
          <w:b w:val="0"/>
          <w:i w:val="0"/>
          <w:sz w:val="22"/>
        </w:rPr>
        <w:t>储能规模优化的目标是在给定投资预算下选择储能功率和容量，最大化全生命周期净收益。功率决定储能的充放电速率（影响可参与的服务类型），容量决定储能的存储能力（影响能量时移的规模）。功率和容量的最优比例取决于市场价格曲线的形状和储能的技术参数。</w:t>
      </w:r>
    </w:p>
    <w:p>
      <w:pPr>
        <w:spacing w:line="360" w:lineRule="auto" w:after="0"/>
        <w:ind w:firstLine="425"/>
      </w:pPr>
      <w:r>
        <w:rPr>
          <w:rFonts w:ascii="Times New Roman" w:hAnsi="Times New Roman" w:eastAsia="宋体"/>
          <w:b w:val="0"/>
          <w:i w:val="0"/>
          <w:sz w:val="22"/>
        </w:rPr>
        <w:t>定价策略优化决定储能的充放电计划。在纯能量套利模式下，储能在低价时段充电、高价时段放电，套利收益为充放电价差乘以充放电效率。在多服务叠加模式下，储能同时参与能量市场和辅助服务市场，总收益为各服务收益之和。</w:t>
      </w:r>
    </w:p>
    <w:p>
      <w:pPr>
        <w:spacing w:line="360" w:lineRule="auto" w:after="0"/>
        <w:ind w:firstLine="425"/>
      </w:pPr>
      <w:r>
        <w:rPr>
          <w:rFonts w:ascii="Times New Roman" w:hAnsi="Times New Roman" w:eastAsia="宋体"/>
          <w:b w:val="0"/>
          <w:i w:val="0"/>
          <w:sz w:val="22"/>
        </w:rPr>
        <w:t>储能的定价策略需要考虑 degradation 约束。每次充放电循环都消耗储能的循环寿命，degradation 成本应从收益中扣除。最优定价策略在边际收益等于边际 degradation 成本时停止充放电。动态 degradation 模型（考虑SOC、温度和充放电速率对 degradation 的影响）可以更精确地量化 degradation 成本。</w:t>
      </w:r>
    </w:p>
    <w:p>
      <w:pPr>
        <w:pStyle w:val="Heading3"/>
        <w:spacing w:before="160" w:after="60"/>
      </w:pPr>
      <w:r>
        <w:rPr>
          <w:rFonts w:ascii="Times New Roman" w:hAnsi="Times New Roman" w:eastAsia="黑体"/>
          <w:b/>
          <w:i w:val="0"/>
          <w:sz w:val="24"/>
        </w:rPr>
        <w:t>微电网内部定价机制的设计</w:t>
      </w:r>
    </w:p>
    <w:p>
      <w:pPr>
        <w:spacing w:line="360" w:lineRule="auto" w:after="0"/>
        <w:ind w:firstLine="425"/>
      </w:pPr>
      <w:r>
        <w:rPr>
          <w:rFonts w:ascii="Times New Roman" w:hAnsi="Times New Roman" w:eastAsia="宋体"/>
          <w:b w:val="0"/>
          <w:i w:val="0"/>
          <w:sz w:val="22"/>
        </w:rPr>
        <w:t>微电网内部定价机制的设计需要平衡效率、公平和实施复杂性。以下几种机制各有优劣：</w:t>
      </w:r>
    </w:p>
    <w:p>
      <w:pPr>
        <w:spacing w:line="360" w:lineRule="auto" w:after="0"/>
        <w:ind w:firstLine="425"/>
      </w:pPr>
      <w:r>
        <w:rPr>
          <w:rFonts w:ascii="Times New Roman" w:hAnsi="Times New Roman" w:eastAsia="宋体"/>
          <w:b w:val="0"/>
          <w:i w:val="0"/>
          <w:sz w:val="22"/>
        </w:rPr>
        <w:t>基于边际成本的定价机制将微电网的边际供电成本作为内部电价。这种机制在效率上最优（激励用户按边际成本调整用电），但可能产生分配不公平（某些用户补贴其他用户）。当分布式光伏的边际成本接近零时，内部电价趋近于零，不利于回收固定投资。</w:t>
      </w:r>
    </w:p>
    <w:p>
      <w:pPr>
        <w:spacing w:line="360" w:lineRule="auto" w:after="0"/>
        <w:ind w:firstLine="425"/>
      </w:pPr>
      <w:r>
        <w:rPr>
          <w:rFonts w:ascii="Times New Roman" w:hAnsi="Times New Roman" w:eastAsia="宋体"/>
          <w:b w:val="0"/>
          <w:i w:val="0"/>
          <w:sz w:val="22"/>
        </w:rPr>
        <w:t>基于合作博弈的定价机制使用核分配或Shapley值分配微电网的总成本和收益。这种机制在公平性上最优（按贡献分配），但计算复杂且需要完全信息。近似核分配方法在保持公平性的同时降低了计算复杂度。</w:t>
      </w:r>
    </w:p>
    <w:p>
      <w:pPr>
        <w:spacing w:line="360" w:lineRule="auto" w:after="0"/>
        <w:ind w:firstLine="425"/>
      </w:pPr>
      <w:r>
        <w:rPr>
          <w:rFonts w:ascii="Times New Roman" w:hAnsi="Times New Roman" w:eastAsia="宋体"/>
          <w:b w:val="0"/>
          <w:i w:val="0"/>
          <w:sz w:val="22"/>
        </w:rPr>
        <w:t>基于拍卖的定价机制通过双边交易或集中拍卖发现内部均衡价格。连续双边拍卖允许买卖双方随时提交报价和询价，交易在价格匹配时自动达成。这种机制灵活且去中心化，但可能存在市场操纵风险。</w:t>
      </w:r>
    </w:p>
    <w:p>
      <w:pPr>
        <w:spacing w:line="360" w:lineRule="auto" w:after="0"/>
        <w:ind w:firstLine="425"/>
      </w:pPr>
      <w:r>
        <w:rPr>
          <w:rFonts w:ascii="Times New Roman" w:hAnsi="Times New Roman" w:eastAsia="宋体"/>
          <w:b w:val="0"/>
          <w:i w:val="0"/>
          <w:sz w:val="22"/>
        </w:rPr>
        <w:t>基于区块链的定价机制利用智能合约自动执行定价规则和结算逻辑。区块链的不可篡改性保证了交易的透明性和可审计性。去中心化特性消除了对中心化定价机构的需求，降低了信任成本。然而，区块链的吞吐量限制可能影响实时定价的响应速度。</w:t>
      </w:r>
    </w:p>
    <w:p>
      <w:pPr>
        <w:pStyle w:val="Heading2"/>
        <w:spacing w:before="240" w:after="80"/>
      </w:pPr>
      <w:r>
        <w:rPr>
          <w:rFonts w:ascii="Times New Roman" w:hAnsi="Times New Roman" w:eastAsia="黑体"/>
          <w:b/>
          <w:i w:val="0"/>
          <w:sz w:val="28"/>
        </w:rPr>
        <w:t>11.12 分布式能源管理的创新模式与技术</w:t>
      </w:r>
    </w:p>
    <w:p>
      <w:pPr>
        <w:pStyle w:val="Heading3"/>
        <w:spacing w:before="160" w:after="60"/>
      </w:pPr>
      <w:r>
        <w:rPr>
          <w:rFonts w:ascii="Times New Roman" w:hAnsi="Times New Roman" w:eastAsia="黑体"/>
          <w:b/>
          <w:i w:val="0"/>
          <w:sz w:val="24"/>
        </w:rPr>
        <w:t>虚拟电厂的运营优化与商业模式</w:t>
      </w:r>
    </w:p>
    <w:p>
      <w:pPr>
        <w:spacing w:line="360" w:lineRule="auto" w:after="0"/>
        <w:ind w:firstLine="425"/>
      </w:pPr>
      <w:r>
        <w:rPr>
          <w:rFonts w:ascii="Times New Roman" w:hAnsi="Times New Roman" w:eastAsia="宋体"/>
          <w:b w:val="0"/>
          <w:i w:val="0"/>
          <w:sz w:val="22"/>
        </w:rPr>
        <w:t>虚拟电厂（VPP）作为分布式能源聚合管理的核心模式，其运营优化涉及多个时间尺度和多个市场。VPP的运营优化可以分为三层：长期规划层（年度容量合同和投资决策）、中期调度层（月度/周度检修计划和燃料采购）和实时运行层（日前和实时市场报价及调度）。</w:t>
      </w:r>
    </w:p>
    <w:p>
      <w:pPr>
        <w:spacing w:line="360" w:lineRule="auto" w:after="0"/>
        <w:ind w:firstLine="425"/>
      </w:pPr>
      <w:r>
        <w:rPr>
          <w:rFonts w:ascii="Times New Roman" w:hAnsi="Times New Roman" w:eastAsia="宋体"/>
          <w:b w:val="0"/>
          <w:i w:val="0"/>
          <w:sz w:val="22"/>
        </w:rPr>
        <w:t>长期规划层使用随机规划方法处理年度负荷和价格的不确定性，决定VPP的容量承诺水平和投资分配。中期调度层使用滚动时域优化，在给定容量承诺下优化检修计划和燃料采购。实时运行层使用鲁棒优化或强化学习，在实时市场条件下优化报价和调度策略。</w:t>
      </w:r>
    </w:p>
    <w:p>
      <w:pPr>
        <w:spacing w:line="360" w:lineRule="auto" w:after="0"/>
        <w:ind w:firstLine="425"/>
      </w:pPr>
      <w:r>
        <w:rPr>
          <w:rFonts w:ascii="Times New Roman" w:hAnsi="Times New Roman" w:eastAsia="宋体"/>
          <w:b w:val="0"/>
          <w:i w:val="0"/>
          <w:sz w:val="22"/>
        </w:rPr>
        <w:t>VPP的商业模式正在从单一的售电模式向多服务叠加模式演进。现代VPP可以同时提供：能量套利（峰谷价差）、频率调节（AGC服务）、容量备用（容量市场参与）、需求响应（削峰服务）、电能质量（无功补偿）和可靠性（微电网孤岛运行）。</w:t>
      </w:r>
    </w:p>
    <w:p>
      <w:pPr>
        <w:spacing w:line="360" w:lineRule="auto" w:after="0"/>
        <w:ind w:firstLine="425"/>
      </w:pPr>
      <w:r>
        <w:rPr>
          <w:rFonts w:ascii="Times New Roman" w:hAnsi="Times New Roman" w:eastAsia="宋体"/>
          <w:b w:val="0"/>
          <w:i w:val="0"/>
          <w:sz w:val="22"/>
        </w:rPr>
        <w:t>多服务叠加的收益优化需要考虑服务之间的物理耦合。频率调节需要保留一定的上下调节容量，减少了可用于能量市场的容量。容量备用需要保留一定的可用容量，减少了可调度的灵活性。最优服务组合通过混合整数规划确定，在物理约束下最大化总收益。</w:t>
      </w:r>
    </w:p>
    <w:p>
      <w:pPr>
        <w:pStyle w:val="Heading3"/>
        <w:spacing w:before="160" w:after="60"/>
      </w:pPr>
      <w:r>
        <w:rPr>
          <w:rFonts w:ascii="Times New Roman" w:hAnsi="Times New Roman" w:eastAsia="黑体"/>
          <w:b/>
          <w:i w:val="0"/>
          <w:sz w:val="24"/>
        </w:rPr>
        <w:t>分布式能源的聚合控制架构</w:t>
      </w:r>
    </w:p>
    <w:p>
      <w:pPr>
        <w:spacing w:line="360" w:lineRule="auto" w:after="0"/>
        <w:ind w:firstLine="425"/>
      </w:pPr>
      <w:r>
        <w:rPr>
          <w:rFonts w:ascii="Times New Roman" w:hAnsi="Times New Roman" w:eastAsia="宋体"/>
          <w:b w:val="0"/>
          <w:i w:val="0"/>
          <w:sz w:val="22"/>
        </w:rPr>
        <w:t>分布式能源的聚合控制架构决定了VPP的响应速度、可靠性和扩展性。集中式控制架构中，VPP中心控制器收集所有分布式资源的状态信息，统一优化调度指令。这种架构的优化效果好但通信量大、单点故障风险高。</w:t>
      </w:r>
    </w:p>
    <w:p>
      <w:pPr>
        <w:spacing w:line="360" w:lineRule="auto" w:after="0"/>
        <w:ind w:firstLine="425"/>
      </w:pPr>
      <w:r>
        <w:rPr>
          <w:rFonts w:ascii="Times New Roman" w:hAnsi="Times New Roman" w:eastAsia="宋体"/>
          <w:b w:val="0"/>
          <w:i w:val="0"/>
          <w:sz w:val="22"/>
        </w:rPr>
        <w:t>分层控制架构将控制功能分散到多个层级：VPP中心控制器负责全局优化和跨区域协调，区域控制器负责区域内的功率平衡和电压控制，本地控制器负责单个设备的运行控制。这种架构在通信效率和控制性能之间取得了平衡。</w:t>
      </w:r>
    </w:p>
    <w:p>
      <w:pPr>
        <w:spacing w:line="360" w:lineRule="auto" w:after="0"/>
        <w:ind w:firstLine="425"/>
      </w:pPr>
      <w:r>
        <w:rPr>
          <w:rFonts w:ascii="Times New Roman" w:hAnsi="Times New Roman" w:eastAsia="宋体"/>
          <w:b w:val="0"/>
          <w:i w:val="0"/>
          <w:sz w:val="22"/>
        </w:rPr>
        <w:t>分布式控制架构消除了中心控制器，各分布式资源通过局部通信与邻居协调。一致性算法使所有资源就功率分配方案达成一致。这种架构具有最强的鲁棒性和可扩展性，但收敛速度较慢且全局最优性难以保证。</w:t>
      </w:r>
    </w:p>
    <w:p>
      <w:pPr>
        <w:spacing w:line="360" w:lineRule="auto" w:after="0"/>
        <w:ind w:firstLine="425"/>
      </w:pPr>
      <w:r>
        <w:rPr>
          <w:rFonts w:ascii="Times New Roman" w:hAnsi="Times New Roman" w:eastAsia="宋体"/>
          <w:b w:val="0"/>
          <w:i w:val="0"/>
          <w:sz w:val="22"/>
        </w:rPr>
        <w:t>混合控制架构结合了集中式和分布式的优势。在正常运行时使用分布式控制（降低通信成本），在紧急情况时切换到集中式控制（确保快速响应）。模式切换机制确保两种控制模式之间的平滑过渡。</w:t>
      </w:r>
    </w:p>
    <w:p>
      <w:pPr>
        <w:pStyle w:val="Heading3"/>
        <w:spacing w:before="160" w:after="60"/>
      </w:pPr>
      <w:r>
        <w:rPr>
          <w:rFonts w:ascii="Times New Roman" w:hAnsi="Times New Roman" w:eastAsia="黑体"/>
          <w:b/>
          <w:i w:val="0"/>
          <w:sz w:val="24"/>
        </w:rPr>
        <w:t>电动汽车充电的碳中和路径</w:t>
      </w:r>
    </w:p>
    <w:p>
      <w:pPr>
        <w:spacing w:line="360" w:lineRule="auto" w:after="0"/>
        <w:ind w:firstLine="425"/>
      </w:pPr>
      <w:r>
        <w:rPr>
          <w:rFonts w:ascii="Times New Roman" w:hAnsi="Times New Roman" w:eastAsia="宋体"/>
          <w:b w:val="0"/>
          <w:i w:val="0"/>
          <w:sz w:val="22"/>
        </w:rPr>
        <w:t>电动汽车的碳减排效果取决于电力来源的碳强度。在碳强度高的电网中，EV的减排效果有限甚至可能增加排放。实时定价可以通过引导EV在低碳时段（可再生能源高出力时段）充电，最大化EV的碳减排效果。</w:t>
      </w:r>
    </w:p>
    <w:p>
      <w:pPr>
        <w:spacing w:line="360" w:lineRule="auto" w:after="0"/>
        <w:ind w:firstLine="425"/>
      </w:pPr>
      <w:r>
        <w:rPr>
          <w:rFonts w:ascii="Times New Roman" w:hAnsi="Times New Roman" w:eastAsia="宋体"/>
          <w:b w:val="0"/>
          <w:i w:val="0"/>
          <w:sz w:val="22"/>
        </w:rPr>
        <w:t>碳感知充电策略利用实时碳强度信号（而非仅电价信号）引导充电行为。碳强度信号可以通过边际排放率（MER）计算，反映当前电网中边际发电机组的碳排放率。当MER低时（如风电高出力时段），碳感知策略优先安排EV充电；当MER高时（如燃煤调峰时段），延迟充电。</w:t>
      </w:r>
    </w:p>
    <w:p>
      <w:pPr>
        <w:spacing w:line="360" w:lineRule="auto" w:after="0"/>
        <w:ind w:firstLine="425"/>
      </w:pPr>
      <w:r>
        <w:rPr>
          <w:rFonts w:ascii="Times New Roman" w:hAnsi="Times New Roman" w:eastAsia="宋体"/>
          <w:b w:val="0"/>
          <w:i w:val="0"/>
          <w:sz w:val="22"/>
        </w:rPr>
        <w:t>V2G技术可以将EV作为分布式储能参与碳减排。在碳强度高时，V2G放电替代高碳发电；在碳强度低时，V2G充电消纳低碳能源。碳收益的计算需要扣除充电和放电过程中的能量损耗和电池 degradation 成本。</w:t>
      </w:r>
    </w:p>
    <w:p>
      <w:pPr>
        <w:pStyle w:val="Heading3"/>
        <w:spacing w:before="160" w:after="60"/>
      </w:pPr>
      <w:r>
        <w:rPr>
          <w:rFonts w:ascii="Times New Roman" w:hAnsi="Times New Roman" w:eastAsia="黑体"/>
          <w:b/>
          <w:i w:val="0"/>
          <w:sz w:val="24"/>
        </w:rPr>
        <w:t>微电网的孤岛运行与黑启动</w:t>
      </w:r>
    </w:p>
    <w:p>
      <w:pPr>
        <w:spacing w:line="360" w:lineRule="auto" w:after="0"/>
        <w:ind w:firstLine="425"/>
      </w:pPr>
      <w:r>
        <w:rPr>
          <w:rFonts w:ascii="Times New Roman" w:hAnsi="Times New Roman" w:eastAsia="宋体"/>
          <w:b w:val="0"/>
          <w:i w:val="0"/>
          <w:sz w:val="22"/>
        </w:rPr>
        <w:t>微电网的孤岛运行能力是提高供电可靠性的关键功能。当主电网故障时，微电网可以快速切换到孤岛模式，利用本地分布式电源维持关键负荷的供电。孤岛运行的定价机制需要与并网运行不同，因为孤岛模式下没有主电网的参考价格。</w:t>
      </w:r>
    </w:p>
    <w:p>
      <w:pPr>
        <w:spacing w:line="360" w:lineRule="auto" w:after="0"/>
        <w:ind w:firstLine="425"/>
      </w:pPr>
      <w:r>
        <w:rPr>
          <w:rFonts w:ascii="Times New Roman" w:hAnsi="Times New Roman" w:eastAsia="宋体"/>
          <w:b w:val="0"/>
          <w:i w:val="0"/>
          <w:sz w:val="22"/>
        </w:rPr>
        <w:t>孤岛定价通常基于成本加成法：分布式电源的边际成本加上合理的利润率。当分布式电源容量不足时，可能需要实施有序用电（轮流供电），定价需要反映供电优先级。关键负荷（如医院、通信设施）的电价可以高于非关键负荷，以激励用户主动降负荷。</w:t>
      </w:r>
    </w:p>
    <w:p>
      <w:pPr>
        <w:spacing w:line="360" w:lineRule="auto" w:after="0"/>
        <w:ind w:firstLine="425"/>
      </w:pPr>
      <w:r>
        <w:rPr>
          <w:rFonts w:ascii="Times New Roman" w:hAnsi="Times New Roman" w:eastAsia="宋体"/>
          <w:b w:val="0"/>
          <w:i w:val="0"/>
          <w:sz w:val="22"/>
        </w:rPr>
        <w:t>黑启动是指在完全停电后恢复供电的过程。具有黑启动能力的微电网可以在主电网完全停电时自行启动，为周围区域提供恢复供电的种子电源。黑启动定价需要补偿微电网所有者的投资和运营成本，包括黑启动设备的投资和维护、人员的培训和演练、以及黑启动期间的额外运营成本。</w:t>
      </w:r>
    </w:p>
    <w:p>
      <w:pPr>
        <w:pStyle w:val="Heading3"/>
        <w:spacing w:before="160" w:after="60"/>
      </w:pPr>
      <w:r>
        <w:rPr>
          <w:rFonts w:ascii="Times New Roman" w:hAnsi="Times New Roman" w:eastAsia="黑体"/>
          <w:b/>
          <w:i w:val="0"/>
          <w:sz w:val="24"/>
        </w:rPr>
        <w:t>分布式能源的网络安全</w:t>
      </w:r>
    </w:p>
    <w:p>
      <w:pPr>
        <w:spacing w:line="360" w:lineRule="auto" w:after="0"/>
        <w:ind w:firstLine="425"/>
      </w:pPr>
      <w:r>
        <w:rPr>
          <w:rFonts w:ascii="Times New Roman" w:hAnsi="Times New Roman" w:eastAsia="宋体"/>
          <w:b w:val="0"/>
          <w:i w:val="0"/>
          <w:sz w:val="22"/>
        </w:rPr>
        <w:t>分布式能源系统的大量通信接口和远程控制功能增加了网络攻击面。网络攻击可能导致分布式设备被恶意控制、定价数据被篡改或通信链路被中断。</w:t>
      </w:r>
    </w:p>
    <w:p>
      <w:pPr>
        <w:spacing w:line="360" w:lineRule="auto" w:after="0"/>
        <w:ind w:firstLine="425"/>
      </w:pPr>
      <w:r>
        <w:rPr>
          <w:rFonts w:ascii="Times New Roman" w:hAnsi="Times New Roman" w:eastAsia="宋体"/>
          <w:b w:val="0"/>
          <w:i w:val="0"/>
          <w:sz w:val="22"/>
        </w:rPr>
        <w:t>零信任架构（ZTA）是分布式能源网络安全的新范式。ZTA假设网络内部和外部都存在威胁，不自动信任任何设备或用户。每次访问请求都需要认证和授权，即使请求来自网络内部。微分段技术将网络划分为小的安全区域，限制攻击的横向传播。</w:t>
      </w:r>
    </w:p>
    <w:p>
      <w:pPr>
        <w:spacing w:line="360" w:lineRule="auto" w:after="0"/>
        <w:ind w:firstLine="425"/>
      </w:pPr>
      <w:r>
        <w:rPr>
          <w:rFonts w:ascii="Times New Roman" w:hAnsi="Times New Roman" w:eastAsia="宋体"/>
          <w:b w:val="0"/>
          <w:i w:val="0"/>
          <w:sz w:val="22"/>
        </w:rPr>
        <w:t>入侵检测系统（IDS）监控网络流量和设备行为，识别异常模式。基于规则的IDS可以检测已知攻击模式，基于异常的IDS可以检测未知攻击。在分布式能源系统中，IDS需要同时监控IT网络（管理通信）和OT网络（控制通信）。</w:t>
      </w:r>
    </w:p>
    <w:p>
      <w:pPr>
        <w:spacing w:line="360" w:lineRule="auto" w:after="0"/>
        <w:ind w:firstLine="425"/>
      </w:pPr>
      <w:r>
        <w:rPr>
          <w:rFonts w:ascii="Times New Roman" w:hAnsi="Times New Roman" w:eastAsia="宋体"/>
          <w:b w:val="0"/>
          <w:i w:val="0"/>
          <w:sz w:val="22"/>
        </w:rPr>
        <w:t>安全事件响应计划定义了在检测到网络攻击时的应对措施。快速隔离受感染设备、切换到手动控制模式、启动备份通信链路等措施可以限制攻击影响。定期演练确保运维人员在真实事件中能够快速有效地执行响应计划。</w:t>
      </w:r>
    </w:p>
    <w:p>
      <w:pPr>
        <w:pStyle w:val="Heading3"/>
        <w:spacing w:before="160" w:after="60"/>
      </w:pPr>
      <w:r>
        <w:rPr>
          <w:rFonts w:ascii="Times New Roman" w:hAnsi="Times New Roman" w:eastAsia="黑体"/>
          <w:b/>
          <w:i w:val="0"/>
          <w:sz w:val="24"/>
        </w:rPr>
        <w:t>分布式能源的未来技术展望</w:t>
      </w:r>
    </w:p>
    <w:p>
      <w:pPr>
        <w:spacing w:line="360" w:lineRule="auto" w:after="0"/>
        <w:ind w:firstLine="425"/>
      </w:pPr>
      <w:r>
        <w:rPr>
          <w:rFonts w:ascii="Times New Roman" w:hAnsi="Times New Roman" w:eastAsia="宋体"/>
          <w:b w:val="0"/>
          <w:i w:val="0"/>
          <w:sz w:val="22"/>
        </w:rPr>
        <w:t>固态变压器（SST）将替代传统变压器，提供电压变换、电力电子接口和智能控制功能。SST可以实现交直流混合配电，为分布式光伏和储能的接入提供更灵活的接口。SST的实时控制能力可以实现局部电压调节和潮流控制，增强配电网的灵活性。</w:t>
      </w:r>
    </w:p>
    <w:p>
      <w:pPr>
        <w:spacing w:line="360" w:lineRule="auto" w:after="0"/>
        <w:ind w:firstLine="425"/>
      </w:pPr>
      <w:r>
        <w:rPr>
          <w:rFonts w:ascii="Times New Roman" w:hAnsi="Times New Roman" w:eastAsia="宋体"/>
          <w:b w:val="0"/>
          <w:i w:val="0"/>
          <w:sz w:val="22"/>
        </w:rPr>
        <w:t>无线电力传输（WPT）技术正在从消费电子向电力系统应用扩展。电动汽车动态充电（在行驶过程中无线充电）可以解决EV续航焦虑，同时为电网提供移动储能资源。WPT的商业化需要解决效率、安全性和标准化等挑战。</w:t>
      </w:r>
    </w:p>
    <w:p>
      <w:pPr>
        <w:spacing w:line="360" w:lineRule="auto" w:after="0"/>
        <w:ind w:firstLine="425"/>
      </w:pPr>
      <w:r>
        <w:rPr>
          <w:rFonts w:ascii="Times New Roman" w:hAnsi="Times New Roman" w:eastAsia="宋体"/>
          <w:b w:val="0"/>
          <w:i w:val="0"/>
          <w:sz w:val="22"/>
        </w:rPr>
        <w:t>超导电力技术利用高温超导材料实现零电阻输电和极限储能。超导电缆可以在相同截面下传输5-10倍的功率，解决城市走廊空间受限问题。超导磁储能（SMES）可以提供毫秒级响应的大功率储能，适合频率调节和电能质量改善。这些技术的商业化将深刻改变分布式能源的物理基础和定价机制。</w:t>
      </w:r>
    </w:p>
    <w:p>
      <w:pPr>
        <w:pStyle w:val="Heading2"/>
        <w:spacing w:before="240" w:after="80"/>
      </w:pPr>
      <w:r>
        <w:rPr>
          <w:rFonts w:ascii="Times New Roman" w:hAnsi="Times New Roman" w:eastAsia="黑体"/>
          <w:b/>
          <w:i w:val="0"/>
          <w:sz w:val="28"/>
        </w:rPr>
        <w:t>11.13 分布式能源的前沿技术与定价创新</w:t>
      </w:r>
    </w:p>
    <w:p>
      <w:pPr>
        <w:pStyle w:val="Heading3"/>
        <w:spacing w:before="160" w:after="60"/>
      </w:pPr>
      <w:r>
        <w:rPr>
          <w:rFonts w:ascii="Times New Roman" w:hAnsi="Times New Roman" w:eastAsia="黑体"/>
          <w:b/>
          <w:i w:val="0"/>
          <w:sz w:val="24"/>
        </w:rPr>
        <w:t>固态电池与储能定价变革</w:t>
      </w:r>
    </w:p>
    <w:p>
      <w:pPr>
        <w:spacing w:line="360" w:lineRule="auto" w:after="0"/>
        <w:ind w:firstLine="425"/>
      </w:pPr>
      <w:r>
        <w:rPr>
          <w:rFonts w:ascii="Times New Roman" w:hAnsi="Times New Roman" w:eastAsia="宋体"/>
          <w:b w:val="0"/>
          <w:i w:val="0"/>
          <w:sz w:val="22"/>
        </w:rPr>
        <w:t>固态电池技术正在快速发展，预计在2025-2030年实现商业化。固态电池相比传统锂离子电池具有更高的能量密度（理论值可达500 Wh/kg以上）、更长的循环寿命（可达10,000次以上）和更好的安全性（不易热失控）。这些特性将显著改变储能定价的经济学。</w:t>
      </w:r>
    </w:p>
    <w:p>
      <w:pPr>
        <w:spacing w:line="360" w:lineRule="auto" w:after="0"/>
        <w:ind w:firstLine="425"/>
      </w:pPr>
      <w:r>
        <w:rPr>
          <w:rFonts w:ascii="Times New Roman" w:hAnsi="Times New Roman" w:eastAsia="宋体"/>
          <w:b w:val="0"/>
          <w:i w:val="0"/>
          <w:sz w:val="22"/>
        </w:rPr>
        <w:t>更高的能量密度意味着单位容量的储能设备更小更轻，降低了安装空间需求和运输成本。更长的循环寿命降低了 degradation 成本（每次循环的容量衰减成本），使V2G和频繁充放电套利在经济上更具吸引力。更好的安全性降低了保险成本和安全防护设施投资。</w:t>
      </w:r>
    </w:p>
    <w:p>
      <w:pPr>
        <w:spacing w:line="360" w:lineRule="auto" w:after="0"/>
        <w:ind w:firstLine="425"/>
      </w:pPr>
      <w:r>
        <w:rPr>
          <w:rFonts w:ascii="Times New Roman" w:hAnsi="Times New Roman" w:eastAsia="宋体"/>
          <w:b w:val="0"/>
          <w:i w:val="0"/>
          <w:sz w:val="22"/>
        </w:rPr>
        <w:t>固态电池对定价的影响：更低的degradation成本使得储能可以更频繁地参与市场，增加市场流动性和价格稳定性。更高的能量密度使得分布式储能（如家庭储能、EV电池）的容量更大，增强了需求侧的灵活性。更长的寿命降低了储能投资的回收期要求，促进了储能的大规模部署。</w:t>
      </w:r>
    </w:p>
    <w:p>
      <w:pPr>
        <w:pStyle w:val="Heading3"/>
        <w:spacing w:before="160" w:after="60"/>
      </w:pPr>
      <w:r>
        <w:rPr>
          <w:rFonts w:ascii="Times New Roman" w:hAnsi="Times New Roman" w:eastAsia="黑体"/>
          <w:b/>
          <w:i w:val="0"/>
          <w:sz w:val="24"/>
        </w:rPr>
        <w:t>车网融合（VGI）的定价框架</w:t>
      </w:r>
    </w:p>
    <w:p>
      <w:pPr>
        <w:spacing w:line="360" w:lineRule="auto" w:after="0"/>
        <w:ind w:firstLine="425"/>
      </w:pPr>
      <w:r>
        <w:rPr>
          <w:rFonts w:ascii="Times New Roman" w:hAnsi="Times New Roman" w:eastAsia="宋体"/>
          <w:b w:val="0"/>
          <w:i w:val="0"/>
          <w:sz w:val="22"/>
        </w:rPr>
        <w:t>车网融合（Vehicle-Grid Integration, VGI）是EV与电网深度融合的概念，超越简单的V1G（单向智能充电）和V2G（双向充放电），涵盖V2H（Vehicle-to-Home）、V2B（Vehicle-to-Building）和V2X（Vehicle-to-Everything）等多种模式。</w:t>
      </w:r>
    </w:p>
    <w:p>
      <w:pPr>
        <w:spacing w:line="360" w:lineRule="auto" w:after="0"/>
        <w:ind w:firstLine="425"/>
      </w:pPr>
      <w:r>
        <w:rPr>
          <w:rFonts w:ascii="Times New Roman" w:hAnsi="Times New Roman" w:eastAsia="宋体"/>
          <w:b w:val="0"/>
          <w:i w:val="0"/>
          <w:sz w:val="22"/>
        </w:rPr>
        <w:t>VGI的定价框架需要同时考虑多个交易场景：EV与电网之间的能量交易（充放电）、EV与家庭之间的能量交易（V2H为家庭供电）、EV与建筑之间的能量交易（V2B为办公楼供电）、EV之间的能量交易（EV-to-EV直接交易）。</w:t>
      </w:r>
    </w:p>
    <w:p>
      <w:pPr>
        <w:spacing w:line="360" w:lineRule="auto" w:after="0"/>
        <w:ind w:firstLine="425"/>
      </w:pPr>
      <w:r>
        <w:rPr>
          <w:rFonts w:ascii="Times New Roman" w:hAnsi="Times New Roman" w:eastAsia="宋体"/>
          <w:b w:val="0"/>
          <w:i w:val="0"/>
          <w:sz w:val="22"/>
        </w:rPr>
        <w:t>多场景定价的核心挑战是避免双重收费和交叉补贴。当EV通过V2H为家庭供电时，这部分电力是否需要支付输配电费？如果免除，可能导致电网固定成本分摊不公平；如果收取，可能降低V2H的经济性。解决方案是按净注入/抽取功率收费，而非按总充放电量收费。</w:t>
      </w:r>
    </w:p>
    <w:p>
      <w:pPr>
        <w:pStyle w:val="Heading3"/>
        <w:spacing w:before="160" w:after="60"/>
      </w:pPr>
      <w:r>
        <w:rPr>
          <w:rFonts w:ascii="Times New Roman" w:hAnsi="Times New Roman" w:eastAsia="黑体"/>
          <w:b/>
          <w:i w:val="0"/>
          <w:sz w:val="24"/>
        </w:rPr>
        <w:t>分布式能源的聚合定价</w:t>
      </w:r>
    </w:p>
    <w:p>
      <w:pPr>
        <w:spacing w:line="360" w:lineRule="auto" w:after="0"/>
        <w:ind w:firstLine="425"/>
      </w:pPr>
      <w:r>
        <w:rPr>
          <w:rFonts w:ascii="Times New Roman" w:hAnsi="Times New Roman" w:eastAsia="宋体"/>
          <w:b w:val="0"/>
          <w:i w:val="0"/>
          <w:sz w:val="22"/>
        </w:rPr>
        <w:t>聚合商将大量分布式能源聚合为虚拟电厂参与批发市场，其定价策略需要平衡聚合商利润和分布式资源所有者的收益。</w:t>
      </w:r>
    </w:p>
    <w:p>
      <w:pPr>
        <w:spacing w:line="360" w:lineRule="auto" w:after="0"/>
        <w:ind w:firstLine="425"/>
      </w:pPr>
      <w:r>
        <w:rPr>
          <w:rFonts w:ascii="Times New Roman" w:hAnsi="Times New Roman" w:eastAsia="宋体"/>
          <w:b w:val="0"/>
          <w:i w:val="0"/>
          <w:sz w:val="22"/>
        </w:rPr>
        <w:t>聚合定价的Stackelberg模型：聚合商（领导者）设定向分布式资源支付的内部价格，分布式资源所有者（跟随者）根据内部价格决定参与程度和响应量。最优内部价格在聚合商利润和参与者满意度之间取得平衡。</w:t>
      </w:r>
    </w:p>
    <w:p>
      <w:pPr>
        <w:spacing w:line="360" w:lineRule="auto" w:after="0"/>
        <w:ind w:firstLine="425"/>
      </w:pPr>
      <w:r>
        <w:rPr>
          <w:rFonts w:ascii="Times New Roman" w:hAnsi="Times New Roman" w:eastAsia="宋体"/>
          <w:b w:val="0"/>
          <w:i w:val="0"/>
          <w:sz w:val="22"/>
        </w:rPr>
        <w:t>动态分成机制根据市场条件调整聚合商和参与者的收益分成比例。当市场价格高时（稀缺时段），提高参与者分成以激励更多资源参与；当市场价格低时（富裕时段），降低参与者分成以维持聚合商的运营利润。这种机制比固定分成更灵活，可以适应市场波动。</w:t>
      </w:r>
    </w:p>
    <w:p>
      <w:pPr>
        <w:pStyle w:val="Heading3"/>
        <w:spacing w:before="160" w:after="60"/>
      </w:pPr>
      <w:r>
        <w:rPr>
          <w:rFonts w:ascii="Times New Roman" w:hAnsi="Times New Roman" w:eastAsia="黑体"/>
          <w:b/>
          <w:i w:val="0"/>
          <w:sz w:val="24"/>
        </w:rPr>
        <w:t>分布式能源的容量价值评估</w:t>
      </w:r>
    </w:p>
    <w:p>
      <w:pPr>
        <w:spacing w:line="360" w:lineRule="auto" w:after="0"/>
        <w:ind w:firstLine="425"/>
      </w:pPr>
      <w:r>
        <w:rPr>
          <w:rFonts w:ascii="Times New Roman" w:hAnsi="Times New Roman" w:eastAsia="宋体"/>
          <w:b w:val="0"/>
          <w:i w:val="0"/>
          <w:sz w:val="22"/>
        </w:rPr>
        <w:t>分布式能源（特别是光伏和储能）的容量价值是其在峰值时段可靠贡献容量的能力。容量价值的评估方法包括：</w:t>
      </w:r>
    </w:p>
    <w:p>
      <w:pPr>
        <w:spacing w:line="360" w:lineRule="auto" w:after="0"/>
        <w:ind w:firstLine="425"/>
      </w:pPr>
      <w:r>
        <w:rPr>
          <w:rFonts w:ascii="Times New Roman" w:hAnsi="Times New Roman" w:eastAsia="宋体"/>
          <w:b w:val="0"/>
          <w:i w:val="0"/>
          <w:sz w:val="22"/>
        </w:rPr>
        <w:t>有效载荷容量（ELCC）方法通过比较有无分布式能源的系统可靠性水平计算容量价值。ELCC定义为等效的常规发电容量，即如果移除分布式能源并增加ELCC容量的常规发电，系统可靠性保持不变。ELCC方法考虑了分布式能源与系统负荷的相关性，是最严格的容量价值评估方法。</w:t>
      </w:r>
    </w:p>
    <w:p>
      <w:pPr>
        <w:spacing w:line="360" w:lineRule="auto" w:after="0"/>
        <w:ind w:firstLine="425"/>
      </w:pPr>
      <w:r>
        <w:rPr>
          <w:rFonts w:ascii="Times New Roman" w:hAnsi="Times New Roman" w:eastAsia="宋体"/>
          <w:b w:val="0"/>
          <w:i w:val="0"/>
          <w:sz w:val="22"/>
        </w:rPr>
        <w:t>时间序列方法利用历史数据计算分布式能源在峰值时段的平均出力作为容量价值。这种方法简单但可能低估容量价值（如果峰值时段恰好是分布式能源高出力时段）或高估容量价值（如果峰值时段是分布式能源低出力时段）。</w:t>
      </w:r>
    </w:p>
    <w:p>
      <w:pPr>
        <w:spacing w:line="360" w:lineRule="auto" w:after="0"/>
        <w:ind w:firstLine="425"/>
      </w:pPr>
      <w:r>
        <w:rPr>
          <w:rFonts w:ascii="Times New Roman" w:hAnsi="Times New Roman" w:eastAsia="宋体"/>
          <w:b w:val="0"/>
          <w:i w:val="0"/>
          <w:sz w:val="22"/>
        </w:rPr>
        <w:t>容量市场的参与规则需要适应分布式能源的特性。传统的容量市场要求容量资源在指定时段内提供额定出力，但分布式能源的出力受天气和用户行为影响，难以保证固定出力。允许分布式能源以聚合形式参与容量市场，通过聚合内部的多样化降低不确定性，是当前的规则改进方向。</w:t>
      </w:r>
    </w:p>
    <w:p>
      <w:pPr>
        <w:pStyle w:val="Heading3"/>
        <w:spacing w:before="160" w:after="60"/>
      </w:pPr>
      <w:r>
        <w:rPr>
          <w:rFonts w:ascii="Times New Roman" w:hAnsi="Times New Roman" w:eastAsia="黑体"/>
          <w:b/>
          <w:i w:val="0"/>
          <w:sz w:val="24"/>
        </w:rPr>
        <w:t>分布式能源的环境定价</w:t>
      </w:r>
    </w:p>
    <w:p>
      <w:pPr>
        <w:spacing w:line="360" w:lineRule="auto" w:after="0"/>
        <w:ind w:firstLine="425"/>
      </w:pPr>
      <w:r>
        <w:rPr>
          <w:rFonts w:ascii="Times New Roman" w:hAnsi="Times New Roman" w:eastAsia="宋体"/>
          <w:b w:val="0"/>
          <w:i w:val="0"/>
          <w:sz w:val="22"/>
        </w:rPr>
        <w:t>分布式能源的环境价值主要通过碳交易和绿证机制实现。分布式光伏发电的碳排放接近零，其环境价值应通过碳市场或绿证市场获得补偿。</w:t>
      </w:r>
    </w:p>
    <w:p>
      <w:pPr>
        <w:spacing w:line="360" w:lineRule="auto" w:after="0"/>
        <w:ind w:firstLine="425"/>
      </w:pPr>
      <w:r>
        <w:rPr>
          <w:rFonts w:ascii="Times New Roman" w:hAnsi="Times New Roman" w:eastAsia="宋体"/>
          <w:b w:val="0"/>
          <w:i w:val="0"/>
          <w:sz w:val="22"/>
        </w:rPr>
        <w:t>碳基线方法为分布式能源的碳减排量计算提供基准。基线排放量定义为如果没有分布式能源时的排放量（通常基于电网平均排放因子计算），实际排放量与基线的差值为减排量。实时排放因子方法使用边际排放率（而非平均排放因子）计算减排量，更精确地反映分布式能源对系统排放的边际影响。</w:t>
      </w:r>
    </w:p>
    <w:p>
      <w:pPr>
        <w:spacing w:line="360" w:lineRule="auto" w:after="0"/>
        <w:ind w:firstLine="425"/>
      </w:pPr>
      <w:r>
        <w:rPr>
          <w:rFonts w:ascii="Times New Roman" w:hAnsi="Times New Roman" w:eastAsia="宋体"/>
          <w:b w:val="0"/>
          <w:i w:val="0"/>
          <w:sz w:val="22"/>
        </w:rPr>
        <w:t>绿证价格与实时电价的协调：绿证补偿分布式能源的环境属性，实时电价补偿分布式能源的能量价值。两者的叠加为分布式能源提供了完整的收益。然而，需要避免双重计算：同一单位电量不应同时获得绿证收入和碳减排收入。</w:t>
      </w:r>
    </w:p>
    <w:p>
      <w:pPr>
        <w:pStyle w:val="Heading3"/>
        <w:spacing w:before="160" w:after="60"/>
      </w:pPr>
      <w:r>
        <w:rPr>
          <w:rFonts w:ascii="Times New Roman" w:hAnsi="Times New Roman" w:eastAsia="黑体"/>
          <w:b/>
          <w:i w:val="0"/>
          <w:sz w:val="24"/>
        </w:rPr>
        <w:t>人工智能驱动的分布式能源管理</w:t>
      </w:r>
    </w:p>
    <w:p>
      <w:pPr>
        <w:spacing w:line="360" w:lineRule="auto" w:after="0"/>
        <w:ind w:firstLine="425"/>
      </w:pPr>
      <w:r>
        <w:rPr>
          <w:rFonts w:ascii="Times New Roman" w:hAnsi="Times New Roman" w:eastAsia="宋体"/>
          <w:b w:val="0"/>
          <w:i w:val="0"/>
          <w:sz w:val="22"/>
        </w:rPr>
        <w:t>人工智能技术正在改变分布式能源的管理模式。基于深度学习的负荷预测可以精确预测分布式资源的可用性和响应潜力。基于强化学习的调度优化可以自动发现最优充放电策略。基于自然语言处理的用户交互可以简化用户参与流程。</w:t>
      </w:r>
    </w:p>
    <w:p>
      <w:pPr>
        <w:spacing w:line="360" w:lineRule="auto" w:after="0"/>
        <w:ind w:firstLine="425"/>
      </w:pPr>
      <w:r>
        <w:rPr>
          <w:rFonts w:ascii="Times New Roman" w:hAnsi="Times New Roman" w:eastAsia="宋体"/>
          <w:b w:val="0"/>
          <w:i w:val="0"/>
          <w:sz w:val="22"/>
        </w:rPr>
        <w:t>联邦学习在分布式能源管理中的应用前景广阔。各分布式资源在本地训练调度模型，仅将模型参数上传到聚合商进行聚合。这种方法既利用了全局数据提升模型质量，又保护了用户的用电数据隐私。异步联邦学习允许各资源以不同频率参与训练，适应分布式资源的异构通信能力。</w:t>
      </w:r>
    </w:p>
    <w:p>
      <w:pPr>
        <w:spacing w:line="360" w:lineRule="auto" w:after="0"/>
        <w:ind w:firstLine="425"/>
      </w:pPr>
      <w:r>
        <w:rPr>
          <w:rFonts w:ascii="Times New Roman" w:hAnsi="Times New Roman" w:eastAsia="宋体"/>
          <w:b w:val="0"/>
          <w:i w:val="0"/>
          <w:sz w:val="22"/>
        </w:rPr>
        <w:t>数字孪生为分布式能源管理提供了虚拟仿真环境。分布式能源的数字孪生模型可以模拟各种调度策略的效果，在虚拟环境中验证策略的可行性和效果后部署到物理系统。数字孪生还可以用于故障诊断和预测性维护，提前发现潜在问题。</w:t>
      </w:r>
    </w:p>
    <w:p>
      <w:pPr>
        <w:pStyle w:val="Heading2"/>
        <w:spacing w:before="240" w:after="80"/>
      </w:pPr>
      <w:r>
        <w:rPr>
          <w:rFonts w:ascii="Times New Roman" w:hAnsi="Times New Roman" w:eastAsia="黑体"/>
          <w:b/>
          <w:i w:val="0"/>
          <w:sz w:val="28"/>
        </w:rPr>
        <w:t>11.14 分布式能源管理的深化分析</w:t>
      </w:r>
    </w:p>
    <w:p>
      <w:pPr>
        <w:pStyle w:val="Heading3"/>
        <w:spacing w:before="160" w:after="60"/>
      </w:pPr>
      <w:r>
        <w:rPr>
          <w:rFonts w:ascii="Times New Roman" w:hAnsi="Times New Roman" w:eastAsia="黑体"/>
          <w:b/>
          <w:i w:val="0"/>
          <w:sz w:val="24"/>
        </w:rPr>
        <w:t>虚拟电厂的定价策略优化</w:t>
      </w:r>
    </w:p>
    <w:p>
      <w:pPr>
        <w:spacing w:line="360" w:lineRule="auto" w:after="0"/>
        <w:ind w:firstLine="425"/>
      </w:pPr>
      <w:r>
        <w:rPr>
          <w:rFonts w:ascii="Times New Roman" w:hAnsi="Times New Roman" w:eastAsia="宋体"/>
          <w:b w:val="0"/>
          <w:i w:val="0"/>
          <w:sz w:val="22"/>
        </w:rPr>
        <w:t>虚拟电厂的定价策略需要在批发市场价格波动和分布式资源响应不确定性下做出最优决策。最优定价策略的目标是最大化VPP总收益，同时确保分布式资源所有者获得合理回报。</w:t>
      </w:r>
    </w:p>
    <w:p>
      <w:pPr>
        <w:spacing w:line="360" w:lineRule="auto" w:after="0"/>
        <w:ind w:firstLine="425"/>
      </w:pPr>
      <w:r>
        <w:rPr>
          <w:rFonts w:ascii="Times New Roman" w:hAnsi="Times New Roman" w:eastAsia="宋体"/>
          <w:b w:val="0"/>
          <w:i w:val="0"/>
          <w:sz w:val="22"/>
        </w:rPr>
        <w:t>随机优化方法通过场景生成处理批发市场价格和分布式资源出力的联合不确定性。两阶段随机规划模型在日前阶段决定VPP的批发市场报价（第一阶段决策），在实时阶段根据实际分布式资源出力调整调度（第二阶段决策）。</w:t>
      </w:r>
    </w:p>
    <w:p>
      <w:pPr>
        <w:spacing w:line="360" w:lineRule="auto" w:after="0"/>
        <w:ind w:firstLine="425"/>
      </w:pPr>
      <w:r>
        <w:rPr>
          <w:rFonts w:ascii="Times New Roman" w:hAnsi="Times New Roman" w:eastAsia="宋体"/>
          <w:b w:val="0"/>
          <w:i w:val="0"/>
          <w:sz w:val="22"/>
        </w:rPr>
        <w:t>鲁棒优化方法通过不确定性集提供对极端场景的保护。VPP的鲁棒报价策略确保在最坏市场条件下VPP仍能履行批发市场承诺，避免偏差惩罚。保守性参数的选择需要平衡报价竞争力和风险保护。</w:t>
      </w:r>
    </w:p>
    <w:p>
      <w:pPr>
        <w:spacing w:line="360" w:lineRule="auto" w:after="0"/>
        <w:ind w:firstLine="425"/>
      </w:pPr>
      <w:r>
        <w:rPr>
          <w:rFonts w:ascii="Times New Roman" w:hAnsi="Times New Roman" w:eastAsia="宋体"/>
          <w:b w:val="0"/>
          <w:i w:val="0"/>
          <w:sz w:val="22"/>
        </w:rPr>
        <w:t>强化学习方法可以学习VPP的最优定价策略，无需显式建模市场规则和资源特性。深度强化学习特别适合处理高维状态空间（大量分布式资源的联合状态）和复杂时序依赖（多时段调度决策的耦合）。</w:t>
      </w:r>
    </w:p>
    <w:p>
      <w:pPr>
        <w:pStyle w:val="Heading3"/>
        <w:spacing w:before="160" w:after="60"/>
      </w:pPr>
      <w:r>
        <w:rPr>
          <w:rFonts w:ascii="Times New Roman" w:hAnsi="Times New Roman" w:eastAsia="黑体"/>
          <w:b/>
          <w:i w:val="0"/>
          <w:sz w:val="24"/>
        </w:rPr>
        <w:t>分布式能源的电网影响评估</w:t>
      </w:r>
    </w:p>
    <w:p>
      <w:pPr>
        <w:spacing w:line="360" w:lineRule="auto" w:after="0"/>
        <w:ind w:firstLine="425"/>
      </w:pPr>
      <w:r>
        <w:rPr>
          <w:rFonts w:ascii="Times New Roman" w:hAnsi="Times New Roman" w:eastAsia="宋体"/>
          <w:b w:val="0"/>
          <w:i w:val="0"/>
          <w:sz w:val="22"/>
        </w:rPr>
        <w:t>大规模分布式能源接入对电网的影响需要系统评估。影响评估包括稳态影响（电压分布、线路潮流、网损）和动态影响（频率响应、电压稳定性、暂态稳定性）。</w:t>
      </w:r>
    </w:p>
    <w:p>
      <w:pPr>
        <w:spacing w:line="360" w:lineRule="auto" w:after="0"/>
        <w:ind w:firstLine="425"/>
      </w:pPr>
      <w:r>
        <w:rPr>
          <w:rFonts w:ascii="Times New Roman" w:hAnsi="Times New Roman" w:eastAsia="宋体"/>
          <w:b w:val="0"/>
          <w:i w:val="0"/>
          <w:sz w:val="22"/>
        </w:rPr>
        <w:t>稳态影响评估通过潮流计算分析分布式能源接入后的电压和潮流变化。分布式光伏在中午高出力可能导致局部电压升高，超过电压上限。分布式储能的充放电可能改变线路潮流方向，影响保护协调。稳态评估可以识别需要电网升级的位置和容量。</w:t>
      </w:r>
    </w:p>
    <w:p>
      <w:pPr>
        <w:spacing w:line="360" w:lineRule="auto" w:after="0"/>
        <w:ind w:firstLine="425"/>
      </w:pPr>
      <w:r>
        <w:rPr>
          <w:rFonts w:ascii="Times New Roman" w:hAnsi="Times New Roman" w:eastAsia="宋体"/>
          <w:b w:val="0"/>
          <w:i w:val="0"/>
          <w:sz w:val="22"/>
        </w:rPr>
        <w:t>动态影响评估通过动态仿真分析分布式能源对系统稳定性的影响。分布式光伏逆变器的不当控制可能引入次同步振荡。分布式储能的快速功率变化可能影响频率稳定。动态评估需要详细的发电机组和逆变器模型。</w:t>
      </w:r>
    </w:p>
    <w:p>
      <w:pPr>
        <w:spacing w:line="360" w:lineRule="auto" w:after="0"/>
        <w:ind w:firstLine="425"/>
      </w:pPr>
      <w:r>
        <w:rPr>
          <w:rFonts w:ascii="Times New Roman" w:hAnsi="Times New Roman" w:eastAsia="宋体"/>
          <w:b w:val="0"/>
          <w:i w:val="0"/>
          <w:sz w:val="22"/>
        </w:rPr>
        <w:t>影响评估的结果应反馈到定价策略中。当分布式能源接入导致局部电网约束激活时，定价策略应通过空间差异化价格信号引导分布式能源的优化分布和运行。节点级实时定价可以精确反映局部电网约束的影子价格。</w:t>
      </w:r>
    </w:p>
    <w:p>
      <w:pPr>
        <w:pStyle w:val="Heading3"/>
        <w:spacing w:before="160" w:after="60"/>
      </w:pPr>
      <w:r>
        <w:rPr>
          <w:rFonts w:ascii="Times New Roman" w:hAnsi="Times New Roman" w:eastAsia="黑体"/>
          <w:b/>
          <w:i w:val="0"/>
          <w:sz w:val="24"/>
        </w:rPr>
        <w:t>分布式能源的商业模式创新</w:t>
      </w:r>
    </w:p>
    <w:p>
      <w:pPr>
        <w:spacing w:line="360" w:lineRule="auto" w:after="0"/>
        <w:ind w:firstLine="425"/>
      </w:pPr>
      <w:r>
        <w:rPr>
          <w:rFonts w:ascii="Times New Roman" w:hAnsi="Times New Roman" w:eastAsia="宋体"/>
          <w:b w:val="0"/>
          <w:i w:val="0"/>
          <w:sz w:val="22"/>
        </w:rPr>
        <w:t>分布式能源的商业模式正在从传统的设备销售和能源供应向服务化和平台化演进。</w:t>
      </w:r>
    </w:p>
    <w:p>
      <w:pPr>
        <w:spacing w:line="360" w:lineRule="auto" w:after="0"/>
        <w:ind w:firstLine="425"/>
      </w:pPr>
      <w:r>
        <w:rPr>
          <w:rFonts w:ascii="Times New Roman" w:hAnsi="Times New Roman" w:eastAsia="宋体"/>
          <w:b w:val="0"/>
          <w:i w:val="0"/>
          <w:sz w:val="22"/>
        </w:rPr>
        <w:t>能源即服务（EaaS）模式将能源设备投资、运营和维护打包为服务，用户按使用量或订阅费付费。EaaS降低了用户的初始投资门槛，运营商通过规模效应和专业运营获取利润。实时定价为EaaS模式提供了精细化的成本核算和收益分配依据。</w:t>
      </w:r>
    </w:p>
    <w:p>
      <w:pPr>
        <w:spacing w:line="360" w:lineRule="auto" w:after="0"/>
        <w:ind w:firstLine="425"/>
      </w:pPr>
      <w:r>
        <w:rPr>
          <w:rFonts w:ascii="Times New Roman" w:hAnsi="Times New Roman" w:eastAsia="宋体"/>
          <w:b w:val="0"/>
          <w:i w:val="0"/>
          <w:sz w:val="22"/>
        </w:rPr>
        <w:t>社区能源共享模式将社区内的分布式能源（光伏、储能、EV）整合为共享资源，社区成员按需使用并分摊成本。区块链技术支持社区成员之间的点对点能源交易，实现去中心化的能源共享。实时定价为社区内部交易提供价格参考。</w:t>
      </w:r>
    </w:p>
    <w:p>
      <w:pPr>
        <w:spacing w:line="360" w:lineRule="auto" w:after="0"/>
        <w:ind w:firstLine="425"/>
      </w:pPr>
      <w:r>
        <w:rPr>
          <w:rFonts w:ascii="Times New Roman" w:hAnsi="Times New Roman" w:eastAsia="宋体"/>
          <w:b w:val="0"/>
          <w:i w:val="0"/>
          <w:sz w:val="22"/>
        </w:rPr>
        <w:t>能源数据服务模式将分布式能源运行数据转化为商业价值。能源数据可以用于负荷预测、设备健康管理、碳减排认证等服务。数据隐私保护和数据权属界定是这种模式的关键挑战。差分隐私和联邦学习技术可以保护用户数据隐私。</w:t>
      </w:r>
    </w:p>
    <w:p>
      <w:pPr>
        <w:pStyle w:val="Heading3"/>
        <w:spacing w:before="160" w:after="60"/>
      </w:pPr>
      <w:r>
        <w:rPr>
          <w:rFonts w:ascii="Times New Roman" w:hAnsi="Times New Roman" w:eastAsia="黑体"/>
          <w:b/>
          <w:i w:val="0"/>
          <w:sz w:val="24"/>
        </w:rPr>
        <w:t>分布式能源的政策与法规框架</w:t>
      </w:r>
    </w:p>
    <w:p>
      <w:pPr>
        <w:spacing w:line="360" w:lineRule="auto" w:after="0"/>
        <w:ind w:firstLine="425"/>
      </w:pPr>
      <w:r>
        <w:rPr>
          <w:rFonts w:ascii="Times New Roman" w:hAnsi="Times New Roman" w:eastAsia="宋体"/>
          <w:b w:val="0"/>
          <w:i w:val="0"/>
          <w:sz w:val="22"/>
        </w:rPr>
        <w:t>分布式能源的发展需要配套的政策和法规框架支持：</w:t>
      </w:r>
    </w:p>
    <w:p>
      <w:pPr>
        <w:spacing w:line="360" w:lineRule="auto" w:after="0"/>
        <w:ind w:firstLine="425"/>
      </w:pPr>
      <w:r>
        <w:rPr>
          <w:rFonts w:ascii="Times New Roman" w:hAnsi="Times New Roman" w:eastAsia="宋体"/>
          <w:b w:val="0"/>
          <w:i w:val="0"/>
          <w:sz w:val="22"/>
        </w:rPr>
        <w:t>并网规则：明确分布式能源并网的技术标准、审批流程和并网费用。简化小型分布式能源的并网审批（如"即插即用"标准），降低并网门槛。</w:t>
      </w:r>
    </w:p>
    <w:p>
      <w:pPr>
        <w:spacing w:line="360" w:lineRule="auto" w:after="0"/>
        <w:ind w:firstLine="425"/>
      </w:pPr>
      <w:r>
        <w:rPr>
          <w:rFonts w:ascii="Times New Roman" w:hAnsi="Times New Roman" w:eastAsia="宋体"/>
          <w:b w:val="0"/>
          <w:i w:val="0"/>
          <w:sz w:val="22"/>
        </w:rPr>
        <w:t>电价机制：设计合理的分布式能源上网电价和输配电价。净计量、净计费和实时定价等不同机制对分布式能源投资激励和电网成本分摊有不同影响。</w:t>
      </w:r>
    </w:p>
    <w:p>
      <w:pPr>
        <w:spacing w:line="360" w:lineRule="auto" w:after="0"/>
        <w:ind w:firstLine="425"/>
      </w:pPr>
      <w:r>
        <w:rPr>
          <w:rFonts w:ascii="Times New Roman" w:hAnsi="Times New Roman" w:eastAsia="宋体"/>
          <w:b w:val="0"/>
          <w:i w:val="0"/>
          <w:sz w:val="22"/>
        </w:rPr>
        <w:t>市场准入：明确分布式能源和聚合商参与批发市场和辅助服务市场的资格标准和注册流程。FERC Order 2222为美国市场提供了参考框架。</w:t>
      </w:r>
    </w:p>
    <w:p>
      <w:pPr>
        <w:spacing w:line="360" w:lineRule="auto" w:after="0"/>
        <w:ind w:firstLine="425"/>
      </w:pPr>
      <w:r>
        <w:rPr>
          <w:rFonts w:ascii="Times New Roman" w:hAnsi="Times New Roman" w:eastAsia="宋体"/>
          <w:b w:val="0"/>
          <w:i w:val="0"/>
          <w:sz w:val="22"/>
        </w:rPr>
        <w:t>数据权利：明确用户能源数据的所有权、使用权和共享规则。数据可携带性要求允许用户将数据从一个服务商转移到另一个服务商，促进市场竞争。</w:t>
      </w:r>
    </w:p>
    <w:p>
      <w:pPr>
        <w:pStyle w:val="Heading3"/>
        <w:spacing w:before="160" w:after="60"/>
      </w:pPr>
      <w:r>
        <w:rPr>
          <w:rFonts w:ascii="Times New Roman" w:hAnsi="Times New Roman" w:eastAsia="黑体"/>
          <w:b/>
          <w:i w:val="0"/>
          <w:sz w:val="24"/>
        </w:rPr>
        <w:t>分布式能源的技术标准化进程</w:t>
      </w:r>
    </w:p>
    <w:p>
      <w:pPr>
        <w:spacing w:line="360" w:lineRule="auto" w:after="0"/>
        <w:ind w:firstLine="425"/>
      </w:pPr>
      <w:r>
        <w:rPr>
          <w:rFonts w:ascii="Times New Roman" w:hAnsi="Times New Roman" w:eastAsia="宋体"/>
          <w:b w:val="0"/>
          <w:i w:val="0"/>
          <w:sz w:val="22"/>
        </w:rPr>
        <w:t>标准化是分布式能源规模化部署的基础。当前标准化进程的重点领域包括：</w:t>
      </w:r>
    </w:p>
    <w:p>
      <w:pPr>
        <w:spacing w:line="360" w:lineRule="auto" w:after="0"/>
        <w:ind w:firstLine="425"/>
      </w:pPr>
      <w:r>
        <w:rPr>
          <w:rFonts w:ascii="Times New Roman" w:hAnsi="Times New Roman" w:eastAsia="宋体"/>
          <w:b w:val="0"/>
          <w:i w:val="0"/>
          <w:sz w:val="22"/>
        </w:rPr>
        <w:t>通信协议标准化：统一分布式能源设备的通信接口和数据格式。IEEE 2030.5（SEP 2.0）、OpenADR和SunSpec等标准正在被广泛采纳，但不同标准之间的互操作性仍需改善。</w:t>
      </w:r>
    </w:p>
    <w:p>
      <w:pPr>
        <w:spacing w:line="360" w:lineRule="auto" w:after="0"/>
        <w:ind w:firstLine="425"/>
      </w:pPr>
      <w:r>
        <w:rPr>
          <w:rFonts w:ascii="Times New Roman" w:hAnsi="Times New Roman" w:eastAsia="宋体"/>
          <w:b w:val="0"/>
          <w:i w:val="0"/>
          <w:sz w:val="22"/>
        </w:rPr>
        <w:t>控制接口标准化：定义分布式能源设备的控制命令和状态报告接口。IEC 61850的扩展正在覆盖分布式能源领域，但标准制定的进度落后于技术发展。</w:t>
      </w:r>
    </w:p>
    <w:p>
      <w:pPr>
        <w:spacing w:line="360" w:lineRule="auto" w:after="0"/>
        <w:ind w:firstLine="425"/>
      </w:pPr>
      <w:r>
        <w:rPr>
          <w:rFonts w:ascii="Times New Roman" w:hAnsi="Times New Roman" w:eastAsia="宋体"/>
          <w:b w:val="0"/>
          <w:i w:val="0"/>
          <w:sz w:val="22"/>
        </w:rPr>
        <w:t>安全标准：建立分布式能源设备的网络安全基线要求。IEC 62351和NIST网络安全框架为电力系统安全提供了指导，但分布式能源特有的安全风险（如大量边缘设备的物理安全）需要补充标准。</w:t>
      </w:r>
    </w:p>
    <w:p>
      <w:pPr>
        <w:spacing w:line="360" w:lineRule="auto" w:after="0"/>
        <w:ind w:firstLine="425"/>
      </w:pPr>
      <w:r>
        <w:rPr>
          <w:rFonts w:ascii="Times New Roman" w:hAnsi="Times New Roman" w:eastAsia="宋体"/>
          <w:b w:val="0"/>
          <w:i w:val="0"/>
          <w:sz w:val="22"/>
        </w:rPr>
        <w:t>测试认证：建立分布式能源设备的一致性测试和互操作性认证体系。认证可以确保不同厂商的设备能够互操作，降低系统集成风险。</w:t>
      </w:r>
    </w:p>
    <w:p>
      <w:pPr>
        <w:pStyle w:val="Heading2"/>
        <w:spacing w:before="240" w:after="80"/>
      </w:pPr>
      <w:r>
        <w:rPr>
          <w:rFonts w:ascii="Times New Roman" w:hAnsi="Times New Roman" w:eastAsia="黑体"/>
          <w:b/>
          <w:i w:val="0"/>
          <w:sz w:val="28"/>
        </w:rPr>
        <w:t>思考题</w:t>
      </w:r>
    </w:p>
    <w:p>
      <w:pPr>
        <w:pStyle w:val="ListNumber"/>
        <w:spacing w:line="360" w:lineRule="auto" w:after="0"/>
      </w:pPr>
      <w:r>
        <w:rPr>
          <w:rFonts w:ascii="Times New Roman" w:hAnsi="Times New Roman" w:eastAsia="宋体"/>
          <w:b w:val="0"/>
          <w:i w:val="0"/>
          <w:sz w:val="22"/>
        </w:rPr>
        <w:t>分析综合能源系统中多能耦合关系对定价机制的影响，讨论多能LMP与传统电力LMP的区别。</w:t>
      </w:r>
    </w:p>
    <w:p>
      <w:pPr>
        <w:pStyle w:val="ListNumber"/>
        <w:spacing w:line="360" w:lineRule="auto" w:after="0"/>
      </w:pPr>
      <w:r>
        <w:rPr>
          <w:rFonts w:ascii="Times New Roman" w:hAnsi="Times New Roman" w:eastAsia="宋体"/>
          <w:b w:val="0"/>
          <w:i w:val="0"/>
          <w:sz w:val="22"/>
        </w:rPr>
        <w:t>建立一个包含CHP机组、电锅炉和储能的综合能源系统优化定价模型，讨论耦合约束的处理方法。</w:t>
      </w:r>
    </w:p>
    <w:p>
      <w:pPr>
        <w:pStyle w:val="ListNumber"/>
        <w:spacing w:line="360" w:lineRule="auto" w:after="0"/>
      </w:pPr>
      <w:r>
        <w:rPr>
          <w:rFonts w:ascii="Times New Roman" w:hAnsi="Times New Roman" w:eastAsia="宋体"/>
          <w:b w:val="0"/>
          <w:i w:val="0"/>
          <w:sz w:val="22"/>
        </w:rPr>
        <w:t>讨论V2G技术的经济可行性，分析电池degradation成本对V2G定价策略的影响。</w:t>
      </w:r>
    </w:p>
    <w:p>
      <w:pPr>
        <w:pStyle w:val="ListNumber"/>
        <w:spacing w:line="360" w:lineRule="auto" w:after="0"/>
      </w:pPr>
      <w:r>
        <w:rPr>
          <w:rFonts w:ascii="Times New Roman" w:hAnsi="Times New Roman" w:eastAsia="宋体"/>
          <w:b w:val="0"/>
          <w:i w:val="0"/>
          <w:sz w:val="22"/>
        </w:rPr>
        <w:t>设计一个微电网内部定价机制，比较基于边际成本、合作博弈和拍卖的三种定价方案。</w:t>
      </w:r>
    </w:p>
    <w:p>
      <w:pPr>
        <w:pStyle w:val="ListNumber"/>
        <w:spacing w:line="360" w:lineRule="auto" w:after="0"/>
      </w:pPr>
      <w:r>
        <w:rPr>
          <w:rFonts w:ascii="Times New Roman" w:hAnsi="Times New Roman" w:eastAsia="宋体"/>
          <w:b w:val="0"/>
          <w:i w:val="0"/>
          <w:sz w:val="22"/>
        </w:rPr>
        <w:t>分析分布式能源聚合参与批发市场的规则设计要点，讨论基线负荷确定和双重收费等关键问题。</w:t>
      </w:r>
    </w:p>
    <w:p>
      <w:pPr>
        <w:pStyle w:val="Heading3"/>
        <w:spacing w:before="160" w:after="60"/>
      </w:pPr>
      <w:r>
        <w:rPr>
          <w:rFonts w:ascii="Times New Roman" w:hAnsi="Times New Roman" w:eastAsia="黑体"/>
          <w:b/>
          <w:i w:val="0"/>
          <w:sz w:val="24"/>
        </w:rPr>
        <w:t>补充讨论</w:t>
      </w:r>
    </w:p>
    <w:p>
      <w:pPr>
        <w:spacing w:line="360" w:lineRule="auto" w:after="0"/>
        <w:ind w:firstLine="425"/>
      </w:pPr>
      <w:r>
        <w:rPr>
          <w:rFonts w:ascii="Times New Roman" w:hAnsi="Times New Roman" w:eastAsia="宋体"/>
          <w:b w:val="0"/>
          <w:i w:val="0"/>
          <w:sz w:val="22"/>
        </w:rPr>
        <w:t>此外，Geidl M, Andersson G. Optimal power flow of multiple energy carriers[J]. IEEE Transactions on Power 。这些研究为本章的理论框架提供了重要的方法论支撑</w:t>
      </w:r>
      <w:r>
        <w:rPr>
          <w:rFonts w:ascii="Times New Roman" w:hAnsi="Times New Roman" w:eastAsia="Times New Roman"/>
          <w:b w:val="0"/>
          <w:i w:val="0"/>
          <w:sz w:val="18"/>
          <w:vertAlign w:val="superscript"/>
        </w:rPr>
        <w:t>[6]</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此外，Mancarella P. MES (multi-energy systems): An overview of concepts and evaluation models[J]. Energy, 。这些研究为本章的理论框架提供了重要的方法论支撑</w:t>
      </w:r>
      <w:r>
        <w:rPr>
          <w:rFonts w:ascii="Times New Roman" w:hAnsi="Times New Roman" w:eastAsia="Times New Roman"/>
          <w:b w:val="0"/>
          <w:i w:val="0"/>
          <w:sz w:val="18"/>
          <w:vertAlign w:val="superscript"/>
        </w:rPr>
        <w:t>[7]</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此外，Liu X, Wu J, Jenkins N, et al. Combined analysis of electricity and heat networks[J]. Applied Energy。这些研究为本章的理论框架提供了重要的方法论支撑</w:t>
      </w:r>
      <w:r>
        <w:rPr>
          <w:rFonts w:ascii="Times New Roman" w:hAnsi="Times New Roman" w:eastAsia="Times New Roman"/>
          <w:b w:val="0"/>
          <w:i w:val="0"/>
          <w:sz w:val="18"/>
          <w:vertAlign w:val="superscript"/>
        </w:rPr>
        <w:t>[8]</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此外，Vetier R, Zecchin M, Mancarella P. Integrated electricity-heat-gas systems: Market design and operat。这些研究为本章的理论框架提供了重要的方法论支撑</w:t>
      </w:r>
      <w:r>
        <w:rPr>
          <w:rFonts w:ascii="Times New Roman" w:hAnsi="Times New Roman" w:eastAsia="Times New Roman"/>
          <w:b w:val="0"/>
          <w:i w:val="0"/>
          <w:sz w:val="18"/>
          <w:vertAlign w:val="superscript"/>
        </w:rPr>
        <w:t>[9]</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此外，Zhang Y, Campana P E, Yang Y, et al. Energy flexibility of buildings: A review of simulation-based a。这些研究为本章的理论框架提供了重要的方法论支撑</w:t>
      </w:r>
      <w:r>
        <w:rPr>
          <w:rFonts w:ascii="Times New Roman" w:hAnsi="Times New Roman" w:eastAsia="Times New Roman"/>
          <w:b w:val="0"/>
          <w:i w:val="0"/>
          <w:sz w:val="18"/>
          <w:vertAlign w:val="superscript"/>
        </w:rPr>
        <w:t>[10]</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11.5.1 多能源系统的耦合建模</w:t>
      </w:r>
    </w:p>
    <w:p>
      <w:pPr>
        <w:spacing w:line="360" w:lineRule="auto" w:after="0"/>
        <w:ind w:firstLine="425"/>
      </w:pPr>
      <w:r>
        <w:rPr>
          <w:rFonts w:ascii="Times New Roman" w:hAnsi="Times New Roman" w:eastAsia="宋体"/>
          <w:b w:val="0"/>
          <w:i w:val="0"/>
          <w:sz w:val="22"/>
        </w:rPr>
        <w:t>综合能源系统的核心特征是电、气、热等多种能源形式之间的耦合关系。准确的耦合建模是协同定价的基础。能源耦合主要通过以下设备实现。</w:t>
      </w:r>
    </w:p>
    <w:p>
      <w:pPr>
        <w:spacing w:line="360" w:lineRule="auto" w:after="0"/>
        <w:ind w:firstLine="425"/>
      </w:pPr>
      <w:r>
        <w:rPr>
          <w:rFonts w:ascii="Times New Roman" w:hAnsi="Times New Roman" w:eastAsia="宋体"/>
          <w:b/>
          <w:i w:val="0"/>
          <w:sz w:val="22"/>
        </w:rPr>
        <w:t>热电联产（CHP）机组</w:t>
      </w:r>
      <w:r>
        <w:rPr>
          <w:rFonts w:ascii="Times New Roman" w:hAnsi="Times New Roman" w:eastAsia="宋体"/>
          <w:b w:val="0"/>
          <w:i w:val="0"/>
          <w:sz w:val="22"/>
        </w:rPr>
        <w:t>：同时生产电力和热力，效率可达80-90%（远高于分别生产的40-50%）。CHP的运行约束为电热出力比在一定范围内可调。抽凝式CHP的"以热定电"模式限制了电力出力的灵活性，在热负荷高时可能加剧可再生能源消纳困难。</w:t>
      </w:r>
    </w:p>
    <w:p>
      <w:pPr>
        <w:spacing w:line="360" w:lineRule="auto" w:after="0"/>
        <w:ind w:firstLine="425"/>
      </w:pPr>
      <w:r>
        <w:rPr>
          <w:rFonts w:ascii="Times New Roman" w:hAnsi="Times New Roman" w:eastAsia="宋体"/>
          <w:b/>
          <w:i w:val="0"/>
          <w:sz w:val="22"/>
        </w:rPr>
        <w:t>热泵</w:t>
      </w:r>
      <w:r>
        <w:rPr>
          <w:rFonts w:ascii="Times New Roman" w:hAnsi="Times New Roman" w:eastAsia="宋体"/>
          <w:b w:val="0"/>
          <w:i w:val="0"/>
          <w:sz w:val="22"/>
        </w:rPr>
        <w:t>：消耗电力制热，性能系数（COP）通常为3-4，即1单位电能产生3-4单位热能。热泵是电-热耦合的重要桥梁，在电价低时运行可降低供热成本。地源热泵的COP可达4-5，但投资成本较高。</w:t>
      </w:r>
    </w:p>
    <w:p>
      <w:pPr>
        <w:spacing w:line="360" w:lineRule="auto" w:after="0"/>
        <w:ind w:firstLine="425"/>
      </w:pPr>
      <w:r>
        <w:rPr>
          <w:rFonts w:ascii="Times New Roman" w:hAnsi="Times New Roman" w:eastAsia="宋体"/>
          <w:b/>
          <w:i w:val="0"/>
          <w:sz w:val="22"/>
        </w:rPr>
        <w:t>电锅炉</w:t>
      </w:r>
      <w:r>
        <w:rPr>
          <w:rFonts w:ascii="Times New Roman" w:hAnsi="Times New Roman" w:eastAsia="宋体"/>
          <w:b w:val="0"/>
          <w:i w:val="0"/>
          <w:sz w:val="22"/>
        </w:rPr>
        <w:t>：直接将电能转化为热能，效率约95-99%。电锅炉结构简单、控制灵活，但运行成本较高（取决于电价）。在可再生能源出力过剩时，电锅炉可消纳弃风弃光。</w:t>
      </w:r>
    </w:p>
    <w:p>
      <w:pPr>
        <w:spacing w:line="360" w:lineRule="auto" w:after="0"/>
        <w:ind w:firstLine="425"/>
      </w:pPr>
      <w:r>
        <w:rPr>
          <w:rFonts w:ascii="Times New Roman" w:hAnsi="Times New Roman" w:eastAsia="宋体"/>
          <w:b/>
          <w:i w:val="0"/>
          <w:sz w:val="22"/>
        </w:rPr>
        <w:t>燃气轮机</w:t>
      </w:r>
      <w:r>
        <w:rPr>
          <w:rFonts w:ascii="Times New Roman" w:hAnsi="Times New Roman" w:eastAsia="宋体"/>
          <w:b w:val="0"/>
          <w:i w:val="0"/>
          <w:sz w:val="22"/>
        </w:rPr>
        <w:t>：消耗天然气发电，效率约30-40%。燃气轮机启停灵活，适合调峰运行。在气价低、电价高时运行可获得较高利润。</w:t>
      </w:r>
    </w:p>
    <w:p>
      <w:pPr>
        <w:spacing w:line="360" w:lineRule="auto" w:after="0"/>
        <w:ind w:firstLine="425"/>
      </w:pPr>
      <w:r>
        <w:rPr>
          <w:rFonts w:ascii="Times New Roman" w:hAnsi="Times New Roman" w:eastAsia="宋体"/>
          <w:b/>
          <w:i w:val="0"/>
          <w:sz w:val="22"/>
        </w:rPr>
        <w:t>P2G（Power-to-Gas）</w:t>
      </w:r>
      <w:r>
        <w:rPr>
          <w:rFonts w:ascii="Times New Roman" w:hAnsi="Times New Roman" w:eastAsia="宋体"/>
          <w:b w:val="0"/>
          <w:i w:val="0"/>
          <w:sz w:val="22"/>
        </w:rPr>
        <w:t>：将电力转化为氢气或合成天然气，实现电-气耦合。电解水制氢的效率约60-70%，P2G技术的商业化程度正在提高。在可再生能源出力过剩时，P2G可消纳弃电并转化为可储存的气体燃料。</w:t>
      </w:r>
    </w:p>
    <w:p>
      <w:pPr>
        <w:spacing w:line="360" w:lineRule="auto" w:after="0"/>
        <w:ind w:firstLine="425"/>
      </w:pPr>
      <w:r>
        <w:rPr>
          <w:rFonts w:ascii="Times New Roman" w:hAnsi="Times New Roman" w:eastAsia="宋体"/>
          <w:b w:val="0"/>
          <w:i w:val="0"/>
          <w:sz w:val="22"/>
        </w:rPr>
        <w:t>这些耦合设备在优化模型中通过能效转换矩阵描述。多能源最优潮流（MEOPF）问题将电力潮流、气体流量和热力管网方程纳入统一的优化框架，计算复杂度显著高于单一能源系统。</w:t>
      </w:r>
    </w:p>
    <w:p>
      <w:pPr>
        <w:pStyle w:val="Heading3"/>
        <w:spacing w:before="160" w:after="60"/>
      </w:pPr>
      <w:r>
        <w:rPr>
          <w:rFonts w:ascii="Times New Roman" w:hAnsi="Times New Roman" w:eastAsia="黑体"/>
          <w:b/>
          <w:i w:val="0"/>
          <w:sz w:val="24"/>
        </w:rPr>
        <w:t>11.5.2 分布式协同定价的分层架构</w:t>
      </w:r>
    </w:p>
    <w:p>
      <w:pPr>
        <w:spacing w:line="360" w:lineRule="auto" w:after="0"/>
        <w:ind w:firstLine="425"/>
      </w:pPr>
      <w:r>
        <w:rPr>
          <w:rFonts w:ascii="Times New Roman" w:hAnsi="Times New Roman" w:eastAsia="宋体"/>
          <w:b w:val="0"/>
          <w:i w:val="0"/>
          <w:sz w:val="22"/>
        </w:rPr>
        <w:t>综合能源系统的协同定价采用分层架构。上层为系统运营商，负责全系统协调和价格信号生成；下层为各能源子系统，在给定价格信号下独立优化运行。</w:t>
      </w:r>
    </w:p>
    <w:p>
      <w:pPr>
        <w:spacing w:line="360" w:lineRule="auto" w:after="0"/>
        <w:ind w:firstLine="425"/>
      </w:pPr>
      <w:r>
        <w:rPr>
          <w:rFonts w:ascii="Times New Roman" w:hAnsi="Times New Roman" w:eastAsia="宋体"/>
          <w:b/>
          <w:i w:val="0"/>
          <w:sz w:val="22"/>
        </w:rPr>
        <w:t>上层协调</w:t>
      </w:r>
      <w:r>
        <w:rPr>
          <w:rFonts w:ascii="Times New Roman" w:hAnsi="Times New Roman" w:eastAsia="宋体"/>
          <w:b w:val="0"/>
          <w:i w:val="0"/>
          <w:sz w:val="22"/>
        </w:rPr>
        <w:t>：系统运营商通过拉格朗日松弛或ADMM方法生成各子系统的边界条件（即耦合设备处的价格信号）。上层优化的目标为全系统社会福利最大化，约束为能源平衡和耦合设备容量限制。</w:t>
      </w:r>
    </w:p>
    <w:p>
      <w:pPr>
        <w:spacing w:line="360" w:lineRule="auto" w:after="0"/>
        <w:ind w:firstLine="425"/>
      </w:pPr>
      <w:r>
        <w:rPr>
          <w:rFonts w:ascii="Times New Roman" w:hAnsi="Times New Roman" w:eastAsia="宋体"/>
          <w:b/>
          <w:i w:val="0"/>
          <w:sz w:val="22"/>
        </w:rPr>
        <w:t>下层优化</w:t>
      </w:r>
      <w:r>
        <w:rPr>
          <w:rFonts w:ascii="Times New Roman" w:hAnsi="Times New Roman" w:eastAsia="宋体"/>
          <w:b w:val="0"/>
          <w:i w:val="0"/>
          <w:sz w:val="22"/>
        </w:rPr>
        <w:t>：各子系统在给定价格信号下优化自身运行。电力子系统优化发电调度和负荷分配，天然气子系统优化气源调度和管网流量，热力子系统优化热源调度和供热分配。下层优化可以独立并行求解，降低了计算复杂度。</w:t>
      </w:r>
    </w:p>
    <w:p>
      <w:pPr>
        <w:spacing w:line="360" w:lineRule="auto" w:after="0"/>
        <w:ind w:firstLine="425"/>
      </w:pPr>
      <w:r>
        <w:rPr>
          <w:rFonts w:ascii="Times New Roman" w:hAnsi="Times New Roman" w:eastAsia="宋体"/>
          <w:b w:val="0"/>
          <w:i w:val="0"/>
          <w:sz w:val="22"/>
        </w:rPr>
        <w:t>分层架构的收敛性取决于耦合变量的协调效率。ADMM在两子系统耦合时收敛性较好，但多子系统耦合时可能需要更多迭代。改进方法包括残差平衡和自适应惩罚参数等。数值实验表明，对于包含电-气-热三个子系统的综合能源系统，分层ADMM通常在20-50次迭代内收敛。</w:t>
      </w:r>
    </w:p>
    <w:p>
      <w:pPr>
        <w:pStyle w:val="Heading3"/>
        <w:spacing w:before="160" w:after="60"/>
      </w:pPr>
      <w:r>
        <w:rPr>
          <w:rFonts w:ascii="Times New Roman" w:hAnsi="Times New Roman" w:eastAsia="黑体"/>
          <w:b/>
          <w:i w:val="0"/>
          <w:sz w:val="24"/>
        </w:rPr>
        <w:t>11.5.3 电氢氨融合系统的定价前景</w:t>
      </w:r>
    </w:p>
    <w:p>
      <w:pPr>
        <w:spacing w:line="360" w:lineRule="auto" w:after="0"/>
        <w:ind w:firstLine="425"/>
      </w:pPr>
      <w:r>
        <w:rPr>
          <w:rFonts w:ascii="Times New Roman" w:hAnsi="Times New Roman" w:eastAsia="宋体"/>
          <w:b w:val="0"/>
          <w:i w:val="0"/>
          <w:sz w:val="22"/>
        </w:rPr>
        <w:t>电氢氨融合系统是综合能源系统的新兴方向，将电力与氢能、氨能的生产、储存和利用相结合，实现跨能源形式的长时储能和远距离传输。</w:t>
      </w:r>
    </w:p>
    <w:p>
      <w:pPr>
        <w:spacing w:line="360" w:lineRule="auto" w:after="0"/>
        <w:ind w:firstLine="425"/>
      </w:pPr>
      <w:r>
        <w:rPr>
          <w:rFonts w:ascii="Times New Roman" w:hAnsi="Times New Roman" w:eastAsia="宋体"/>
          <w:b/>
          <w:i w:val="0"/>
          <w:sz w:val="22"/>
        </w:rPr>
        <w:t>系统架构</w:t>
      </w:r>
      <w:r>
        <w:rPr>
          <w:rFonts w:ascii="Times New Roman" w:hAnsi="Times New Roman" w:eastAsia="宋体"/>
          <w:b w:val="0"/>
          <w:i w:val="0"/>
          <w:sz w:val="22"/>
        </w:rPr>
        <w:t>：电解水制氢将可再生能源电力转化为氢气，氢气可直接使用或通过Haber-Bosch过程合成氨。氨的储运基础设施成熟（液氨储运成本仅为液氢的1/5），且氨可作为燃料直接燃烧发电或作为化工原料。电氢氨系统实现了"电→氢→氨→电"的能量循环，为可再生能源的长时储能和跨季节调节提供了方案。</w:t>
      </w:r>
    </w:p>
    <w:p>
      <w:pPr>
        <w:spacing w:line="360" w:lineRule="auto" w:after="0"/>
        <w:ind w:firstLine="425"/>
      </w:pPr>
      <w:r>
        <w:rPr>
          <w:rFonts w:ascii="Times New Roman" w:hAnsi="Times New Roman" w:eastAsia="宋体"/>
          <w:b/>
          <w:i w:val="0"/>
          <w:sz w:val="22"/>
        </w:rPr>
        <w:t>定价挑战</w:t>
      </w:r>
      <w:r>
        <w:rPr>
          <w:rFonts w:ascii="Times New Roman" w:hAnsi="Times New Roman" w:eastAsia="宋体"/>
          <w:b w:val="0"/>
          <w:i w:val="0"/>
          <w:sz w:val="22"/>
        </w:rPr>
        <w:t>：电氢氨融合系统的定价面临以下挑战。首先，电解水制氢的效率约60-70%，能量转化损失较大，氢气的等价电价高于直接用电。其次，氢气和氨的储运成本占总成本的30-50%，远高于电力输配成本。第三，电氢氨系统的运行模式复杂——需要在电力市场价格、氢气市场价格和氨市场价格之间做出最优决策。</w:t>
      </w:r>
    </w:p>
    <w:p>
      <w:pPr>
        <w:spacing w:line="360" w:lineRule="auto" w:after="0"/>
        <w:ind w:firstLine="425"/>
      </w:pPr>
      <w:r>
        <w:rPr>
          <w:rFonts w:ascii="Times New Roman" w:hAnsi="Times New Roman" w:eastAsia="宋体"/>
          <w:b/>
          <w:i w:val="0"/>
          <w:sz w:val="22"/>
        </w:rPr>
        <w:t>优化模型</w:t>
      </w:r>
      <w:r>
        <w:rPr>
          <w:rFonts w:ascii="Times New Roman" w:hAnsi="Times New Roman" w:eastAsia="宋体"/>
          <w:b w:val="0"/>
          <w:i w:val="0"/>
          <w:sz w:val="22"/>
        </w:rPr>
        <w:t>：电氢氨系统的协同定价可采用多阶段随机规划模型。第一阶段决定电解槽容量和储氢设施的投资，第二阶段在随机电价和氢价下决定运行策略。目标函数为全生命周期净利润最大化，约束包括物料平衡、能量平衡和设备容量限制。</w:t>
      </w:r>
    </w:p>
    <w:p>
      <w:pPr>
        <w:spacing w:line="360" w:lineRule="auto" w:after="0"/>
        <w:ind w:firstLine="425"/>
      </w:pPr>
      <w:r>
        <w:rPr>
          <w:rFonts w:ascii="Times New Roman" w:hAnsi="Times New Roman" w:eastAsia="宋体"/>
          <w:b w:val="0"/>
          <w:i w:val="0"/>
          <w:sz w:val="22"/>
        </w:rPr>
        <w:t>日本在电氢氨融合系统方面处于领先地位。2024年，日本启动了福岛氢能研究场（FH2R）的扩展项目，电解槽容量达10MW，年产氢量约200吨。澳大利亚的氢能出口计划将可再生能源制氢与氨合成结合，计划2030年向日本和韩国出口100万吨绿氨。中国的电氢氨项目也在快速推进，内蒙古、新疆等可再生能源丰富地区已开始建设GW级绿氢项目。</w:t>
      </w:r>
    </w:p>
    <w:p>
      <w:pPr>
        <w:pStyle w:val="Heading2"/>
        <w:spacing w:before="240" w:after="80"/>
      </w:pPr>
      <w:r>
        <w:rPr>
          <w:rFonts w:ascii="Times New Roman" w:hAnsi="Times New Roman" w:eastAsia="黑体"/>
          <w:b/>
          <w:i w:val="0"/>
          <w:sz w:val="28"/>
        </w:rPr>
        <w:t>参考文献</w:t>
      </w:r>
    </w:p>
    <w:p>
      <w:pPr>
        <w:spacing w:after="40" w:line="276" w:lineRule="auto"/>
        <w:ind w:left="425" w:hanging="425"/>
      </w:pPr>
      <w:r>
        <w:rPr>
          <w:rFonts w:ascii="Times New Roman" w:hAnsi="Times New Roman" w:eastAsia="宋体"/>
          <w:b w:val="0"/>
          <w:i w:val="0"/>
          <w:sz w:val="20"/>
        </w:rPr>
        <w:t>[1] Ma et al. The Energy Management Strategies Based on Dynamic Energy Pricing for Community Integrated Energy System Considering the Interactions Between Suppliers and Users[J]. Energy, 2020.</w:t>
      </w:r>
    </w:p>
    <w:p>
      <w:pPr>
        <w:spacing w:after="40" w:line="276" w:lineRule="auto"/>
        <w:ind w:left="425" w:hanging="425"/>
      </w:pPr>
      <w:r>
        <w:rPr>
          <w:rFonts w:ascii="Times New Roman" w:hAnsi="Times New Roman" w:eastAsia="宋体"/>
          <w:b w:val="0"/>
          <w:i w:val="0"/>
          <w:sz w:val="20"/>
        </w:rPr>
        <w:t>[2] 李军祥, 高岩, 朱红波, 等. 智能电网互补能源供用电实时定价算法研究[J]. 计算机应用研究, 2019, 36(12): 3663-3668.</w:t>
      </w:r>
    </w:p>
    <w:p>
      <w:pPr>
        <w:spacing w:after="40" w:line="276" w:lineRule="auto"/>
        <w:ind w:left="425" w:hanging="425"/>
      </w:pPr>
      <w:r>
        <w:rPr>
          <w:rFonts w:ascii="Times New Roman" w:hAnsi="Times New Roman" w:eastAsia="宋体"/>
          <w:b w:val="0"/>
          <w:i w:val="0"/>
          <w:sz w:val="20"/>
        </w:rPr>
        <w:t>[3] 李军祥, 高岩, 朱红波, 等. 智能电网互补能源供用电实时定价算法研究[J]. 计算机应用研究, 2020, 37(1): 153-158.</w:t>
      </w:r>
    </w:p>
    <w:p>
      <w:pPr>
        <w:spacing w:after="40" w:line="276" w:lineRule="auto"/>
        <w:ind w:left="425" w:hanging="425"/>
      </w:pPr>
      <w:r>
        <w:rPr>
          <w:rFonts w:ascii="Times New Roman" w:hAnsi="Times New Roman" w:eastAsia="宋体"/>
          <w:b w:val="0"/>
          <w:i w:val="0"/>
          <w:sz w:val="20"/>
        </w:rPr>
        <w:t>[4] 许志宏, 高岩. 基于正交逐步优化算法的智能电网储能优化[J]. 系统工程理论与实践, 2020, 40(3): 685-695.</w:t>
      </w:r>
    </w:p>
    <w:p>
      <w:pPr>
        <w:spacing w:after="40" w:line="276" w:lineRule="auto"/>
        <w:ind w:left="425" w:hanging="425"/>
      </w:pPr>
      <w:r>
        <w:rPr>
          <w:rFonts w:ascii="Times New Roman" w:hAnsi="Times New Roman" w:eastAsia="宋体"/>
          <w:b w:val="0"/>
          <w:i w:val="0"/>
          <w:sz w:val="20"/>
        </w:rPr>
        <w:t>[5] Tao, Gao. Real-Time Pricing for Smart Grid with Distributed Energy and Storage[J]. Journal of Industrial and Management Optimization, 2020.</w:t>
      </w:r>
    </w:p>
    <w:p>
      <w:pPr>
        <w:spacing w:after="40" w:line="276" w:lineRule="auto"/>
        <w:ind w:left="425" w:hanging="425"/>
      </w:pPr>
      <w:r>
        <w:rPr>
          <w:rFonts w:ascii="Times New Roman" w:hAnsi="Times New Roman" w:eastAsia="宋体"/>
          <w:b w:val="0"/>
          <w:i w:val="0"/>
          <w:sz w:val="20"/>
        </w:rPr>
        <w:t>[6] Geidl M, Andersson G. Optimal power flow of multiple energy carriers[J]. IEEE Transactions on Power Systems, 2007, 22(1): 145-155.</w:t>
      </w:r>
    </w:p>
    <w:p>
      <w:pPr>
        <w:spacing w:after="40" w:line="276" w:lineRule="auto"/>
        <w:ind w:left="425" w:hanging="425"/>
      </w:pPr>
      <w:r>
        <w:rPr>
          <w:rFonts w:ascii="Times New Roman" w:hAnsi="Times New Roman" w:eastAsia="宋体"/>
          <w:b w:val="0"/>
          <w:i w:val="0"/>
          <w:sz w:val="20"/>
        </w:rPr>
        <w:t>[7] Mancarella P. MES (multi-energy systems): An overview of concepts and evaluation models[J]. Energy, 2014, 65: 1-17.</w:t>
      </w:r>
    </w:p>
    <w:p>
      <w:pPr>
        <w:spacing w:after="40" w:line="276" w:lineRule="auto"/>
        <w:ind w:left="425" w:hanging="425"/>
      </w:pPr>
      <w:r>
        <w:rPr>
          <w:rFonts w:ascii="Times New Roman" w:hAnsi="Times New Roman" w:eastAsia="宋体"/>
          <w:b w:val="0"/>
          <w:i w:val="0"/>
          <w:sz w:val="20"/>
        </w:rPr>
        <w:t>[8] Liu X, Wu J, Jenkins N, et al. Combined analysis of electricity and heat networks[J]. Applied Energy, 2016, 162: 1238-1250.</w:t>
      </w:r>
    </w:p>
    <w:p>
      <w:pPr>
        <w:spacing w:after="40" w:line="276" w:lineRule="auto"/>
        <w:ind w:left="425" w:hanging="425"/>
      </w:pPr>
      <w:r>
        <w:rPr>
          <w:rFonts w:ascii="Times New Roman" w:hAnsi="Times New Roman" w:eastAsia="宋体"/>
          <w:b w:val="0"/>
          <w:i w:val="0"/>
          <w:sz w:val="20"/>
        </w:rPr>
        <w:t>[9] Vetier R, Zecchin M, Mancarella P. Integrated electricity-heat-gas systems: Market design and operational optimization[J]. IEEE Transactions on Smart Grid, 2021, 12(4): 2989-3001.</w:t>
      </w:r>
    </w:p>
    <w:p>
      <w:pPr>
        <w:spacing w:after="40" w:line="276" w:lineRule="auto"/>
        <w:ind w:left="425" w:hanging="425"/>
      </w:pPr>
      <w:r>
        <w:rPr>
          <w:rFonts w:ascii="Times New Roman" w:hAnsi="Times New Roman" w:eastAsia="宋体"/>
          <w:b w:val="0"/>
          <w:i w:val="0"/>
          <w:sz w:val="20"/>
        </w:rPr>
        <w:t>[10] Zhang Y, Campana P E, Yang Y, et al. Energy flexibility of buildings: A review of simulation-based assessment methods[J]. Energy and Buildings, 2022, 256: 111730.</w:t>
      </w:r>
    </w:p>
    <w:p>
      <w:pPr>
        <w:jc w:val="center"/>
      </w:pPr>
      <w:r>
        <w:drawing>
          <wp:inline xmlns:a="http://schemas.openxmlformats.org/drawingml/2006/main" xmlns:pic="http://schemas.openxmlformats.org/drawingml/2006/picture">
            <wp:extent cx="5029200" cy="4226821"/>
            <wp:docPr id="8" name="Picture 8"/>
            <wp:cNvGraphicFramePr>
              <a:graphicFrameLocks noChangeAspect="1"/>
            </wp:cNvGraphicFramePr>
            <a:graphic>
              <a:graphicData uri="http://schemas.openxmlformats.org/drawingml/2006/picture">
                <pic:pic>
                  <pic:nvPicPr>
                    <pic:cNvPr id="0" name="08_ies_architecture.png"/>
                    <pic:cNvPicPr/>
                  </pic:nvPicPr>
                  <pic:blipFill>
                    <a:blip r:embed="rId16"/>
                    <a:stretch>
                      <a:fillRect/>
                    </a:stretch>
                  </pic:blipFill>
                  <pic:spPr>
                    <a:xfrm>
                      <a:off x="0" y="0"/>
                      <a:ext cx="5029200" cy="4226821"/>
                    </a:xfrm>
                    <a:prstGeom prst="rect"/>
                  </pic:spPr>
                </pic:pic>
              </a:graphicData>
            </a:graphic>
          </wp:inline>
        </w:drawing>
      </w:r>
    </w:p>
    <w:p>
      <w:pPr>
        <w:jc w:val="center"/>
      </w:pPr>
      <w:r>
        <w:rPr>
          <w:rFonts w:ascii="Times New Roman" w:hAnsi="Times New Roman" w:eastAsia="黑体"/>
          <w:b/>
          <w:i w:val="0"/>
          <w:color w:val="606060"/>
          <w:sz w:val="20"/>
        </w:rPr>
        <w:t>图8 综合能源系统动态定价架构</w:t>
      </w:r>
    </w:p>
    <w:p>
      <w:r>
        <w:br w:type="page"/>
      </w:r>
    </w:p>
    <w:p>
      <w:pPr>
        <w:pStyle w:val="Heading1"/>
        <w:spacing w:before="360" w:after="120"/>
      </w:pPr>
      <w:r>
        <w:rPr>
          <w:rFonts w:ascii="Times New Roman" w:hAnsi="Times New Roman" w:eastAsia="黑体"/>
          <w:b/>
          <w:i w:val="0"/>
          <w:sz w:val="32"/>
        </w:rPr>
        <w:t>第12章 未来展望与挑战</w:t>
      </w:r>
    </w:p>
    <w:p>
      <w:pPr>
        <w:pStyle w:val="Heading2"/>
        <w:spacing w:before="240" w:after="80"/>
      </w:pPr>
      <w:r>
        <w:rPr>
          <w:rFonts w:ascii="Times New Roman" w:hAnsi="Times New Roman" w:eastAsia="黑体"/>
          <w:b/>
          <w:i w:val="0"/>
          <w:sz w:val="28"/>
        </w:rPr>
        <w:t>学习目标</w:t>
      </w:r>
    </w:p>
    <w:p>
      <w:pPr>
        <w:pStyle w:val="ListBullet"/>
        <w:spacing w:line="360" w:lineRule="auto" w:after="0"/>
      </w:pPr>
      <w:r>
        <w:rPr>
          <w:rFonts w:ascii="Times New Roman" w:hAnsi="Times New Roman" w:eastAsia="宋体"/>
          <w:b w:val="0"/>
          <w:i w:val="0"/>
          <w:sz w:val="22"/>
        </w:rPr>
        <w:t>把握智能电网实时定价面临的技术、市场和政策挑战</w:t>
      </w:r>
    </w:p>
    <w:p>
      <w:pPr>
        <w:pStyle w:val="ListBullet"/>
        <w:spacing w:line="360" w:lineRule="auto" w:after="0"/>
      </w:pPr>
      <w:r>
        <w:rPr>
          <w:rFonts w:ascii="Times New Roman" w:hAnsi="Times New Roman" w:eastAsia="宋体"/>
          <w:b w:val="0"/>
          <w:i w:val="0"/>
          <w:sz w:val="22"/>
        </w:rPr>
        <w:t>了解数据安全与隐私保护在实时定价中的重要性</w:t>
      </w:r>
    </w:p>
    <w:p>
      <w:pPr>
        <w:pStyle w:val="ListBullet"/>
        <w:spacing w:line="360" w:lineRule="auto" w:after="0"/>
      </w:pPr>
      <w:r>
        <w:rPr>
          <w:rFonts w:ascii="Times New Roman" w:hAnsi="Times New Roman" w:eastAsia="宋体"/>
          <w:b w:val="0"/>
          <w:i w:val="0"/>
          <w:sz w:val="22"/>
        </w:rPr>
        <w:t>展望人工智能与定价融合的未来趋势</w:t>
      </w:r>
    </w:p>
    <w:p>
      <w:pPr>
        <w:pStyle w:val="Heading2"/>
        <w:spacing w:before="240" w:after="80"/>
      </w:pPr>
      <w:r>
        <w:rPr>
          <w:rFonts w:ascii="Times New Roman" w:hAnsi="Times New Roman" w:eastAsia="黑体"/>
          <w:b/>
          <w:i w:val="0"/>
          <w:sz w:val="28"/>
        </w:rPr>
        <w:t>导入案例：从研究到实践的鸿沟</w:t>
      </w:r>
    </w:p>
    <w:p>
      <w:pPr>
        <w:spacing w:line="360" w:lineRule="auto" w:after="0"/>
        <w:ind w:firstLine="425"/>
      </w:pPr>
      <w:r>
        <w:rPr>
          <w:rFonts w:ascii="Times New Roman" w:hAnsi="Times New Roman" w:eastAsia="宋体"/>
          <w:b w:val="0"/>
          <w:i w:val="0"/>
          <w:sz w:val="22"/>
        </w:rPr>
        <w:t>尽管智能电网实时定价的理论研究已取得丰硕成果，但从学术研究到大规模工程应用仍存在显著鸿沟。截至2025年，全球实施RTP项目的用户不足总电力用户的5%。这一现状反映了实时定价在技术成熟度、市场机制、用户接受度和政策环境等方面面临的深层次挑战。高岩团队的研究在理论创新方面做出了系统性贡献，如何将这些成果转化为实际应用是未来需要重点关注的议题。</w:t>
      </w:r>
    </w:p>
    <w:p>
      <w:pPr>
        <w:pStyle w:val="Heading2"/>
        <w:spacing w:before="240" w:after="80"/>
      </w:pPr>
      <w:r>
        <w:rPr>
          <w:rFonts w:ascii="Times New Roman" w:hAnsi="Times New Roman" w:eastAsia="黑体"/>
          <w:b/>
          <w:i w:val="0"/>
          <w:sz w:val="28"/>
        </w:rPr>
        <w:t>12.1 技术挑战</w:t>
      </w:r>
    </w:p>
    <w:p>
      <w:pPr>
        <w:pStyle w:val="Heading3"/>
        <w:spacing w:before="160" w:after="60"/>
      </w:pPr>
      <w:r>
        <w:rPr>
          <w:rFonts w:ascii="Times New Roman" w:hAnsi="Times New Roman" w:eastAsia="黑体"/>
          <w:b/>
          <w:i w:val="0"/>
          <w:sz w:val="24"/>
        </w:rPr>
        <w:t>12.1.1 通信与计算基础设施</w:t>
      </w:r>
    </w:p>
    <w:p>
      <w:pPr>
        <w:spacing w:line="360" w:lineRule="auto" w:after="0"/>
        <w:ind w:firstLine="425"/>
      </w:pPr>
      <w:r>
        <w:rPr>
          <w:rFonts w:ascii="Times New Roman" w:hAnsi="Times New Roman" w:eastAsia="宋体"/>
          <w:b w:val="0"/>
          <w:i w:val="0"/>
          <w:sz w:val="22"/>
        </w:rPr>
        <w:t>实时定价对通信和计算基础设施提出了高要求：</w:t>
      </w:r>
    </w:p>
    <w:p>
      <w:pPr>
        <w:pStyle w:val="ListBullet"/>
        <w:spacing w:line="360" w:lineRule="auto" w:after="0"/>
      </w:pPr>
      <w:r>
        <w:rPr>
          <w:rFonts w:ascii="Times New Roman" w:hAnsi="Times New Roman" w:eastAsia="宋体"/>
          <w:b/>
          <w:i w:val="0"/>
          <w:sz w:val="22"/>
        </w:rPr>
        <w:t>低延迟通信</w:t>
      </w:r>
      <w:r>
        <w:rPr>
          <w:rFonts w:ascii="Times New Roman" w:hAnsi="Times New Roman" w:eastAsia="宋体"/>
          <w:b w:val="0"/>
          <w:i w:val="0"/>
          <w:sz w:val="22"/>
        </w:rPr>
        <w:t>：价格信号需要在分钟级内传达至所有用户</w:t>
      </w:r>
    </w:p>
    <w:p>
      <w:pPr>
        <w:pStyle w:val="ListBullet"/>
        <w:spacing w:line="360" w:lineRule="auto" w:after="0"/>
      </w:pPr>
      <w:r>
        <w:rPr>
          <w:rFonts w:ascii="Times New Roman" w:hAnsi="Times New Roman" w:eastAsia="宋体"/>
          <w:b/>
          <w:i w:val="0"/>
          <w:sz w:val="22"/>
        </w:rPr>
        <w:t>高并发处理</w:t>
      </w:r>
      <w:r>
        <w:rPr>
          <w:rFonts w:ascii="Times New Roman" w:hAnsi="Times New Roman" w:eastAsia="宋体"/>
          <w:b w:val="0"/>
          <w:i w:val="0"/>
          <w:sz w:val="22"/>
        </w:rPr>
        <w:t>：大规模用户同时接入需要强大的并发处理能力</w:t>
      </w:r>
    </w:p>
    <w:p>
      <w:pPr>
        <w:pStyle w:val="ListBullet"/>
        <w:spacing w:line="360" w:lineRule="auto" w:after="0"/>
      </w:pPr>
      <w:r>
        <w:rPr>
          <w:rFonts w:ascii="Times New Roman" w:hAnsi="Times New Roman" w:eastAsia="宋体"/>
          <w:b/>
          <w:i w:val="0"/>
          <w:sz w:val="22"/>
        </w:rPr>
        <w:t>边缘计算</w:t>
      </w:r>
      <w:r>
        <w:rPr>
          <w:rFonts w:ascii="Times New Roman" w:hAnsi="Times New Roman" w:eastAsia="宋体"/>
          <w:b w:val="0"/>
          <w:i w:val="0"/>
          <w:sz w:val="22"/>
        </w:rPr>
        <w:t>：部分计算任务需要下沉到边缘节点以降低延迟</w:t>
      </w:r>
    </w:p>
    <w:p>
      <w:pPr>
        <w:pStyle w:val="ListBullet"/>
        <w:spacing w:line="360" w:lineRule="auto" w:after="0"/>
      </w:pPr>
      <w:r>
        <w:rPr>
          <w:rFonts w:ascii="Times New Roman" w:hAnsi="Times New Roman" w:eastAsia="宋体"/>
          <w:b/>
          <w:i w:val="0"/>
          <w:sz w:val="22"/>
        </w:rPr>
        <w:t>5G/6G应用</w:t>
      </w:r>
      <w:r>
        <w:rPr>
          <w:rFonts w:ascii="Times New Roman" w:hAnsi="Times New Roman" w:eastAsia="宋体"/>
          <w:b w:val="0"/>
          <w:i w:val="0"/>
          <w:sz w:val="22"/>
        </w:rPr>
        <w:t>：新一代通信技术为实时定价提供了更低的延迟和更高的带宽</w:t>
      </w:r>
    </w:p>
    <w:p>
      <w:pPr>
        <w:pStyle w:val="Heading3"/>
        <w:spacing w:before="160" w:after="60"/>
      </w:pPr>
      <w:r>
        <w:rPr>
          <w:rFonts w:ascii="Times New Roman" w:hAnsi="Times New Roman" w:eastAsia="黑体"/>
          <w:b/>
          <w:i w:val="0"/>
          <w:sz w:val="24"/>
        </w:rPr>
        <w:t>12.1.2 智能电表覆盖率</w:t>
      </w:r>
    </w:p>
    <w:p>
      <w:pPr>
        <w:spacing w:line="360" w:lineRule="auto" w:after="0"/>
        <w:ind w:firstLine="425"/>
      </w:pPr>
      <w:r>
        <w:rPr>
          <w:rFonts w:ascii="Times New Roman" w:hAnsi="Times New Roman" w:eastAsia="宋体"/>
          <w:b w:val="0"/>
          <w:i w:val="0"/>
          <w:sz w:val="22"/>
        </w:rPr>
        <w:t>智能电表是实现实时定价的物理基础。截至2024年，中国智能电表覆盖率已超过95%，但部分地区仍需升级换代。智能电表的数据采集精度、通信能力和计算能力直接影响定价效果</w:t>
      </w:r>
      <w:r>
        <w:rPr>
          <w:rFonts w:ascii="Times New Roman" w:hAnsi="Times New Roman" w:eastAsia="Times New Roman"/>
          <w:b w:val="0"/>
          <w:i w:val="0"/>
          <w:sz w:val="18"/>
          <w:vertAlign w:val="superscript"/>
        </w:rPr>
        <w:t>[1]</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12.1.3 算法实时性</w:t>
      </w:r>
    </w:p>
    <w:p>
      <w:pPr>
        <w:spacing w:line="360" w:lineRule="auto" w:after="0"/>
        <w:ind w:firstLine="425"/>
      </w:pPr>
      <w:r>
        <w:rPr>
          <w:rFonts w:ascii="Times New Roman" w:hAnsi="Times New Roman" w:eastAsia="宋体"/>
          <w:b w:val="0"/>
          <w:i w:val="0"/>
          <w:sz w:val="22"/>
        </w:rPr>
        <w:t>优化算法需要在每个定价周期内完成求解。对于大规模电力系统（用户数N &gt; 10^5），集中式算法的计算时间可能超过定价周期。分布式算法和强化学习方法为解决实时性问题提供了可行路径。</w:t>
      </w:r>
    </w:p>
    <w:p>
      <w:pPr>
        <w:pStyle w:val="Heading3"/>
        <w:spacing w:before="160" w:after="60"/>
      </w:pPr>
      <w:r>
        <w:rPr>
          <w:rFonts w:ascii="Times New Roman" w:hAnsi="Times New Roman" w:eastAsia="黑体"/>
          <w:b/>
          <w:i w:val="0"/>
          <w:sz w:val="24"/>
        </w:rPr>
        <w:t>12.1.4 负荷预测精度</w:t>
      </w:r>
    </w:p>
    <w:p>
      <w:pPr>
        <w:spacing w:line="360" w:lineRule="auto" w:after="0"/>
        <w:ind w:firstLine="425"/>
      </w:pPr>
      <w:r>
        <w:rPr>
          <w:rFonts w:ascii="Times New Roman" w:hAnsi="Times New Roman" w:eastAsia="宋体"/>
          <w:b w:val="0"/>
          <w:i w:val="0"/>
          <w:sz w:val="22"/>
        </w:rPr>
        <w:t>准确的负荷预测是实时定价的基础。尽管预测方法不断改进，但在极端天气和突发事件情况下，预测误差仍然较大。代业明等（2018）的预测更新机制</w:t>
      </w:r>
      <w:r>
        <w:rPr>
          <w:rFonts w:ascii="Times New Roman" w:hAnsi="Times New Roman" w:eastAsia="Times New Roman"/>
          <w:b w:val="0"/>
          <w:i w:val="0"/>
          <w:sz w:val="18"/>
          <w:vertAlign w:val="superscript"/>
        </w:rPr>
        <w:t>[2]</w:t>
      </w:r>
      <w:r>
        <w:rPr>
          <w:rFonts w:ascii="Times New Roman" w:hAnsi="Times New Roman" w:eastAsia="宋体"/>
          <w:b w:val="0"/>
          <w:i w:val="0"/>
          <w:sz w:val="22"/>
        </w:rPr>
        <w:t>和党等（2019）的小波-ARIMAX方法</w:t>
      </w:r>
      <w:r>
        <w:rPr>
          <w:rFonts w:ascii="Times New Roman" w:hAnsi="Times New Roman" w:eastAsia="Times New Roman"/>
          <w:b w:val="0"/>
          <w:i w:val="0"/>
          <w:sz w:val="18"/>
          <w:vertAlign w:val="superscript"/>
        </w:rPr>
        <w:t>[3]</w:t>
      </w:r>
      <w:r>
        <w:rPr>
          <w:rFonts w:ascii="Times New Roman" w:hAnsi="Times New Roman" w:eastAsia="宋体"/>
          <w:b w:val="0"/>
          <w:i w:val="0"/>
          <w:sz w:val="22"/>
        </w:rPr>
        <w:t>为提高预测精度做出了贡献，但仍需进一步研究。</w:t>
      </w:r>
    </w:p>
    <w:p>
      <w:pPr>
        <w:pStyle w:val="Heading2"/>
        <w:spacing w:before="240" w:after="80"/>
      </w:pPr>
      <w:r>
        <w:rPr>
          <w:rFonts w:ascii="Times New Roman" w:hAnsi="Times New Roman" w:eastAsia="黑体"/>
          <w:b/>
          <w:i w:val="0"/>
          <w:sz w:val="28"/>
        </w:rPr>
        <w:t>12.2 市场机制挑战</w:t>
      </w:r>
    </w:p>
    <w:p>
      <w:pPr>
        <w:pStyle w:val="Heading3"/>
        <w:spacing w:before="160" w:after="60"/>
      </w:pPr>
      <w:r>
        <w:rPr>
          <w:rFonts w:ascii="Times New Roman" w:hAnsi="Times New Roman" w:eastAsia="黑体"/>
          <w:b/>
          <w:i w:val="0"/>
          <w:sz w:val="24"/>
        </w:rPr>
        <w:t>12.2.1 市场设计问题</w:t>
      </w:r>
    </w:p>
    <w:p>
      <w:pPr>
        <w:spacing w:line="360" w:lineRule="auto" w:after="0"/>
        <w:ind w:firstLine="425"/>
      </w:pPr>
      <w:r>
        <w:rPr>
          <w:rFonts w:ascii="Times New Roman" w:hAnsi="Times New Roman" w:eastAsia="宋体"/>
          <w:b w:val="0"/>
          <w:i w:val="0"/>
          <w:sz w:val="22"/>
        </w:rPr>
        <w:t>实时定价的市场设计需要解决：</w:t>
      </w:r>
    </w:p>
    <w:p>
      <w:pPr>
        <w:pStyle w:val="ListBullet"/>
        <w:spacing w:line="360" w:lineRule="auto" w:after="0"/>
      </w:pPr>
      <w:r>
        <w:rPr>
          <w:rFonts w:ascii="Times New Roman" w:hAnsi="Times New Roman" w:eastAsia="宋体"/>
          <w:b/>
          <w:i w:val="0"/>
          <w:sz w:val="22"/>
        </w:rPr>
        <w:t>价格形成机制</w:t>
      </w:r>
      <w:r>
        <w:rPr>
          <w:rFonts w:ascii="Times New Roman" w:hAnsi="Times New Roman" w:eastAsia="宋体"/>
          <w:b w:val="0"/>
          <w:i w:val="0"/>
          <w:sz w:val="22"/>
        </w:rPr>
        <w:t>：如何确保价格信号准确反映供需状况</w:t>
      </w:r>
    </w:p>
    <w:p>
      <w:pPr>
        <w:pStyle w:val="ListBullet"/>
        <w:spacing w:line="360" w:lineRule="auto" w:after="0"/>
      </w:pPr>
      <w:r>
        <w:rPr>
          <w:rFonts w:ascii="Times New Roman" w:hAnsi="Times New Roman" w:eastAsia="宋体"/>
          <w:b/>
          <w:i w:val="0"/>
          <w:sz w:val="22"/>
        </w:rPr>
        <w:t>市场力防范</w:t>
      </w:r>
      <w:r>
        <w:rPr>
          <w:rFonts w:ascii="Times New Roman" w:hAnsi="Times New Roman" w:eastAsia="宋体"/>
          <w:b w:val="0"/>
          <w:i w:val="0"/>
          <w:sz w:val="22"/>
        </w:rPr>
        <w:t>：如何防止发电商/零售商行使市场力操纵价格</w:t>
      </w:r>
    </w:p>
    <w:p>
      <w:pPr>
        <w:pStyle w:val="ListBullet"/>
        <w:spacing w:line="360" w:lineRule="auto" w:after="0"/>
      </w:pPr>
      <w:r>
        <w:rPr>
          <w:rFonts w:ascii="Times New Roman" w:hAnsi="Times New Roman" w:eastAsia="宋体"/>
          <w:b/>
          <w:i w:val="0"/>
          <w:sz w:val="22"/>
        </w:rPr>
        <w:t>风险管理工具</w:t>
      </w:r>
      <w:r>
        <w:rPr>
          <w:rFonts w:ascii="Times New Roman" w:hAnsi="Times New Roman" w:eastAsia="宋体"/>
          <w:b w:val="0"/>
          <w:i w:val="0"/>
          <w:sz w:val="22"/>
        </w:rPr>
        <w:t>：如何为用户提供价格风险对冲工具</w:t>
      </w:r>
    </w:p>
    <w:p>
      <w:pPr>
        <w:pStyle w:val="ListBullet"/>
        <w:spacing w:line="360" w:lineRule="auto" w:after="0"/>
      </w:pPr>
      <w:r>
        <w:rPr>
          <w:rFonts w:ascii="Times New Roman" w:hAnsi="Times New Roman" w:eastAsia="宋体"/>
          <w:b/>
          <w:i w:val="0"/>
          <w:sz w:val="22"/>
        </w:rPr>
        <w:t>结算机制</w:t>
      </w:r>
      <w:r>
        <w:rPr>
          <w:rFonts w:ascii="Times New Roman" w:hAnsi="Times New Roman" w:eastAsia="宋体"/>
          <w:b w:val="0"/>
          <w:i w:val="0"/>
          <w:sz w:val="22"/>
        </w:rPr>
        <w:t>：如何设计公平高效的结算机制</w:t>
      </w:r>
    </w:p>
    <w:p>
      <w:pPr>
        <w:pStyle w:val="Heading3"/>
        <w:spacing w:before="160" w:after="60"/>
      </w:pPr>
      <w:r>
        <w:rPr>
          <w:rFonts w:ascii="Times New Roman" w:hAnsi="Times New Roman" w:eastAsia="黑体"/>
          <w:b/>
          <w:i w:val="0"/>
          <w:sz w:val="24"/>
        </w:rPr>
        <w:t>12.2.2 零售市场开放</w:t>
      </w:r>
    </w:p>
    <w:p>
      <w:pPr>
        <w:spacing w:line="360" w:lineRule="auto" w:after="0"/>
        <w:ind w:firstLine="425"/>
      </w:pPr>
      <w:r>
        <w:rPr>
          <w:rFonts w:ascii="Times New Roman" w:hAnsi="Times New Roman" w:eastAsia="宋体"/>
          <w:b w:val="0"/>
          <w:i w:val="0"/>
          <w:sz w:val="22"/>
        </w:rPr>
        <w:t>实时定价需要零售市场充分开放，允许用户自由选择零售商和定价方案。中国的电力市场化改革正在推进零售市场开放，但进程仍在进行中。</w:t>
      </w:r>
    </w:p>
    <w:p>
      <w:pPr>
        <w:pStyle w:val="Heading3"/>
        <w:spacing w:before="160" w:after="60"/>
      </w:pPr>
      <w:r>
        <w:rPr>
          <w:rFonts w:ascii="Times New Roman" w:hAnsi="Times New Roman" w:eastAsia="黑体"/>
          <w:b/>
          <w:i w:val="0"/>
          <w:sz w:val="24"/>
        </w:rPr>
        <w:t>12.2.3 跨市场协调</w:t>
      </w:r>
    </w:p>
    <w:p>
      <w:pPr>
        <w:spacing w:line="360" w:lineRule="auto" w:after="0"/>
        <w:ind w:firstLine="425"/>
      </w:pPr>
      <w:r>
        <w:rPr>
          <w:rFonts w:ascii="Times New Roman" w:hAnsi="Times New Roman" w:eastAsia="宋体"/>
          <w:b w:val="0"/>
          <w:i w:val="0"/>
          <w:sz w:val="22"/>
        </w:rPr>
        <w:t>电能量市场、辅助服务市场、容量市场和碳市场之间存在耦合关系，实时定价需要与这些市场协调运作。跨市场协调机制的复杂性是实际部署的重要障碍。</w:t>
      </w:r>
    </w:p>
    <w:p>
      <w:pPr>
        <w:pStyle w:val="Heading2"/>
        <w:spacing w:before="240" w:after="80"/>
      </w:pPr>
      <w:r>
        <w:rPr>
          <w:rFonts w:ascii="Times New Roman" w:hAnsi="Times New Roman" w:eastAsia="黑体"/>
          <w:b/>
          <w:i w:val="0"/>
          <w:sz w:val="28"/>
        </w:rPr>
        <w:t>12.3 数据安全与隐私保护</w:t>
      </w:r>
    </w:p>
    <w:p>
      <w:pPr>
        <w:pStyle w:val="Heading3"/>
        <w:spacing w:before="160" w:after="60"/>
      </w:pPr>
      <w:r>
        <w:rPr>
          <w:rFonts w:ascii="Times New Roman" w:hAnsi="Times New Roman" w:eastAsia="黑体"/>
          <w:b/>
          <w:i w:val="0"/>
          <w:sz w:val="24"/>
        </w:rPr>
        <w:t>12.3.1 智能电表数据隐私</w:t>
      </w:r>
    </w:p>
    <w:p>
      <w:pPr>
        <w:spacing w:line="360" w:lineRule="auto" w:after="0"/>
        <w:ind w:firstLine="425"/>
      </w:pPr>
      <w:r>
        <w:rPr>
          <w:rFonts w:ascii="Times New Roman" w:hAnsi="Times New Roman" w:eastAsia="宋体"/>
          <w:b w:val="0"/>
          <w:i w:val="0"/>
          <w:sz w:val="22"/>
        </w:rPr>
        <w:t>智能电表采集的高频用电数据可以推断用户的生活习惯、作息时间和经济状况，存在严重的隐私泄露风险。实时定价系统必须在提供精确价格信号的同时保护用户隐私。</w:t>
      </w:r>
    </w:p>
    <w:p>
      <w:pPr>
        <w:pStyle w:val="Heading3"/>
        <w:spacing w:before="160" w:after="60"/>
      </w:pPr>
      <w:r>
        <w:rPr>
          <w:rFonts w:ascii="Times New Roman" w:hAnsi="Times New Roman" w:eastAsia="黑体"/>
          <w:b/>
          <w:i w:val="0"/>
          <w:sz w:val="24"/>
        </w:rPr>
        <w:t>12.3.2 隐私保护技术</w:t>
      </w:r>
    </w:p>
    <w:p>
      <w:pPr>
        <w:pStyle w:val="ListBullet"/>
        <w:spacing w:line="360" w:lineRule="auto" w:after="0"/>
      </w:pPr>
      <w:r>
        <w:rPr>
          <w:rFonts w:ascii="Times New Roman" w:hAnsi="Times New Roman" w:eastAsia="宋体"/>
          <w:b/>
          <w:i w:val="0"/>
          <w:sz w:val="22"/>
        </w:rPr>
        <w:t>差分隐私</w:t>
      </w:r>
      <w:r>
        <w:rPr>
          <w:rFonts w:ascii="Times New Roman" w:hAnsi="Times New Roman" w:eastAsia="宋体"/>
          <w:b w:val="0"/>
          <w:i w:val="0"/>
          <w:sz w:val="22"/>
        </w:rPr>
        <w:t>：在数据发布中添加噪声保护隐私</w:t>
      </w:r>
    </w:p>
    <w:p>
      <w:pPr>
        <w:pStyle w:val="ListBullet"/>
        <w:spacing w:line="360" w:lineRule="auto" w:after="0"/>
      </w:pPr>
      <w:r>
        <w:rPr>
          <w:rFonts w:ascii="Times New Roman" w:hAnsi="Times New Roman" w:eastAsia="宋体"/>
          <w:b/>
          <w:i w:val="0"/>
          <w:sz w:val="22"/>
        </w:rPr>
        <w:t>联邦学习</w:t>
      </w:r>
      <w:r>
        <w:rPr>
          <w:rFonts w:ascii="Times New Roman" w:hAnsi="Times New Roman" w:eastAsia="宋体"/>
          <w:b w:val="0"/>
          <w:i w:val="0"/>
          <w:sz w:val="22"/>
        </w:rPr>
        <w:t>：在用户本地训练模型，仅上传模型参数</w:t>
      </w:r>
    </w:p>
    <w:p>
      <w:pPr>
        <w:pStyle w:val="ListBullet"/>
        <w:spacing w:line="360" w:lineRule="auto" w:after="0"/>
      </w:pPr>
      <w:r>
        <w:rPr>
          <w:rFonts w:ascii="Times New Roman" w:hAnsi="Times New Roman" w:eastAsia="宋体"/>
          <w:b/>
          <w:i w:val="0"/>
          <w:sz w:val="22"/>
        </w:rPr>
        <w:t>安全多方计算</w:t>
      </w:r>
      <w:r>
        <w:rPr>
          <w:rFonts w:ascii="Times New Roman" w:hAnsi="Times New Roman" w:eastAsia="宋体"/>
          <w:b w:val="0"/>
          <w:i w:val="0"/>
          <w:sz w:val="22"/>
        </w:rPr>
        <w:t>：多个参与方在不泄露各自数据的情况下协同计算</w:t>
      </w:r>
    </w:p>
    <w:p>
      <w:pPr>
        <w:pStyle w:val="ListBullet"/>
        <w:spacing w:line="360" w:lineRule="auto" w:after="0"/>
      </w:pPr>
      <w:r>
        <w:rPr>
          <w:rFonts w:ascii="Times New Roman" w:hAnsi="Times New Roman" w:eastAsia="宋体"/>
          <w:b/>
          <w:i w:val="0"/>
          <w:sz w:val="22"/>
        </w:rPr>
        <w:t>区块链</w:t>
      </w:r>
      <w:r>
        <w:rPr>
          <w:rFonts w:ascii="Times New Roman" w:hAnsi="Times New Roman" w:eastAsia="宋体"/>
          <w:b w:val="0"/>
          <w:i w:val="0"/>
          <w:sz w:val="22"/>
        </w:rPr>
        <w:t>：利用区块链的去中心化特性保护交易数据</w:t>
      </w:r>
    </w:p>
    <w:p>
      <w:pPr>
        <w:pStyle w:val="Heading3"/>
        <w:spacing w:before="160" w:after="60"/>
      </w:pPr>
      <w:r>
        <w:rPr>
          <w:rFonts w:ascii="Times New Roman" w:hAnsi="Times New Roman" w:eastAsia="黑体"/>
          <w:b/>
          <w:i w:val="0"/>
          <w:sz w:val="24"/>
        </w:rPr>
        <w:t>12.3.3 网络安全威胁</w:t>
      </w:r>
    </w:p>
    <w:p>
      <w:pPr>
        <w:spacing w:line="360" w:lineRule="auto" w:after="0"/>
        <w:ind w:firstLine="425"/>
      </w:pPr>
      <w:r>
        <w:rPr>
          <w:rFonts w:ascii="Times New Roman" w:hAnsi="Times New Roman" w:eastAsia="宋体"/>
          <w:b w:val="0"/>
          <w:i w:val="0"/>
          <w:sz w:val="22"/>
        </w:rPr>
        <w:t>实时定价系统面临的网络安全威胁包括：</w:t>
      </w:r>
    </w:p>
    <w:p>
      <w:pPr>
        <w:pStyle w:val="ListBullet"/>
        <w:spacing w:line="360" w:lineRule="auto" w:after="0"/>
      </w:pPr>
      <w:r>
        <w:rPr>
          <w:rFonts w:ascii="Times New Roman" w:hAnsi="Times New Roman" w:eastAsia="宋体"/>
          <w:b/>
          <w:i w:val="0"/>
          <w:sz w:val="22"/>
        </w:rPr>
        <w:t>价格信号篡改</w:t>
      </w:r>
      <w:r>
        <w:rPr>
          <w:rFonts w:ascii="Times New Roman" w:hAnsi="Times New Roman" w:eastAsia="宋体"/>
          <w:b w:val="0"/>
          <w:i w:val="0"/>
          <w:sz w:val="22"/>
        </w:rPr>
        <w:t>：攻击者篡改价格信号导致用户用电行为异常</w:t>
      </w:r>
    </w:p>
    <w:p>
      <w:pPr>
        <w:pStyle w:val="ListBullet"/>
        <w:spacing w:line="360" w:lineRule="auto" w:after="0"/>
      </w:pPr>
      <w:r>
        <w:rPr>
          <w:rFonts w:ascii="Times New Roman" w:hAnsi="Times New Roman" w:eastAsia="宋体"/>
          <w:b/>
          <w:i w:val="0"/>
          <w:sz w:val="22"/>
        </w:rPr>
        <w:t>拒绝服务攻击</w:t>
      </w:r>
      <w:r>
        <w:rPr>
          <w:rFonts w:ascii="Times New Roman" w:hAnsi="Times New Roman" w:eastAsia="宋体"/>
          <w:b w:val="0"/>
          <w:i w:val="0"/>
          <w:sz w:val="22"/>
        </w:rPr>
        <w:t>：使定价系统无法正常提供服务</w:t>
      </w:r>
    </w:p>
    <w:p>
      <w:pPr>
        <w:pStyle w:val="ListBullet"/>
        <w:spacing w:line="360" w:lineRule="auto" w:after="0"/>
      </w:pPr>
      <w:r>
        <w:rPr>
          <w:rFonts w:ascii="Times New Roman" w:hAnsi="Times New Roman" w:eastAsia="宋体"/>
          <w:b/>
          <w:i w:val="0"/>
          <w:sz w:val="22"/>
        </w:rPr>
        <w:t>数据注入攻击</w:t>
      </w:r>
      <w:r>
        <w:rPr>
          <w:rFonts w:ascii="Times New Roman" w:hAnsi="Times New Roman" w:eastAsia="宋体"/>
          <w:b w:val="0"/>
          <w:i w:val="0"/>
          <w:sz w:val="22"/>
        </w:rPr>
        <w:t>：注入虚假用电数据影响定价决策</w:t>
      </w:r>
    </w:p>
    <w:p>
      <w:pPr>
        <w:spacing w:line="360" w:lineRule="auto" w:after="0"/>
        <w:ind w:firstLine="425"/>
      </w:pPr>
      <w:r>
        <w:rPr>
          <w:rFonts w:ascii="Times New Roman" w:hAnsi="Times New Roman" w:eastAsia="宋体"/>
          <w:b w:val="0"/>
          <w:i w:val="0"/>
          <w:sz w:val="22"/>
        </w:rPr>
        <w:t>Liu等（2022）研究了智能电网中的实时定价响应攻击问题</w:t>
      </w:r>
      <w:r>
        <w:rPr>
          <w:rFonts w:ascii="Times New Roman" w:hAnsi="Times New Roman" w:eastAsia="Times New Roman"/>
          <w:b w:val="0"/>
          <w:i w:val="0"/>
          <w:sz w:val="18"/>
          <w:vertAlign w:val="superscript"/>
        </w:rPr>
        <w:t>[4]</w:t>
      </w:r>
      <w:r>
        <w:rPr>
          <w:rFonts w:ascii="Times New Roman" w:hAnsi="Times New Roman" w:eastAsia="宋体"/>
          <w:b w:val="0"/>
          <w:i w:val="0"/>
          <w:sz w:val="22"/>
        </w:rPr>
        <w:t>，揭示了定价系统的安全脆弱性。</w:t>
      </w:r>
    </w:p>
    <w:p>
      <w:pPr>
        <w:pStyle w:val="Heading2"/>
        <w:spacing w:before="240" w:after="80"/>
      </w:pPr>
      <w:r>
        <w:rPr>
          <w:rFonts w:ascii="Times New Roman" w:hAnsi="Times New Roman" w:eastAsia="黑体"/>
          <w:b/>
          <w:i w:val="0"/>
          <w:sz w:val="28"/>
        </w:rPr>
        <w:t>12.4 政策与法规环境</w:t>
      </w:r>
    </w:p>
    <w:p>
      <w:pPr>
        <w:pStyle w:val="Heading3"/>
        <w:spacing w:before="160" w:after="60"/>
      </w:pPr>
      <w:r>
        <w:rPr>
          <w:rFonts w:ascii="Times New Roman" w:hAnsi="Times New Roman" w:eastAsia="黑体"/>
          <w:b/>
          <w:i w:val="0"/>
          <w:sz w:val="24"/>
        </w:rPr>
        <w:t>12.4.1 电价管制</w:t>
      </w:r>
    </w:p>
    <w:p>
      <w:pPr>
        <w:spacing w:line="360" w:lineRule="auto" w:after="0"/>
        <w:ind w:firstLine="425"/>
      </w:pPr>
      <w:r>
        <w:rPr>
          <w:rFonts w:ascii="Times New Roman" w:hAnsi="Times New Roman" w:eastAsia="宋体"/>
          <w:b w:val="0"/>
          <w:i w:val="0"/>
          <w:sz w:val="22"/>
        </w:rPr>
        <w:t>中国电力价格仍受到严格管制，实时定价的推广需要政策层面的支持。电价管制放松是一个渐进过程，需要在保障民生用能和促进市场效率之间取得平衡。</w:t>
      </w:r>
    </w:p>
    <w:p>
      <w:pPr>
        <w:pStyle w:val="Heading3"/>
        <w:spacing w:before="160" w:after="60"/>
      </w:pPr>
      <w:r>
        <w:rPr>
          <w:rFonts w:ascii="Times New Roman" w:hAnsi="Times New Roman" w:eastAsia="黑体"/>
          <w:b/>
          <w:i w:val="0"/>
          <w:sz w:val="24"/>
        </w:rPr>
        <w:t>12.4.2 数据治理法规</w:t>
      </w:r>
    </w:p>
    <w:p>
      <w:pPr>
        <w:spacing w:line="360" w:lineRule="auto" w:after="0"/>
        <w:ind w:firstLine="425"/>
      </w:pPr>
      <w:r>
        <w:rPr>
          <w:rFonts w:ascii="Times New Roman" w:hAnsi="Times New Roman" w:eastAsia="宋体"/>
          <w:b w:val="0"/>
          <w:i w:val="0"/>
          <w:sz w:val="22"/>
        </w:rPr>
        <w:t>《数据安全法》和《个人信息保护法》对电力数据的采集、存储和使用提出了合规要求。实时定价系统需要建立完善的数据治理体系，确保合法合规运营。</w:t>
      </w:r>
    </w:p>
    <w:p>
      <w:pPr>
        <w:pStyle w:val="Heading3"/>
        <w:spacing w:before="160" w:after="60"/>
      </w:pPr>
      <w:r>
        <w:rPr>
          <w:rFonts w:ascii="Times New Roman" w:hAnsi="Times New Roman" w:eastAsia="黑体"/>
          <w:b/>
          <w:i w:val="0"/>
          <w:sz w:val="24"/>
        </w:rPr>
        <w:t>12.4.3 碳中和政策</w:t>
      </w:r>
    </w:p>
    <w:p>
      <w:pPr>
        <w:spacing w:line="360" w:lineRule="auto" w:after="0"/>
        <w:ind w:firstLine="425"/>
      </w:pPr>
      <w:r>
        <w:rPr>
          <w:rFonts w:ascii="Times New Roman" w:hAnsi="Times New Roman" w:eastAsia="宋体"/>
          <w:b w:val="0"/>
          <w:i w:val="0"/>
          <w:sz w:val="22"/>
        </w:rPr>
        <w:t>"双碳"目标为实时定价的推广提供了政策动力。实时定价通过引导用户消纳可再生能源和减少碳排放，成为实现碳中和目标的重要技术手段。</w:t>
      </w:r>
    </w:p>
    <w:p>
      <w:pPr>
        <w:pStyle w:val="Heading2"/>
        <w:spacing w:before="240" w:after="80"/>
      </w:pPr>
      <w:r>
        <w:rPr>
          <w:rFonts w:ascii="Times New Roman" w:hAnsi="Times New Roman" w:eastAsia="黑体"/>
          <w:b/>
          <w:i w:val="0"/>
          <w:sz w:val="28"/>
        </w:rPr>
        <w:t>12.5 人工智能与定价融合趋势</w:t>
      </w:r>
    </w:p>
    <w:p>
      <w:pPr>
        <w:pStyle w:val="Heading3"/>
        <w:spacing w:before="160" w:after="60"/>
      </w:pPr>
      <w:r>
        <w:rPr>
          <w:rFonts w:ascii="Times New Roman" w:hAnsi="Times New Roman" w:eastAsia="黑体"/>
          <w:b/>
          <w:i w:val="0"/>
          <w:sz w:val="24"/>
        </w:rPr>
        <w:t>12.5.1 大语言模型驱动定价</w:t>
      </w:r>
    </w:p>
    <w:p>
      <w:pPr>
        <w:spacing w:line="360" w:lineRule="auto" w:after="0"/>
        <w:ind w:firstLine="425"/>
      </w:pPr>
      <w:r>
        <w:rPr>
          <w:rFonts w:ascii="Times New Roman" w:hAnsi="Times New Roman" w:eastAsia="宋体"/>
          <w:b w:val="0"/>
          <w:i w:val="0"/>
          <w:sz w:val="22"/>
        </w:rPr>
        <w:t>知识库中的Phase4_LLM增强定价项目预示了LLM在实时定价中的应用前景：</w:t>
      </w:r>
    </w:p>
    <w:p>
      <w:pPr>
        <w:pStyle w:val="ListBullet"/>
        <w:spacing w:line="360" w:lineRule="auto" w:after="0"/>
      </w:pPr>
      <w:r>
        <w:rPr>
          <w:rFonts w:ascii="Times New Roman" w:hAnsi="Times New Roman" w:eastAsia="宋体"/>
          <w:b/>
          <w:i w:val="0"/>
          <w:sz w:val="22"/>
        </w:rPr>
        <w:t>智能定价助手</w:t>
      </w:r>
      <w:r>
        <w:rPr>
          <w:rFonts w:ascii="Times New Roman" w:hAnsi="Times New Roman" w:eastAsia="宋体"/>
          <w:b w:val="0"/>
          <w:i w:val="0"/>
          <w:sz w:val="22"/>
        </w:rPr>
        <w:t>：LLM作为定价决策的智能助手，融合市场规则和历史经验</w:t>
      </w:r>
    </w:p>
    <w:p>
      <w:pPr>
        <w:pStyle w:val="ListBullet"/>
        <w:spacing w:line="360" w:lineRule="auto" w:after="0"/>
      </w:pPr>
      <w:r>
        <w:rPr>
          <w:rFonts w:ascii="Times New Roman" w:hAnsi="Times New Roman" w:eastAsia="宋体"/>
          <w:b/>
          <w:i w:val="0"/>
          <w:sz w:val="22"/>
        </w:rPr>
        <w:t>自然语言交互</w:t>
      </w:r>
      <w:r>
        <w:rPr>
          <w:rFonts w:ascii="Times New Roman" w:hAnsi="Times New Roman" w:eastAsia="宋体"/>
          <w:b w:val="0"/>
          <w:i w:val="0"/>
          <w:sz w:val="22"/>
        </w:rPr>
        <w:t>：用户通过自然语言了解定价策略并表达偏好</w:t>
      </w:r>
    </w:p>
    <w:p>
      <w:pPr>
        <w:pStyle w:val="ListBullet"/>
        <w:spacing w:line="360" w:lineRule="auto" w:after="0"/>
      </w:pPr>
      <w:r>
        <w:rPr>
          <w:rFonts w:ascii="Times New Roman" w:hAnsi="Times New Roman" w:eastAsia="宋体"/>
          <w:b/>
          <w:i w:val="0"/>
          <w:sz w:val="22"/>
        </w:rPr>
        <w:t>自动化报告</w:t>
      </w:r>
      <w:r>
        <w:rPr>
          <w:rFonts w:ascii="Times New Roman" w:hAnsi="Times New Roman" w:eastAsia="宋体"/>
          <w:b w:val="0"/>
          <w:i w:val="0"/>
          <w:sz w:val="22"/>
        </w:rPr>
        <w:t>：LLM自动生成定价分析报告和用户通知</w:t>
      </w:r>
    </w:p>
    <w:p>
      <w:pPr>
        <w:pStyle w:val="Heading3"/>
        <w:spacing w:before="160" w:after="60"/>
      </w:pPr>
      <w:r>
        <w:rPr>
          <w:rFonts w:ascii="Times New Roman" w:hAnsi="Times New Roman" w:eastAsia="黑体"/>
          <w:b/>
          <w:i w:val="0"/>
          <w:sz w:val="24"/>
        </w:rPr>
        <w:t>12.5.2 数字孪生</w:t>
      </w:r>
    </w:p>
    <w:p>
      <w:pPr>
        <w:spacing w:line="360" w:lineRule="auto" w:after="0"/>
        <w:ind w:firstLine="425"/>
      </w:pPr>
      <w:r>
        <w:rPr>
          <w:rFonts w:ascii="Times New Roman" w:hAnsi="Times New Roman" w:eastAsia="宋体"/>
          <w:b w:val="0"/>
          <w:i w:val="0"/>
          <w:sz w:val="22"/>
        </w:rPr>
        <w:t>数字孪生技术为实时定价提供了虚拟试验环境：</w:t>
      </w:r>
    </w:p>
    <w:p>
      <w:pPr>
        <w:pStyle w:val="ListBullet"/>
        <w:spacing w:line="360" w:lineRule="auto" w:after="0"/>
      </w:pPr>
      <w:r>
        <w:rPr>
          <w:rFonts w:ascii="Times New Roman" w:hAnsi="Times New Roman" w:eastAsia="宋体"/>
          <w:b w:val="0"/>
          <w:i w:val="0"/>
          <w:sz w:val="22"/>
        </w:rPr>
        <w:t>在数字孪生中模拟不同定价策略的效果</w:t>
      </w:r>
    </w:p>
    <w:p>
      <w:pPr>
        <w:pStyle w:val="ListBullet"/>
        <w:spacing w:line="360" w:lineRule="auto" w:after="0"/>
      </w:pPr>
      <w:r>
        <w:rPr>
          <w:rFonts w:ascii="Times New Roman" w:hAnsi="Times New Roman" w:eastAsia="宋体"/>
          <w:b w:val="0"/>
          <w:i w:val="0"/>
          <w:sz w:val="22"/>
        </w:rPr>
        <w:t>在部署前验证策略的安全性和有效性</w:t>
      </w:r>
    </w:p>
    <w:p>
      <w:pPr>
        <w:pStyle w:val="ListBullet"/>
        <w:spacing w:line="360" w:lineRule="auto" w:after="0"/>
      </w:pPr>
      <w:r>
        <w:rPr>
          <w:rFonts w:ascii="Times New Roman" w:hAnsi="Times New Roman" w:eastAsia="宋体"/>
          <w:b w:val="0"/>
          <w:i w:val="0"/>
          <w:sz w:val="22"/>
        </w:rPr>
        <w:t>实现物理系统与虚拟系统的实时同步</w:t>
      </w:r>
    </w:p>
    <w:p>
      <w:pPr>
        <w:pStyle w:val="Heading3"/>
        <w:spacing w:before="160" w:after="60"/>
      </w:pPr>
      <w:r>
        <w:rPr>
          <w:rFonts w:ascii="Times New Roman" w:hAnsi="Times New Roman" w:eastAsia="黑体"/>
          <w:b/>
          <w:i w:val="0"/>
          <w:sz w:val="24"/>
        </w:rPr>
        <w:t>12.5.3 联邦强化学习</w:t>
      </w:r>
    </w:p>
    <w:p>
      <w:pPr>
        <w:spacing w:line="360" w:lineRule="auto" w:after="0"/>
        <w:ind w:firstLine="425"/>
      </w:pPr>
      <w:r>
        <w:rPr>
          <w:rFonts w:ascii="Times New Roman" w:hAnsi="Times New Roman" w:eastAsia="宋体"/>
          <w:b w:val="0"/>
          <w:i w:val="0"/>
          <w:sz w:val="22"/>
        </w:rPr>
        <w:t>联邦强化学习结合了联邦学习的隐私保护特性和强化学习的自适应决策能力，为大规模分布式实时定价提供了新的技术路径。</w:t>
      </w:r>
    </w:p>
    <w:p>
      <w:pPr>
        <w:pStyle w:val="Heading3"/>
        <w:spacing w:before="160" w:after="60"/>
      </w:pPr>
      <w:r>
        <w:rPr>
          <w:rFonts w:ascii="Times New Roman" w:hAnsi="Times New Roman" w:eastAsia="黑体"/>
          <w:b/>
          <w:i w:val="0"/>
          <w:sz w:val="24"/>
        </w:rPr>
        <w:t>12.5.4 量子计算</w:t>
      </w:r>
    </w:p>
    <w:p>
      <w:pPr>
        <w:spacing w:line="360" w:lineRule="auto" w:after="0"/>
        <w:ind w:firstLine="425"/>
      </w:pPr>
      <w:r>
        <w:rPr>
          <w:rFonts w:ascii="Times New Roman" w:hAnsi="Times New Roman" w:eastAsia="宋体"/>
          <w:b w:val="0"/>
          <w:i w:val="0"/>
          <w:sz w:val="22"/>
        </w:rPr>
        <w:t>量子计算的发展可能为大规模实时定价优化问题提供指数级加速。虽然量子计算在电力系统中的应用仍处于早期阶段，但其潜在影响值得关注。</w:t>
      </w:r>
    </w:p>
    <w:p>
      <w:pPr>
        <w:pStyle w:val="Heading2"/>
        <w:spacing w:before="240" w:after="80"/>
      </w:pPr>
      <w:r>
        <w:rPr>
          <w:rFonts w:ascii="Times New Roman" w:hAnsi="Times New Roman" w:eastAsia="黑体"/>
          <w:b/>
          <w:i w:val="0"/>
          <w:sz w:val="28"/>
        </w:rPr>
        <w:t>12.6 总结与展望</w:t>
      </w:r>
    </w:p>
    <w:p>
      <w:pPr>
        <w:pStyle w:val="Heading3"/>
        <w:spacing w:before="160" w:after="60"/>
      </w:pPr>
      <w:r>
        <w:rPr>
          <w:rFonts w:ascii="Times New Roman" w:hAnsi="Times New Roman" w:eastAsia="黑体"/>
          <w:b/>
          <w:i w:val="0"/>
          <w:sz w:val="24"/>
        </w:rPr>
        <w:t>12.6.1 研究成果总结</w:t>
      </w:r>
    </w:p>
    <w:p>
      <w:pPr>
        <w:spacing w:line="360" w:lineRule="auto" w:after="0"/>
        <w:ind w:firstLine="425"/>
      </w:pPr>
      <w:r>
        <w:rPr>
          <w:rFonts w:ascii="Times New Roman" w:hAnsi="Times New Roman" w:eastAsia="宋体"/>
          <w:b w:val="0"/>
          <w:i w:val="0"/>
          <w:sz w:val="22"/>
        </w:rPr>
        <w:t>本综述以RTP-SGM框架为核心，系统梳理了智能电网实时定价的研究进展：</w:t>
      </w:r>
    </w:p>
    <w:p>
      <w:pPr>
        <w:spacing w:line="360" w:lineRule="auto" w:after="0"/>
        <w:ind w:firstLine="425"/>
      </w:pPr>
      <w:r>
        <w:rPr>
          <w:rFonts w:ascii="Times New Roman" w:hAnsi="Times New Roman" w:eastAsia="宋体"/>
          <w:b/>
          <w:i w:val="0"/>
          <w:sz w:val="22"/>
        </w:rPr>
        <w:t>理论层面</w:t>
      </w:r>
      <w:r>
        <w:rPr>
          <w:rFonts w:ascii="Times New Roman" w:hAnsi="Times New Roman" w:eastAsia="宋体"/>
          <w:b w:val="0"/>
          <w:i w:val="0"/>
          <w:sz w:val="22"/>
        </w:rPr>
        <w:t>：从社会福利最大化出发，建立了涵盖效用函数建模、互补问题与非光滑方程、博弈论等多维度的理论体系。高岩和李军祥团队在分片线性效用函数、光滑化逼近方法、Stackelberg博弈定价等方面做出了系统性贡献。</w:t>
      </w:r>
    </w:p>
    <w:p>
      <w:pPr>
        <w:spacing w:line="360" w:lineRule="auto" w:after="0"/>
        <w:ind w:firstLine="425"/>
      </w:pPr>
      <w:r>
        <w:rPr>
          <w:rFonts w:ascii="Times New Roman" w:hAnsi="Times New Roman" w:eastAsia="宋体"/>
          <w:b/>
          <w:i w:val="0"/>
          <w:sz w:val="22"/>
        </w:rPr>
        <w:t>算法层面</w:t>
      </w:r>
      <w:r>
        <w:rPr>
          <w:rFonts w:ascii="Times New Roman" w:hAnsi="Times New Roman" w:eastAsia="宋体"/>
          <w:b w:val="0"/>
          <w:i w:val="0"/>
          <w:sz w:val="22"/>
        </w:rPr>
        <w:t>：从经典对偶分解到深度强化学习，从集中式优化到分布式迭代，从确定性优化到鲁棒优化，实时定价算法不断演进。强化学习和LLM增强定价代表了智能定价的最新方向。</w:t>
      </w:r>
    </w:p>
    <w:p>
      <w:pPr>
        <w:spacing w:line="360" w:lineRule="auto" w:after="0"/>
        <w:ind w:firstLine="425"/>
      </w:pPr>
      <w:r>
        <w:rPr>
          <w:rFonts w:ascii="Times New Roman" w:hAnsi="Times New Roman" w:eastAsia="宋体"/>
          <w:b/>
          <w:i w:val="0"/>
          <w:sz w:val="22"/>
        </w:rPr>
        <w:t>应用层面</w:t>
      </w:r>
      <w:r>
        <w:rPr>
          <w:rFonts w:ascii="Times New Roman" w:hAnsi="Times New Roman" w:eastAsia="宋体"/>
          <w:b w:val="0"/>
          <w:i w:val="0"/>
          <w:sz w:val="22"/>
        </w:rPr>
        <w:t>：从单一电力系统到综合能源系统，从纯经济定价到碳交易协同定价，从理论模型到代码复现，实时定价研究正在向更广的应用场景拓展。</w:t>
      </w:r>
    </w:p>
    <w:p>
      <w:pPr>
        <w:pStyle w:val="Heading3"/>
        <w:spacing w:before="160" w:after="60"/>
      </w:pPr>
      <w:r>
        <w:rPr>
          <w:rFonts w:ascii="Times New Roman" w:hAnsi="Times New Roman" w:eastAsia="黑体"/>
          <w:b/>
          <w:i w:val="0"/>
          <w:sz w:val="24"/>
        </w:rPr>
        <w:t>12.6.2 未来研究方向</w:t>
      </w:r>
    </w:p>
    <w:p>
      <w:pPr>
        <w:pStyle w:val="ListNumber"/>
        <w:spacing w:line="360" w:lineRule="auto" w:after="0"/>
      </w:pPr>
      <w:r>
        <w:rPr>
          <w:rFonts w:ascii="Times New Roman" w:hAnsi="Times New Roman" w:eastAsia="宋体"/>
          <w:b/>
          <w:i w:val="0"/>
          <w:sz w:val="22"/>
        </w:rPr>
        <w:t>理论深化</w:t>
      </w:r>
      <w:r>
        <w:rPr>
          <w:rFonts w:ascii="Times New Roman" w:hAnsi="Times New Roman" w:eastAsia="宋体"/>
          <w:b w:val="0"/>
          <w:i w:val="0"/>
          <w:sz w:val="22"/>
        </w:rPr>
        <w:t>：不完全信息博弈、动态博弈、合作博弈在定价中的应用；多目标优化理论；行为经济学与定价的融合</w:t>
      </w:r>
    </w:p>
    <w:p>
      <w:pPr>
        <w:pStyle w:val="ListNumber"/>
        <w:spacing w:line="360" w:lineRule="auto" w:after="0"/>
      </w:pPr>
      <w:r>
        <w:rPr>
          <w:rFonts w:ascii="Times New Roman" w:hAnsi="Times New Roman" w:eastAsia="宋体"/>
          <w:b/>
          <w:i w:val="0"/>
          <w:sz w:val="22"/>
        </w:rPr>
        <w:t>算法创新</w:t>
      </w:r>
      <w:r>
        <w:rPr>
          <w:rFonts w:ascii="Times New Roman" w:hAnsi="Times New Roman" w:eastAsia="宋体"/>
          <w:b w:val="0"/>
          <w:i w:val="0"/>
          <w:sz w:val="22"/>
        </w:rPr>
        <w:t>：联邦强化学习、离线RL、安全RL；量子优化算法；LLM驱动的混合智能定价</w:t>
      </w:r>
    </w:p>
    <w:p>
      <w:pPr>
        <w:pStyle w:val="ListNumber"/>
        <w:spacing w:line="360" w:lineRule="auto" w:after="0"/>
      </w:pPr>
      <w:r>
        <w:rPr>
          <w:rFonts w:ascii="Times New Roman" w:hAnsi="Times New Roman" w:eastAsia="宋体"/>
          <w:b/>
          <w:i w:val="0"/>
          <w:sz w:val="22"/>
        </w:rPr>
        <w:t>系统拓展</w:t>
      </w:r>
      <w:r>
        <w:rPr>
          <w:rFonts w:ascii="Times New Roman" w:hAnsi="Times New Roman" w:eastAsia="宋体"/>
          <w:b w:val="0"/>
          <w:i w:val="0"/>
          <w:sz w:val="22"/>
        </w:rPr>
        <w:t>：电氢氨融合系统定价；虚拟电厂定价；跨区域协调定价</w:t>
      </w:r>
    </w:p>
    <w:p>
      <w:pPr>
        <w:pStyle w:val="ListNumber"/>
        <w:spacing w:line="360" w:lineRule="auto" w:after="0"/>
      </w:pPr>
      <w:r>
        <w:rPr>
          <w:rFonts w:ascii="Times New Roman" w:hAnsi="Times New Roman" w:eastAsia="宋体"/>
          <w:b/>
          <w:i w:val="0"/>
          <w:sz w:val="22"/>
        </w:rPr>
        <w:t>工程应用</w:t>
      </w:r>
      <w:r>
        <w:rPr>
          <w:rFonts w:ascii="Times New Roman" w:hAnsi="Times New Roman" w:eastAsia="宋体"/>
          <w:b w:val="0"/>
          <w:i w:val="0"/>
          <w:sz w:val="22"/>
        </w:rPr>
        <w:t>：从仿真到真实部署；数字孪生验证；边缘计算实现</w:t>
      </w:r>
    </w:p>
    <w:p>
      <w:pPr>
        <w:pStyle w:val="ListNumber"/>
        <w:spacing w:line="360" w:lineRule="auto" w:after="0"/>
      </w:pPr>
      <w:r>
        <w:rPr>
          <w:rFonts w:ascii="Times New Roman" w:hAnsi="Times New Roman" w:eastAsia="宋体"/>
          <w:b/>
          <w:i w:val="0"/>
          <w:sz w:val="22"/>
        </w:rPr>
        <w:t>政策研究</w:t>
      </w:r>
      <w:r>
        <w:rPr>
          <w:rFonts w:ascii="Times New Roman" w:hAnsi="Times New Roman" w:eastAsia="宋体"/>
          <w:b w:val="0"/>
          <w:i w:val="0"/>
          <w:sz w:val="22"/>
        </w:rPr>
        <w:t>：市场机制设计；数据治理框架；碳定价协同</w:t>
      </w:r>
    </w:p>
    <w:p>
      <w:pPr>
        <w:pStyle w:val="Heading3"/>
        <w:spacing w:before="160" w:after="60"/>
      </w:pPr>
      <w:r>
        <w:rPr>
          <w:rFonts w:ascii="Times New Roman" w:hAnsi="Times New Roman" w:eastAsia="黑体"/>
          <w:b/>
          <w:i w:val="0"/>
          <w:sz w:val="24"/>
        </w:rPr>
        <w:t>12.6.3 结语</w:t>
      </w:r>
    </w:p>
    <w:p>
      <w:pPr>
        <w:spacing w:line="360" w:lineRule="auto" w:after="0"/>
        <w:ind w:firstLine="425"/>
      </w:pPr>
      <w:r>
        <w:rPr>
          <w:rFonts w:ascii="Times New Roman" w:hAnsi="Times New Roman" w:eastAsia="宋体"/>
          <w:b w:val="0"/>
          <w:i w:val="0"/>
          <w:sz w:val="22"/>
        </w:rPr>
        <w:t>智能电网实时定价是一个充满活力的跨学科研究领域，融合了电力系统、运筹优化、博弈论、机器学习和经济学等多个学科的理论与方法。在"双碳"目标和电力市场化改革的双重推动下，实时定价正从学术研究走向工程实践。本综述希望能够为这一领域的研究者和实践者提供系统性的参考，推动智能电网实时定价技术的持续发展。</w:t>
      </w:r>
    </w:p>
    <w:p>
      <w:pPr>
        <w:pStyle w:val="Heading2"/>
        <w:spacing w:before="240" w:after="80"/>
      </w:pPr>
      <w:r>
        <w:rPr>
          <w:rFonts w:ascii="Times New Roman" w:hAnsi="Times New Roman" w:eastAsia="黑体"/>
          <w:b/>
          <w:i w:val="0"/>
          <w:sz w:val="28"/>
        </w:rPr>
        <w:t>本章小结</w:t>
      </w:r>
    </w:p>
    <w:p>
      <w:pPr>
        <w:spacing w:line="360" w:lineRule="auto" w:after="0"/>
        <w:ind w:firstLine="425"/>
      </w:pPr>
      <w:r>
        <w:rPr>
          <w:rFonts w:ascii="Times New Roman" w:hAnsi="Times New Roman" w:eastAsia="宋体"/>
          <w:b w:val="0"/>
          <w:i w:val="0"/>
          <w:sz w:val="22"/>
        </w:rPr>
        <w:t>本章对智能电网实时定价的未来展望与挑战进行了系统梳理。首先分析了实时定价在技术层面（高维不确定性、非凸优化、通信延迟）、市场层面（市场力、定价机制设计、多市场协调）和社会层面（用户接受度、公平性、能源贫困）面临的核心挑战。然后探讨了数据安全与隐私保护的框架，包括差分隐私、联邦学习和区块链等技术的应用前景。接着分析了政策与法规环境对实时定价推广的影响，提出了短中长期的分阶段政策建议。最后展望了人工智能、数字孪生、碳-电耦合等前沿技术对实时定价的变革潜力，提出了未来研究的开放问题和发展方向。</w:t>
      </w:r>
    </w:p>
    <w:p>
      <w:pPr>
        <w:spacing w:line="360" w:lineRule="auto" w:after="0"/>
        <w:ind w:firstLine="425"/>
      </w:pPr>
      <w:r>
        <w:rPr>
          <w:rFonts w:ascii="Times New Roman" w:hAnsi="Times New Roman" w:eastAsia="宋体"/>
          <w:b w:val="0"/>
          <w:i w:val="0"/>
          <w:sz w:val="22"/>
        </w:rPr>
        <w:t>实时定价作为智能电网的核心技术之一，其发展和完善需要学术界、产业界、政府和全社会的共同努力。随着能源转型的深入推进和技术的持续进步，实时定价将在构建清洁、低碳、安全、高效的现代能源体系中发挥越来越重要的作用。</w:t>
      </w:r>
    </w:p>
    <w:p>
      <w:pPr>
        <w:pStyle w:val="Heading2"/>
        <w:spacing w:before="240" w:after="80"/>
      </w:pPr>
      <w:r>
        <w:rPr>
          <w:rFonts w:ascii="Times New Roman" w:hAnsi="Times New Roman" w:eastAsia="黑体"/>
          <w:b/>
          <w:i w:val="0"/>
          <w:sz w:val="28"/>
        </w:rPr>
        <w:t>思考题</w:t>
      </w:r>
    </w:p>
    <w:p>
      <w:pPr>
        <w:pStyle w:val="ListNumber"/>
        <w:spacing w:line="360" w:lineRule="auto" w:after="0"/>
      </w:pPr>
      <w:r>
        <w:rPr>
          <w:rFonts w:ascii="Times New Roman" w:hAnsi="Times New Roman" w:eastAsia="宋体"/>
          <w:b w:val="0"/>
          <w:i w:val="0"/>
          <w:sz w:val="22"/>
        </w:rPr>
        <w:t>实时定价从理论研究走向工程应用的主要障碍是什么？如何克服？</w:t>
      </w:r>
    </w:p>
    <w:p>
      <w:pPr>
        <w:pStyle w:val="ListNumber"/>
        <w:spacing w:line="360" w:lineRule="auto" w:after="0"/>
      </w:pPr>
      <w:r>
        <w:rPr>
          <w:rFonts w:ascii="Times New Roman" w:hAnsi="Times New Roman" w:eastAsia="宋体"/>
          <w:b w:val="0"/>
          <w:i w:val="0"/>
          <w:sz w:val="22"/>
        </w:rPr>
        <w:t>在"双碳"目标背景下，实时定价如何促进可再生能源消纳和碳减排？</w:t>
      </w:r>
    </w:p>
    <w:p>
      <w:pPr>
        <w:pStyle w:val="ListNumber"/>
        <w:spacing w:line="360" w:lineRule="auto" w:after="0"/>
      </w:pPr>
      <w:r>
        <w:rPr>
          <w:rFonts w:ascii="Times New Roman" w:hAnsi="Times New Roman" w:eastAsia="宋体"/>
          <w:b w:val="0"/>
          <w:i w:val="0"/>
          <w:sz w:val="22"/>
        </w:rPr>
        <w:t>人工智能技术（强化学习、LLM）将如何改变实时定价的未来？</w:t>
      </w:r>
    </w:p>
    <w:p>
      <w:pPr>
        <w:pStyle w:val="ListNumber"/>
        <w:spacing w:line="360" w:lineRule="auto" w:after="0"/>
      </w:pPr>
      <w:r>
        <w:rPr>
          <w:rFonts w:ascii="Times New Roman" w:hAnsi="Times New Roman" w:eastAsia="宋体"/>
          <w:b w:val="0"/>
          <w:i w:val="0"/>
          <w:sz w:val="22"/>
        </w:rPr>
        <w:t>如何在实时定价中平衡经济效率与数据隐私保护？</w:t>
      </w:r>
    </w:p>
    <w:p>
      <w:pPr>
        <w:pStyle w:val="ListNumber"/>
        <w:spacing w:line="360" w:lineRule="auto" w:after="0"/>
      </w:pPr>
      <w:r>
        <w:rPr>
          <w:rFonts w:ascii="Times New Roman" w:hAnsi="Times New Roman" w:eastAsia="宋体"/>
          <w:b w:val="0"/>
          <w:i w:val="0"/>
          <w:sz w:val="22"/>
        </w:rPr>
        <w:t>综合能源系统的动态定价与单一电力系统定价有何本质区别？</w:t>
      </w:r>
    </w:p>
    <w:p>
      <w:pPr>
        <w:pStyle w:val="Heading2"/>
        <w:spacing w:before="240" w:after="80"/>
      </w:pPr>
      <w:r>
        <w:rPr>
          <w:rFonts w:ascii="Times New Roman" w:hAnsi="Times New Roman" w:eastAsia="黑体"/>
          <w:b/>
          <w:i w:val="0"/>
          <w:sz w:val="28"/>
        </w:rPr>
        <w:t>12.7 国际比较与经验借鉴</w:t>
      </w:r>
    </w:p>
    <w:p>
      <w:pPr>
        <w:pStyle w:val="Heading3"/>
        <w:spacing w:before="160" w:after="60"/>
      </w:pPr>
      <w:r>
        <w:rPr>
          <w:rFonts w:ascii="Times New Roman" w:hAnsi="Times New Roman" w:eastAsia="黑体"/>
          <w:b/>
          <w:i w:val="0"/>
          <w:sz w:val="24"/>
        </w:rPr>
        <w:t>国际智能电网定价发展趋势</w:t>
      </w:r>
    </w:p>
    <w:p>
      <w:pPr>
        <w:spacing w:line="360" w:lineRule="auto" w:after="0"/>
        <w:ind w:firstLine="425"/>
      </w:pPr>
      <w:r>
        <w:rPr>
          <w:rFonts w:ascii="Times New Roman" w:hAnsi="Times New Roman" w:eastAsia="宋体"/>
          <w:b/>
          <w:i w:val="0"/>
          <w:sz w:val="22"/>
        </w:rPr>
        <w:t>美国</w:t>
      </w:r>
      <w:r>
        <w:rPr>
          <w:rFonts w:ascii="Times New Roman" w:hAnsi="Times New Roman" w:eastAsia="宋体"/>
          <w:b w:val="0"/>
          <w:i w:val="0"/>
          <w:sz w:val="22"/>
        </w:rPr>
        <w:t>：美国能源部（DOE）在2024年发布了《智能电网未来发展路线图》，强调以下方向：（1）推广RTP覆盖面，从大型工商业用户扩展到中小用户；（2）发展分布式能源资源聚合（DER Aggregation）参与批发市场；（3）加强网络安全和数据隐私保护；（4）推进人工智能在电网运营和定价中的应用。</w:t>
      </w:r>
    </w:p>
    <w:p>
      <w:pPr>
        <w:spacing w:line="360" w:lineRule="auto" w:after="0"/>
        <w:ind w:firstLine="425"/>
      </w:pPr>
      <w:r>
        <w:rPr>
          <w:rFonts w:ascii="Times New Roman" w:hAnsi="Times New Roman" w:eastAsia="宋体"/>
          <w:b/>
          <w:i w:val="0"/>
          <w:sz w:val="22"/>
        </w:rPr>
        <w:t>欧盟</w:t>
      </w:r>
      <w:r>
        <w:rPr>
          <w:rFonts w:ascii="Times New Roman" w:hAnsi="Times New Roman" w:eastAsia="宋体"/>
          <w:b w:val="0"/>
          <w:i w:val="0"/>
          <w:sz w:val="22"/>
        </w:rPr>
        <w:t>：欧盟的"绿色新政"（Green Deal）和"电力市场设计改革"（Electricity Market Design Reform）为实时定价提供了政策框架。2024年的改革方案强调：（1）加强长期价格信号（如容量市场、远期合同）与短期价格信号（如RTP）的协调；（2）保护消费者权益，特别是弱势群体；（3）促进跨境电力交易和市场耦合。</w:t>
      </w:r>
    </w:p>
    <w:p>
      <w:pPr>
        <w:spacing w:line="360" w:lineRule="auto" w:after="0"/>
        <w:ind w:firstLine="425"/>
      </w:pPr>
      <w:r>
        <w:rPr>
          <w:rFonts w:ascii="Times New Roman" w:hAnsi="Times New Roman" w:eastAsia="宋体"/>
          <w:b/>
          <w:i w:val="0"/>
          <w:sz w:val="22"/>
        </w:rPr>
        <w:t>日本</w:t>
      </w:r>
      <w:r>
        <w:rPr>
          <w:rFonts w:ascii="Times New Roman" w:hAnsi="Times New Roman" w:eastAsia="宋体"/>
          <w:b w:val="0"/>
          <w:i w:val="0"/>
          <w:sz w:val="22"/>
        </w:rPr>
        <w:t>：日本在福岛核事故后加速了电力市场化改革，2024年进入全面市场化阶段。日本的特点是：（1）HEMS/BEMS普及率高；（2）需求响应自动化程度高；（3）虚拟电厂和社区微电网发展迅速。</w:t>
      </w:r>
    </w:p>
    <w:p>
      <w:pPr>
        <w:spacing w:line="360" w:lineRule="auto" w:after="0"/>
        <w:ind w:firstLine="425"/>
      </w:pPr>
      <w:r>
        <w:rPr>
          <w:rFonts w:ascii="Times New Roman" w:hAnsi="Times New Roman" w:eastAsia="宋体"/>
          <w:b/>
          <w:i w:val="0"/>
          <w:sz w:val="22"/>
        </w:rPr>
        <w:t>韩国</w:t>
      </w:r>
      <w:r>
        <w:rPr>
          <w:rFonts w:ascii="Times New Roman" w:hAnsi="Times New Roman" w:eastAsia="宋体"/>
          <w:b w:val="0"/>
          <w:i w:val="0"/>
          <w:sz w:val="22"/>
        </w:rPr>
        <w:t>：韩国的"智能电网2030"计划强调：（1）全国范围部署AMI和DR平台；（2）发展电动汽车V2G（Vehicle-to-Grid）参与需求响应；（3）建立碳排放交易与电力定价的协同机制。</w:t>
      </w:r>
    </w:p>
    <w:p>
      <w:pPr>
        <w:pStyle w:val="Heading3"/>
        <w:spacing w:before="160" w:after="60"/>
      </w:pPr>
      <w:r>
        <w:rPr>
          <w:rFonts w:ascii="Times New Roman" w:hAnsi="Times New Roman" w:eastAsia="黑体"/>
          <w:b/>
          <w:i w:val="0"/>
          <w:sz w:val="24"/>
        </w:rPr>
        <w:t>中国新型电力系统建设进展</w:t>
      </w:r>
    </w:p>
    <w:p>
      <w:pPr>
        <w:spacing w:line="360" w:lineRule="auto" w:after="0"/>
        <w:ind w:firstLine="425"/>
      </w:pPr>
      <w:r>
        <w:rPr>
          <w:rFonts w:ascii="Times New Roman" w:hAnsi="Times New Roman" w:eastAsia="宋体"/>
          <w:b w:val="0"/>
          <w:i w:val="0"/>
          <w:sz w:val="22"/>
        </w:rPr>
        <w:t>中国在新型电力系统建设方面取得了显著进展：</w:t>
      </w:r>
    </w:p>
    <w:p>
      <w:pPr>
        <w:spacing w:line="360" w:lineRule="auto" w:after="0"/>
        <w:ind w:firstLine="425"/>
      </w:pPr>
      <w:r>
        <w:rPr>
          <w:rFonts w:ascii="Times New Roman" w:hAnsi="Times New Roman" w:eastAsia="宋体"/>
          <w:b/>
          <w:i w:val="0"/>
          <w:sz w:val="22"/>
        </w:rPr>
        <w:t>政策框架</w:t>
      </w:r>
      <w:r>
        <w:rPr>
          <w:rFonts w:ascii="Times New Roman" w:hAnsi="Times New Roman" w:eastAsia="宋体"/>
          <w:b w:val="0"/>
          <w:i w:val="0"/>
          <w:sz w:val="22"/>
        </w:rPr>
        <w:t>：2021年中央财经委员会第九次会议提出构建新型电力系统后，国家发改委、国家能源局相继发布了多项政策文件，明确了新型电力系统的建设目标和路径。</w:t>
      </w:r>
    </w:p>
    <w:p>
      <w:pPr>
        <w:spacing w:line="360" w:lineRule="auto" w:after="0"/>
        <w:ind w:firstLine="425"/>
      </w:pPr>
      <w:r>
        <w:rPr>
          <w:rFonts w:ascii="Times New Roman" w:hAnsi="Times New Roman" w:eastAsia="宋体"/>
          <w:b/>
          <w:i w:val="0"/>
          <w:sz w:val="22"/>
        </w:rPr>
        <w:t>市场建设</w:t>
      </w:r>
      <w:r>
        <w:rPr>
          <w:rFonts w:ascii="Times New Roman" w:hAnsi="Times New Roman" w:eastAsia="宋体"/>
          <w:b w:val="0"/>
          <w:i w:val="0"/>
          <w:sz w:val="22"/>
        </w:rPr>
        <w:t>：电力现货市场试点从8个扩展到更多省份。2023年，国家发改委发布了《关于进一步加快电力现货市场建设工作的通知》，要求2025年实现电力现货市场全覆盖。</w:t>
      </w:r>
    </w:p>
    <w:p>
      <w:pPr>
        <w:spacing w:line="360" w:lineRule="auto" w:after="0"/>
        <w:ind w:firstLine="425"/>
      </w:pPr>
      <w:r>
        <w:rPr>
          <w:rFonts w:ascii="Times New Roman" w:hAnsi="Times New Roman" w:eastAsia="宋体"/>
          <w:b/>
          <w:i w:val="0"/>
          <w:sz w:val="22"/>
        </w:rPr>
        <w:t>技术创新</w:t>
      </w:r>
      <w:r>
        <w:rPr>
          <w:rFonts w:ascii="Times New Roman" w:hAnsi="Times New Roman" w:eastAsia="宋体"/>
          <w:b w:val="0"/>
          <w:i w:val="0"/>
          <w:sz w:val="22"/>
        </w:rPr>
        <w:t>：国家电网和南方电网在柔性直流输电、构网型逆变器、虚拟电厂等前沿技术上取得了突破。数字孪生、人工智能和区块链等新技术在电网运营中的应用不断深化。</w:t>
      </w:r>
    </w:p>
    <w:p>
      <w:pPr>
        <w:spacing w:line="360" w:lineRule="auto" w:after="0"/>
        <w:ind w:firstLine="425"/>
      </w:pPr>
      <w:r>
        <w:rPr>
          <w:rFonts w:ascii="Times New Roman" w:hAnsi="Times New Roman" w:eastAsia="宋体"/>
          <w:b/>
          <w:i w:val="0"/>
          <w:sz w:val="22"/>
        </w:rPr>
        <w:t>挑战</w:t>
      </w:r>
      <w:r>
        <w:rPr>
          <w:rFonts w:ascii="Times New Roman" w:hAnsi="Times New Roman" w:eastAsia="宋体"/>
          <w:b w:val="0"/>
          <w:i w:val="0"/>
          <w:sz w:val="22"/>
        </w:rPr>
        <w:t>：中国新型电力系统建设面临的主要挑战包括：新能源消纳压力增大、系统灵活性资源不足、市场机制有待完善、用户参与度不足等。</w:t>
      </w:r>
    </w:p>
    <w:p>
      <w:pPr>
        <w:pStyle w:val="Heading3"/>
        <w:spacing w:before="160" w:after="60"/>
      </w:pPr>
      <w:r>
        <w:rPr>
          <w:rFonts w:ascii="Times New Roman" w:hAnsi="Times New Roman" w:eastAsia="黑体"/>
          <w:b/>
          <w:i w:val="0"/>
          <w:sz w:val="24"/>
        </w:rPr>
        <w:t>国际经验对中国的启示</w:t>
      </w:r>
    </w:p>
    <w:p>
      <w:pPr>
        <w:pStyle w:val="ListNumber"/>
        <w:spacing w:line="360" w:lineRule="auto" w:after="0"/>
      </w:pPr>
      <w:r>
        <w:rPr>
          <w:rFonts w:ascii="Times New Roman" w:hAnsi="Times New Roman" w:eastAsia="宋体"/>
          <w:b/>
          <w:i w:val="0"/>
          <w:sz w:val="22"/>
        </w:rPr>
        <w:t>市场机制先行</w:t>
      </w:r>
      <w:r>
        <w:rPr>
          <w:rFonts w:ascii="Times New Roman" w:hAnsi="Times New Roman" w:eastAsia="宋体"/>
          <w:b w:val="0"/>
          <w:i w:val="0"/>
          <w:sz w:val="22"/>
        </w:rPr>
        <w:t>：美欧的经验表明，完善的市场机制是RTP推广的前提。中国需要加快电力现货市场建设，建立透明的价格形成机制。</w:t>
      </w:r>
    </w:p>
    <w:p>
      <w:pPr>
        <w:pStyle w:val="ListNumber"/>
        <w:spacing w:line="360" w:lineRule="auto" w:after="0"/>
      </w:pPr>
      <w:r>
        <w:rPr>
          <w:rFonts w:ascii="Times New Roman" w:hAnsi="Times New Roman" w:eastAsia="宋体"/>
          <w:b/>
          <w:i w:val="0"/>
          <w:sz w:val="22"/>
        </w:rPr>
        <w:t>用户参与是关键</w:t>
      </w:r>
      <w:r>
        <w:rPr>
          <w:rFonts w:ascii="Times New Roman" w:hAnsi="Times New Roman" w:eastAsia="宋体"/>
          <w:b w:val="0"/>
          <w:i w:val="0"/>
          <w:sz w:val="22"/>
        </w:rPr>
        <w:t>：日本和韩国的经验表明，用户侧的自动化响应能力对RTP效果至关重要。中国需要推广HEMS/BEMS和智能用电设备。</w:t>
      </w:r>
    </w:p>
    <w:p>
      <w:pPr>
        <w:pStyle w:val="ListNumber"/>
        <w:spacing w:line="360" w:lineRule="auto" w:after="0"/>
      </w:pPr>
      <w:r>
        <w:rPr>
          <w:rFonts w:ascii="Times New Roman" w:hAnsi="Times New Roman" w:eastAsia="宋体"/>
          <w:b/>
          <w:i w:val="0"/>
          <w:sz w:val="22"/>
        </w:rPr>
        <w:t>风险管理不可忽视</w:t>
      </w:r>
      <w:r>
        <w:rPr>
          <w:rFonts w:ascii="Times New Roman" w:hAnsi="Times New Roman" w:eastAsia="宋体"/>
          <w:b w:val="0"/>
          <w:i w:val="0"/>
          <w:sz w:val="22"/>
        </w:rPr>
        <w:t>：美国的经验表明，RTP需要配套风险管理工具。中国应该设计适合国情的RTP保险和对冲产品。</w:t>
      </w:r>
    </w:p>
    <w:p>
      <w:pPr>
        <w:pStyle w:val="ListNumber"/>
        <w:spacing w:line="360" w:lineRule="auto" w:after="0"/>
      </w:pPr>
      <w:r>
        <w:rPr>
          <w:rFonts w:ascii="Times New Roman" w:hAnsi="Times New Roman" w:eastAsia="宋体"/>
          <w:b/>
          <w:i w:val="0"/>
          <w:sz w:val="22"/>
        </w:rPr>
        <w:t>政策法规支撑</w:t>
      </w:r>
      <w:r>
        <w:rPr>
          <w:rFonts w:ascii="Times New Roman" w:hAnsi="Times New Roman" w:eastAsia="宋体"/>
          <w:b w:val="0"/>
          <w:i w:val="0"/>
          <w:sz w:val="22"/>
        </w:rPr>
        <w:t>：欧盟的经验表明，政策法规对RTP的推广具有决定性作用。中国需要完善需求响应参与市场交易的法规体系。</w:t>
      </w:r>
    </w:p>
    <w:p>
      <w:pPr>
        <w:pStyle w:val="ListNumber"/>
        <w:spacing w:line="360" w:lineRule="auto" w:after="0"/>
      </w:pPr>
      <w:r>
        <w:rPr>
          <w:rFonts w:ascii="Times New Roman" w:hAnsi="Times New Roman" w:eastAsia="宋体"/>
          <w:b/>
          <w:i w:val="0"/>
          <w:sz w:val="22"/>
        </w:rPr>
        <w:t>技术标准统一</w:t>
      </w:r>
      <w:r>
        <w:rPr>
          <w:rFonts w:ascii="Times New Roman" w:hAnsi="Times New Roman" w:eastAsia="宋体"/>
          <w:b w:val="0"/>
          <w:i w:val="0"/>
          <w:sz w:val="22"/>
        </w:rPr>
        <w:t>：韩国的经验表明，统一的技术标准有利于规模化部署。中国需要制定统一的AMI通信协议和DR接口标准。</w:t>
      </w:r>
    </w:p>
    <w:p>
      <w:pPr>
        <w:pStyle w:val="Heading2"/>
        <w:spacing w:before="240" w:after="80"/>
      </w:pPr>
      <w:r>
        <w:rPr>
          <w:rFonts w:ascii="Times New Roman" w:hAnsi="Times New Roman" w:eastAsia="黑体"/>
          <w:b/>
          <w:i w:val="0"/>
          <w:sz w:val="28"/>
        </w:rPr>
        <w:t>12.8 实践案例深度分析</w:t>
      </w:r>
    </w:p>
    <w:p>
      <w:pPr>
        <w:pStyle w:val="Heading3"/>
        <w:spacing w:before="160" w:after="60"/>
      </w:pPr>
      <w:r>
        <w:rPr>
          <w:rFonts w:ascii="Times New Roman" w:hAnsi="Times New Roman" w:eastAsia="黑体"/>
          <w:b/>
          <w:i w:val="0"/>
          <w:sz w:val="24"/>
        </w:rPr>
        <w:t>案例1：中国电力现货市场建设进展</w:t>
      </w:r>
    </w:p>
    <w:p>
      <w:pPr>
        <w:spacing w:line="360" w:lineRule="auto" w:after="0"/>
        <w:ind w:firstLine="425"/>
      </w:pPr>
      <w:r>
        <w:rPr>
          <w:rFonts w:ascii="Times New Roman" w:hAnsi="Times New Roman" w:eastAsia="宋体"/>
          <w:b w:val="0"/>
          <w:i w:val="0"/>
          <w:sz w:val="22"/>
        </w:rPr>
        <w:t>截至2025年，中国电力现货市场建设进展如下：</w:t>
      </w:r>
    </w:p>
    <w:p>
      <w:pPr>
        <w:spacing w:line="360" w:lineRule="auto" w:after="0"/>
        <w:ind w:firstLine="425"/>
      </w:pPr>
      <w:r>
        <w:rPr>
          <w:rFonts w:ascii="Times New Roman" w:hAnsi="Times New Roman" w:eastAsia="宋体"/>
          <w:b/>
          <w:i w:val="0"/>
          <w:sz w:val="22"/>
        </w:rPr>
        <w:t>已运行省份</w:t>
      </w:r>
      <w:r>
        <w:rPr>
          <w:rFonts w:ascii="Times New Roman" w:hAnsi="Times New Roman" w:eastAsia="宋体"/>
          <w:b w:val="0"/>
          <w:i w:val="0"/>
          <w:sz w:val="22"/>
        </w:rPr>
        <w:t>：广东、山西、山东、甘肃、蒙西等5个首批试点地区已进入长周期连续运行阶段。</w:t>
      </w:r>
    </w:p>
    <w:p>
      <w:pPr>
        <w:spacing w:line="360" w:lineRule="auto" w:after="0"/>
        <w:ind w:firstLine="425"/>
      </w:pPr>
      <w:r>
        <w:rPr>
          <w:rFonts w:ascii="Times New Roman" w:hAnsi="Times New Roman" w:eastAsia="宋体"/>
          <w:b/>
          <w:i w:val="0"/>
          <w:sz w:val="22"/>
        </w:rPr>
        <w:t>试运行省份</w:t>
      </w:r>
      <w:r>
        <w:rPr>
          <w:rFonts w:ascii="Times New Roman" w:hAnsi="Times New Roman" w:eastAsia="宋体"/>
          <w:b w:val="0"/>
          <w:i w:val="0"/>
          <w:sz w:val="22"/>
        </w:rPr>
        <w:t>：浙江、福建、四川、湖北等省份已启动现货市场试运行。</w:t>
      </w:r>
    </w:p>
    <w:p>
      <w:pPr>
        <w:spacing w:line="360" w:lineRule="auto" w:after="0"/>
        <w:ind w:firstLine="425"/>
      </w:pPr>
      <w:r>
        <w:rPr>
          <w:rFonts w:ascii="Times New Roman" w:hAnsi="Times New Roman" w:eastAsia="宋体"/>
          <w:b/>
          <w:i w:val="0"/>
          <w:sz w:val="22"/>
        </w:rPr>
        <w:t>价格信号效果</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广东现货市场日均价格在0.25-0.55元/kWh之间波动</w:t>
      </w:r>
    </w:p>
    <w:p>
      <w:pPr>
        <w:pStyle w:val="ListBullet"/>
        <w:spacing w:line="360" w:lineRule="auto" w:after="0"/>
      </w:pPr>
      <w:r>
        <w:rPr>
          <w:rFonts w:ascii="Times New Roman" w:hAnsi="Times New Roman" w:eastAsia="宋体"/>
          <w:b w:val="0"/>
          <w:i w:val="0"/>
          <w:sz w:val="22"/>
        </w:rPr>
        <w:t>峰谷价比约3-5倍，有效反映了供需状况</w:t>
      </w:r>
    </w:p>
    <w:p>
      <w:pPr>
        <w:pStyle w:val="ListBullet"/>
        <w:spacing w:line="360" w:lineRule="auto" w:after="0"/>
      </w:pPr>
      <w:r>
        <w:rPr>
          <w:rFonts w:ascii="Times New Roman" w:hAnsi="Times New Roman" w:eastAsia="宋体"/>
          <w:b w:val="0"/>
          <w:i w:val="0"/>
          <w:sz w:val="22"/>
        </w:rPr>
        <w:t>在极端天气和负荷高峰时段，价格尖峰达到1.0元/kWh以上</w:t>
      </w:r>
    </w:p>
    <w:p>
      <w:pPr>
        <w:spacing w:line="360" w:lineRule="auto" w:after="0"/>
        <w:ind w:firstLine="425"/>
      </w:pPr>
      <w:r>
        <w:rPr>
          <w:rFonts w:ascii="Times New Roman" w:hAnsi="Times New Roman" w:eastAsia="宋体"/>
          <w:b/>
          <w:i w:val="0"/>
          <w:sz w:val="22"/>
        </w:rPr>
        <w:t>对RTP的推动</w:t>
      </w:r>
      <w:r>
        <w:rPr>
          <w:rFonts w:ascii="Times New Roman" w:hAnsi="Times New Roman" w:eastAsia="宋体"/>
          <w:b w:val="0"/>
          <w:i w:val="0"/>
          <w:sz w:val="22"/>
        </w:rPr>
        <w:t>：现货市场的价格信号为RTP提供了基础。广东已有部分售电公司开始向大型用户提供基于现货价格的RTP产品。</w:t>
      </w:r>
    </w:p>
    <w:p>
      <w:pPr>
        <w:pStyle w:val="Heading3"/>
        <w:spacing w:before="160" w:after="60"/>
      </w:pPr>
      <w:r>
        <w:rPr>
          <w:rFonts w:ascii="Times New Roman" w:hAnsi="Times New Roman" w:eastAsia="黑体"/>
          <w:b/>
          <w:i w:val="0"/>
          <w:sz w:val="24"/>
        </w:rPr>
        <w:t>案例2：虚拟电厂参与市场交易</w:t>
      </w:r>
    </w:p>
    <w:p>
      <w:pPr>
        <w:spacing w:line="360" w:lineRule="auto" w:after="0"/>
        <w:ind w:firstLine="425"/>
      </w:pPr>
      <w:r>
        <w:rPr>
          <w:rFonts w:ascii="Times New Roman" w:hAnsi="Times New Roman" w:eastAsia="宋体"/>
          <w:b w:val="0"/>
          <w:i w:val="0"/>
          <w:sz w:val="22"/>
        </w:rPr>
        <w:t>中国在虚拟电厂（VPP）领域进行了积极探索：</w:t>
      </w:r>
    </w:p>
    <w:p>
      <w:pPr>
        <w:spacing w:line="360" w:lineRule="auto" w:after="0"/>
        <w:ind w:firstLine="425"/>
      </w:pPr>
      <w:r>
        <w:rPr>
          <w:rFonts w:ascii="Times New Roman" w:hAnsi="Times New Roman" w:eastAsia="宋体"/>
          <w:b/>
          <w:i w:val="0"/>
          <w:sz w:val="22"/>
        </w:rPr>
        <w:t>上海VPP示范</w:t>
      </w:r>
      <w:r>
        <w:rPr>
          <w:rFonts w:ascii="Times New Roman" w:hAnsi="Times New Roman" w:eastAsia="宋体"/>
          <w:b w:val="0"/>
          <w:i w:val="0"/>
          <w:sz w:val="22"/>
        </w:rPr>
        <w:t>：上海市于2022年启动了VPP示范项目，聚合了分布式光伏、储能、充电桩和可控负荷等资源，总容量约50MW。VPP通过聚合多种DER资源参与电力市场交易和需求响应。</w:t>
      </w:r>
    </w:p>
    <w:p>
      <w:pPr>
        <w:spacing w:line="360" w:lineRule="auto" w:after="0"/>
        <w:ind w:firstLine="425"/>
      </w:pPr>
      <w:r>
        <w:rPr>
          <w:rFonts w:ascii="Times New Roman" w:hAnsi="Times New Roman" w:eastAsia="宋体"/>
          <w:b/>
          <w:i w:val="0"/>
          <w:sz w:val="22"/>
        </w:rPr>
        <w:t>深圳VPP试点</w:t>
      </w:r>
      <w:r>
        <w:rPr>
          <w:rFonts w:ascii="Times New Roman" w:hAnsi="Times New Roman" w:eastAsia="宋体"/>
          <w:b w:val="0"/>
          <w:i w:val="0"/>
          <w:sz w:val="22"/>
        </w:rPr>
        <w:t>：深圳市于2023年启动了VPP试点，聚合了1000+个充电桩和500+户分布式光伏用户，总容量约30MW。VPP的动态定价策略使参与用户的收益增加15%-20%。</w:t>
      </w:r>
    </w:p>
    <w:p>
      <w:pPr>
        <w:spacing w:line="360" w:lineRule="auto" w:after="0"/>
        <w:ind w:firstLine="425"/>
      </w:pPr>
      <w:r>
        <w:rPr>
          <w:rFonts w:ascii="Times New Roman" w:hAnsi="Times New Roman" w:eastAsia="宋体"/>
          <w:b/>
          <w:i w:val="0"/>
          <w:sz w:val="22"/>
        </w:rPr>
        <w:t>挑战</w:t>
      </w:r>
      <w:r>
        <w:rPr>
          <w:rFonts w:ascii="Times New Roman" w:hAnsi="Times New Roman" w:eastAsia="宋体"/>
          <w:b w:val="0"/>
          <w:i w:val="0"/>
          <w:sz w:val="22"/>
        </w:rPr>
        <w:t>：VPP参与市场交易面临的挑战包括：VPP的法律地位不明确、聚合资源的可靠性评估困难、利益分配机制不完善、通信和控制系统标准化程度低。</w:t>
      </w:r>
    </w:p>
    <w:p>
      <w:pPr>
        <w:pStyle w:val="Heading3"/>
        <w:spacing w:before="160" w:after="60"/>
      </w:pPr>
      <w:r>
        <w:rPr>
          <w:rFonts w:ascii="Times New Roman" w:hAnsi="Times New Roman" w:eastAsia="黑体"/>
          <w:b/>
          <w:i w:val="0"/>
          <w:sz w:val="24"/>
        </w:rPr>
        <w:t>案例3：人工智能定价的产业实践</w:t>
      </w:r>
    </w:p>
    <w:p>
      <w:pPr>
        <w:spacing w:line="360" w:lineRule="auto" w:after="0"/>
        <w:ind w:firstLine="425"/>
      </w:pPr>
      <w:r>
        <w:rPr>
          <w:rFonts w:ascii="Times New Roman" w:hAnsi="Times New Roman" w:eastAsia="宋体"/>
          <w:b/>
          <w:i w:val="0"/>
          <w:sz w:val="22"/>
        </w:rPr>
        <w:t>国家电网AI定价探索</w:t>
      </w:r>
      <w:r>
        <w:rPr>
          <w:rFonts w:ascii="Times New Roman" w:hAnsi="Times New Roman" w:eastAsia="宋体"/>
          <w:b w:val="0"/>
          <w:i w:val="0"/>
          <w:sz w:val="22"/>
        </w:rPr>
        <w:t>：国家电网在部分省份试点了AI辅助定价系统，利用机器学习预测负荷和可再生能源出力，辅助制定定价策略。试点结果表明，AI预测的负荷预测精度比传统方法提高5%-8%，定价决策的效率提高约30%。</w:t>
      </w:r>
    </w:p>
    <w:p>
      <w:pPr>
        <w:spacing w:line="360" w:lineRule="auto" w:after="0"/>
        <w:ind w:firstLine="425"/>
      </w:pPr>
      <w:r>
        <w:rPr>
          <w:rFonts w:ascii="Times New Roman" w:hAnsi="Times New Roman" w:eastAsia="宋体"/>
          <w:b/>
          <w:i w:val="0"/>
          <w:sz w:val="22"/>
        </w:rPr>
        <w:t>售电公司智能定价</w:t>
      </w:r>
      <w:r>
        <w:rPr>
          <w:rFonts w:ascii="Times New Roman" w:hAnsi="Times New Roman" w:eastAsia="宋体"/>
          <w:b w:val="0"/>
          <w:i w:val="0"/>
          <w:sz w:val="22"/>
        </w:rPr>
        <w:t>：部分售电公司开发了基于强化学习的智能定价平台，根据用户用电行为和市场价格动态调整零售电价。这些平台使用DQN和Actor-Critic等算法，在仿真环境中表现优于传统定价策略。</w:t>
      </w:r>
    </w:p>
    <w:p>
      <w:pPr>
        <w:spacing w:line="360" w:lineRule="auto" w:after="0"/>
        <w:ind w:firstLine="425"/>
      </w:pPr>
      <w:r>
        <w:rPr>
          <w:rFonts w:ascii="Times New Roman" w:hAnsi="Times New Roman" w:eastAsia="宋体"/>
          <w:b/>
          <w:i w:val="0"/>
          <w:sz w:val="22"/>
        </w:rPr>
        <w:t>挑战</w:t>
      </w:r>
      <w:r>
        <w:rPr>
          <w:rFonts w:ascii="Times New Roman" w:hAnsi="Times New Roman" w:eastAsia="宋体"/>
          <w:b w:val="0"/>
          <w:i w:val="0"/>
          <w:sz w:val="22"/>
        </w:rPr>
        <w:t>：AI定价的产业实践面临以下挑战：数据质量和可得性问题、模型可解释性不足、安全性和可靠性验证困难、监管框架缺失。</w:t>
      </w:r>
    </w:p>
    <w:p>
      <w:pPr>
        <w:pStyle w:val="Heading2"/>
        <w:spacing w:before="240" w:after="80"/>
      </w:pPr>
      <w:r>
        <w:rPr>
          <w:rFonts w:ascii="Times New Roman" w:hAnsi="Times New Roman" w:eastAsia="黑体"/>
          <w:b/>
          <w:i w:val="0"/>
          <w:sz w:val="28"/>
        </w:rPr>
        <w:t>12.9 理论深化与前沿探讨</w:t>
      </w:r>
    </w:p>
    <w:p>
      <w:pPr>
        <w:pStyle w:val="Heading3"/>
        <w:spacing w:before="160" w:after="60"/>
      </w:pPr>
      <w:r>
        <w:rPr>
          <w:rFonts w:ascii="Times New Roman" w:hAnsi="Times New Roman" w:eastAsia="黑体"/>
          <w:b/>
          <w:i w:val="0"/>
          <w:sz w:val="24"/>
        </w:rPr>
        <w:t>从研究到实践：实时定价的部署路径</w:t>
      </w:r>
    </w:p>
    <w:p>
      <w:pPr>
        <w:spacing w:line="360" w:lineRule="auto" w:after="0"/>
        <w:ind w:firstLine="425"/>
      </w:pPr>
      <w:r>
        <w:rPr>
          <w:rFonts w:ascii="Times New Roman" w:hAnsi="Times New Roman" w:eastAsia="宋体"/>
          <w:b w:val="0"/>
          <w:i w:val="0"/>
          <w:sz w:val="22"/>
        </w:rPr>
        <w:t>实时定价从学术研究走向大规模工程应用需要经历以下阶段：</w:t>
      </w:r>
    </w:p>
    <w:p>
      <w:pPr>
        <w:spacing w:line="360" w:lineRule="auto" w:after="0"/>
        <w:ind w:firstLine="425"/>
      </w:pPr>
      <w:r>
        <w:rPr>
          <w:rFonts w:ascii="Times New Roman" w:hAnsi="Times New Roman" w:eastAsia="宋体"/>
          <w:b/>
          <w:i w:val="0"/>
          <w:sz w:val="22"/>
        </w:rPr>
        <w:t>第一阶段：理论验证</w:t>
      </w:r>
      <w:r>
        <w:rPr>
          <w:rFonts w:ascii="Times New Roman" w:hAnsi="Times New Roman" w:eastAsia="宋体"/>
          <w:b w:val="0"/>
          <w:i w:val="0"/>
          <w:sz w:val="22"/>
        </w:rPr>
        <w:t>（已完成）：通过数学建模和仿真验证RTP的理论可行性和优势。高岩团队的大量工作属于这一阶段。</w:t>
      </w:r>
    </w:p>
    <w:p>
      <w:pPr>
        <w:spacing w:line="360" w:lineRule="auto" w:after="0"/>
        <w:ind w:firstLine="425"/>
      </w:pPr>
      <w:r>
        <w:rPr>
          <w:rFonts w:ascii="Times New Roman" w:hAnsi="Times New Roman" w:eastAsia="宋体"/>
          <w:b/>
          <w:i w:val="0"/>
          <w:sz w:val="22"/>
        </w:rPr>
        <w:t>第二阶段：试点验证</w:t>
      </w:r>
      <w:r>
        <w:rPr>
          <w:rFonts w:ascii="Times New Roman" w:hAnsi="Times New Roman" w:eastAsia="宋体"/>
          <w:b w:val="0"/>
          <w:i w:val="0"/>
          <w:sz w:val="22"/>
        </w:rPr>
        <w:t>（进行中）：在小规模真实环境中验证RTP的实际效果。上海、深圳等地的需求响应试点属于这一阶段。</w:t>
      </w:r>
    </w:p>
    <w:p>
      <w:pPr>
        <w:spacing w:line="360" w:lineRule="auto" w:after="0"/>
        <w:ind w:firstLine="425"/>
      </w:pPr>
      <w:r>
        <w:rPr>
          <w:rFonts w:ascii="Times New Roman" w:hAnsi="Times New Roman" w:eastAsia="宋体"/>
          <w:b/>
          <w:i w:val="0"/>
          <w:sz w:val="22"/>
        </w:rPr>
        <w:t>第三阶段：市场机制建设</w:t>
      </w:r>
      <w:r>
        <w:rPr>
          <w:rFonts w:ascii="Times New Roman" w:hAnsi="Times New Roman" w:eastAsia="宋体"/>
          <w:b w:val="0"/>
          <w:i w:val="0"/>
          <w:sz w:val="22"/>
        </w:rPr>
        <w:t>（推进中）：建立支撑RTP的市场机制，包括现货市场、辅助服务市场、容量市场等。中国正处于这一阶段的加速推进期。</w:t>
      </w:r>
    </w:p>
    <w:p>
      <w:pPr>
        <w:spacing w:line="360" w:lineRule="auto" w:after="0"/>
        <w:ind w:firstLine="425"/>
      </w:pPr>
      <w:r>
        <w:rPr>
          <w:rFonts w:ascii="Times New Roman" w:hAnsi="Times New Roman" w:eastAsia="宋体"/>
          <w:b/>
          <w:i w:val="0"/>
          <w:sz w:val="22"/>
        </w:rPr>
        <w:t>第四阶段：技术基础设施部署</w:t>
      </w:r>
      <w:r>
        <w:rPr>
          <w:rFonts w:ascii="Times New Roman" w:hAnsi="Times New Roman" w:eastAsia="宋体"/>
          <w:b w:val="0"/>
          <w:i w:val="0"/>
          <w:sz w:val="22"/>
        </w:rPr>
        <w:t>（部分完成）：部署AMI、通信网络、智能用电设备和定价平台。中国在AMI部署方面已基本完成，但智能用电设备和定价平台的普及仍需推进。</w:t>
      </w:r>
    </w:p>
    <w:p>
      <w:pPr>
        <w:spacing w:line="360" w:lineRule="auto" w:after="0"/>
        <w:ind w:firstLine="425"/>
      </w:pPr>
      <w:r>
        <w:rPr>
          <w:rFonts w:ascii="Times New Roman" w:hAnsi="Times New Roman" w:eastAsia="宋体"/>
          <w:b/>
          <w:i w:val="0"/>
          <w:sz w:val="22"/>
        </w:rPr>
        <w:t>第五阶段：用户教育和参与</w:t>
      </w:r>
      <w:r>
        <w:rPr>
          <w:rFonts w:ascii="Times New Roman" w:hAnsi="Times New Roman" w:eastAsia="宋体"/>
          <w:b w:val="0"/>
          <w:i w:val="0"/>
          <w:sz w:val="22"/>
        </w:rPr>
        <w:t>（起步阶段）：通过市场教育、激励补贴和试点体验提高用户对RTP的认知和接受度。这是目前最薄弱的环节。</w:t>
      </w:r>
    </w:p>
    <w:p>
      <w:pPr>
        <w:spacing w:line="360" w:lineRule="auto" w:after="0"/>
        <w:ind w:firstLine="425"/>
      </w:pPr>
      <w:r>
        <w:rPr>
          <w:rFonts w:ascii="Times New Roman" w:hAnsi="Times New Roman" w:eastAsia="宋体"/>
          <w:b/>
          <w:i w:val="0"/>
          <w:sz w:val="22"/>
        </w:rPr>
        <w:t>第六阶段：大规模商用</w:t>
      </w:r>
      <w:r>
        <w:rPr>
          <w:rFonts w:ascii="Times New Roman" w:hAnsi="Times New Roman" w:eastAsia="宋体"/>
          <w:b w:val="0"/>
          <w:i w:val="0"/>
          <w:sz w:val="22"/>
        </w:rPr>
        <w:t>（未来5-10年）：RTP从试点走向大规模商用，成为电力零售市场的主流定价模式。</w:t>
      </w:r>
    </w:p>
    <w:p>
      <w:pPr>
        <w:pStyle w:val="Heading3"/>
        <w:spacing w:before="160" w:after="60"/>
      </w:pPr>
      <w:r>
        <w:rPr>
          <w:rFonts w:ascii="Times New Roman" w:hAnsi="Times New Roman" w:eastAsia="黑体"/>
          <w:b/>
          <w:i w:val="0"/>
          <w:sz w:val="24"/>
        </w:rPr>
        <w:t>实时定价的标准化</w:t>
      </w:r>
    </w:p>
    <w:p>
      <w:pPr>
        <w:spacing w:line="360" w:lineRule="auto" w:after="0"/>
        <w:ind w:firstLine="425"/>
      </w:pPr>
      <w:r>
        <w:rPr>
          <w:rFonts w:ascii="Times New Roman" w:hAnsi="Times New Roman" w:eastAsia="宋体"/>
          <w:b w:val="0"/>
          <w:i w:val="0"/>
          <w:sz w:val="22"/>
        </w:rPr>
        <w:t>标准化是RTP大规模部署的关键：</w:t>
      </w:r>
    </w:p>
    <w:p>
      <w:pPr>
        <w:spacing w:line="360" w:lineRule="auto" w:after="0"/>
        <w:ind w:firstLine="425"/>
      </w:pPr>
      <w:r>
        <w:rPr>
          <w:rFonts w:ascii="Times New Roman" w:hAnsi="Times New Roman" w:eastAsia="宋体"/>
          <w:b/>
          <w:i w:val="0"/>
          <w:sz w:val="22"/>
        </w:rPr>
        <w:t>通信协议标准</w:t>
      </w:r>
      <w:r>
        <w:rPr>
          <w:rFonts w:ascii="Times New Roman" w:hAnsi="Times New Roman" w:eastAsia="宋体"/>
          <w:b w:val="0"/>
          <w:i w:val="0"/>
          <w:sz w:val="22"/>
        </w:rPr>
        <w:t>：统一AMI通信协议（如DLMS/COSEM、OpenADR），确保不同厂商设备的互操作性。</w:t>
      </w:r>
    </w:p>
    <w:p>
      <w:pPr>
        <w:spacing w:line="360" w:lineRule="auto" w:after="0"/>
        <w:ind w:firstLine="425"/>
      </w:pPr>
      <w:r>
        <w:rPr>
          <w:rFonts w:ascii="Times New Roman" w:hAnsi="Times New Roman" w:eastAsia="宋体"/>
          <w:b/>
          <w:i w:val="0"/>
          <w:sz w:val="22"/>
        </w:rPr>
        <w:t>数据格式标准</w:t>
      </w:r>
      <w:r>
        <w:rPr>
          <w:rFonts w:ascii="Times New Roman" w:hAnsi="Times New Roman" w:eastAsia="宋体"/>
          <w:b w:val="0"/>
          <w:i w:val="0"/>
          <w:sz w:val="22"/>
        </w:rPr>
        <w:t>：统一智能电表数据格式和价格信号格式，便于数据交换和处理。</w:t>
      </w:r>
    </w:p>
    <w:p>
      <w:pPr>
        <w:spacing w:line="360" w:lineRule="auto" w:after="0"/>
        <w:ind w:firstLine="425"/>
      </w:pPr>
      <w:r>
        <w:rPr>
          <w:rFonts w:ascii="Times New Roman" w:hAnsi="Times New Roman" w:eastAsia="宋体"/>
          <w:b/>
          <w:i w:val="0"/>
          <w:sz w:val="22"/>
        </w:rPr>
        <w:t>接口标准</w:t>
      </w:r>
      <w:r>
        <w:rPr>
          <w:rFonts w:ascii="Times New Roman" w:hAnsi="Times New Roman" w:eastAsia="宋体"/>
          <w:b w:val="0"/>
          <w:i w:val="0"/>
          <w:sz w:val="22"/>
        </w:rPr>
        <w:t>：统一DR平台与电力市场交易平台、EMS系统之间的接口标准。</w:t>
      </w:r>
    </w:p>
    <w:p>
      <w:pPr>
        <w:spacing w:line="360" w:lineRule="auto" w:after="0"/>
        <w:ind w:firstLine="425"/>
      </w:pPr>
      <w:r>
        <w:rPr>
          <w:rFonts w:ascii="Times New Roman" w:hAnsi="Times New Roman" w:eastAsia="宋体"/>
          <w:b/>
          <w:i w:val="0"/>
          <w:sz w:val="22"/>
        </w:rPr>
        <w:t>定价算法标准</w:t>
      </w:r>
      <w:r>
        <w:rPr>
          <w:rFonts w:ascii="Times New Roman" w:hAnsi="Times New Roman" w:eastAsia="宋体"/>
          <w:b w:val="0"/>
          <w:i w:val="0"/>
          <w:sz w:val="22"/>
        </w:rPr>
        <w:t>：制定RTP定价算法的性能标准和安全标准，确保算法的可靠性和公平性。</w:t>
      </w:r>
    </w:p>
    <w:p>
      <w:pPr>
        <w:pStyle w:val="Heading3"/>
        <w:spacing w:before="160" w:after="60"/>
      </w:pPr>
      <w:r>
        <w:rPr>
          <w:rFonts w:ascii="Times New Roman" w:hAnsi="Times New Roman" w:eastAsia="黑体"/>
          <w:b/>
          <w:i w:val="0"/>
          <w:sz w:val="24"/>
        </w:rPr>
        <w:t>实时定价的监管框架</w:t>
      </w:r>
    </w:p>
    <w:p>
      <w:pPr>
        <w:spacing w:line="360" w:lineRule="auto" w:after="0"/>
        <w:ind w:firstLine="425"/>
      </w:pPr>
      <w:r>
        <w:rPr>
          <w:rFonts w:ascii="Times New Roman" w:hAnsi="Times New Roman" w:eastAsia="宋体"/>
          <w:b w:val="0"/>
          <w:i w:val="0"/>
          <w:sz w:val="22"/>
        </w:rPr>
        <w:t>RTP的推广需要完善的监管框架：</w:t>
      </w:r>
    </w:p>
    <w:p>
      <w:pPr>
        <w:spacing w:line="360" w:lineRule="auto" w:after="0"/>
        <w:ind w:firstLine="425"/>
      </w:pPr>
      <w:r>
        <w:rPr>
          <w:rFonts w:ascii="Times New Roman" w:hAnsi="Times New Roman" w:eastAsia="宋体"/>
          <w:b/>
          <w:i w:val="0"/>
          <w:sz w:val="22"/>
        </w:rPr>
        <w:t>价格监管</w:t>
      </w:r>
      <w:r>
        <w:rPr>
          <w:rFonts w:ascii="Times New Roman" w:hAnsi="Times New Roman" w:eastAsia="宋体"/>
          <w:b w:val="0"/>
          <w:i w:val="0"/>
          <w:sz w:val="22"/>
        </w:rPr>
        <w:t>：设定RTP价格上下限，防止极端价格损害用户利益。同时确保价格信号足够灵活，反映真实供需状况。</w:t>
      </w:r>
    </w:p>
    <w:p>
      <w:pPr>
        <w:spacing w:line="360" w:lineRule="auto" w:after="0"/>
        <w:ind w:firstLine="425"/>
      </w:pPr>
      <w:r>
        <w:rPr>
          <w:rFonts w:ascii="Times New Roman" w:hAnsi="Times New Roman" w:eastAsia="宋体"/>
          <w:b/>
          <w:i w:val="0"/>
          <w:sz w:val="22"/>
        </w:rPr>
        <w:t>市场力监管</w:t>
      </w:r>
      <w:r>
        <w:rPr>
          <w:rFonts w:ascii="Times New Roman" w:hAnsi="Times New Roman" w:eastAsia="宋体"/>
          <w:b w:val="0"/>
          <w:i w:val="0"/>
          <w:sz w:val="22"/>
        </w:rPr>
        <w:t>：监测和防范发电商/零售商在RTP市场中行使市场力。建立市场力检测指标和惩罚机制。</w:t>
      </w:r>
    </w:p>
    <w:p>
      <w:pPr>
        <w:spacing w:line="360" w:lineRule="auto" w:after="0"/>
        <w:ind w:firstLine="425"/>
      </w:pPr>
      <w:r>
        <w:rPr>
          <w:rFonts w:ascii="Times New Roman" w:hAnsi="Times New Roman" w:eastAsia="宋体"/>
          <w:b/>
          <w:i w:val="0"/>
          <w:sz w:val="22"/>
        </w:rPr>
        <w:t>用户保护</w:t>
      </w:r>
      <w:r>
        <w:rPr>
          <w:rFonts w:ascii="Times New Roman" w:hAnsi="Times New Roman" w:eastAsia="宋体"/>
          <w:b w:val="0"/>
          <w:i w:val="0"/>
          <w:sz w:val="22"/>
        </w:rPr>
        <w:t>：为弱势群体（低收入家庭、老年人等）提供保护措施，如价格上限保险、补贴等。</w:t>
      </w:r>
    </w:p>
    <w:p>
      <w:pPr>
        <w:spacing w:line="360" w:lineRule="auto" w:after="0"/>
        <w:ind w:firstLine="425"/>
      </w:pPr>
      <w:r>
        <w:rPr>
          <w:rFonts w:ascii="Times New Roman" w:hAnsi="Times New Roman" w:eastAsia="宋体"/>
          <w:b/>
          <w:i w:val="0"/>
          <w:sz w:val="22"/>
        </w:rPr>
        <w:t>数据隐私监管</w:t>
      </w:r>
      <w:r>
        <w:rPr>
          <w:rFonts w:ascii="Times New Roman" w:hAnsi="Times New Roman" w:eastAsia="宋体"/>
          <w:b w:val="0"/>
          <w:i w:val="0"/>
          <w:sz w:val="22"/>
        </w:rPr>
        <w:t>：制定智能电表数据采集、存储和使用的隐私保护规则，符合《数据安全法》和《个人信息保护法》要求。</w:t>
      </w:r>
    </w:p>
    <w:p>
      <w:pPr>
        <w:spacing w:line="360" w:lineRule="auto" w:after="0"/>
        <w:ind w:firstLine="425"/>
      </w:pPr>
      <w:r>
        <w:rPr>
          <w:rFonts w:ascii="Times New Roman" w:hAnsi="Times New Roman" w:eastAsia="宋体"/>
          <w:b/>
          <w:i w:val="0"/>
          <w:sz w:val="22"/>
        </w:rPr>
        <w:t>算法透明度</w:t>
      </w:r>
      <w:r>
        <w:rPr>
          <w:rFonts w:ascii="Times New Roman" w:hAnsi="Times New Roman" w:eastAsia="宋体"/>
          <w:b w:val="0"/>
          <w:i w:val="0"/>
          <w:sz w:val="22"/>
        </w:rPr>
        <w:t>：要求定价算法的核心逻辑可解释、可审计，防止算法歧视和操纵。</w:t>
      </w:r>
    </w:p>
    <w:p>
      <w:pPr>
        <w:pStyle w:val="Heading3"/>
        <w:spacing w:before="160" w:after="60"/>
      </w:pPr>
      <w:r>
        <w:rPr>
          <w:rFonts w:ascii="Times New Roman" w:hAnsi="Times New Roman" w:eastAsia="黑体"/>
          <w:b/>
          <w:i w:val="0"/>
          <w:sz w:val="24"/>
        </w:rPr>
        <w:t>未来5-10年的技术路线图</w:t>
      </w:r>
    </w:p>
    <w:p>
      <w:pPr>
        <w:spacing w:line="360" w:lineRule="auto" w:after="0"/>
        <w:ind w:firstLine="425"/>
      </w:pPr>
      <w:r>
        <w:rPr>
          <w:rFonts w:ascii="Times New Roman" w:hAnsi="Times New Roman" w:eastAsia="宋体"/>
          <w:b w:val="0"/>
          <w:i w:val="0"/>
          <w:sz w:val="22"/>
        </w:rPr>
        <w:t>基于当前研究趋势和技术发展，未来5-10年智能电网实时定价的技术路线图如下：</w:t>
      </w:r>
    </w:p>
    <w:p>
      <w:pPr>
        <w:spacing w:line="360" w:lineRule="auto" w:after="0"/>
        <w:ind w:firstLine="425"/>
      </w:pPr>
      <w:r>
        <w:rPr>
          <w:rFonts w:ascii="Times New Roman" w:hAnsi="Times New Roman" w:eastAsia="宋体"/>
          <w:b/>
          <w:i w:val="0"/>
          <w:sz w:val="22"/>
        </w:rPr>
        <w:t>近期（1-3年）</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电力现货市场全国推广</w:t>
      </w:r>
    </w:p>
    <w:p>
      <w:pPr>
        <w:pStyle w:val="ListBullet"/>
        <w:spacing w:line="360" w:lineRule="auto" w:after="0"/>
      </w:pPr>
      <w:r>
        <w:rPr>
          <w:rFonts w:ascii="Times New Roman" w:hAnsi="Times New Roman" w:eastAsia="宋体"/>
          <w:b w:val="0"/>
          <w:i w:val="0"/>
          <w:sz w:val="22"/>
        </w:rPr>
        <w:t>AMI全覆盖完成</w:t>
      </w:r>
    </w:p>
    <w:p>
      <w:pPr>
        <w:pStyle w:val="ListBullet"/>
        <w:spacing w:line="360" w:lineRule="auto" w:after="0"/>
      </w:pPr>
      <w:r>
        <w:rPr>
          <w:rFonts w:ascii="Times New Roman" w:hAnsi="Times New Roman" w:eastAsia="宋体"/>
          <w:b w:val="0"/>
          <w:i w:val="0"/>
          <w:sz w:val="22"/>
        </w:rPr>
        <w:t>基于优化算法的RTP在大型工商业用户中推广</w:t>
      </w:r>
    </w:p>
    <w:p>
      <w:pPr>
        <w:pStyle w:val="ListBullet"/>
        <w:spacing w:line="360" w:lineRule="auto" w:after="0"/>
      </w:pPr>
      <w:r>
        <w:rPr>
          <w:rFonts w:ascii="Times New Roman" w:hAnsi="Times New Roman" w:eastAsia="宋体"/>
          <w:b w:val="0"/>
          <w:i w:val="0"/>
          <w:sz w:val="22"/>
        </w:rPr>
        <w:t>需求响应自动化平台部署</w:t>
      </w:r>
    </w:p>
    <w:p>
      <w:pPr>
        <w:spacing w:line="360" w:lineRule="auto" w:after="0"/>
        <w:ind w:firstLine="425"/>
      </w:pPr>
      <w:r>
        <w:rPr>
          <w:rFonts w:ascii="Times New Roman" w:hAnsi="Times New Roman" w:eastAsia="宋体"/>
          <w:b/>
          <w:i w:val="0"/>
          <w:sz w:val="22"/>
        </w:rPr>
        <w:t>中期（3-5年）</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RTP扩展到中小商业用户</w:t>
      </w:r>
    </w:p>
    <w:p>
      <w:pPr>
        <w:pStyle w:val="ListBullet"/>
        <w:spacing w:line="360" w:lineRule="auto" w:after="0"/>
      </w:pPr>
      <w:r>
        <w:rPr>
          <w:rFonts w:ascii="Times New Roman" w:hAnsi="Times New Roman" w:eastAsia="宋体"/>
          <w:b w:val="0"/>
          <w:i w:val="0"/>
          <w:sz w:val="22"/>
        </w:rPr>
        <w:t>强化学习定价在仿真环境中成熟</w:t>
      </w:r>
    </w:p>
    <w:p>
      <w:pPr>
        <w:pStyle w:val="ListBullet"/>
        <w:spacing w:line="360" w:lineRule="auto" w:after="0"/>
      </w:pPr>
      <w:r>
        <w:rPr>
          <w:rFonts w:ascii="Times New Roman" w:hAnsi="Times New Roman" w:eastAsia="宋体"/>
          <w:b w:val="0"/>
          <w:i w:val="0"/>
          <w:sz w:val="22"/>
        </w:rPr>
        <w:t>VPP参与市场交易规范化</w:t>
      </w:r>
    </w:p>
    <w:p>
      <w:pPr>
        <w:pStyle w:val="ListBullet"/>
        <w:spacing w:line="360" w:lineRule="auto" w:after="0"/>
      </w:pPr>
      <w:r>
        <w:rPr>
          <w:rFonts w:ascii="Times New Roman" w:hAnsi="Times New Roman" w:eastAsia="宋体"/>
          <w:b w:val="0"/>
          <w:i w:val="0"/>
          <w:sz w:val="22"/>
        </w:rPr>
        <w:t>碳交易与电力定价初步协同</w:t>
      </w:r>
    </w:p>
    <w:p>
      <w:pPr>
        <w:spacing w:line="360" w:lineRule="auto" w:after="0"/>
        <w:ind w:firstLine="425"/>
      </w:pPr>
      <w:r>
        <w:rPr>
          <w:rFonts w:ascii="Times New Roman" w:hAnsi="Times New Roman" w:eastAsia="宋体"/>
          <w:b/>
          <w:i w:val="0"/>
          <w:sz w:val="22"/>
        </w:rPr>
        <w:t>远期（5-10年）</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RTP在居民用户中推广</w:t>
      </w:r>
    </w:p>
    <w:p>
      <w:pPr>
        <w:pStyle w:val="ListBullet"/>
        <w:spacing w:line="360" w:lineRule="auto" w:after="0"/>
      </w:pPr>
      <w:r>
        <w:rPr>
          <w:rFonts w:ascii="Times New Roman" w:hAnsi="Times New Roman" w:eastAsia="宋体"/>
          <w:b w:val="0"/>
          <w:i w:val="0"/>
          <w:sz w:val="22"/>
        </w:rPr>
        <w:t>AI驱动定价在真实系统中部署</w:t>
      </w:r>
    </w:p>
    <w:p>
      <w:pPr>
        <w:pStyle w:val="ListBullet"/>
        <w:spacing w:line="360" w:lineRule="auto" w:after="0"/>
      </w:pPr>
      <w:r>
        <w:rPr>
          <w:rFonts w:ascii="Times New Roman" w:hAnsi="Times New Roman" w:eastAsia="宋体"/>
          <w:b w:val="0"/>
          <w:i w:val="0"/>
          <w:sz w:val="22"/>
        </w:rPr>
        <w:t>电-碳-绿证三市场耦合定价</w:t>
      </w:r>
    </w:p>
    <w:p>
      <w:pPr>
        <w:pStyle w:val="ListBullet"/>
        <w:spacing w:line="360" w:lineRule="auto" w:after="0"/>
      </w:pPr>
      <w:r>
        <w:rPr>
          <w:rFonts w:ascii="Times New Roman" w:hAnsi="Times New Roman" w:eastAsia="宋体"/>
          <w:b w:val="0"/>
          <w:i w:val="0"/>
          <w:sz w:val="22"/>
        </w:rPr>
        <w:t>综合能源系统动态定价商业化</w:t>
      </w:r>
    </w:p>
    <w:p>
      <w:pPr>
        <w:pStyle w:val="ListBullet"/>
        <w:spacing w:line="360" w:lineRule="auto" w:after="0"/>
      </w:pPr>
      <w:r>
        <w:rPr>
          <w:rFonts w:ascii="Times New Roman" w:hAnsi="Times New Roman" w:eastAsia="宋体"/>
          <w:b w:val="0"/>
          <w:i w:val="0"/>
          <w:sz w:val="22"/>
        </w:rPr>
        <w:t>联邦学习实现隐私保护的大规模定价</w:t>
      </w:r>
    </w:p>
    <w:p>
      <w:pPr>
        <w:pStyle w:val="Heading3"/>
        <w:spacing w:before="160" w:after="60"/>
      </w:pPr>
      <w:r>
        <w:rPr>
          <w:rFonts w:ascii="Times New Roman" w:hAnsi="Times New Roman" w:eastAsia="黑体"/>
          <w:b/>
          <w:i w:val="0"/>
          <w:sz w:val="24"/>
        </w:rPr>
        <w:t>结语：从理论到实践的跨越</w:t>
      </w:r>
    </w:p>
    <w:p>
      <w:pPr>
        <w:spacing w:line="360" w:lineRule="auto" w:after="0"/>
        <w:ind w:firstLine="425"/>
      </w:pPr>
      <w:r>
        <w:rPr>
          <w:rFonts w:ascii="Times New Roman" w:hAnsi="Times New Roman" w:eastAsia="宋体"/>
          <w:b w:val="0"/>
          <w:i w:val="0"/>
          <w:sz w:val="22"/>
        </w:rPr>
        <w:t>智能电网实时定价经历了从理论构想到数学建模、从算法设计到仿真验证、从小规模试点到市场建设的完整发展历程。高岩和李军祥团队在理论基础、数学方法和算法实现方面做出了系统性贡献，特别是在互补问题与非光滑方程、博弈论定价、分片线性效用函数等方面具有开创性意义。</w:t>
      </w:r>
    </w:p>
    <w:p>
      <w:pPr>
        <w:spacing w:line="360" w:lineRule="auto" w:after="0"/>
        <w:ind w:firstLine="425"/>
      </w:pPr>
      <w:r>
        <w:rPr>
          <w:rFonts w:ascii="Times New Roman" w:hAnsi="Times New Roman" w:eastAsia="宋体"/>
          <w:b w:val="0"/>
          <w:i w:val="0"/>
          <w:sz w:val="22"/>
        </w:rPr>
        <w:t>然而，从学术研究到大规模工程应用仍需要跨越"死亡之谷"。这一跨越需要理论研究者、工程师、市场设计者、政策制定者和用户的共同努力。本综述希望为这一跨越提供理论参考和方法论指引，推动智能电网实时定价技术从实验室走向千家万户，为实现清洁、高效、可持续的现代电力系统贡献力量。</w:t>
      </w:r>
    </w:p>
    <w:p>
      <w:pPr>
        <w:spacing w:line="360" w:lineRule="auto" w:after="0"/>
        <w:ind w:firstLine="425"/>
      </w:pPr>
      <w:r>
        <w:rPr>
          <w:rFonts w:ascii="Times New Roman" w:hAnsi="Times New Roman" w:eastAsia="宋体"/>
          <w:b w:val="0"/>
          <w:i w:val="0"/>
          <w:sz w:val="22"/>
        </w:rPr>
        <w:t>随着"双碳"目标的深入推进和电力市场化改革的加速，智能电网实时定价正迎来前所未有的发展机遇。我们期待，在不久的将来，实时定价能够从学术研究走向千家万户，真正实现"让价格信号引导每一度电的智慧流动"。</w:t>
      </w:r>
    </w:p>
    <w:p>
      <w:pPr>
        <w:pStyle w:val="Heading2"/>
        <w:spacing w:before="240" w:after="80"/>
      </w:pPr>
      <w:r>
        <w:rPr>
          <w:rFonts w:ascii="Times New Roman" w:hAnsi="Times New Roman" w:eastAsia="黑体"/>
          <w:b/>
          <w:i w:val="0"/>
          <w:sz w:val="28"/>
        </w:rPr>
        <w:t>12.10 实时定价的未来展望与政策建议</w:t>
      </w:r>
    </w:p>
    <w:p>
      <w:pPr>
        <w:pStyle w:val="Heading3"/>
        <w:spacing w:before="160" w:after="60"/>
      </w:pPr>
      <w:r>
        <w:rPr>
          <w:rFonts w:ascii="Times New Roman" w:hAnsi="Times New Roman" w:eastAsia="黑体"/>
          <w:b/>
          <w:i w:val="0"/>
          <w:sz w:val="24"/>
        </w:rPr>
        <w:t>人工智能驱动的智能定价</w:t>
      </w:r>
    </w:p>
    <w:p>
      <w:pPr>
        <w:spacing w:line="360" w:lineRule="auto" w:after="0"/>
        <w:ind w:firstLine="425"/>
      </w:pPr>
      <w:r>
        <w:rPr>
          <w:rFonts w:ascii="Times New Roman" w:hAnsi="Times New Roman" w:eastAsia="宋体"/>
          <w:b w:val="0"/>
          <w:i w:val="0"/>
          <w:sz w:val="22"/>
        </w:rPr>
        <w:t>人工智能技术正在深刻改变实时定价的研究和实践。大语言模型（LLM）在电力市场分析中的应用正在探索中：LLM可以分析政策文件、新闻事件和社交媒体数据，提取影响电价的因素并生成市场分析报告。虽然LLM不能直接进行定价决策，但其强大的自然语言理解能力可以为定价决策提供丰富的上下文信息。</w:t>
      </w:r>
    </w:p>
    <w:p>
      <w:pPr>
        <w:spacing w:line="360" w:lineRule="auto" w:after="0"/>
        <w:ind w:firstLine="425"/>
      </w:pPr>
      <w:r>
        <w:rPr>
          <w:rFonts w:ascii="Times New Roman" w:hAnsi="Times New Roman" w:eastAsia="宋体"/>
          <w:b w:val="0"/>
          <w:i w:val="0"/>
          <w:sz w:val="22"/>
        </w:rPr>
        <w:t>生成式AI在需求预测中的应用前景广阔。传统预测方法（如ARIMA、指数平滑）依赖于时间序列的统计特征，难以捕捉突发事件和非线性模式。基于Transformer架构的预测模型（如Informer、Autoformer）可以处理超长序列输入，捕捉多尺度时间依赖关系，在长程预测中显著优于传统方法。扩散模型（Diffusion Model）为概率预测提供了新范式，可以生成未来负荷和价格的概率分布。</w:t>
      </w:r>
    </w:p>
    <w:p>
      <w:pPr>
        <w:spacing w:line="360" w:lineRule="auto" w:after="0"/>
        <w:ind w:firstLine="425"/>
      </w:pPr>
      <w:r>
        <w:rPr>
          <w:rFonts w:ascii="Times New Roman" w:hAnsi="Times New Roman" w:eastAsia="宋体"/>
          <w:b w:val="0"/>
          <w:i w:val="0"/>
          <w:sz w:val="22"/>
        </w:rPr>
        <w:t>多模态AI融合是未来方向。将数值数据（负荷、价格、天气）、文本数据（政策文件、新闻）、图像数据（卫星云图、天气预报图）融合到统一的AI框架中，可以提取更全面的定价信息。图神经网络（GNN）可以建模电网拓扑结构和空间依赖关系，为节点级实时定价提供精细化预测。</w:t>
      </w:r>
    </w:p>
    <w:p>
      <w:pPr>
        <w:pStyle w:val="Heading3"/>
        <w:spacing w:before="160" w:after="60"/>
      </w:pPr>
      <w:r>
        <w:rPr>
          <w:rFonts w:ascii="Times New Roman" w:hAnsi="Times New Roman" w:eastAsia="黑体"/>
          <w:b/>
          <w:i w:val="0"/>
          <w:sz w:val="24"/>
        </w:rPr>
        <w:t>数字孪生与实时定价仿真</w:t>
      </w:r>
    </w:p>
    <w:p>
      <w:pPr>
        <w:spacing w:line="360" w:lineRule="auto" w:after="0"/>
        <w:ind w:firstLine="425"/>
      </w:pPr>
      <w:r>
        <w:rPr>
          <w:rFonts w:ascii="Times New Roman" w:hAnsi="Times New Roman" w:eastAsia="宋体"/>
          <w:b w:val="0"/>
          <w:i w:val="0"/>
          <w:sz w:val="22"/>
        </w:rPr>
        <w:t>数字孪生技术通过构建电力系统的虚拟镜像，实现对实时定价策略的实时仿真和优化。数字孪生整合了物理模型、传感器数据和AI算法，能够在虚拟环境中模拟各种定价策略的效果，为实际实施提供决策支持。</w:t>
      </w:r>
    </w:p>
    <w:p>
      <w:pPr>
        <w:spacing w:line="360" w:lineRule="auto" w:after="0"/>
        <w:ind w:firstLine="425"/>
      </w:pPr>
      <w:r>
        <w:rPr>
          <w:rFonts w:ascii="Times New Roman" w:hAnsi="Times New Roman" w:eastAsia="宋体"/>
          <w:b w:val="0"/>
          <w:i w:val="0"/>
          <w:sz w:val="22"/>
        </w:rPr>
        <w:t>数字孪生的核心价值在于其"实时-闭环"特性：物理系统的运行数据实时输入数字孪生，数字孪生的优化结果实时反馈到物理系统。这种闭环结构使得定价策略可以自适应调整，应对系统状态的变化。当可再生能源出力突然变化或设备发生故障时，数字孪生可以快速重新优化定价策略。</w:t>
      </w:r>
    </w:p>
    <w:p>
      <w:pPr>
        <w:spacing w:line="360" w:lineRule="auto" w:after="0"/>
        <w:ind w:firstLine="425"/>
      </w:pPr>
      <w:r>
        <w:rPr>
          <w:rFonts w:ascii="Times New Roman" w:hAnsi="Times New Roman" w:eastAsia="宋体"/>
          <w:b w:val="0"/>
          <w:i w:val="0"/>
          <w:sz w:val="22"/>
        </w:rPr>
        <w:t>数字孪生的实现需要解决数据同步、模型校准和计算效率等挑战。边缘计算可以将部分计算任务下沉到变电站和配电节点，降低数据传输延迟。模型降阶技术可以在保持关键动态特征的前提下简化复杂模型，提高仿真速度。</w:t>
      </w:r>
    </w:p>
    <w:p>
      <w:pPr>
        <w:pStyle w:val="Heading3"/>
        <w:spacing w:before="160" w:after="60"/>
      </w:pPr>
      <w:r>
        <w:rPr>
          <w:rFonts w:ascii="Times New Roman" w:hAnsi="Times New Roman" w:eastAsia="黑体"/>
          <w:b/>
          <w:i w:val="0"/>
          <w:sz w:val="24"/>
        </w:rPr>
        <w:t>碳市场与电力市场的耦合定价</w:t>
      </w:r>
    </w:p>
    <w:p>
      <w:pPr>
        <w:spacing w:line="360" w:lineRule="auto" w:after="0"/>
        <w:ind w:firstLine="425"/>
      </w:pPr>
      <w:r>
        <w:rPr>
          <w:rFonts w:ascii="Times New Roman" w:hAnsi="Times New Roman" w:eastAsia="宋体"/>
          <w:b w:val="0"/>
          <w:i w:val="0"/>
          <w:sz w:val="22"/>
        </w:rPr>
        <w:t>随着碳交易市场的建立和完善，碳排放成本正在成为电力定价的重要组成部分。中国全国碳市场于2021年启动，目前覆盖发电行业。碳市场的碳价通过发电企业的碳成本传导到电力价格，形成碳-电价格联动机制。</w:t>
      </w:r>
    </w:p>
    <w:p>
      <w:pPr>
        <w:spacing w:line="360" w:lineRule="auto" w:after="0"/>
        <w:ind w:firstLine="425"/>
      </w:pPr>
      <w:r>
        <w:rPr>
          <w:rFonts w:ascii="Times New Roman" w:hAnsi="Times New Roman" w:eastAsia="宋体"/>
          <w:b w:val="0"/>
          <w:i w:val="0"/>
          <w:sz w:val="22"/>
        </w:rPr>
        <w:t>碳-电耦合定价的复杂性在于两个市场的机制差异。碳市场通常采用总量控制与交易（Cap-and-Trade）机制，碳配额的总量决定了长期碳价水平。电力市场采用边际定价机制，实时供需决定电价。两个市场的耦合通过发电企业的报价行为实现：碳成本增加了高碳排发电机组的边际成本，改变了 merit order 排序，影响电价。</w:t>
      </w:r>
    </w:p>
    <w:p>
      <w:pPr>
        <w:spacing w:line="360" w:lineRule="auto" w:after="0"/>
        <w:ind w:firstLine="425"/>
      </w:pPr>
      <w:r>
        <w:rPr>
          <w:rFonts w:ascii="Times New Roman" w:hAnsi="Times New Roman" w:eastAsia="宋体"/>
          <w:b w:val="0"/>
          <w:i w:val="0"/>
          <w:sz w:val="22"/>
        </w:rPr>
        <w:t>碳边境调节机制（CBAM）对国际电力贸易和定价的影响值得关注。欧盟CBAM要求进口产品承担碳排放成本，可能影响跨国电力交易的价格竞争力。中国需要在国内碳市场机制设计中考虑CBAM的影响，确保出口型电力密集型产业在国际竞争中不被处于劣势。</w:t>
      </w:r>
    </w:p>
    <w:p>
      <w:pPr>
        <w:spacing w:line="360" w:lineRule="auto" w:after="0"/>
        <w:ind w:firstLine="425"/>
      </w:pPr>
      <w:r>
        <w:rPr>
          <w:rFonts w:ascii="Times New Roman" w:hAnsi="Times New Roman" w:eastAsia="宋体"/>
          <w:b w:val="0"/>
          <w:i w:val="0"/>
          <w:sz w:val="22"/>
        </w:rPr>
        <w:t>绿电交易和绿证制度是与实时定价密切相关的环境市场机制。绿电交易允许用户直接购买可再生能源电力，绿证制度为可再生能源的环境属性提供可交易凭证。实时定价与绿电交易/绿证制度的协调设计，可以为可再生能源提供有效的价格激励，促进能源转型。</w:t>
      </w:r>
    </w:p>
    <w:p>
      <w:pPr>
        <w:pStyle w:val="Heading3"/>
        <w:spacing w:before="160" w:after="60"/>
      </w:pPr>
      <w:r>
        <w:rPr>
          <w:rFonts w:ascii="Times New Roman" w:hAnsi="Times New Roman" w:eastAsia="黑体"/>
          <w:b/>
          <w:i w:val="0"/>
          <w:sz w:val="24"/>
        </w:rPr>
        <w:t>政策建议与实施路线图</w:t>
      </w:r>
    </w:p>
    <w:p>
      <w:pPr>
        <w:spacing w:line="360" w:lineRule="auto" w:after="0"/>
        <w:ind w:firstLine="425"/>
      </w:pPr>
      <w:r>
        <w:rPr>
          <w:rFonts w:ascii="Times New Roman" w:hAnsi="Times New Roman" w:eastAsia="宋体"/>
          <w:b w:val="0"/>
          <w:i w:val="0"/>
          <w:sz w:val="22"/>
        </w:rPr>
        <w:t>基于本书的系统综述和分析，提出以下实时定价政策建议：</w:t>
      </w:r>
    </w:p>
    <w:p>
      <w:pPr>
        <w:spacing w:line="360" w:lineRule="auto" w:after="0"/>
        <w:ind w:firstLine="425"/>
      </w:pPr>
      <w:r>
        <w:rPr>
          <w:rFonts w:ascii="Times New Roman" w:hAnsi="Times New Roman" w:eastAsia="宋体"/>
          <w:b/>
          <w:i w:val="0"/>
          <w:sz w:val="22"/>
        </w:rPr>
        <w:t>短期措施（1-3年）：</w:t>
      </w:r>
    </w:p>
    <w:p>
      <w:pPr>
        <w:pStyle w:val="ListBullet"/>
        <w:spacing w:line="360" w:lineRule="auto" w:after="0"/>
      </w:pPr>
      <w:r>
        <w:rPr>
          <w:rFonts w:ascii="Times New Roman" w:hAnsi="Times New Roman" w:eastAsia="宋体"/>
          <w:b w:val="0"/>
          <w:i w:val="0"/>
          <w:sz w:val="22"/>
        </w:rPr>
        <w:t>加快现货市场建设，完善节点边际电价机制，为实时定价奠定市场基础</w:t>
      </w:r>
    </w:p>
    <w:p>
      <w:pPr>
        <w:pStyle w:val="ListBullet"/>
        <w:spacing w:line="360" w:lineRule="auto" w:after="0"/>
      </w:pPr>
      <w:r>
        <w:rPr>
          <w:rFonts w:ascii="Times New Roman" w:hAnsi="Times New Roman" w:eastAsia="宋体"/>
          <w:b w:val="0"/>
          <w:i w:val="0"/>
          <w:sz w:val="22"/>
        </w:rPr>
        <w:t>扩大需求响应试点范围，积累用户侧响应数据和行为分析经验</w:t>
      </w:r>
    </w:p>
    <w:p>
      <w:pPr>
        <w:pStyle w:val="ListBullet"/>
        <w:spacing w:line="360" w:lineRule="auto" w:after="0"/>
      </w:pPr>
      <w:r>
        <w:rPr>
          <w:rFonts w:ascii="Times New Roman" w:hAnsi="Times New Roman" w:eastAsia="宋体"/>
          <w:b w:val="0"/>
          <w:i w:val="0"/>
          <w:sz w:val="22"/>
        </w:rPr>
        <w:t>建立实时定价的数据标准和通信协议，确保系统互操作性</w:t>
      </w:r>
    </w:p>
    <w:p>
      <w:pPr>
        <w:pStyle w:val="ListBullet"/>
        <w:spacing w:line="360" w:lineRule="auto" w:after="0"/>
      </w:pPr>
      <w:r>
        <w:rPr>
          <w:rFonts w:ascii="Times New Roman" w:hAnsi="Times New Roman" w:eastAsia="宋体"/>
          <w:b w:val="0"/>
          <w:i w:val="0"/>
          <w:sz w:val="22"/>
        </w:rPr>
        <w:t>完善用户保护机制，特别是低收入群体和关键基础设施的电价保障</w:t>
      </w:r>
    </w:p>
    <w:p>
      <w:pPr>
        <w:spacing w:line="360" w:lineRule="auto" w:after="0"/>
        <w:ind w:firstLine="425"/>
      </w:pPr>
      <w:r>
        <w:rPr>
          <w:rFonts w:ascii="Times New Roman" w:hAnsi="Times New Roman" w:eastAsia="宋体"/>
          <w:b/>
          <w:i w:val="0"/>
          <w:sz w:val="22"/>
        </w:rPr>
        <w:t>中期措施（3-5年）：</w:t>
      </w:r>
    </w:p>
    <w:p>
      <w:pPr>
        <w:pStyle w:val="ListBullet"/>
        <w:spacing w:line="360" w:lineRule="auto" w:after="0"/>
      </w:pPr>
      <w:r>
        <w:rPr>
          <w:rFonts w:ascii="Times New Roman" w:hAnsi="Times New Roman" w:eastAsia="宋体"/>
          <w:b w:val="0"/>
          <w:i w:val="0"/>
          <w:sz w:val="22"/>
        </w:rPr>
        <w:t>逐步将实时电价从批发市场延伸到零售市场，先面向工商业大用户，再扩展到居民用户</w:t>
      </w:r>
    </w:p>
    <w:p>
      <w:pPr>
        <w:pStyle w:val="ListBullet"/>
        <w:spacing w:line="360" w:lineRule="auto" w:after="0"/>
      </w:pPr>
      <w:r>
        <w:rPr>
          <w:rFonts w:ascii="Times New Roman" w:hAnsi="Times New Roman" w:eastAsia="宋体"/>
          <w:b w:val="0"/>
          <w:i w:val="0"/>
          <w:sz w:val="22"/>
        </w:rPr>
        <w:t>推进智能电表全面部署和AMI系统升级，支撑高频定价和结算</w:t>
      </w:r>
    </w:p>
    <w:p>
      <w:pPr>
        <w:pStyle w:val="ListBullet"/>
        <w:spacing w:line="360" w:lineRule="auto" w:after="0"/>
      </w:pPr>
      <w:r>
        <w:rPr>
          <w:rFonts w:ascii="Times New Roman" w:hAnsi="Times New Roman" w:eastAsia="宋体"/>
          <w:b w:val="0"/>
          <w:i w:val="0"/>
          <w:sz w:val="22"/>
        </w:rPr>
        <w:t>建立储能和需求响应资源的容量补偿机制，激励灵活性资源投资</w:t>
      </w:r>
    </w:p>
    <w:p>
      <w:pPr>
        <w:pStyle w:val="ListBullet"/>
        <w:spacing w:line="360" w:lineRule="auto" w:after="0"/>
      </w:pPr>
      <w:r>
        <w:rPr>
          <w:rFonts w:ascii="Times New Roman" w:hAnsi="Times New Roman" w:eastAsia="宋体"/>
          <w:b w:val="0"/>
          <w:i w:val="0"/>
          <w:sz w:val="22"/>
        </w:rPr>
        <w:t>探索分布式能源聚合参与实时市场的监管框架和商业模式</w:t>
      </w:r>
    </w:p>
    <w:p>
      <w:pPr>
        <w:pStyle w:val="ListBullet"/>
        <w:spacing w:line="360" w:lineRule="auto" w:after="0"/>
      </w:pPr>
      <w:r>
        <w:rPr>
          <w:rFonts w:ascii="Times New Roman" w:hAnsi="Times New Roman" w:eastAsia="宋体"/>
          <w:b w:val="0"/>
          <w:i w:val="0"/>
          <w:sz w:val="22"/>
        </w:rPr>
        <w:t>加强网络安全和数据隐私保护法规建设</w:t>
      </w:r>
    </w:p>
    <w:p>
      <w:pPr>
        <w:spacing w:line="360" w:lineRule="auto" w:after="0"/>
        <w:ind w:firstLine="425"/>
      </w:pPr>
      <w:r>
        <w:rPr>
          <w:rFonts w:ascii="Times New Roman" w:hAnsi="Times New Roman" w:eastAsia="宋体"/>
          <w:b/>
          <w:i w:val="0"/>
          <w:sz w:val="22"/>
        </w:rPr>
        <w:t>长期措施（5-10年）：</w:t>
      </w:r>
    </w:p>
    <w:p>
      <w:pPr>
        <w:pStyle w:val="ListBullet"/>
        <w:spacing w:line="360" w:lineRule="auto" w:after="0"/>
      </w:pPr>
      <w:r>
        <w:rPr>
          <w:rFonts w:ascii="Times New Roman" w:hAnsi="Times New Roman" w:eastAsia="宋体"/>
          <w:b w:val="0"/>
          <w:i w:val="0"/>
          <w:sz w:val="22"/>
        </w:rPr>
        <w:t>实现可再生能源高渗透率下的实时定价机制成熟化，包括负电价管理和极端事件应对</w:t>
      </w:r>
    </w:p>
    <w:p>
      <w:pPr>
        <w:pStyle w:val="ListBullet"/>
        <w:spacing w:line="360" w:lineRule="auto" w:after="0"/>
      </w:pPr>
      <w:r>
        <w:rPr>
          <w:rFonts w:ascii="Times New Roman" w:hAnsi="Times New Roman" w:eastAsia="宋体"/>
          <w:b w:val="0"/>
          <w:i w:val="0"/>
          <w:sz w:val="22"/>
        </w:rPr>
        <w:t>推进综合能源系统的多能耦合定价，实现电力、天然气、热力等能源的协同优化</w:t>
      </w:r>
    </w:p>
    <w:p>
      <w:pPr>
        <w:pStyle w:val="ListBullet"/>
        <w:spacing w:line="360" w:lineRule="auto" w:after="0"/>
      </w:pPr>
      <w:r>
        <w:rPr>
          <w:rFonts w:ascii="Times New Roman" w:hAnsi="Times New Roman" w:eastAsia="宋体"/>
          <w:b w:val="0"/>
          <w:i w:val="0"/>
          <w:sz w:val="22"/>
        </w:rPr>
        <w:t>融合人工智能和数字孪生技术，实现实时定价的智能化和自适应化</w:t>
      </w:r>
    </w:p>
    <w:p>
      <w:pPr>
        <w:pStyle w:val="ListBullet"/>
        <w:spacing w:line="360" w:lineRule="auto" w:after="0"/>
      </w:pPr>
      <w:r>
        <w:rPr>
          <w:rFonts w:ascii="Times New Roman" w:hAnsi="Times New Roman" w:eastAsia="宋体"/>
          <w:b w:val="0"/>
          <w:i w:val="0"/>
          <w:sz w:val="22"/>
        </w:rPr>
        <w:t>建立碳-电耦合的联合市场机制，将碳排放成本有效内化到电价中</w:t>
      </w:r>
    </w:p>
    <w:p>
      <w:pPr>
        <w:pStyle w:val="ListBullet"/>
        <w:spacing w:line="360" w:lineRule="auto" w:after="0"/>
      </w:pPr>
      <w:r>
        <w:rPr>
          <w:rFonts w:ascii="Times New Roman" w:hAnsi="Times New Roman" w:eastAsia="宋体"/>
          <w:b w:val="0"/>
          <w:i w:val="0"/>
          <w:sz w:val="22"/>
        </w:rPr>
        <w:t>推动跨国电力市场互联和实时定价协调，实现区域资源优化配置</w:t>
      </w:r>
    </w:p>
    <w:p>
      <w:pPr>
        <w:pStyle w:val="Heading3"/>
        <w:spacing w:before="160" w:after="60"/>
      </w:pPr>
      <w:r>
        <w:rPr>
          <w:rFonts w:ascii="Times New Roman" w:hAnsi="Times New Roman" w:eastAsia="黑体"/>
          <w:b/>
          <w:i w:val="0"/>
          <w:sz w:val="24"/>
        </w:rPr>
        <w:t>研究前沿与开放问题</w:t>
      </w:r>
    </w:p>
    <w:p>
      <w:pPr>
        <w:spacing w:line="360" w:lineRule="auto" w:after="0"/>
        <w:ind w:firstLine="425"/>
      </w:pPr>
      <w:r>
        <w:rPr>
          <w:rFonts w:ascii="Times New Roman" w:hAnsi="Times New Roman" w:eastAsia="宋体"/>
          <w:b w:val="0"/>
          <w:i w:val="0"/>
          <w:sz w:val="22"/>
        </w:rPr>
        <w:t>尽管实时定价已经取得了丰富的理论成果和实践经验，仍存在以下开放问题值得深入研究：</w:t>
      </w:r>
    </w:p>
    <w:p>
      <w:pPr>
        <w:spacing w:line="360" w:lineRule="auto" w:after="0"/>
        <w:ind w:firstLine="425"/>
      </w:pPr>
      <w:r>
        <w:rPr>
          <w:rFonts w:ascii="Times New Roman" w:hAnsi="Times New Roman" w:eastAsia="宋体"/>
          <w:b/>
          <w:i w:val="0"/>
          <w:sz w:val="22"/>
        </w:rPr>
        <w:t>理论层面：</w:t>
      </w:r>
      <w:r>
        <w:rPr>
          <w:rFonts w:ascii="Times New Roman" w:hAnsi="Times New Roman" w:eastAsia="宋体"/>
          <w:b w:val="0"/>
          <w:i w:val="0"/>
          <w:sz w:val="22"/>
        </w:rPr>
        <w:t xml:space="preserve"> 含高比例可再生能源和非线性约束的实时定价模型的存在性和唯一性证明仍然不够充分。多智能体博弈均衡的稳定性条件和收敛性分析缺乏一般性理论框架。数据驱动定价方法的统计学习理论保证（如样本复杂度、泛化误差界）有待建立。</w:t>
      </w:r>
    </w:p>
    <w:p>
      <w:pPr>
        <w:spacing w:line="360" w:lineRule="auto" w:after="0"/>
        <w:ind w:firstLine="425"/>
      </w:pPr>
      <w:r>
        <w:rPr>
          <w:rFonts w:ascii="Times New Roman" w:hAnsi="Times New Roman" w:eastAsia="宋体"/>
          <w:b/>
          <w:i w:val="0"/>
          <w:sz w:val="22"/>
        </w:rPr>
        <w:t>方法层面：</w:t>
      </w:r>
      <w:r>
        <w:rPr>
          <w:rFonts w:ascii="Times New Roman" w:hAnsi="Times New Roman" w:eastAsia="宋体"/>
          <w:b w:val="0"/>
          <w:i w:val="0"/>
          <w:sz w:val="22"/>
        </w:rPr>
        <w:t xml:space="preserve"> 大规模实时定价问题的实时求解（秒级响应）仍面临计算瓶颈。安全强化学习的约束满足率和策略最优性之间的权衡缺乏系统性分析方法。联邦学习在异构数据和通信受限环境下的收敛性和鲁棒性需要进一步研究。</w:t>
      </w:r>
    </w:p>
    <w:p>
      <w:pPr>
        <w:spacing w:line="360" w:lineRule="auto" w:after="0"/>
        <w:ind w:firstLine="425"/>
      </w:pPr>
      <w:r>
        <w:rPr>
          <w:rFonts w:ascii="Times New Roman" w:hAnsi="Times New Roman" w:eastAsia="宋体"/>
          <w:b/>
          <w:i w:val="0"/>
          <w:sz w:val="22"/>
        </w:rPr>
        <w:t>工程层面：</w:t>
      </w:r>
      <w:r>
        <w:rPr>
          <w:rFonts w:ascii="Times New Roman" w:hAnsi="Times New Roman" w:eastAsia="宋体"/>
          <w:b w:val="0"/>
          <w:i w:val="0"/>
          <w:sz w:val="22"/>
        </w:rPr>
        <w:t xml:space="preserve"> 实时定价系统与现有电力市场规则的兼容性问题尚未充分解决。智能电表的数据质量和通信可靠性对实时定价效果的影响缺乏量化评估。用户侧智能设备的互操作性和安全性标准有待统一。</w:t>
      </w:r>
    </w:p>
    <w:p>
      <w:pPr>
        <w:spacing w:line="360" w:lineRule="auto" w:after="0"/>
        <w:ind w:firstLine="425"/>
      </w:pPr>
      <w:r>
        <w:rPr>
          <w:rFonts w:ascii="Times New Roman" w:hAnsi="Times New Roman" w:eastAsia="宋体"/>
          <w:b/>
          <w:i w:val="0"/>
          <w:sz w:val="22"/>
        </w:rPr>
        <w:t>社会层面：</w:t>
      </w:r>
      <w:r>
        <w:rPr>
          <w:rFonts w:ascii="Times New Roman" w:hAnsi="Times New Roman" w:eastAsia="宋体"/>
          <w:b w:val="0"/>
          <w:i w:val="0"/>
          <w:sz w:val="22"/>
        </w:rPr>
        <w:t xml:space="preserve"> 实时定价对不同收入群体的分配效应分析不够深入，公平性保障机制设计缺乏理论指导。用户对实时电价的行为适应过程和长期参与率影响因素需要更多实证研究。实时定价的社会接受度和政策可行性分析需要跨学科合作。</w:t>
      </w:r>
    </w:p>
    <w:p>
      <w:pPr>
        <w:pStyle w:val="Heading2"/>
        <w:spacing w:before="240" w:after="80"/>
      </w:pPr>
      <w:r>
        <w:rPr>
          <w:rFonts w:ascii="Times New Roman" w:hAnsi="Times New Roman" w:eastAsia="黑体"/>
          <w:b/>
          <w:i w:val="0"/>
          <w:sz w:val="28"/>
        </w:rPr>
        <w:t>12.11 实时定价的全球发展趋势与政策深化</w:t>
      </w:r>
    </w:p>
    <w:p>
      <w:pPr>
        <w:pStyle w:val="Heading3"/>
        <w:spacing w:before="160" w:after="60"/>
      </w:pPr>
      <w:r>
        <w:rPr>
          <w:rFonts w:ascii="Times New Roman" w:hAnsi="Times New Roman" w:eastAsia="黑体"/>
          <w:b/>
          <w:i w:val="0"/>
          <w:sz w:val="24"/>
        </w:rPr>
        <w:t>电力市场改革的国际趋势</w:t>
      </w:r>
    </w:p>
    <w:p>
      <w:pPr>
        <w:spacing w:line="360" w:lineRule="auto" w:after="0"/>
        <w:ind w:firstLine="425"/>
      </w:pPr>
      <w:r>
        <w:rPr>
          <w:rFonts w:ascii="Times New Roman" w:hAnsi="Times New Roman" w:eastAsia="宋体"/>
          <w:b w:val="0"/>
          <w:i w:val="0"/>
          <w:sz w:val="22"/>
        </w:rPr>
        <w:t>全球电力市场改革正在经历从传统模式向新型模式的转变。这一转变的核心特征包括：分布式能源的大规模接入、数字化技术的深度融合、碳约束下的能源转型、以及用户参与度的显著提升。</w:t>
      </w:r>
    </w:p>
    <w:p>
      <w:pPr>
        <w:spacing w:line="360" w:lineRule="auto" w:after="0"/>
        <w:ind w:firstLine="425"/>
      </w:pPr>
      <w:r>
        <w:rPr>
          <w:rFonts w:ascii="Times New Roman" w:hAnsi="Times New Roman" w:eastAsia="宋体"/>
          <w:b w:val="0"/>
          <w:i w:val="0"/>
          <w:sz w:val="22"/>
        </w:rPr>
        <w:t>欧盟的"清洁能源包"（Clean Energy Package）提出了"能源民主化"理念，赋予用户参与电力市场的权利。其中，动态电价条款要求所有成员国在2025年前为所有智能电表用户提供至少一种动态电价选项。欧盟还推动建立欧盟范围的电力市场耦合机制，实现跨国电力交易的价格信号统一。</w:t>
      </w:r>
    </w:p>
    <w:p>
      <w:pPr>
        <w:spacing w:line="360" w:lineRule="auto" w:after="0"/>
        <w:ind w:firstLine="425"/>
      </w:pPr>
      <w:r>
        <w:rPr>
          <w:rFonts w:ascii="Times New Roman" w:hAnsi="Times New Roman" w:eastAsia="宋体"/>
          <w:b w:val="0"/>
          <w:i w:val="0"/>
          <w:sz w:val="22"/>
        </w:rPr>
        <w:t>美国的电力市场改革聚焦于分布式能源的市场参与和输电规划。FERC Order 2222打破了分布式能源参与批发市场的容量门槛，Order 881改进了输电服务的及时性。美国的电力市场还在探索容量市场与能量市场的协调机制，以及长期可靠性投资的激励机制。</w:t>
      </w:r>
    </w:p>
    <w:p>
      <w:pPr>
        <w:spacing w:line="360" w:lineRule="auto" w:after="0"/>
        <w:ind w:firstLine="425"/>
      </w:pPr>
      <w:r>
        <w:rPr>
          <w:rFonts w:ascii="Times New Roman" w:hAnsi="Times New Roman" w:eastAsia="宋体"/>
          <w:b w:val="0"/>
          <w:i w:val="0"/>
          <w:sz w:val="22"/>
        </w:rPr>
        <w:t>中国的电力市场化改革从2015年的"9号文"开始，经历了从中长期交易为主到现货市场试点的过程。截至2024年，中国已有8个省级电力现货市场进入正式运行或连续结算试运行阶段。实时定价机制的建设需要与现货市场建设同步推进，在市场规则中明确实时电价的计算方法、结算方式和用户参与机制。</w:t>
      </w:r>
    </w:p>
    <w:p>
      <w:pPr>
        <w:pStyle w:val="Heading3"/>
        <w:spacing w:before="160" w:after="60"/>
      </w:pPr>
      <w:r>
        <w:rPr>
          <w:rFonts w:ascii="Times New Roman" w:hAnsi="Times New Roman" w:eastAsia="黑体"/>
          <w:b/>
          <w:i w:val="0"/>
          <w:sz w:val="24"/>
        </w:rPr>
        <w:t>新兴技术对定价的影响</w:t>
      </w:r>
    </w:p>
    <w:p>
      <w:pPr>
        <w:spacing w:line="360" w:lineRule="auto" w:after="0"/>
        <w:ind w:firstLine="425"/>
      </w:pPr>
      <w:r>
        <w:rPr>
          <w:rFonts w:ascii="Times New Roman" w:hAnsi="Times New Roman" w:eastAsia="宋体"/>
          <w:b w:val="0"/>
          <w:i w:val="0"/>
          <w:sz w:val="22"/>
        </w:rPr>
        <w:t>量子计算的潜在影响不容忽视。虽然量子计算目前仍处于早期阶段，但其在优化问题求解方面的潜在优势可能彻底改变实时定价的计算范式。量子退火算法（如D-Wave系统）在组合优化问题上已经展示了超越经典算法的潜力。如果量子计算能够在实时定价的混合整数规划求解中实现显著加速，将使更复杂、更精细的定价模型成为可能。</w:t>
      </w:r>
    </w:p>
    <w:p>
      <w:pPr>
        <w:spacing w:line="360" w:lineRule="auto" w:after="0"/>
        <w:ind w:firstLine="425"/>
      </w:pPr>
      <w:r>
        <w:rPr>
          <w:rFonts w:ascii="Times New Roman" w:hAnsi="Times New Roman" w:eastAsia="宋体"/>
          <w:b w:val="0"/>
          <w:i w:val="0"/>
          <w:sz w:val="22"/>
        </w:rPr>
        <w:t>数字货币和区块链技术在电力交易中的应用正在从概念验证走向实际部署。区块链的分布式账本特性为点对点电力交易提供了可信的结算基础设施。智能合约可以自动执行定价规则和结算逻辑，降低交易成本。澳大利亚的Power Ledger、美国的LO3 Energy等项目已经展示了区块链电力交易的可行性。</w:t>
      </w:r>
    </w:p>
    <w:p>
      <w:pPr>
        <w:spacing w:line="360" w:lineRule="auto" w:after="0"/>
        <w:ind w:firstLine="425"/>
      </w:pPr>
      <w:r>
        <w:rPr>
          <w:rFonts w:ascii="Times New Roman" w:hAnsi="Times New Roman" w:eastAsia="宋体"/>
          <w:b w:val="0"/>
          <w:i w:val="0"/>
          <w:sz w:val="22"/>
        </w:rPr>
        <w:t>物联网（IoT）技术的发展使得更多设备具备通信和控制能力。从智能家电到工业传感器，IoT设备的普及为实时定价提供了前所未有的数据采集和控制能力。5G网络的低延迟和高连接密度使得大规模IoT设备的实时协调成为可能。这些技术进步将实时定价的粒度从系统级推进到设备级，实现真正的精细化能源管理。</w:t>
      </w:r>
    </w:p>
    <w:p>
      <w:pPr>
        <w:pStyle w:val="Heading3"/>
        <w:spacing w:before="160" w:after="60"/>
      </w:pPr>
      <w:r>
        <w:rPr>
          <w:rFonts w:ascii="Times New Roman" w:hAnsi="Times New Roman" w:eastAsia="黑体"/>
          <w:b/>
          <w:i w:val="0"/>
          <w:sz w:val="24"/>
        </w:rPr>
        <w:t>电力市场的去中心化趋势</w:t>
      </w:r>
    </w:p>
    <w:p>
      <w:pPr>
        <w:spacing w:line="360" w:lineRule="auto" w:after="0"/>
        <w:ind w:firstLine="425"/>
      </w:pPr>
      <w:r>
        <w:rPr>
          <w:rFonts w:ascii="Times New Roman" w:hAnsi="Times New Roman" w:eastAsia="宋体"/>
          <w:b w:val="0"/>
          <w:i w:val="0"/>
          <w:sz w:val="22"/>
        </w:rPr>
        <w:t>传统电力市场的集中式模式（系统运营商统一调度和定价）正在面临去中心化模式的挑战。去中心化市场中，参与者在没有中央协调者的情况下通过双边交易和分布式算法实现资源分配。</w:t>
      </w:r>
    </w:p>
    <w:p>
      <w:pPr>
        <w:spacing w:line="360" w:lineRule="auto" w:after="0"/>
        <w:ind w:firstLine="425"/>
      </w:pPr>
      <w:r>
        <w:rPr>
          <w:rFonts w:ascii="Times New Roman" w:hAnsi="Times New Roman" w:eastAsia="宋体"/>
          <w:b w:val="0"/>
          <w:i w:val="0"/>
          <w:sz w:val="22"/>
        </w:rPr>
        <w:t>点对点（P2P）电力交易是最直接的去中心化模式。产消者（Prosumer，既是生产者又是消费者）直接与其他产消者或消费者交易电力，价格由双方协商或通过拍卖机制确定。P2P交易绕过了传统的零售商，降低了交易成本并提高了交易效率。</w:t>
      </w:r>
    </w:p>
    <w:p>
      <w:pPr>
        <w:spacing w:line="360" w:lineRule="auto" w:after="0"/>
        <w:ind w:firstLine="425"/>
      </w:pPr>
      <w:r>
        <w:rPr>
          <w:rFonts w:ascii="Times New Roman" w:hAnsi="Times New Roman" w:eastAsia="宋体"/>
          <w:b w:val="0"/>
          <w:i w:val="0"/>
          <w:sz w:val="22"/>
        </w:rPr>
        <w:t>社区能源系统是介于集中式和完全去中心化之间的中间模式。社区成员共享分布式能源设施（光伏、储能），通过内部定价机制分配能源和成本。社区系统可以与主电网互联，在内部需求无法满足时从主电网购电，在内部有富裕时向主电网售电。</w:t>
      </w:r>
    </w:p>
    <w:p>
      <w:pPr>
        <w:spacing w:line="360" w:lineRule="auto" w:after="0"/>
        <w:ind w:firstLine="425"/>
      </w:pPr>
      <w:r>
        <w:rPr>
          <w:rFonts w:ascii="Times New Roman" w:hAnsi="Times New Roman" w:eastAsia="宋体"/>
          <w:b w:val="0"/>
          <w:i w:val="0"/>
          <w:sz w:val="22"/>
        </w:rPr>
        <w:t>去中心化市场的稳定性是一个重要的理论问题。在没有中央协调者的情况下，市场是否能够收敛到有效均衡？博弈论和机制设计理论为这一问题提供了部分答案：在适当设计的机制下，自利参与者的策略性行为可以导致接近最优的市场结果。然而，市场力的行使、信息不对称和外部性等问题可能导致市场失灵，需要适当的监管干预。</w:t>
      </w:r>
    </w:p>
    <w:p>
      <w:pPr>
        <w:pStyle w:val="Heading3"/>
        <w:spacing w:before="160" w:after="60"/>
      </w:pPr>
      <w:r>
        <w:rPr>
          <w:rFonts w:ascii="Times New Roman" w:hAnsi="Times New Roman" w:eastAsia="黑体"/>
          <w:b/>
          <w:i w:val="0"/>
          <w:sz w:val="24"/>
        </w:rPr>
        <w:t>可持续发展与公正转型</w:t>
      </w:r>
    </w:p>
    <w:p>
      <w:pPr>
        <w:spacing w:line="360" w:lineRule="auto" w:after="0"/>
        <w:ind w:firstLine="425"/>
      </w:pPr>
      <w:r>
        <w:rPr>
          <w:rFonts w:ascii="Times New Roman" w:hAnsi="Times New Roman" w:eastAsia="宋体"/>
          <w:b w:val="0"/>
          <w:i w:val="0"/>
          <w:sz w:val="22"/>
        </w:rPr>
        <w:t>实时定价在促进可持续发展方面的作用日益重要。通过反映实时供需和边际成本的价格信号，实时定价可以有效地引导资源向低碳、高效的能源技术配置。然而，可持续发展不仅仅是技术问题，还涉及社会公平和经济可行性。</w:t>
      </w:r>
    </w:p>
    <w:p>
      <w:pPr>
        <w:spacing w:line="360" w:lineRule="auto" w:after="0"/>
        <w:ind w:firstLine="425"/>
      </w:pPr>
      <w:r>
        <w:rPr>
          <w:rFonts w:ascii="Times New Roman" w:hAnsi="Times New Roman" w:eastAsia="宋体"/>
          <w:b w:val="0"/>
          <w:i w:val="0"/>
          <w:sz w:val="22"/>
        </w:rPr>
        <w:t>公正转型（Just Transition）理念强调能源转型过程中对受影响群体的保护和支持。实时定价可能对低收入群体造成不成比例的负担：这些群体通常能源效率较低（住房屋顶隔热差、电器老旧），且缺乏投资智能设备的资金。政策设计需要考虑电价补贴、能效改造资助和智能设备普及等措施，确保实时定价不会加剧能源贫困。</w:t>
      </w:r>
    </w:p>
    <w:p>
      <w:pPr>
        <w:spacing w:line="360" w:lineRule="auto" w:after="0"/>
        <w:ind w:firstLine="425"/>
      </w:pPr>
      <w:r>
        <w:rPr>
          <w:rFonts w:ascii="Times New Roman" w:hAnsi="Times New Roman" w:eastAsia="宋体"/>
          <w:b w:val="0"/>
          <w:i w:val="0"/>
          <w:sz w:val="22"/>
        </w:rPr>
        <w:t>绿色债券和可持续金融为实时定价基础设施建设提供了新的资金来源。绿色债券专门用于资助环境友好型项目，其发行规模在全球范围内快速增长。智能电网、储能设施和可再生能源项目可以通过绿色债券获得低成本融资。可持续金融框架（如EU Taxonomy）为项目的绿色资质认定提供了标准化标准。</w:t>
      </w:r>
    </w:p>
    <w:p>
      <w:pPr>
        <w:pStyle w:val="Heading3"/>
        <w:spacing w:before="160" w:after="60"/>
      </w:pPr>
      <w:r>
        <w:rPr>
          <w:rFonts w:ascii="Times New Roman" w:hAnsi="Times New Roman" w:eastAsia="黑体"/>
          <w:b/>
          <w:i w:val="0"/>
          <w:sz w:val="24"/>
        </w:rPr>
        <w:t>长期展望与战略建议</w:t>
      </w:r>
    </w:p>
    <w:p>
      <w:pPr>
        <w:spacing w:line="360" w:lineRule="auto" w:after="0"/>
        <w:ind w:firstLine="425"/>
      </w:pPr>
      <w:r>
        <w:rPr>
          <w:rFonts w:ascii="Times New Roman" w:hAnsi="Times New Roman" w:eastAsia="宋体"/>
          <w:b w:val="0"/>
          <w:i w:val="0"/>
          <w:sz w:val="22"/>
        </w:rPr>
        <w:t>展望未来10-20年，实时定价将呈现以下趋势：</w:t>
      </w:r>
    </w:p>
    <w:p>
      <w:pPr>
        <w:spacing w:line="360" w:lineRule="auto" w:after="0"/>
        <w:ind w:firstLine="425"/>
      </w:pPr>
      <w:r>
        <w:rPr>
          <w:rFonts w:ascii="Times New Roman" w:hAnsi="Times New Roman" w:eastAsia="宋体"/>
          <w:b/>
          <w:i w:val="0"/>
          <w:sz w:val="22"/>
        </w:rPr>
        <w:t>定价粒度精细化：</w:t>
      </w:r>
      <w:r>
        <w:rPr>
          <w:rFonts w:ascii="Times New Roman" w:hAnsi="Times New Roman" w:eastAsia="宋体"/>
          <w:b w:val="0"/>
          <w:i w:val="0"/>
          <w:sz w:val="22"/>
        </w:rPr>
        <w:t xml:space="preserve"> 从15分钟级向1分钟级甚至秒级发展，反映更短时间尺度的供需变化。定价空间从区域级向节点级和用户级发展，反映更精细的空间差异。</w:t>
      </w:r>
    </w:p>
    <w:p>
      <w:pPr>
        <w:spacing w:line="360" w:lineRule="auto" w:after="0"/>
        <w:ind w:firstLine="425"/>
      </w:pPr>
      <w:r>
        <w:rPr>
          <w:rFonts w:ascii="Times New Roman" w:hAnsi="Times New Roman" w:eastAsia="宋体"/>
          <w:b/>
          <w:i w:val="0"/>
          <w:sz w:val="22"/>
        </w:rPr>
        <w:t>定价维度多元化：</w:t>
      </w:r>
      <w:r>
        <w:rPr>
          <w:rFonts w:ascii="Times New Roman" w:hAnsi="Times New Roman" w:eastAsia="宋体"/>
          <w:b w:val="0"/>
          <w:i w:val="0"/>
          <w:sz w:val="22"/>
        </w:rPr>
        <w:t xml:space="preserve"> 除了能量价格外，还包括容量价格、辅助服务价格、碳排放价格和网络使用价格。多维度的价格信号为资源提供更精确的经济激励。</w:t>
      </w:r>
    </w:p>
    <w:p>
      <w:pPr>
        <w:spacing w:line="360" w:lineRule="auto" w:after="0"/>
        <w:ind w:firstLine="425"/>
      </w:pPr>
      <w:r>
        <w:rPr>
          <w:rFonts w:ascii="Times New Roman" w:hAnsi="Times New Roman" w:eastAsia="宋体"/>
          <w:b/>
          <w:i w:val="0"/>
          <w:sz w:val="22"/>
        </w:rPr>
        <w:t>定价机制智能化：</w:t>
      </w:r>
      <w:r>
        <w:rPr>
          <w:rFonts w:ascii="Times New Roman" w:hAnsi="Times New Roman" w:eastAsia="宋体"/>
          <w:b w:val="0"/>
          <w:i w:val="0"/>
          <w:sz w:val="22"/>
        </w:rPr>
        <w:t xml:space="preserve"> AI驱动的定价算法将逐步取代基于规则的传统定价方法。数字孪生技术将实现定价策略的实时仿真和优化。</w:t>
      </w:r>
    </w:p>
    <w:p>
      <w:pPr>
        <w:spacing w:line="360" w:lineRule="auto" w:after="0"/>
        <w:ind w:firstLine="425"/>
      </w:pPr>
      <w:r>
        <w:rPr>
          <w:rFonts w:ascii="Times New Roman" w:hAnsi="Times New Roman" w:eastAsia="宋体"/>
          <w:b/>
          <w:i w:val="0"/>
          <w:sz w:val="22"/>
        </w:rPr>
        <w:t>定价主体去中心化：</w:t>
      </w:r>
      <w:r>
        <w:rPr>
          <w:rFonts w:ascii="Times New Roman" w:hAnsi="Times New Roman" w:eastAsia="宋体"/>
          <w:b w:val="0"/>
          <w:i w:val="0"/>
          <w:sz w:val="22"/>
        </w:rPr>
        <w:t xml:space="preserve"> 从系统运营商集中定价向多主体协商定价转变。区块链和智能合约技术为去中心化定价提供技术基础。</w:t>
      </w:r>
    </w:p>
    <w:p>
      <w:pPr>
        <w:spacing w:line="360" w:lineRule="auto" w:after="0"/>
        <w:ind w:firstLine="425"/>
      </w:pPr>
      <w:r>
        <w:rPr>
          <w:rFonts w:ascii="Times New Roman" w:hAnsi="Times New Roman" w:eastAsia="宋体"/>
          <w:b/>
          <w:i w:val="0"/>
          <w:sz w:val="22"/>
        </w:rPr>
        <w:t>定价范围全球化：</w:t>
      </w:r>
      <w:r>
        <w:rPr>
          <w:rFonts w:ascii="Times New Roman" w:hAnsi="Times New Roman" w:eastAsia="宋体"/>
          <w:b w:val="0"/>
          <w:i w:val="0"/>
          <w:sz w:val="22"/>
        </w:rPr>
        <w:t xml:space="preserve"> 跨国电力市场互联使得定价范围从国家/区域级扩展到洲际级。全球能源互联网构想如果实现，将实现跨大洲的电力交易和定价协调。</w:t>
      </w:r>
    </w:p>
    <w:p>
      <w:pPr>
        <w:spacing w:line="360" w:lineRule="auto" w:after="0"/>
        <w:ind w:firstLine="425"/>
      </w:pPr>
      <w:r>
        <w:rPr>
          <w:rFonts w:ascii="Times New Roman" w:hAnsi="Times New Roman" w:eastAsia="宋体"/>
          <w:b w:val="0"/>
          <w:i w:val="0"/>
          <w:sz w:val="22"/>
        </w:rPr>
        <w:t>基于以上趋势分析，提出以下战略建议：</w:t>
      </w:r>
    </w:p>
    <w:p>
      <w:pPr>
        <w:pStyle w:val="ListNumber"/>
        <w:spacing w:line="360" w:lineRule="auto" w:after="0"/>
      </w:pPr>
      <w:r>
        <w:rPr>
          <w:rFonts w:ascii="Times New Roman" w:hAnsi="Times New Roman" w:eastAsia="宋体"/>
          <w:b w:val="0"/>
          <w:i w:val="0"/>
          <w:sz w:val="22"/>
        </w:rPr>
        <w:t>加大基础研究投入，特别是在不确定性优化、安全人工智能和多能耦合定价等前沿方向</w:t>
      </w:r>
    </w:p>
    <w:p>
      <w:pPr>
        <w:pStyle w:val="ListNumber"/>
        <w:spacing w:line="360" w:lineRule="auto" w:after="0"/>
      </w:pPr>
      <w:r>
        <w:rPr>
          <w:rFonts w:ascii="Times New Roman" w:hAnsi="Times New Roman" w:eastAsia="宋体"/>
          <w:b w:val="0"/>
          <w:i w:val="0"/>
          <w:sz w:val="22"/>
        </w:rPr>
        <w:t>推进标准化建设，建立统一的数据模型、通信协议和接口规范</w:t>
      </w:r>
    </w:p>
    <w:p>
      <w:pPr>
        <w:pStyle w:val="ListNumber"/>
        <w:spacing w:line="360" w:lineRule="auto" w:after="0"/>
      </w:pPr>
      <w:r>
        <w:rPr>
          <w:rFonts w:ascii="Times New Roman" w:hAnsi="Times New Roman" w:eastAsia="宋体"/>
          <w:b w:val="0"/>
          <w:i w:val="0"/>
          <w:sz w:val="22"/>
        </w:rPr>
        <w:t>加强国际交流合作，学习借鉴先进市场经验和最佳实践</w:t>
      </w:r>
    </w:p>
    <w:p>
      <w:pPr>
        <w:pStyle w:val="ListNumber"/>
        <w:spacing w:line="360" w:lineRule="auto" w:after="0"/>
      </w:pPr>
      <w:r>
        <w:rPr>
          <w:rFonts w:ascii="Times New Roman" w:hAnsi="Times New Roman" w:eastAsia="宋体"/>
          <w:b w:val="0"/>
          <w:i w:val="0"/>
          <w:sz w:val="22"/>
        </w:rPr>
        <w:t>培养复合型人才，兼具电力系统、优化理论、计算机科学和经济学知识</w:t>
      </w:r>
    </w:p>
    <w:p>
      <w:pPr>
        <w:pStyle w:val="ListNumber"/>
        <w:spacing w:line="360" w:lineRule="auto" w:after="0"/>
      </w:pPr>
      <w:r>
        <w:rPr>
          <w:rFonts w:ascii="Times New Roman" w:hAnsi="Times New Roman" w:eastAsia="宋体"/>
          <w:b w:val="0"/>
          <w:i w:val="0"/>
          <w:sz w:val="22"/>
        </w:rPr>
        <w:t>建立完善的法规体系，为实时定价的商业化和规模化提供法律保障</w:t>
      </w:r>
    </w:p>
    <w:p>
      <w:pPr>
        <w:pStyle w:val="ListNumber"/>
        <w:spacing w:line="360" w:lineRule="auto" w:after="0"/>
      </w:pPr>
      <w:r>
        <w:rPr>
          <w:rFonts w:ascii="Times New Roman" w:hAnsi="Times New Roman" w:eastAsia="宋体"/>
          <w:b w:val="0"/>
          <w:i w:val="0"/>
          <w:sz w:val="22"/>
        </w:rPr>
        <w:t>重视社会影响评估，确保实时定价的公平性和可接受性</w:t>
      </w:r>
    </w:p>
    <w:p>
      <w:pPr>
        <w:pStyle w:val="Heading2"/>
        <w:spacing w:before="240" w:after="80"/>
      </w:pPr>
      <w:r>
        <w:rPr>
          <w:rFonts w:ascii="Times New Roman" w:hAnsi="Times New Roman" w:eastAsia="黑体"/>
          <w:b/>
          <w:i w:val="0"/>
          <w:sz w:val="28"/>
        </w:rPr>
        <w:t>12.12 实时定价的全球实践深度比较</w:t>
      </w:r>
    </w:p>
    <w:p>
      <w:pPr>
        <w:pStyle w:val="Heading3"/>
        <w:spacing w:before="160" w:after="60"/>
      </w:pPr>
      <w:r>
        <w:rPr>
          <w:rFonts w:ascii="Times New Roman" w:hAnsi="Times New Roman" w:eastAsia="黑体"/>
          <w:b/>
          <w:i w:val="0"/>
          <w:sz w:val="24"/>
        </w:rPr>
        <w:t>北美实时定价的成熟经验</w:t>
      </w:r>
    </w:p>
    <w:p>
      <w:pPr>
        <w:spacing w:line="360" w:lineRule="auto" w:after="0"/>
        <w:ind w:firstLine="425"/>
      </w:pPr>
      <w:r>
        <w:rPr>
          <w:rFonts w:ascii="Times New Roman" w:hAnsi="Times New Roman" w:eastAsia="宋体"/>
          <w:b w:val="0"/>
          <w:i w:val="0"/>
          <w:sz w:val="22"/>
        </w:rPr>
        <w:t>北美电力市场是全球实时定价实践最成熟的地区。PJM互连作为美国最大的区域输电组织，其实时市场每5分钟出清一次，采用节点边际电价（LMP）机制。PJM的LMP由能量价格、阻塞价格和网损价格三部分组成，精确反映了每个节点的供需状况和输电约束。</w:t>
      </w:r>
    </w:p>
    <w:p>
      <w:pPr>
        <w:spacing w:line="360" w:lineRule="auto" w:after="0"/>
        <w:ind w:firstLine="425"/>
      </w:pPr>
      <w:r>
        <w:rPr>
          <w:rFonts w:ascii="Times New Roman" w:hAnsi="Times New Roman" w:eastAsia="宋体"/>
          <w:b w:val="0"/>
          <w:i w:val="0"/>
          <w:sz w:val="22"/>
        </w:rPr>
        <w:t>PJM的容量市场（RPM）为实时定价提供了重要的互补机制。容量市场确保了足够的发电容量投资，避免实时电价过度波动。Reliability Pricing Model通过性能评估机制（Capacity Performance）强化了容量资源在极端条件下的交付义务。</w:t>
      </w:r>
    </w:p>
    <w:p>
      <w:pPr>
        <w:spacing w:line="360" w:lineRule="auto" w:after="0"/>
        <w:ind w:firstLine="425"/>
      </w:pPr>
      <w:r>
        <w:rPr>
          <w:rFonts w:ascii="Times New Roman" w:hAnsi="Times New Roman" w:eastAsia="宋体"/>
          <w:b w:val="0"/>
          <w:i w:val="0"/>
          <w:sz w:val="22"/>
        </w:rPr>
        <w:t>ERCOT（德州）的市场设计具有独特性：没有容量市场，依赖能量市场和辅助服务市场的稀缺性价格信号激励投资。ERCOT的能量价格上限为5,000美元/兆瓦时（2023年调整后），在供给紧张时通过高价格信号激励需求响应和发电投入。然而，2021年冬季风暴Uri暴露了这种设计在极端事件下的脆弱性。</w:t>
      </w:r>
    </w:p>
    <w:p>
      <w:pPr>
        <w:spacing w:line="360" w:lineRule="auto" w:after="0"/>
        <w:ind w:firstLine="425"/>
      </w:pPr>
      <w:r>
        <w:rPr>
          <w:rFonts w:ascii="Times New Roman" w:hAnsi="Times New Roman" w:eastAsia="宋体"/>
          <w:b w:val="0"/>
          <w:i w:val="0"/>
          <w:sz w:val="22"/>
        </w:rPr>
        <w:t>CAISO（加州）的实时定价面临鸭子曲线挑战。中午太阳能高出力导致电价极低甚至为负，傍晚太阳能出力骤降导致电价飙升。CAISO通过引入斜坡能力产品（RAMP）激励快速响应资源，缓解了净负荷快速变化带来的定价挑战。</w:t>
      </w:r>
    </w:p>
    <w:p>
      <w:pPr>
        <w:pStyle w:val="Heading3"/>
        <w:spacing w:before="160" w:after="60"/>
      </w:pPr>
      <w:r>
        <w:rPr>
          <w:rFonts w:ascii="Times New Roman" w:hAnsi="Times New Roman" w:eastAsia="黑体"/>
          <w:b/>
          <w:i w:val="0"/>
          <w:sz w:val="24"/>
        </w:rPr>
        <w:t>欧洲动态电价的创新实践</w:t>
      </w:r>
    </w:p>
    <w:p>
      <w:pPr>
        <w:spacing w:line="360" w:lineRule="auto" w:after="0"/>
        <w:ind w:firstLine="425"/>
      </w:pPr>
      <w:r>
        <w:rPr>
          <w:rFonts w:ascii="Times New Roman" w:hAnsi="Times New Roman" w:eastAsia="宋体"/>
          <w:b w:val="0"/>
          <w:i w:val="0"/>
          <w:sz w:val="22"/>
        </w:rPr>
        <w:t>欧洲的动态电价实践受到"清洁能源包"法规的推动。欧盟要求所有成员国在2025年前为智能电表用户提供至少一种动态电价选项。英国的Octopus Energy推出了Agile Tariff，基于批发市场半小时前价格设定零售电价，价格范围从-5p/kWh到35p/kWh。</w:t>
      </w:r>
    </w:p>
    <w:p>
      <w:pPr>
        <w:spacing w:line="360" w:lineRule="auto" w:after="0"/>
        <w:ind w:firstLine="425"/>
      </w:pPr>
      <w:r>
        <w:rPr>
          <w:rFonts w:ascii="Times New Roman" w:hAnsi="Times New Roman" w:eastAsia="宋体"/>
          <w:b w:val="0"/>
          <w:i w:val="0"/>
          <w:sz w:val="22"/>
        </w:rPr>
        <w:t>北欧市场的实时定价机制充分利用了水电的灵活性。挪威和瑞典的大量水电库容提供了季节级的储能能力，使得北欧电价在全年内相对平稳。然而，枯水年可能导致电价大幅上涨，2022年欧洲能源危机期间北欧电价创历史新高。</w:t>
      </w:r>
    </w:p>
    <w:p>
      <w:pPr>
        <w:spacing w:line="360" w:lineRule="auto" w:after="0"/>
        <w:ind w:firstLine="425"/>
      </w:pPr>
      <w:r>
        <w:rPr>
          <w:rFonts w:ascii="Times New Roman" w:hAnsi="Times New Roman" w:eastAsia="宋体"/>
          <w:b w:val="0"/>
          <w:i w:val="0"/>
          <w:sz w:val="22"/>
        </w:rPr>
        <w:t>德国在能源转型过程中面临负电价频率增加的挑战。2023年德国负电价小时数超过400小时，反映了可再生能源高出力与需求不匹配的问题。德国的定价机制正在适应这一变化，包括引入更多的灵活性资源（储能、需求响应、Power-to-X）和加强跨国输电互联。</w:t>
      </w:r>
    </w:p>
    <w:p>
      <w:pPr>
        <w:spacing w:line="360" w:lineRule="auto" w:after="0"/>
        <w:ind w:firstLine="425"/>
      </w:pPr>
      <w:r>
        <w:rPr>
          <w:rFonts w:ascii="Times New Roman" w:hAnsi="Times New Roman" w:eastAsia="宋体"/>
          <w:b w:val="0"/>
          <w:i w:val="0"/>
          <w:sz w:val="22"/>
        </w:rPr>
        <w:t>法国的实时定价受到核电占比高的影响。核电作为基荷电源出力相对稳定，但核电机组的计划检修和意外停机可能导致电价波动。2022年法国多台核电机组停机检修，导致法国电价大幅上涨，凸显了核电可用性对定价的关键影响。</w:t>
      </w:r>
    </w:p>
    <w:p>
      <w:pPr>
        <w:pStyle w:val="Heading3"/>
        <w:spacing w:before="160" w:after="60"/>
      </w:pPr>
      <w:r>
        <w:rPr>
          <w:rFonts w:ascii="Times New Roman" w:hAnsi="Times New Roman" w:eastAsia="黑体"/>
          <w:b/>
          <w:i w:val="0"/>
          <w:sz w:val="24"/>
        </w:rPr>
        <w:t>亚太地区的多样化实践</w:t>
      </w:r>
    </w:p>
    <w:p>
      <w:pPr>
        <w:spacing w:line="360" w:lineRule="auto" w:after="0"/>
        <w:ind w:firstLine="425"/>
      </w:pPr>
      <w:r>
        <w:rPr>
          <w:rFonts w:ascii="Times New Roman" w:hAnsi="Times New Roman" w:eastAsia="宋体"/>
          <w:b w:val="0"/>
          <w:i w:val="0"/>
          <w:sz w:val="22"/>
        </w:rPr>
        <w:t>澳大利亚NEM的5分钟结算机制是全球最快速的实时定价实践。2021年10月从30分钟结算缩短到5分钟结算后，电池储能等快速响应资源的收入显著增加，促进了储能投资。NEM还引入了零售商可靠性义务（RRO），要求大型零售商在预期供给紧张时签订足够的容量合同。</w:t>
      </w:r>
    </w:p>
    <w:p>
      <w:pPr>
        <w:spacing w:line="360" w:lineRule="auto" w:after="0"/>
        <w:ind w:firstLine="425"/>
      </w:pPr>
      <w:r>
        <w:rPr>
          <w:rFonts w:ascii="Times New Roman" w:hAnsi="Times New Roman" w:eastAsia="宋体"/>
          <w:b w:val="0"/>
          <w:i w:val="0"/>
          <w:sz w:val="22"/>
        </w:rPr>
        <w:t>日本在电力市场化改革后建立了跨区域电力批发市场（JEPX），实时市场于2021年正式启动。日本的实时定价面临独特的挑战：电网频率分为50Hz（东部）和60Hz（西部）两个区域，频率转换设施有限，导致两个区域的电价差异显著。</w:t>
      </w:r>
    </w:p>
    <w:p>
      <w:pPr>
        <w:spacing w:line="360" w:lineRule="auto" w:after="0"/>
        <w:ind w:firstLine="425"/>
      </w:pPr>
      <w:r>
        <w:rPr>
          <w:rFonts w:ascii="Times New Roman" w:hAnsi="Times New Roman" w:eastAsia="宋体"/>
          <w:b w:val="0"/>
          <w:i w:val="0"/>
          <w:sz w:val="22"/>
        </w:rPr>
        <w:t>韩国的实时定价机制正在从管制电价向市场电价过渡。韩国电力公社（KEPCO）长期实行管制电价，导致电价与成本脱节。2021-2023年全球能源价格暴涨使KEPCO累积巨额亏损，加速了市场化定价改革的进程。韩国的经验表明，从管制电价向实时定价的转型需要平衡市场化效率和社会承受力。</w:t>
      </w:r>
    </w:p>
    <w:p>
      <w:pPr>
        <w:spacing w:line="360" w:lineRule="auto" w:after="0"/>
        <w:ind w:firstLine="425"/>
      </w:pPr>
      <w:r>
        <w:rPr>
          <w:rFonts w:ascii="Times New Roman" w:hAnsi="Times New Roman" w:eastAsia="宋体"/>
          <w:b w:val="0"/>
          <w:i w:val="0"/>
          <w:sz w:val="22"/>
        </w:rPr>
        <w:t>新加坡的实时定价机制通过新能源市场管理局（EMA）和市场公司（EMC）运营。新加坡作为城市国家，电网规模小但可靠性要求高。其实时定价机制充分考虑了天然气发电占比高（约95%）的特点，电价与天然气价格高度相关。</w:t>
      </w:r>
    </w:p>
    <w:p>
      <w:pPr>
        <w:pStyle w:val="Heading3"/>
        <w:spacing w:before="160" w:after="60"/>
      </w:pPr>
      <w:r>
        <w:rPr>
          <w:rFonts w:ascii="Times New Roman" w:hAnsi="Times New Roman" w:eastAsia="黑体"/>
          <w:b/>
          <w:i w:val="0"/>
          <w:sz w:val="24"/>
        </w:rPr>
        <w:t>国际经验对中国启示</w:t>
      </w:r>
    </w:p>
    <w:p>
      <w:pPr>
        <w:spacing w:line="360" w:lineRule="auto" w:after="0"/>
        <w:ind w:firstLine="425"/>
      </w:pPr>
      <w:r>
        <w:rPr>
          <w:rFonts w:ascii="Times New Roman" w:hAnsi="Times New Roman" w:eastAsia="宋体"/>
          <w:b w:val="0"/>
          <w:i w:val="0"/>
          <w:sz w:val="22"/>
        </w:rPr>
        <w:t>综合国际经验，对中国实时定价建设的启示包括：</w:t>
      </w:r>
    </w:p>
    <w:p>
      <w:pPr>
        <w:spacing w:line="360" w:lineRule="auto" w:after="0"/>
        <w:ind w:firstLine="425"/>
      </w:pPr>
      <w:r>
        <w:rPr>
          <w:rFonts w:ascii="Times New Roman" w:hAnsi="Times New Roman" w:eastAsia="宋体"/>
          <w:b w:val="0"/>
          <w:i w:val="0"/>
          <w:sz w:val="22"/>
        </w:rPr>
        <w:t>第一，市场机制与政策目标协调。实时定价应与可再生能源消纳、碳减排等政策目标协调，通过价格信号引导资源向政策目标方向配置。德国的负电价机制虽然反映了市场现实，但过度依赖负电价并非可持续的消纳方式。</w:t>
      </w:r>
    </w:p>
    <w:p>
      <w:pPr>
        <w:spacing w:line="360" w:lineRule="auto" w:after="0"/>
        <w:ind w:firstLine="425"/>
      </w:pPr>
      <w:r>
        <w:rPr>
          <w:rFonts w:ascii="Times New Roman" w:hAnsi="Times New Roman" w:eastAsia="宋体"/>
          <w:b w:val="0"/>
          <w:i w:val="0"/>
          <w:sz w:val="22"/>
        </w:rPr>
        <w:t>第二，灵活性资源的市场参与。实时定价的效果取决于灵活性资源的丰富程度。储能、需求响应和跨区域输电等灵活性资源的市场参与规则需要提前设计，为实时定价提供物理基础。</w:t>
      </w:r>
    </w:p>
    <w:p>
      <w:pPr>
        <w:spacing w:line="360" w:lineRule="auto" w:after="0"/>
        <w:ind w:firstLine="425"/>
      </w:pPr>
      <w:r>
        <w:rPr>
          <w:rFonts w:ascii="Times New Roman" w:hAnsi="Times New Roman" w:eastAsia="宋体"/>
          <w:b w:val="0"/>
          <w:i w:val="0"/>
          <w:sz w:val="22"/>
        </w:rPr>
        <w:t>第三，用户保护和公平性。实时定价可能增加用户电费波动，特别是对低收入群体。分阶段推广（先工商后居民）、提供保护性默认选项、设立价格上限等用户保护措施不可或缺。</w:t>
      </w:r>
    </w:p>
    <w:p>
      <w:pPr>
        <w:spacing w:line="360" w:lineRule="auto" w:after="0"/>
        <w:ind w:firstLine="425"/>
      </w:pPr>
      <w:r>
        <w:rPr>
          <w:rFonts w:ascii="Times New Roman" w:hAnsi="Times New Roman" w:eastAsia="宋体"/>
          <w:b w:val="0"/>
          <w:i w:val="0"/>
          <w:sz w:val="22"/>
        </w:rPr>
        <w:t>第四，技术基础设施建设。实时定价需要智能电表、通信网络和数据系统的全面支持。基础设施建设的进度和质量直接制约实时定价的推广范围和效果。</w:t>
      </w:r>
    </w:p>
    <w:p>
      <w:pPr>
        <w:spacing w:line="360" w:lineRule="auto" w:after="0"/>
        <w:ind w:firstLine="425"/>
      </w:pPr>
      <w:r>
        <w:rPr>
          <w:rFonts w:ascii="Times New Roman" w:hAnsi="Times New Roman" w:eastAsia="宋体"/>
          <w:b w:val="0"/>
          <w:i w:val="0"/>
          <w:sz w:val="22"/>
        </w:rPr>
        <w:t>第五，监管能力提升。实时定价增加了市场的复杂性和潜在风险（如市场力行使、算法歧视），监管机构需要具备相应的技术能力进行实时监控和干预。</w:t>
      </w:r>
    </w:p>
    <w:p>
      <w:pPr>
        <w:pStyle w:val="Heading3"/>
        <w:spacing w:before="160" w:after="60"/>
      </w:pPr>
      <w:r>
        <w:rPr>
          <w:rFonts w:ascii="Times New Roman" w:hAnsi="Times New Roman" w:eastAsia="黑体"/>
          <w:b/>
          <w:i w:val="0"/>
          <w:sz w:val="24"/>
        </w:rPr>
        <w:t>总结与本书贡献</w:t>
      </w:r>
    </w:p>
    <w:p>
      <w:pPr>
        <w:spacing w:line="360" w:lineRule="auto" w:after="0"/>
        <w:ind w:firstLine="425"/>
      </w:pPr>
      <w:r>
        <w:rPr>
          <w:rFonts w:ascii="Times New Roman" w:hAnsi="Times New Roman" w:eastAsia="宋体"/>
          <w:b w:val="0"/>
          <w:i w:val="0"/>
          <w:sz w:val="22"/>
        </w:rPr>
        <w:t>本书对智能电网实时定价领域的贡献体现在以下几个方面：</w:t>
      </w:r>
    </w:p>
    <w:p>
      <w:pPr>
        <w:spacing w:line="360" w:lineRule="auto" w:after="0"/>
        <w:ind w:firstLine="425"/>
      </w:pPr>
      <w:r>
        <w:rPr>
          <w:rFonts w:ascii="Times New Roman" w:hAnsi="Times New Roman" w:eastAsia="宋体"/>
          <w:b w:val="0"/>
          <w:i w:val="0"/>
          <w:sz w:val="22"/>
        </w:rPr>
        <w:t>理论层面：建立了从互补问题、博弈论到强化学习的统一理论框架，系统梳理了各理论方法之间的联系和适用范围。提出了RTP-SGM分析框架，为实时定价研究提供了结构化的分析工具。</w:t>
      </w:r>
    </w:p>
    <w:p>
      <w:pPr>
        <w:spacing w:line="360" w:lineRule="auto" w:after="0"/>
        <w:ind w:firstLine="425"/>
      </w:pPr>
      <w:r>
        <w:rPr>
          <w:rFonts w:ascii="Times New Roman" w:hAnsi="Times New Roman" w:eastAsia="宋体"/>
          <w:b w:val="0"/>
          <w:i w:val="0"/>
          <w:sz w:val="22"/>
        </w:rPr>
        <w:t>方法层面：比较了确定性优化、鲁棒优化、随机规划和强化学习等不确定性处理方法的优劣和适用场景。提供了从模型构建、算法选择到性能评估的完整方法论指南。</w:t>
      </w:r>
    </w:p>
    <w:p>
      <w:pPr>
        <w:spacing w:line="360" w:lineRule="auto" w:after="0"/>
        <w:ind w:firstLine="425"/>
      </w:pPr>
      <w:r>
        <w:rPr>
          <w:rFonts w:ascii="Times New Roman" w:hAnsi="Times New Roman" w:eastAsia="宋体"/>
          <w:b w:val="0"/>
          <w:i w:val="0"/>
          <w:sz w:val="22"/>
        </w:rPr>
        <w:t>实践层面：分析了全球主要电力市场的实时定价实践经验，提炼了可移植的经验教训。提出了中国实时定价建设的分阶段路线图和政策建议。</w:t>
      </w:r>
    </w:p>
    <w:p>
      <w:pPr>
        <w:spacing w:line="360" w:lineRule="auto" w:after="0"/>
        <w:ind w:firstLine="425"/>
      </w:pPr>
      <w:r>
        <w:rPr>
          <w:rFonts w:ascii="Times New Roman" w:hAnsi="Times New Roman" w:eastAsia="宋体"/>
          <w:b w:val="0"/>
          <w:i w:val="0"/>
          <w:sz w:val="22"/>
        </w:rPr>
        <w:t>前瞻层面：探讨了综合能源系统、分布式能源、碳-电耦合等新兴领域对实时定价的影响。展望了人工智能、数字孪生、区块链等新技术对实时定价的变革潜力。</w:t>
      </w:r>
    </w:p>
    <w:p>
      <w:pPr>
        <w:spacing w:line="360" w:lineRule="auto" w:after="0"/>
        <w:ind w:firstLine="425"/>
      </w:pPr>
      <w:r>
        <w:rPr>
          <w:rFonts w:ascii="Times New Roman" w:hAnsi="Times New Roman" w:eastAsia="宋体"/>
          <w:b w:val="0"/>
          <w:i w:val="0"/>
          <w:sz w:val="22"/>
        </w:rPr>
        <w:t>本书的研究为智能电网实时定价的学术研究、工程实践和政策制定提供了系统性的参考。随着能源转型的深入推进和智能电网技术的持续发展，实时定价将在构建清洁、高效、可靠的现代能源体系中发挥越来越重要的作用。</w:t>
      </w:r>
    </w:p>
    <w:p>
      <w:pPr>
        <w:pStyle w:val="Heading2"/>
        <w:spacing w:before="240" w:after="80"/>
      </w:pPr>
      <w:r>
        <w:rPr>
          <w:rFonts w:ascii="Times New Roman" w:hAnsi="Times New Roman" w:eastAsia="黑体"/>
          <w:b/>
          <w:i w:val="0"/>
          <w:sz w:val="28"/>
        </w:rPr>
        <w:t>12.13 实时定价的深化研究与总结展望</w:t>
      </w:r>
    </w:p>
    <w:p>
      <w:pPr>
        <w:pStyle w:val="Heading3"/>
        <w:spacing w:before="160" w:after="60"/>
      </w:pPr>
      <w:r>
        <w:rPr>
          <w:rFonts w:ascii="Times New Roman" w:hAnsi="Times New Roman" w:eastAsia="黑体"/>
          <w:b/>
          <w:i w:val="0"/>
          <w:sz w:val="24"/>
        </w:rPr>
        <w:t>理论贡献的系统性总结</w:t>
      </w:r>
    </w:p>
    <w:p>
      <w:pPr>
        <w:spacing w:line="360" w:lineRule="auto" w:after="0"/>
        <w:ind w:firstLine="425"/>
      </w:pPr>
      <w:r>
        <w:rPr>
          <w:rFonts w:ascii="Times New Roman" w:hAnsi="Times New Roman" w:eastAsia="宋体"/>
          <w:b w:val="0"/>
          <w:i w:val="0"/>
          <w:sz w:val="22"/>
        </w:rPr>
        <w:t>本书在理论层面的贡献可以归纳为以下几个方面：</w:t>
      </w:r>
    </w:p>
    <w:p>
      <w:pPr>
        <w:spacing w:line="360" w:lineRule="auto" w:after="0"/>
        <w:ind w:firstLine="425"/>
      </w:pPr>
      <w:r>
        <w:rPr>
          <w:rFonts w:ascii="Times New Roman" w:hAnsi="Times New Roman" w:eastAsia="宋体"/>
          <w:b w:val="0"/>
          <w:i w:val="0"/>
          <w:sz w:val="22"/>
        </w:rPr>
        <w:t>第一，建立了智能电网实时定价的统一理论框架RTP-SGM。该框架将互补问题理论、博弈论、优化理论和强化学习纳入统一的分析体系，明确了各理论方法的适用范围和相互关系。RTP-SGM框架不仅有助于理解现有研究的关系，还为未来研究提供了结构化的方向指引。</w:t>
      </w:r>
    </w:p>
    <w:p>
      <w:pPr>
        <w:spacing w:line="360" w:lineRule="auto" w:after="0"/>
        <w:ind w:firstLine="425"/>
      </w:pPr>
      <w:r>
        <w:rPr>
          <w:rFonts w:ascii="Times New Roman" w:hAnsi="Times New Roman" w:eastAsia="宋体"/>
          <w:b w:val="0"/>
          <w:i w:val="0"/>
          <w:sz w:val="22"/>
        </w:rPr>
        <w:t>第二，深化了不确定性下实时定价的理论分析。从随机规划到鲁棒优化再到分布鲁棒优化，本书系统梳理了不确定性处理方法的理论演进。特别是对Wasserstein DRO的理论保证和计算方法进行了详细分析，为数据驱动的鲁棒定价提供了理论基础。</w:t>
      </w:r>
    </w:p>
    <w:p>
      <w:pPr>
        <w:spacing w:line="360" w:lineRule="auto" w:after="0"/>
        <w:ind w:firstLine="425"/>
      </w:pPr>
      <w:r>
        <w:rPr>
          <w:rFonts w:ascii="Times New Roman" w:hAnsi="Times New Roman" w:eastAsia="宋体"/>
          <w:b w:val="0"/>
          <w:i w:val="0"/>
          <w:sz w:val="22"/>
        </w:rPr>
        <w:t>第三，拓展了博弈论在实时定价中的应用边界。从静态Stackelberg博弈到动态博弈、从完全信息到不完全信息、从单层博弈到多层博弈，本书展示了博弈论在实时定价中的丰富应用场景和理论深度。</w:t>
      </w:r>
    </w:p>
    <w:p>
      <w:pPr>
        <w:spacing w:line="360" w:lineRule="auto" w:after="0"/>
        <w:ind w:firstLine="425"/>
      </w:pPr>
      <w:r>
        <w:rPr>
          <w:rFonts w:ascii="Times New Roman" w:hAnsi="Times New Roman" w:eastAsia="宋体"/>
          <w:b w:val="0"/>
          <w:i w:val="0"/>
          <w:sz w:val="22"/>
        </w:rPr>
        <w:t>第四，建立了强化学习在实时定价中的理论分析框架。从MDP建模到算法选择，从收敛性分析到安全部署，本书为强化学习在实时定价中的应用提供了从理论到实践的完整路径。</w:t>
      </w:r>
    </w:p>
    <w:p>
      <w:pPr>
        <w:pStyle w:val="Heading3"/>
        <w:spacing w:before="160" w:after="60"/>
      </w:pPr>
      <w:r>
        <w:rPr>
          <w:rFonts w:ascii="Times New Roman" w:hAnsi="Times New Roman" w:eastAsia="黑体"/>
          <w:b/>
          <w:i w:val="0"/>
          <w:sz w:val="24"/>
        </w:rPr>
        <w:t>方法论创新的总结</w:t>
      </w:r>
    </w:p>
    <w:p>
      <w:pPr>
        <w:spacing w:line="360" w:lineRule="auto" w:after="0"/>
        <w:ind w:firstLine="425"/>
      </w:pPr>
      <w:r>
        <w:rPr>
          <w:rFonts w:ascii="Times New Roman" w:hAnsi="Times New Roman" w:eastAsia="宋体"/>
          <w:b w:val="0"/>
          <w:i w:val="0"/>
          <w:sz w:val="22"/>
        </w:rPr>
        <w:t>本书在方法论层面的贡献包括：</w:t>
      </w:r>
    </w:p>
    <w:p>
      <w:pPr>
        <w:spacing w:line="360" w:lineRule="auto" w:after="0"/>
        <w:ind w:firstLine="425"/>
      </w:pPr>
      <w:r>
        <w:rPr>
          <w:rFonts w:ascii="Times New Roman" w:hAnsi="Times New Roman" w:eastAsia="宋体"/>
          <w:b w:val="0"/>
          <w:i w:val="0"/>
          <w:sz w:val="22"/>
        </w:rPr>
        <w:t>多层次不确定性处理方法体系：根据不确定性程度和信息可用性，提出了从确定性优化到鲁棒优化的渐进方法选择策略。决策者可以根据实际情况选择合适的方法，在精度、鲁棒性和计算效率之间取得平衡。</w:t>
      </w:r>
    </w:p>
    <w:p>
      <w:pPr>
        <w:spacing w:line="360" w:lineRule="auto" w:after="0"/>
        <w:ind w:firstLine="425"/>
      </w:pPr>
      <w:r>
        <w:rPr>
          <w:rFonts w:ascii="Times New Roman" w:hAnsi="Times New Roman" w:eastAsia="宋体"/>
          <w:b w:val="0"/>
          <w:i w:val="0"/>
          <w:sz w:val="22"/>
        </w:rPr>
        <w:t>多目标优化与决策支持框架：将实时定价的多目标特性（成本、排放、可靠性、公平性）纳入统一的优化框架，提供了帕累托前沿分析和交互式决策支持方法。这一框架帮助决策者在多重目标之间做出知情权衡。</w:t>
      </w:r>
    </w:p>
    <w:p>
      <w:pPr>
        <w:spacing w:line="360" w:lineRule="auto" w:after="0"/>
        <w:ind w:firstLine="425"/>
      </w:pPr>
      <w:r>
        <w:rPr>
          <w:rFonts w:ascii="Times New Roman" w:hAnsi="Times New Roman" w:eastAsia="宋体"/>
          <w:b w:val="0"/>
          <w:i w:val="0"/>
          <w:sz w:val="22"/>
        </w:rPr>
        <w:t>算法选择与性能评估指南：为不同规模和特征的实时定价问题提供了算法选择决策树。从问题特征（规模、非线性程度、不确定性类型）出发，指导选择最合适的算法和求解器。性能评估指标体系从求解时间、解的精度、鲁棒性和可扩展性等多维度评估算法。</w:t>
      </w:r>
    </w:p>
    <w:p>
      <w:pPr>
        <w:spacing w:line="360" w:lineRule="auto" w:after="0"/>
        <w:ind w:firstLine="425"/>
      </w:pPr>
      <w:r>
        <w:rPr>
          <w:rFonts w:ascii="Times New Roman" w:hAnsi="Times New Roman" w:eastAsia="宋体"/>
          <w:b w:val="0"/>
          <w:i w:val="0"/>
          <w:sz w:val="22"/>
        </w:rPr>
        <w:t>实时定价系统的工程实施框架：从需求分析、架构设计、算法实现、测试验证到部署运维，提供了完整的工程实施指南。特别关注了实时性要求、容错设计和持续改进机制等工程实践中的关键问题。</w:t>
      </w:r>
    </w:p>
    <w:p>
      <w:pPr>
        <w:pStyle w:val="Heading3"/>
        <w:spacing w:before="160" w:after="60"/>
      </w:pPr>
      <w:r>
        <w:rPr>
          <w:rFonts w:ascii="Times New Roman" w:hAnsi="Times New Roman" w:eastAsia="黑体"/>
          <w:b/>
          <w:i w:val="0"/>
          <w:sz w:val="24"/>
        </w:rPr>
        <w:t>实践指导价值</w:t>
      </w:r>
    </w:p>
    <w:p>
      <w:pPr>
        <w:spacing w:line="360" w:lineRule="auto" w:after="0"/>
        <w:ind w:firstLine="425"/>
      </w:pPr>
      <w:r>
        <w:rPr>
          <w:rFonts w:ascii="Times New Roman" w:hAnsi="Times New Roman" w:eastAsia="宋体"/>
          <w:b w:val="0"/>
          <w:i w:val="0"/>
          <w:sz w:val="22"/>
        </w:rPr>
        <w:t>本书对实时定价实践的指导价值体现在：</w:t>
      </w:r>
    </w:p>
    <w:p>
      <w:pPr>
        <w:spacing w:line="360" w:lineRule="auto" w:after="0"/>
        <w:ind w:firstLine="425"/>
      </w:pPr>
      <w:r>
        <w:rPr>
          <w:rFonts w:ascii="Times New Roman" w:hAnsi="Times New Roman" w:eastAsia="宋体"/>
          <w:b w:val="0"/>
          <w:i w:val="0"/>
          <w:sz w:val="22"/>
        </w:rPr>
        <w:t>国际经验的系统比较：对北美、欧洲、亚太地区的实时定价实践进行了系统比较，提炼了可移植的经验教训。特别是对不同市场结构（集中式vs去中心化、容量市场vs能量市场）下定价机制效果的比较，为中国市场设计提供了参考。</w:t>
      </w:r>
    </w:p>
    <w:p>
      <w:pPr>
        <w:spacing w:line="360" w:lineRule="auto" w:after="0"/>
        <w:ind w:firstLine="425"/>
      </w:pPr>
      <w:r>
        <w:rPr>
          <w:rFonts w:ascii="Times New Roman" w:hAnsi="Times New Roman" w:eastAsia="宋体"/>
          <w:b w:val="0"/>
          <w:i w:val="0"/>
          <w:sz w:val="22"/>
        </w:rPr>
        <w:t>分阶段实施路线图：基于中国电力市场改革的现状和目标，提出了短期（1-3年）、中期（3-5年）和长期（5-10年）的分阶段实施路线图。每个阶段的重点任务和实施条件明确，便于政策制定者和市场设计者参考。</w:t>
      </w:r>
    </w:p>
    <w:p>
      <w:pPr>
        <w:spacing w:line="360" w:lineRule="auto" w:after="0"/>
        <w:ind w:firstLine="425"/>
      </w:pPr>
      <w:r>
        <w:rPr>
          <w:rFonts w:ascii="Times New Roman" w:hAnsi="Times New Roman" w:eastAsia="宋体"/>
          <w:b w:val="0"/>
          <w:i w:val="0"/>
          <w:sz w:val="22"/>
        </w:rPr>
        <w:t>风险管理与安全保障：系统分析了实时定价面临的技术风险、市场风险和社会风险，提出了相应的风险管理和安全保障措施。特别是对网络安全、数据隐私和极端事件管理的深入分析，为系统的安全运行提供了保障。</w:t>
      </w:r>
    </w:p>
    <w:p>
      <w:pPr>
        <w:pStyle w:val="Heading3"/>
        <w:spacing w:before="160" w:after="60"/>
      </w:pPr>
      <w:r>
        <w:rPr>
          <w:rFonts w:ascii="Times New Roman" w:hAnsi="Times New Roman" w:eastAsia="黑体"/>
          <w:b/>
          <w:i w:val="0"/>
          <w:sz w:val="24"/>
        </w:rPr>
        <w:t>开放问题与研究方向</w:t>
      </w:r>
    </w:p>
    <w:p>
      <w:pPr>
        <w:spacing w:line="360" w:lineRule="auto" w:after="0"/>
        <w:ind w:firstLine="425"/>
      </w:pPr>
      <w:r>
        <w:rPr>
          <w:rFonts w:ascii="Times New Roman" w:hAnsi="Times New Roman" w:eastAsia="宋体"/>
          <w:b w:val="0"/>
          <w:i w:val="0"/>
          <w:sz w:val="22"/>
        </w:rPr>
        <w:t>尽管本书对实时定价进行了系统综述，仍存在以下开放问题值得深入研究：</w:t>
      </w:r>
    </w:p>
    <w:p>
      <w:pPr>
        <w:spacing w:line="360" w:lineRule="auto" w:after="0"/>
        <w:ind w:firstLine="425"/>
      </w:pPr>
      <w:r>
        <w:rPr>
          <w:rFonts w:ascii="Times New Roman" w:hAnsi="Times New Roman" w:eastAsia="宋体"/>
          <w:b w:val="0"/>
          <w:i w:val="0"/>
          <w:sz w:val="22"/>
        </w:rPr>
        <w:t>高维不确定性下的实时定价：当不确定性维度增加（数百个负荷节点、数十个风电场）时，现有方法的计算效率可能不满足实时要求。降维技术、随机近似和深度学习方法的融合可能是解决方向。</w:t>
      </w:r>
    </w:p>
    <w:p>
      <w:pPr>
        <w:spacing w:line="360" w:lineRule="auto" w:after="0"/>
        <w:ind w:firstLine="425"/>
      </w:pPr>
      <w:r>
        <w:rPr>
          <w:rFonts w:ascii="Times New Roman" w:hAnsi="Times New Roman" w:eastAsia="宋体"/>
          <w:b w:val="0"/>
          <w:i w:val="0"/>
          <w:sz w:val="22"/>
        </w:rPr>
        <w:t>非凸定价问题的全局优化：含交流潮流约束、整数变量和非线性约束的实时定价问题是非凸的，现有方法可能陷入局部最优。凸松弛技术和分支定界方法的结合可能提供全局最优解。</w:t>
      </w:r>
    </w:p>
    <w:p>
      <w:pPr>
        <w:spacing w:line="360" w:lineRule="auto" w:after="0"/>
        <w:ind w:firstLine="425"/>
      </w:pPr>
      <w:r>
        <w:rPr>
          <w:rFonts w:ascii="Times New Roman" w:hAnsi="Times New Roman" w:eastAsia="宋体"/>
          <w:b w:val="0"/>
          <w:i w:val="0"/>
          <w:sz w:val="22"/>
        </w:rPr>
        <w:t>人机协同的定价决策：完全自动化的定价决策在可解释性和可接受性方面面临挑战。人机协同框架将AI的快速计算能力与人类专家的判断力结合，可能实现更好的定价决策。</w:t>
      </w:r>
    </w:p>
    <w:p>
      <w:pPr>
        <w:spacing w:line="360" w:lineRule="auto" w:after="0"/>
        <w:ind w:firstLine="425"/>
      </w:pPr>
      <w:r>
        <w:rPr>
          <w:rFonts w:ascii="Times New Roman" w:hAnsi="Times New Roman" w:eastAsia="宋体"/>
          <w:b w:val="0"/>
          <w:i w:val="0"/>
          <w:sz w:val="22"/>
        </w:rPr>
        <w:t>跨市场联动定价：电力市场与碳市场、天然气市场和容量市场的联动定价机制尚不成熟。多市场联合优化和动态协调机制是需要深入研究的方向。</w:t>
      </w:r>
    </w:p>
    <w:p>
      <w:pPr>
        <w:spacing w:line="360" w:lineRule="auto" w:after="0"/>
        <w:ind w:firstLine="425"/>
      </w:pPr>
      <w:r>
        <w:rPr>
          <w:rFonts w:ascii="Times New Roman" w:hAnsi="Times New Roman" w:eastAsia="宋体"/>
          <w:b w:val="0"/>
          <w:i w:val="0"/>
          <w:sz w:val="22"/>
        </w:rPr>
        <w:t>社会化与行为化的定价理论：将社会心理学和行为经济学的洞见融入定价理论，设计更符合人类行为特征的定价机制，可能是提高实时定价参与率和效果的关键。</w:t>
      </w:r>
    </w:p>
    <w:p>
      <w:pPr>
        <w:pStyle w:val="Heading3"/>
        <w:spacing w:before="160" w:after="60"/>
      </w:pPr>
      <w:r>
        <w:rPr>
          <w:rFonts w:ascii="Times New Roman" w:hAnsi="Times New Roman" w:eastAsia="黑体"/>
          <w:b/>
          <w:i w:val="0"/>
          <w:sz w:val="24"/>
        </w:rPr>
        <w:t>结语</w:t>
      </w:r>
    </w:p>
    <w:p>
      <w:pPr>
        <w:spacing w:line="360" w:lineRule="auto" w:after="0"/>
        <w:ind w:firstLine="425"/>
      </w:pPr>
      <w:r>
        <w:rPr>
          <w:rFonts w:ascii="Times New Roman" w:hAnsi="Times New Roman" w:eastAsia="宋体"/>
          <w:b w:val="0"/>
          <w:i w:val="0"/>
          <w:sz w:val="22"/>
        </w:rPr>
        <w:t>智能电网实时定价是一个多学科交叉的研究领域，涉及电力工程、运筹学、经济学、计算机科学和行为科学等多个学科。随着能源转型的深入推进和智能电网技术的快速发展，实时定价将在构建清洁、低碳、安全、高效的现代能源体系中发挥越来越核心的作用。</w:t>
      </w:r>
    </w:p>
    <w:p>
      <w:pPr>
        <w:spacing w:line="360" w:lineRule="auto" w:after="0"/>
        <w:ind w:firstLine="425"/>
      </w:pPr>
      <w:r>
        <w:rPr>
          <w:rFonts w:ascii="Times New Roman" w:hAnsi="Times New Roman" w:eastAsia="宋体"/>
          <w:b w:val="0"/>
          <w:i w:val="0"/>
          <w:sz w:val="22"/>
        </w:rPr>
        <w:t>本书通过系统的理论梳理、方法比较、案例分析和前瞻展望，为智能电网实时定价的研究和实践提供了全面的参考。希望本书能够推动学术界在该领域的深入研究，为产业界的工程实践提供指导，为政策制定者的制度设计提供依据，最终促进智能电网实时定价技术的成熟和应用，为实现可持续能源未来贡献力量。</w:t>
      </w:r>
    </w:p>
    <w:p>
      <w:pPr>
        <w:pStyle w:val="Heading2"/>
        <w:spacing w:before="240" w:after="80"/>
      </w:pPr>
      <w:r>
        <w:rPr>
          <w:rFonts w:ascii="Times New Roman" w:hAnsi="Times New Roman" w:eastAsia="黑体"/>
          <w:b/>
          <w:i w:val="0"/>
          <w:sz w:val="28"/>
        </w:rPr>
        <w:t>12.14 实时定价的总结与未来展望</w:t>
      </w:r>
    </w:p>
    <w:p>
      <w:pPr>
        <w:pStyle w:val="Heading3"/>
        <w:spacing w:before="160" w:after="60"/>
      </w:pPr>
      <w:r>
        <w:rPr>
          <w:rFonts w:ascii="Times New Roman" w:hAnsi="Times New Roman" w:eastAsia="黑体"/>
          <w:b/>
          <w:i w:val="0"/>
          <w:sz w:val="24"/>
        </w:rPr>
        <w:t>理论体系的系统化整合</w:t>
      </w:r>
    </w:p>
    <w:p>
      <w:pPr>
        <w:spacing w:line="360" w:lineRule="auto" w:after="0"/>
        <w:ind w:firstLine="425"/>
      </w:pPr>
      <w:r>
        <w:rPr>
          <w:rFonts w:ascii="Times New Roman" w:hAnsi="Times New Roman" w:eastAsia="宋体"/>
          <w:b w:val="0"/>
          <w:i w:val="0"/>
          <w:sz w:val="22"/>
        </w:rPr>
        <w:t>本书构建的RTP-SGM框架将智能电网实时定价的理论体系系统化整合。该框架的核心贡献在于：</w:t>
      </w:r>
    </w:p>
    <w:p>
      <w:pPr>
        <w:spacing w:line="360" w:lineRule="auto" w:after="0"/>
        <w:ind w:firstLine="425"/>
      </w:pPr>
      <w:r>
        <w:rPr>
          <w:rFonts w:ascii="Times New Roman" w:hAnsi="Times New Roman" w:eastAsia="宋体"/>
          <w:b w:val="0"/>
          <w:i w:val="0"/>
          <w:sz w:val="22"/>
        </w:rPr>
        <w:t>建立统一的理论基础：将互补问题理论、博弈论、优化理论和强化学习纳入统一的分析框架。互补问题理论提供了市场均衡的数学描述工具；博弈论提供了多参与者策略互动的分析方法；优化理论提供了不确定性下的决策框架；强化学习提供了数据驱动的自适应定价方法。</w:t>
      </w:r>
    </w:p>
    <w:p>
      <w:pPr>
        <w:spacing w:line="360" w:lineRule="auto" w:after="0"/>
        <w:ind w:firstLine="425"/>
      </w:pPr>
      <w:r>
        <w:rPr>
          <w:rFonts w:ascii="Times New Roman" w:hAnsi="Times New Roman" w:eastAsia="宋体"/>
          <w:b w:val="0"/>
          <w:i w:val="0"/>
          <w:sz w:val="22"/>
        </w:rPr>
        <w:t>明确方法的适用边界：不同方法适用于不同的问题特征。互补问题适合描述确定性的市场均衡；博弈论适合分析策略性互动；随机规划适合分布已知的优化；鲁棒优化适合分布未知的保护性决策；强化学习适合复杂动态环境下的自适应策略。理解这些边界有助于研究者选择合适的方法，避免"锤子-钉子"式的单一方法思维。</w:t>
      </w:r>
    </w:p>
    <w:p>
      <w:pPr>
        <w:spacing w:line="360" w:lineRule="auto" w:after="0"/>
        <w:ind w:firstLine="425"/>
      </w:pPr>
      <w:r>
        <w:rPr>
          <w:rFonts w:ascii="Times New Roman" w:hAnsi="Times New Roman" w:eastAsia="宋体"/>
          <w:b w:val="0"/>
          <w:i w:val="0"/>
          <w:sz w:val="22"/>
        </w:rPr>
        <w:t>揭示方法间的联系：互补问题是博弈论均衡的数学表达；鲁棒优化可以看作特殊的博弈论（决策者vs自然）；强化学习可以看作动态博弈的求解方法。这些联系表明，不同理论方法不是孤立的，而是从不同角度分析同一问题的互补工具。</w:t>
      </w:r>
    </w:p>
    <w:p>
      <w:pPr>
        <w:pStyle w:val="Heading3"/>
        <w:spacing w:before="160" w:after="60"/>
      </w:pPr>
      <w:r>
        <w:rPr>
          <w:rFonts w:ascii="Times New Roman" w:hAnsi="Times New Roman" w:eastAsia="黑体"/>
          <w:b/>
          <w:i w:val="0"/>
          <w:sz w:val="24"/>
        </w:rPr>
        <w:t>技术发展趋势的综合判断</w:t>
      </w:r>
    </w:p>
    <w:p>
      <w:pPr>
        <w:spacing w:line="360" w:lineRule="auto" w:after="0"/>
        <w:ind w:firstLine="425"/>
      </w:pPr>
      <w:r>
        <w:rPr>
          <w:rFonts w:ascii="Times New Roman" w:hAnsi="Times New Roman" w:eastAsia="宋体"/>
          <w:b w:val="0"/>
          <w:i w:val="0"/>
          <w:sz w:val="22"/>
        </w:rPr>
        <w:t>基于本书的系统分析，对实时定价技术发展趋势的判断如下：</w:t>
      </w:r>
    </w:p>
    <w:p>
      <w:pPr>
        <w:spacing w:line="360" w:lineRule="auto" w:after="0"/>
        <w:ind w:firstLine="425"/>
      </w:pPr>
      <w:r>
        <w:rPr>
          <w:rFonts w:ascii="Times New Roman" w:hAnsi="Times New Roman" w:eastAsia="宋体"/>
          <w:b w:val="0"/>
          <w:i w:val="0"/>
          <w:sz w:val="22"/>
        </w:rPr>
        <w:t>短期趋势（1-3年）：实时定价的计算基础将从传统优化算法向AI增强的混合方法过渡。机器学习将主要用于预测加速和参数估计，核心定价决策仍由优化算法完成。这一阶段的重点是提高现有方法的计算效率和预测精度。</w:t>
      </w:r>
    </w:p>
    <w:p>
      <w:pPr>
        <w:spacing w:line="360" w:lineRule="auto" w:after="0"/>
        <w:ind w:firstLine="425"/>
      </w:pPr>
      <w:r>
        <w:rPr>
          <w:rFonts w:ascii="Times New Roman" w:hAnsi="Times New Roman" w:eastAsia="宋体"/>
          <w:b w:val="0"/>
          <w:i w:val="0"/>
          <w:sz w:val="22"/>
        </w:rPr>
        <w:t>中期趋势（3-5年）：强化学习方法将在特定场景（如小规模微电网、单一类型需求响应）中取代传统优化方法成为主要定价工具。数字孪生技术将成熟应用于定价策略的仿真验证。分布式计算架构将支撑大规模实时定价的在线部署。</w:t>
      </w:r>
    </w:p>
    <w:p>
      <w:pPr>
        <w:spacing w:line="360" w:lineRule="auto" w:after="0"/>
        <w:ind w:firstLine="425"/>
      </w:pPr>
      <w:r>
        <w:rPr>
          <w:rFonts w:ascii="Times New Roman" w:hAnsi="Times New Roman" w:eastAsia="宋体"/>
          <w:b w:val="0"/>
          <w:i w:val="0"/>
          <w:sz w:val="22"/>
        </w:rPr>
        <w:t>长期趋势（5-10年）：AI驱动的自适应定价系统将成为主流。定价算法能够自动适应系统变化（如新设备接入、负荷模式变化、市场规则调整），无需人工干预。量子计算可能为超大规模定价问题提供突破性计算能力。去中心化定价机制将在局部区域（如微电网、社区能源系统）商业化部署。</w:t>
      </w:r>
    </w:p>
    <w:p>
      <w:pPr>
        <w:pStyle w:val="Heading3"/>
        <w:spacing w:before="160" w:after="60"/>
      </w:pPr>
      <w:r>
        <w:rPr>
          <w:rFonts w:ascii="Times New Roman" w:hAnsi="Times New Roman" w:eastAsia="黑体"/>
          <w:b/>
          <w:i w:val="0"/>
          <w:sz w:val="24"/>
        </w:rPr>
        <w:t>政策建议的系统化</w:t>
      </w:r>
    </w:p>
    <w:p>
      <w:pPr>
        <w:spacing w:line="360" w:lineRule="auto" w:after="0"/>
        <w:ind w:firstLine="425"/>
      </w:pPr>
      <w:r>
        <w:rPr>
          <w:rFonts w:ascii="Times New Roman" w:hAnsi="Times New Roman" w:eastAsia="宋体"/>
          <w:b w:val="0"/>
          <w:i w:val="0"/>
          <w:sz w:val="22"/>
        </w:rPr>
        <w:t>基于国际经验比较和中国实际情况，本书提出的政策建议体系包括：</w:t>
      </w:r>
    </w:p>
    <w:p>
      <w:pPr>
        <w:spacing w:line="360" w:lineRule="auto" w:after="0"/>
        <w:ind w:firstLine="425"/>
      </w:pPr>
      <w:r>
        <w:rPr>
          <w:rFonts w:ascii="Times New Roman" w:hAnsi="Times New Roman" w:eastAsia="宋体"/>
          <w:b w:val="0"/>
          <w:i w:val="0"/>
          <w:sz w:val="22"/>
        </w:rPr>
        <w:t>市场机制层面：加快电力现货市场建设，完善节点边际电价机制；建立容量补偿机制保障发电投资；推进辅助服务市场化，为灵活性资源提供合理回报；探索分布式能源聚合参与批发市场的规则。</w:t>
      </w:r>
    </w:p>
    <w:p>
      <w:pPr>
        <w:spacing w:line="360" w:lineRule="auto" w:after="0"/>
        <w:ind w:firstLine="425"/>
      </w:pPr>
      <w:r>
        <w:rPr>
          <w:rFonts w:ascii="Times New Roman" w:hAnsi="Times New Roman" w:eastAsia="宋体"/>
          <w:b w:val="0"/>
          <w:i w:val="0"/>
          <w:sz w:val="22"/>
        </w:rPr>
        <w:t>技术标准层面：统一智能电表数据格式和通信协议；建立AMI系统的网络安全标准；制定需求响应的接口规范和互操作性标准；推进跨能源类型的数据共享标准。</w:t>
      </w:r>
    </w:p>
    <w:p>
      <w:pPr>
        <w:spacing w:line="360" w:lineRule="auto" w:after="0"/>
        <w:ind w:firstLine="425"/>
      </w:pPr>
      <w:r>
        <w:rPr>
          <w:rFonts w:ascii="Times New Roman" w:hAnsi="Times New Roman" w:eastAsia="宋体"/>
          <w:b w:val="0"/>
          <w:i w:val="0"/>
          <w:sz w:val="22"/>
        </w:rPr>
        <w:t>用户保护层面：建立分层电价保护机制（基础用电量享受保护价格）；提供实时电价的opt-out选项（允许用户回退到固定电价）；设立价格波动上限和下限；对低收入群体提供电费补贴和能效改造资助。</w:t>
      </w:r>
    </w:p>
    <w:p>
      <w:pPr>
        <w:spacing w:line="360" w:lineRule="auto" w:after="0"/>
        <w:ind w:firstLine="425"/>
      </w:pPr>
      <w:r>
        <w:rPr>
          <w:rFonts w:ascii="Times New Roman" w:hAnsi="Times New Roman" w:eastAsia="宋体"/>
          <w:b w:val="0"/>
          <w:i w:val="0"/>
          <w:sz w:val="22"/>
        </w:rPr>
        <w:t>监管能力层面：建立实时市场监控系统，检测市场力行使和异常交易；完善市场力缓解机制（如自动缓解措施）；建立定价算法的审计和备案制度；加强跨部门（能源、通信、安全）协调。</w:t>
      </w:r>
    </w:p>
    <w:p>
      <w:pPr>
        <w:pStyle w:val="Heading3"/>
        <w:spacing w:before="160" w:after="60"/>
      </w:pPr>
      <w:r>
        <w:rPr>
          <w:rFonts w:ascii="Times New Roman" w:hAnsi="Times New Roman" w:eastAsia="黑体"/>
          <w:b/>
          <w:i w:val="0"/>
          <w:sz w:val="24"/>
        </w:rPr>
        <w:t>研究空白与未来方向</w:t>
      </w:r>
    </w:p>
    <w:p>
      <w:pPr>
        <w:spacing w:line="360" w:lineRule="auto" w:after="0"/>
        <w:ind w:firstLine="425"/>
      </w:pPr>
      <w:r>
        <w:rPr>
          <w:rFonts w:ascii="Times New Roman" w:hAnsi="Times New Roman" w:eastAsia="宋体"/>
          <w:b w:val="0"/>
          <w:i w:val="0"/>
          <w:sz w:val="22"/>
        </w:rPr>
        <w:t>本书的系统综述也揭示了当前研究的重要空白：</w:t>
      </w:r>
    </w:p>
    <w:p>
      <w:pPr>
        <w:spacing w:line="360" w:lineRule="auto" w:after="0"/>
        <w:ind w:firstLine="425"/>
      </w:pPr>
      <w:r>
        <w:rPr>
          <w:rFonts w:ascii="Times New Roman" w:hAnsi="Times New Roman" w:eastAsia="宋体"/>
          <w:b w:val="0"/>
          <w:i w:val="0"/>
          <w:sz w:val="22"/>
        </w:rPr>
        <w:t>理论空白：含高比例可再生能源和非线性约束的大规模互补问题的存在性和唯一性证明仍不充分。多智能体博弈在有限理性下的均衡稳定性分析缺乏一般性理论。数据驱动定价方法的样本复杂度和泛化误差界有待建立。</w:t>
      </w:r>
    </w:p>
    <w:p>
      <w:pPr>
        <w:spacing w:line="360" w:lineRule="auto" w:after="0"/>
        <w:ind w:firstLine="425"/>
      </w:pPr>
      <w:r>
        <w:rPr>
          <w:rFonts w:ascii="Times New Roman" w:hAnsi="Times New Roman" w:eastAsia="宋体"/>
          <w:b w:val="0"/>
          <w:i w:val="0"/>
          <w:sz w:val="22"/>
        </w:rPr>
        <w:t>方法空白：大规模实时定价的秒级求解方法仍不成熟。安全强化学习的约束满足率与策略最优性之间的权衡缺乏系统性分析框架。联邦学习在异构数据和通信受限环境下的收敛性保证不完善。</w:t>
      </w:r>
    </w:p>
    <w:p>
      <w:pPr>
        <w:spacing w:line="360" w:lineRule="auto" w:after="0"/>
        <w:ind w:firstLine="425"/>
      </w:pPr>
      <w:r>
        <w:rPr>
          <w:rFonts w:ascii="Times New Roman" w:hAnsi="Times New Roman" w:eastAsia="宋体"/>
          <w:b w:val="0"/>
          <w:i w:val="0"/>
          <w:sz w:val="22"/>
        </w:rPr>
        <w:t>应用空白：实时定价在发展中国家的适用性研究不足（这些国家可能缺乏智能电表和通信基础设施）。实时定价对能源公平的影响缺乏大规模实证研究。碳-电耦合定价的市场设计缺乏可操作的实施方案。</w:t>
      </w:r>
    </w:p>
    <w:p>
      <w:pPr>
        <w:spacing w:line="360" w:lineRule="auto" w:after="0"/>
        <w:ind w:firstLine="425"/>
      </w:pPr>
      <w:r>
        <w:rPr>
          <w:rFonts w:ascii="Times New Roman" w:hAnsi="Times New Roman" w:eastAsia="宋体"/>
          <w:b w:val="0"/>
          <w:i w:val="0"/>
          <w:sz w:val="22"/>
        </w:rPr>
        <w:t>跨学科空白：实时定价的社会接受度影响因素缺乏跨文化比较研究。行为经济学洞见在定价机制设计中的系统性应用不足。人工智能伦理在定价决策中的考量（如算法公平性、透明性、可问责性）尚处于起步阶段。</w:t>
      </w:r>
    </w:p>
    <w:p>
      <w:pPr>
        <w:pStyle w:val="Heading3"/>
        <w:spacing w:before="160" w:after="60"/>
      </w:pPr>
      <w:r>
        <w:rPr>
          <w:rFonts w:ascii="Times New Roman" w:hAnsi="Times New Roman" w:eastAsia="黑体"/>
          <w:b/>
          <w:i w:val="0"/>
          <w:sz w:val="24"/>
        </w:rPr>
        <w:t>最终展望</w:t>
      </w:r>
    </w:p>
    <w:p>
      <w:pPr>
        <w:spacing w:line="360" w:lineRule="auto" w:after="0"/>
        <w:ind w:firstLine="425"/>
      </w:pPr>
      <w:r>
        <w:rPr>
          <w:rFonts w:ascii="Times New Roman" w:hAnsi="Times New Roman" w:eastAsia="宋体"/>
          <w:b w:val="0"/>
          <w:i w:val="0"/>
          <w:sz w:val="22"/>
        </w:rPr>
        <w:t>智能电网实时定价是能源转型的核心使能技术之一。随着可再生能源占比的持续提高、分布式能源的快速部署、电力市场的深化改革和人工智能技术的飞速发展，实时定价将从当前的试点阶段逐步走向全面部署。</w:t>
      </w:r>
    </w:p>
    <w:p>
      <w:pPr>
        <w:spacing w:line="360" w:lineRule="auto" w:after="0"/>
        <w:ind w:firstLine="425"/>
      </w:pPr>
      <w:r>
        <w:rPr>
          <w:rFonts w:ascii="Times New Roman" w:hAnsi="Times New Roman" w:eastAsia="宋体"/>
          <w:b w:val="0"/>
          <w:i w:val="0"/>
          <w:sz w:val="22"/>
        </w:rPr>
        <w:t>本书希望为这一进程提供理论指导、方法支持和实践参考。实时定价的成功不仅需要技术创新，还需要市场设计、政策支持、用户教育和社会共识的协同推进。这是一项复杂的系统工程，需要学术界、产业界、政府和社会各界的共同努力。</w:t>
      </w:r>
    </w:p>
    <w:p>
      <w:pPr>
        <w:spacing w:line="360" w:lineRule="auto" w:after="0"/>
        <w:ind w:firstLine="425"/>
      </w:pPr>
      <w:r>
        <w:rPr>
          <w:rFonts w:ascii="Times New Roman" w:hAnsi="Times New Roman" w:eastAsia="宋体"/>
          <w:b w:val="0"/>
          <w:i w:val="0"/>
          <w:sz w:val="22"/>
        </w:rPr>
        <w:t>未来的智能电网实时定价系统将是一个融合物理系统、信息系统和社会系统的复杂巨系统。它将以数据为驱动、以AI为智能核心、以市场机制为协调手段、以政策法规为保障基础，实现电力资源的高效、清洁、公平和可靠配置。这一愿景的实现将为全球能源转型和碳中和目标做出重要贡献。</w:t>
      </w:r>
    </w:p>
    <w:p>
      <w:pPr>
        <w:pStyle w:val="Heading2"/>
        <w:spacing w:before="240" w:after="80"/>
      </w:pPr>
      <w:r>
        <w:rPr>
          <w:rFonts w:ascii="Times New Roman" w:hAnsi="Times New Roman" w:eastAsia="黑体"/>
          <w:b/>
          <w:i w:val="0"/>
          <w:sz w:val="28"/>
        </w:rPr>
        <w:t>12.15 实时定价的最终总结与展望</w:t>
      </w:r>
    </w:p>
    <w:p>
      <w:pPr>
        <w:pStyle w:val="Heading3"/>
        <w:spacing w:before="160" w:after="60"/>
      </w:pPr>
      <w:r>
        <w:rPr>
          <w:rFonts w:ascii="Times New Roman" w:hAnsi="Times New Roman" w:eastAsia="黑体"/>
          <w:b/>
          <w:i w:val="0"/>
          <w:sz w:val="24"/>
        </w:rPr>
        <w:t>本书的学术贡献概述</w:t>
      </w:r>
    </w:p>
    <w:p>
      <w:pPr>
        <w:spacing w:line="360" w:lineRule="auto" w:after="0"/>
        <w:ind w:firstLine="425"/>
      </w:pPr>
      <w:r>
        <w:rPr>
          <w:rFonts w:ascii="Times New Roman" w:hAnsi="Times New Roman" w:eastAsia="宋体"/>
          <w:b w:val="0"/>
          <w:i w:val="0"/>
          <w:sz w:val="22"/>
        </w:rPr>
        <w:t>本书在智能电网实时定价领域做出了以下学术贡献：</w:t>
      </w:r>
    </w:p>
    <w:p>
      <w:pPr>
        <w:spacing w:line="360" w:lineRule="auto" w:after="0"/>
        <w:ind w:firstLine="425"/>
      </w:pPr>
      <w:r>
        <w:rPr>
          <w:rFonts w:ascii="Times New Roman" w:hAnsi="Times New Roman" w:eastAsia="宋体"/>
          <w:b w:val="0"/>
          <w:i w:val="0"/>
          <w:sz w:val="22"/>
        </w:rPr>
        <w:t>理论整合贡献：首次将互补问题理论、博弈论、鲁棒优化和强化学习整合到统一的RTP-SGM框架中，系统阐述了各理论方法之间的联系、区别和互补关系。这一整合不仅有助于理解现有研究的全貌，还为未来研究提供了清晰的定位坐标。</w:t>
      </w:r>
    </w:p>
    <w:p>
      <w:pPr>
        <w:spacing w:line="360" w:lineRule="auto" w:after="0"/>
        <w:ind w:firstLine="425"/>
      </w:pPr>
      <w:r>
        <w:rPr>
          <w:rFonts w:ascii="Times New Roman" w:hAnsi="Times New Roman" w:eastAsia="宋体"/>
          <w:b w:val="0"/>
          <w:i w:val="0"/>
          <w:sz w:val="22"/>
        </w:rPr>
        <w:t>方法论贡献：针对实时定价中的不确定性处理，系统比较了随机规划、鲁棒优化和分布鲁棒优化三种方法的理论基础、计算特性和适用场景。提出了基于数据驱动不确定性集的鲁棒定价方法，平衡了保守性和经济性。</w:t>
      </w:r>
    </w:p>
    <w:p>
      <w:pPr>
        <w:spacing w:line="360" w:lineRule="auto" w:after="0"/>
        <w:ind w:firstLine="425"/>
      </w:pPr>
      <w:r>
        <w:rPr>
          <w:rFonts w:ascii="Times New Roman" w:hAnsi="Times New Roman" w:eastAsia="宋体"/>
          <w:b w:val="0"/>
          <w:i w:val="0"/>
          <w:sz w:val="22"/>
        </w:rPr>
        <w:t>实证贡献：通过对全球主要电力市场实时定价实践的系统比较，提炼了可移植的经验教训。特别是对中国电力市场改革的阶段性特征分析，为实时定价的中国化实施提供了有针对性的政策建议。</w:t>
      </w:r>
    </w:p>
    <w:p>
      <w:pPr>
        <w:spacing w:line="360" w:lineRule="auto" w:after="0"/>
        <w:ind w:firstLine="425"/>
      </w:pPr>
      <w:r>
        <w:rPr>
          <w:rFonts w:ascii="Times New Roman" w:hAnsi="Times New Roman" w:eastAsia="宋体"/>
          <w:b w:val="0"/>
          <w:i w:val="0"/>
          <w:sz w:val="22"/>
        </w:rPr>
        <w:t>前瞻贡献：探讨了综合能源系统、分布式能源、碳-电耦合和人工智能等前沿方向对实时定价的影响。这些前瞻分析为未来5-10年的研究方向提供了预判。</w:t>
      </w:r>
    </w:p>
    <w:p>
      <w:pPr>
        <w:pStyle w:val="Heading3"/>
        <w:spacing w:before="160" w:after="60"/>
      </w:pPr>
      <w:r>
        <w:rPr>
          <w:rFonts w:ascii="Times New Roman" w:hAnsi="Times New Roman" w:eastAsia="黑体"/>
          <w:b/>
          <w:i w:val="0"/>
          <w:sz w:val="24"/>
        </w:rPr>
        <w:t>实时定价的成熟度评估</w:t>
      </w:r>
    </w:p>
    <w:p>
      <w:pPr>
        <w:spacing w:line="360" w:lineRule="auto" w:after="0"/>
        <w:ind w:firstLine="425"/>
      </w:pPr>
      <w:r>
        <w:rPr>
          <w:rFonts w:ascii="Times New Roman" w:hAnsi="Times New Roman" w:eastAsia="宋体"/>
          <w:b w:val="0"/>
          <w:i w:val="0"/>
          <w:sz w:val="22"/>
        </w:rPr>
        <w:t>基于本书的系统分析，对实时定价各技术方向的成熟度进行评估：</w:t>
      </w:r>
    </w:p>
    <w:tbl>
      <w:tblPr>
        <w:tblStyle w:val="LightGrid-Accent1"/>
        <w:tblW w:type="auto" w:w="0"/>
        <w:jc w:val="center"/>
        <w:tblLook w:firstColumn="1" w:firstRow="1" w:lastColumn="0" w:lastRow="0" w:noHBand="0" w:noVBand="1" w:val="04A0"/>
      </w:tblPr>
      <w:tblGrid>
        <w:gridCol w:w="2835"/>
        <w:gridCol w:w="2835"/>
        <w:gridCol w:w="2835"/>
      </w:tblGrid>
      <w:tr>
        <w:tc>
          <w:tcPr>
            <w:tcW w:type="dxa" w:w="2835"/>
          </w:tcPr>
          <w:p>
            <w:pPr>
              <w:spacing w:after="40" w:before="40"/>
            </w:pPr>
            <w:r>
              <w:rPr>
                <w:b/>
              </w:rPr>
            </w:r>
            <w:r>
              <w:rPr>
                <w:rFonts w:ascii="Times New Roman" w:hAnsi="Times New Roman" w:eastAsia="黑体"/>
                <w:b/>
                <w:i w:val="0"/>
                <w:sz w:val="20"/>
              </w:rPr>
              <w:t>技术方向</w:t>
            </w:r>
          </w:p>
        </w:tc>
        <w:tc>
          <w:tcPr>
            <w:tcW w:type="dxa" w:w="2835"/>
          </w:tcPr>
          <w:p>
            <w:pPr>
              <w:spacing w:after="40" w:before="40"/>
            </w:pPr>
            <w:r>
              <w:rPr>
                <w:b/>
              </w:rPr>
            </w:r>
            <w:r>
              <w:rPr>
                <w:rFonts w:ascii="Times New Roman" w:hAnsi="Times New Roman" w:eastAsia="黑体"/>
                <w:b/>
                <w:i w:val="0"/>
                <w:sz w:val="20"/>
              </w:rPr>
              <w:t>成熟度</w:t>
            </w:r>
          </w:p>
        </w:tc>
        <w:tc>
          <w:tcPr>
            <w:tcW w:type="dxa" w:w="2835"/>
          </w:tcPr>
          <w:p>
            <w:pPr>
              <w:spacing w:after="40" w:before="40"/>
            </w:pPr>
            <w:r>
              <w:rPr>
                <w:b/>
              </w:rPr>
            </w:r>
            <w:r>
              <w:rPr>
                <w:rFonts w:ascii="Times New Roman" w:hAnsi="Times New Roman" w:eastAsia="黑体"/>
                <w:b/>
                <w:i w:val="0"/>
                <w:sz w:val="20"/>
              </w:rPr>
              <w:t>说明</w:t>
            </w:r>
          </w:p>
        </w:tc>
      </w:tr>
      <w:tr>
        <w:tc>
          <w:tcPr>
            <w:tcW w:type="dxa" w:w="2835"/>
          </w:tcPr>
          <w:p>
            <w:pPr>
              <w:spacing w:after="40" w:before="40"/>
            </w:pPr>
            <w:r/>
            <w:r>
              <w:rPr>
                <w:rFonts w:ascii="Times New Roman" w:hAnsi="Times New Roman" w:eastAsia="宋体"/>
                <w:b w:val="0"/>
                <w:i w:val="0"/>
                <w:sz w:val="20"/>
              </w:rPr>
              <w:t>LMP定价机制</w:t>
            </w:r>
          </w:p>
        </w:tc>
        <w:tc>
          <w:tcPr>
            <w:tcW w:type="dxa" w:w="2835"/>
          </w:tcPr>
          <w:p>
            <w:pPr>
              <w:spacing w:after="40" w:before="40"/>
            </w:pPr>
            <w:r/>
            <w:r>
              <w:rPr>
                <w:rFonts w:ascii="Times New Roman" w:hAnsi="Times New Roman" w:eastAsia="宋体"/>
                <w:b w:val="0"/>
                <w:i w:val="0"/>
                <w:sz w:val="20"/>
              </w:rPr>
              <w:t>成熟</w:t>
            </w:r>
          </w:p>
        </w:tc>
        <w:tc>
          <w:tcPr>
            <w:tcW w:type="dxa" w:w="2835"/>
          </w:tcPr>
          <w:p>
            <w:pPr>
              <w:spacing w:after="40" w:before="40"/>
            </w:pPr>
            <w:r/>
            <w:r>
              <w:rPr>
                <w:rFonts w:ascii="Times New Roman" w:hAnsi="Times New Roman" w:eastAsia="宋体"/>
                <w:b w:val="0"/>
                <w:i w:val="0"/>
                <w:sz w:val="20"/>
              </w:rPr>
              <w:t>已在全球主要市场部署</w:t>
            </w:r>
          </w:p>
        </w:tc>
      </w:tr>
      <w:tr>
        <w:tc>
          <w:tcPr>
            <w:tcW w:type="dxa" w:w="2835"/>
            <w:shd w:val="clear" w:color="auto" w:fill="F0F4F8"/>
          </w:tcPr>
          <w:p>
            <w:pPr>
              <w:spacing w:after="40" w:before="40"/>
            </w:pPr>
            <w:r/>
            <w:r>
              <w:rPr>
                <w:rFonts w:ascii="Times New Roman" w:hAnsi="Times New Roman" w:eastAsia="宋体"/>
                <w:b w:val="0"/>
                <w:i w:val="0"/>
                <w:sz w:val="20"/>
              </w:rPr>
              <w:t>需求响应定价</w:t>
            </w:r>
          </w:p>
        </w:tc>
        <w:tc>
          <w:tcPr>
            <w:tcW w:type="dxa" w:w="2835"/>
            <w:shd w:val="clear" w:color="auto" w:fill="F0F4F8"/>
          </w:tcPr>
          <w:p>
            <w:pPr>
              <w:spacing w:after="40" w:before="40"/>
            </w:pPr>
            <w:r/>
            <w:r>
              <w:rPr>
                <w:rFonts w:ascii="Times New Roman" w:hAnsi="Times New Roman" w:eastAsia="宋体"/>
                <w:b w:val="0"/>
                <w:i w:val="0"/>
                <w:sz w:val="20"/>
              </w:rPr>
              <w:t>成熟/增长</w:t>
            </w:r>
          </w:p>
        </w:tc>
        <w:tc>
          <w:tcPr>
            <w:tcW w:type="dxa" w:w="2835"/>
            <w:shd w:val="clear" w:color="auto" w:fill="F0F4F8"/>
          </w:tcPr>
          <w:p>
            <w:pPr>
              <w:spacing w:after="40" w:before="40"/>
            </w:pPr>
            <w:r/>
            <w:r>
              <w:rPr>
                <w:rFonts w:ascii="Times New Roman" w:hAnsi="Times New Roman" w:eastAsia="宋体"/>
                <w:b w:val="0"/>
                <w:i w:val="0"/>
                <w:sz w:val="20"/>
              </w:rPr>
              <w:t>技术成熟，规模化推广中</w:t>
            </w:r>
          </w:p>
        </w:tc>
      </w:tr>
      <w:tr>
        <w:tc>
          <w:tcPr>
            <w:tcW w:type="dxa" w:w="2835"/>
          </w:tcPr>
          <w:p>
            <w:pPr>
              <w:spacing w:after="40" w:before="40"/>
            </w:pPr>
            <w:r/>
            <w:r>
              <w:rPr>
                <w:rFonts w:ascii="Times New Roman" w:hAnsi="Times New Roman" w:eastAsia="宋体"/>
                <w:b w:val="0"/>
                <w:i w:val="0"/>
                <w:sz w:val="20"/>
              </w:rPr>
              <w:t>Stackelberg博弈定价</w:t>
            </w:r>
          </w:p>
        </w:tc>
        <w:tc>
          <w:tcPr>
            <w:tcW w:type="dxa" w:w="2835"/>
          </w:tcPr>
          <w:p>
            <w:pPr>
              <w:spacing w:after="40" w:before="40"/>
            </w:pPr>
            <w:r/>
            <w:r>
              <w:rPr>
                <w:rFonts w:ascii="Times New Roman" w:hAnsi="Times New Roman" w:eastAsia="宋体"/>
                <w:b w:val="0"/>
                <w:i w:val="0"/>
                <w:sz w:val="20"/>
              </w:rPr>
              <w:t>研究阶段</w:t>
            </w:r>
          </w:p>
        </w:tc>
        <w:tc>
          <w:tcPr>
            <w:tcW w:type="dxa" w:w="2835"/>
          </w:tcPr>
          <w:p>
            <w:pPr>
              <w:spacing w:after="40" w:before="40"/>
            </w:pPr>
            <w:r/>
            <w:r>
              <w:rPr>
                <w:rFonts w:ascii="Times New Roman" w:hAnsi="Times New Roman" w:eastAsia="宋体"/>
                <w:b w:val="0"/>
                <w:i w:val="0"/>
                <w:sz w:val="20"/>
              </w:rPr>
              <w:t>理论成熟，实际应用有限</w:t>
            </w:r>
          </w:p>
        </w:tc>
      </w:tr>
      <w:tr>
        <w:tc>
          <w:tcPr>
            <w:tcW w:type="dxa" w:w="2835"/>
            <w:shd w:val="clear" w:color="auto" w:fill="F0F4F8"/>
          </w:tcPr>
          <w:p>
            <w:pPr>
              <w:spacing w:after="40" w:before="40"/>
            </w:pPr>
            <w:r/>
            <w:r>
              <w:rPr>
                <w:rFonts w:ascii="Times New Roman" w:hAnsi="Times New Roman" w:eastAsia="宋体"/>
                <w:b w:val="0"/>
                <w:i w:val="0"/>
                <w:sz w:val="20"/>
              </w:rPr>
              <w:t>互补问题求解</w:t>
            </w:r>
          </w:p>
        </w:tc>
        <w:tc>
          <w:tcPr>
            <w:tcW w:type="dxa" w:w="2835"/>
            <w:shd w:val="clear" w:color="auto" w:fill="F0F4F8"/>
          </w:tcPr>
          <w:p>
            <w:pPr>
              <w:spacing w:after="40" w:before="40"/>
            </w:pPr>
            <w:r/>
            <w:r>
              <w:rPr>
                <w:rFonts w:ascii="Times New Roman" w:hAnsi="Times New Roman" w:eastAsia="宋体"/>
                <w:b w:val="0"/>
                <w:i w:val="0"/>
                <w:sz w:val="20"/>
              </w:rPr>
              <w:t>成熟</w:t>
            </w:r>
          </w:p>
        </w:tc>
        <w:tc>
          <w:tcPr>
            <w:tcW w:type="dxa" w:w="2835"/>
            <w:shd w:val="clear" w:color="auto" w:fill="F0F4F8"/>
          </w:tcPr>
          <w:p>
            <w:pPr>
              <w:spacing w:after="40" w:before="40"/>
            </w:pPr>
            <w:r/>
            <w:r>
              <w:rPr>
                <w:rFonts w:ascii="Times New Roman" w:hAnsi="Times New Roman" w:eastAsia="宋体"/>
                <w:b w:val="0"/>
                <w:i w:val="0"/>
                <w:sz w:val="20"/>
              </w:rPr>
              <w:t>求解器成熟，大规模应用</w:t>
            </w:r>
          </w:p>
        </w:tc>
      </w:tr>
      <w:tr>
        <w:tc>
          <w:tcPr>
            <w:tcW w:type="dxa" w:w="2835"/>
          </w:tcPr>
          <w:p>
            <w:pPr>
              <w:spacing w:after="40" w:before="40"/>
            </w:pPr>
            <w:r/>
            <w:r>
              <w:rPr>
                <w:rFonts w:ascii="Times New Roman" w:hAnsi="Times New Roman" w:eastAsia="宋体"/>
                <w:b w:val="0"/>
                <w:i w:val="0"/>
                <w:sz w:val="20"/>
              </w:rPr>
              <w:t>鲁棒优化定价</w:t>
            </w:r>
          </w:p>
        </w:tc>
        <w:tc>
          <w:tcPr>
            <w:tcW w:type="dxa" w:w="2835"/>
          </w:tcPr>
          <w:p>
            <w:pPr>
              <w:spacing w:after="40" w:before="40"/>
            </w:pPr>
            <w:r/>
            <w:r>
              <w:rPr>
                <w:rFonts w:ascii="Times New Roman" w:hAnsi="Times New Roman" w:eastAsia="宋体"/>
                <w:b w:val="0"/>
                <w:i w:val="0"/>
                <w:sz w:val="20"/>
              </w:rPr>
              <w:t>增长期</w:t>
            </w:r>
          </w:p>
        </w:tc>
        <w:tc>
          <w:tcPr>
            <w:tcW w:type="dxa" w:w="2835"/>
          </w:tcPr>
          <w:p>
            <w:pPr>
              <w:spacing w:after="40" w:before="40"/>
            </w:pPr>
            <w:r/>
            <w:r>
              <w:rPr>
                <w:rFonts w:ascii="Times New Roman" w:hAnsi="Times New Roman" w:eastAsia="宋体"/>
                <w:b w:val="0"/>
                <w:i w:val="0"/>
                <w:sz w:val="20"/>
              </w:rPr>
              <w:t>理论成熟，试点应用中</w:t>
            </w:r>
          </w:p>
        </w:tc>
      </w:tr>
      <w:tr>
        <w:tc>
          <w:tcPr>
            <w:tcW w:type="dxa" w:w="2835"/>
            <w:shd w:val="clear" w:color="auto" w:fill="F0F4F8"/>
          </w:tcPr>
          <w:p>
            <w:pPr>
              <w:spacing w:after="40" w:before="40"/>
            </w:pPr>
            <w:r/>
            <w:r>
              <w:rPr>
                <w:rFonts w:ascii="Times New Roman" w:hAnsi="Times New Roman" w:eastAsia="宋体"/>
                <w:b w:val="0"/>
                <w:i w:val="0"/>
                <w:sz w:val="20"/>
              </w:rPr>
              <w:t>强化学习定价</w:t>
            </w:r>
          </w:p>
        </w:tc>
        <w:tc>
          <w:tcPr>
            <w:tcW w:type="dxa" w:w="2835"/>
            <w:shd w:val="clear" w:color="auto" w:fill="F0F4F8"/>
          </w:tcPr>
          <w:p>
            <w:pPr>
              <w:spacing w:after="40" w:before="40"/>
            </w:pPr>
            <w:r/>
            <w:r>
              <w:rPr>
                <w:rFonts w:ascii="Times New Roman" w:hAnsi="Times New Roman" w:eastAsia="宋体"/>
                <w:b w:val="0"/>
                <w:i w:val="0"/>
                <w:sz w:val="20"/>
              </w:rPr>
              <w:t>早期</w:t>
            </w:r>
          </w:p>
        </w:tc>
        <w:tc>
          <w:tcPr>
            <w:tcW w:type="dxa" w:w="2835"/>
            <w:shd w:val="clear" w:color="auto" w:fill="F0F4F8"/>
          </w:tcPr>
          <w:p>
            <w:pPr>
              <w:spacing w:after="40" w:before="40"/>
            </w:pPr>
            <w:r/>
            <w:r>
              <w:rPr>
                <w:rFonts w:ascii="Times New Roman" w:hAnsi="Times New Roman" w:eastAsia="宋体"/>
                <w:b w:val="0"/>
                <w:i w:val="0"/>
                <w:sz w:val="20"/>
              </w:rPr>
              <w:t>原型验证阶段</w:t>
            </w:r>
          </w:p>
        </w:tc>
      </w:tr>
      <w:tr>
        <w:tc>
          <w:tcPr>
            <w:tcW w:type="dxa" w:w="2835"/>
          </w:tcPr>
          <w:p>
            <w:pPr>
              <w:spacing w:after="40" w:before="40"/>
            </w:pPr>
            <w:r/>
            <w:r>
              <w:rPr>
                <w:rFonts w:ascii="Times New Roman" w:hAnsi="Times New Roman" w:eastAsia="宋体"/>
                <w:b w:val="0"/>
                <w:i w:val="0"/>
                <w:sz w:val="20"/>
              </w:rPr>
              <w:t>多能耦合定价</w:t>
            </w:r>
          </w:p>
        </w:tc>
        <w:tc>
          <w:tcPr>
            <w:tcW w:type="dxa" w:w="2835"/>
          </w:tcPr>
          <w:p>
            <w:pPr>
              <w:spacing w:after="40" w:before="40"/>
            </w:pPr>
            <w:r/>
            <w:r>
              <w:rPr>
                <w:rFonts w:ascii="Times New Roman" w:hAnsi="Times New Roman" w:eastAsia="宋体"/>
                <w:b w:val="0"/>
                <w:i w:val="0"/>
                <w:sz w:val="20"/>
              </w:rPr>
              <w:t>早期</w:t>
            </w:r>
          </w:p>
        </w:tc>
        <w:tc>
          <w:tcPr>
            <w:tcW w:type="dxa" w:w="2835"/>
          </w:tcPr>
          <w:p>
            <w:pPr>
              <w:spacing w:after="40" w:before="40"/>
            </w:pPr>
            <w:r/>
            <w:r>
              <w:rPr>
                <w:rFonts w:ascii="Times New Roman" w:hAnsi="Times New Roman" w:eastAsia="宋体"/>
                <w:b w:val="0"/>
                <w:i w:val="0"/>
                <w:sz w:val="20"/>
              </w:rPr>
              <w:t>概念验证，标准缺失</w:t>
            </w:r>
          </w:p>
        </w:tc>
      </w:tr>
      <w:tr>
        <w:tc>
          <w:tcPr>
            <w:tcW w:type="dxa" w:w="2835"/>
            <w:shd w:val="clear" w:color="auto" w:fill="F0F4F8"/>
          </w:tcPr>
          <w:p>
            <w:pPr>
              <w:spacing w:after="40" w:before="40"/>
            </w:pPr>
            <w:r/>
            <w:r>
              <w:rPr>
                <w:rFonts w:ascii="Times New Roman" w:hAnsi="Times New Roman" w:eastAsia="宋体"/>
                <w:b w:val="0"/>
                <w:i w:val="0"/>
                <w:sz w:val="20"/>
              </w:rPr>
              <w:t>碳-电耦合定价</w:t>
            </w:r>
          </w:p>
        </w:tc>
        <w:tc>
          <w:tcPr>
            <w:tcW w:type="dxa" w:w="2835"/>
            <w:shd w:val="clear" w:color="auto" w:fill="F0F4F8"/>
          </w:tcPr>
          <w:p>
            <w:pPr>
              <w:spacing w:after="40" w:before="40"/>
            </w:pPr>
            <w:r/>
            <w:r>
              <w:rPr>
                <w:rFonts w:ascii="Times New Roman" w:hAnsi="Times New Roman" w:eastAsia="宋体"/>
                <w:b w:val="0"/>
                <w:i w:val="0"/>
                <w:sz w:val="20"/>
              </w:rPr>
              <w:t>起步</w:t>
            </w:r>
          </w:p>
        </w:tc>
        <w:tc>
          <w:tcPr>
            <w:tcW w:type="dxa" w:w="2835"/>
            <w:shd w:val="clear" w:color="auto" w:fill="F0F4F8"/>
          </w:tcPr>
          <w:p>
            <w:pPr>
              <w:spacing w:after="40" w:before="40"/>
            </w:pPr>
            <w:r/>
            <w:r>
              <w:rPr>
                <w:rFonts w:ascii="Times New Roman" w:hAnsi="Times New Roman" w:eastAsia="宋体"/>
                <w:b w:val="0"/>
                <w:i w:val="0"/>
                <w:sz w:val="20"/>
              </w:rPr>
              <w:t>政策驱动，机制探索</w:t>
            </w:r>
          </w:p>
        </w:tc>
      </w:tr>
    </w:tbl>
    <w:p>
      <w:pPr>
        <w:pStyle w:val="Heading3"/>
        <w:spacing w:before="160" w:after="60"/>
      </w:pPr>
      <w:r>
        <w:rPr>
          <w:rFonts w:ascii="Times New Roman" w:hAnsi="Times New Roman" w:eastAsia="黑体"/>
          <w:b/>
          <w:i w:val="0"/>
          <w:sz w:val="24"/>
        </w:rPr>
        <w:t>对中国实时定价发展的建议</w:t>
      </w:r>
    </w:p>
    <w:p>
      <w:pPr>
        <w:spacing w:line="360" w:lineRule="auto" w:after="0"/>
        <w:ind w:firstLine="425"/>
      </w:pPr>
      <w:r>
        <w:rPr>
          <w:rFonts w:ascii="Times New Roman" w:hAnsi="Times New Roman" w:eastAsia="宋体"/>
          <w:b w:val="0"/>
          <w:i w:val="0"/>
          <w:sz w:val="22"/>
        </w:rPr>
        <w:t>基于国际经验和中国实际，对中国实时定价发展提出以下具体建议：</w:t>
      </w:r>
    </w:p>
    <w:p>
      <w:pPr>
        <w:spacing w:line="360" w:lineRule="auto" w:after="0"/>
        <w:ind w:firstLine="425"/>
      </w:pPr>
      <w:r>
        <w:rPr>
          <w:rFonts w:ascii="Times New Roman" w:hAnsi="Times New Roman" w:eastAsia="宋体"/>
          <w:b w:val="0"/>
          <w:i w:val="0"/>
          <w:sz w:val="22"/>
        </w:rPr>
        <w:t>第一，加快现货市场建设。现货市场是实时定价的基础平台。中国应加快省级现货市场从试运行向正式运行过渡，完善市场规则和结算机制。跨省现货市场建设应同步推进，为全国统一电力市场奠定基础。</w:t>
      </w:r>
    </w:p>
    <w:p>
      <w:pPr>
        <w:spacing w:line="360" w:lineRule="auto" w:after="0"/>
        <w:ind w:firstLine="425"/>
      </w:pPr>
      <w:r>
        <w:rPr>
          <w:rFonts w:ascii="Times New Roman" w:hAnsi="Times New Roman" w:eastAsia="宋体"/>
          <w:b w:val="0"/>
          <w:i w:val="0"/>
          <w:sz w:val="22"/>
        </w:rPr>
        <w:t>第二，推进智能电表全面部署。智能电表是实时定价的数据基础。中国应加快智能电表的升级换代（从1.0到2.0），支持更短间隔（5分钟）的数据采集和双向通信。重点解决老旧小区和农村地区的智能电表覆盖问题。</w:t>
      </w:r>
    </w:p>
    <w:p>
      <w:pPr>
        <w:spacing w:line="360" w:lineRule="auto" w:after="0"/>
        <w:ind w:firstLine="425"/>
      </w:pPr>
      <w:r>
        <w:rPr>
          <w:rFonts w:ascii="Times New Roman" w:hAnsi="Times New Roman" w:eastAsia="宋体"/>
          <w:b w:val="0"/>
          <w:i w:val="0"/>
          <w:sz w:val="22"/>
        </w:rPr>
        <w:t>第三，建立需求响应市场机制。需求响应是实时定价的核心价值实现途径。应建立需求响应参与批发市场的规则框架，明确聚合商的注册、运营和结算流程。在试点城市开展居民实时电价试点，积累用户行为数据。</w:t>
      </w:r>
    </w:p>
    <w:p>
      <w:pPr>
        <w:spacing w:line="360" w:lineRule="auto" w:after="0"/>
        <w:ind w:firstLine="425"/>
      </w:pPr>
      <w:r>
        <w:rPr>
          <w:rFonts w:ascii="Times New Roman" w:hAnsi="Times New Roman" w:eastAsia="宋体"/>
          <w:b w:val="0"/>
          <w:i w:val="0"/>
          <w:sz w:val="22"/>
        </w:rPr>
        <w:t>第四，加强数据安全和隐私保护。实时定价涉及大量用户用电数据，需要建立完善的数据安全法规和隐私保护机制。推广差分隐私、联邦学习等隐私保护技术。建立数据分类分级管理制度，明确不同数据的共享和使用规则。</w:t>
      </w:r>
    </w:p>
    <w:p>
      <w:pPr>
        <w:spacing w:line="360" w:lineRule="auto" w:after="0"/>
        <w:ind w:firstLine="425"/>
      </w:pPr>
      <w:r>
        <w:rPr>
          <w:rFonts w:ascii="Times New Roman" w:hAnsi="Times New Roman" w:eastAsia="宋体"/>
          <w:b w:val="0"/>
          <w:i w:val="0"/>
          <w:sz w:val="22"/>
        </w:rPr>
        <w:t>第五，培养复合型人才。实时定价需要电力系统、优化理论、计算机科学和经济学的跨学科知识。高校应设立相关交叉学科培养项目，企业应加强在职培训和人才引进。</w:t>
      </w:r>
    </w:p>
    <w:p>
      <w:pPr>
        <w:pStyle w:val="Heading3"/>
        <w:spacing w:before="160" w:after="60"/>
      </w:pPr>
      <w:r>
        <w:rPr>
          <w:rFonts w:ascii="Times New Roman" w:hAnsi="Times New Roman" w:eastAsia="黑体"/>
          <w:b/>
          <w:i w:val="0"/>
          <w:sz w:val="24"/>
        </w:rPr>
        <w:t>结语</w:t>
      </w:r>
    </w:p>
    <w:p>
      <w:pPr>
        <w:spacing w:line="360" w:lineRule="auto" w:after="0"/>
        <w:ind w:firstLine="425"/>
      </w:pPr>
      <w:r>
        <w:rPr>
          <w:rFonts w:ascii="Times New Roman" w:hAnsi="Times New Roman" w:eastAsia="宋体"/>
          <w:b w:val="0"/>
          <w:i w:val="0"/>
          <w:sz w:val="22"/>
        </w:rPr>
        <w:t>智能电网实时定价是一个充满活力和挑战的研究领域。本书从理论基础、数学建模、算法实现、系统架构、实践案例和未来展望等多个维度，对这一领域进行了系统而深入的综述。</w:t>
      </w:r>
    </w:p>
    <w:p>
      <w:pPr>
        <w:spacing w:line="360" w:lineRule="auto" w:after="0"/>
        <w:ind w:firstLine="425"/>
      </w:pPr>
      <w:r>
        <w:rPr>
          <w:rFonts w:ascii="Times New Roman" w:hAnsi="Times New Roman" w:eastAsia="宋体"/>
          <w:b w:val="0"/>
          <w:i w:val="0"/>
          <w:sz w:val="22"/>
        </w:rPr>
        <w:t>实时定价不仅是一个技术问题，更是一个涉及经济、社会、政策和环境的系统工程。它的成功实施需要技术创新、市场设计、政策支持和社会共识的协同推进。随着能源转型的深入和智能电网的发展，实时定价将在构建清洁、高效、安全、公平的现代能源体系中发挥越来越重要的作用。</w:t>
      </w:r>
    </w:p>
    <w:p>
      <w:pPr>
        <w:spacing w:line="360" w:lineRule="auto" w:after="0"/>
        <w:ind w:firstLine="425"/>
      </w:pPr>
      <w:r>
        <w:rPr>
          <w:rFonts w:ascii="Times New Roman" w:hAnsi="Times New Roman" w:eastAsia="宋体"/>
          <w:b w:val="0"/>
          <w:i w:val="0"/>
          <w:sz w:val="22"/>
        </w:rPr>
        <w:t>本书的研究成果希望能够为学术界提供理论参考，为产业界提供实践指导，为政策制定者提供决策依据。智能电网实时定价的研究和应用还处于快速发展阶段，新的理论、方法和应用场景不断涌现。我们期待更多的研究者和实践者加入这一领域，共同推动实时定价技术的进步和应用，为可持续能源未来贡献力量。</w:t>
      </w:r>
    </w:p>
    <w:p>
      <w:pPr>
        <w:pStyle w:val="Heading3"/>
        <w:spacing w:before="160" w:after="60"/>
      </w:pPr>
      <w:r>
        <w:rPr>
          <w:rFonts w:ascii="Times New Roman" w:hAnsi="Times New Roman" w:eastAsia="黑体"/>
          <w:b/>
          <w:i w:val="0"/>
          <w:sz w:val="24"/>
        </w:rPr>
        <w:t>补充讨论</w:t>
      </w:r>
    </w:p>
    <w:p>
      <w:pPr>
        <w:spacing w:line="360" w:lineRule="auto" w:after="0"/>
        <w:ind w:firstLine="425"/>
      </w:pPr>
      <w:r>
        <w:rPr>
          <w:rFonts w:ascii="Times New Roman" w:hAnsi="Times New Roman" w:eastAsia="宋体"/>
          <w:b w:val="0"/>
          <w:i w:val="0"/>
          <w:sz w:val="22"/>
        </w:rPr>
        <w:t>此外，Strbac G. Demand side management: Benefits and challenges[J]. Energy Policy, 2008, 36(12): 4419-4426。这些研究为本章的理论框架提供了重要的方法论支撑</w:t>
      </w:r>
      <w:r>
        <w:rPr>
          <w:rFonts w:ascii="Times New Roman" w:hAnsi="Times New Roman" w:eastAsia="Times New Roman"/>
          <w:b w:val="0"/>
          <w:i w:val="0"/>
          <w:sz w:val="18"/>
          <w:vertAlign w:val="superscript"/>
        </w:rPr>
        <w:t>[5]</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此外，Lannoye E, Flynn D, O'Malley M. Assessment of power system flexibility[J]. IEEE Transactions on Powe。这些研究为本章的理论框架提供了重要的方法论支撑</w:t>
      </w:r>
      <w:r>
        <w:rPr>
          <w:rFonts w:ascii="Times New Roman" w:hAnsi="Times New Roman" w:eastAsia="Times New Roman"/>
          <w:b w:val="0"/>
          <w:i w:val="0"/>
          <w:sz w:val="18"/>
          <w:vertAlign w:val="superscript"/>
        </w:rPr>
        <w:t>[6]</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此外，International Energy Agency. Digitalisation and Energy[R]. IEA, 2023.。这些研究为本章的理论框架提供了重要的方法论支撑</w:t>
      </w:r>
      <w:r>
        <w:rPr>
          <w:rFonts w:ascii="Times New Roman" w:hAnsi="Times New Roman" w:eastAsia="Times New Roman"/>
          <w:b w:val="0"/>
          <w:i w:val="0"/>
          <w:sz w:val="18"/>
          <w:vertAlign w:val="superscript"/>
        </w:rPr>
        <w:t>[7]</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此外，National Development and Reform Commission. China's Power Market Reform Roadmap[Z]. 2022.。这些研究为本章的理论框架提供了重要的方法论支撑</w:t>
      </w:r>
      <w:r>
        <w:rPr>
          <w:rFonts w:ascii="Times New Roman" w:hAnsi="Times New Roman" w:eastAsia="Times New Roman"/>
          <w:b w:val="0"/>
          <w:i w:val="0"/>
          <w:sz w:val="18"/>
          <w:vertAlign w:val="superscript"/>
        </w:rPr>
        <w:t>[8]</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此外，中国电力企业联合会. 中国电力行业发展报告2024[R]. 2024.。这些研究为本章的理论框架提供了重要的方法论支撑</w:t>
      </w:r>
      <w:r>
        <w:rPr>
          <w:rFonts w:ascii="Times New Roman" w:hAnsi="Times New Roman" w:eastAsia="Times New Roman"/>
          <w:b w:val="0"/>
          <w:i w:val="0"/>
          <w:sz w:val="18"/>
          <w:vertAlign w:val="superscript"/>
        </w:rPr>
        <w:t>[9]</w:t>
      </w:r>
      <w:r>
        <w:rPr>
          <w:rFonts w:ascii="Times New Roman" w:hAnsi="Times New Roman" w:eastAsia="宋体"/>
          <w:b w:val="0"/>
          <w:i w:val="0"/>
          <w:sz w:val="22"/>
        </w:rPr>
        <w:t>。</w:t>
      </w:r>
    </w:p>
    <w:p>
      <w:pPr>
        <w:spacing w:line="360" w:lineRule="auto" w:after="0"/>
        <w:ind w:firstLine="425"/>
      </w:pPr>
      <w:r>
        <w:rPr>
          <w:rFonts w:ascii="Times New Roman" w:hAnsi="Times New Roman" w:eastAsia="宋体"/>
          <w:b w:val="0"/>
          <w:i w:val="0"/>
          <w:sz w:val="22"/>
        </w:rPr>
        <w:t>此外，国家能源局. 关于加快建设新型电力系统的指导意见[Z]. 2023.。这些研究为本章的理论框架提供了重要的方法论支撑</w:t>
      </w:r>
      <w:r>
        <w:rPr>
          <w:rFonts w:ascii="Times New Roman" w:hAnsi="Times New Roman" w:eastAsia="Times New Roman"/>
          <w:b w:val="0"/>
          <w:i w:val="0"/>
          <w:sz w:val="18"/>
          <w:vertAlign w:val="superscript"/>
        </w:rPr>
        <w:t>[10]</w:t>
      </w:r>
      <w:r>
        <w:rPr>
          <w:rFonts w:ascii="Times New Roman" w:hAnsi="Times New Roman" w:eastAsia="宋体"/>
          <w:b w:val="0"/>
          <w:i w:val="0"/>
          <w:sz w:val="22"/>
        </w:rPr>
        <w:t>。</w:t>
      </w:r>
    </w:p>
    <w:p>
      <w:pPr>
        <w:pStyle w:val="Heading3"/>
        <w:spacing w:before="160" w:after="60"/>
      </w:pPr>
      <w:r>
        <w:rPr>
          <w:rFonts w:ascii="Times New Roman" w:hAnsi="Times New Roman" w:eastAsia="黑体"/>
          <w:b/>
          <w:i w:val="0"/>
          <w:sz w:val="24"/>
        </w:rPr>
        <w:t>12.5.1 人工智能驱动的自适应定价前沿</w:t>
      </w:r>
    </w:p>
    <w:p>
      <w:pPr>
        <w:spacing w:line="360" w:lineRule="auto" w:after="0"/>
        <w:ind w:firstLine="425"/>
      </w:pPr>
      <w:r>
        <w:rPr>
          <w:rFonts w:ascii="Times New Roman" w:hAnsi="Times New Roman" w:eastAsia="宋体"/>
          <w:b w:val="0"/>
          <w:i w:val="0"/>
          <w:sz w:val="22"/>
        </w:rPr>
        <w:t>人工智能技术正在深刻改变实时定价的方法论。从早期的规则驱动到当前的模型驱动，再到未来的数据驱动和知识驱动，定价策略的智能化水平不断提升。</w:t>
      </w:r>
    </w:p>
    <w:p>
      <w:pPr>
        <w:spacing w:line="360" w:lineRule="auto" w:after="0"/>
        <w:ind w:firstLine="425"/>
      </w:pPr>
      <w:r>
        <w:rPr>
          <w:rFonts w:ascii="Times New Roman" w:hAnsi="Times New Roman" w:eastAsia="宋体"/>
          <w:b/>
          <w:i w:val="0"/>
          <w:sz w:val="22"/>
        </w:rPr>
        <w:t>大语言模型增强定价</w:t>
      </w:r>
      <w:r>
        <w:rPr>
          <w:rFonts w:ascii="Times New Roman" w:hAnsi="Times New Roman" w:eastAsia="宋体"/>
          <w:b w:val="0"/>
          <w:i w:val="0"/>
          <w:sz w:val="22"/>
        </w:rPr>
        <w:t>：GPT-4等大语言模型在实时定价中的应用尚处于探索阶段，但已展现出独特潜力。LLM可以从海量政策文件、市场报告和技术文献中提取隐含的市场规律，辅助定价决策。例如，LLM可分析天气预报文本与负荷变化的语义关联，提供超越传统数值模型的预测洞察。LLM还可作为自然语言接口，让非技术背景的市场参与者理解定价逻辑。</w:t>
      </w:r>
    </w:p>
    <w:p>
      <w:pPr>
        <w:spacing w:line="360" w:lineRule="auto" w:after="0"/>
        <w:ind w:firstLine="425"/>
      </w:pPr>
      <w:r>
        <w:rPr>
          <w:rFonts w:ascii="Times New Roman" w:hAnsi="Times New Roman" w:eastAsia="宋体"/>
          <w:b/>
          <w:i w:val="0"/>
          <w:sz w:val="22"/>
        </w:rPr>
        <w:t>多模态融合定价</w:t>
      </w:r>
      <w:r>
        <w:rPr>
          <w:rFonts w:ascii="Times New Roman" w:hAnsi="Times New Roman" w:eastAsia="宋体"/>
          <w:b w:val="0"/>
          <w:i w:val="0"/>
          <w:sz w:val="22"/>
        </w:rPr>
        <w:t>：将数值数据（负荷、电价、气象）、文本数据（政策公告、市场新闻）和图像数据（卫星云图、红外热像）融合，构建多模态定价模型。多模态模型比单一数据源模型具有更强的预测能力和鲁棒性。Vision Transformer和跨模态注意力机制为多模态融合提供了技术手段。</w:t>
      </w:r>
    </w:p>
    <w:p>
      <w:pPr>
        <w:spacing w:line="360" w:lineRule="auto" w:after="0"/>
        <w:ind w:firstLine="425"/>
      </w:pPr>
      <w:r>
        <w:rPr>
          <w:rFonts w:ascii="Times New Roman" w:hAnsi="Times New Roman" w:eastAsia="宋体"/>
          <w:b/>
          <w:i w:val="0"/>
          <w:sz w:val="22"/>
        </w:rPr>
        <w:t>联邦元学习</w:t>
      </w:r>
      <w:r>
        <w:rPr>
          <w:rFonts w:ascii="Times New Roman" w:hAnsi="Times New Roman" w:eastAsia="宋体"/>
          <w:b w:val="0"/>
          <w:i w:val="0"/>
          <w:sz w:val="22"/>
        </w:rPr>
        <w:t>：结合联邦学习和元学习，使定价模型能够快速适应新用户或新场景。元学习训练一个"学会学习"的模型——在新用户加入时，仅需少量数据即可快速适应该用户的行为特征。联邦元学习在保护隐私的同时实现了模型的快速泛化。</w:t>
      </w:r>
    </w:p>
    <w:p>
      <w:pPr>
        <w:spacing w:line="360" w:lineRule="auto" w:after="0"/>
        <w:ind w:firstLine="425"/>
      </w:pPr>
      <w:r>
        <w:rPr>
          <w:rFonts w:ascii="Times New Roman" w:hAnsi="Times New Roman" w:eastAsia="宋体"/>
          <w:b/>
          <w:i w:val="0"/>
          <w:sz w:val="22"/>
        </w:rPr>
        <w:t>因果推断定价</w:t>
      </w:r>
      <w:r>
        <w:rPr>
          <w:rFonts w:ascii="Times New Roman" w:hAnsi="Times New Roman" w:eastAsia="宋体"/>
          <w:b w:val="0"/>
          <w:i w:val="0"/>
          <w:sz w:val="22"/>
        </w:rPr>
        <w:t>：传统定价模型基于相关性分析，而因果推断方法可识别价格与需求之间的因果关系。因果推断可避免"混淆偏差"——例如，高温同时导致负荷增加和电价升高，但负荷增加并不"因为"电价升高。因果定价模型通过反事实分析（"如果价格降低10%，负荷会如何变化？"）提供更准确的决策依据。</w:t>
      </w:r>
    </w:p>
    <w:p>
      <w:pPr>
        <w:pStyle w:val="Heading3"/>
        <w:spacing w:before="160" w:after="60"/>
      </w:pPr>
      <w:r>
        <w:rPr>
          <w:rFonts w:ascii="Times New Roman" w:hAnsi="Times New Roman" w:eastAsia="黑体"/>
          <w:b/>
          <w:i w:val="0"/>
          <w:sz w:val="24"/>
        </w:rPr>
        <w:t>12.5.2 实时定价的标准化与互操作性</w:t>
      </w:r>
    </w:p>
    <w:p>
      <w:pPr>
        <w:spacing w:line="360" w:lineRule="auto" w:after="0"/>
        <w:ind w:firstLine="425"/>
      </w:pPr>
      <w:r>
        <w:rPr>
          <w:rFonts w:ascii="Times New Roman" w:hAnsi="Times New Roman" w:eastAsia="宋体"/>
          <w:b w:val="0"/>
          <w:i w:val="0"/>
          <w:sz w:val="22"/>
        </w:rPr>
        <w:t>实时定价系统的标准化是实现规模化部署的关键。当前，不同厂商和不同地区的定价系统之间存在互操作性障碍——数据格式不统一、通信协议不兼容、接口规范不一致。</w:t>
      </w:r>
    </w:p>
    <w:p>
      <w:pPr>
        <w:spacing w:line="360" w:lineRule="auto" w:after="0"/>
        <w:ind w:firstLine="425"/>
      </w:pPr>
      <w:r>
        <w:rPr>
          <w:rFonts w:ascii="Times New Roman" w:hAnsi="Times New Roman" w:eastAsia="宋体"/>
          <w:b/>
          <w:i w:val="0"/>
          <w:sz w:val="22"/>
        </w:rPr>
        <w:t>数据标准化</w:t>
      </w:r>
      <w:r>
        <w:rPr>
          <w:rFonts w:ascii="Times New Roman" w:hAnsi="Times New Roman" w:eastAsia="宋体"/>
          <w:b w:val="0"/>
          <w:i w:val="0"/>
          <w:sz w:val="22"/>
        </w:rPr>
        <w:t>：IEC CIM（Common Information Model）定义了电力系统数据的标准模型，覆盖设备、量测、市场和计划等域。将实时定价数据纳入CIM框架可实现跨系统数据交换。OpenADR标准定义了DR事件和价格信号的标准格式。OPF（Open Pricing Framework）倡议正在推动定价算法接口的标准化。</w:t>
      </w:r>
    </w:p>
    <w:p>
      <w:pPr>
        <w:spacing w:line="360" w:lineRule="auto" w:after="0"/>
        <w:ind w:firstLine="425"/>
      </w:pPr>
      <w:r>
        <w:rPr>
          <w:rFonts w:ascii="Times New Roman" w:hAnsi="Times New Roman" w:eastAsia="宋体"/>
          <w:b/>
          <w:i w:val="0"/>
          <w:sz w:val="22"/>
        </w:rPr>
        <w:t>通信标准化</w:t>
      </w:r>
      <w:r>
        <w:rPr>
          <w:rFonts w:ascii="Times New Roman" w:hAnsi="Times New Roman" w:eastAsia="宋体"/>
          <w:b w:val="0"/>
          <w:i w:val="0"/>
          <w:sz w:val="22"/>
        </w:rPr>
        <w:t>：IEEE 2030.5（SEP 2.0）定义了智能能源通信协议，支持价格信号和DR事件的传输。IEC 61850定义了变电站通信标准。在多能源系统中，OPC UA（统一架构）提供了跨能源类型的通信框架。</w:t>
      </w:r>
    </w:p>
    <w:p>
      <w:pPr>
        <w:spacing w:line="360" w:lineRule="auto" w:after="0"/>
        <w:ind w:firstLine="425"/>
      </w:pPr>
      <w:r>
        <w:rPr>
          <w:rFonts w:ascii="Times New Roman" w:hAnsi="Times New Roman" w:eastAsia="宋体"/>
          <w:b/>
          <w:i w:val="0"/>
          <w:sz w:val="22"/>
        </w:rPr>
        <w:t>API标准化</w:t>
      </w:r>
      <w:r>
        <w:rPr>
          <w:rFonts w:ascii="Times New Roman" w:hAnsi="Times New Roman" w:eastAsia="宋体"/>
          <w:b w:val="0"/>
          <w:i w:val="0"/>
          <w:sz w:val="22"/>
        </w:rPr>
        <w:t>：RESTful API和GraphQL等Web API技术为定价系统的服务化提供了基础。标准化的API使不同定价算法可以作为微服务部署和调用，提高了系统的灵活性和可扩展性。OpenAPI规范（原Swagger）定义了API描述格式，支持自动文档生成和接口测试。</w:t>
      </w:r>
    </w:p>
    <w:p>
      <w:pPr>
        <w:spacing w:line="360" w:lineRule="auto" w:after="0"/>
        <w:ind w:firstLine="425"/>
      </w:pPr>
      <w:r>
        <w:rPr>
          <w:rFonts w:ascii="Times New Roman" w:hAnsi="Times New Roman" w:eastAsia="宋体"/>
          <w:b w:val="0"/>
          <w:i w:val="0"/>
          <w:sz w:val="22"/>
        </w:rPr>
        <w:t>标准化的推进需要产业界、学术界和监管机构的协同。IEEE、IEC和OpenADR联盟等标准组织在技术标准制定中发挥核心作用，而FERC和各国能源监管机构在政策标准制定中起推动作用。中国的电力市场标准化工作由国家能源局和电力企业联合会牵头，正在逐步建立覆盖实时定价各环节的标准体系。</w:t>
      </w:r>
    </w:p>
    <w:p>
      <w:pPr>
        <w:pStyle w:val="Heading3"/>
        <w:spacing w:before="160" w:after="60"/>
      </w:pPr>
      <w:r>
        <w:rPr>
          <w:rFonts w:ascii="Times New Roman" w:hAnsi="Times New Roman" w:eastAsia="黑体"/>
          <w:b/>
          <w:i w:val="0"/>
          <w:sz w:val="24"/>
        </w:rPr>
        <w:t>12.5.3 实时定价的全球治理与协调</w:t>
      </w:r>
    </w:p>
    <w:p>
      <w:pPr>
        <w:spacing w:line="360" w:lineRule="auto" w:after="0"/>
        <w:ind w:firstLine="425"/>
      </w:pPr>
      <w:r>
        <w:rPr>
          <w:rFonts w:ascii="Times New Roman" w:hAnsi="Times New Roman" w:eastAsia="宋体"/>
          <w:b w:val="0"/>
          <w:i w:val="0"/>
          <w:sz w:val="22"/>
        </w:rPr>
        <w:t>随着电力市场的互联互通和可再生能源的跨国交易，实时定价的全球治理与协调日益重要。不同国家和地区的电价机制、碳定价政策和市场规则存在差异，这种差异可能导致市场扭曲和效率损失。</w:t>
      </w:r>
    </w:p>
    <w:p>
      <w:pPr>
        <w:spacing w:line="360" w:lineRule="auto" w:after="0"/>
        <w:ind w:firstLine="425"/>
      </w:pPr>
      <w:r>
        <w:rPr>
          <w:rFonts w:ascii="Times New Roman" w:hAnsi="Times New Roman" w:eastAsia="宋体"/>
          <w:b/>
          <w:i w:val="0"/>
          <w:sz w:val="22"/>
        </w:rPr>
        <w:t>跨国电力交易定价</w:t>
      </w:r>
      <w:r>
        <w:rPr>
          <w:rFonts w:ascii="Times New Roman" w:hAnsi="Times New Roman" w:eastAsia="宋体"/>
          <w:b w:val="0"/>
          <w:i w:val="0"/>
          <w:sz w:val="22"/>
        </w:rPr>
        <w:t>：当电力跨越国境交易时，两国的电价机制差异可能导致套利行为和价格扭曲。例如，A国实施实时定价而B国实施固定电价，在A国电价低于B国时大量电力从A国出口到B国，可能导致A国国内供电紧张。跨国定价协调需要建立统一的价格信号传输机制和收益分配规则。欧洲的日内耦合市场（Intraday Coupling）通过统一的EUPHEMIA算法实现了多国电价的协调出清。</w:t>
      </w:r>
    </w:p>
    <w:p>
      <w:pPr>
        <w:spacing w:line="360" w:lineRule="auto" w:after="0"/>
        <w:ind w:firstLine="425"/>
      </w:pPr>
      <w:r>
        <w:rPr>
          <w:rFonts w:ascii="Times New Roman" w:hAnsi="Times New Roman" w:eastAsia="宋体"/>
          <w:b/>
          <w:i w:val="0"/>
          <w:sz w:val="22"/>
        </w:rPr>
        <w:t>碳边境调节机制（CBAM）</w:t>
      </w:r>
      <w:r>
        <w:rPr>
          <w:rFonts w:ascii="Times New Roman" w:hAnsi="Times New Roman" w:eastAsia="宋体"/>
          <w:b w:val="0"/>
          <w:i w:val="0"/>
          <w:sz w:val="22"/>
        </w:rPr>
        <w:t>：欧盟的碳边境调节机制于2023年试运行，对进口产品征收等同于欧盟碳价的碳关税。CBAM对电力出口有直接影响——向欧盟出口电力的国家需要为其电力中的碳排放支付碳关税。这促使电力出口国建立与欧盟对接的碳定价机制。中国正在加快全国碳市场建设，以应对CBAM带来的贸易影响。</w:t>
      </w:r>
    </w:p>
    <w:p>
      <w:pPr>
        <w:spacing w:line="360" w:lineRule="auto" w:after="0"/>
        <w:ind w:firstLine="425"/>
      </w:pPr>
      <w:r>
        <w:rPr>
          <w:rFonts w:ascii="Times New Roman" w:hAnsi="Times New Roman" w:eastAsia="宋体"/>
          <w:b/>
          <w:i w:val="0"/>
          <w:sz w:val="22"/>
        </w:rPr>
        <w:t>国际标准协调</w:t>
      </w:r>
      <w:r>
        <w:rPr>
          <w:rFonts w:ascii="Times New Roman" w:hAnsi="Times New Roman" w:eastAsia="宋体"/>
          <w:b w:val="0"/>
          <w:i w:val="0"/>
          <w:sz w:val="22"/>
        </w:rPr>
        <w:t>：IEC、IEEE和ISO等国际标准组织正在推动实时定价相关标准的国际协调。IEC TC57（电力系统管理及其信息交换）正在制定跨系统数据交换标准。OpenADR联盟与欧盟的ETP Smart Grids合作推进ADR标准的国际互认。这些标准化工作为全球实时定价系统的互操作性奠定了基础。</w:t>
      </w:r>
    </w:p>
    <w:p>
      <w:pPr>
        <w:spacing w:line="360" w:lineRule="auto" w:after="0"/>
        <w:ind w:firstLine="425"/>
      </w:pPr>
      <w:r>
        <w:rPr>
          <w:rFonts w:ascii="Times New Roman" w:hAnsi="Times New Roman" w:eastAsia="宋体"/>
          <w:b/>
          <w:i w:val="0"/>
          <w:sz w:val="22"/>
        </w:rPr>
        <w:t>气候政策与定价协同</w:t>
      </w:r>
      <w:r>
        <w:rPr>
          <w:rFonts w:ascii="Times New Roman" w:hAnsi="Times New Roman" w:eastAsia="宋体"/>
          <w:b w:val="0"/>
          <w:i w:val="0"/>
          <w:sz w:val="22"/>
        </w:rPr>
        <w:t>：《巴黎协定》框架下的国家自主贡献（NDC）目标要求各国在电力部门实施减排措施。实时定价与碳交易的结合是实现电力部门减排的有效手段。国际能源署（IEA）建议各国在NDC中明确电力市场改革和碳定价路线图，并通过国际气候融资支持发展中国家建立实时定价基础设施。</w:t>
      </w:r>
    </w:p>
    <w:p>
      <w:pPr>
        <w:spacing w:line="360" w:lineRule="auto" w:after="0"/>
        <w:ind w:firstLine="425"/>
      </w:pPr>
      <w:r>
        <w:rPr>
          <w:rFonts w:ascii="Times New Roman" w:hAnsi="Times New Roman" w:eastAsia="宋体"/>
          <w:b w:val="0"/>
          <w:i w:val="0"/>
          <w:sz w:val="22"/>
        </w:rPr>
        <w:t>全球范围内，实时定价的部署进度差异显著。发达国家（OECD）中已有超过60%的电力市场实施了某种形式的实时定价，而发展中国家这一比例不到20%。缩小这一差距需要技术转移、能力建设和资金支持的多边合作。世界银行和亚洲开发银行等国际金融机构正在将实时定价基础设施建设纳入电力部门贷款项目的优先领域。</w:t>
      </w:r>
    </w:p>
    <w:p>
      <w:pPr>
        <w:pStyle w:val="Heading2"/>
        <w:spacing w:before="240" w:after="80"/>
      </w:pPr>
      <w:r>
        <w:rPr>
          <w:rFonts w:ascii="Times New Roman" w:hAnsi="Times New Roman" w:eastAsia="黑体"/>
          <w:b/>
          <w:i w:val="0"/>
          <w:sz w:val="28"/>
        </w:rPr>
        <w:t>参考文献</w:t>
      </w:r>
    </w:p>
    <w:p>
      <w:pPr>
        <w:spacing w:after="40" w:line="276" w:lineRule="auto"/>
        <w:ind w:left="425" w:hanging="425"/>
      </w:pPr>
      <w:r>
        <w:rPr>
          <w:rFonts w:ascii="Times New Roman" w:hAnsi="Times New Roman" w:eastAsia="宋体"/>
          <w:b w:val="0"/>
          <w:i w:val="0"/>
          <w:sz w:val="20"/>
        </w:rPr>
        <w:t>[1] 王蓓蓓, 李扬, 高蓉, 等. 智能电表数据分析及应用综述研究[J]. 电力系统保护与控制, 2015, 43(14): 138-147.</w:t>
      </w:r>
    </w:p>
    <w:p>
      <w:pPr>
        <w:spacing w:after="40" w:line="276" w:lineRule="auto"/>
        <w:ind w:left="425" w:hanging="425"/>
      </w:pPr>
      <w:r>
        <w:rPr>
          <w:rFonts w:ascii="Times New Roman" w:hAnsi="Times New Roman" w:eastAsia="宋体"/>
          <w:b w:val="0"/>
          <w:i w:val="0"/>
          <w:sz w:val="20"/>
        </w:rPr>
        <w:t>[2] 代业明, 等. 具有电力需求预测更新的智能电网实时定价机制[J]. 电力系统保护与控制, 2018, 46(6): 28-35.</w:t>
      </w:r>
    </w:p>
    <w:p>
      <w:pPr>
        <w:spacing w:after="40" w:line="276" w:lineRule="auto"/>
        <w:ind w:left="425" w:hanging="425"/>
      </w:pPr>
      <w:r>
        <w:rPr>
          <w:rFonts w:ascii="Times New Roman" w:hAnsi="Times New Roman" w:eastAsia="宋体"/>
          <w:b w:val="0"/>
          <w:i w:val="0"/>
          <w:sz w:val="20"/>
        </w:rPr>
        <w:t>[3] 党亚峥, 高岩, 朱红波. 基于Haar小波与ARIMAX模型进行短期负荷预测[J]. 电力系统保护与控制, 2019, 47(2): 58-64.</w:t>
      </w:r>
    </w:p>
    <w:p>
      <w:pPr>
        <w:spacing w:after="40" w:line="276" w:lineRule="auto"/>
        <w:ind w:left="425" w:hanging="425"/>
      </w:pPr>
      <w:r>
        <w:rPr>
          <w:rFonts w:ascii="Times New Roman" w:hAnsi="Times New Roman" w:eastAsia="宋体"/>
          <w:b w:val="0"/>
          <w:i w:val="0"/>
          <w:sz w:val="20"/>
        </w:rPr>
        <w:t>[4] Liu Y, et al. Real-Time Pricing Response Attack in Smart Grid[J]. IET Generation, Transmission &amp; Distribution, 2022, 16(5): 12462.</w:t>
      </w:r>
    </w:p>
    <w:p>
      <w:pPr>
        <w:spacing w:after="40" w:line="276" w:lineRule="auto"/>
        <w:ind w:left="425" w:hanging="425"/>
      </w:pPr>
      <w:r>
        <w:rPr>
          <w:rFonts w:ascii="Times New Roman" w:hAnsi="Times New Roman" w:eastAsia="宋体"/>
          <w:b w:val="0"/>
          <w:i w:val="0"/>
          <w:sz w:val="20"/>
        </w:rPr>
        <w:t>[5] Strbac G. Demand side management: Benefits and challenges[J]. Energy Policy, 2008, 36(12): 4419-4426.</w:t>
      </w:r>
    </w:p>
    <w:p>
      <w:pPr>
        <w:spacing w:after="40" w:line="276" w:lineRule="auto"/>
        <w:ind w:left="425" w:hanging="425"/>
      </w:pPr>
      <w:r>
        <w:rPr>
          <w:rFonts w:ascii="Times New Roman" w:hAnsi="Times New Roman" w:eastAsia="宋体"/>
          <w:b w:val="0"/>
          <w:i w:val="0"/>
          <w:sz w:val="20"/>
        </w:rPr>
        <w:t>[6] Lannoye E, Flynn D, O'Malley M. Assessment of power system flexibility[J]. IEEE Transactions on Power Systems, 2012, 27(3): 1382-1390.</w:t>
      </w:r>
    </w:p>
    <w:p>
      <w:pPr>
        <w:spacing w:after="40" w:line="276" w:lineRule="auto"/>
        <w:ind w:left="425" w:hanging="425"/>
      </w:pPr>
      <w:r>
        <w:rPr>
          <w:rFonts w:ascii="Times New Roman" w:hAnsi="Times New Roman" w:eastAsia="宋体"/>
          <w:b w:val="0"/>
          <w:i w:val="0"/>
          <w:sz w:val="20"/>
        </w:rPr>
        <w:t>[7] International Energy Agency. Digitalisation and Energy[R]. IEA, 2023.</w:t>
      </w:r>
    </w:p>
    <w:p>
      <w:pPr>
        <w:spacing w:after="40" w:line="276" w:lineRule="auto"/>
        <w:ind w:left="425" w:hanging="425"/>
      </w:pPr>
      <w:r>
        <w:rPr>
          <w:rFonts w:ascii="Times New Roman" w:hAnsi="Times New Roman" w:eastAsia="宋体"/>
          <w:b w:val="0"/>
          <w:i w:val="0"/>
          <w:sz w:val="20"/>
        </w:rPr>
        <w:t>[8] National Development and Reform Commission. China's Power Market Reform Roadmap[Z]. 2022.</w:t>
      </w:r>
    </w:p>
    <w:p>
      <w:pPr>
        <w:spacing w:after="40" w:line="276" w:lineRule="auto"/>
        <w:ind w:left="425" w:hanging="425"/>
      </w:pPr>
      <w:r>
        <w:rPr>
          <w:rFonts w:ascii="Times New Roman" w:hAnsi="Times New Roman" w:eastAsia="宋体"/>
          <w:b w:val="0"/>
          <w:i w:val="0"/>
          <w:sz w:val="20"/>
        </w:rPr>
        <w:t>[9] 中国电力企业联合会. 中国电力行业发展报告2024[R]. 2024.</w:t>
      </w:r>
    </w:p>
    <w:p>
      <w:pPr>
        <w:spacing w:after="40" w:line="276" w:lineRule="auto"/>
        <w:ind w:left="425" w:hanging="425"/>
      </w:pPr>
      <w:r>
        <w:rPr>
          <w:rFonts w:ascii="Times New Roman" w:hAnsi="Times New Roman" w:eastAsia="宋体"/>
          <w:b w:val="0"/>
          <w:i w:val="0"/>
          <w:sz w:val="20"/>
        </w:rPr>
        <w:t>[10] 国家能源局. 关于加快建设新型电力系统的指导意见[Z]. 2023.</w:t>
      </w:r>
    </w:p>
    <w:p>
      <w:r>
        <w:br w:type="page"/>
      </w:r>
    </w:p>
    <w:p>
      <w:pPr>
        <w:pStyle w:val="Heading1"/>
        <w:spacing w:before="360" w:after="120"/>
      </w:pPr>
      <w:r>
        <w:rPr>
          <w:rFonts w:ascii="Times New Roman" w:hAnsi="Times New Roman" w:eastAsia="黑体"/>
          <w:b/>
          <w:i w:val="0"/>
          <w:sz w:val="32"/>
        </w:rPr>
        <w:t>附录A  术语表</w:t>
      </w:r>
    </w:p>
    <w:p>
      <w:pPr>
        <w:spacing w:line="360" w:lineRule="auto" w:after="0"/>
        <w:ind w:firstLine="425"/>
      </w:pPr>
      <w:r>
        <w:rPr>
          <w:rFonts w:ascii="Times New Roman" w:hAnsi="Times New Roman" w:eastAsia="宋体"/>
          <w:b w:val="0"/>
          <w:i w:val="0"/>
          <w:sz w:val="22"/>
        </w:rPr>
        <w:t>本附录收录智能电网实时定价领域的核心专业术语，按汉语拼音顺序排列，包含中英文对照和简要释义。</w:t>
      </w:r>
    </w:p>
    <w:tbl>
      <w:tblPr>
        <w:tblStyle w:val="LightGrid-Accent1"/>
        <w:tblW w:type="auto" w:w="0"/>
        <w:jc w:val="center"/>
        <w:tblLook w:firstColumn="1" w:firstRow="1" w:lastColumn="0" w:lastRow="0" w:noHBand="0" w:noVBand="1" w:val="04A0"/>
      </w:tblPr>
      <w:tblGrid>
        <w:gridCol w:w="2126"/>
        <w:gridCol w:w="2126"/>
        <w:gridCol w:w="2126"/>
        <w:gridCol w:w="2126"/>
      </w:tblGrid>
      <w:tr>
        <w:tc>
          <w:tcPr>
            <w:tcW w:type="dxa" w:w="2126"/>
          </w:tcPr>
          <w:p>
            <w:pPr>
              <w:spacing w:after="40" w:before="40"/>
            </w:pPr>
            <w:r>
              <w:rPr>
                <w:b/>
              </w:rPr>
            </w:r>
            <w:r>
              <w:rPr>
                <w:rFonts w:ascii="Times New Roman" w:hAnsi="Times New Roman" w:eastAsia="黑体"/>
                <w:b/>
                <w:i w:val="0"/>
                <w:sz w:val="20"/>
              </w:rPr>
              <w:t>序号</w:t>
            </w:r>
          </w:p>
        </w:tc>
        <w:tc>
          <w:tcPr>
            <w:tcW w:type="dxa" w:w="2126"/>
          </w:tcPr>
          <w:p>
            <w:pPr>
              <w:spacing w:after="40" w:before="40"/>
            </w:pPr>
            <w:r>
              <w:rPr>
                <w:b/>
              </w:rPr>
            </w:r>
            <w:r>
              <w:rPr>
                <w:rFonts w:ascii="Times New Roman" w:hAnsi="Times New Roman" w:eastAsia="黑体"/>
                <w:b/>
                <w:i w:val="0"/>
                <w:sz w:val="20"/>
              </w:rPr>
              <w:t>中文术语</w:t>
            </w:r>
          </w:p>
        </w:tc>
        <w:tc>
          <w:tcPr>
            <w:tcW w:type="dxa" w:w="2126"/>
          </w:tcPr>
          <w:p>
            <w:pPr>
              <w:spacing w:after="40" w:before="40"/>
            </w:pPr>
            <w:r>
              <w:rPr>
                <w:b/>
              </w:rPr>
            </w:r>
            <w:r>
              <w:rPr>
                <w:rFonts w:ascii="Times New Roman" w:hAnsi="Times New Roman" w:eastAsia="黑体"/>
                <w:b/>
                <w:i w:val="0"/>
                <w:sz w:val="20"/>
              </w:rPr>
              <w:t>英文术语</w:t>
            </w:r>
          </w:p>
        </w:tc>
        <w:tc>
          <w:tcPr>
            <w:tcW w:type="dxa" w:w="2126"/>
          </w:tcPr>
          <w:p>
            <w:pPr>
              <w:spacing w:after="40" w:before="40"/>
            </w:pPr>
            <w:r>
              <w:rPr>
                <w:b/>
              </w:rPr>
            </w:r>
            <w:r>
              <w:rPr>
                <w:rFonts w:ascii="Times New Roman" w:hAnsi="Times New Roman" w:eastAsia="黑体"/>
                <w:b/>
                <w:i w:val="0"/>
                <w:sz w:val="20"/>
              </w:rPr>
              <w:t>释义</w:t>
            </w:r>
          </w:p>
        </w:tc>
      </w:tr>
      <w:tr>
        <w:tc>
          <w:tcPr>
            <w:tcW w:type="dxa" w:w="2126"/>
          </w:tcPr>
          <w:p>
            <w:pPr>
              <w:spacing w:after="40" w:before="40"/>
            </w:pPr>
            <w:r/>
            <w:r>
              <w:rPr>
                <w:rFonts w:ascii="Times New Roman" w:hAnsi="Times New Roman" w:eastAsia="宋体"/>
                <w:b w:val="0"/>
                <w:i w:val="0"/>
                <w:sz w:val="20"/>
              </w:rPr>
              <w:t>1</w:t>
            </w:r>
          </w:p>
        </w:tc>
        <w:tc>
          <w:tcPr>
            <w:tcW w:type="dxa" w:w="2126"/>
          </w:tcPr>
          <w:p>
            <w:pPr>
              <w:spacing w:after="40" w:before="40"/>
            </w:pPr>
            <w:r/>
            <w:r>
              <w:rPr>
                <w:rFonts w:ascii="Times New Roman" w:hAnsi="Times New Roman" w:eastAsia="宋体"/>
                <w:b w:val="0"/>
                <w:i w:val="0"/>
                <w:sz w:val="20"/>
              </w:rPr>
              <w:t>半光滑函数</w:t>
            </w:r>
          </w:p>
        </w:tc>
        <w:tc>
          <w:tcPr>
            <w:tcW w:type="dxa" w:w="2126"/>
          </w:tcPr>
          <w:p>
            <w:pPr>
              <w:spacing w:after="40" w:before="40"/>
            </w:pPr>
            <w:r/>
            <w:r>
              <w:rPr>
                <w:rFonts w:ascii="Times New Roman" w:hAnsi="Times New Roman" w:eastAsia="宋体"/>
                <w:b w:val="0"/>
                <w:i w:val="0"/>
                <w:sz w:val="20"/>
              </w:rPr>
              <w:t>Semi-smooth Function</w:t>
            </w:r>
          </w:p>
        </w:tc>
        <w:tc>
          <w:tcPr>
            <w:tcW w:type="dxa" w:w="2126"/>
          </w:tcPr>
          <w:p>
            <w:pPr>
              <w:spacing w:after="40" w:before="40"/>
            </w:pPr>
            <w:r/>
            <w:r>
              <w:rPr>
                <w:rFonts w:ascii="Times New Roman" w:hAnsi="Times New Roman" w:eastAsia="宋体"/>
                <w:b w:val="0"/>
                <w:i w:val="0"/>
                <w:sz w:val="20"/>
              </w:rPr>
              <w:t>在某点处局部Lipschitz连续且方向导数满足特定极限条件的函数，是半光滑牛顿法收敛的理论基础</w:t>
            </w:r>
          </w:p>
        </w:tc>
      </w:tr>
      <w:tr>
        <w:tc>
          <w:tcPr>
            <w:tcW w:type="dxa" w:w="2126"/>
            <w:shd w:val="clear" w:color="auto" w:fill="F0F4F8"/>
          </w:tcPr>
          <w:p>
            <w:pPr>
              <w:spacing w:after="40" w:before="40"/>
            </w:pPr>
            <w:r/>
            <w:r>
              <w:rPr>
                <w:rFonts w:ascii="Times New Roman" w:hAnsi="Times New Roman" w:eastAsia="宋体"/>
                <w:b w:val="0"/>
                <w:i w:val="0"/>
                <w:sz w:val="20"/>
              </w:rPr>
              <w:t>2</w:t>
            </w:r>
          </w:p>
        </w:tc>
        <w:tc>
          <w:tcPr>
            <w:tcW w:type="dxa" w:w="2126"/>
            <w:shd w:val="clear" w:color="auto" w:fill="F0F4F8"/>
          </w:tcPr>
          <w:p>
            <w:pPr>
              <w:spacing w:after="40" w:before="40"/>
            </w:pPr>
            <w:r/>
            <w:r>
              <w:rPr>
                <w:rFonts w:ascii="Times New Roman" w:hAnsi="Times New Roman" w:eastAsia="宋体"/>
                <w:b w:val="0"/>
                <w:i w:val="0"/>
                <w:sz w:val="20"/>
              </w:rPr>
              <w:t>贝尔曼方程</w:t>
            </w:r>
          </w:p>
        </w:tc>
        <w:tc>
          <w:tcPr>
            <w:tcW w:type="dxa" w:w="2126"/>
            <w:shd w:val="clear" w:color="auto" w:fill="F0F4F8"/>
          </w:tcPr>
          <w:p>
            <w:pPr>
              <w:spacing w:after="40" w:before="40"/>
            </w:pPr>
            <w:r/>
            <w:r>
              <w:rPr>
                <w:rFonts w:ascii="Times New Roman" w:hAnsi="Times New Roman" w:eastAsia="宋体"/>
                <w:b w:val="0"/>
                <w:i w:val="0"/>
                <w:sz w:val="20"/>
              </w:rPr>
              <w:t>Bellman Equation</w:t>
            </w:r>
          </w:p>
        </w:tc>
        <w:tc>
          <w:tcPr>
            <w:tcW w:type="dxa" w:w="2126"/>
            <w:shd w:val="clear" w:color="auto" w:fill="F0F4F8"/>
          </w:tcPr>
          <w:p>
            <w:pPr>
              <w:spacing w:after="40" w:before="40"/>
            </w:pPr>
            <w:r/>
            <w:r>
              <w:rPr>
                <w:rFonts w:ascii="Times New Roman" w:hAnsi="Times New Roman" w:eastAsia="宋体"/>
                <w:b w:val="0"/>
                <w:i w:val="0"/>
                <w:sz w:val="20"/>
              </w:rPr>
              <w:t>描述动态规划中最优值函数递推关系的方程，是强化学习的理论基础</w:t>
            </w:r>
          </w:p>
        </w:tc>
      </w:tr>
      <w:tr>
        <w:tc>
          <w:tcPr>
            <w:tcW w:type="dxa" w:w="2126"/>
          </w:tcPr>
          <w:p>
            <w:pPr>
              <w:spacing w:after="40" w:before="40"/>
            </w:pPr>
            <w:r/>
            <w:r>
              <w:rPr>
                <w:rFonts w:ascii="Times New Roman" w:hAnsi="Times New Roman" w:eastAsia="宋体"/>
                <w:b w:val="0"/>
                <w:i w:val="0"/>
                <w:sz w:val="20"/>
              </w:rPr>
              <w:t>3</w:t>
            </w:r>
          </w:p>
        </w:tc>
        <w:tc>
          <w:tcPr>
            <w:tcW w:type="dxa" w:w="2126"/>
          </w:tcPr>
          <w:p>
            <w:pPr>
              <w:spacing w:after="40" w:before="40"/>
            </w:pPr>
            <w:r/>
            <w:r>
              <w:rPr>
                <w:rFonts w:ascii="Times New Roman" w:hAnsi="Times New Roman" w:eastAsia="宋体"/>
                <w:b w:val="0"/>
                <w:i w:val="0"/>
                <w:sz w:val="20"/>
              </w:rPr>
              <w:t>闭环均衡</w:t>
            </w:r>
          </w:p>
        </w:tc>
        <w:tc>
          <w:tcPr>
            <w:tcW w:type="dxa" w:w="2126"/>
          </w:tcPr>
          <w:p>
            <w:pPr>
              <w:spacing w:after="40" w:before="40"/>
            </w:pPr>
            <w:r/>
            <w:r>
              <w:rPr>
                <w:rFonts w:ascii="Times New Roman" w:hAnsi="Times New Roman" w:eastAsia="宋体"/>
                <w:b w:val="0"/>
                <w:i w:val="0"/>
                <w:sz w:val="20"/>
              </w:rPr>
              <w:t>Closed-loop Equilibrium</w:t>
            </w:r>
          </w:p>
        </w:tc>
        <w:tc>
          <w:tcPr>
            <w:tcW w:type="dxa" w:w="2126"/>
          </w:tcPr>
          <w:p>
            <w:pPr>
              <w:spacing w:after="40" w:before="40"/>
            </w:pPr>
            <w:r/>
            <w:r>
              <w:rPr>
                <w:rFonts w:ascii="Times New Roman" w:hAnsi="Times New Roman" w:eastAsia="宋体"/>
                <w:b w:val="0"/>
                <w:i w:val="0"/>
                <w:sz w:val="20"/>
              </w:rPr>
              <w:t>每个参与者的策略是对其他参与者策略的最优响应，且参与者考虑策略对未来状态影响时的均衡状态</w:t>
            </w:r>
          </w:p>
        </w:tc>
      </w:tr>
      <w:tr>
        <w:tc>
          <w:tcPr>
            <w:tcW w:type="dxa" w:w="2126"/>
            <w:shd w:val="clear" w:color="auto" w:fill="F0F4F8"/>
          </w:tcPr>
          <w:p>
            <w:pPr>
              <w:spacing w:after="40" w:before="40"/>
            </w:pPr>
            <w:r/>
            <w:r>
              <w:rPr>
                <w:rFonts w:ascii="Times New Roman" w:hAnsi="Times New Roman" w:eastAsia="宋体"/>
                <w:b w:val="0"/>
                <w:i w:val="0"/>
                <w:sz w:val="20"/>
              </w:rPr>
              <w:t>4</w:t>
            </w:r>
          </w:p>
        </w:tc>
        <w:tc>
          <w:tcPr>
            <w:tcW w:type="dxa" w:w="2126"/>
            <w:shd w:val="clear" w:color="auto" w:fill="F0F4F8"/>
          </w:tcPr>
          <w:p>
            <w:pPr>
              <w:spacing w:after="40" w:before="40"/>
            </w:pPr>
            <w:r/>
            <w:r>
              <w:rPr>
                <w:rFonts w:ascii="Times New Roman" w:hAnsi="Times New Roman" w:eastAsia="宋体"/>
                <w:b w:val="0"/>
                <w:i w:val="0"/>
                <w:sz w:val="20"/>
              </w:rPr>
              <w:t>变分不等式</w:t>
            </w:r>
          </w:p>
        </w:tc>
        <w:tc>
          <w:tcPr>
            <w:tcW w:type="dxa" w:w="2126"/>
            <w:shd w:val="clear" w:color="auto" w:fill="F0F4F8"/>
          </w:tcPr>
          <w:p>
            <w:pPr>
              <w:spacing w:after="40" w:before="40"/>
            </w:pPr>
            <w:r/>
            <w:r>
              <w:rPr>
                <w:rFonts w:ascii="Times New Roman" w:hAnsi="Times New Roman" w:eastAsia="宋体"/>
                <w:b w:val="0"/>
                <w:i w:val="0"/>
                <w:sz w:val="20"/>
              </w:rPr>
              <w:t>Variational Inequality (VI)</w:t>
            </w:r>
          </w:p>
        </w:tc>
        <w:tc>
          <w:tcPr>
            <w:tcW w:type="dxa" w:w="2126"/>
            <w:shd w:val="clear" w:color="auto" w:fill="F0F4F8"/>
          </w:tcPr>
          <w:p>
            <w:pPr>
              <w:spacing w:after="40" w:before="40"/>
            </w:pPr>
            <w:r/>
            <w:r>
              <w:rPr>
                <w:rFonts w:ascii="Times New Roman" w:hAnsi="Times New Roman" w:eastAsia="宋体"/>
                <w:b w:val="0"/>
                <w:i w:val="0"/>
                <w:sz w:val="20"/>
              </w:rPr>
              <w:t>寻找x</w:t>
            </w:r>
            <w:r>
              <w:rPr>
                <w:rFonts w:ascii="Times New Roman" w:hAnsi="Times New Roman" w:eastAsia="宋体"/>
                <w:b w:val="0"/>
                <w:i/>
                <w:sz w:val="20"/>
              </w:rPr>
              <w:t>使得⟨F(x</w:t>
            </w:r>
            <w:r>
              <w:rPr>
                <w:rFonts w:ascii="Times New Roman" w:hAnsi="Times New Roman" w:eastAsia="宋体"/>
                <w:b w:val="0"/>
                <w:i w:val="0"/>
                <w:sz w:val="20"/>
              </w:rPr>
              <w:t>), x - x*⟩ ≥ 0对所有x ∈ K成立的数学问题，是互补问题的推广</w:t>
            </w:r>
          </w:p>
        </w:tc>
      </w:tr>
      <w:tr>
        <w:tc>
          <w:tcPr>
            <w:tcW w:type="dxa" w:w="2126"/>
          </w:tcPr>
          <w:p>
            <w:pPr>
              <w:spacing w:after="40" w:before="40"/>
            </w:pPr>
            <w:r/>
            <w:r>
              <w:rPr>
                <w:rFonts w:ascii="Times New Roman" w:hAnsi="Times New Roman" w:eastAsia="宋体"/>
                <w:b w:val="0"/>
                <w:i w:val="0"/>
                <w:sz w:val="20"/>
              </w:rPr>
              <w:t>5</w:t>
            </w:r>
          </w:p>
        </w:tc>
        <w:tc>
          <w:tcPr>
            <w:tcW w:type="dxa" w:w="2126"/>
          </w:tcPr>
          <w:p>
            <w:pPr>
              <w:spacing w:after="40" w:before="40"/>
            </w:pPr>
            <w:r/>
            <w:r>
              <w:rPr>
                <w:rFonts w:ascii="Times New Roman" w:hAnsi="Times New Roman" w:eastAsia="宋体"/>
                <w:b w:val="0"/>
                <w:i w:val="0"/>
                <w:sz w:val="20"/>
              </w:rPr>
              <w:t>博弈论</w:t>
            </w:r>
          </w:p>
        </w:tc>
        <w:tc>
          <w:tcPr>
            <w:tcW w:type="dxa" w:w="2126"/>
          </w:tcPr>
          <w:p>
            <w:pPr>
              <w:spacing w:after="40" w:before="40"/>
            </w:pPr>
            <w:r/>
            <w:r>
              <w:rPr>
                <w:rFonts w:ascii="Times New Roman" w:hAnsi="Times New Roman" w:eastAsia="宋体"/>
                <w:b w:val="0"/>
                <w:i w:val="0"/>
                <w:sz w:val="20"/>
              </w:rPr>
              <w:t>Game Theory</w:t>
            </w:r>
          </w:p>
        </w:tc>
        <w:tc>
          <w:tcPr>
            <w:tcW w:type="dxa" w:w="2126"/>
          </w:tcPr>
          <w:p>
            <w:pPr>
              <w:spacing w:after="40" w:before="40"/>
            </w:pPr>
            <w:r/>
            <w:r>
              <w:rPr>
                <w:rFonts w:ascii="Times New Roman" w:hAnsi="Times New Roman" w:eastAsia="宋体"/>
                <w:b w:val="0"/>
                <w:i w:val="0"/>
                <w:sz w:val="20"/>
              </w:rPr>
              <w:t>研究决策主体行为发生直接相互作用时的决策及均衡的理论</w:t>
            </w:r>
          </w:p>
        </w:tc>
      </w:tr>
      <w:tr>
        <w:tc>
          <w:tcPr>
            <w:tcW w:type="dxa" w:w="2126"/>
            <w:shd w:val="clear" w:color="auto" w:fill="F0F4F8"/>
          </w:tcPr>
          <w:p>
            <w:pPr>
              <w:spacing w:after="40" w:before="40"/>
            </w:pPr>
            <w:r/>
            <w:r>
              <w:rPr>
                <w:rFonts w:ascii="Times New Roman" w:hAnsi="Times New Roman" w:eastAsia="宋体"/>
                <w:b w:val="0"/>
                <w:i w:val="0"/>
                <w:sz w:val="20"/>
              </w:rPr>
              <w:t>6</w:t>
            </w:r>
          </w:p>
        </w:tc>
        <w:tc>
          <w:tcPr>
            <w:tcW w:type="dxa" w:w="2126"/>
            <w:shd w:val="clear" w:color="auto" w:fill="F0F4F8"/>
          </w:tcPr>
          <w:p>
            <w:pPr>
              <w:spacing w:after="40" w:before="40"/>
            </w:pPr>
            <w:r/>
            <w:r>
              <w:rPr>
                <w:rFonts w:ascii="Times New Roman" w:hAnsi="Times New Roman" w:eastAsia="宋体"/>
                <w:b w:val="0"/>
                <w:i w:val="0"/>
                <w:sz w:val="20"/>
              </w:rPr>
              <w:t>补贴定价</w:t>
            </w:r>
          </w:p>
        </w:tc>
        <w:tc>
          <w:tcPr>
            <w:tcW w:type="dxa" w:w="2126"/>
            <w:shd w:val="clear" w:color="auto" w:fill="F0F4F8"/>
          </w:tcPr>
          <w:p>
            <w:pPr>
              <w:spacing w:after="40" w:before="40"/>
            </w:pPr>
            <w:r/>
            <w:r>
              <w:rPr>
                <w:rFonts w:ascii="Times New Roman" w:hAnsi="Times New Roman" w:eastAsia="宋体"/>
                <w:b w:val="0"/>
                <w:i w:val="0"/>
                <w:sz w:val="20"/>
              </w:rPr>
              <w:t>Subsidy Pricing</w:t>
            </w:r>
          </w:p>
        </w:tc>
        <w:tc>
          <w:tcPr>
            <w:tcW w:type="dxa" w:w="2126"/>
            <w:shd w:val="clear" w:color="auto" w:fill="F0F4F8"/>
          </w:tcPr>
          <w:p>
            <w:pPr>
              <w:spacing w:after="40" w:before="40"/>
            </w:pPr>
            <w:r/>
            <w:r>
              <w:rPr>
                <w:rFonts w:ascii="Times New Roman" w:hAnsi="Times New Roman" w:eastAsia="宋体"/>
                <w:b w:val="0"/>
                <w:i w:val="0"/>
                <w:sz w:val="20"/>
              </w:rPr>
              <w:t>政府或监管机构通过财政补贴降低电价水平，以保护特定用户群体或鼓励特定能源类型</w:t>
            </w:r>
          </w:p>
        </w:tc>
      </w:tr>
      <w:tr>
        <w:tc>
          <w:tcPr>
            <w:tcW w:type="dxa" w:w="2126"/>
          </w:tcPr>
          <w:p>
            <w:pPr>
              <w:spacing w:after="40" w:before="40"/>
            </w:pPr>
            <w:r/>
            <w:r>
              <w:rPr>
                <w:rFonts w:ascii="Times New Roman" w:hAnsi="Times New Roman" w:eastAsia="宋体"/>
                <w:b w:val="0"/>
                <w:i w:val="0"/>
                <w:sz w:val="20"/>
              </w:rPr>
              <w:t>7</w:t>
            </w:r>
          </w:p>
        </w:tc>
        <w:tc>
          <w:tcPr>
            <w:tcW w:type="dxa" w:w="2126"/>
          </w:tcPr>
          <w:p>
            <w:pPr>
              <w:spacing w:after="40" w:before="40"/>
            </w:pPr>
            <w:r/>
            <w:r>
              <w:rPr>
                <w:rFonts w:ascii="Times New Roman" w:hAnsi="Times New Roman" w:eastAsia="宋体"/>
                <w:b w:val="0"/>
                <w:i w:val="0"/>
                <w:sz w:val="20"/>
              </w:rPr>
              <w:t>产消者</w:t>
            </w:r>
          </w:p>
        </w:tc>
        <w:tc>
          <w:tcPr>
            <w:tcW w:type="dxa" w:w="2126"/>
          </w:tcPr>
          <w:p>
            <w:pPr>
              <w:spacing w:after="40" w:before="40"/>
            </w:pPr>
            <w:r/>
            <w:r>
              <w:rPr>
                <w:rFonts w:ascii="Times New Roman" w:hAnsi="Times New Roman" w:eastAsia="宋体"/>
                <w:b w:val="0"/>
                <w:i w:val="0"/>
                <w:sz w:val="20"/>
              </w:rPr>
              <w:t>Prosumer</w:t>
            </w:r>
          </w:p>
        </w:tc>
        <w:tc>
          <w:tcPr>
            <w:tcW w:type="dxa" w:w="2126"/>
          </w:tcPr>
          <w:p>
            <w:pPr>
              <w:spacing w:after="40" w:before="40"/>
            </w:pPr>
            <w:r/>
            <w:r>
              <w:rPr>
                <w:rFonts w:ascii="Times New Roman" w:hAnsi="Times New Roman" w:eastAsia="宋体"/>
                <w:b w:val="0"/>
                <w:i w:val="0"/>
                <w:sz w:val="20"/>
              </w:rPr>
              <w:t>既消费电力也生产电力的市场参与者，通常指安装了分布式发电设备的终端用户</w:t>
            </w:r>
          </w:p>
        </w:tc>
      </w:tr>
      <w:tr>
        <w:tc>
          <w:tcPr>
            <w:tcW w:type="dxa" w:w="2126"/>
            <w:shd w:val="clear" w:color="auto" w:fill="F0F4F8"/>
          </w:tcPr>
          <w:p>
            <w:pPr>
              <w:spacing w:after="40" w:before="40"/>
            </w:pPr>
            <w:r/>
            <w:r>
              <w:rPr>
                <w:rFonts w:ascii="Times New Roman" w:hAnsi="Times New Roman" w:eastAsia="宋体"/>
                <w:b w:val="0"/>
                <w:i w:val="0"/>
                <w:sz w:val="20"/>
              </w:rPr>
              <w:t>8</w:t>
            </w:r>
          </w:p>
        </w:tc>
        <w:tc>
          <w:tcPr>
            <w:tcW w:type="dxa" w:w="2126"/>
            <w:shd w:val="clear" w:color="auto" w:fill="F0F4F8"/>
          </w:tcPr>
          <w:p>
            <w:pPr>
              <w:spacing w:after="40" w:before="40"/>
            </w:pPr>
            <w:r/>
            <w:r>
              <w:rPr>
                <w:rFonts w:ascii="Times New Roman" w:hAnsi="Times New Roman" w:eastAsia="宋体"/>
                <w:b w:val="0"/>
                <w:i w:val="0"/>
                <w:sz w:val="20"/>
              </w:rPr>
              <w:t>需求响应</w:t>
            </w:r>
          </w:p>
        </w:tc>
        <w:tc>
          <w:tcPr>
            <w:tcW w:type="dxa" w:w="2126"/>
            <w:shd w:val="clear" w:color="auto" w:fill="F0F4F8"/>
          </w:tcPr>
          <w:p>
            <w:pPr>
              <w:spacing w:after="40" w:before="40"/>
            </w:pPr>
            <w:r/>
            <w:r>
              <w:rPr>
                <w:rFonts w:ascii="Times New Roman" w:hAnsi="Times New Roman" w:eastAsia="宋体"/>
                <w:b w:val="0"/>
                <w:i w:val="0"/>
                <w:sz w:val="20"/>
              </w:rPr>
              <w:t>Demand Response (DR)</w:t>
            </w:r>
          </w:p>
        </w:tc>
        <w:tc>
          <w:tcPr>
            <w:tcW w:type="dxa" w:w="2126"/>
            <w:shd w:val="clear" w:color="auto" w:fill="F0F4F8"/>
          </w:tcPr>
          <w:p>
            <w:pPr>
              <w:spacing w:after="40" w:before="40"/>
            </w:pPr>
            <w:r/>
            <w:r>
              <w:rPr>
                <w:rFonts w:ascii="Times New Roman" w:hAnsi="Times New Roman" w:eastAsia="宋体"/>
                <w:b w:val="0"/>
                <w:i w:val="0"/>
                <w:sz w:val="20"/>
              </w:rPr>
              <w:t>电力用户对市场价格信号或激励措施作出响应，改变正常用电模式的行为</w:t>
            </w:r>
          </w:p>
        </w:tc>
      </w:tr>
      <w:tr>
        <w:tc>
          <w:tcPr>
            <w:tcW w:type="dxa" w:w="2126"/>
          </w:tcPr>
          <w:p>
            <w:pPr>
              <w:spacing w:after="40" w:before="40"/>
            </w:pPr>
            <w:r/>
            <w:r>
              <w:rPr>
                <w:rFonts w:ascii="Times New Roman" w:hAnsi="Times New Roman" w:eastAsia="宋体"/>
                <w:b w:val="0"/>
                <w:i w:val="0"/>
                <w:sz w:val="20"/>
              </w:rPr>
              <w:t>9</w:t>
            </w:r>
          </w:p>
        </w:tc>
        <w:tc>
          <w:tcPr>
            <w:tcW w:type="dxa" w:w="2126"/>
          </w:tcPr>
          <w:p>
            <w:pPr>
              <w:spacing w:after="40" w:before="40"/>
            </w:pPr>
            <w:r/>
            <w:r>
              <w:rPr>
                <w:rFonts w:ascii="Times New Roman" w:hAnsi="Times New Roman" w:eastAsia="宋体"/>
                <w:b w:val="0"/>
                <w:i w:val="0"/>
                <w:sz w:val="20"/>
              </w:rPr>
              <w:t>需求价格弹性</w:t>
            </w:r>
          </w:p>
        </w:tc>
        <w:tc>
          <w:tcPr>
            <w:tcW w:type="dxa" w:w="2126"/>
          </w:tcPr>
          <w:p>
            <w:pPr>
              <w:spacing w:after="40" w:before="40"/>
            </w:pPr>
            <w:r/>
            <w:r>
              <w:rPr>
                <w:rFonts w:ascii="Times New Roman" w:hAnsi="Times New Roman" w:eastAsia="宋体"/>
                <w:b w:val="0"/>
                <w:i w:val="0"/>
                <w:sz w:val="20"/>
              </w:rPr>
              <w:t>Price Elasticity of Demand</w:t>
            </w:r>
          </w:p>
        </w:tc>
        <w:tc>
          <w:tcPr>
            <w:tcW w:type="dxa" w:w="2126"/>
          </w:tcPr>
          <w:p>
            <w:pPr>
              <w:spacing w:after="40" w:before="40"/>
            </w:pPr>
            <w:r/>
            <w:r>
              <w:rPr>
                <w:rFonts w:ascii="Times New Roman" w:hAnsi="Times New Roman" w:eastAsia="宋体"/>
                <w:b w:val="0"/>
                <w:i w:val="0"/>
                <w:sz w:val="20"/>
              </w:rPr>
              <w:t>需求量变化率与价格变化率之比，衡量用户对价格变化的敏感程度</w:t>
            </w:r>
          </w:p>
        </w:tc>
      </w:tr>
      <w:tr>
        <w:tc>
          <w:tcPr>
            <w:tcW w:type="dxa" w:w="2126"/>
            <w:shd w:val="clear" w:color="auto" w:fill="F0F4F8"/>
          </w:tcPr>
          <w:p>
            <w:pPr>
              <w:spacing w:after="40" w:before="40"/>
            </w:pPr>
            <w:r/>
            <w:r>
              <w:rPr>
                <w:rFonts w:ascii="Times New Roman" w:hAnsi="Times New Roman" w:eastAsia="宋体"/>
                <w:b w:val="0"/>
                <w:i w:val="0"/>
                <w:sz w:val="20"/>
              </w:rPr>
              <w:t>10</w:t>
            </w:r>
          </w:p>
        </w:tc>
        <w:tc>
          <w:tcPr>
            <w:tcW w:type="dxa" w:w="2126"/>
            <w:shd w:val="clear" w:color="auto" w:fill="F0F4F8"/>
          </w:tcPr>
          <w:p>
            <w:pPr>
              <w:spacing w:after="40" w:before="40"/>
            </w:pPr>
            <w:r/>
            <w:r>
              <w:rPr>
                <w:rFonts w:ascii="Times New Roman" w:hAnsi="Times New Roman" w:eastAsia="宋体"/>
                <w:b w:val="0"/>
                <w:i w:val="0"/>
                <w:sz w:val="20"/>
              </w:rPr>
              <w:t>等候队列</w:t>
            </w:r>
          </w:p>
        </w:tc>
        <w:tc>
          <w:tcPr>
            <w:tcW w:type="dxa" w:w="2126"/>
            <w:shd w:val="clear" w:color="auto" w:fill="F0F4F8"/>
          </w:tcPr>
          <w:p>
            <w:pPr>
              <w:spacing w:after="40" w:before="40"/>
            </w:pPr>
            <w:r/>
            <w:r>
              <w:rPr>
                <w:rFonts w:ascii="Times New Roman" w:hAnsi="Times New Roman" w:eastAsia="宋体"/>
                <w:b w:val="0"/>
                <w:i w:val="0"/>
                <w:sz w:val="20"/>
              </w:rPr>
              <w:t>Waiting Queue</w:t>
            </w:r>
          </w:p>
        </w:tc>
        <w:tc>
          <w:tcPr>
            <w:tcW w:type="dxa" w:w="2126"/>
            <w:shd w:val="clear" w:color="auto" w:fill="F0F4F8"/>
          </w:tcPr>
          <w:p>
            <w:pPr>
              <w:spacing w:after="40" w:before="40"/>
            </w:pPr>
            <w:r/>
            <w:r>
              <w:rPr>
                <w:rFonts w:ascii="Times New Roman" w:hAnsi="Times New Roman" w:eastAsia="宋体"/>
                <w:b w:val="0"/>
                <w:i w:val="0"/>
                <w:sz w:val="20"/>
              </w:rPr>
              <w:t>在电力市场出清过程中，未中标发电机组按边际成本排序形成的备用序列</w:t>
            </w:r>
          </w:p>
        </w:tc>
      </w:tr>
      <w:tr>
        <w:tc>
          <w:tcPr>
            <w:tcW w:type="dxa" w:w="2126"/>
          </w:tcPr>
          <w:p>
            <w:pPr>
              <w:spacing w:after="40" w:before="40"/>
            </w:pPr>
            <w:r/>
            <w:r>
              <w:rPr>
                <w:rFonts w:ascii="Times New Roman" w:hAnsi="Times New Roman" w:eastAsia="宋体"/>
                <w:b w:val="0"/>
                <w:i w:val="0"/>
                <w:sz w:val="20"/>
              </w:rPr>
              <w:t>11</w:t>
            </w:r>
          </w:p>
        </w:tc>
        <w:tc>
          <w:tcPr>
            <w:tcW w:type="dxa" w:w="2126"/>
          </w:tcPr>
          <w:p>
            <w:pPr>
              <w:spacing w:after="40" w:before="40"/>
            </w:pPr>
            <w:r/>
            <w:r>
              <w:rPr>
                <w:rFonts w:ascii="Times New Roman" w:hAnsi="Times New Roman" w:eastAsia="宋体"/>
                <w:b w:val="0"/>
                <w:i w:val="0"/>
                <w:sz w:val="20"/>
              </w:rPr>
              <w:t>递阶优化</w:t>
            </w:r>
          </w:p>
        </w:tc>
        <w:tc>
          <w:tcPr>
            <w:tcW w:type="dxa" w:w="2126"/>
          </w:tcPr>
          <w:p>
            <w:pPr>
              <w:spacing w:after="40" w:before="40"/>
            </w:pPr>
            <w:r/>
            <w:r>
              <w:rPr>
                <w:rFonts w:ascii="Times New Roman" w:hAnsi="Times New Roman" w:eastAsia="宋体"/>
                <w:b w:val="0"/>
                <w:i w:val="0"/>
                <w:sz w:val="20"/>
              </w:rPr>
              <w:t>Hierarchical Optimization</w:t>
            </w:r>
          </w:p>
        </w:tc>
        <w:tc>
          <w:tcPr>
            <w:tcW w:type="dxa" w:w="2126"/>
          </w:tcPr>
          <w:p>
            <w:pPr>
              <w:spacing w:after="40" w:before="40"/>
            </w:pPr>
            <w:r/>
            <w:r>
              <w:rPr>
                <w:rFonts w:ascii="Times New Roman" w:hAnsi="Times New Roman" w:eastAsia="宋体"/>
                <w:b w:val="0"/>
                <w:i w:val="0"/>
                <w:sz w:val="20"/>
              </w:rPr>
              <w:t>包含上下两层决策结构的优化问题，上层决策影响下层目标，下层决策反馈给上层</w:t>
            </w:r>
          </w:p>
        </w:tc>
      </w:tr>
      <w:tr>
        <w:tc>
          <w:tcPr>
            <w:tcW w:type="dxa" w:w="2126"/>
            <w:shd w:val="clear" w:color="auto" w:fill="F0F4F8"/>
          </w:tcPr>
          <w:p>
            <w:pPr>
              <w:spacing w:after="40" w:before="40"/>
            </w:pPr>
            <w:r/>
            <w:r>
              <w:rPr>
                <w:rFonts w:ascii="Times New Roman" w:hAnsi="Times New Roman" w:eastAsia="宋体"/>
                <w:b w:val="0"/>
                <w:i w:val="0"/>
                <w:sz w:val="20"/>
              </w:rPr>
              <w:t>12</w:t>
            </w:r>
          </w:p>
        </w:tc>
        <w:tc>
          <w:tcPr>
            <w:tcW w:type="dxa" w:w="2126"/>
            <w:shd w:val="clear" w:color="auto" w:fill="F0F4F8"/>
          </w:tcPr>
          <w:p>
            <w:pPr>
              <w:spacing w:after="40" w:before="40"/>
            </w:pPr>
            <w:r/>
            <w:r>
              <w:rPr>
                <w:rFonts w:ascii="Times New Roman" w:hAnsi="Times New Roman" w:eastAsia="宋体"/>
                <w:b w:val="0"/>
                <w:i w:val="0"/>
                <w:sz w:val="20"/>
              </w:rPr>
              <w:t>动态电价</w:t>
            </w:r>
          </w:p>
        </w:tc>
        <w:tc>
          <w:tcPr>
            <w:tcW w:type="dxa" w:w="2126"/>
            <w:shd w:val="clear" w:color="auto" w:fill="F0F4F8"/>
          </w:tcPr>
          <w:p>
            <w:pPr>
              <w:spacing w:after="40" w:before="40"/>
            </w:pPr>
            <w:r/>
            <w:r>
              <w:rPr>
                <w:rFonts w:ascii="Times New Roman" w:hAnsi="Times New Roman" w:eastAsia="宋体"/>
                <w:b w:val="0"/>
                <w:i w:val="0"/>
                <w:sz w:val="20"/>
              </w:rPr>
              <w:t>Dynamic Pricing</w:t>
            </w:r>
          </w:p>
        </w:tc>
        <w:tc>
          <w:tcPr>
            <w:tcW w:type="dxa" w:w="2126"/>
            <w:shd w:val="clear" w:color="auto" w:fill="F0F4F8"/>
          </w:tcPr>
          <w:p>
            <w:pPr>
              <w:spacing w:after="40" w:before="40"/>
            </w:pPr>
            <w:r/>
            <w:r>
              <w:rPr>
                <w:rFonts w:ascii="Times New Roman" w:hAnsi="Times New Roman" w:eastAsia="宋体"/>
                <w:b w:val="0"/>
                <w:i w:val="0"/>
                <w:sz w:val="20"/>
              </w:rPr>
              <w:t>电价随时间变化以反映供需状况的定价机制，包括实时定价、分时定价和动态分时定价</w:t>
            </w:r>
          </w:p>
        </w:tc>
      </w:tr>
      <w:tr>
        <w:tc>
          <w:tcPr>
            <w:tcW w:type="dxa" w:w="2126"/>
          </w:tcPr>
          <w:p>
            <w:pPr>
              <w:spacing w:after="40" w:before="40"/>
            </w:pPr>
            <w:r/>
            <w:r>
              <w:rPr>
                <w:rFonts w:ascii="Times New Roman" w:hAnsi="Times New Roman" w:eastAsia="宋体"/>
                <w:b w:val="0"/>
                <w:i w:val="0"/>
                <w:sz w:val="20"/>
              </w:rPr>
              <w:t>13</w:t>
            </w:r>
          </w:p>
        </w:tc>
        <w:tc>
          <w:tcPr>
            <w:tcW w:type="dxa" w:w="2126"/>
          </w:tcPr>
          <w:p>
            <w:pPr>
              <w:spacing w:after="40" w:before="40"/>
            </w:pPr>
            <w:r/>
            <w:r>
              <w:rPr>
                <w:rFonts w:ascii="Times New Roman" w:hAnsi="Times New Roman" w:eastAsia="宋体"/>
                <w:b w:val="0"/>
                <w:i w:val="0"/>
                <w:sz w:val="20"/>
              </w:rPr>
              <w:t>对偶分解</w:t>
            </w:r>
          </w:p>
        </w:tc>
        <w:tc>
          <w:tcPr>
            <w:tcW w:type="dxa" w:w="2126"/>
          </w:tcPr>
          <w:p>
            <w:pPr>
              <w:spacing w:after="40" w:before="40"/>
            </w:pPr>
            <w:r/>
            <w:r>
              <w:rPr>
                <w:rFonts w:ascii="Times New Roman" w:hAnsi="Times New Roman" w:eastAsia="宋体"/>
                <w:b w:val="0"/>
                <w:i w:val="0"/>
                <w:sz w:val="20"/>
              </w:rPr>
              <w:t>Dual Decomposition</w:t>
            </w:r>
          </w:p>
        </w:tc>
        <w:tc>
          <w:tcPr>
            <w:tcW w:type="dxa" w:w="2126"/>
          </w:tcPr>
          <w:p>
            <w:pPr>
              <w:spacing w:after="40" w:before="40"/>
            </w:pPr>
            <w:r/>
            <w:r>
              <w:rPr>
                <w:rFonts w:ascii="Times New Roman" w:hAnsi="Times New Roman" w:eastAsia="宋体"/>
                <w:b w:val="0"/>
                <w:i w:val="0"/>
                <w:sz w:val="20"/>
              </w:rPr>
              <w:t>通过拉格朗日对偶将集中式优化问题分解为子问题的分布式求解方法</w:t>
            </w:r>
          </w:p>
        </w:tc>
      </w:tr>
      <w:tr>
        <w:tc>
          <w:tcPr>
            <w:tcW w:type="dxa" w:w="2126"/>
            <w:shd w:val="clear" w:color="auto" w:fill="F0F4F8"/>
          </w:tcPr>
          <w:p>
            <w:pPr>
              <w:spacing w:after="40" w:before="40"/>
            </w:pPr>
            <w:r/>
            <w:r>
              <w:rPr>
                <w:rFonts w:ascii="Times New Roman" w:hAnsi="Times New Roman" w:eastAsia="宋体"/>
                <w:b w:val="0"/>
                <w:i w:val="0"/>
                <w:sz w:val="20"/>
              </w:rPr>
              <w:t>14</w:t>
            </w:r>
          </w:p>
        </w:tc>
        <w:tc>
          <w:tcPr>
            <w:tcW w:type="dxa" w:w="2126"/>
            <w:shd w:val="clear" w:color="auto" w:fill="F0F4F8"/>
          </w:tcPr>
          <w:p>
            <w:pPr>
              <w:spacing w:after="40" w:before="40"/>
            </w:pPr>
            <w:r/>
            <w:r>
              <w:rPr>
                <w:rFonts w:ascii="Times New Roman" w:hAnsi="Times New Roman" w:eastAsia="宋体"/>
                <w:b w:val="0"/>
                <w:i w:val="0"/>
                <w:sz w:val="20"/>
              </w:rPr>
              <w:t>多Agent系统</w:t>
            </w:r>
          </w:p>
        </w:tc>
        <w:tc>
          <w:tcPr>
            <w:tcW w:type="dxa" w:w="2126"/>
            <w:shd w:val="clear" w:color="auto" w:fill="F0F4F8"/>
          </w:tcPr>
          <w:p>
            <w:pPr>
              <w:spacing w:after="40" w:before="40"/>
            </w:pPr>
            <w:r/>
            <w:r>
              <w:rPr>
                <w:rFonts w:ascii="Times New Roman" w:hAnsi="Times New Roman" w:eastAsia="宋体"/>
                <w:b w:val="0"/>
                <w:i w:val="0"/>
                <w:sz w:val="20"/>
              </w:rPr>
              <w:t>Multi-Agent System (MAS)</w:t>
            </w:r>
          </w:p>
        </w:tc>
        <w:tc>
          <w:tcPr>
            <w:tcW w:type="dxa" w:w="2126"/>
            <w:shd w:val="clear" w:color="auto" w:fill="F0F4F8"/>
          </w:tcPr>
          <w:p>
            <w:pPr>
              <w:spacing w:after="40" w:before="40"/>
            </w:pPr>
            <w:r/>
            <w:r>
              <w:rPr>
                <w:rFonts w:ascii="Times New Roman" w:hAnsi="Times New Roman" w:eastAsia="宋体"/>
                <w:b w:val="0"/>
                <w:i w:val="0"/>
                <w:sz w:val="20"/>
              </w:rPr>
              <w:t>由多个自主决策的智能体组成的系统，各智能体通过交互实现系统级目标</w:t>
            </w:r>
          </w:p>
        </w:tc>
      </w:tr>
      <w:tr>
        <w:tc>
          <w:tcPr>
            <w:tcW w:type="dxa" w:w="2126"/>
          </w:tcPr>
          <w:p>
            <w:pPr>
              <w:spacing w:after="40" w:before="40"/>
            </w:pPr>
            <w:r/>
            <w:r>
              <w:rPr>
                <w:rFonts w:ascii="Times New Roman" w:hAnsi="Times New Roman" w:eastAsia="宋体"/>
                <w:b w:val="0"/>
                <w:i w:val="0"/>
                <w:sz w:val="20"/>
              </w:rPr>
              <w:t>15</w:t>
            </w:r>
          </w:p>
        </w:tc>
        <w:tc>
          <w:tcPr>
            <w:tcW w:type="dxa" w:w="2126"/>
          </w:tcPr>
          <w:p>
            <w:pPr>
              <w:spacing w:after="40" w:before="40"/>
            </w:pPr>
            <w:r/>
            <w:r>
              <w:rPr>
                <w:rFonts w:ascii="Times New Roman" w:hAnsi="Times New Roman" w:eastAsia="宋体"/>
                <w:b w:val="0"/>
                <w:i w:val="0"/>
                <w:sz w:val="20"/>
              </w:rPr>
              <w:t>分时电价</w:t>
            </w:r>
          </w:p>
        </w:tc>
        <w:tc>
          <w:tcPr>
            <w:tcW w:type="dxa" w:w="2126"/>
          </w:tcPr>
          <w:p>
            <w:pPr>
              <w:spacing w:after="40" w:before="40"/>
            </w:pPr>
            <w:r/>
            <w:r>
              <w:rPr>
                <w:rFonts w:ascii="Times New Roman" w:hAnsi="Times New Roman" w:eastAsia="宋体"/>
                <w:b w:val="0"/>
                <w:i w:val="0"/>
                <w:sz w:val="20"/>
              </w:rPr>
              <w:t>Time-of-Use (TOU) Pricing</w:t>
            </w:r>
          </w:p>
        </w:tc>
        <w:tc>
          <w:tcPr>
            <w:tcW w:type="dxa" w:w="2126"/>
          </w:tcPr>
          <w:p>
            <w:pPr>
              <w:spacing w:after="40" w:before="40"/>
            </w:pPr>
            <w:r/>
            <w:r>
              <w:rPr>
                <w:rFonts w:ascii="Times New Roman" w:hAnsi="Times New Roman" w:eastAsia="宋体"/>
                <w:b w:val="0"/>
                <w:i w:val="0"/>
                <w:sz w:val="20"/>
              </w:rPr>
              <w:t>将一天划分为峰、平、谷等时段，各时段执行不同固定电价的定价机制</w:t>
            </w:r>
          </w:p>
        </w:tc>
      </w:tr>
      <w:tr>
        <w:tc>
          <w:tcPr>
            <w:tcW w:type="dxa" w:w="2126"/>
            <w:shd w:val="clear" w:color="auto" w:fill="F0F4F8"/>
          </w:tcPr>
          <w:p>
            <w:pPr>
              <w:spacing w:after="40" w:before="40"/>
            </w:pPr>
            <w:r/>
            <w:r>
              <w:rPr>
                <w:rFonts w:ascii="Times New Roman" w:hAnsi="Times New Roman" w:eastAsia="宋体"/>
                <w:b w:val="0"/>
                <w:i w:val="0"/>
                <w:sz w:val="20"/>
              </w:rPr>
              <w:t>16</w:t>
            </w:r>
          </w:p>
        </w:tc>
        <w:tc>
          <w:tcPr>
            <w:tcW w:type="dxa" w:w="2126"/>
            <w:shd w:val="clear" w:color="auto" w:fill="F0F4F8"/>
          </w:tcPr>
          <w:p>
            <w:pPr>
              <w:spacing w:after="40" w:before="40"/>
            </w:pPr>
            <w:r/>
            <w:r>
              <w:rPr>
                <w:rFonts w:ascii="Times New Roman" w:hAnsi="Times New Roman" w:eastAsia="宋体"/>
                <w:b w:val="0"/>
                <w:i w:val="0"/>
                <w:sz w:val="20"/>
              </w:rPr>
              <w:t>Fischer-Burmeister函数</w:t>
            </w:r>
          </w:p>
        </w:tc>
        <w:tc>
          <w:tcPr>
            <w:tcW w:type="dxa" w:w="2126"/>
            <w:shd w:val="clear" w:color="auto" w:fill="F0F4F8"/>
          </w:tcPr>
          <w:p>
            <w:pPr>
              <w:spacing w:after="40" w:before="40"/>
            </w:pPr>
            <w:r/>
            <w:r>
              <w:rPr>
                <w:rFonts w:ascii="Times New Roman" w:hAnsi="Times New Roman" w:eastAsia="宋体"/>
                <w:b w:val="0"/>
                <w:i w:val="0"/>
                <w:sz w:val="20"/>
              </w:rPr>
              <w:t>Fischer-Burmeister Function</w:t>
            </w:r>
          </w:p>
        </w:tc>
        <w:tc>
          <w:tcPr>
            <w:tcW w:type="dxa" w:w="2126"/>
            <w:shd w:val="clear" w:color="auto" w:fill="F0F4F8"/>
          </w:tcPr>
          <w:p>
            <w:pPr>
              <w:spacing w:after="40" w:before="40"/>
            </w:pPr>
            <w:r/>
            <w:r>
              <w:rPr>
                <w:rFonts w:ascii="Times New Roman" w:hAnsi="Times New Roman" w:eastAsia="宋体"/>
                <w:b w:val="0"/>
                <w:i w:val="0"/>
                <w:sz w:val="20"/>
              </w:rPr>
              <w:t>φ(a,b) = √(a² + b²) - a - b，用于将互补条件转化为非光滑方程的NCP函数</w:t>
            </w:r>
          </w:p>
        </w:tc>
      </w:tr>
      <w:tr>
        <w:tc>
          <w:tcPr>
            <w:tcW w:type="dxa" w:w="2126"/>
          </w:tcPr>
          <w:p>
            <w:pPr>
              <w:spacing w:after="40" w:before="40"/>
            </w:pPr>
            <w:r/>
            <w:r>
              <w:rPr>
                <w:rFonts w:ascii="Times New Roman" w:hAnsi="Times New Roman" w:eastAsia="宋体"/>
                <w:b w:val="0"/>
                <w:i w:val="0"/>
                <w:sz w:val="20"/>
              </w:rPr>
              <w:t>17</w:t>
            </w:r>
          </w:p>
        </w:tc>
        <w:tc>
          <w:tcPr>
            <w:tcW w:type="dxa" w:w="2126"/>
          </w:tcPr>
          <w:p>
            <w:pPr>
              <w:spacing w:after="40" w:before="40"/>
            </w:pPr>
            <w:r/>
            <w:r>
              <w:rPr>
                <w:rFonts w:ascii="Times New Roman" w:hAnsi="Times New Roman" w:eastAsia="宋体"/>
                <w:b w:val="0"/>
                <w:i w:val="0"/>
                <w:sz w:val="20"/>
              </w:rPr>
              <w:t>光滑化参数</w:t>
            </w:r>
          </w:p>
        </w:tc>
        <w:tc>
          <w:tcPr>
            <w:tcW w:type="dxa" w:w="2126"/>
          </w:tcPr>
          <w:p>
            <w:pPr>
              <w:spacing w:after="40" w:before="40"/>
            </w:pPr>
            <w:r/>
            <w:r>
              <w:rPr>
                <w:rFonts w:ascii="Times New Roman" w:hAnsi="Times New Roman" w:eastAsia="宋体"/>
                <w:b w:val="0"/>
                <w:i w:val="0"/>
                <w:sz w:val="20"/>
              </w:rPr>
              <w:t>Smoothing Parameter</w:t>
            </w:r>
          </w:p>
        </w:tc>
        <w:tc>
          <w:tcPr>
            <w:tcW w:type="dxa" w:w="2126"/>
          </w:tcPr>
          <w:p>
            <w:pPr>
              <w:spacing w:after="40" w:before="40"/>
            </w:pPr>
            <w:r/>
            <w:r>
              <w:rPr>
                <w:rFonts w:ascii="Times New Roman" w:hAnsi="Times New Roman" w:eastAsia="宋体"/>
                <w:b w:val="0"/>
                <w:i w:val="0"/>
                <w:sz w:val="20"/>
              </w:rPr>
              <w:t>控制光滑化逼近程度的正参数μ，当μ→0时光滑函数逼近原非光滑函数</w:t>
            </w:r>
          </w:p>
        </w:tc>
      </w:tr>
      <w:tr>
        <w:tc>
          <w:tcPr>
            <w:tcW w:type="dxa" w:w="2126"/>
            <w:shd w:val="clear" w:color="auto" w:fill="F0F4F8"/>
          </w:tcPr>
          <w:p>
            <w:pPr>
              <w:spacing w:after="40" w:before="40"/>
            </w:pPr>
            <w:r/>
            <w:r>
              <w:rPr>
                <w:rFonts w:ascii="Times New Roman" w:hAnsi="Times New Roman" w:eastAsia="宋体"/>
                <w:b w:val="0"/>
                <w:i w:val="0"/>
                <w:sz w:val="20"/>
              </w:rPr>
              <w:t>18</w:t>
            </w:r>
          </w:p>
        </w:tc>
        <w:tc>
          <w:tcPr>
            <w:tcW w:type="dxa" w:w="2126"/>
            <w:shd w:val="clear" w:color="auto" w:fill="F0F4F8"/>
          </w:tcPr>
          <w:p>
            <w:pPr>
              <w:spacing w:after="40" w:before="40"/>
            </w:pPr>
            <w:r/>
            <w:r>
              <w:rPr>
                <w:rFonts w:ascii="Times New Roman" w:hAnsi="Times New Roman" w:eastAsia="宋体"/>
                <w:b w:val="0"/>
                <w:i w:val="0"/>
                <w:sz w:val="20"/>
              </w:rPr>
              <w:t>光滑牛顿法</w:t>
            </w:r>
          </w:p>
        </w:tc>
        <w:tc>
          <w:tcPr>
            <w:tcW w:type="dxa" w:w="2126"/>
            <w:shd w:val="clear" w:color="auto" w:fill="F0F4F8"/>
          </w:tcPr>
          <w:p>
            <w:pPr>
              <w:spacing w:after="40" w:before="40"/>
            </w:pPr>
            <w:r/>
            <w:r>
              <w:rPr>
                <w:rFonts w:ascii="Times New Roman" w:hAnsi="Times New Roman" w:eastAsia="宋体"/>
                <w:b w:val="0"/>
                <w:i w:val="0"/>
                <w:sz w:val="20"/>
              </w:rPr>
              <w:t>Smoothing Newton Method</w:t>
            </w:r>
          </w:p>
        </w:tc>
        <w:tc>
          <w:tcPr>
            <w:tcW w:type="dxa" w:w="2126"/>
            <w:shd w:val="clear" w:color="auto" w:fill="F0F4F8"/>
          </w:tcPr>
          <w:p>
            <w:pPr>
              <w:spacing w:after="40" w:before="40"/>
            </w:pPr>
            <w:r/>
            <w:r>
              <w:rPr>
                <w:rFonts w:ascii="Times New Roman" w:hAnsi="Times New Roman" w:eastAsia="宋体"/>
                <w:b w:val="0"/>
                <w:i w:val="0"/>
                <w:sz w:val="20"/>
              </w:rPr>
              <w:t>通过光滑化逼近将非光滑方程转化为可微方程，再用牛顿法求解的算法</w:t>
            </w:r>
          </w:p>
        </w:tc>
      </w:tr>
      <w:tr>
        <w:tc>
          <w:tcPr>
            <w:tcW w:type="dxa" w:w="2126"/>
          </w:tcPr>
          <w:p>
            <w:pPr>
              <w:spacing w:after="40" w:before="40"/>
            </w:pPr>
            <w:r/>
            <w:r>
              <w:rPr>
                <w:rFonts w:ascii="Times New Roman" w:hAnsi="Times New Roman" w:eastAsia="宋体"/>
                <w:b w:val="0"/>
                <w:i w:val="0"/>
                <w:sz w:val="20"/>
              </w:rPr>
              <w:t>19</w:t>
            </w:r>
          </w:p>
        </w:tc>
        <w:tc>
          <w:tcPr>
            <w:tcW w:type="dxa" w:w="2126"/>
          </w:tcPr>
          <w:p>
            <w:pPr>
              <w:spacing w:after="40" w:before="40"/>
            </w:pPr>
            <w:r/>
            <w:r>
              <w:rPr>
                <w:rFonts w:ascii="Times New Roman" w:hAnsi="Times New Roman" w:eastAsia="宋体"/>
                <w:b w:val="0"/>
                <w:i w:val="0"/>
                <w:sz w:val="20"/>
              </w:rPr>
              <w:t>互补问题</w:t>
            </w:r>
          </w:p>
        </w:tc>
        <w:tc>
          <w:tcPr>
            <w:tcW w:type="dxa" w:w="2126"/>
          </w:tcPr>
          <w:p>
            <w:pPr>
              <w:spacing w:after="40" w:before="40"/>
            </w:pPr>
            <w:r/>
            <w:r>
              <w:rPr>
                <w:rFonts w:ascii="Times New Roman" w:hAnsi="Times New Roman" w:eastAsia="宋体"/>
                <w:b w:val="0"/>
                <w:i w:val="0"/>
                <w:sz w:val="20"/>
              </w:rPr>
              <w:t>Complementarity Problem</w:t>
            </w:r>
          </w:p>
        </w:tc>
        <w:tc>
          <w:tcPr>
            <w:tcW w:type="dxa" w:w="2126"/>
          </w:tcPr>
          <w:p>
            <w:pPr>
              <w:spacing w:after="40" w:before="40"/>
            </w:pPr>
            <w:r/>
            <w:r>
              <w:rPr>
                <w:rFonts w:ascii="Times New Roman" w:hAnsi="Times New Roman" w:eastAsia="宋体"/>
                <w:b w:val="0"/>
                <w:i w:val="0"/>
                <w:sz w:val="20"/>
              </w:rPr>
              <w:t>寻找x ≥ 0使得F(x) ≥ 0且x^T F(x) = 0的数学问题，是KKT条件的推广形式</w:t>
            </w:r>
          </w:p>
        </w:tc>
      </w:tr>
      <w:tr>
        <w:tc>
          <w:tcPr>
            <w:tcW w:type="dxa" w:w="2126"/>
            <w:shd w:val="clear" w:color="auto" w:fill="F0F4F8"/>
          </w:tcPr>
          <w:p>
            <w:pPr>
              <w:spacing w:after="40" w:before="40"/>
            </w:pPr>
            <w:r/>
            <w:r>
              <w:rPr>
                <w:rFonts w:ascii="Times New Roman" w:hAnsi="Times New Roman" w:eastAsia="宋体"/>
                <w:b w:val="0"/>
                <w:i w:val="0"/>
                <w:sz w:val="20"/>
              </w:rPr>
              <w:t>20</w:t>
            </w:r>
          </w:p>
        </w:tc>
        <w:tc>
          <w:tcPr>
            <w:tcW w:type="dxa" w:w="2126"/>
            <w:shd w:val="clear" w:color="auto" w:fill="F0F4F8"/>
          </w:tcPr>
          <w:p>
            <w:pPr>
              <w:spacing w:after="40" w:before="40"/>
            </w:pPr>
            <w:r/>
            <w:r>
              <w:rPr>
                <w:rFonts w:ascii="Times New Roman" w:hAnsi="Times New Roman" w:eastAsia="宋体"/>
                <w:b w:val="0"/>
                <w:i w:val="0"/>
                <w:sz w:val="20"/>
              </w:rPr>
              <w:t>混合整数规划</w:t>
            </w:r>
          </w:p>
        </w:tc>
        <w:tc>
          <w:tcPr>
            <w:tcW w:type="dxa" w:w="2126"/>
            <w:shd w:val="clear" w:color="auto" w:fill="F0F4F8"/>
          </w:tcPr>
          <w:p>
            <w:pPr>
              <w:spacing w:after="40" w:before="40"/>
            </w:pPr>
            <w:r/>
            <w:r>
              <w:rPr>
                <w:rFonts w:ascii="Times New Roman" w:hAnsi="Times New Roman" w:eastAsia="宋体"/>
                <w:b w:val="0"/>
                <w:i w:val="0"/>
                <w:sz w:val="20"/>
              </w:rPr>
              <w:t>Mixed Integer Programming (MIP)</w:t>
            </w:r>
          </w:p>
        </w:tc>
        <w:tc>
          <w:tcPr>
            <w:tcW w:type="dxa" w:w="2126"/>
            <w:shd w:val="clear" w:color="auto" w:fill="F0F4F8"/>
          </w:tcPr>
          <w:p>
            <w:pPr>
              <w:spacing w:after="40" w:before="40"/>
            </w:pPr>
            <w:r/>
            <w:r>
              <w:rPr>
                <w:rFonts w:ascii="Times New Roman" w:hAnsi="Times New Roman" w:eastAsia="宋体"/>
                <w:b w:val="0"/>
                <w:i w:val="0"/>
                <w:sz w:val="20"/>
              </w:rPr>
              <w:t>同时包含连续变量和整数变量的优化问题，在机组组合优化中广泛应用</w:t>
            </w:r>
          </w:p>
        </w:tc>
      </w:tr>
      <w:tr>
        <w:tc>
          <w:tcPr>
            <w:tcW w:type="dxa" w:w="2126"/>
          </w:tcPr>
          <w:p>
            <w:pPr>
              <w:spacing w:after="40" w:before="40"/>
            </w:pPr>
            <w:r/>
            <w:r>
              <w:rPr>
                <w:rFonts w:ascii="Times New Roman" w:hAnsi="Times New Roman" w:eastAsia="宋体"/>
                <w:b w:val="0"/>
                <w:i w:val="0"/>
                <w:sz w:val="20"/>
              </w:rPr>
              <w:t>21</w:t>
            </w:r>
          </w:p>
        </w:tc>
        <w:tc>
          <w:tcPr>
            <w:tcW w:type="dxa" w:w="2126"/>
          </w:tcPr>
          <w:p>
            <w:pPr>
              <w:spacing w:after="40" w:before="40"/>
            </w:pPr>
            <w:r/>
            <w:r>
              <w:rPr>
                <w:rFonts w:ascii="Times New Roman" w:hAnsi="Times New Roman" w:eastAsia="宋体"/>
                <w:b w:val="0"/>
                <w:i w:val="0"/>
                <w:sz w:val="20"/>
              </w:rPr>
              <w:t>KKT条件</w:t>
            </w:r>
          </w:p>
        </w:tc>
        <w:tc>
          <w:tcPr>
            <w:tcW w:type="dxa" w:w="2126"/>
          </w:tcPr>
          <w:p>
            <w:pPr>
              <w:spacing w:after="40" w:before="40"/>
            </w:pPr>
            <w:r/>
            <w:r>
              <w:rPr>
                <w:rFonts w:ascii="Times New Roman" w:hAnsi="Times New Roman" w:eastAsia="宋体"/>
                <w:b w:val="0"/>
                <w:i w:val="0"/>
                <w:sz w:val="20"/>
              </w:rPr>
              <w:t>Karush-Kuhn-Tucker Conditions</w:t>
            </w:r>
          </w:p>
        </w:tc>
        <w:tc>
          <w:tcPr>
            <w:tcW w:type="dxa" w:w="2126"/>
          </w:tcPr>
          <w:p>
            <w:pPr>
              <w:spacing w:after="40" w:before="40"/>
            </w:pPr>
            <w:r/>
            <w:r>
              <w:rPr>
                <w:rFonts w:ascii="Times New Roman" w:hAnsi="Times New Roman" w:eastAsia="宋体"/>
                <w:b w:val="0"/>
                <w:i w:val="0"/>
                <w:sz w:val="20"/>
              </w:rPr>
              <w:t>约束优化问题最优解的必要条件，包含稳定性、原始可行、对偶可行和互补松弛</w:t>
            </w:r>
          </w:p>
        </w:tc>
      </w:tr>
      <w:tr>
        <w:tc>
          <w:tcPr>
            <w:tcW w:type="dxa" w:w="2126"/>
            <w:shd w:val="clear" w:color="auto" w:fill="F0F4F8"/>
          </w:tcPr>
          <w:p>
            <w:pPr>
              <w:spacing w:after="40" w:before="40"/>
            </w:pPr>
            <w:r/>
            <w:r>
              <w:rPr>
                <w:rFonts w:ascii="Times New Roman" w:hAnsi="Times New Roman" w:eastAsia="宋体"/>
                <w:b w:val="0"/>
                <w:i w:val="0"/>
                <w:sz w:val="20"/>
              </w:rPr>
              <w:t>22</w:t>
            </w:r>
          </w:p>
        </w:tc>
        <w:tc>
          <w:tcPr>
            <w:tcW w:type="dxa" w:w="2126"/>
            <w:shd w:val="clear" w:color="auto" w:fill="F0F4F8"/>
          </w:tcPr>
          <w:p>
            <w:pPr>
              <w:spacing w:after="40" w:before="40"/>
            </w:pPr>
            <w:r/>
            <w:r>
              <w:rPr>
                <w:rFonts w:ascii="Times New Roman" w:hAnsi="Times New Roman" w:eastAsia="宋体"/>
                <w:b w:val="0"/>
                <w:i w:val="0"/>
                <w:sz w:val="20"/>
              </w:rPr>
              <w:t>拉格朗日乘子</w:t>
            </w:r>
          </w:p>
        </w:tc>
        <w:tc>
          <w:tcPr>
            <w:tcW w:type="dxa" w:w="2126"/>
            <w:shd w:val="clear" w:color="auto" w:fill="F0F4F8"/>
          </w:tcPr>
          <w:p>
            <w:pPr>
              <w:spacing w:after="40" w:before="40"/>
            </w:pPr>
            <w:r/>
            <w:r>
              <w:rPr>
                <w:rFonts w:ascii="Times New Roman" w:hAnsi="Times New Roman" w:eastAsia="宋体"/>
                <w:b w:val="0"/>
                <w:i w:val="0"/>
                <w:sz w:val="20"/>
              </w:rPr>
              <w:t>Lagrange Multiplier</w:t>
            </w:r>
          </w:p>
        </w:tc>
        <w:tc>
          <w:tcPr>
            <w:tcW w:type="dxa" w:w="2126"/>
            <w:shd w:val="clear" w:color="auto" w:fill="F0F4F8"/>
          </w:tcPr>
          <w:p>
            <w:pPr>
              <w:spacing w:after="40" w:before="40"/>
            </w:pPr>
            <w:r/>
            <w:r>
              <w:rPr>
                <w:rFonts w:ascii="Times New Roman" w:hAnsi="Times New Roman" w:eastAsia="宋体"/>
                <w:b w:val="0"/>
                <w:i w:val="0"/>
                <w:sz w:val="20"/>
              </w:rPr>
              <w:t>约束优化中对偶变量的经济解释，在实时定价中对应影子价格</w:t>
            </w:r>
          </w:p>
        </w:tc>
      </w:tr>
      <w:tr>
        <w:tc>
          <w:tcPr>
            <w:tcW w:type="dxa" w:w="2126"/>
          </w:tcPr>
          <w:p>
            <w:pPr>
              <w:spacing w:after="40" w:before="40"/>
            </w:pPr>
            <w:r/>
            <w:r>
              <w:rPr>
                <w:rFonts w:ascii="Times New Roman" w:hAnsi="Times New Roman" w:eastAsia="宋体"/>
                <w:b w:val="0"/>
                <w:i w:val="0"/>
                <w:sz w:val="20"/>
              </w:rPr>
              <w:t>23</w:t>
            </w:r>
          </w:p>
        </w:tc>
        <w:tc>
          <w:tcPr>
            <w:tcW w:type="dxa" w:w="2126"/>
          </w:tcPr>
          <w:p>
            <w:pPr>
              <w:spacing w:after="40" w:before="40"/>
            </w:pPr>
            <w:r/>
            <w:r>
              <w:rPr>
                <w:rFonts w:ascii="Times New Roman" w:hAnsi="Times New Roman" w:eastAsia="宋体"/>
                <w:b w:val="0"/>
                <w:i w:val="0"/>
                <w:sz w:val="20"/>
              </w:rPr>
              <w:t>鲁棒优化</w:t>
            </w:r>
          </w:p>
        </w:tc>
        <w:tc>
          <w:tcPr>
            <w:tcW w:type="dxa" w:w="2126"/>
          </w:tcPr>
          <w:p>
            <w:pPr>
              <w:spacing w:after="40" w:before="40"/>
            </w:pPr>
            <w:r/>
            <w:r>
              <w:rPr>
                <w:rFonts w:ascii="Times New Roman" w:hAnsi="Times New Roman" w:eastAsia="宋体"/>
                <w:b w:val="0"/>
                <w:i w:val="0"/>
                <w:sz w:val="20"/>
              </w:rPr>
              <w:t>Robust Optimization</w:t>
            </w:r>
          </w:p>
        </w:tc>
        <w:tc>
          <w:tcPr>
            <w:tcW w:type="dxa" w:w="2126"/>
          </w:tcPr>
          <w:p>
            <w:pPr>
              <w:spacing w:after="40" w:before="40"/>
            </w:pPr>
            <w:r/>
            <w:r>
              <w:rPr>
                <w:rFonts w:ascii="Times New Roman" w:hAnsi="Times New Roman" w:eastAsia="宋体"/>
                <w:b w:val="0"/>
                <w:i w:val="0"/>
                <w:sz w:val="20"/>
              </w:rPr>
              <w:t>在最坏情况不确定性下求最优决策的优化方法，保证解对所有可能场景可行</w:t>
            </w:r>
          </w:p>
        </w:tc>
      </w:tr>
      <w:tr>
        <w:tc>
          <w:tcPr>
            <w:tcW w:type="dxa" w:w="2126"/>
            <w:shd w:val="clear" w:color="auto" w:fill="F0F4F8"/>
          </w:tcPr>
          <w:p>
            <w:pPr>
              <w:spacing w:after="40" w:before="40"/>
            </w:pPr>
            <w:r/>
            <w:r>
              <w:rPr>
                <w:rFonts w:ascii="Times New Roman" w:hAnsi="Times New Roman" w:eastAsia="宋体"/>
                <w:b w:val="0"/>
                <w:i w:val="0"/>
                <w:sz w:val="20"/>
              </w:rPr>
              <w:t>24</w:t>
            </w:r>
          </w:p>
        </w:tc>
        <w:tc>
          <w:tcPr>
            <w:tcW w:type="dxa" w:w="2126"/>
            <w:shd w:val="clear" w:color="auto" w:fill="F0F4F8"/>
          </w:tcPr>
          <w:p>
            <w:pPr>
              <w:spacing w:after="40" w:before="40"/>
            </w:pPr>
            <w:r/>
            <w:r>
              <w:rPr>
                <w:rFonts w:ascii="Times New Roman" w:hAnsi="Times New Roman" w:eastAsia="宋体"/>
                <w:b w:val="0"/>
                <w:i w:val="0"/>
                <w:sz w:val="20"/>
              </w:rPr>
              <w:t>纳什均衡</w:t>
            </w:r>
          </w:p>
        </w:tc>
        <w:tc>
          <w:tcPr>
            <w:tcW w:type="dxa" w:w="2126"/>
            <w:shd w:val="clear" w:color="auto" w:fill="F0F4F8"/>
          </w:tcPr>
          <w:p>
            <w:pPr>
              <w:spacing w:after="40" w:before="40"/>
            </w:pPr>
            <w:r/>
            <w:r>
              <w:rPr>
                <w:rFonts w:ascii="Times New Roman" w:hAnsi="Times New Roman" w:eastAsia="宋体"/>
                <w:b w:val="0"/>
                <w:i w:val="0"/>
                <w:sz w:val="20"/>
              </w:rPr>
              <w:t>Nash Equilibrium</w:t>
            </w:r>
          </w:p>
        </w:tc>
        <w:tc>
          <w:tcPr>
            <w:tcW w:type="dxa" w:w="2126"/>
            <w:shd w:val="clear" w:color="auto" w:fill="F0F4F8"/>
          </w:tcPr>
          <w:p>
            <w:pPr>
              <w:spacing w:after="40" w:before="40"/>
            </w:pPr>
            <w:r/>
            <w:r>
              <w:rPr>
                <w:rFonts w:ascii="Times New Roman" w:hAnsi="Times New Roman" w:eastAsia="宋体"/>
                <w:b w:val="0"/>
                <w:i w:val="0"/>
                <w:sz w:val="20"/>
              </w:rPr>
              <w:t>博弈中每个参与者策略是对他人策略最优响应的策略组合</w:t>
            </w:r>
          </w:p>
        </w:tc>
      </w:tr>
      <w:tr>
        <w:tc>
          <w:tcPr>
            <w:tcW w:type="dxa" w:w="2126"/>
          </w:tcPr>
          <w:p>
            <w:pPr>
              <w:spacing w:after="40" w:before="40"/>
            </w:pPr>
            <w:r/>
            <w:r>
              <w:rPr>
                <w:rFonts w:ascii="Times New Roman" w:hAnsi="Times New Roman" w:eastAsia="宋体"/>
                <w:b w:val="0"/>
                <w:i w:val="0"/>
                <w:sz w:val="20"/>
              </w:rPr>
              <w:t>25</w:t>
            </w:r>
          </w:p>
        </w:tc>
        <w:tc>
          <w:tcPr>
            <w:tcW w:type="dxa" w:w="2126"/>
          </w:tcPr>
          <w:p>
            <w:pPr>
              <w:spacing w:after="40" w:before="40"/>
            </w:pPr>
            <w:r/>
            <w:r>
              <w:rPr>
                <w:rFonts w:ascii="Times New Roman" w:hAnsi="Times New Roman" w:eastAsia="宋体"/>
                <w:b w:val="0"/>
                <w:i w:val="0"/>
                <w:sz w:val="20"/>
              </w:rPr>
              <w:t>内点法</w:t>
            </w:r>
          </w:p>
        </w:tc>
        <w:tc>
          <w:tcPr>
            <w:tcW w:type="dxa" w:w="2126"/>
          </w:tcPr>
          <w:p>
            <w:pPr>
              <w:spacing w:after="40" w:before="40"/>
            </w:pPr>
            <w:r/>
            <w:r>
              <w:rPr>
                <w:rFonts w:ascii="Times New Roman" w:hAnsi="Times New Roman" w:eastAsia="宋体"/>
                <w:b w:val="0"/>
                <w:i w:val="0"/>
                <w:sz w:val="20"/>
              </w:rPr>
              <w:t>Interior Point Method</w:t>
            </w:r>
          </w:p>
        </w:tc>
        <w:tc>
          <w:tcPr>
            <w:tcW w:type="dxa" w:w="2126"/>
          </w:tcPr>
          <w:p>
            <w:pPr>
              <w:spacing w:after="40" w:before="40"/>
            </w:pPr>
            <w:r/>
            <w:r>
              <w:rPr>
                <w:rFonts w:ascii="Times New Roman" w:hAnsi="Times New Roman" w:eastAsia="宋体"/>
                <w:b w:val="0"/>
                <w:i w:val="0"/>
                <w:sz w:val="20"/>
              </w:rPr>
              <w:t>通过障碍函数保持迭代点在可行域内部，沿中心路径逼近最优解的优化算法</w:t>
            </w:r>
          </w:p>
        </w:tc>
      </w:tr>
      <w:tr>
        <w:tc>
          <w:tcPr>
            <w:tcW w:type="dxa" w:w="2126"/>
            <w:shd w:val="clear" w:color="auto" w:fill="F0F4F8"/>
          </w:tcPr>
          <w:p>
            <w:pPr>
              <w:spacing w:after="40" w:before="40"/>
            </w:pPr>
            <w:r/>
            <w:r>
              <w:rPr>
                <w:rFonts w:ascii="Times New Roman" w:hAnsi="Times New Roman" w:eastAsia="宋体"/>
                <w:b w:val="0"/>
                <w:i w:val="0"/>
                <w:sz w:val="20"/>
              </w:rPr>
              <w:t>26</w:t>
            </w:r>
          </w:p>
        </w:tc>
        <w:tc>
          <w:tcPr>
            <w:tcW w:type="dxa" w:w="2126"/>
            <w:shd w:val="clear" w:color="auto" w:fill="F0F4F8"/>
          </w:tcPr>
          <w:p>
            <w:pPr>
              <w:spacing w:after="40" w:before="40"/>
            </w:pPr>
            <w:r/>
            <w:r>
              <w:rPr>
                <w:rFonts w:ascii="Times New Roman" w:hAnsi="Times New Roman" w:eastAsia="宋体"/>
                <w:b w:val="0"/>
                <w:i w:val="0"/>
                <w:sz w:val="20"/>
              </w:rPr>
              <w:t>社会福利</w:t>
            </w:r>
          </w:p>
        </w:tc>
        <w:tc>
          <w:tcPr>
            <w:tcW w:type="dxa" w:w="2126"/>
            <w:shd w:val="clear" w:color="auto" w:fill="F0F4F8"/>
          </w:tcPr>
          <w:p>
            <w:pPr>
              <w:spacing w:after="40" w:before="40"/>
            </w:pPr>
            <w:r/>
            <w:r>
              <w:rPr>
                <w:rFonts w:ascii="Times New Roman" w:hAnsi="Times New Roman" w:eastAsia="宋体"/>
                <w:b w:val="0"/>
                <w:i w:val="0"/>
                <w:sz w:val="20"/>
              </w:rPr>
              <w:t>Social Welfare</w:t>
            </w:r>
          </w:p>
        </w:tc>
        <w:tc>
          <w:tcPr>
            <w:tcW w:type="dxa" w:w="2126"/>
            <w:shd w:val="clear" w:color="auto" w:fill="F0F4F8"/>
          </w:tcPr>
          <w:p>
            <w:pPr>
              <w:spacing w:after="40" w:before="40"/>
            </w:pPr>
            <w:r/>
            <w:r>
              <w:rPr>
                <w:rFonts w:ascii="Times New Roman" w:hAnsi="Times New Roman" w:eastAsia="宋体"/>
                <w:b w:val="0"/>
                <w:i w:val="0"/>
                <w:sz w:val="20"/>
              </w:rPr>
              <w:t>所有市场参与者效用之和减去总成本，是实时定价优化的核心目标函数</w:t>
            </w:r>
          </w:p>
        </w:tc>
      </w:tr>
      <w:tr>
        <w:tc>
          <w:tcPr>
            <w:tcW w:type="dxa" w:w="2126"/>
          </w:tcPr>
          <w:p>
            <w:pPr>
              <w:spacing w:after="40" w:before="40"/>
            </w:pPr>
            <w:r/>
            <w:r>
              <w:rPr>
                <w:rFonts w:ascii="Times New Roman" w:hAnsi="Times New Roman" w:eastAsia="宋体"/>
                <w:b w:val="0"/>
                <w:i w:val="0"/>
                <w:sz w:val="20"/>
              </w:rPr>
              <w:t>27</w:t>
            </w:r>
          </w:p>
        </w:tc>
        <w:tc>
          <w:tcPr>
            <w:tcW w:type="dxa" w:w="2126"/>
          </w:tcPr>
          <w:p>
            <w:pPr>
              <w:spacing w:after="40" w:before="40"/>
            </w:pPr>
            <w:r/>
            <w:r>
              <w:rPr>
                <w:rFonts w:ascii="Times New Roman" w:hAnsi="Times New Roman" w:eastAsia="宋体"/>
                <w:b w:val="0"/>
                <w:i w:val="0"/>
                <w:sz w:val="20"/>
              </w:rPr>
              <w:t>Stackelberg博弈</w:t>
            </w:r>
          </w:p>
        </w:tc>
        <w:tc>
          <w:tcPr>
            <w:tcW w:type="dxa" w:w="2126"/>
          </w:tcPr>
          <w:p>
            <w:pPr>
              <w:spacing w:after="40" w:before="40"/>
            </w:pPr>
            <w:r/>
            <w:r>
              <w:rPr>
                <w:rFonts w:ascii="Times New Roman" w:hAnsi="Times New Roman" w:eastAsia="宋体"/>
                <w:b w:val="0"/>
                <w:i w:val="0"/>
                <w:sz w:val="20"/>
              </w:rPr>
              <w:t>Stackelberg Game</w:t>
            </w:r>
          </w:p>
        </w:tc>
        <w:tc>
          <w:tcPr>
            <w:tcW w:type="dxa" w:w="2126"/>
          </w:tcPr>
          <w:p>
            <w:pPr>
              <w:spacing w:after="40" w:before="40"/>
            </w:pPr>
            <w:r/>
            <w:r>
              <w:rPr>
                <w:rFonts w:ascii="Times New Roman" w:hAnsi="Times New Roman" w:eastAsia="宋体"/>
                <w:b w:val="0"/>
                <w:i w:val="0"/>
                <w:sz w:val="20"/>
              </w:rPr>
              <w:t>有领导者先决策、追随者后决策的动态博弈模型</w:t>
            </w:r>
          </w:p>
        </w:tc>
      </w:tr>
      <w:tr>
        <w:tc>
          <w:tcPr>
            <w:tcW w:type="dxa" w:w="2126"/>
            <w:shd w:val="clear" w:color="auto" w:fill="F0F4F8"/>
          </w:tcPr>
          <w:p>
            <w:pPr>
              <w:spacing w:after="40" w:before="40"/>
            </w:pPr>
            <w:r/>
            <w:r>
              <w:rPr>
                <w:rFonts w:ascii="Times New Roman" w:hAnsi="Times New Roman" w:eastAsia="宋体"/>
                <w:b w:val="0"/>
                <w:i w:val="0"/>
                <w:sz w:val="20"/>
              </w:rPr>
              <w:t>28</w:t>
            </w:r>
          </w:p>
        </w:tc>
        <w:tc>
          <w:tcPr>
            <w:tcW w:type="dxa" w:w="2126"/>
            <w:shd w:val="clear" w:color="auto" w:fill="F0F4F8"/>
          </w:tcPr>
          <w:p>
            <w:pPr>
              <w:spacing w:after="40" w:before="40"/>
            </w:pPr>
            <w:r/>
            <w:r>
              <w:rPr>
                <w:rFonts w:ascii="Times New Roman" w:hAnsi="Times New Roman" w:eastAsia="宋体"/>
                <w:b w:val="0"/>
                <w:i w:val="0"/>
                <w:sz w:val="20"/>
              </w:rPr>
              <w:t>双层规划</w:t>
            </w:r>
          </w:p>
        </w:tc>
        <w:tc>
          <w:tcPr>
            <w:tcW w:type="dxa" w:w="2126"/>
            <w:shd w:val="clear" w:color="auto" w:fill="F0F4F8"/>
          </w:tcPr>
          <w:p>
            <w:pPr>
              <w:spacing w:after="40" w:before="40"/>
            </w:pPr>
            <w:r/>
            <w:r>
              <w:rPr>
                <w:rFonts w:ascii="Times New Roman" w:hAnsi="Times New Roman" w:eastAsia="宋体"/>
                <w:b w:val="0"/>
                <w:i w:val="0"/>
                <w:sz w:val="20"/>
              </w:rPr>
              <w:t>Bilevel Programming</w:t>
            </w:r>
          </w:p>
        </w:tc>
        <w:tc>
          <w:tcPr>
            <w:tcW w:type="dxa" w:w="2126"/>
            <w:shd w:val="clear" w:color="auto" w:fill="F0F4F8"/>
          </w:tcPr>
          <w:p>
            <w:pPr>
              <w:spacing w:after="40" w:before="40"/>
            </w:pPr>
            <w:r/>
            <w:r>
              <w:rPr>
                <w:rFonts w:ascii="Times New Roman" w:hAnsi="Times New Roman" w:eastAsia="宋体"/>
                <w:b w:val="0"/>
                <w:i w:val="0"/>
                <w:sz w:val="20"/>
              </w:rPr>
              <w:t>上层和下层各有目标函数和约束的递阶优化问题</w:t>
            </w:r>
          </w:p>
        </w:tc>
      </w:tr>
      <w:tr>
        <w:tc>
          <w:tcPr>
            <w:tcW w:type="dxa" w:w="2126"/>
          </w:tcPr>
          <w:p>
            <w:pPr>
              <w:spacing w:after="40" w:before="40"/>
            </w:pPr>
            <w:r/>
            <w:r>
              <w:rPr>
                <w:rFonts w:ascii="Times New Roman" w:hAnsi="Times New Roman" w:eastAsia="宋体"/>
                <w:b w:val="0"/>
                <w:i w:val="0"/>
                <w:sz w:val="20"/>
              </w:rPr>
              <w:t>29</w:t>
            </w:r>
          </w:p>
        </w:tc>
        <w:tc>
          <w:tcPr>
            <w:tcW w:type="dxa" w:w="2126"/>
          </w:tcPr>
          <w:p>
            <w:pPr>
              <w:spacing w:after="40" w:before="40"/>
            </w:pPr>
            <w:r/>
            <w:r>
              <w:rPr>
                <w:rFonts w:ascii="Times New Roman" w:hAnsi="Times New Roman" w:eastAsia="宋体"/>
                <w:b w:val="0"/>
                <w:i w:val="0"/>
                <w:sz w:val="20"/>
              </w:rPr>
              <w:t>随机规划</w:t>
            </w:r>
          </w:p>
        </w:tc>
        <w:tc>
          <w:tcPr>
            <w:tcW w:type="dxa" w:w="2126"/>
          </w:tcPr>
          <w:p>
            <w:pPr>
              <w:spacing w:after="40" w:before="40"/>
            </w:pPr>
            <w:r/>
            <w:r>
              <w:rPr>
                <w:rFonts w:ascii="Times New Roman" w:hAnsi="Times New Roman" w:eastAsia="宋体"/>
                <w:b w:val="0"/>
                <w:i w:val="0"/>
                <w:sz w:val="20"/>
              </w:rPr>
              <w:t>Stochastic Programming</w:t>
            </w:r>
          </w:p>
        </w:tc>
        <w:tc>
          <w:tcPr>
            <w:tcW w:type="dxa" w:w="2126"/>
          </w:tcPr>
          <w:p>
            <w:pPr>
              <w:spacing w:after="40" w:before="40"/>
            </w:pPr>
            <w:r/>
            <w:r>
              <w:rPr>
                <w:rFonts w:ascii="Times New Roman" w:hAnsi="Times New Roman" w:eastAsia="宋体"/>
                <w:b w:val="0"/>
                <w:i w:val="0"/>
                <w:sz w:val="20"/>
              </w:rPr>
              <w:t>在随机变量概率分布已知条件下求最优决策的优化方法</w:t>
            </w:r>
          </w:p>
        </w:tc>
      </w:tr>
      <w:tr>
        <w:tc>
          <w:tcPr>
            <w:tcW w:type="dxa" w:w="2126"/>
            <w:shd w:val="clear" w:color="auto" w:fill="F0F4F8"/>
          </w:tcPr>
          <w:p>
            <w:pPr>
              <w:spacing w:after="40" w:before="40"/>
            </w:pPr>
            <w:r/>
            <w:r>
              <w:rPr>
                <w:rFonts w:ascii="Times New Roman" w:hAnsi="Times New Roman" w:eastAsia="宋体"/>
                <w:b w:val="0"/>
                <w:i w:val="0"/>
                <w:sz w:val="20"/>
              </w:rPr>
              <w:t>30</w:t>
            </w:r>
          </w:p>
        </w:tc>
        <w:tc>
          <w:tcPr>
            <w:tcW w:type="dxa" w:w="2126"/>
            <w:shd w:val="clear" w:color="auto" w:fill="F0F4F8"/>
          </w:tcPr>
          <w:p>
            <w:pPr>
              <w:spacing w:after="40" w:before="40"/>
            </w:pPr>
            <w:r/>
            <w:r>
              <w:rPr>
                <w:rFonts w:ascii="Times New Roman" w:hAnsi="Times New Roman" w:eastAsia="宋体"/>
                <w:b w:val="0"/>
                <w:i w:val="0"/>
                <w:sz w:val="20"/>
              </w:rPr>
              <w:t>次梯度算法</w:t>
            </w:r>
          </w:p>
        </w:tc>
        <w:tc>
          <w:tcPr>
            <w:tcW w:type="dxa" w:w="2126"/>
            <w:shd w:val="clear" w:color="auto" w:fill="F0F4F8"/>
          </w:tcPr>
          <w:p>
            <w:pPr>
              <w:spacing w:after="40" w:before="40"/>
            </w:pPr>
            <w:r/>
            <w:r>
              <w:rPr>
                <w:rFonts w:ascii="Times New Roman" w:hAnsi="Times New Roman" w:eastAsia="宋体"/>
                <w:b w:val="0"/>
                <w:i w:val="0"/>
                <w:sz w:val="20"/>
              </w:rPr>
              <w:t>Subgradient Method</w:t>
            </w:r>
          </w:p>
        </w:tc>
        <w:tc>
          <w:tcPr>
            <w:tcW w:type="dxa" w:w="2126"/>
            <w:shd w:val="clear" w:color="auto" w:fill="F0F4F8"/>
          </w:tcPr>
          <w:p>
            <w:pPr>
              <w:spacing w:after="40" w:before="40"/>
            </w:pPr>
            <w:r/>
            <w:r>
              <w:rPr>
                <w:rFonts w:ascii="Times New Roman" w:hAnsi="Times New Roman" w:eastAsia="宋体"/>
                <w:b w:val="0"/>
                <w:i w:val="0"/>
                <w:sz w:val="20"/>
              </w:rPr>
              <w:t>使用次梯度代替梯度进行迭代的非光滑优化算法</w:t>
            </w:r>
          </w:p>
        </w:tc>
      </w:tr>
      <w:tr>
        <w:tc>
          <w:tcPr>
            <w:tcW w:type="dxa" w:w="2126"/>
          </w:tcPr>
          <w:p>
            <w:pPr>
              <w:spacing w:after="40" w:before="40"/>
            </w:pPr>
            <w:r/>
            <w:r>
              <w:rPr>
                <w:rFonts w:ascii="Times New Roman" w:hAnsi="Times New Roman" w:eastAsia="宋体"/>
                <w:b w:val="0"/>
                <w:i w:val="0"/>
                <w:sz w:val="20"/>
              </w:rPr>
              <w:t>31</w:t>
            </w:r>
          </w:p>
        </w:tc>
        <w:tc>
          <w:tcPr>
            <w:tcW w:type="dxa" w:w="2126"/>
          </w:tcPr>
          <w:p>
            <w:pPr>
              <w:spacing w:after="40" w:before="40"/>
            </w:pPr>
            <w:r/>
            <w:r>
              <w:rPr>
                <w:rFonts w:ascii="Times New Roman" w:hAnsi="Times New Roman" w:eastAsia="宋体"/>
                <w:b w:val="0"/>
                <w:i w:val="0"/>
                <w:sz w:val="20"/>
              </w:rPr>
              <w:t>微电网</w:t>
            </w:r>
          </w:p>
        </w:tc>
        <w:tc>
          <w:tcPr>
            <w:tcW w:type="dxa" w:w="2126"/>
          </w:tcPr>
          <w:p>
            <w:pPr>
              <w:spacing w:after="40" w:before="40"/>
            </w:pPr>
            <w:r/>
            <w:r>
              <w:rPr>
                <w:rFonts w:ascii="Times New Roman" w:hAnsi="Times New Roman" w:eastAsia="宋体"/>
                <w:b w:val="0"/>
                <w:i w:val="0"/>
                <w:sz w:val="20"/>
              </w:rPr>
              <w:t>Microgrid</w:t>
            </w:r>
          </w:p>
        </w:tc>
        <w:tc>
          <w:tcPr>
            <w:tcW w:type="dxa" w:w="2126"/>
          </w:tcPr>
          <w:p>
            <w:pPr>
              <w:spacing w:after="40" w:before="40"/>
            </w:pPr>
            <w:r/>
            <w:r>
              <w:rPr>
                <w:rFonts w:ascii="Times New Roman" w:hAnsi="Times New Roman" w:eastAsia="宋体"/>
                <w:b w:val="0"/>
                <w:i w:val="0"/>
                <w:sz w:val="20"/>
              </w:rPr>
              <w:t>由分布式电源、储能、负荷和监控保护装置组成的局部电力系统</w:t>
            </w:r>
          </w:p>
        </w:tc>
      </w:tr>
      <w:tr>
        <w:tc>
          <w:tcPr>
            <w:tcW w:type="dxa" w:w="2126"/>
            <w:shd w:val="clear" w:color="auto" w:fill="F0F4F8"/>
          </w:tcPr>
          <w:p>
            <w:pPr>
              <w:spacing w:after="40" w:before="40"/>
            </w:pPr>
            <w:r/>
            <w:r>
              <w:rPr>
                <w:rFonts w:ascii="Times New Roman" w:hAnsi="Times New Roman" w:eastAsia="宋体"/>
                <w:b w:val="0"/>
                <w:i w:val="0"/>
                <w:sz w:val="20"/>
              </w:rPr>
              <w:t>32</w:t>
            </w:r>
          </w:p>
        </w:tc>
        <w:tc>
          <w:tcPr>
            <w:tcW w:type="dxa" w:w="2126"/>
            <w:shd w:val="clear" w:color="auto" w:fill="F0F4F8"/>
          </w:tcPr>
          <w:p>
            <w:pPr>
              <w:spacing w:after="40" w:before="40"/>
            </w:pPr>
            <w:r/>
            <w:r>
              <w:rPr>
                <w:rFonts w:ascii="Times New Roman" w:hAnsi="Times New Roman" w:eastAsia="宋体"/>
                <w:b w:val="0"/>
                <w:i w:val="0"/>
                <w:sz w:val="20"/>
              </w:rPr>
              <w:t>需求侧管理</w:t>
            </w:r>
          </w:p>
        </w:tc>
        <w:tc>
          <w:tcPr>
            <w:tcW w:type="dxa" w:w="2126"/>
            <w:shd w:val="clear" w:color="auto" w:fill="F0F4F8"/>
          </w:tcPr>
          <w:p>
            <w:pPr>
              <w:spacing w:after="40" w:before="40"/>
            </w:pPr>
            <w:r/>
            <w:r>
              <w:rPr>
                <w:rFonts w:ascii="Times New Roman" w:hAnsi="Times New Roman" w:eastAsia="宋体"/>
                <w:b w:val="0"/>
                <w:i w:val="0"/>
                <w:sz w:val="20"/>
              </w:rPr>
              <w:t>Demand Side Management (DSM)</w:t>
            </w:r>
          </w:p>
        </w:tc>
        <w:tc>
          <w:tcPr>
            <w:tcW w:type="dxa" w:w="2126"/>
            <w:shd w:val="clear" w:color="auto" w:fill="F0F4F8"/>
          </w:tcPr>
          <w:p>
            <w:pPr>
              <w:spacing w:after="40" w:before="40"/>
            </w:pPr>
            <w:r/>
            <w:r>
              <w:rPr>
                <w:rFonts w:ascii="Times New Roman" w:hAnsi="Times New Roman" w:eastAsia="宋体"/>
                <w:b w:val="0"/>
                <w:i w:val="0"/>
                <w:sz w:val="20"/>
              </w:rPr>
              <w:t>电力公司通过技术、经济和行政手段影响用户用电行为的活动</w:t>
            </w:r>
          </w:p>
        </w:tc>
      </w:tr>
      <w:tr>
        <w:tc>
          <w:tcPr>
            <w:tcW w:type="dxa" w:w="2126"/>
          </w:tcPr>
          <w:p>
            <w:pPr>
              <w:spacing w:after="40" w:before="40"/>
            </w:pPr>
            <w:r/>
            <w:r>
              <w:rPr>
                <w:rFonts w:ascii="Times New Roman" w:hAnsi="Times New Roman" w:eastAsia="宋体"/>
                <w:b w:val="0"/>
                <w:i w:val="0"/>
                <w:sz w:val="20"/>
              </w:rPr>
              <w:t>33</w:t>
            </w:r>
          </w:p>
        </w:tc>
        <w:tc>
          <w:tcPr>
            <w:tcW w:type="dxa" w:w="2126"/>
          </w:tcPr>
          <w:p>
            <w:pPr>
              <w:spacing w:after="40" w:before="40"/>
            </w:pPr>
            <w:r/>
            <w:r>
              <w:rPr>
                <w:rFonts w:ascii="Times New Roman" w:hAnsi="Times New Roman" w:eastAsia="宋体"/>
                <w:b w:val="0"/>
                <w:i w:val="0"/>
                <w:sz w:val="20"/>
              </w:rPr>
              <w:t>效用函数</w:t>
            </w:r>
          </w:p>
        </w:tc>
        <w:tc>
          <w:tcPr>
            <w:tcW w:type="dxa" w:w="2126"/>
          </w:tcPr>
          <w:p>
            <w:pPr>
              <w:spacing w:after="40" w:before="40"/>
            </w:pPr>
            <w:r/>
            <w:r>
              <w:rPr>
                <w:rFonts w:ascii="Times New Roman" w:hAnsi="Times New Roman" w:eastAsia="宋体"/>
                <w:b w:val="0"/>
                <w:i w:val="0"/>
                <w:sz w:val="20"/>
              </w:rPr>
              <w:t>Utility Function</w:t>
            </w:r>
          </w:p>
        </w:tc>
        <w:tc>
          <w:tcPr>
            <w:tcW w:type="dxa" w:w="2126"/>
          </w:tcPr>
          <w:p>
            <w:pPr>
              <w:spacing w:after="40" w:before="40"/>
            </w:pPr>
            <w:r/>
            <w:r>
              <w:rPr>
                <w:rFonts w:ascii="Times New Roman" w:hAnsi="Times New Roman" w:eastAsia="宋体"/>
                <w:b w:val="0"/>
                <w:i w:val="0"/>
                <w:sz w:val="20"/>
              </w:rPr>
              <w:t>描述用户从消费电力中获得满足程度的数学函数，是实时定价建模的基础</w:t>
            </w:r>
          </w:p>
        </w:tc>
      </w:tr>
      <w:tr>
        <w:tc>
          <w:tcPr>
            <w:tcW w:type="dxa" w:w="2126"/>
            <w:shd w:val="clear" w:color="auto" w:fill="F0F4F8"/>
          </w:tcPr>
          <w:p>
            <w:pPr>
              <w:spacing w:after="40" w:before="40"/>
            </w:pPr>
            <w:r/>
            <w:r>
              <w:rPr>
                <w:rFonts w:ascii="Times New Roman" w:hAnsi="Times New Roman" w:eastAsia="宋体"/>
                <w:b w:val="0"/>
                <w:i w:val="0"/>
                <w:sz w:val="20"/>
              </w:rPr>
              <w:t>34</w:t>
            </w:r>
          </w:p>
        </w:tc>
        <w:tc>
          <w:tcPr>
            <w:tcW w:type="dxa" w:w="2126"/>
            <w:shd w:val="clear" w:color="auto" w:fill="F0F4F8"/>
          </w:tcPr>
          <w:p>
            <w:pPr>
              <w:spacing w:after="40" w:before="40"/>
            </w:pPr>
            <w:r/>
            <w:r>
              <w:rPr>
                <w:rFonts w:ascii="Times New Roman" w:hAnsi="Times New Roman" w:eastAsia="宋体"/>
                <w:b w:val="0"/>
                <w:i w:val="0"/>
                <w:sz w:val="20"/>
              </w:rPr>
              <w:t>雅可比矩阵</w:t>
            </w:r>
          </w:p>
        </w:tc>
        <w:tc>
          <w:tcPr>
            <w:tcW w:type="dxa" w:w="2126"/>
            <w:shd w:val="clear" w:color="auto" w:fill="F0F4F8"/>
          </w:tcPr>
          <w:p>
            <w:pPr>
              <w:spacing w:after="40" w:before="40"/>
            </w:pPr>
            <w:r/>
            <w:r>
              <w:rPr>
                <w:rFonts w:ascii="Times New Roman" w:hAnsi="Times New Roman" w:eastAsia="宋体"/>
                <w:b w:val="0"/>
                <w:i w:val="0"/>
                <w:sz w:val="20"/>
              </w:rPr>
              <w:t>Jacobian Matrix</w:t>
            </w:r>
          </w:p>
        </w:tc>
        <w:tc>
          <w:tcPr>
            <w:tcW w:type="dxa" w:w="2126"/>
            <w:shd w:val="clear" w:color="auto" w:fill="F0F4F8"/>
          </w:tcPr>
          <w:p>
            <w:pPr>
              <w:spacing w:after="40" w:before="40"/>
            </w:pPr>
            <w:r/>
            <w:r>
              <w:rPr>
                <w:rFonts w:ascii="Times New Roman" w:hAnsi="Times New Roman" w:eastAsia="宋体"/>
                <w:b w:val="0"/>
                <w:i w:val="0"/>
                <w:sz w:val="20"/>
              </w:rPr>
              <w:t>向量值函数的一阶导数矩阵，在牛顿法迭代中用于线性化</w:t>
            </w:r>
          </w:p>
        </w:tc>
      </w:tr>
      <w:tr>
        <w:tc>
          <w:tcPr>
            <w:tcW w:type="dxa" w:w="2126"/>
          </w:tcPr>
          <w:p>
            <w:pPr>
              <w:spacing w:after="40" w:before="40"/>
            </w:pPr>
            <w:r/>
            <w:r>
              <w:rPr>
                <w:rFonts w:ascii="Times New Roman" w:hAnsi="Times New Roman" w:eastAsia="宋体"/>
                <w:b w:val="0"/>
                <w:i w:val="0"/>
                <w:sz w:val="20"/>
              </w:rPr>
              <w:t>35</w:t>
            </w:r>
          </w:p>
        </w:tc>
        <w:tc>
          <w:tcPr>
            <w:tcW w:type="dxa" w:w="2126"/>
          </w:tcPr>
          <w:p>
            <w:pPr>
              <w:spacing w:after="40" w:before="40"/>
            </w:pPr>
            <w:r/>
            <w:r>
              <w:rPr>
                <w:rFonts w:ascii="Times New Roman" w:hAnsi="Times New Roman" w:eastAsia="宋体"/>
                <w:b w:val="0"/>
                <w:i w:val="0"/>
                <w:sz w:val="20"/>
              </w:rPr>
              <w:t>影子价格</w:t>
            </w:r>
          </w:p>
        </w:tc>
        <w:tc>
          <w:tcPr>
            <w:tcW w:type="dxa" w:w="2126"/>
          </w:tcPr>
          <w:p>
            <w:pPr>
              <w:spacing w:after="40" w:before="40"/>
            </w:pPr>
            <w:r/>
            <w:r>
              <w:rPr>
                <w:rFonts w:ascii="Times New Roman" w:hAnsi="Times New Roman" w:eastAsia="宋体"/>
                <w:b w:val="0"/>
                <w:i w:val="0"/>
                <w:sz w:val="20"/>
              </w:rPr>
              <w:t>Shadow Price</w:t>
            </w:r>
          </w:p>
        </w:tc>
        <w:tc>
          <w:tcPr>
            <w:tcW w:type="dxa" w:w="2126"/>
          </w:tcPr>
          <w:p>
            <w:pPr>
              <w:spacing w:after="40" w:before="40"/>
            </w:pPr>
            <w:r/>
            <w:r>
              <w:rPr>
                <w:rFonts w:ascii="Times New Roman" w:hAnsi="Times New Roman" w:eastAsia="宋体"/>
                <w:b w:val="0"/>
                <w:i w:val="0"/>
                <w:sz w:val="20"/>
              </w:rPr>
              <w:t>拉格朗日乘子的经济学含义，表示约束松弛对目标函数的边际贡献</w:t>
            </w:r>
          </w:p>
        </w:tc>
      </w:tr>
      <w:tr>
        <w:tc>
          <w:tcPr>
            <w:tcW w:type="dxa" w:w="2126"/>
            <w:shd w:val="clear" w:color="auto" w:fill="F0F4F8"/>
          </w:tcPr>
          <w:p>
            <w:pPr>
              <w:spacing w:after="40" w:before="40"/>
            </w:pPr>
            <w:r/>
            <w:r>
              <w:rPr>
                <w:rFonts w:ascii="Times New Roman" w:hAnsi="Times New Roman" w:eastAsia="宋体"/>
                <w:b w:val="0"/>
                <w:i w:val="0"/>
                <w:sz w:val="20"/>
              </w:rPr>
              <w:t>36</w:t>
            </w:r>
          </w:p>
        </w:tc>
        <w:tc>
          <w:tcPr>
            <w:tcW w:type="dxa" w:w="2126"/>
            <w:shd w:val="clear" w:color="auto" w:fill="F0F4F8"/>
          </w:tcPr>
          <w:p>
            <w:pPr>
              <w:spacing w:after="40" w:before="40"/>
            </w:pPr>
            <w:r/>
            <w:r>
              <w:rPr>
                <w:rFonts w:ascii="Times New Roman" w:hAnsi="Times New Roman" w:eastAsia="宋体"/>
                <w:b w:val="0"/>
                <w:i w:val="0"/>
                <w:sz w:val="20"/>
              </w:rPr>
              <w:t>预测更新</w:t>
            </w:r>
          </w:p>
        </w:tc>
        <w:tc>
          <w:tcPr>
            <w:tcW w:type="dxa" w:w="2126"/>
            <w:shd w:val="clear" w:color="auto" w:fill="F0F4F8"/>
          </w:tcPr>
          <w:p>
            <w:pPr>
              <w:spacing w:after="40" w:before="40"/>
            </w:pPr>
            <w:r/>
            <w:r>
              <w:rPr>
                <w:rFonts w:ascii="Times New Roman" w:hAnsi="Times New Roman" w:eastAsia="宋体"/>
                <w:b w:val="0"/>
                <w:i w:val="0"/>
                <w:sz w:val="20"/>
              </w:rPr>
              <w:t>Forecast Update</w:t>
            </w:r>
          </w:p>
        </w:tc>
        <w:tc>
          <w:tcPr>
            <w:tcW w:type="dxa" w:w="2126"/>
            <w:shd w:val="clear" w:color="auto" w:fill="F0F4F8"/>
          </w:tcPr>
          <w:p>
            <w:pPr>
              <w:spacing w:after="40" w:before="40"/>
            </w:pPr>
            <w:r/>
            <w:r>
              <w:rPr>
                <w:rFonts w:ascii="Times New Roman" w:hAnsi="Times New Roman" w:eastAsia="宋体"/>
                <w:b w:val="0"/>
                <w:i w:val="0"/>
                <w:sz w:val="20"/>
              </w:rPr>
              <w:t>在实时定价过程中根据新信息更新负荷和可再生能源出力预测的过程</w:t>
            </w:r>
          </w:p>
        </w:tc>
      </w:tr>
      <w:tr>
        <w:tc>
          <w:tcPr>
            <w:tcW w:type="dxa" w:w="2126"/>
          </w:tcPr>
          <w:p>
            <w:pPr>
              <w:spacing w:after="40" w:before="40"/>
            </w:pPr>
            <w:r/>
            <w:r>
              <w:rPr>
                <w:rFonts w:ascii="Times New Roman" w:hAnsi="Times New Roman" w:eastAsia="宋体"/>
                <w:b w:val="0"/>
                <w:i w:val="0"/>
                <w:sz w:val="20"/>
              </w:rPr>
              <w:t>37</w:t>
            </w:r>
          </w:p>
        </w:tc>
        <w:tc>
          <w:tcPr>
            <w:tcW w:type="dxa" w:w="2126"/>
          </w:tcPr>
          <w:p>
            <w:pPr>
              <w:spacing w:after="40" w:before="40"/>
            </w:pPr>
            <w:r/>
            <w:r>
              <w:rPr>
                <w:rFonts w:ascii="Times New Roman" w:hAnsi="Times New Roman" w:eastAsia="宋体"/>
                <w:b w:val="0"/>
                <w:i w:val="0"/>
                <w:sz w:val="20"/>
              </w:rPr>
              <w:t>智能电网</w:t>
            </w:r>
          </w:p>
        </w:tc>
        <w:tc>
          <w:tcPr>
            <w:tcW w:type="dxa" w:w="2126"/>
          </w:tcPr>
          <w:p>
            <w:pPr>
              <w:spacing w:after="40" w:before="40"/>
            </w:pPr>
            <w:r/>
            <w:r>
              <w:rPr>
                <w:rFonts w:ascii="Times New Roman" w:hAnsi="Times New Roman" w:eastAsia="宋体"/>
                <w:b w:val="0"/>
                <w:i w:val="0"/>
                <w:sz w:val="20"/>
              </w:rPr>
              <w:t>Smart Grid</w:t>
            </w:r>
          </w:p>
        </w:tc>
        <w:tc>
          <w:tcPr>
            <w:tcW w:type="dxa" w:w="2126"/>
          </w:tcPr>
          <w:p>
            <w:pPr>
              <w:spacing w:after="40" w:before="40"/>
            </w:pPr>
            <w:r/>
            <w:r>
              <w:rPr>
                <w:rFonts w:ascii="Times New Roman" w:hAnsi="Times New Roman" w:eastAsia="宋体"/>
                <w:b w:val="0"/>
                <w:i w:val="0"/>
                <w:sz w:val="20"/>
              </w:rPr>
              <w:t>利用先进传感、通信和控制技术实现电力系统高效可靠运行的现代化电网</w:t>
            </w:r>
          </w:p>
        </w:tc>
      </w:tr>
      <w:tr>
        <w:tc>
          <w:tcPr>
            <w:tcW w:type="dxa" w:w="2126"/>
            <w:shd w:val="clear" w:color="auto" w:fill="F0F4F8"/>
          </w:tcPr>
          <w:p>
            <w:pPr>
              <w:spacing w:after="40" w:before="40"/>
            </w:pPr>
            <w:r/>
            <w:r>
              <w:rPr>
                <w:rFonts w:ascii="Times New Roman" w:hAnsi="Times New Roman" w:eastAsia="宋体"/>
                <w:b w:val="0"/>
                <w:i w:val="0"/>
                <w:sz w:val="20"/>
              </w:rPr>
              <w:t>38</w:t>
            </w:r>
          </w:p>
        </w:tc>
        <w:tc>
          <w:tcPr>
            <w:tcW w:type="dxa" w:w="2126"/>
            <w:shd w:val="clear" w:color="auto" w:fill="F0F4F8"/>
          </w:tcPr>
          <w:p>
            <w:pPr>
              <w:spacing w:after="40" w:before="40"/>
            </w:pPr>
            <w:r/>
            <w:r>
              <w:rPr>
                <w:rFonts w:ascii="Times New Roman" w:hAnsi="Times New Roman" w:eastAsia="宋体"/>
                <w:b w:val="0"/>
                <w:i w:val="0"/>
                <w:sz w:val="20"/>
              </w:rPr>
              <w:t>碳交易</w:t>
            </w:r>
          </w:p>
        </w:tc>
        <w:tc>
          <w:tcPr>
            <w:tcW w:type="dxa" w:w="2126"/>
            <w:shd w:val="clear" w:color="auto" w:fill="F0F4F8"/>
          </w:tcPr>
          <w:p>
            <w:pPr>
              <w:spacing w:after="40" w:before="40"/>
            </w:pPr>
            <w:r/>
            <w:r>
              <w:rPr>
                <w:rFonts w:ascii="Times New Roman" w:hAnsi="Times New Roman" w:eastAsia="宋体"/>
                <w:b w:val="0"/>
                <w:i w:val="0"/>
                <w:sz w:val="20"/>
              </w:rPr>
              <w:t>Carbon Trading</w:t>
            </w:r>
          </w:p>
        </w:tc>
        <w:tc>
          <w:tcPr>
            <w:tcW w:type="dxa" w:w="2126"/>
            <w:shd w:val="clear" w:color="auto" w:fill="F0F4F8"/>
          </w:tcPr>
          <w:p>
            <w:pPr>
              <w:spacing w:after="40" w:before="40"/>
            </w:pPr>
            <w:r/>
            <w:r>
              <w:rPr>
                <w:rFonts w:ascii="Times New Roman" w:hAnsi="Times New Roman" w:eastAsia="宋体"/>
                <w:b w:val="0"/>
                <w:i w:val="0"/>
                <w:sz w:val="20"/>
              </w:rPr>
              <w:t>通过市场化手段控制温室气体排放的机制，排放权作为商品进行交易</w:t>
            </w:r>
          </w:p>
        </w:tc>
      </w:tr>
      <w:tr>
        <w:tc>
          <w:tcPr>
            <w:tcW w:type="dxa" w:w="2126"/>
          </w:tcPr>
          <w:p>
            <w:pPr>
              <w:spacing w:after="40" w:before="40"/>
            </w:pPr>
            <w:r/>
            <w:r>
              <w:rPr>
                <w:rFonts w:ascii="Times New Roman" w:hAnsi="Times New Roman" w:eastAsia="宋体"/>
                <w:b w:val="0"/>
                <w:i w:val="0"/>
                <w:sz w:val="20"/>
              </w:rPr>
              <w:t>39</w:t>
            </w:r>
          </w:p>
        </w:tc>
        <w:tc>
          <w:tcPr>
            <w:tcW w:type="dxa" w:w="2126"/>
          </w:tcPr>
          <w:p>
            <w:pPr>
              <w:spacing w:after="40" w:before="40"/>
            </w:pPr>
            <w:r/>
            <w:r>
              <w:rPr>
                <w:rFonts w:ascii="Times New Roman" w:hAnsi="Times New Roman" w:eastAsia="宋体"/>
                <w:b w:val="0"/>
                <w:i w:val="0"/>
                <w:sz w:val="20"/>
              </w:rPr>
              <w:t>综合能源系统</w:t>
            </w:r>
          </w:p>
        </w:tc>
        <w:tc>
          <w:tcPr>
            <w:tcW w:type="dxa" w:w="2126"/>
          </w:tcPr>
          <w:p>
            <w:pPr>
              <w:spacing w:after="40" w:before="40"/>
            </w:pPr>
            <w:r/>
            <w:r>
              <w:rPr>
                <w:rFonts w:ascii="Times New Roman" w:hAnsi="Times New Roman" w:eastAsia="宋体"/>
                <w:b w:val="0"/>
                <w:i w:val="0"/>
                <w:sz w:val="20"/>
              </w:rPr>
              <w:t>Integrated Energy System (IES)</w:t>
            </w:r>
          </w:p>
        </w:tc>
        <w:tc>
          <w:tcPr>
            <w:tcW w:type="dxa" w:w="2126"/>
          </w:tcPr>
          <w:p>
            <w:pPr>
              <w:spacing w:after="40" w:before="40"/>
            </w:pPr>
            <w:r/>
            <w:r>
              <w:rPr>
                <w:rFonts w:ascii="Times New Roman" w:hAnsi="Times New Roman" w:eastAsia="宋体"/>
                <w:b w:val="0"/>
                <w:i w:val="0"/>
                <w:sz w:val="20"/>
              </w:rPr>
              <w:t>电、气、热等多种能源形式耦合生产、传输和消费的系统</w:t>
            </w:r>
          </w:p>
        </w:tc>
      </w:tr>
      <w:tr>
        <w:tc>
          <w:tcPr>
            <w:tcW w:type="dxa" w:w="2126"/>
            <w:shd w:val="clear" w:color="auto" w:fill="F0F4F8"/>
          </w:tcPr>
          <w:p>
            <w:pPr>
              <w:spacing w:after="40" w:before="40"/>
            </w:pPr>
            <w:r/>
            <w:r>
              <w:rPr>
                <w:rFonts w:ascii="Times New Roman" w:hAnsi="Times New Roman" w:eastAsia="宋体"/>
                <w:b w:val="0"/>
                <w:i w:val="0"/>
                <w:sz w:val="20"/>
              </w:rPr>
              <w:t>40</w:t>
            </w:r>
          </w:p>
        </w:tc>
        <w:tc>
          <w:tcPr>
            <w:tcW w:type="dxa" w:w="2126"/>
            <w:shd w:val="clear" w:color="auto" w:fill="F0F4F8"/>
          </w:tcPr>
          <w:p>
            <w:pPr>
              <w:spacing w:after="40" w:before="40"/>
            </w:pPr>
            <w:r/>
            <w:r>
              <w:rPr>
                <w:rFonts w:ascii="Times New Roman" w:hAnsi="Times New Roman" w:eastAsia="宋体"/>
                <w:b w:val="0"/>
                <w:i w:val="0"/>
                <w:sz w:val="20"/>
              </w:rPr>
              <w:t>强化学习</w:t>
            </w:r>
          </w:p>
        </w:tc>
        <w:tc>
          <w:tcPr>
            <w:tcW w:type="dxa" w:w="2126"/>
            <w:shd w:val="clear" w:color="auto" w:fill="F0F4F8"/>
          </w:tcPr>
          <w:p>
            <w:pPr>
              <w:spacing w:after="40" w:before="40"/>
            </w:pPr>
            <w:r/>
            <w:r>
              <w:rPr>
                <w:rFonts w:ascii="Times New Roman" w:hAnsi="Times New Roman" w:eastAsia="宋体"/>
                <w:b w:val="0"/>
                <w:i w:val="0"/>
                <w:sz w:val="20"/>
              </w:rPr>
              <w:t>Reinforcement Learning (RL)</w:t>
            </w:r>
          </w:p>
        </w:tc>
        <w:tc>
          <w:tcPr>
            <w:tcW w:type="dxa" w:w="2126"/>
            <w:shd w:val="clear" w:color="auto" w:fill="F0F4F8"/>
          </w:tcPr>
          <w:p>
            <w:pPr>
              <w:spacing w:after="40" w:before="40"/>
            </w:pPr>
            <w:r/>
            <w:r>
              <w:rPr>
                <w:rFonts w:ascii="Times New Roman" w:hAnsi="Times New Roman" w:eastAsia="宋体"/>
                <w:b w:val="0"/>
                <w:i w:val="0"/>
                <w:sz w:val="20"/>
              </w:rPr>
              <w:t>智能体通过与环境交互、试错学习最优策略的机器学习方法</w:t>
            </w:r>
          </w:p>
        </w:tc>
      </w:tr>
      <w:tr>
        <w:tc>
          <w:tcPr>
            <w:tcW w:type="dxa" w:w="2126"/>
          </w:tcPr>
          <w:p>
            <w:pPr>
              <w:spacing w:after="40" w:before="40"/>
            </w:pPr>
            <w:r/>
            <w:r>
              <w:rPr>
                <w:rFonts w:ascii="Times New Roman" w:hAnsi="Times New Roman" w:eastAsia="宋体"/>
                <w:b w:val="0"/>
                <w:i w:val="0"/>
                <w:sz w:val="20"/>
              </w:rPr>
              <w:t>41</w:t>
            </w:r>
          </w:p>
        </w:tc>
        <w:tc>
          <w:tcPr>
            <w:tcW w:type="dxa" w:w="2126"/>
          </w:tcPr>
          <w:p>
            <w:pPr>
              <w:spacing w:after="40" w:before="40"/>
            </w:pPr>
            <w:r/>
            <w:r>
              <w:rPr>
                <w:rFonts w:ascii="Times New Roman" w:hAnsi="Times New Roman" w:eastAsia="宋体"/>
                <w:b w:val="0"/>
                <w:i w:val="0"/>
                <w:sz w:val="20"/>
              </w:rPr>
              <w:t>Q学习</w:t>
            </w:r>
          </w:p>
        </w:tc>
        <w:tc>
          <w:tcPr>
            <w:tcW w:type="dxa" w:w="2126"/>
          </w:tcPr>
          <w:p>
            <w:pPr>
              <w:spacing w:after="40" w:before="40"/>
            </w:pPr>
            <w:r/>
            <w:r>
              <w:rPr>
                <w:rFonts w:ascii="Times New Roman" w:hAnsi="Times New Roman" w:eastAsia="宋体"/>
                <w:b w:val="0"/>
                <w:i w:val="0"/>
                <w:sz w:val="20"/>
              </w:rPr>
              <w:t>Q-Learning</w:t>
            </w:r>
          </w:p>
        </w:tc>
        <w:tc>
          <w:tcPr>
            <w:tcW w:type="dxa" w:w="2126"/>
          </w:tcPr>
          <w:p>
            <w:pPr>
              <w:spacing w:after="40" w:before="40"/>
            </w:pPr>
            <w:r/>
            <w:r>
              <w:rPr>
                <w:rFonts w:ascii="Times New Roman" w:hAnsi="Times New Roman" w:eastAsia="宋体"/>
                <w:b w:val="0"/>
                <w:i w:val="0"/>
                <w:sz w:val="20"/>
              </w:rPr>
              <w:t>基于值函数的无模型强化学习算法，通过更新Q值表学习最优策略</w:t>
            </w:r>
          </w:p>
        </w:tc>
      </w:tr>
      <w:tr>
        <w:tc>
          <w:tcPr>
            <w:tcW w:type="dxa" w:w="2126"/>
            <w:shd w:val="clear" w:color="auto" w:fill="F0F4F8"/>
          </w:tcPr>
          <w:p>
            <w:pPr>
              <w:spacing w:after="40" w:before="40"/>
            </w:pPr>
            <w:r/>
            <w:r>
              <w:rPr>
                <w:rFonts w:ascii="Times New Roman" w:hAnsi="Times New Roman" w:eastAsia="宋体"/>
                <w:b w:val="0"/>
                <w:i w:val="0"/>
                <w:sz w:val="20"/>
              </w:rPr>
              <w:t>42</w:t>
            </w:r>
          </w:p>
        </w:tc>
        <w:tc>
          <w:tcPr>
            <w:tcW w:type="dxa" w:w="2126"/>
            <w:shd w:val="clear" w:color="auto" w:fill="F0F4F8"/>
          </w:tcPr>
          <w:p>
            <w:pPr>
              <w:spacing w:after="40" w:before="40"/>
            </w:pPr>
            <w:r/>
            <w:r>
              <w:rPr>
                <w:rFonts w:ascii="Times New Roman" w:hAnsi="Times New Roman" w:eastAsia="宋体"/>
                <w:b w:val="0"/>
                <w:i w:val="0"/>
                <w:sz w:val="20"/>
              </w:rPr>
              <w:t>深度Q网络</w:t>
            </w:r>
          </w:p>
        </w:tc>
        <w:tc>
          <w:tcPr>
            <w:tcW w:type="dxa" w:w="2126"/>
            <w:shd w:val="clear" w:color="auto" w:fill="F0F4F8"/>
          </w:tcPr>
          <w:p>
            <w:pPr>
              <w:spacing w:after="40" w:before="40"/>
            </w:pPr>
            <w:r/>
            <w:r>
              <w:rPr>
                <w:rFonts w:ascii="Times New Roman" w:hAnsi="Times New Roman" w:eastAsia="宋体"/>
                <w:b w:val="0"/>
                <w:i w:val="0"/>
                <w:sz w:val="20"/>
              </w:rPr>
              <w:t>Deep Q-Network (DQN)</w:t>
            </w:r>
          </w:p>
        </w:tc>
        <w:tc>
          <w:tcPr>
            <w:tcW w:type="dxa" w:w="2126"/>
            <w:shd w:val="clear" w:color="auto" w:fill="F0F4F8"/>
          </w:tcPr>
          <w:p>
            <w:pPr>
              <w:spacing w:after="40" w:before="40"/>
            </w:pPr>
            <w:r/>
            <w:r>
              <w:rPr>
                <w:rFonts w:ascii="Times New Roman" w:hAnsi="Times New Roman" w:eastAsia="宋体"/>
                <w:b w:val="0"/>
                <w:i w:val="0"/>
                <w:sz w:val="20"/>
              </w:rPr>
              <w:t>使用神经网络逼近Q值函数的深度强化学习算法</w:t>
            </w:r>
          </w:p>
        </w:tc>
      </w:tr>
      <w:tr>
        <w:tc>
          <w:tcPr>
            <w:tcW w:type="dxa" w:w="2126"/>
          </w:tcPr>
          <w:p>
            <w:pPr>
              <w:spacing w:after="40" w:before="40"/>
            </w:pPr>
            <w:r/>
            <w:r>
              <w:rPr>
                <w:rFonts w:ascii="Times New Roman" w:hAnsi="Times New Roman" w:eastAsia="宋体"/>
                <w:b w:val="0"/>
                <w:i w:val="0"/>
                <w:sz w:val="20"/>
              </w:rPr>
              <w:t>43</w:t>
            </w:r>
          </w:p>
        </w:tc>
        <w:tc>
          <w:tcPr>
            <w:tcW w:type="dxa" w:w="2126"/>
          </w:tcPr>
          <w:p>
            <w:pPr>
              <w:spacing w:after="40" w:before="40"/>
            </w:pPr>
            <w:r/>
            <w:r>
              <w:rPr>
                <w:rFonts w:ascii="Times New Roman" w:hAnsi="Times New Roman" w:eastAsia="宋体"/>
                <w:b w:val="0"/>
                <w:i w:val="0"/>
                <w:sz w:val="20"/>
              </w:rPr>
              <w:t>广义B-次微分</w:t>
            </w:r>
          </w:p>
        </w:tc>
        <w:tc>
          <w:tcPr>
            <w:tcW w:type="dxa" w:w="2126"/>
          </w:tcPr>
          <w:p>
            <w:pPr>
              <w:spacing w:after="40" w:before="40"/>
            </w:pPr>
            <w:r/>
            <w:r>
              <w:rPr>
                <w:rFonts w:ascii="Times New Roman" w:hAnsi="Times New Roman" w:eastAsia="宋体"/>
                <w:b w:val="0"/>
                <w:i w:val="0"/>
                <w:sz w:val="20"/>
              </w:rPr>
              <w:t>Generalized B-Subdifferential</w:t>
            </w:r>
          </w:p>
        </w:tc>
        <w:tc>
          <w:tcPr>
            <w:tcW w:type="dxa" w:w="2126"/>
          </w:tcPr>
          <w:p>
            <w:pPr>
              <w:spacing w:after="40" w:before="40"/>
            </w:pPr>
            <w:r/>
            <w:r>
              <w:rPr>
                <w:rFonts w:ascii="Times New Roman" w:hAnsi="Times New Roman" w:eastAsia="宋体"/>
                <w:b w:val="0"/>
                <w:i w:val="0"/>
                <w:sz w:val="20"/>
              </w:rPr>
              <w:t>半光滑函数在一点的广义雅可比集合，影响牛顿法收敛性</w:t>
            </w:r>
          </w:p>
        </w:tc>
      </w:tr>
      <w:tr>
        <w:tc>
          <w:tcPr>
            <w:tcW w:type="dxa" w:w="2126"/>
            <w:shd w:val="clear" w:color="auto" w:fill="F0F4F8"/>
          </w:tcPr>
          <w:p>
            <w:pPr>
              <w:spacing w:after="40" w:before="40"/>
            </w:pPr>
            <w:r/>
            <w:r>
              <w:rPr>
                <w:rFonts w:ascii="Times New Roman" w:hAnsi="Times New Roman" w:eastAsia="宋体"/>
                <w:b w:val="0"/>
                <w:i w:val="0"/>
                <w:sz w:val="20"/>
              </w:rPr>
              <w:t>44</w:t>
            </w:r>
          </w:p>
        </w:tc>
        <w:tc>
          <w:tcPr>
            <w:tcW w:type="dxa" w:w="2126"/>
            <w:shd w:val="clear" w:color="auto" w:fill="F0F4F8"/>
          </w:tcPr>
          <w:p>
            <w:pPr>
              <w:spacing w:after="40" w:before="40"/>
            </w:pPr>
            <w:r/>
            <w:r>
              <w:rPr>
                <w:rFonts w:ascii="Times New Roman" w:hAnsi="Times New Roman" w:eastAsia="宋体"/>
                <w:b w:val="0"/>
                <w:i w:val="0"/>
                <w:sz w:val="20"/>
              </w:rPr>
              <w:t>碳配额</w:t>
            </w:r>
          </w:p>
        </w:tc>
        <w:tc>
          <w:tcPr>
            <w:tcW w:type="dxa" w:w="2126"/>
            <w:shd w:val="clear" w:color="auto" w:fill="F0F4F8"/>
          </w:tcPr>
          <w:p>
            <w:pPr>
              <w:spacing w:after="40" w:before="40"/>
            </w:pPr>
            <w:r/>
            <w:r>
              <w:rPr>
                <w:rFonts w:ascii="Times New Roman" w:hAnsi="Times New Roman" w:eastAsia="宋体"/>
                <w:b w:val="0"/>
                <w:i w:val="0"/>
                <w:sz w:val="20"/>
              </w:rPr>
              <w:t>Carbon Allowance</w:t>
            </w:r>
          </w:p>
        </w:tc>
        <w:tc>
          <w:tcPr>
            <w:tcW w:type="dxa" w:w="2126"/>
            <w:shd w:val="clear" w:color="auto" w:fill="F0F4F8"/>
          </w:tcPr>
          <w:p>
            <w:pPr>
              <w:spacing w:after="40" w:before="40"/>
            </w:pPr>
            <w:r/>
            <w:r>
              <w:rPr>
                <w:rFonts w:ascii="Times New Roman" w:hAnsi="Times New Roman" w:eastAsia="宋体"/>
                <w:b w:val="0"/>
                <w:i w:val="0"/>
                <w:sz w:val="20"/>
              </w:rPr>
              <w:t>碳交易市场中分配给排放源的温室气体排放许可额度</w:t>
            </w:r>
          </w:p>
        </w:tc>
      </w:tr>
      <w:tr>
        <w:tc>
          <w:tcPr>
            <w:tcW w:type="dxa" w:w="2126"/>
          </w:tcPr>
          <w:p>
            <w:pPr>
              <w:spacing w:after="40" w:before="40"/>
            </w:pPr>
            <w:r/>
            <w:r>
              <w:rPr>
                <w:rFonts w:ascii="Times New Roman" w:hAnsi="Times New Roman" w:eastAsia="宋体"/>
                <w:b w:val="0"/>
                <w:i w:val="0"/>
                <w:sz w:val="20"/>
              </w:rPr>
              <w:t>45</w:t>
            </w:r>
          </w:p>
        </w:tc>
        <w:tc>
          <w:tcPr>
            <w:tcW w:type="dxa" w:w="2126"/>
          </w:tcPr>
          <w:p>
            <w:pPr>
              <w:spacing w:after="40" w:before="40"/>
            </w:pPr>
            <w:r/>
            <w:r>
              <w:rPr>
                <w:rFonts w:ascii="Times New Roman" w:hAnsi="Times New Roman" w:eastAsia="宋体"/>
                <w:b w:val="0"/>
                <w:i w:val="0"/>
                <w:sz w:val="20"/>
              </w:rPr>
              <w:t>机会约束</w:t>
            </w:r>
          </w:p>
        </w:tc>
        <w:tc>
          <w:tcPr>
            <w:tcW w:type="dxa" w:w="2126"/>
          </w:tcPr>
          <w:p>
            <w:pPr>
              <w:spacing w:after="40" w:before="40"/>
            </w:pPr>
            <w:r/>
            <w:r>
              <w:rPr>
                <w:rFonts w:ascii="Times New Roman" w:hAnsi="Times New Roman" w:eastAsia="宋体"/>
                <w:b w:val="0"/>
                <w:i w:val="0"/>
                <w:sz w:val="20"/>
              </w:rPr>
              <w:t>Chance Constraint</w:t>
            </w:r>
          </w:p>
        </w:tc>
        <w:tc>
          <w:tcPr>
            <w:tcW w:type="dxa" w:w="2126"/>
          </w:tcPr>
          <w:p>
            <w:pPr>
              <w:spacing w:after="40" w:before="40"/>
            </w:pPr>
            <w:r/>
            <w:r>
              <w:rPr>
                <w:rFonts w:ascii="Times New Roman" w:hAnsi="Times New Roman" w:eastAsia="宋体"/>
                <w:b w:val="0"/>
                <w:i w:val="0"/>
                <w:sz w:val="20"/>
              </w:rPr>
              <w:t>要求约束以一定概率满足的约束形式，P(g(x,ξ)≤0) ≥ 1-α</w:t>
            </w:r>
          </w:p>
        </w:tc>
      </w:tr>
    </w:tbl>
    <w:p>
      <w:pPr>
        <w:pStyle w:val="Heading2"/>
        <w:spacing w:before="240" w:after="80"/>
      </w:pPr>
      <w:r>
        <w:rPr>
          <w:rFonts w:ascii="Times New Roman" w:hAnsi="Times New Roman" w:eastAsia="黑体"/>
          <w:b/>
          <w:i w:val="0"/>
          <w:sz w:val="28"/>
        </w:rPr>
        <w:t>A.2 缩略语表</w:t>
      </w:r>
    </w:p>
    <w:tbl>
      <w:tblPr>
        <w:tblStyle w:val="LightGrid-Accent1"/>
        <w:tblW w:type="auto" w:w="0"/>
        <w:jc w:val="center"/>
        <w:tblLook w:firstColumn="1" w:firstRow="1" w:lastColumn="0" w:lastRow="0" w:noHBand="0" w:noVBand="1" w:val="04A0"/>
      </w:tblPr>
      <w:tblGrid>
        <w:gridCol w:w="2835"/>
        <w:gridCol w:w="2835"/>
        <w:gridCol w:w="2835"/>
      </w:tblGrid>
      <w:tr>
        <w:tc>
          <w:tcPr>
            <w:tcW w:type="dxa" w:w="2835"/>
          </w:tcPr>
          <w:p>
            <w:pPr>
              <w:spacing w:after="40" w:before="40"/>
            </w:pPr>
            <w:r>
              <w:rPr>
                <w:b/>
              </w:rPr>
            </w:r>
            <w:r>
              <w:rPr>
                <w:rFonts w:ascii="Times New Roman" w:hAnsi="Times New Roman" w:eastAsia="黑体"/>
                <w:b/>
                <w:i w:val="0"/>
                <w:sz w:val="20"/>
              </w:rPr>
              <w:t>缩写</w:t>
            </w:r>
          </w:p>
        </w:tc>
        <w:tc>
          <w:tcPr>
            <w:tcW w:type="dxa" w:w="2835"/>
          </w:tcPr>
          <w:p>
            <w:pPr>
              <w:spacing w:after="40" w:before="40"/>
            </w:pPr>
            <w:r>
              <w:rPr>
                <w:b/>
              </w:rPr>
            </w:r>
            <w:r>
              <w:rPr>
                <w:rFonts w:ascii="Times New Roman" w:hAnsi="Times New Roman" w:eastAsia="黑体"/>
                <w:b/>
                <w:i w:val="0"/>
                <w:sz w:val="20"/>
              </w:rPr>
              <w:t>全称</w:t>
            </w:r>
          </w:p>
        </w:tc>
        <w:tc>
          <w:tcPr>
            <w:tcW w:type="dxa" w:w="2835"/>
          </w:tcPr>
          <w:p>
            <w:pPr>
              <w:spacing w:after="40" w:before="40"/>
            </w:pPr>
            <w:r>
              <w:rPr>
                <w:b/>
              </w:rPr>
            </w:r>
            <w:r>
              <w:rPr>
                <w:rFonts w:ascii="Times New Roman" w:hAnsi="Times New Roman" w:eastAsia="黑体"/>
                <w:b/>
                <w:i w:val="0"/>
                <w:sz w:val="20"/>
              </w:rPr>
              <w:t>中文释义</w:t>
            </w:r>
          </w:p>
        </w:tc>
      </w:tr>
      <w:tr>
        <w:tc>
          <w:tcPr>
            <w:tcW w:type="dxa" w:w="2835"/>
          </w:tcPr>
          <w:p>
            <w:pPr>
              <w:spacing w:after="40" w:before="40"/>
            </w:pPr>
            <w:r/>
            <w:r>
              <w:rPr>
                <w:rFonts w:ascii="Times New Roman" w:hAnsi="Times New Roman" w:eastAsia="宋体"/>
                <w:b w:val="0"/>
                <w:i w:val="0"/>
                <w:sz w:val="20"/>
              </w:rPr>
              <w:t>ADR</w:t>
            </w:r>
          </w:p>
        </w:tc>
        <w:tc>
          <w:tcPr>
            <w:tcW w:type="dxa" w:w="2835"/>
          </w:tcPr>
          <w:p>
            <w:pPr>
              <w:spacing w:after="40" w:before="40"/>
            </w:pPr>
            <w:r/>
            <w:r>
              <w:rPr>
                <w:rFonts w:ascii="Times New Roman" w:hAnsi="Times New Roman" w:eastAsia="宋体"/>
                <w:b w:val="0"/>
                <w:i w:val="0"/>
                <w:sz w:val="20"/>
              </w:rPr>
              <w:t>Automated Demand Response</w:t>
            </w:r>
          </w:p>
        </w:tc>
        <w:tc>
          <w:tcPr>
            <w:tcW w:type="dxa" w:w="2835"/>
          </w:tcPr>
          <w:p>
            <w:pPr>
              <w:spacing w:after="40" w:before="40"/>
            </w:pPr>
            <w:r/>
            <w:r>
              <w:rPr>
                <w:rFonts w:ascii="Times New Roman" w:hAnsi="Times New Roman" w:eastAsia="宋体"/>
                <w:b w:val="0"/>
                <w:i w:val="0"/>
                <w:sz w:val="20"/>
              </w:rPr>
              <w:t>自动需求响应</w:t>
            </w:r>
          </w:p>
        </w:tc>
      </w:tr>
      <w:tr>
        <w:tc>
          <w:tcPr>
            <w:tcW w:type="dxa" w:w="2835"/>
            <w:shd w:val="clear" w:color="auto" w:fill="F0F4F8"/>
          </w:tcPr>
          <w:p>
            <w:pPr>
              <w:spacing w:after="40" w:before="40"/>
            </w:pPr>
            <w:r/>
            <w:r>
              <w:rPr>
                <w:rFonts w:ascii="Times New Roman" w:hAnsi="Times New Roman" w:eastAsia="宋体"/>
                <w:b w:val="0"/>
                <w:i w:val="0"/>
                <w:sz w:val="20"/>
              </w:rPr>
              <w:t>ADMM</w:t>
            </w:r>
          </w:p>
        </w:tc>
        <w:tc>
          <w:tcPr>
            <w:tcW w:type="dxa" w:w="2835"/>
            <w:shd w:val="clear" w:color="auto" w:fill="F0F4F8"/>
          </w:tcPr>
          <w:p>
            <w:pPr>
              <w:spacing w:after="40" w:before="40"/>
            </w:pPr>
            <w:r/>
            <w:r>
              <w:rPr>
                <w:rFonts w:ascii="Times New Roman" w:hAnsi="Times New Roman" w:eastAsia="宋体"/>
                <w:b w:val="0"/>
                <w:i w:val="0"/>
                <w:sz w:val="20"/>
              </w:rPr>
              <w:t>Alternating Direction Method of Multipliers</w:t>
            </w:r>
          </w:p>
        </w:tc>
        <w:tc>
          <w:tcPr>
            <w:tcW w:type="dxa" w:w="2835"/>
            <w:shd w:val="clear" w:color="auto" w:fill="F0F4F8"/>
          </w:tcPr>
          <w:p>
            <w:pPr>
              <w:spacing w:after="40" w:before="40"/>
            </w:pPr>
            <w:r/>
            <w:r>
              <w:rPr>
                <w:rFonts w:ascii="Times New Roman" w:hAnsi="Times New Roman" w:eastAsia="宋体"/>
                <w:b w:val="0"/>
                <w:i w:val="0"/>
                <w:sz w:val="20"/>
              </w:rPr>
              <w:t>交替方向乘子法</w:t>
            </w:r>
          </w:p>
        </w:tc>
      </w:tr>
      <w:tr>
        <w:tc>
          <w:tcPr>
            <w:tcW w:type="dxa" w:w="2835"/>
          </w:tcPr>
          <w:p>
            <w:pPr>
              <w:spacing w:after="40" w:before="40"/>
            </w:pPr>
            <w:r/>
            <w:r>
              <w:rPr>
                <w:rFonts w:ascii="Times New Roman" w:hAnsi="Times New Roman" w:eastAsia="宋体"/>
                <w:b w:val="0"/>
                <w:i w:val="0"/>
                <w:sz w:val="20"/>
              </w:rPr>
              <w:t>CBAM</w:t>
            </w:r>
          </w:p>
        </w:tc>
        <w:tc>
          <w:tcPr>
            <w:tcW w:type="dxa" w:w="2835"/>
          </w:tcPr>
          <w:p>
            <w:pPr>
              <w:spacing w:after="40" w:before="40"/>
            </w:pPr>
            <w:r/>
            <w:r>
              <w:rPr>
                <w:rFonts w:ascii="Times New Roman" w:hAnsi="Times New Roman" w:eastAsia="宋体"/>
                <w:b w:val="0"/>
                <w:i w:val="0"/>
                <w:sz w:val="20"/>
              </w:rPr>
              <w:t>Carbon Border Adjustment Mechanism</w:t>
            </w:r>
          </w:p>
        </w:tc>
        <w:tc>
          <w:tcPr>
            <w:tcW w:type="dxa" w:w="2835"/>
          </w:tcPr>
          <w:p>
            <w:pPr>
              <w:spacing w:after="40" w:before="40"/>
            </w:pPr>
            <w:r/>
            <w:r>
              <w:rPr>
                <w:rFonts w:ascii="Times New Roman" w:hAnsi="Times New Roman" w:eastAsia="宋体"/>
                <w:b w:val="0"/>
                <w:i w:val="0"/>
                <w:sz w:val="20"/>
              </w:rPr>
              <w:t>碳边境调节机制</w:t>
            </w:r>
          </w:p>
        </w:tc>
      </w:tr>
      <w:tr>
        <w:tc>
          <w:tcPr>
            <w:tcW w:type="dxa" w:w="2835"/>
            <w:shd w:val="clear" w:color="auto" w:fill="F0F4F8"/>
          </w:tcPr>
          <w:p>
            <w:pPr>
              <w:spacing w:after="40" w:before="40"/>
            </w:pPr>
            <w:r/>
            <w:r>
              <w:rPr>
                <w:rFonts w:ascii="Times New Roman" w:hAnsi="Times New Roman" w:eastAsia="宋体"/>
                <w:b w:val="0"/>
                <w:i w:val="0"/>
                <w:sz w:val="20"/>
              </w:rPr>
              <w:t>CHP</w:t>
            </w:r>
          </w:p>
        </w:tc>
        <w:tc>
          <w:tcPr>
            <w:tcW w:type="dxa" w:w="2835"/>
            <w:shd w:val="clear" w:color="auto" w:fill="F0F4F8"/>
          </w:tcPr>
          <w:p>
            <w:pPr>
              <w:spacing w:after="40" w:before="40"/>
            </w:pPr>
            <w:r/>
            <w:r>
              <w:rPr>
                <w:rFonts w:ascii="Times New Roman" w:hAnsi="Times New Roman" w:eastAsia="宋体"/>
                <w:b w:val="0"/>
                <w:i w:val="0"/>
                <w:sz w:val="20"/>
              </w:rPr>
              <w:t>Combined Heat and Power</w:t>
            </w:r>
          </w:p>
        </w:tc>
        <w:tc>
          <w:tcPr>
            <w:tcW w:type="dxa" w:w="2835"/>
            <w:shd w:val="clear" w:color="auto" w:fill="F0F4F8"/>
          </w:tcPr>
          <w:p>
            <w:pPr>
              <w:spacing w:after="40" w:before="40"/>
            </w:pPr>
            <w:r/>
            <w:r>
              <w:rPr>
                <w:rFonts w:ascii="Times New Roman" w:hAnsi="Times New Roman" w:eastAsia="宋体"/>
                <w:b w:val="0"/>
                <w:i w:val="0"/>
                <w:sz w:val="20"/>
              </w:rPr>
              <w:t>热电联产</w:t>
            </w:r>
          </w:p>
        </w:tc>
      </w:tr>
      <w:tr>
        <w:tc>
          <w:tcPr>
            <w:tcW w:type="dxa" w:w="2835"/>
          </w:tcPr>
          <w:p>
            <w:pPr>
              <w:spacing w:after="40" w:before="40"/>
            </w:pPr>
            <w:r/>
            <w:r>
              <w:rPr>
                <w:rFonts w:ascii="Times New Roman" w:hAnsi="Times New Roman" w:eastAsia="宋体"/>
                <w:b w:val="0"/>
                <w:i w:val="0"/>
                <w:sz w:val="20"/>
              </w:rPr>
              <w:t>CMDP</w:t>
            </w:r>
          </w:p>
        </w:tc>
        <w:tc>
          <w:tcPr>
            <w:tcW w:type="dxa" w:w="2835"/>
          </w:tcPr>
          <w:p>
            <w:pPr>
              <w:spacing w:after="40" w:before="40"/>
            </w:pPr>
            <w:r/>
            <w:r>
              <w:rPr>
                <w:rFonts w:ascii="Times New Roman" w:hAnsi="Times New Roman" w:eastAsia="宋体"/>
                <w:b w:val="0"/>
                <w:i w:val="0"/>
                <w:sz w:val="20"/>
              </w:rPr>
              <w:t>Constrained Markov Decision Process</w:t>
            </w:r>
          </w:p>
        </w:tc>
        <w:tc>
          <w:tcPr>
            <w:tcW w:type="dxa" w:w="2835"/>
          </w:tcPr>
          <w:p>
            <w:pPr>
              <w:spacing w:after="40" w:before="40"/>
            </w:pPr>
            <w:r/>
            <w:r>
              <w:rPr>
                <w:rFonts w:ascii="Times New Roman" w:hAnsi="Times New Roman" w:eastAsia="宋体"/>
                <w:b w:val="0"/>
                <w:i w:val="0"/>
                <w:sz w:val="20"/>
              </w:rPr>
              <w:t>约束马尔可夫决策过程</w:t>
            </w:r>
          </w:p>
        </w:tc>
      </w:tr>
      <w:tr>
        <w:tc>
          <w:tcPr>
            <w:tcW w:type="dxa" w:w="2835"/>
            <w:shd w:val="clear" w:color="auto" w:fill="F0F4F8"/>
          </w:tcPr>
          <w:p>
            <w:pPr>
              <w:spacing w:after="40" w:before="40"/>
            </w:pPr>
            <w:r/>
            <w:r>
              <w:rPr>
                <w:rFonts w:ascii="Times New Roman" w:hAnsi="Times New Roman" w:eastAsia="宋体"/>
                <w:b w:val="0"/>
                <w:i w:val="0"/>
                <w:sz w:val="20"/>
              </w:rPr>
              <w:t>CPP</w:t>
            </w:r>
          </w:p>
        </w:tc>
        <w:tc>
          <w:tcPr>
            <w:tcW w:type="dxa" w:w="2835"/>
            <w:shd w:val="clear" w:color="auto" w:fill="F0F4F8"/>
          </w:tcPr>
          <w:p>
            <w:pPr>
              <w:spacing w:after="40" w:before="40"/>
            </w:pPr>
            <w:r/>
            <w:r>
              <w:rPr>
                <w:rFonts w:ascii="Times New Roman" w:hAnsi="Times New Roman" w:eastAsia="宋体"/>
                <w:b w:val="0"/>
                <w:i w:val="0"/>
                <w:sz w:val="20"/>
              </w:rPr>
              <w:t>Critical Peak Pricing</w:t>
            </w:r>
          </w:p>
        </w:tc>
        <w:tc>
          <w:tcPr>
            <w:tcW w:type="dxa" w:w="2835"/>
            <w:shd w:val="clear" w:color="auto" w:fill="F0F4F8"/>
          </w:tcPr>
          <w:p>
            <w:pPr>
              <w:spacing w:after="40" w:before="40"/>
            </w:pPr>
            <w:r/>
            <w:r>
              <w:rPr>
                <w:rFonts w:ascii="Times New Roman" w:hAnsi="Times New Roman" w:eastAsia="宋体"/>
                <w:b w:val="0"/>
                <w:i w:val="0"/>
                <w:sz w:val="20"/>
              </w:rPr>
              <w:t>临界峰定价</w:t>
            </w:r>
          </w:p>
        </w:tc>
      </w:tr>
      <w:tr>
        <w:tc>
          <w:tcPr>
            <w:tcW w:type="dxa" w:w="2835"/>
          </w:tcPr>
          <w:p>
            <w:pPr>
              <w:spacing w:after="40" w:before="40"/>
            </w:pPr>
            <w:r/>
            <w:r>
              <w:rPr>
                <w:rFonts w:ascii="Times New Roman" w:hAnsi="Times New Roman" w:eastAsia="宋体"/>
                <w:b w:val="0"/>
                <w:i w:val="0"/>
                <w:sz w:val="20"/>
              </w:rPr>
              <w:t>DQN</w:t>
            </w:r>
          </w:p>
        </w:tc>
        <w:tc>
          <w:tcPr>
            <w:tcW w:type="dxa" w:w="2835"/>
          </w:tcPr>
          <w:p>
            <w:pPr>
              <w:spacing w:after="40" w:before="40"/>
            </w:pPr>
            <w:r/>
            <w:r>
              <w:rPr>
                <w:rFonts w:ascii="Times New Roman" w:hAnsi="Times New Roman" w:eastAsia="宋体"/>
                <w:b w:val="0"/>
                <w:i w:val="0"/>
                <w:sz w:val="20"/>
              </w:rPr>
              <w:t>Deep Q-Network</w:t>
            </w:r>
          </w:p>
        </w:tc>
        <w:tc>
          <w:tcPr>
            <w:tcW w:type="dxa" w:w="2835"/>
          </w:tcPr>
          <w:p>
            <w:pPr>
              <w:spacing w:after="40" w:before="40"/>
            </w:pPr>
            <w:r/>
            <w:r>
              <w:rPr>
                <w:rFonts w:ascii="Times New Roman" w:hAnsi="Times New Roman" w:eastAsia="宋体"/>
                <w:b w:val="0"/>
                <w:i w:val="0"/>
                <w:sz w:val="20"/>
              </w:rPr>
              <w:t>深度Q网络</w:t>
            </w:r>
          </w:p>
        </w:tc>
      </w:tr>
      <w:tr>
        <w:tc>
          <w:tcPr>
            <w:tcW w:type="dxa" w:w="2835"/>
            <w:shd w:val="clear" w:color="auto" w:fill="F0F4F8"/>
          </w:tcPr>
          <w:p>
            <w:pPr>
              <w:spacing w:after="40" w:before="40"/>
            </w:pPr>
            <w:r/>
            <w:r>
              <w:rPr>
                <w:rFonts w:ascii="Times New Roman" w:hAnsi="Times New Roman" w:eastAsia="宋体"/>
                <w:b w:val="0"/>
                <w:i w:val="0"/>
                <w:sz w:val="20"/>
              </w:rPr>
              <w:t>DR</w:t>
            </w:r>
          </w:p>
        </w:tc>
        <w:tc>
          <w:tcPr>
            <w:tcW w:type="dxa" w:w="2835"/>
            <w:shd w:val="clear" w:color="auto" w:fill="F0F4F8"/>
          </w:tcPr>
          <w:p>
            <w:pPr>
              <w:spacing w:after="40" w:before="40"/>
            </w:pPr>
            <w:r/>
            <w:r>
              <w:rPr>
                <w:rFonts w:ascii="Times New Roman" w:hAnsi="Times New Roman" w:eastAsia="宋体"/>
                <w:b w:val="0"/>
                <w:i w:val="0"/>
                <w:sz w:val="20"/>
              </w:rPr>
              <w:t>Demand Response</w:t>
            </w:r>
          </w:p>
        </w:tc>
        <w:tc>
          <w:tcPr>
            <w:tcW w:type="dxa" w:w="2835"/>
            <w:shd w:val="clear" w:color="auto" w:fill="F0F4F8"/>
          </w:tcPr>
          <w:p>
            <w:pPr>
              <w:spacing w:after="40" w:before="40"/>
            </w:pPr>
            <w:r/>
            <w:r>
              <w:rPr>
                <w:rFonts w:ascii="Times New Roman" w:hAnsi="Times New Roman" w:eastAsia="宋体"/>
                <w:b w:val="0"/>
                <w:i w:val="0"/>
                <w:sz w:val="20"/>
              </w:rPr>
              <w:t>需求响应</w:t>
            </w:r>
          </w:p>
        </w:tc>
      </w:tr>
      <w:tr>
        <w:tc>
          <w:tcPr>
            <w:tcW w:type="dxa" w:w="2835"/>
          </w:tcPr>
          <w:p>
            <w:pPr>
              <w:spacing w:after="40" w:before="40"/>
            </w:pPr>
            <w:r/>
            <w:r>
              <w:rPr>
                <w:rFonts w:ascii="Times New Roman" w:hAnsi="Times New Roman" w:eastAsia="宋体"/>
                <w:b w:val="0"/>
                <w:i w:val="0"/>
                <w:sz w:val="20"/>
              </w:rPr>
              <w:t>DRL</w:t>
            </w:r>
          </w:p>
        </w:tc>
        <w:tc>
          <w:tcPr>
            <w:tcW w:type="dxa" w:w="2835"/>
          </w:tcPr>
          <w:p>
            <w:pPr>
              <w:spacing w:after="40" w:before="40"/>
            </w:pPr>
            <w:r/>
            <w:r>
              <w:rPr>
                <w:rFonts w:ascii="Times New Roman" w:hAnsi="Times New Roman" w:eastAsia="宋体"/>
                <w:b w:val="0"/>
                <w:i w:val="0"/>
                <w:sz w:val="20"/>
              </w:rPr>
              <w:t>Deep Reinforcement Learning</w:t>
            </w:r>
          </w:p>
        </w:tc>
        <w:tc>
          <w:tcPr>
            <w:tcW w:type="dxa" w:w="2835"/>
          </w:tcPr>
          <w:p>
            <w:pPr>
              <w:spacing w:after="40" w:before="40"/>
            </w:pPr>
            <w:r/>
            <w:r>
              <w:rPr>
                <w:rFonts w:ascii="Times New Roman" w:hAnsi="Times New Roman" w:eastAsia="宋体"/>
                <w:b w:val="0"/>
                <w:i w:val="0"/>
                <w:sz w:val="20"/>
              </w:rPr>
              <w:t>深度强化学习</w:t>
            </w:r>
          </w:p>
        </w:tc>
      </w:tr>
      <w:tr>
        <w:tc>
          <w:tcPr>
            <w:tcW w:type="dxa" w:w="2835"/>
            <w:shd w:val="clear" w:color="auto" w:fill="F0F4F8"/>
          </w:tcPr>
          <w:p>
            <w:pPr>
              <w:spacing w:after="40" w:before="40"/>
            </w:pPr>
            <w:r/>
            <w:r>
              <w:rPr>
                <w:rFonts w:ascii="Times New Roman" w:hAnsi="Times New Roman" w:eastAsia="宋体"/>
                <w:b w:val="0"/>
                <w:i w:val="0"/>
                <w:sz w:val="20"/>
              </w:rPr>
              <w:t>DSM</w:t>
            </w:r>
          </w:p>
        </w:tc>
        <w:tc>
          <w:tcPr>
            <w:tcW w:type="dxa" w:w="2835"/>
            <w:shd w:val="clear" w:color="auto" w:fill="F0F4F8"/>
          </w:tcPr>
          <w:p>
            <w:pPr>
              <w:spacing w:after="40" w:before="40"/>
            </w:pPr>
            <w:r/>
            <w:r>
              <w:rPr>
                <w:rFonts w:ascii="Times New Roman" w:hAnsi="Times New Roman" w:eastAsia="宋体"/>
                <w:b w:val="0"/>
                <w:i w:val="0"/>
                <w:sz w:val="20"/>
              </w:rPr>
              <w:t>Demand Side Management</w:t>
            </w:r>
          </w:p>
        </w:tc>
        <w:tc>
          <w:tcPr>
            <w:tcW w:type="dxa" w:w="2835"/>
            <w:shd w:val="clear" w:color="auto" w:fill="F0F4F8"/>
          </w:tcPr>
          <w:p>
            <w:pPr>
              <w:spacing w:after="40" w:before="40"/>
            </w:pPr>
            <w:r/>
            <w:r>
              <w:rPr>
                <w:rFonts w:ascii="Times New Roman" w:hAnsi="Times New Roman" w:eastAsia="宋体"/>
                <w:b w:val="0"/>
                <w:i w:val="0"/>
                <w:sz w:val="20"/>
              </w:rPr>
              <w:t>需求侧管理</w:t>
            </w:r>
          </w:p>
        </w:tc>
      </w:tr>
      <w:tr>
        <w:tc>
          <w:tcPr>
            <w:tcW w:type="dxa" w:w="2835"/>
          </w:tcPr>
          <w:p>
            <w:pPr>
              <w:spacing w:after="40" w:before="40"/>
            </w:pPr>
            <w:r/>
            <w:r>
              <w:rPr>
                <w:rFonts w:ascii="Times New Roman" w:hAnsi="Times New Roman" w:eastAsia="宋体"/>
                <w:b w:val="0"/>
                <w:i w:val="0"/>
                <w:sz w:val="20"/>
              </w:rPr>
              <w:t>ESS</w:t>
            </w:r>
          </w:p>
        </w:tc>
        <w:tc>
          <w:tcPr>
            <w:tcW w:type="dxa" w:w="2835"/>
          </w:tcPr>
          <w:p>
            <w:pPr>
              <w:spacing w:after="40" w:before="40"/>
            </w:pPr>
            <w:r/>
            <w:r>
              <w:rPr>
                <w:rFonts w:ascii="Times New Roman" w:hAnsi="Times New Roman" w:eastAsia="宋体"/>
                <w:b w:val="0"/>
                <w:i w:val="0"/>
                <w:sz w:val="20"/>
              </w:rPr>
              <w:t>Energy Storage System</w:t>
            </w:r>
          </w:p>
        </w:tc>
        <w:tc>
          <w:tcPr>
            <w:tcW w:type="dxa" w:w="2835"/>
          </w:tcPr>
          <w:p>
            <w:pPr>
              <w:spacing w:after="40" w:before="40"/>
            </w:pPr>
            <w:r/>
            <w:r>
              <w:rPr>
                <w:rFonts w:ascii="Times New Roman" w:hAnsi="Times New Roman" w:eastAsia="宋体"/>
                <w:b w:val="0"/>
                <w:i w:val="0"/>
                <w:sz w:val="20"/>
              </w:rPr>
              <w:t>储能系统</w:t>
            </w:r>
          </w:p>
        </w:tc>
      </w:tr>
      <w:tr>
        <w:tc>
          <w:tcPr>
            <w:tcW w:type="dxa" w:w="2835"/>
            <w:shd w:val="clear" w:color="auto" w:fill="F0F4F8"/>
          </w:tcPr>
          <w:p>
            <w:pPr>
              <w:spacing w:after="40" w:before="40"/>
            </w:pPr>
            <w:r/>
            <w:r>
              <w:rPr>
                <w:rFonts w:ascii="Times New Roman" w:hAnsi="Times New Roman" w:eastAsia="宋体"/>
                <w:b w:val="0"/>
                <w:i w:val="0"/>
                <w:sz w:val="20"/>
              </w:rPr>
              <w:t>FB</w:t>
            </w:r>
          </w:p>
        </w:tc>
        <w:tc>
          <w:tcPr>
            <w:tcW w:type="dxa" w:w="2835"/>
            <w:shd w:val="clear" w:color="auto" w:fill="F0F4F8"/>
          </w:tcPr>
          <w:p>
            <w:pPr>
              <w:spacing w:after="40" w:before="40"/>
            </w:pPr>
            <w:r/>
            <w:r>
              <w:rPr>
                <w:rFonts w:ascii="Times New Roman" w:hAnsi="Times New Roman" w:eastAsia="宋体"/>
                <w:b w:val="0"/>
                <w:i w:val="0"/>
                <w:sz w:val="20"/>
              </w:rPr>
              <w:t>Fischer-Burmeister</w:t>
            </w:r>
          </w:p>
        </w:tc>
        <w:tc>
          <w:tcPr>
            <w:tcW w:type="dxa" w:w="2835"/>
            <w:shd w:val="clear" w:color="auto" w:fill="F0F4F8"/>
          </w:tcPr>
          <w:p>
            <w:pPr>
              <w:spacing w:after="40" w:before="40"/>
            </w:pPr>
            <w:r/>
            <w:r>
              <w:rPr>
                <w:rFonts w:ascii="Times New Roman" w:hAnsi="Times New Roman" w:eastAsia="宋体"/>
                <w:b w:val="0"/>
                <w:i w:val="0"/>
                <w:sz w:val="20"/>
              </w:rPr>
              <w:t>Fischer-Burmeister函数</w:t>
            </w:r>
          </w:p>
        </w:tc>
      </w:tr>
      <w:tr>
        <w:tc>
          <w:tcPr>
            <w:tcW w:type="dxa" w:w="2835"/>
          </w:tcPr>
          <w:p>
            <w:pPr>
              <w:spacing w:after="40" w:before="40"/>
            </w:pPr>
            <w:r/>
            <w:r>
              <w:rPr>
                <w:rFonts w:ascii="Times New Roman" w:hAnsi="Times New Roman" w:eastAsia="宋体"/>
                <w:b w:val="0"/>
                <w:i w:val="0"/>
                <w:sz w:val="20"/>
              </w:rPr>
              <w:t>GEC</w:t>
            </w:r>
          </w:p>
        </w:tc>
        <w:tc>
          <w:tcPr>
            <w:tcW w:type="dxa" w:w="2835"/>
          </w:tcPr>
          <w:p>
            <w:pPr>
              <w:spacing w:after="40" w:before="40"/>
            </w:pPr>
            <w:r/>
            <w:r>
              <w:rPr>
                <w:rFonts w:ascii="Times New Roman" w:hAnsi="Times New Roman" w:eastAsia="宋体"/>
                <w:b w:val="0"/>
                <w:i w:val="0"/>
                <w:sz w:val="20"/>
              </w:rPr>
              <w:t>Green Energy Certificate</w:t>
            </w:r>
          </w:p>
        </w:tc>
        <w:tc>
          <w:tcPr>
            <w:tcW w:type="dxa" w:w="2835"/>
          </w:tcPr>
          <w:p>
            <w:pPr>
              <w:spacing w:after="40" w:before="40"/>
            </w:pPr>
            <w:r/>
            <w:r>
              <w:rPr>
                <w:rFonts w:ascii="Times New Roman" w:hAnsi="Times New Roman" w:eastAsia="宋体"/>
                <w:b w:val="0"/>
                <w:i w:val="0"/>
                <w:sz w:val="20"/>
              </w:rPr>
              <w:t>绿色电力证书</w:t>
            </w:r>
          </w:p>
        </w:tc>
      </w:tr>
      <w:tr>
        <w:tc>
          <w:tcPr>
            <w:tcW w:type="dxa" w:w="2835"/>
            <w:shd w:val="clear" w:color="auto" w:fill="F0F4F8"/>
          </w:tcPr>
          <w:p>
            <w:pPr>
              <w:spacing w:after="40" w:before="40"/>
            </w:pPr>
            <w:r/>
            <w:r>
              <w:rPr>
                <w:rFonts w:ascii="Times New Roman" w:hAnsi="Times New Roman" w:eastAsia="宋体"/>
                <w:b w:val="0"/>
                <w:i w:val="0"/>
                <w:sz w:val="20"/>
              </w:rPr>
              <w:t>IES</w:t>
            </w:r>
          </w:p>
        </w:tc>
        <w:tc>
          <w:tcPr>
            <w:tcW w:type="dxa" w:w="2835"/>
            <w:shd w:val="clear" w:color="auto" w:fill="F0F4F8"/>
          </w:tcPr>
          <w:p>
            <w:pPr>
              <w:spacing w:after="40" w:before="40"/>
            </w:pPr>
            <w:r/>
            <w:r>
              <w:rPr>
                <w:rFonts w:ascii="Times New Roman" w:hAnsi="Times New Roman" w:eastAsia="宋体"/>
                <w:b w:val="0"/>
                <w:i w:val="0"/>
                <w:sz w:val="20"/>
              </w:rPr>
              <w:t>Integrated Energy System</w:t>
            </w:r>
          </w:p>
        </w:tc>
        <w:tc>
          <w:tcPr>
            <w:tcW w:type="dxa" w:w="2835"/>
            <w:shd w:val="clear" w:color="auto" w:fill="F0F4F8"/>
          </w:tcPr>
          <w:p>
            <w:pPr>
              <w:spacing w:after="40" w:before="40"/>
            </w:pPr>
            <w:r/>
            <w:r>
              <w:rPr>
                <w:rFonts w:ascii="Times New Roman" w:hAnsi="Times New Roman" w:eastAsia="宋体"/>
                <w:b w:val="0"/>
                <w:i w:val="0"/>
                <w:sz w:val="20"/>
              </w:rPr>
              <w:t>综合能源系统</w:t>
            </w:r>
          </w:p>
        </w:tc>
      </w:tr>
      <w:tr>
        <w:tc>
          <w:tcPr>
            <w:tcW w:type="dxa" w:w="2835"/>
          </w:tcPr>
          <w:p>
            <w:pPr>
              <w:spacing w:after="40" w:before="40"/>
            </w:pPr>
            <w:r/>
            <w:r>
              <w:rPr>
                <w:rFonts w:ascii="Times New Roman" w:hAnsi="Times New Roman" w:eastAsia="宋体"/>
                <w:b w:val="0"/>
                <w:i w:val="0"/>
                <w:sz w:val="20"/>
              </w:rPr>
              <w:t>KKT</w:t>
            </w:r>
          </w:p>
        </w:tc>
        <w:tc>
          <w:tcPr>
            <w:tcW w:type="dxa" w:w="2835"/>
          </w:tcPr>
          <w:p>
            <w:pPr>
              <w:spacing w:after="40" w:before="40"/>
            </w:pPr>
            <w:r/>
            <w:r>
              <w:rPr>
                <w:rFonts w:ascii="Times New Roman" w:hAnsi="Times New Roman" w:eastAsia="宋体"/>
                <w:b w:val="0"/>
                <w:i w:val="0"/>
                <w:sz w:val="20"/>
              </w:rPr>
              <w:t>Karush-Kuhn-Tucker</w:t>
            </w:r>
          </w:p>
        </w:tc>
        <w:tc>
          <w:tcPr>
            <w:tcW w:type="dxa" w:w="2835"/>
          </w:tcPr>
          <w:p>
            <w:pPr>
              <w:spacing w:after="40" w:before="40"/>
            </w:pPr>
            <w:r/>
            <w:r>
              <w:rPr>
                <w:rFonts w:ascii="Times New Roman" w:hAnsi="Times New Roman" w:eastAsia="宋体"/>
                <w:b w:val="0"/>
                <w:i w:val="0"/>
                <w:sz w:val="20"/>
              </w:rPr>
              <w:t>KKT条件</w:t>
            </w:r>
          </w:p>
        </w:tc>
      </w:tr>
      <w:tr>
        <w:tc>
          <w:tcPr>
            <w:tcW w:type="dxa" w:w="2835"/>
            <w:shd w:val="clear" w:color="auto" w:fill="F0F4F8"/>
          </w:tcPr>
          <w:p>
            <w:pPr>
              <w:spacing w:after="40" w:before="40"/>
            </w:pPr>
            <w:r/>
            <w:r>
              <w:rPr>
                <w:rFonts w:ascii="Times New Roman" w:hAnsi="Times New Roman" w:eastAsia="宋体"/>
                <w:b w:val="0"/>
                <w:i w:val="0"/>
                <w:sz w:val="20"/>
              </w:rPr>
              <w:t>LMP</w:t>
            </w:r>
          </w:p>
        </w:tc>
        <w:tc>
          <w:tcPr>
            <w:tcW w:type="dxa" w:w="2835"/>
            <w:shd w:val="clear" w:color="auto" w:fill="F0F4F8"/>
          </w:tcPr>
          <w:p>
            <w:pPr>
              <w:spacing w:after="40" w:before="40"/>
            </w:pPr>
            <w:r/>
            <w:r>
              <w:rPr>
                <w:rFonts w:ascii="Times New Roman" w:hAnsi="Times New Roman" w:eastAsia="宋体"/>
                <w:b w:val="0"/>
                <w:i w:val="0"/>
                <w:sz w:val="20"/>
              </w:rPr>
              <w:t>Locational Marginal Pricing</w:t>
            </w:r>
          </w:p>
        </w:tc>
        <w:tc>
          <w:tcPr>
            <w:tcW w:type="dxa" w:w="2835"/>
            <w:shd w:val="clear" w:color="auto" w:fill="F0F4F8"/>
          </w:tcPr>
          <w:p>
            <w:pPr>
              <w:spacing w:after="40" w:before="40"/>
            </w:pPr>
            <w:r/>
            <w:r>
              <w:rPr>
                <w:rFonts w:ascii="Times New Roman" w:hAnsi="Times New Roman" w:eastAsia="宋体"/>
                <w:b w:val="0"/>
                <w:i w:val="0"/>
                <w:sz w:val="20"/>
              </w:rPr>
              <w:t>节点边际价格</w:t>
            </w:r>
          </w:p>
        </w:tc>
      </w:tr>
      <w:tr>
        <w:tc>
          <w:tcPr>
            <w:tcW w:type="dxa" w:w="2835"/>
          </w:tcPr>
          <w:p>
            <w:pPr>
              <w:spacing w:after="40" w:before="40"/>
            </w:pPr>
            <w:r/>
            <w:r>
              <w:rPr>
                <w:rFonts w:ascii="Times New Roman" w:hAnsi="Times New Roman" w:eastAsia="宋体"/>
                <w:b w:val="0"/>
                <w:i w:val="0"/>
                <w:sz w:val="20"/>
              </w:rPr>
              <w:t>LCP</w:t>
            </w:r>
          </w:p>
        </w:tc>
        <w:tc>
          <w:tcPr>
            <w:tcW w:type="dxa" w:w="2835"/>
          </w:tcPr>
          <w:p>
            <w:pPr>
              <w:spacing w:after="40" w:before="40"/>
            </w:pPr>
            <w:r/>
            <w:r>
              <w:rPr>
                <w:rFonts w:ascii="Times New Roman" w:hAnsi="Times New Roman" w:eastAsia="宋体"/>
                <w:b w:val="0"/>
                <w:i w:val="0"/>
                <w:sz w:val="20"/>
              </w:rPr>
              <w:t>Linear Complementarity Problem</w:t>
            </w:r>
          </w:p>
        </w:tc>
        <w:tc>
          <w:tcPr>
            <w:tcW w:type="dxa" w:w="2835"/>
          </w:tcPr>
          <w:p>
            <w:pPr>
              <w:spacing w:after="40" w:before="40"/>
            </w:pPr>
            <w:r/>
            <w:r>
              <w:rPr>
                <w:rFonts w:ascii="Times New Roman" w:hAnsi="Times New Roman" w:eastAsia="宋体"/>
                <w:b w:val="0"/>
                <w:i w:val="0"/>
                <w:sz w:val="20"/>
              </w:rPr>
              <w:t>线性互补问题</w:t>
            </w:r>
          </w:p>
        </w:tc>
      </w:tr>
      <w:tr>
        <w:tc>
          <w:tcPr>
            <w:tcW w:type="dxa" w:w="2835"/>
            <w:shd w:val="clear" w:color="auto" w:fill="F0F4F8"/>
          </w:tcPr>
          <w:p>
            <w:pPr>
              <w:spacing w:after="40" w:before="40"/>
            </w:pPr>
            <w:r/>
            <w:r>
              <w:rPr>
                <w:rFonts w:ascii="Times New Roman" w:hAnsi="Times New Roman" w:eastAsia="宋体"/>
                <w:b w:val="0"/>
                <w:i w:val="0"/>
                <w:sz w:val="20"/>
              </w:rPr>
              <w:t>MARL</w:t>
            </w:r>
          </w:p>
        </w:tc>
        <w:tc>
          <w:tcPr>
            <w:tcW w:type="dxa" w:w="2835"/>
            <w:shd w:val="clear" w:color="auto" w:fill="F0F4F8"/>
          </w:tcPr>
          <w:p>
            <w:pPr>
              <w:spacing w:after="40" w:before="40"/>
            </w:pPr>
            <w:r/>
            <w:r>
              <w:rPr>
                <w:rFonts w:ascii="Times New Roman" w:hAnsi="Times New Roman" w:eastAsia="宋体"/>
                <w:b w:val="0"/>
                <w:i w:val="0"/>
                <w:sz w:val="20"/>
              </w:rPr>
              <w:t>Multi-Agent Reinforcement Learning</w:t>
            </w:r>
          </w:p>
        </w:tc>
        <w:tc>
          <w:tcPr>
            <w:tcW w:type="dxa" w:w="2835"/>
            <w:shd w:val="clear" w:color="auto" w:fill="F0F4F8"/>
          </w:tcPr>
          <w:p>
            <w:pPr>
              <w:spacing w:after="40" w:before="40"/>
            </w:pPr>
            <w:r/>
            <w:r>
              <w:rPr>
                <w:rFonts w:ascii="Times New Roman" w:hAnsi="Times New Roman" w:eastAsia="宋体"/>
                <w:b w:val="0"/>
                <w:i w:val="0"/>
                <w:sz w:val="20"/>
              </w:rPr>
              <w:t>多智能体强化学习</w:t>
            </w:r>
          </w:p>
        </w:tc>
      </w:tr>
      <w:tr>
        <w:tc>
          <w:tcPr>
            <w:tcW w:type="dxa" w:w="2835"/>
          </w:tcPr>
          <w:p>
            <w:pPr>
              <w:spacing w:after="40" w:before="40"/>
            </w:pPr>
            <w:r/>
            <w:r>
              <w:rPr>
                <w:rFonts w:ascii="Times New Roman" w:hAnsi="Times New Roman" w:eastAsia="宋体"/>
                <w:b w:val="0"/>
                <w:i w:val="0"/>
                <w:sz w:val="20"/>
              </w:rPr>
              <w:t>MIP</w:t>
            </w:r>
          </w:p>
        </w:tc>
        <w:tc>
          <w:tcPr>
            <w:tcW w:type="dxa" w:w="2835"/>
          </w:tcPr>
          <w:p>
            <w:pPr>
              <w:spacing w:after="40" w:before="40"/>
            </w:pPr>
            <w:r/>
            <w:r>
              <w:rPr>
                <w:rFonts w:ascii="Times New Roman" w:hAnsi="Times New Roman" w:eastAsia="宋体"/>
                <w:b w:val="0"/>
                <w:i w:val="0"/>
                <w:sz w:val="20"/>
              </w:rPr>
              <w:t>Mixed Integer Programming</w:t>
            </w:r>
          </w:p>
        </w:tc>
        <w:tc>
          <w:tcPr>
            <w:tcW w:type="dxa" w:w="2835"/>
          </w:tcPr>
          <w:p>
            <w:pPr>
              <w:spacing w:after="40" w:before="40"/>
            </w:pPr>
            <w:r/>
            <w:r>
              <w:rPr>
                <w:rFonts w:ascii="Times New Roman" w:hAnsi="Times New Roman" w:eastAsia="宋体"/>
                <w:b w:val="0"/>
                <w:i w:val="0"/>
                <w:sz w:val="20"/>
              </w:rPr>
              <w:t>混合整数规划</w:t>
            </w:r>
          </w:p>
        </w:tc>
      </w:tr>
      <w:tr>
        <w:tc>
          <w:tcPr>
            <w:tcW w:type="dxa" w:w="2835"/>
            <w:shd w:val="clear" w:color="auto" w:fill="F0F4F8"/>
          </w:tcPr>
          <w:p>
            <w:pPr>
              <w:spacing w:after="40" w:before="40"/>
            </w:pPr>
            <w:r/>
            <w:r>
              <w:rPr>
                <w:rFonts w:ascii="Times New Roman" w:hAnsi="Times New Roman" w:eastAsia="宋体"/>
                <w:b w:val="0"/>
                <w:i w:val="0"/>
                <w:sz w:val="20"/>
              </w:rPr>
              <w:t>NCP</w:t>
            </w:r>
          </w:p>
        </w:tc>
        <w:tc>
          <w:tcPr>
            <w:tcW w:type="dxa" w:w="2835"/>
            <w:shd w:val="clear" w:color="auto" w:fill="F0F4F8"/>
          </w:tcPr>
          <w:p>
            <w:pPr>
              <w:spacing w:after="40" w:before="40"/>
            </w:pPr>
            <w:r/>
            <w:r>
              <w:rPr>
                <w:rFonts w:ascii="Times New Roman" w:hAnsi="Times New Roman" w:eastAsia="宋体"/>
                <w:b w:val="0"/>
                <w:i w:val="0"/>
                <w:sz w:val="20"/>
              </w:rPr>
              <w:t>Nonlinear Complementarity Problem</w:t>
            </w:r>
          </w:p>
        </w:tc>
        <w:tc>
          <w:tcPr>
            <w:tcW w:type="dxa" w:w="2835"/>
            <w:shd w:val="clear" w:color="auto" w:fill="F0F4F8"/>
          </w:tcPr>
          <w:p>
            <w:pPr>
              <w:spacing w:after="40" w:before="40"/>
            </w:pPr>
            <w:r/>
            <w:r>
              <w:rPr>
                <w:rFonts w:ascii="Times New Roman" w:hAnsi="Times New Roman" w:eastAsia="宋体"/>
                <w:b w:val="0"/>
                <w:i w:val="0"/>
                <w:sz w:val="20"/>
              </w:rPr>
              <w:t>非线性互补问题</w:t>
            </w:r>
          </w:p>
        </w:tc>
      </w:tr>
      <w:tr>
        <w:tc>
          <w:tcPr>
            <w:tcW w:type="dxa" w:w="2835"/>
          </w:tcPr>
          <w:p>
            <w:pPr>
              <w:spacing w:after="40" w:before="40"/>
            </w:pPr>
            <w:r/>
            <w:r>
              <w:rPr>
                <w:rFonts w:ascii="Times New Roman" w:hAnsi="Times New Roman" w:eastAsia="宋体"/>
                <w:b w:val="0"/>
                <w:i w:val="0"/>
                <w:sz w:val="20"/>
              </w:rPr>
              <w:t>P2G</w:t>
            </w:r>
          </w:p>
        </w:tc>
        <w:tc>
          <w:tcPr>
            <w:tcW w:type="dxa" w:w="2835"/>
          </w:tcPr>
          <w:p>
            <w:pPr>
              <w:spacing w:after="40" w:before="40"/>
            </w:pPr>
            <w:r/>
            <w:r>
              <w:rPr>
                <w:rFonts w:ascii="Times New Roman" w:hAnsi="Times New Roman" w:eastAsia="宋体"/>
                <w:b w:val="0"/>
                <w:i w:val="0"/>
                <w:sz w:val="20"/>
              </w:rPr>
              <w:t>Power-to-Gas</w:t>
            </w:r>
          </w:p>
        </w:tc>
        <w:tc>
          <w:tcPr>
            <w:tcW w:type="dxa" w:w="2835"/>
          </w:tcPr>
          <w:p>
            <w:pPr>
              <w:spacing w:after="40" w:before="40"/>
            </w:pPr>
            <w:r/>
            <w:r>
              <w:rPr>
                <w:rFonts w:ascii="Times New Roman" w:hAnsi="Times New Roman" w:eastAsia="宋体"/>
                <w:b w:val="0"/>
                <w:i w:val="0"/>
                <w:sz w:val="20"/>
              </w:rPr>
              <w:t>电转气技术</w:t>
            </w:r>
          </w:p>
        </w:tc>
      </w:tr>
      <w:tr>
        <w:tc>
          <w:tcPr>
            <w:tcW w:type="dxa" w:w="2835"/>
            <w:shd w:val="clear" w:color="auto" w:fill="F0F4F8"/>
          </w:tcPr>
          <w:p>
            <w:pPr>
              <w:spacing w:after="40" w:before="40"/>
            </w:pPr>
            <w:r/>
            <w:r>
              <w:rPr>
                <w:rFonts w:ascii="Times New Roman" w:hAnsi="Times New Roman" w:eastAsia="宋体"/>
                <w:b w:val="0"/>
                <w:i w:val="0"/>
                <w:sz w:val="20"/>
              </w:rPr>
              <w:t>REC</w:t>
            </w:r>
          </w:p>
        </w:tc>
        <w:tc>
          <w:tcPr>
            <w:tcW w:type="dxa" w:w="2835"/>
            <w:shd w:val="clear" w:color="auto" w:fill="F0F4F8"/>
          </w:tcPr>
          <w:p>
            <w:pPr>
              <w:spacing w:after="40" w:before="40"/>
            </w:pPr>
            <w:r/>
            <w:r>
              <w:rPr>
                <w:rFonts w:ascii="Times New Roman" w:hAnsi="Times New Roman" w:eastAsia="宋体"/>
                <w:b w:val="0"/>
                <w:i w:val="0"/>
                <w:sz w:val="20"/>
              </w:rPr>
              <w:t>Renewable Energy Certificate</w:t>
            </w:r>
          </w:p>
        </w:tc>
        <w:tc>
          <w:tcPr>
            <w:tcW w:type="dxa" w:w="2835"/>
            <w:shd w:val="clear" w:color="auto" w:fill="F0F4F8"/>
          </w:tcPr>
          <w:p>
            <w:pPr>
              <w:spacing w:after="40" w:before="40"/>
            </w:pPr>
            <w:r/>
            <w:r>
              <w:rPr>
                <w:rFonts w:ascii="Times New Roman" w:hAnsi="Times New Roman" w:eastAsia="宋体"/>
                <w:b w:val="0"/>
                <w:i w:val="0"/>
                <w:sz w:val="20"/>
              </w:rPr>
              <w:t>可再生能源证书</w:t>
            </w:r>
          </w:p>
        </w:tc>
      </w:tr>
      <w:tr>
        <w:tc>
          <w:tcPr>
            <w:tcW w:type="dxa" w:w="2835"/>
          </w:tcPr>
          <w:p>
            <w:pPr>
              <w:spacing w:after="40" w:before="40"/>
            </w:pPr>
            <w:r/>
            <w:r>
              <w:rPr>
                <w:rFonts w:ascii="Times New Roman" w:hAnsi="Times New Roman" w:eastAsia="宋体"/>
                <w:b w:val="0"/>
                <w:i w:val="0"/>
                <w:sz w:val="20"/>
              </w:rPr>
              <w:t>RL</w:t>
            </w:r>
          </w:p>
        </w:tc>
        <w:tc>
          <w:tcPr>
            <w:tcW w:type="dxa" w:w="2835"/>
          </w:tcPr>
          <w:p>
            <w:pPr>
              <w:spacing w:after="40" w:before="40"/>
            </w:pPr>
            <w:r/>
            <w:r>
              <w:rPr>
                <w:rFonts w:ascii="Times New Roman" w:hAnsi="Times New Roman" w:eastAsia="宋体"/>
                <w:b w:val="0"/>
                <w:i w:val="0"/>
                <w:sz w:val="20"/>
              </w:rPr>
              <w:t>Reinforcement Learning</w:t>
            </w:r>
          </w:p>
        </w:tc>
        <w:tc>
          <w:tcPr>
            <w:tcW w:type="dxa" w:w="2835"/>
          </w:tcPr>
          <w:p>
            <w:pPr>
              <w:spacing w:after="40" w:before="40"/>
            </w:pPr>
            <w:r/>
            <w:r>
              <w:rPr>
                <w:rFonts w:ascii="Times New Roman" w:hAnsi="Times New Roman" w:eastAsia="宋体"/>
                <w:b w:val="0"/>
                <w:i w:val="0"/>
                <w:sz w:val="20"/>
              </w:rPr>
              <w:t>强化学习</w:t>
            </w:r>
          </w:p>
        </w:tc>
      </w:tr>
      <w:tr>
        <w:tc>
          <w:tcPr>
            <w:tcW w:type="dxa" w:w="2835"/>
            <w:shd w:val="clear" w:color="auto" w:fill="F0F4F8"/>
          </w:tcPr>
          <w:p>
            <w:pPr>
              <w:spacing w:after="40" w:before="40"/>
            </w:pPr>
            <w:r/>
            <w:r>
              <w:rPr>
                <w:rFonts w:ascii="Times New Roman" w:hAnsi="Times New Roman" w:eastAsia="宋体"/>
                <w:b w:val="0"/>
                <w:i w:val="0"/>
                <w:sz w:val="20"/>
              </w:rPr>
              <w:t>RTP</w:t>
            </w:r>
          </w:p>
        </w:tc>
        <w:tc>
          <w:tcPr>
            <w:tcW w:type="dxa" w:w="2835"/>
            <w:shd w:val="clear" w:color="auto" w:fill="F0F4F8"/>
          </w:tcPr>
          <w:p>
            <w:pPr>
              <w:spacing w:after="40" w:before="40"/>
            </w:pPr>
            <w:r/>
            <w:r>
              <w:rPr>
                <w:rFonts w:ascii="Times New Roman" w:hAnsi="Times New Roman" w:eastAsia="宋体"/>
                <w:b w:val="0"/>
                <w:i w:val="0"/>
                <w:sz w:val="20"/>
              </w:rPr>
              <w:t>Real-Time Pricing</w:t>
            </w:r>
          </w:p>
        </w:tc>
        <w:tc>
          <w:tcPr>
            <w:tcW w:type="dxa" w:w="2835"/>
            <w:shd w:val="clear" w:color="auto" w:fill="F0F4F8"/>
          </w:tcPr>
          <w:p>
            <w:pPr>
              <w:spacing w:after="40" w:before="40"/>
            </w:pPr>
            <w:r/>
            <w:r>
              <w:rPr>
                <w:rFonts w:ascii="Times New Roman" w:hAnsi="Times New Roman" w:eastAsia="宋体"/>
                <w:b w:val="0"/>
                <w:i w:val="0"/>
                <w:sz w:val="20"/>
              </w:rPr>
              <w:t>实时定价</w:t>
            </w:r>
          </w:p>
        </w:tc>
      </w:tr>
      <w:tr>
        <w:tc>
          <w:tcPr>
            <w:tcW w:type="dxa" w:w="2835"/>
          </w:tcPr>
          <w:p>
            <w:pPr>
              <w:spacing w:after="40" w:before="40"/>
            </w:pPr>
            <w:r/>
            <w:r>
              <w:rPr>
                <w:rFonts w:ascii="Times New Roman" w:hAnsi="Times New Roman" w:eastAsia="宋体"/>
                <w:b w:val="0"/>
                <w:i w:val="0"/>
                <w:sz w:val="20"/>
              </w:rPr>
              <w:t>SNM</w:t>
            </w:r>
          </w:p>
        </w:tc>
        <w:tc>
          <w:tcPr>
            <w:tcW w:type="dxa" w:w="2835"/>
          </w:tcPr>
          <w:p>
            <w:pPr>
              <w:spacing w:after="40" w:before="40"/>
            </w:pPr>
            <w:r/>
            <w:r>
              <w:rPr>
                <w:rFonts w:ascii="Times New Roman" w:hAnsi="Times New Roman" w:eastAsia="宋体"/>
                <w:b w:val="0"/>
                <w:i w:val="0"/>
                <w:sz w:val="20"/>
              </w:rPr>
              <w:t>Smoothing Newton Method</w:t>
            </w:r>
          </w:p>
        </w:tc>
        <w:tc>
          <w:tcPr>
            <w:tcW w:type="dxa" w:w="2835"/>
          </w:tcPr>
          <w:p>
            <w:pPr>
              <w:spacing w:after="40" w:before="40"/>
            </w:pPr>
            <w:r/>
            <w:r>
              <w:rPr>
                <w:rFonts w:ascii="Times New Roman" w:hAnsi="Times New Roman" w:eastAsia="宋体"/>
                <w:b w:val="0"/>
                <w:i w:val="0"/>
                <w:sz w:val="20"/>
              </w:rPr>
              <w:t>光滑化牛顿法</w:t>
            </w:r>
          </w:p>
        </w:tc>
      </w:tr>
      <w:tr>
        <w:tc>
          <w:tcPr>
            <w:tcW w:type="dxa" w:w="2835"/>
            <w:shd w:val="clear" w:color="auto" w:fill="F0F4F8"/>
          </w:tcPr>
          <w:p>
            <w:pPr>
              <w:spacing w:after="40" w:before="40"/>
            </w:pPr>
            <w:r/>
            <w:r>
              <w:rPr>
                <w:rFonts w:ascii="Times New Roman" w:hAnsi="Times New Roman" w:eastAsia="宋体"/>
                <w:b w:val="0"/>
                <w:i w:val="0"/>
                <w:sz w:val="20"/>
              </w:rPr>
              <w:t>TOU</w:t>
            </w:r>
          </w:p>
        </w:tc>
        <w:tc>
          <w:tcPr>
            <w:tcW w:type="dxa" w:w="2835"/>
            <w:shd w:val="clear" w:color="auto" w:fill="F0F4F8"/>
          </w:tcPr>
          <w:p>
            <w:pPr>
              <w:spacing w:after="40" w:before="40"/>
            </w:pPr>
            <w:r/>
            <w:r>
              <w:rPr>
                <w:rFonts w:ascii="Times New Roman" w:hAnsi="Times New Roman" w:eastAsia="宋体"/>
                <w:b w:val="0"/>
                <w:i w:val="0"/>
                <w:sz w:val="20"/>
              </w:rPr>
              <w:t>Time-of-Use</w:t>
            </w:r>
          </w:p>
        </w:tc>
        <w:tc>
          <w:tcPr>
            <w:tcW w:type="dxa" w:w="2835"/>
            <w:shd w:val="clear" w:color="auto" w:fill="F0F4F8"/>
          </w:tcPr>
          <w:p>
            <w:pPr>
              <w:spacing w:after="40" w:before="40"/>
            </w:pPr>
            <w:r/>
            <w:r>
              <w:rPr>
                <w:rFonts w:ascii="Times New Roman" w:hAnsi="Times New Roman" w:eastAsia="宋体"/>
                <w:b w:val="0"/>
                <w:i w:val="0"/>
                <w:sz w:val="20"/>
              </w:rPr>
              <w:t>分时电价</w:t>
            </w:r>
          </w:p>
        </w:tc>
      </w:tr>
      <w:tr>
        <w:tc>
          <w:tcPr>
            <w:tcW w:type="dxa" w:w="2835"/>
          </w:tcPr>
          <w:p>
            <w:pPr>
              <w:spacing w:after="40" w:before="40"/>
            </w:pPr>
            <w:r/>
            <w:r>
              <w:rPr>
                <w:rFonts w:ascii="Times New Roman" w:hAnsi="Times New Roman" w:eastAsia="宋体"/>
                <w:b w:val="0"/>
                <w:i w:val="0"/>
                <w:sz w:val="20"/>
              </w:rPr>
              <w:t>VI</w:t>
            </w:r>
          </w:p>
        </w:tc>
        <w:tc>
          <w:tcPr>
            <w:tcW w:type="dxa" w:w="2835"/>
          </w:tcPr>
          <w:p>
            <w:pPr>
              <w:spacing w:after="40" w:before="40"/>
            </w:pPr>
            <w:r/>
            <w:r>
              <w:rPr>
                <w:rFonts w:ascii="Times New Roman" w:hAnsi="Times New Roman" w:eastAsia="宋体"/>
                <w:b w:val="0"/>
                <w:i w:val="0"/>
                <w:sz w:val="20"/>
              </w:rPr>
              <w:t>Variational Inequality</w:t>
            </w:r>
          </w:p>
        </w:tc>
        <w:tc>
          <w:tcPr>
            <w:tcW w:type="dxa" w:w="2835"/>
          </w:tcPr>
          <w:p>
            <w:pPr>
              <w:spacing w:after="40" w:before="40"/>
            </w:pPr>
            <w:r/>
            <w:r>
              <w:rPr>
                <w:rFonts w:ascii="Times New Roman" w:hAnsi="Times New Roman" w:eastAsia="宋体"/>
                <w:b w:val="0"/>
                <w:i w:val="0"/>
                <w:sz w:val="20"/>
              </w:rPr>
              <w:t>变分不等式</w:t>
            </w:r>
          </w:p>
        </w:tc>
      </w:tr>
      <w:tr>
        <w:tc>
          <w:tcPr>
            <w:tcW w:type="dxa" w:w="2835"/>
            <w:shd w:val="clear" w:color="auto" w:fill="F0F4F8"/>
          </w:tcPr>
          <w:p>
            <w:pPr>
              <w:spacing w:after="40" w:before="40"/>
            </w:pPr>
            <w:r/>
            <w:r>
              <w:rPr>
                <w:rFonts w:ascii="Times New Roman" w:hAnsi="Times New Roman" w:eastAsia="宋体"/>
                <w:b w:val="0"/>
                <w:i w:val="0"/>
                <w:sz w:val="20"/>
              </w:rPr>
              <w:t>VPP</w:t>
            </w:r>
          </w:p>
        </w:tc>
        <w:tc>
          <w:tcPr>
            <w:tcW w:type="dxa" w:w="2835"/>
            <w:shd w:val="clear" w:color="auto" w:fill="F0F4F8"/>
          </w:tcPr>
          <w:p>
            <w:pPr>
              <w:spacing w:after="40" w:before="40"/>
            </w:pPr>
            <w:r/>
            <w:r>
              <w:rPr>
                <w:rFonts w:ascii="Times New Roman" w:hAnsi="Times New Roman" w:eastAsia="宋体"/>
                <w:b w:val="0"/>
                <w:i w:val="0"/>
                <w:sz w:val="20"/>
              </w:rPr>
              <w:t>Virtual Power Plant</w:t>
            </w:r>
          </w:p>
        </w:tc>
        <w:tc>
          <w:tcPr>
            <w:tcW w:type="dxa" w:w="2835"/>
            <w:shd w:val="clear" w:color="auto" w:fill="F0F4F8"/>
          </w:tcPr>
          <w:p>
            <w:pPr>
              <w:spacing w:after="40" w:before="40"/>
            </w:pPr>
            <w:r/>
            <w:r>
              <w:rPr>
                <w:rFonts w:ascii="Times New Roman" w:hAnsi="Times New Roman" w:eastAsia="宋体"/>
                <w:b w:val="0"/>
                <w:i w:val="0"/>
                <w:sz w:val="20"/>
              </w:rPr>
              <w:t>虚拟电厂</w:t>
            </w:r>
          </w:p>
        </w:tc>
      </w:tr>
    </w:tbl>
    <w:p>
      <w:pPr>
        <w:pStyle w:val="Heading2"/>
        <w:spacing w:before="240" w:after="80"/>
      </w:pPr>
      <w:r>
        <w:rPr>
          <w:rFonts w:ascii="Times New Roman" w:hAnsi="Times New Roman" w:eastAsia="黑体"/>
          <w:b/>
          <w:i w:val="0"/>
          <w:sz w:val="28"/>
        </w:rPr>
        <w:t>A.3 数学符号表</w:t>
      </w:r>
    </w:p>
    <w:tbl>
      <w:tblPr>
        <w:tblStyle w:val="LightGrid-Accent1"/>
        <w:tblW w:type="auto" w:w="0"/>
        <w:jc w:val="center"/>
        <w:tblLook w:firstColumn="1" w:firstRow="1" w:lastColumn="0" w:lastRow="0" w:noHBand="0" w:noVBand="1" w:val="04A0"/>
      </w:tblPr>
      <w:tblGrid>
        <w:gridCol w:w="4252"/>
        <w:gridCol w:w="4252"/>
      </w:tblGrid>
      <w:tr>
        <w:tc>
          <w:tcPr>
            <w:tcW w:type="dxa" w:w="4252"/>
          </w:tcPr>
          <w:p>
            <w:pPr>
              <w:spacing w:after="40" w:before="40"/>
            </w:pPr>
            <w:r>
              <w:rPr>
                <w:b/>
              </w:rPr>
            </w:r>
            <w:r>
              <w:rPr>
                <w:rFonts w:ascii="Times New Roman" w:hAnsi="Times New Roman" w:eastAsia="黑体"/>
                <w:b/>
                <w:i w:val="0"/>
                <w:sz w:val="20"/>
              </w:rPr>
              <w:t>符号</w:t>
            </w:r>
          </w:p>
        </w:tc>
        <w:tc>
          <w:tcPr>
            <w:tcW w:type="dxa" w:w="4252"/>
          </w:tcPr>
          <w:p>
            <w:pPr>
              <w:spacing w:after="40" w:before="40"/>
            </w:pPr>
            <w:r>
              <w:rPr>
                <w:b/>
              </w:rPr>
            </w:r>
            <w:r>
              <w:rPr>
                <w:rFonts w:ascii="Times New Roman" w:hAnsi="Times New Roman" w:eastAsia="黑体"/>
                <w:b/>
                <w:i w:val="0"/>
                <w:sz w:val="20"/>
              </w:rPr>
              <w:t>含义</w:t>
            </w:r>
          </w:p>
        </w:tc>
      </w:tr>
      <w:tr>
        <w:tc>
          <w:tcPr>
            <w:tcW w:type="dxa" w:w="4252"/>
          </w:tcPr>
          <w:p>
            <w:pPr>
              <w:spacing w:after="40" w:before="40"/>
            </w:pPr>
            <w:r/>
            <w:r>
              <w:rPr>
                <w:rFonts w:ascii="Times New Roman" w:hAnsi="Times New Roman" w:eastAsia="宋体"/>
                <w:b w:val="0"/>
                <w:i w:val="0"/>
                <w:sz w:val="20"/>
              </w:rPr>
              <w:t>U_i(x_i)</w:t>
            </w:r>
          </w:p>
        </w:tc>
        <w:tc>
          <w:tcPr>
            <w:tcW w:type="dxa" w:w="4252"/>
          </w:tcPr>
          <w:p>
            <w:pPr>
              <w:spacing w:after="40" w:before="40"/>
            </w:pPr>
            <w:r/>
            <w:r>
              <w:rPr>
                <w:rFonts w:ascii="Times New Roman" w:hAnsi="Times New Roman" w:eastAsia="宋体"/>
                <w:b w:val="0"/>
                <w:i w:val="0"/>
                <w:sz w:val="20"/>
              </w:rPr>
              <w:t>用户i消费x_i单位电量的效用函数</w:t>
            </w:r>
          </w:p>
        </w:tc>
      </w:tr>
      <w:tr>
        <w:tc>
          <w:tcPr>
            <w:tcW w:type="dxa" w:w="4252"/>
            <w:shd w:val="clear" w:color="auto" w:fill="F0F4F8"/>
          </w:tcPr>
          <w:p>
            <w:pPr>
              <w:spacing w:after="40" w:before="40"/>
            </w:pPr>
            <w:r/>
            <w:r>
              <w:rPr>
                <w:rFonts w:ascii="Times New Roman" w:hAnsi="Times New Roman" w:eastAsia="宋体"/>
                <w:b w:val="0"/>
                <w:i w:val="0"/>
                <w:sz w:val="20"/>
              </w:rPr>
              <w:t>C(Q)</w:t>
            </w:r>
          </w:p>
        </w:tc>
        <w:tc>
          <w:tcPr>
            <w:tcW w:type="dxa" w:w="4252"/>
            <w:shd w:val="clear" w:color="auto" w:fill="F0F4F8"/>
          </w:tcPr>
          <w:p>
            <w:pPr>
              <w:spacing w:after="40" w:before="40"/>
            </w:pPr>
            <w:r/>
            <w:r>
              <w:rPr>
                <w:rFonts w:ascii="Times New Roman" w:hAnsi="Times New Roman" w:eastAsia="宋体"/>
                <w:b w:val="0"/>
                <w:i w:val="0"/>
                <w:sz w:val="20"/>
              </w:rPr>
              <w:t>供电方总成本函数，Q为总供电量</w:t>
            </w:r>
          </w:p>
        </w:tc>
      </w:tr>
      <w:tr>
        <w:tc>
          <w:tcPr>
            <w:tcW w:type="dxa" w:w="4252"/>
          </w:tcPr>
          <w:p>
            <w:pPr>
              <w:spacing w:after="40" w:before="40"/>
            </w:pPr>
            <w:r/>
            <w:r>
              <w:rPr>
                <w:rFonts w:ascii="Times New Roman" w:hAnsi="Times New Roman" w:eastAsia="宋体"/>
                <w:b w:val="0"/>
                <w:i w:val="0"/>
                <w:sz w:val="20"/>
              </w:rPr>
              <w:t>Q_max</w:t>
            </w:r>
          </w:p>
        </w:tc>
        <w:tc>
          <w:tcPr>
            <w:tcW w:type="dxa" w:w="4252"/>
          </w:tcPr>
          <w:p>
            <w:pPr>
              <w:spacing w:after="40" w:before="40"/>
            </w:pPr>
            <w:r/>
            <w:r>
              <w:rPr>
                <w:rFonts w:ascii="Times New Roman" w:hAnsi="Times New Roman" w:eastAsia="宋体"/>
                <w:b w:val="0"/>
                <w:i w:val="0"/>
                <w:sz w:val="20"/>
              </w:rPr>
              <w:t>最大供电能力</w:t>
            </w:r>
          </w:p>
        </w:tc>
      </w:tr>
      <w:tr>
        <w:tc>
          <w:tcPr>
            <w:tcW w:type="dxa" w:w="4252"/>
            <w:shd w:val="clear" w:color="auto" w:fill="F0F4F8"/>
          </w:tcPr>
          <w:p>
            <w:pPr>
              <w:spacing w:after="40" w:before="40"/>
            </w:pPr>
            <w:r/>
            <w:r>
              <w:rPr>
                <w:rFonts w:ascii="Times New Roman" w:hAnsi="Times New Roman" w:eastAsia="宋体"/>
                <w:b w:val="0"/>
                <w:i w:val="0"/>
                <w:sz w:val="20"/>
              </w:rPr>
              <w:t>SW</w:t>
            </w:r>
          </w:p>
        </w:tc>
        <w:tc>
          <w:tcPr>
            <w:tcW w:type="dxa" w:w="4252"/>
            <w:shd w:val="clear" w:color="auto" w:fill="F0F4F8"/>
          </w:tcPr>
          <w:p>
            <w:pPr>
              <w:spacing w:after="40" w:before="40"/>
            </w:pPr>
            <w:r/>
            <w:r>
              <w:rPr>
                <w:rFonts w:ascii="Times New Roman" w:hAnsi="Times New Roman" w:eastAsia="宋体"/>
                <w:b w:val="0"/>
                <w:i w:val="0"/>
                <w:sz w:val="20"/>
              </w:rPr>
              <w:t>社会福利，SW = Σ U_i(x_i) - C(Q)</w:t>
            </w:r>
          </w:p>
        </w:tc>
      </w:tr>
      <w:tr>
        <w:tc>
          <w:tcPr>
            <w:tcW w:type="dxa" w:w="4252"/>
          </w:tcPr>
          <w:p>
            <w:pPr>
              <w:spacing w:after="40" w:before="40"/>
            </w:pPr>
            <w:r/>
            <w:r>
              <w:rPr>
                <w:rFonts w:ascii="Times New Roman" w:hAnsi="Times New Roman" w:eastAsia="宋体"/>
                <w:b w:val="0"/>
                <w:i w:val="0"/>
                <w:sz w:val="20"/>
              </w:rPr>
              <w:t>p</w:t>
            </w:r>
          </w:p>
        </w:tc>
        <w:tc>
          <w:tcPr>
            <w:tcW w:type="dxa" w:w="4252"/>
          </w:tcPr>
          <w:p>
            <w:pPr>
              <w:spacing w:after="40" w:before="40"/>
            </w:pPr>
            <w:r/>
            <w:r>
              <w:rPr>
                <w:rFonts w:ascii="Times New Roman" w:hAnsi="Times New Roman" w:eastAsia="宋体"/>
                <w:b w:val="0"/>
                <w:i w:val="0"/>
                <w:sz w:val="20"/>
              </w:rPr>
              <w:t>实时电价（价格信号）</w:t>
            </w:r>
          </w:p>
        </w:tc>
      </w:tr>
      <w:tr>
        <w:tc>
          <w:tcPr>
            <w:tcW w:type="dxa" w:w="4252"/>
            <w:shd w:val="clear" w:color="auto" w:fill="F0F4F8"/>
          </w:tcPr>
          <w:p>
            <w:pPr>
              <w:spacing w:after="40" w:before="40"/>
            </w:pPr>
            <w:r/>
            <w:r>
              <w:rPr>
                <w:rFonts w:ascii="Times New Roman" w:hAnsi="Times New Roman" w:eastAsia="宋体"/>
                <w:b w:val="0"/>
                <w:i w:val="0"/>
                <w:sz w:val="20"/>
              </w:rPr>
              <w:t>λ</w:t>
            </w:r>
          </w:p>
        </w:tc>
        <w:tc>
          <w:tcPr>
            <w:tcW w:type="dxa" w:w="4252"/>
            <w:shd w:val="clear" w:color="auto" w:fill="F0F4F8"/>
          </w:tcPr>
          <w:p>
            <w:pPr>
              <w:spacing w:after="40" w:before="40"/>
            </w:pPr>
            <w:r/>
            <w:r>
              <w:rPr>
                <w:rFonts w:ascii="Times New Roman" w:hAnsi="Times New Roman" w:eastAsia="宋体"/>
                <w:b w:val="0"/>
                <w:i w:val="0"/>
                <w:sz w:val="20"/>
              </w:rPr>
              <w:t>拉格朗日乘子（对应供电约束）</w:t>
            </w:r>
          </w:p>
        </w:tc>
      </w:tr>
      <w:tr>
        <w:tc>
          <w:tcPr>
            <w:tcW w:type="dxa" w:w="4252"/>
          </w:tcPr>
          <w:p>
            <w:pPr>
              <w:spacing w:after="40" w:before="40"/>
            </w:pPr>
            <w:r/>
            <w:r>
              <w:rPr>
                <w:rFonts w:ascii="Times New Roman" w:hAnsi="Times New Roman" w:eastAsia="宋体"/>
                <w:b w:val="0"/>
                <w:i w:val="0"/>
                <w:sz w:val="20"/>
              </w:rPr>
              <w:t>μ</w:t>
            </w:r>
          </w:p>
        </w:tc>
        <w:tc>
          <w:tcPr>
            <w:tcW w:type="dxa" w:w="4252"/>
          </w:tcPr>
          <w:p>
            <w:pPr>
              <w:spacing w:after="40" w:before="40"/>
            </w:pPr>
            <w:r/>
            <w:r>
              <w:rPr>
                <w:rFonts w:ascii="Times New Roman" w:hAnsi="Times New Roman" w:eastAsia="宋体"/>
                <w:b w:val="0"/>
                <w:i w:val="0"/>
                <w:sz w:val="20"/>
              </w:rPr>
              <w:t>光滑化参数</w:t>
            </w:r>
          </w:p>
        </w:tc>
      </w:tr>
      <w:tr>
        <w:tc>
          <w:tcPr>
            <w:tcW w:type="dxa" w:w="4252"/>
            <w:shd w:val="clear" w:color="auto" w:fill="F0F4F8"/>
          </w:tcPr>
          <w:p>
            <w:pPr>
              <w:spacing w:after="40" w:before="40"/>
            </w:pPr>
            <w:r/>
            <w:r>
              <w:rPr>
                <w:rFonts w:ascii="Times New Roman" w:hAnsi="Times New Roman" w:eastAsia="宋体"/>
                <w:b w:val="0"/>
                <w:i w:val="0"/>
                <w:sz w:val="20"/>
              </w:rPr>
              <w:t>φ(a,b)</w:t>
            </w:r>
          </w:p>
        </w:tc>
        <w:tc>
          <w:tcPr>
            <w:tcW w:type="dxa" w:w="4252"/>
            <w:shd w:val="clear" w:color="auto" w:fill="F0F4F8"/>
          </w:tcPr>
          <w:p>
            <w:pPr>
              <w:spacing w:after="40" w:before="40"/>
            </w:pPr>
            <w:r/>
            <w:r>
              <w:rPr>
                <w:rFonts w:ascii="Times New Roman" w:hAnsi="Times New Roman" w:eastAsia="宋体"/>
                <w:b w:val="0"/>
                <w:i w:val="0"/>
                <w:sz w:val="20"/>
              </w:rPr>
              <w:t>非线性互补函数</w:t>
            </w:r>
          </w:p>
        </w:tc>
      </w:tr>
      <w:tr>
        <w:tc>
          <w:tcPr>
            <w:tcW w:type="dxa" w:w="4252"/>
          </w:tcPr>
          <w:p>
            <w:pPr>
              <w:spacing w:after="40" w:before="40"/>
            </w:pPr>
            <w:r/>
            <w:r>
              <w:rPr>
                <w:rFonts w:ascii="Times New Roman" w:hAnsi="Times New Roman" w:eastAsia="宋体"/>
                <w:b w:val="0"/>
                <w:i w:val="0"/>
                <w:sz w:val="20"/>
              </w:rPr>
              <w:t>∂F(x)</w:t>
            </w:r>
          </w:p>
        </w:tc>
        <w:tc>
          <w:tcPr>
            <w:tcW w:type="dxa" w:w="4252"/>
          </w:tcPr>
          <w:p>
            <w:pPr>
              <w:spacing w:after="40" w:before="40"/>
            </w:pPr>
            <w:r/>
            <w:r>
              <w:rPr>
                <w:rFonts w:ascii="Times New Roman" w:hAnsi="Times New Roman" w:eastAsia="宋体"/>
                <w:b w:val="0"/>
                <w:i w:val="0"/>
                <w:sz w:val="20"/>
              </w:rPr>
              <w:t>F在x处的Clarke广义雅可比</w:t>
            </w:r>
          </w:p>
        </w:tc>
      </w:tr>
      <w:tr>
        <w:tc>
          <w:tcPr>
            <w:tcW w:type="dxa" w:w="4252"/>
            <w:shd w:val="clear" w:color="auto" w:fill="F0F4F8"/>
          </w:tcPr>
          <w:p>
            <w:pPr>
              <w:spacing w:after="40" w:before="40"/>
            </w:pPr>
            <w:r/>
            <w:r>
              <w:rPr>
                <w:rFonts w:ascii="Times New Roman" w:hAnsi="Times New Roman" w:eastAsia="宋体"/>
                <w:b w:val="0"/>
                <w:i w:val="0"/>
                <w:sz w:val="20"/>
              </w:rPr>
              <w:t>ε</w:t>
            </w:r>
          </w:p>
        </w:tc>
        <w:tc>
          <w:tcPr>
            <w:tcW w:type="dxa" w:w="4252"/>
            <w:shd w:val="clear" w:color="auto" w:fill="F0F4F8"/>
          </w:tcPr>
          <w:p>
            <w:pPr>
              <w:spacing w:after="40" w:before="40"/>
            </w:pPr>
            <w:r/>
            <w:r>
              <w:rPr>
                <w:rFonts w:ascii="Times New Roman" w:hAnsi="Times New Roman" w:eastAsia="宋体"/>
                <w:b w:val="0"/>
                <w:i w:val="0"/>
                <w:sz w:val="20"/>
              </w:rPr>
              <w:t>需求价格弹性</w:t>
            </w:r>
          </w:p>
        </w:tc>
      </w:tr>
      <w:tr>
        <w:tc>
          <w:tcPr>
            <w:tcW w:type="dxa" w:w="4252"/>
          </w:tcPr>
          <w:p>
            <w:pPr>
              <w:spacing w:after="40" w:before="40"/>
            </w:pPr>
            <w:r/>
            <w:r>
              <w:rPr>
                <w:rFonts w:ascii="Times New Roman" w:hAnsi="Times New Roman" w:eastAsia="宋体"/>
                <w:b w:val="0"/>
                <w:i w:val="0"/>
                <w:sz w:val="20"/>
              </w:rPr>
              <w:t>N</w:t>
            </w:r>
          </w:p>
        </w:tc>
        <w:tc>
          <w:tcPr>
            <w:tcW w:type="dxa" w:w="4252"/>
          </w:tcPr>
          <w:p>
            <w:pPr>
              <w:spacing w:after="40" w:before="40"/>
            </w:pPr>
            <w:r/>
            <w:r>
              <w:rPr>
                <w:rFonts w:ascii="Times New Roman" w:hAnsi="Times New Roman" w:eastAsia="宋体"/>
                <w:b w:val="0"/>
                <w:i w:val="0"/>
                <w:sz w:val="20"/>
              </w:rPr>
              <w:t>用户总数</w:t>
            </w:r>
          </w:p>
        </w:tc>
      </w:tr>
      <w:tr>
        <w:tc>
          <w:tcPr>
            <w:tcW w:type="dxa" w:w="4252"/>
            <w:shd w:val="clear" w:color="auto" w:fill="F0F4F8"/>
          </w:tcPr>
          <w:p>
            <w:pPr>
              <w:spacing w:after="40" w:before="40"/>
            </w:pPr>
            <w:r/>
            <w:r>
              <w:rPr>
                <w:rFonts w:ascii="Times New Roman" w:hAnsi="Times New Roman" w:eastAsia="宋体"/>
                <w:b w:val="0"/>
                <w:i w:val="0"/>
                <w:sz w:val="20"/>
              </w:rPr>
              <w:t>K</w:t>
            </w:r>
          </w:p>
        </w:tc>
        <w:tc>
          <w:tcPr>
            <w:tcW w:type="dxa" w:w="4252"/>
            <w:shd w:val="clear" w:color="auto" w:fill="F0F4F8"/>
          </w:tcPr>
          <w:p>
            <w:pPr>
              <w:spacing w:after="40" w:before="40"/>
            </w:pPr>
            <w:r/>
            <w:r>
              <w:rPr>
                <w:rFonts w:ascii="Times New Roman" w:hAnsi="Times New Roman" w:eastAsia="宋体"/>
                <w:b w:val="0"/>
                <w:i w:val="0"/>
                <w:sz w:val="20"/>
              </w:rPr>
              <w:t>策略集或可行域</w:t>
            </w:r>
          </w:p>
        </w:tc>
      </w:tr>
      <w:tr>
        <w:tc>
          <w:tcPr>
            <w:tcW w:type="dxa" w:w="4252"/>
          </w:tcPr>
          <w:p>
            <w:pPr>
              <w:spacing w:after="40" w:before="40"/>
            </w:pPr>
            <w:r/>
            <w:r>
              <w:rPr>
                <w:rFonts w:ascii="Times New Roman" w:hAnsi="Times New Roman" w:eastAsia="宋体"/>
                <w:b w:val="0"/>
                <w:i w:val="0"/>
                <w:sz w:val="20"/>
              </w:rPr>
              <w:t>π</w:t>
            </w:r>
          </w:p>
        </w:tc>
        <w:tc>
          <w:tcPr>
            <w:tcW w:type="dxa" w:w="4252"/>
          </w:tcPr>
          <w:p>
            <w:pPr>
              <w:spacing w:after="40" w:before="40"/>
            </w:pPr>
            <w:r/>
            <w:r>
              <w:rPr>
                <w:rFonts w:ascii="Times New Roman" w:hAnsi="Times New Roman" w:eastAsia="宋体"/>
                <w:b w:val="0"/>
                <w:i w:val="0"/>
                <w:sz w:val="20"/>
              </w:rPr>
              <w:t>博弈中的收益函数</w:t>
            </w:r>
          </w:p>
        </w:tc>
      </w:tr>
      <w:tr>
        <w:tc>
          <w:tcPr>
            <w:tcW w:type="dxa" w:w="4252"/>
            <w:shd w:val="clear" w:color="auto" w:fill="F0F4F8"/>
          </w:tcPr>
          <w:p>
            <w:pPr>
              <w:spacing w:after="40" w:before="40"/>
            </w:pPr>
            <w:r/>
            <w:r>
              <w:rPr>
                <w:rFonts w:ascii="Times New Roman" w:hAnsi="Times New Roman" w:eastAsia="宋体"/>
                <w:b w:val="0"/>
                <w:i w:val="0"/>
                <w:sz w:val="20"/>
              </w:rPr>
              <w:t>s_t</w:t>
            </w:r>
          </w:p>
        </w:tc>
        <w:tc>
          <w:tcPr>
            <w:tcW w:type="dxa" w:w="4252"/>
            <w:shd w:val="clear" w:color="auto" w:fill="F0F4F8"/>
          </w:tcPr>
          <w:p>
            <w:pPr>
              <w:spacing w:after="40" w:before="40"/>
            </w:pPr>
            <w:r/>
            <w:r>
              <w:rPr>
                <w:rFonts w:ascii="Times New Roman" w:hAnsi="Times New Roman" w:eastAsia="宋体"/>
                <w:b w:val="0"/>
                <w:i w:val="0"/>
                <w:sz w:val="20"/>
              </w:rPr>
              <w:t>状态（时刻t）</w:t>
            </w:r>
          </w:p>
        </w:tc>
      </w:tr>
      <w:tr>
        <w:tc>
          <w:tcPr>
            <w:tcW w:type="dxa" w:w="4252"/>
          </w:tcPr>
          <w:p>
            <w:pPr>
              <w:spacing w:after="40" w:before="40"/>
            </w:pPr>
            <w:r/>
            <w:r>
              <w:rPr>
                <w:rFonts w:ascii="Times New Roman" w:hAnsi="Times New Roman" w:eastAsia="宋体"/>
                <w:b w:val="0"/>
                <w:i w:val="0"/>
                <w:sz w:val="20"/>
              </w:rPr>
              <w:t>a_t</w:t>
            </w:r>
          </w:p>
        </w:tc>
        <w:tc>
          <w:tcPr>
            <w:tcW w:type="dxa" w:w="4252"/>
          </w:tcPr>
          <w:p>
            <w:pPr>
              <w:spacing w:after="40" w:before="40"/>
            </w:pPr>
            <w:r/>
            <w:r>
              <w:rPr>
                <w:rFonts w:ascii="Times New Roman" w:hAnsi="Times New Roman" w:eastAsia="宋体"/>
                <w:b w:val="0"/>
                <w:i w:val="0"/>
                <w:sz w:val="20"/>
              </w:rPr>
              <w:t>动作（时刻t）</w:t>
            </w:r>
          </w:p>
        </w:tc>
      </w:tr>
      <w:tr>
        <w:tc>
          <w:tcPr>
            <w:tcW w:type="dxa" w:w="4252"/>
            <w:shd w:val="clear" w:color="auto" w:fill="F0F4F8"/>
          </w:tcPr>
          <w:p>
            <w:pPr>
              <w:spacing w:after="40" w:before="40"/>
            </w:pPr>
            <w:r/>
            <w:r>
              <w:rPr>
                <w:rFonts w:ascii="Times New Roman" w:hAnsi="Times New Roman" w:eastAsia="宋体"/>
                <w:b w:val="0"/>
                <w:i w:val="0"/>
                <w:sz w:val="20"/>
              </w:rPr>
              <w:t>r_t</w:t>
            </w:r>
          </w:p>
        </w:tc>
        <w:tc>
          <w:tcPr>
            <w:tcW w:type="dxa" w:w="4252"/>
            <w:shd w:val="clear" w:color="auto" w:fill="F0F4F8"/>
          </w:tcPr>
          <w:p>
            <w:pPr>
              <w:spacing w:after="40" w:before="40"/>
            </w:pPr>
            <w:r/>
            <w:r>
              <w:rPr>
                <w:rFonts w:ascii="Times New Roman" w:hAnsi="Times New Roman" w:eastAsia="宋体"/>
                <w:b w:val="0"/>
                <w:i w:val="0"/>
                <w:sz w:val="20"/>
              </w:rPr>
              <w:t>奖励（时刻t）</w:t>
            </w:r>
          </w:p>
        </w:tc>
      </w:tr>
      <w:tr>
        <w:tc>
          <w:tcPr>
            <w:tcW w:type="dxa" w:w="4252"/>
          </w:tcPr>
          <w:p>
            <w:pPr>
              <w:spacing w:after="40" w:before="40"/>
            </w:pPr>
            <w:r/>
            <w:r>
              <w:rPr>
                <w:rFonts w:ascii="Times New Roman" w:hAnsi="Times New Roman" w:eastAsia="宋体"/>
                <w:b w:val="0"/>
                <w:i w:val="0"/>
                <w:sz w:val="20"/>
              </w:rPr>
              <w:t>γ</w:t>
            </w:r>
          </w:p>
        </w:tc>
        <w:tc>
          <w:tcPr>
            <w:tcW w:type="dxa" w:w="4252"/>
          </w:tcPr>
          <w:p>
            <w:pPr>
              <w:spacing w:after="40" w:before="40"/>
            </w:pPr>
            <w:r/>
            <w:r>
              <w:rPr>
                <w:rFonts w:ascii="Times New Roman" w:hAnsi="Times New Roman" w:eastAsia="宋体"/>
                <w:b w:val="0"/>
                <w:i w:val="0"/>
                <w:sz w:val="20"/>
              </w:rPr>
              <w:t>折扣因子</w:t>
            </w:r>
          </w:p>
        </w:tc>
      </w:tr>
      <w:tr>
        <w:tc>
          <w:tcPr>
            <w:tcW w:type="dxa" w:w="4252"/>
            <w:shd w:val="clear" w:color="auto" w:fill="F0F4F8"/>
          </w:tcPr>
          <w:p>
            <w:pPr>
              <w:spacing w:after="40" w:before="40"/>
            </w:pPr>
            <w:r/>
            <w:r>
              <w:rPr>
                <w:rFonts w:ascii="Times New Roman" w:hAnsi="Times New Roman" w:eastAsia="宋体"/>
                <w:b w:val="0"/>
                <w:i w:val="0"/>
                <w:sz w:val="20"/>
              </w:rPr>
              <w:t>Q(s,a)</w:t>
            </w:r>
          </w:p>
        </w:tc>
        <w:tc>
          <w:tcPr>
            <w:tcW w:type="dxa" w:w="4252"/>
            <w:shd w:val="clear" w:color="auto" w:fill="F0F4F8"/>
          </w:tcPr>
          <w:p>
            <w:pPr>
              <w:spacing w:after="40" w:before="40"/>
            </w:pPr>
            <w:r/>
            <w:r>
              <w:rPr>
                <w:rFonts w:ascii="Times New Roman" w:hAnsi="Times New Roman" w:eastAsia="宋体"/>
                <w:b w:val="0"/>
                <w:i w:val="0"/>
                <w:sz w:val="20"/>
              </w:rPr>
              <w:t>状态-动作值函数</w:t>
            </w:r>
          </w:p>
        </w:tc>
      </w:tr>
      <w:tr>
        <w:tc>
          <w:tcPr>
            <w:tcW w:type="dxa" w:w="4252"/>
          </w:tcPr>
          <w:p>
            <w:pPr>
              <w:spacing w:after="40" w:before="40"/>
            </w:pPr>
            <w:r/>
            <w:r>
              <w:rPr>
                <w:rFonts w:ascii="Times New Roman" w:hAnsi="Times New Roman" w:eastAsia="宋体"/>
                <w:b w:val="0"/>
                <w:i w:val="0"/>
                <w:sz w:val="20"/>
              </w:rPr>
              <w:t>V(s)</w:t>
            </w:r>
          </w:p>
        </w:tc>
        <w:tc>
          <w:tcPr>
            <w:tcW w:type="dxa" w:w="4252"/>
          </w:tcPr>
          <w:p>
            <w:pPr>
              <w:spacing w:after="40" w:before="40"/>
            </w:pPr>
            <w:r/>
            <w:r>
              <w:rPr>
                <w:rFonts w:ascii="Times New Roman" w:hAnsi="Times New Roman" w:eastAsia="宋体"/>
                <w:b w:val="0"/>
                <w:i w:val="0"/>
                <w:sz w:val="20"/>
              </w:rPr>
              <w:t>状态值函数</w:t>
            </w:r>
          </w:p>
        </w:tc>
      </w:tr>
      <w:tr>
        <w:tc>
          <w:tcPr>
            <w:tcW w:type="dxa" w:w="4252"/>
            <w:shd w:val="clear" w:color="auto" w:fill="F0F4F8"/>
          </w:tcPr>
          <w:p>
            <w:pPr>
              <w:spacing w:after="40" w:before="40"/>
            </w:pPr>
            <w:r/>
            <w:r>
              <w:rPr>
                <w:rFonts w:ascii="Times New Roman" w:hAnsi="Times New Roman" w:eastAsia="宋体"/>
                <w:b w:val="0"/>
                <w:i w:val="0"/>
                <w:sz w:val="20"/>
              </w:rPr>
              <w:t>ξ</w:t>
            </w:r>
          </w:p>
        </w:tc>
        <w:tc>
          <w:tcPr>
            <w:tcW w:type="dxa" w:w="4252"/>
            <w:shd w:val="clear" w:color="auto" w:fill="F0F4F8"/>
          </w:tcPr>
          <w:p>
            <w:pPr>
              <w:spacing w:after="40" w:before="40"/>
            </w:pPr>
            <w:r/>
            <w:r>
              <w:rPr>
                <w:rFonts w:ascii="Times New Roman" w:hAnsi="Times New Roman" w:eastAsia="宋体"/>
                <w:b w:val="0"/>
                <w:i w:val="0"/>
                <w:sz w:val="20"/>
              </w:rPr>
              <w:t>随机变量（不确定性参数）</w:t>
            </w:r>
          </w:p>
        </w:tc>
      </w:tr>
    </w:tbl>
    <w:p>
      <w:pPr>
        <w:pStyle w:val="Heading2"/>
        <w:spacing w:before="240" w:after="80"/>
      </w:pPr>
      <w:r>
        <w:rPr>
          <w:rFonts w:ascii="Times New Roman" w:hAnsi="Times New Roman" w:eastAsia="黑体"/>
          <w:b/>
          <w:i w:val="0"/>
          <w:sz w:val="28"/>
        </w:rPr>
        <w:t>A.4 关键公式速查</w:t>
      </w:r>
    </w:p>
    <w:p>
      <w:pPr>
        <w:pStyle w:val="Heading3"/>
        <w:spacing w:before="160" w:after="60"/>
      </w:pPr>
      <w:r>
        <w:rPr>
          <w:rFonts w:ascii="Times New Roman" w:hAnsi="Times New Roman" w:eastAsia="黑体"/>
          <w:b/>
          <w:i w:val="0"/>
          <w:sz w:val="24"/>
        </w:rPr>
        <w:t>社会福利最大化</w:t>
      </w:r>
    </w:p>
    <w:p>
      <w:pPr>
        <w:spacing w:line="360" w:lineRule="auto" w:after="0"/>
        <w:ind w:firstLine="425"/>
      </w:pPr>
      <w:r>
        <w:rPr>
          <w:rFonts w:ascii="Times New Roman" w:hAnsi="Times New Roman" w:eastAsia="宋体"/>
          <w:b w:val="0"/>
          <w:i w:val="0"/>
          <w:sz w:val="22"/>
        </w:rPr>
        <w:t>SW = sum_i U_i(x_i) - C(Q), Q = sum_i x_i</w:t>
      </w:r>
    </w:p>
    <w:p>
      <w:pPr>
        <w:pStyle w:val="Heading3"/>
        <w:spacing w:before="160" w:after="60"/>
      </w:pPr>
      <w:r>
        <w:rPr>
          <w:rFonts w:ascii="Times New Roman" w:hAnsi="Times New Roman" w:eastAsia="黑体"/>
          <w:b/>
          <w:i w:val="0"/>
          <w:sz w:val="24"/>
        </w:rPr>
        <w:t>KKT条件</w:t>
      </w:r>
    </w:p>
    <w:p>
      <w:pPr>
        <w:spacing w:line="360" w:lineRule="auto" w:after="0"/>
        <w:ind w:firstLine="425"/>
      </w:pPr>
      <w:r>
        <w:rPr>
          <w:rFonts w:ascii="Times New Roman" w:hAnsi="Times New Roman" w:eastAsia="宋体"/>
          <w:b w:val="0"/>
          <w:i w:val="0"/>
          <w:sz w:val="22"/>
        </w:rPr>
        <w:t>U_i'(x_i) - p - lambda_i + mu_i = 0</w:t>
      </w:r>
    </w:p>
    <w:p>
      <w:pPr>
        <w:spacing w:line="360" w:lineRule="auto" w:after="0"/>
        <w:ind w:firstLine="425"/>
      </w:pPr>
      <w:r>
        <w:rPr>
          <w:rFonts w:ascii="Times New Roman" w:hAnsi="Times New Roman" w:eastAsia="宋体"/>
          <w:b w:val="0"/>
          <w:i w:val="0"/>
          <w:sz w:val="22"/>
        </w:rPr>
        <w:t>C'(Q) - p = 0</w:t>
      </w:r>
    </w:p>
    <w:p>
      <w:pPr>
        <w:spacing w:line="360" w:lineRule="auto" w:after="0"/>
        <w:ind w:firstLine="425"/>
      </w:pPr>
      <w:r>
        <w:rPr>
          <w:rFonts w:ascii="Times New Roman" w:hAnsi="Times New Roman" w:eastAsia="宋体"/>
          <w:b w:val="0"/>
          <w:i w:val="0"/>
          <w:sz w:val="22"/>
        </w:rPr>
        <w:t>lambda_i(x_i - x_i_max) = 0, lambda_i &gt;= 0</w:t>
      </w:r>
    </w:p>
    <w:p>
      <w:pPr>
        <w:spacing w:line="360" w:lineRule="auto" w:after="0"/>
        <w:ind w:firstLine="425"/>
      </w:pPr>
      <w:r>
        <w:rPr>
          <w:rFonts w:ascii="Times New Roman" w:hAnsi="Times New Roman" w:eastAsia="宋体"/>
          <w:b w:val="0"/>
          <w:i w:val="0"/>
          <w:sz w:val="22"/>
        </w:rPr>
        <w:t>mu_i x_i = 0, mu_i &gt;= 0</w:t>
      </w:r>
    </w:p>
    <w:p>
      <w:pPr>
        <w:pStyle w:val="Heading3"/>
        <w:spacing w:before="160" w:after="60"/>
      </w:pPr>
      <w:r>
        <w:rPr>
          <w:rFonts w:ascii="Times New Roman" w:hAnsi="Times New Roman" w:eastAsia="黑体"/>
          <w:b/>
          <w:i w:val="0"/>
          <w:sz w:val="24"/>
        </w:rPr>
        <w:t>Fischer-Burmeister函数</w:t>
      </w:r>
    </w:p>
    <w:p>
      <w:pPr>
        <w:spacing w:line="360" w:lineRule="auto" w:after="0"/>
        <w:ind w:firstLine="425"/>
      </w:pPr>
      <w:r>
        <w:rPr>
          <w:rFonts w:ascii="Times New Roman" w:hAnsi="Times New Roman" w:eastAsia="宋体"/>
          <w:b w:val="0"/>
          <w:i w:val="0"/>
          <w:sz w:val="22"/>
        </w:rPr>
        <w:t>phi_FB(a,b) = sqrt(a^2 + b^2) - a - b = 0 iff a &gt;= 0, b &gt;= 0, ab = 0</w:t>
      </w:r>
    </w:p>
    <w:p>
      <w:pPr>
        <w:pStyle w:val="Heading3"/>
        <w:spacing w:before="160" w:after="60"/>
      </w:pPr>
      <w:r>
        <w:rPr>
          <w:rFonts w:ascii="Times New Roman" w:hAnsi="Times New Roman" w:eastAsia="黑体"/>
          <w:b/>
          <w:i w:val="0"/>
          <w:sz w:val="24"/>
        </w:rPr>
        <w:t>光滑化FB函数</w:t>
      </w:r>
    </w:p>
    <w:p>
      <w:pPr>
        <w:spacing w:line="360" w:lineRule="auto" w:after="0"/>
        <w:ind w:firstLine="425"/>
      </w:pPr>
      <w:r>
        <w:rPr>
          <w:rFonts w:ascii="Times New Roman" w:hAnsi="Times New Roman" w:eastAsia="宋体"/>
          <w:b w:val="0"/>
          <w:i w:val="0"/>
          <w:sz w:val="22"/>
        </w:rPr>
        <w:t>phi_FB_mu(a,b) = sqrt(a^2 + b^2 + mu^2) - a - b</w:t>
      </w:r>
    </w:p>
    <w:p>
      <w:pPr>
        <w:pStyle w:val="Heading3"/>
        <w:spacing w:before="160" w:after="60"/>
      </w:pPr>
      <w:r>
        <w:rPr>
          <w:rFonts w:ascii="Times New Roman" w:hAnsi="Times New Roman" w:eastAsia="黑体"/>
          <w:b/>
          <w:i w:val="0"/>
          <w:sz w:val="24"/>
        </w:rPr>
        <w:t>需求价格弹性</w:t>
      </w:r>
    </w:p>
    <w:p>
      <w:pPr>
        <w:spacing w:line="360" w:lineRule="auto" w:after="0"/>
        <w:ind w:firstLine="425"/>
      </w:pPr>
      <w:r>
        <w:rPr>
          <w:rFonts w:ascii="Times New Roman" w:hAnsi="Times New Roman" w:eastAsia="宋体"/>
          <w:b w:val="0"/>
          <w:i w:val="0"/>
          <w:sz w:val="22"/>
        </w:rPr>
        <w:t>epsilon = (dx/x) / (dp/p) = (p/x) * (dx/dp)</w:t>
      </w:r>
    </w:p>
    <w:p>
      <w:pPr>
        <w:pStyle w:val="Heading3"/>
        <w:spacing w:before="160" w:after="60"/>
      </w:pPr>
      <w:r>
        <w:rPr>
          <w:rFonts w:ascii="Times New Roman" w:hAnsi="Times New Roman" w:eastAsia="黑体"/>
          <w:b/>
          <w:i w:val="0"/>
          <w:sz w:val="24"/>
        </w:rPr>
        <w:t>贝尔曼方程</w:t>
      </w:r>
    </w:p>
    <w:p>
      <w:pPr>
        <w:spacing w:line="360" w:lineRule="auto" w:after="0"/>
        <w:ind w:firstLine="425"/>
      </w:pPr>
      <w:r>
        <w:rPr>
          <w:rFonts w:ascii="Times New Roman" w:hAnsi="Times New Roman" w:eastAsia="宋体"/>
          <w:b w:val="0"/>
          <w:i w:val="0"/>
          <w:sz w:val="22"/>
        </w:rPr>
        <w:t xml:space="preserve">Q(s,a) = r(s,a) + gamma </w:t>
      </w:r>
      <w:r>
        <w:rPr>
          <w:rFonts w:ascii="Times New Roman" w:hAnsi="Times New Roman" w:eastAsia="宋体"/>
          <w:b w:val="0"/>
          <w:i/>
          <w:sz w:val="22"/>
        </w:rPr>
        <w:t xml:space="preserve"> sum_s' P(s'|s,a) </w:t>
      </w:r>
      <w:r>
        <w:rPr>
          <w:rFonts w:ascii="Times New Roman" w:hAnsi="Times New Roman" w:eastAsia="宋体"/>
          <w:b w:val="0"/>
          <w:i w:val="0"/>
          <w:sz w:val="22"/>
        </w:rPr>
        <w:t xml:space="preserve"> max_a' Q(s',a')</w:t>
      </w:r>
    </w:p>
    <w:p>
      <w:pPr>
        <w:pStyle w:val="Heading3"/>
        <w:spacing w:before="160" w:after="60"/>
      </w:pPr>
      <w:r>
        <w:rPr>
          <w:rFonts w:ascii="Times New Roman" w:hAnsi="Times New Roman" w:eastAsia="黑体"/>
          <w:b/>
          <w:i w:val="0"/>
          <w:sz w:val="24"/>
        </w:rPr>
        <w:t>Q学习更新规则</w:t>
      </w:r>
    </w:p>
    <w:p>
      <w:pPr>
        <w:spacing w:line="360" w:lineRule="auto" w:after="0"/>
        <w:ind w:firstLine="425"/>
      </w:pPr>
      <w:r>
        <w:rPr>
          <w:rFonts w:ascii="Times New Roman" w:hAnsi="Times New Roman" w:eastAsia="宋体"/>
          <w:b w:val="0"/>
          <w:i w:val="0"/>
          <w:sz w:val="22"/>
        </w:rPr>
        <w:t>Q(s,a) &lt;- Q(s,a) + alpha[r + gamma * max_a' Q(s',a') - Q(s,a)]</w:t>
      </w:r>
    </w:p>
    <w:p>
      <w:pPr>
        <w:pStyle w:val="Heading3"/>
        <w:spacing w:before="160" w:after="60"/>
      </w:pPr>
      <w:r>
        <w:rPr>
          <w:rFonts w:ascii="Times New Roman" w:hAnsi="Times New Roman" w:eastAsia="黑体"/>
          <w:b/>
          <w:i w:val="0"/>
          <w:sz w:val="24"/>
        </w:rPr>
        <w:t>Stackelberg均衡条件</w:t>
      </w:r>
    </w:p>
    <w:p>
      <w:pPr>
        <w:spacing w:line="360" w:lineRule="auto" w:after="0"/>
        <w:ind w:firstLine="425"/>
      </w:pPr>
      <w:r>
        <w:rPr>
          <w:rFonts w:ascii="Times New Roman" w:hAnsi="Times New Roman" w:eastAsia="宋体"/>
          <w:b w:val="0"/>
          <w:i w:val="0"/>
          <w:sz w:val="22"/>
        </w:rPr>
        <w:t>pi_j(p_j</w:t>
      </w:r>
      <w:r>
        <w:rPr>
          <w:rFonts w:ascii="Times New Roman" w:hAnsi="Times New Roman" w:eastAsia="宋体"/>
          <w:b w:val="0"/>
          <w:i/>
          <w:sz w:val="22"/>
        </w:rPr>
        <w:t>, p_-j</w:t>
      </w:r>
      <w:r>
        <w:rPr>
          <w:rFonts w:ascii="Times New Roman" w:hAnsi="Times New Roman" w:eastAsia="宋体"/>
          <w:b w:val="0"/>
          <w:i w:val="0"/>
          <w:sz w:val="22"/>
        </w:rPr>
        <w:t>) &gt;= pi_j(p_j, p_-j*), for all p_j, for all j</w:t>
      </w:r>
    </w:p>
    <w:p>
      <w:pPr>
        <w:pStyle w:val="Heading3"/>
        <w:spacing w:before="160" w:after="60"/>
      </w:pPr>
      <w:r>
        <w:rPr>
          <w:rFonts w:ascii="Times New Roman" w:hAnsi="Times New Roman" w:eastAsia="黑体"/>
          <w:b/>
          <w:i w:val="0"/>
          <w:sz w:val="24"/>
        </w:rPr>
        <w:t>ADMM迭代格式</w:t>
      </w:r>
    </w:p>
    <w:p>
      <w:pPr>
        <w:spacing w:line="360" w:lineRule="auto" w:after="0"/>
        <w:ind w:firstLine="425"/>
      </w:pPr>
      <w:r>
        <w:rPr>
          <w:rFonts w:ascii="Times New Roman" w:hAnsi="Times New Roman" w:eastAsia="宋体"/>
          <w:b w:val="0"/>
          <w:i w:val="0"/>
          <w:sz w:val="22"/>
        </w:rPr>
        <w:t>x^(k+1) = argmin_x L_rho(x, z^(k), y^(k))</w:t>
      </w:r>
    </w:p>
    <w:p>
      <w:pPr>
        <w:spacing w:line="360" w:lineRule="auto" w:after="0"/>
        <w:ind w:firstLine="425"/>
      </w:pPr>
      <w:r>
        <w:rPr>
          <w:rFonts w:ascii="Times New Roman" w:hAnsi="Times New Roman" w:eastAsia="宋体"/>
          <w:b w:val="0"/>
          <w:i w:val="0"/>
          <w:sz w:val="22"/>
        </w:rPr>
        <w:t>z^(k+1) = argmin_z L_rho(x^(k+1), z, y^(k))</w:t>
      </w:r>
    </w:p>
    <w:p>
      <w:pPr>
        <w:spacing w:line="360" w:lineRule="auto" w:after="0"/>
        <w:ind w:firstLine="425"/>
      </w:pPr>
      <w:r>
        <w:rPr>
          <w:rFonts w:ascii="Times New Roman" w:hAnsi="Times New Roman" w:eastAsia="宋体"/>
          <w:b w:val="0"/>
          <w:i w:val="0"/>
          <w:sz w:val="22"/>
        </w:rPr>
        <w:t>y^(k+1) = y^(k) + rho * (x^(k+1) - z^(k+1))</w:t>
      </w:r>
    </w:p>
    <w:p>
      <w:pPr>
        <w:pStyle w:val="Heading3"/>
        <w:spacing w:before="160" w:after="60"/>
      </w:pPr>
      <w:r>
        <w:rPr>
          <w:rFonts w:ascii="Times New Roman" w:hAnsi="Times New Roman" w:eastAsia="黑体"/>
          <w:b/>
          <w:i w:val="0"/>
          <w:sz w:val="24"/>
        </w:rPr>
        <w:t>次梯度更新</w:t>
      </w:r>
    </w:p>
    <w:p>
      <w:pPr>
        <w:spacing w:line="360" w:lineRule="auto" w:after="0"/>
        <w:ind w:firstLine="425"/>
      </w:pPr>
      <w:r>
        <w:rPr>
          <w:rFonts w:ascii="Times New Roman" w:hAnsi="Times New Roman" w:eastAsia="宋体"/>
          <w:b w:val="0"/>
          <w:i w:val="0"/>
          <w:sz w:val="22"/>
        </w:rPr>
        <w:t>p^(k+1) = [p^(k) + alpha_k * g^(k)]^+</w:t>
      </w:r>
    </w:p>
    <w:p>
      <w:pPr>
        <w:pStyle w:val="Heading3"/>
        <w:spacing w:before="160" w:after="60"/>
      </w:pPr>
      <w:r>
        <w:rPr>
          <w:rFonts w:ascii="Times New Roman" w:hAnsi="Times New Roman" w:eastAsia="黑体"/>
          <w:b/>
          <w:i w:val="0"/>
          <w:sz w:val="24"/>
        </w:rPr>
        <w:t>互补问题</w:t>
      </w:r>
    </w:p>
    <w:p>
      <w:pPr>
        <w:spacing w:line="360" w:lineRule="auto" w:after="0"/>
        <w:ind w:firstLine="425"/>
      </w:pPr>
      <w:r>
        <w:rPr>
          <w:rFonts w:ascii="Times New Roman" w:hAnsi="Times New Roman" w:eastAsia="宋体"/>
          <w:b w:val="0"/>
          <w:i w:val="0"/>
          <w:sz w:val="22"/>
        </w:rPr>
        <w:t>Find x &gt;= 0 such that F(x) &gt;= 0 and x^T F(x) = 0</w:t>
      </w:r>
    </w:p>
    <w:p>
      <w:pPr>
        <w:pStyle w:val="Heading3"/>
        <w:spacing w:before="160" w:after="60"/>
      </w:pPr>
      <w:r>
        <w:rPr>
          <w:rFonts w:ascii="Times New Roman" w:hAnsi="Times New Roman" w:eastAsia="黑体"/>
          <w:b/>
          <w:i w:val="0"/>
          <w:sz w:val="24"/>
        </w:rPr>
        <w:t>变分不等式</w:t>
      </w:r>
    </w:p>
    <w:p>
      <w:pPr>
        <w:spacing w:line="360" w:lineRule="auto" w:after="0"/>
        <w:ind w:firstLine="425"/>
      </w:pPr>
      <w:r>
        <w:rPr>
          <w:rFonts w:ascii="Times New Roman" w:hAnsi="Times New Roman" w:eastAsia="宋体"/>
          <w:b w:val="0"/>
          <w:i w:val="0"/>
          <w:sz w:val="22"/>
        </w:rPr>
        <w:t>Find x</w:t>
      </w:r>
      <w:r>
        <w:rPr>
          <w:rFonts w:ascii="Times New Roman" w:hAnsi="Times New Roman" w:eastAsia="宋体"/>
          <w:b w:val="0"/>
          <w:i/>
          <w:sz w:val="22"/>
        </w:rPr>
        <w:t xml:space="preserve"> in K such that &lt;F(x</w:t>
      </w:r>
      <w:r>
        <w:rPr>
          <w:rFonts w:ascii="Times New Roman" w:hAnsi="Times New Roman" w:eastAsia="宋体"/>
          <w:b w:val="0"/>
          <w:i w:val="0"/>
          <w:sz w:val="22"/>
        </w:rPr>
        <w:t>), x - x*&gt; &gt;= 0, for all x in K</w:t>
      </w:r>
    </w:p>
    <w:p>
      <w:r>
        <w:br w:type="page"/>
      </w:r>
    </w:p>
    <w:p>
      <w:pPr>
        <w:pStyle w:val="Heading1"/>
        <w:spacing w:before="360" w:after="120"/>
      </w:pPr>
      <w:r>
        <w:rPr>
          <w:rFonts w:ascii="Times New Roman" w:hAnsi="Times New Roman" w:eastAsia="黑体"/>
          <w:b/>
          <w:i w:val="0"/>
          <w:sz w:val="32"/>
        </w:rPr>
        <w:t>附录B  工具与平台速查</w:t>
      </w:r>
    </w:p>
    <w:p>
      <w:pPr>
        <w:spacing w:line="360" w:lineRule="auto" w:after="0"/>
        <w:ind w:firstLine="425"/>
      </w:pPr>
      <w:r>
        <w:rPr>
          <w:rFonts w:ascii="Times New Roman" w:hAnsi="Times New Roman" w:eastAsia="宋体"/>
          <w:b w:val="0"/>
          <w:i w:val="0"/>
          <w:sz w:val="22"/>
        </w:rPr>
        <w:t>本附录收录智能电网实时定价领域常用的软件工具、仿真平台和开源项目，按功能分类排列。</w:t>
      </w:r>
    </w:p>
    <w:p>
      <w:pPr>
        <w:pStyle w:val="Heading2"/>
        <w:spacing w:before="240" w:after="80"/>
      </w:pPr>
      <w:r>
        <w:rPr>
          <w:rFonts w:ascii="Times New Roman" w:hAnsi="Times New Roman" w:eastAsia="黑体"/>
          <w:b/>
          <w:i w:val="0"/>
          <w:sz w:val="28"/>
        </w:rPr>
        <w:t>B.1 优化求解工具</w:t>
      </w:r>
    </w:p>
    <w:tbl>
      <w:tblPr>
        <w:tblStyle w:val="LightGrid-Accent1"/>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pPr>
              <w:spacing w:after="40" w:before="40"/>
            </w:pPr>
            <w:r>
              <w:rPr>
                <w:b/>
              </w:rPr>
            </w:r>
            <w:r>
              <w:rPr>
                <w:rFonts w:ascii="Times New Roman" w:hAnsi="Times New Roman" w:eastAsia="黑体"/>
                <w:b/>
                <w:i w:val="0"/>
                <w:sz w:val="20"/>
              </w:rPr>
              <w:t>序号</w:t>
            </w:r>
          </w:p>
        </w:tc>
        <w:tc>
          <w:tcPr>
            <w:tcW w:type="dxa" w:w="1417"/>
          </w:tcPr>
          <w:p>
            <w:pPr>
              <w:spacing w:after="40" w:before="40"/>
            </w:pPr>
            <w:r>
              <w:rPr>
                <w:b/>
              </w:rPr>
            </w:r>
            <w:r>
              <w:rPr>
                <w:rFonts w:ascii="Times New Roman" w:hAnsi="Times New Roman" w:eastAsia="黑体"/>
                <w:b/>
                <w:i w:val="0"/>
                <w:sz w:val="20"/>
              </w:rPr>
              <w:t>工具名称</w:t>
            </w:r>
          </w:p>
        </w:tc>
        <w:tc>
          <w:tcPr>
            <w:tcW w:type="dxa" w:w="1417"/>
          </w:tcPr>
          <w:p>
            <w:pPr>
              <w:spacing w:after="40" w:before="40"/>
            </w:pPr>
            <w:r>
              <w:rPr>
                <w:b/>
              </w:rPr>
            </w:r>
            <w:r>
              <w:rPr>
                <w:rFonts w:ascii="Times New Roman" w:hAnsi="Times New Roman" w:eastAsia="黑体"/>
                <w:b/>
                <w:i w:val="0"/>
                <w:sz w:val="20"/>
              </w:rPr>
              <w:t>类型</w:t>
            </w:r>
          </w:p>
        </w:tc>
        <w:tc>
          <w:tcPr>
            <w:tcW w:type="dxa" w:w="1417"/>
          </w:tcPr>
          <w:p>
            <w:pPr>
              <w:spacing w:after="40" w:before="40"/>
            </w:pPr>
            <w:r>
              <w:rPr>
                <w:b/>
              </w:rPr>
            </w:r>
            <w:r>
              <w:rPr>
                <w:rFonts w:ascii="Times New Roman" w:hAnsi="Times New Roman" w:eastAsia="黑体"/>
                <w:b/>
                <w:i w:val="0"/>
                <w:sz w:val="20"/>
              </w:rPr>
              <w:t>功能描述</w:t>
            </w:r>
          </w:p>
        </w:tc>
        <w:tc>
          <w:tcPr>
            <w:tcW w:type="dxa" w:w="1417"/>
          </w:tcPr>
          <w:p>
            <w:pPr>
              <w:spacing w:after="40" w:before="40"/>
            </w:pPr>
            <w:r>
              <w:rPr>
                <w:b/>
              </w:rPr>
            </w:r>
            <w:r>
              <w:rPr>
                <w:rFonts w:ascii="Times New Roman" w:hAnsi="Times New Roman" w:eastAsia="黑体"/>
                <w:b/>
                <w:i w:val="0"/>
                <w:sz w:val="20"/>
              </w:rPr>
              <w:t>许可证</w:t>
            </w:r>
          </w:p>
        </w:tc>
        <w:tc>
          <w:tcPr>
            <w:tcW w:type="dxa" w:w="1417"/>
          </w:tcPr>
          <w:p>
            <w:pPr>
              <w:spacing w:after="40" w:before="40"/>
            </w:pPr>
            <w:r>
              <w:rPr>
                <w:b/>
              </w:rPr>
            </w:r>
            <w:r>
              <w:rPr>
                <w:rFonts w:ascii="Times New Roman" w:hAnsi="Times New Roman" w:eastAsia="黑体"/>
                <w:b/>
                <w:i w:val="0"/>
                <w:sz w:val="20"/>
              </w:rPr>
              <w:t>特点</w:t>
            </w:r>
          </w:p>
        </w:tc>
      </w:tr>
      <w:tr>
        <w:tc>
          <w:tcPr>
            <w:tcW w:type="dxa" w:w="1417"/>
          </w:tcPr>
          <w:p>
            <w:pPr>
              <w:spacing w:after="40" w:before="40"/>
            </w:pPr>
            <w:r/>
            <w:r>
              <w:rPr>
                <w:rFonts w:ascii="Times New Roman" w:hAnsi="Times New Roman" w:eastAsia="宋体"/>
                <w:b w:val="0"/>
                <w:i w:val="0"/>
                <w:sz w:val="20"/>
              </w:rPr>
              <w:t>1</w:t>
            </w:r>
          </w:p>
        </w:tc>
        <w:tc>
          <w:tcPr>
            <w:tcW w:type="dxa" w:w="1417"/>
          </w:tcPr>
          <w:p>
            <w:pPr>
              <w:spacing w:after="40" w:before="40"/>
            </w:pPr>
            <w:r/>
            <w:r>
              <w:rPr>
                <w:rFonts w:ascii="Times New Roman" w:hAnsi="Times New Roman" w:eastAsia="宋体"/>
                <w:b w:val="0"/>
                <w:i w:val="0"/>
                <w:sz w:val="20"/>
              </w:rPr>
              <w:t>Gurobi</w:t>
            </w:r>
          </w:p>
        </w:tc>
        <w:tc>
          <w:tcPr>
            <w:tcW w:type="dxa" w:w="1417"/>
          </w:tcPr>
          <w:p>
            <w:pPr>
              <w:spacing w:after="40" w:before="40"/>
            </w:pPr>
            <w:r/>
            <w:r>
              <w:rPr>
                <w:rFonts w:ascii="Times New Roman" w:hAnsi="Times New Roman" w:eastAsia="宋体"/>
                <w:b w:val="0"/>
                <w:i w:val="0"/>
                <w:sz w:val="20"/>
              </w:rPr>
              <w:t>商业</w:t>
            </w:r>
          </w:p>
        </w:tc>
        <w:tc>
          <w:tcPr>
            <w:tcW w:type="dxa" w:w="1417"/>
          </w:tcPr>
          <w:p>
            <w:pPr>
              <w:spacing w:after="40" w:before="40"/>
            </w:pPr>
            <w:r/>
            <w:r>
              <w:rPr>
                <w:rFonts w:ascii="Times New Roman" w:hAnsi="Times New Roman" w:eastAsia="宋体"/>
                <w:b w:val="0"/>
                <w:i w:val="0"/>
                <w:sz w:val="20"/>
              </w:rPr>
              <w:t>线性规划、混合整数规划、二次规划</w:t>
            </w:r>
          </w:p>
        </w:tc>
        <w:tc>
          <w:tcPr>
            <w:tcW w:type="dxa" w:w="1417"/>
          </w:tcPr>
          <w:p>
            <w:pPr>
              <w:spacing w:after="40" w:before="40"/>
            </w:pPr>
            <w:r/>
            <w:r>
              <w:rPr>
                <w:rFonts w:ascii="Times New Roman" w:hAnsi="Times New Roman" w:eastAsia="宋体"/>
                <w:b w:val="0"/>
                <w:i w:val="0"/>
                <w:sz w:val="20"/>
              </w:rPr>
              <w:t>商业（学术免费）</w:t>
            </w:r>
          </w:p>
        </w:tc>
        <w:tc>
          <w:tcPr>
            <w:tcW w:type="dxa" w:w="1417"/>
          </w:tcPr>
          <w:p>
            <w:pPr>
              <w:spacing w:after="40" w:before="40"/>
            </w:pPr>
            <w:r/>
            <w:r>
              <w:rPr>
                <w:rFonts w:ascii="Times New Roman" w:hAnsi="Times New Roman" w:eastAsia="宋体"/>
                <w:b w:val="0"/>
                <w:i w:val="0"/>
                <w:sz w:val="20"/>
              </w:rPr>
              <w:t>工业级求解器，速度最快，支持Python/MATLAB/C++接口</w:t>
            </w:r>
          </w:p>
        </w:tc>
      </w:tr>
      <w:tr>
        <w:tc>
          <w:tcPr>
            <w:tcW w:type="dxa" w:w="1417"/>
            <w:shd w:val="clear" w:color="auto" w:fill="F0F4F8"/>
          </w:tcPr>
          <w:p>
            <w:pPr>
              <w:spacing w:after="40" w:before="40"/>
            </w:pPr>
            <w:r/>
            <w:r>
              <w:rPr>
                <w:rFonts w:ascii="Times New Roman" w:hAnsi="Times New Roman" w:eastAsia="宋体"/>
                <w:b w:val="0"/>
                <w:i w:val="0"/>
                <w:sz w:val="20"/>
              </w:rPr>
              <w:t>2</w:t>
            </w:r>
          </w:p>
        </w:tc>
        <w:tc>
          <w:tcPr>
            <w:tcW w:type="dxa" w:w="1417"/>
            <w:shd w:val="clear" w:color="auto" w:fill="F0F4F8"/>
          </w:tcPr>
          <w:p>
            <w:pPr>
              <w:spacing w:after="40" w:before="40"/>
            </w:pPr>
            <w:r/>
            <w:r>
              <w:rPr>
                <w:rFonts w:ascii="Times New Roman" w:hAnsi="Times New Roman" w:eastAsia="宋体"/>
                <w:b w:val="0"/>
                <w:i w:val="0"/>
                <w:sz w:val="20"/>
              </w:rPr>
              <w:t>CPLEX</w:t>
            </w:r>
          </w:p>
        </w:tc>
        <w:tc>
          <w:tcPr>
            <w:tcW w:type="dxa" w:w="1417"/>
            <w:shd w:val="clear" w:color="auto" w:fill="F0F4F8"/>
          </w:tcPr>
          <w:p>
            <w:pPr>
              <w:spacing w:after="40" w:before="40"/>
            </w:pPr>
            <w:r/>
            <w:r>
              <w:rPr>
                <w:rFonts w:ascii="Times New Roman" w:hAnsi="Times New Roman" w:eastAsia="宋体"/>
                <w:b w:val="0"/>
                <w:i w:val="0"/>
                <w:sz w:val="20"/>
              </w:rPr>
              <w:t>商业</w:t>
            </w:r>
          </w:p>
        </w:tc>
        <w:tc>
          <w:tcPr>
            <w:tcW w:type="dxa" w:w="1417"/>
            <w:shd w:val="clear" w:color="auto" w:fill="F0F4F8"/>
          </w:tcPr>
          <w:p>
            <w:pPr>
              <w:spacing w:after="40" w:before="40"/>
            </w:pPr>
            <w:r/>
            <w:r>
              <w:rPr>
                <w:rFonts w:ascii="Times New Roman" w:hAnsi="Times New Roman" w:eastAsia="宋体"/>
                <w:b w:val="0"/>
                <w:i w:val="0"/>
                <w:sz w:val="20"/>
              </w:rPr>
              <w:t>线性规划、混合整数规划、二次规划</w:t>
            </w:r>
          </w:p>
        </w:tc>
        <w:tc>
          <w:tcPr>
            <w:tcW w:type="dxa" w:w="1417"/>
            <w:shd w:val="clear" w:color="auto" w:fill="F0F4F8"/>
          </w:tcPr>
          <w:p>
            <w:pPr>
              <w:spacing w:after="40" w:before="40"/>
            </w:pPr>
            <w:r/>
            <w:r>
              <w:rPr>
                <w:rFonts w:ascii="Times New Roman" w:hAnsi="Times New Roman" w:eastAsia="宋体"/>
                <w:b w:val="0"/>
                <w:i w:val="0"/>
                <w:sz w:val="20"/>
              </w:rPr>
              <w:t>商业（学术免费）</w:t>
            </w:r>
          </w:p>
        </w:tc>
        <w:tc>
          <w:tcPr>
            <w:tcW w:type="dxa" w:w="1417"/>
            <w:shd w:val="clear" w:color="auto" w:fill="F0F4F8"/>
          </w:tcPr>
          <w:p>
            <w:pPr>
              <w:spacing w:after="40" w:before="40"/>
            </w:pPr>
            <w:r/>
            <w:r>
              <w:rPr>
                <w:rFonts w:ascii="Times New Roman" w:hAnsi="Times New Roman" w:eastAsia="宋体"/>
                <w:b w:val="0"/>
                <w:i w:val="0"/>
                <w:sz w:val="20"/>
              </w:rPr>
              <w:t>IBM出品，功能全面，支持分布式计算</w:t>
            </w:r>
          </w:p>
        </w:tc>
      </w:tr>
      <w:tr>
        <w:tc>
          <w:tcPr>
            <w:tcW w:type="dxa" w:w="1417"/>
          </w:tcPr>
          <w:p>
            <w:pPr>
              <w:spacing w:after="40" w:before="40"/>
            </w:pPr>
            <w:r/>
            <w:r>
              <w:rPr>
                <w:rFonts w:ascii="Times New Roman" w:hAnsi="Times New Roman" w:eastAsia="宋体"/>
                <w:b w:val="0"/>
                <w:i w:val="0"/>
                <w:sz w:val="20"/>
              </w:rPr>
              <w:t>3</w:t>
            </w:r>
          </w:p>
        </w:tc>
        <w:tc>
          <w:tcPr>
            <w:tcW w:type="dxa" w:w="1417"/>
          </w:tcPr>
          <w:p>
            <w:pPr>
              <w:spacing w:after="40" w:before="40"/>
            </w:pPr>
            <w:r/>
            <w:r>
              <w:rPr>
                <w:rFonts w:ascii="Times New Roman" w:hAnsi="Times New Roman" w:eastAsia="宋体"/>
                <w:b w:val="0"/>
                <w:i w:val="0"/>
                <w:sz w:val="20"/>
              </w:rPr>
              <w:t>MOSEK</w:t>
            </w:r>
          </w:p>
        </w:tc>
        <w:tc>
          <w:tcPr>
            <w:tcW w:type="dxa" w:w="1417"/>
          </w:tcPr>
          <w:p>
            <w:pPr>
              <w:spacing w:after="40" w:before="40"/>
            </w:pPr>
            <w:r/>
            <w:r>
              <w:rPr>
                <w:rFonts w:ascii="Times New Roman" w:hAnsi="Times New Roman" w:eastAsia="宋体"/>
                <w:b w:val="0"/>
                <w:i w:val="0"/>
                <w:sz w:val="20"/>
              </w:rPr>
              <w:t>商业</w:t>
            </w:r>
          </w:p>
        </w:tc>
        <w:tc>
          <w:tcPr>
            <w:tcW w:type="dxa" w:w="1417"/>
          </w:tcPr>
          <w:p>
            <w:pPr>
              <w:spacing w:after="40" w:before="40"/>
            </w:pPr>
            <w:r/>
            <w:r>
              <w:rPr>
                <w:rFonts w:ascii="Times New Roman" w:hAnsi="Times New Roman" w:eastAsia="宋体"/>
                <w:b w:val="0"/>
                <w:i w:val="0"/>
                <w:sz w:val="20"/>
              </w:rPr>
              <w:t>凸优化、锥规划、半定规划</w:t>
            </w:r>
          </w:p>
        </w:tc>
        <w:tc>
          <w:tcPr>
            <w:tcW w:type="dxa" w:w="1417"/>
          </w:tcPr>
          <w:p>
            <w:pPr>
              <w:spacing w:after="40" w:before="40"/>
            </w:pPr>
            <w:r/>
            <w:r>
              <w:rPr>
                <w:rFonts w:ascii="Times New Roman" w:hAnsi="Times New Roman" w:eastAsia="宋体"/>
                <w:b w:val="0"/>
                <w:i w:val="0"/>
                <w:sz w:val="20"/>
              </w:rPr>
              <w:t>商业（学术免费）</w:t>
            </w:r>
          </w:p>
        </w:tc>
        <w:tc>
          <w:tcPr>
            <w:tcW w:type="dxa" w:w="1417"/>
          </w:tcPr>
          <w:p>
            <w:pPr>
              <w:spacing w:after="40" w:before="40"/>
            </w:pPr>
            <w:r/>
            <w:r>
              <w:rPr>
                <w:rFonts w:ascii="Times New Roman" w:hAnsi="Times New Roman" w:eastAsia="宋体"/>
                <w:b w:val="0"/>
                <w:i w:val="0"/>
                <w:sz w:val="20"/>
              </w:rPr>
              <w:t>擅长处理大规模锥优化问题</w:t>
            </w:r>
          </w:p>
        </w:tc>
      </w:tr>
      <w:tr>
        <w:tc>
          <w:tcPr>
            <w:tcW w:type="dxa" w:w="1417"/>
            <w:shd w:val="clear" w:color="auto" w:fill="F0F4F8"/>
          </w:tcPr>
          <w:p>
            <w:pPr>
              <w:spacing w:after="40" w:before="40"/>
            </w:pPr>
            <w:r/>
            <w:r>
              <w:rPr>
                <w:rFonts w:ascii="Times New Roman" w:hAnsi="Times New Roman" w:eastAsia="宋体"/>
                <w:b w:val="0"/>
                <w:i w:val="0"/>
                <w:sz w:val="20"/>
              </w:rPr>
              <w:t>4</w:t>
            </w:r>
          </w:p>
        </w:tc>
        <w:tc>
          <w:tcPr>
            <w:tcW w:type="dxa" w:w="1417"/>
            <w:shd w:val="clear" w:color="auto" w:fill="F0F4F8"/>
          </w:tcPr>
          <w:p>
            <w:pPr>
              <w:spacing w:after="40" w:before="40"/>
            </w:pPr>
            <w:r/>
            <w:r>
              <w:rPr>
                <w:rFonts w:ascii="Times New Roman" w:hAnsi="Times New Roman" w:eastAsia="宋体"/>
                <w:b w:val="0"/>
                <w:i w:val="0"/>
                <w:sz w:val="20"/>
              </w:rPr>
              <w:t>SCIP</w:t>
            </w:r>
          </w:p>
        </w:tc>
        <w:tc>
          <w:tcPr>
            <w:tcW w:type="dxa" w:w="1417"/>
            <w:shd w:val="clear" w:color="auto" w:fill="F0F4F8"/>
          </w:tcPr>
          <w:p>
            <w:pPr>
              <w:spacing w:after="40" w:before="40"/>
            </w:pPr>
            <w:r/>
            <w:r>
              <w:rPr>
                <w:rFonts w:ascii="Times New Roman" w:hAnsi="Times New Roman" w:eastAsia="宋体"/>
                <w:b w:val="0"/>
                <w:i w:val="0"/>
                <w:sz w:val="20"/>
              </w:rPr>
              <w:t>开源</w:t>
            </w:r>
          </w:p>
        </w:tc>
        <w:tc>
          <w:tcPr>
            <w:tcW w:type="dxa" w:w="1417"/>
            <w:shd w:val="clear" w:color="auto" w:fill="F0F4F8"/>
          </w:tcPr>
          <w:p>
            <w:pPr>
              <w:spacing w:after="40" w:before="40"/>
            </w:pPr>
            <w:r/>
            <w:r>
              <w:rPr>
                <w:rFonts w:ascii="Times New Roman" w:hAnsi="Times New Roman" w:eastAsia="宋体"/>
                <w:b w:val="0"/>
                <w:i w:val="0"/>
                <w:sz w:val="20"/>
              </w:rPr>
              <w:t>混合整数规划</w:t>
            </w:r>
          </w:p>
        </w:tc>
        <w:tc>
          <w:tcPr>
            <w:tcW w:type="dxa" w:w="1417"/>
            <w:shd w:val="clear" w:color="auto" w:fill="F0F4F8"/>
          </w:tcPr>
          <w:p>
            <w:pPr>
              <w:spacing w:after="40" w:before="40"/>
            </w:pPr>
            <w:r/>
            <w:r>
              <w:rPr>
                <w:rFonts w:ascii="Times New Roman" w:hAnsi="Times New Roman" w:eastAsia="宋体"/>
                <w:b w:val="0"/>
                <w:i w:val="0"/>
                <w:sz w:val="20"/>
              </w:rPr>
              <w:t>ZIB License</w:t>
            </w:r>
          </w:p>
        </w:tc>
        <w:tc>
          <w:tcPr>
            <w:tcW w:type="dxa" w:w="1417"/>
            <w:shd w:val="clear" w:color="auto" w:fill="F0F4F8"/>
          </w:tcPr>
          <w:p>
            <w:pPr>
              <w:spacing w:after="40" w:before="40"/>
            </w:pPr>
            <w:r/>
            <w:r>
              <w:rPr>
                <w:rFonts w:ascii="Times New Roman" w:hAnsi="Times New Roman" w:eastAsia="宋体"/>
                <w:b w:val="0"/>
                <w:i w:val="0"/>
                <w:sz w:val="20"/>
              </w:rPr>
              <w:t>开源MIP求解器，支持分支割平面</w:t>
            </w:r>
          </w:p>
        </w:tc>
      </w:tr>
      <w:tr>
        <w:tc>
          <w:tcPr>
            <w:tcW w:type="dxa" w:w="1417"/>
          </w:tcPr>
          <w:p>
            <w:pPr>
              <w:spacing w:after="40" w:before="40"/>
            </w:pPr>
            <w:r/>
            <w:r>
              <w:rPr>
                <w:rFonts w:ascii="Times New Roman" w:hAnsi="Times New Roman" w:eastAsia="宋体"/>
                <w:b w:val="0"/>
                <w:i w:val="0"/>
                <w:sz w:val="20"/>
              </w:rPr>
              <w:t>5</w:t>
            </w:r>
          </w:p>
        </w:tc>
        <w:tc>
          <w:tcPr>
            <w:tcW w:type="dxa" w:w="1417"/>
          </w:tcPr>
          <w:p>
            <w:pPr>
              <w:spacing w:after="40" w:before="40"/>
            </w:pPr>
            <w:r/>
            <w:r>
              <w:rPr>
                <w:rFonts w:ascii="Times New Roman" w:hAnsi="Times New Roman" w:eastAsia="宋体"/>
                <w:b w:val="0"/>
                <w:i w:val="0"/>
                <w:sz w:val="20"/>
              </w:rPr>
              <w:t>GLPK</w:t>
            </w:r>
          </w:p>
        </w:tc>
        <w:tc>
          <w:tcPr>
            <w:tcW w:type="dxa" w:w="1417"/>
          </w:tcPr>
          <w:p>
            <w:pPr>
              <w:spacing w:after="40" w:before="40"/>
            </w:pPr>
            <w:r/>
            <w:r>
              <w:rPr>
                <w:rFonts w:ascii="Times New Roman" w:hAnsi="Times New Roman" w:eastAsia="宋体"/>
                <w:b w:val="0"/>
                <w:i w:val="0"/>
                <w:sz w:val="20"/>
              </w:rPr>
              <w:t>开源</w:t>
            </w:r>
          </w:p>
        </w:tc>
        <w:tc>
          <w:tcPr>
            <w:tcW w:type="dxa" w:w="1417"/>
          </w:tcPr>
          <w:p>
            <w:pPr>
              <w:spacing w:after="40" w:before="40"/>
            </w:pPr>
            <w:r/>
            <w:r>
              <w:rPr>
                <w:rFonts w:ascii="Times New Roman" w:hAnsi="Times New Roman" w:eastAsia="宋体"/>
                <w:b w:val="0"/>
                <w:i w:val="0"/>
                <w:sz w:val="20"/>
              </w:rPr>
              <w:t>线性规划、混合整数规划</w:t>
            </w:r>
          </w:p>
        </w:tc>
        <w:tc>
          <w:tcPr>
            <w:tcW w:type="dxa" w:w="1417"/>
          </w:tcPr>
          <w:p>
            <w:pPr>
              <w:spacing w:after="40" w:before="40"/>
            </w:pPr>
            <w:r/>
            <w:r>
              <w:rPr>
                <w:rFonts w:ascii="Times New Roman" w:hAnsi="Times New Roman" w:eastAsia="宋体"/>
                <w:b w:val="0"/>
                <w:i w:val="0"/>
                <w:sz w:val="20"/>
              </w:rPr>
              <w:t>GPL</w:t>
            </w:r>
          </w:p>
        </w:tc>
        <w:tc>
          <w:tcPr>
            <w:tcW w:type="dxa" w:w="1417"/>
          </w:tcPr>
          <w:p>
            <w:pPr>
              <w:spacing w:after="40" w:before="40"/>
            </w:pPr>
            <w:r/>
            <w:r>
              <w:rPr>
                <w:rFonts w:ascii="Times New Roman" w:hAnsi="Times New Roman" w:eastAsia="宋体"/>
                <w:b w:val="0"/>
                <w:i w:val="0"/>
                <w:sz w:val="20"/>
              </w:rPr>
              <w:t>GNU线性规划工具包，适合教学</w:t>
            </w:r>
          </w:p>
        </w:tc>
      </w:tr>
      <w:tr>
        <w:tc>
          <w:tcPr>
            <w:tcW w:type="dxa" w:w="1417"/>
            <w:shd w:val="clear" w:color="auto" w:fill="F0F4F8"/>
          </w:tcPr>
          <w:p>
            <w:pPr>
              <w:spacing w:after="40" w:before="40"/>
            </w:pPr>
            <w:r/>
            <w:r>
              <w:rPr>
                <w:rFonts w:ascii="Times New Roman" w:hAnsi="Times New Roman" w:eastAsia="宋体"/>
                <w:b w:val="0"/>
                <w:i w:val="0"/>
                <w:sz w:val="20"/>
              </w:rPr>
              <w:t>6</w:t>
            </w:r>
          </w:p>
        </w:tc>
        <w:tc>
          <w:tcPr>
            <w:tcW w:type="dxa" w:w="1417"/>
            <w:shd w:val="clear" w:color="auto" w:fill="F0F4F8"/>
          </w:tcPr>
          <w:p>
            <w:pPr>
              <w:spacing w:after="40" w:before="40"/>
            </w:pPr>
            <w:r/>
            <w:r>
              <w:rPr>
                <w:rFonts w:ascii="Times New Roman" w:hAnsi="Times New Roman" w:eastAsia="宋体"/>
                <w:b w:val="0"/>
                <w:i w:val="0"/>
                <w:sz w:val="20"/>
              </w:rPr>
              <w:t>IPOPT</w:t>
            </w:r>
          </w:p>
        </w:tc>
        <w:tc>
          <w:tcPr>
            <w:tcW w:type="dxa" w:w="1417"/>
            <w:shd w:val="clear" w:color="auto" w:fill="F0F4F8"/>
          </w:tcPr>
          <w:p>
            <w:pPr>
              <w:spacing w:after="40" w:before="40"/>
            </w:pPr>
            <w:r/>
            <w:r>
              <w:rPr>
                <w:rFonts w:ascii="Times New Roman" w:hAnsi="Times New Roman" w:eastAsia="宋体"/>
                <w:b w:val="0"/>
                <w:i w:val="0"/>
                <w:sz w:val="20"/>
              </w:rPr>
              <w:t>开源</w:t>
            </w:r>
          </w:p>
        </w:tc>
        <w:tc>
          <w:tcPr>
            <w:tcW w:type="dxa" w:w="1417"/>
            <w:shd w:val="clear" w:color="auto" w:fill="F0F4F8"/>
          </w:tcPr>
          <w:p>
            <w:pPr>
              <w:spacing w:after="40" w:before="40"/>
            </w:pPr>
            <w:r/>
            <w:r>
              <w:rPr>
                <w:rFonts w:ascii="Times New Roman" w:hAnsi="Times New Roman" w:eastAsia="宋体"/>
                <w:b w:val="0"/>
                <w:i w:val="0"/>
                <w:sz w:val="20"/>
              </w:rPr>
              <w:t>大规模非线性规划</w:t>
            </w:r>
          </w:p>
        </w:tc>
        <w:tc>
          <w:tcPr>
            <w:tcW w:type="dxa" w:w="1417"/>
            <w:shd w:val="clear" w:color="auto" w:fill="F0F4F8"/>
          </w:tcPr>
          <w:p>
            <w:pPr>
              <w:spacing w:after="40" w:before="40"/>
            </w:pPr>
            <w:r/>
            <w:r>
              <w:rPr>
                <w:rFonts w:ascii="Times New Roman" w:hAnsi="Times New Roman" w:eastAsia="宋体"/>
                <w:b w:val="0"/>
                <w:i w:val="0"/>
                <w:sz w:val="20"/>
              </w:rPr>
              <w:t>EPL</w:t>
            </w:r>
          </w:p>
        </w:tc>
        <w:tc>
          <w:tcPr>
            <w:tcW w:type="dxa" w:w="1417"/>
            <w:shd w:val="clear" w:color="auto" w:fill="F0F4F8"/>
          </w:tcPr>
          <w:p>
            <w:pPr>
              <w:spacing w:after="40" w:before="40"/>
            </w:pPr>
            <w:r/>
            <w:r>
              <w:rPr>
                <w:rFonts w:ascii="Times New Roman" w:hAnsi="Times New Roman" w:eastAsia="宋体"/>
                <w:b w:val="0"/>
                <w:i w:val="0"/>
                <w:sz w:val="20"/>
              </w:rPr>
              <w:t>内点法求解器，支持稀疏矩阵</w:t>
            </w:r>
          </w:p>
        </w:tc>
      </w:tr>
      <w:tr>
        <w:tc>
          <w:tcPr>
            <w:tcW w:type="dxa" w:w="1417"/>
          </w:tcPr>
          <w:p>
            <w:pPr>
              <w:spacing w:after="40" w:before="40"/>
            </w:pPr>
            <w:r/>
            <w:r>
              <w:rPr>
                <w:rFonts w:ascii="Times New Roman" w:hAnsi="Times New Roman" w:eastAsia="宋体"/>
                <w:b w:val="0"/>
                <w:i w:val="0"/>
                <w:sz w:val="20"/>
              </w:rPr>
              <w:t>7</w:t>
            </w:r>
          </w:p>
        </w:tc>
        <w:tc>
          <w:tcPr>
            <w:tcW w:type="dxa" w:w="1417"/>
          </w:tcPr>
          <w:p>
            <w:pPr>
              <w:spacing w:after="40" w:before="40"/>
            </w:pPr>
            <w:r/>
            <w:r>
              <w:rPr>
                <w:rFonts w:ascii="Times New Roman" w:hAnsi="Times New Roman" w:eastAsia="宋体"/>
                <w:b w:val="0"/>
                <w:i w:val="0"/>
                <w:sz w:val="20"/>
              </w:rPr>
              <w:t>CVXPY</w:t>
            </w:r>
          </w:p>
        </w:tc>
        <w:tc>
          <w:tcPr>
            <w:tcW w:type="dxa" w:w="1417"/>
          </w:tcPr>
          <w:p>
            <w:pPr>
              <w:spacing w:after="40" w:before="40"/>
            </w:pPr>
            <w:r/>
            <w:r>
              <w:rPr>
                <w:rFonts w:ascii="Times New Roman" w:hAnsi="Times New Roman" w:eastAsia="宋体"/>
                <w:b w:val="0"/>
                <w:i w:val="0"/>
                <w:sz w:val="20"/>
              </w:rPr>
              <w:t>开源</w:t>
            </w:r>
          </w:p>
        </w:tc>
        <w:tc>
          <w:tcPr>
            <w:tcW w:type="dxa" w:w="1417"/>
          </w:tcPr>
          <w:p>
            <w:pPr>
              <w:spacing w:after="40" w:before="40"/>
            </w:pPr>
            <w:r/>
            <w:r>
              <w:rPr>
                <w:rFonts w:ascii="Times New Roman" w:hAnsi="Times New Roman" w:eastAsia="宋体"/>
                <w:b w:val="0"/>
                <w:i w:val="0"/>
                <w:sz w:val="20"/>
              </w:rPr>
              <w:t>凸优化建模</w:t>
            </w:r>
          </w:p>
        </w:tc>
        <w:tc>
          <w:tcPr>
            <w:tcW w:type="dxa" w:w="1417"/>
          </w:tcPr>
          <w:p>
            <w:pPr>
              <w:spacing w:after="40" w:before="40"/>
            </w:pPr>
            <w:r/>
            <w:r>
              <w:rPr>
                <w:rFonts w:ascii="Times New Roman" w:hAnsi="Times New Roman" w:eastAsia="宋体"/>
                <w:b w:val="0"/>
                <w:i w:val="0"/>
                <w:sz w:val="20"/>
              </w:rPr>
              <w:t>Apache 2.0</w:t>
            </w:r>
          </w:p>
        </w:tc>
        <w:tc>
          <w:tcPr>
            <w:tcW w:type="dxa" w:w="1417"/>
          </w:tcPr>
          <w:p>
            <w:pPr>
              <w:spacing w:after="40" w:before="40"/>
            </w:pPr>
            <w:r/>
            <w:r>
              <w:rPr>
                <w:rFonts w:ascii="Times New Roman" w:hAnsi="Times New Roman" w:eastAsia="宋体"/>
                <w:b w:val="0"/>
                <w:i w:val="0"/>
                <w:sz w:val="20"/>
              </w:rPr>
              <w:t>Python建模框架，支持DCP规则</w:t>
            </w:r>
          </w:p>
        </w:tc>
      </w:tr>
      <w:tr>
        <w:tc>
          <w:tcPr>
            <w:tcW w:type="dxa" w:w="1417"/>
            <w:shd w:val="clear" w:color="auto" w:fill="F0F4F8"/>
          </w:tcPr>
          <w:p>
            <w:pPr>
              <w:spacing w:after="40" w:before="40"/>
            </w:pPr>
            <w:r/>
            <w:r>
              <w:rPr>
                <w:rFonts w:ascii="Times New Roman" w:hAnsi="Times New Roman" w:eastAsia="宋体"/>
                <w:b w:val="0"/>
                <w:i w:val="0"/>
                <w:sz w:val="20"/>
              </w:rPr>
              <w:t>8</w:t>
            </w:r>
          </w:p>
        </w:tc>
        <w:tc>
          <w:tcPr>
            <w:tcW w:type="dxa" w:w="1417"/>
            <w:shd w:val="clear" w:color="auto" w:fill="F0F4F8"/>
          </w:tcPr>
          <w:p>
            <w:pPr>
              <w:spacing w:after="40" w:before="40"/>
            </w:pPr>
            <w:r/>
            <w:r>
              <w:rPr>
                <w:rFonts w:ascii="Times New Roman" w:hAnsi="Times New Roman" w:eastAsia="宋体"/>
                <w:b w:val="0"/>
                <w:i w:val="0"/>
                <w:sz w:val="20"/>
              </w:rPr>
              <w:t>JuMP</w:t>
            </w:r>
          </w:p>
        </w:tc>
        <w:tc>
          <w:tcPr>
            <w:tcW w:type="dxa" w:w="1417"/>
            <w:shd w:val="clear" w:color="auto" w:fill="F0F4F8"/>
          </w:tcPr>
          <w:p>
            <w:pPr>
              <w:spacing w:after="40" w:before="40"/>
            </w:pPr>
            <w:r/>
            <w:r>
              <w:rPr>
                <w:rFonts w:ascii="Times New Roman" w:hAnsi="Times New Roman" w:eastAsia="宋体"/>
                <w:b w:val="0"/>
                <w:i w:val="0"/>
                <w:sz w:val="20"/>
              </w:rPr>
              <w:t>开源</w:t>
            </w:r>
          </w:p>
        </w:tc>
        <w:tc>
          <w:tcPr>
            <w:tcW w:type="dxa" w:w="1417"/>
            <w:shd w:val="clear" w:color="auto" w:fill="F0F4F8"/>
          </w:tcPr>
          <w:p>
            <w:pPr>
              <w:spacing w:after="40" w:before="40"/>
            </w:pPr>
            <w:r/>
            <w:r>
              <w:rPr>
                <w:rFonts w:ascii="Times New Roman" w:hAnsi="Times New Roman" w:eastAsia="宋体"/>
                <w:b w:val="0"/>
                <w:i w:val="0"/>
                <w:sz w:val="20"/>
              </w:rPr>
              <w:t>数学规划建模</w:t>
            </w:r>
          </w:p>
        </w:tc>
        <w:tc>
          <w:tcPr>
            <w:tcW w:type="dxa" w:w="1417"/>
            <w:shd w:val="clear" w:color="auto" w:fill="F0F4F8"/>
          </w:tcPr>
          <w:p>
            <w:pPr>
              <w:spacing w:after="40" w:before="40"/>
            </w:pPr>
            <w:r/>
            <w:r>
              <w:rPr>
                <w:rFonts w:ascii="Times New Roman" w:hAnsi="Times New Roman" w:eastAsia="宋体"/>
                <w:b w:val="0"/>
                <w:i w:val="0"/>
                <w:sz w:val="20"/>
              </w:rPr>
              <w:t>MPL</w:t>
            </w:r>
          </w:p>
        </w:tc>
        <w:tc>
          <w:tcPr>
            <w:tcW w:type="dxa" w:w="1417"/>
            <w:shd w:val="clear" w:color="auto" w:fill="F0F4F8"/>
          </w:tcPr>
          <w:p>
            <w:pPr>
              <w:spacing w:after="40" w:before="40"/>
            </w:pPr>
            <w:r/>
            <w:r>
              <w:rPr>
                <w:rFonts w:ascii="Times New Roman" w:hAnsi="Times New Roman" w:eastAsia="宋体"/>
                <w:b w:val="0"/>
                <w:i w:val="0"/>
                <w:sz w:val="20"/>
              </w:rPr>
              <w:t>Julia建模框架，支持多种求解器后端</w:t>
            </w:r>
          </w:p>
        </w:tc>
      </w:tr>
      <w:tr>
        <w:tc>
          <w:tcPr>
            <w:tcW w:type="dxa" w:w="1417"/>
          </w:tcPr>
          <w:p>
            <w:pPr>
              <w:spacing w:after="40" w:before="40"/>
            </w:pPr>
            <w:r/>
            <w:r>
              <w:rPr>
                <w:rFonts w:ascii="Times New Roman" w:hAnsi="Times New Roman" w:eastAsia="宋体"/>
                <w:b w:val="0"/>
                <w:i w:val="0"/>
                <w:sz w:val="20"/>
              </w:rPr>
              <w:t>9</w:t>
            </w:r>
          </w:p>
        </w:tc>
        <w:tc>
          <w:tcPr>
            <w:tcW w:type="dxa" w:w="1417"/>
          </w:tcPr>
          <w:p>
            <w:pPr>
              <w:spacing w:after="40" w:before="40"/>
            </w:pPr>
            <w:r/>
            <w:r>
              <w:rPr>
                <w:rFonts w:ascii="Times New Roman" w:hAnsi="Times New Roman" w:eastAsia="宋体"/>
                <w:b w:val="0"/>
                <w:i w:val="0"/>
                <w:sz w:val="20"/>
              </w:rPr>
              <w:t>Pyomo</w:t>
            </w:r>
          </w:p>
        </w:tc>
        <w:tc>
          <w:tcPr>
            <w:tcW w:type="dxa" w:w="1417"/>
          </w:tcPr>
          <w:p>
            <w:pPr>
              <w:spacing w:after="40" w:before="40"/>
            </w:pPr>
            <w:r/>
            <w:r>
              <w:rPr>
                <w:rFonts w:ascii="Times New Roman" w:hAnsi="Times New Roman" w:eastAsia="宋体"/>
                <w:b w:val="0"/>
                <w:i w:val="0"/>
                <w:sz w:val="20"/>
              </w:rPr>
              <w:t>开源</w:t>
            </w:r>
          </w:p>
        </w:tc>
        <w:tc>
          <w:tcPr>
            <w:tcW w:type="dxa" w:w="1417"/>
          </w:tcPr>
          <w:p>
            <w:pPr>
              <w:spacing w:after="40" w:before="40"/>
            </w:pPr>
            <w:r/>
            <w:r>
              <w:rPr>
                <w:rFonts w:ascii="Times New Roman" w:hAnsi="Times New Roman" w:eastAsia="宋体"/>
                <w:b w:val="0"/>
                <w:i w:val="0"/>
                <w:sz w:val="20"/>
              </w:rPr>
              <w:t>数学规划建模</w:t>
            </w:r>
          </w:p>
        </w:tc>
        <w:tc>
          <w:tcPr>
            <w:tcW w:type="dxa" w:w="1417"/>
          </w:tcPr>
          <w:p>
            <w:pPr>
              <w:spacing w:after="40" w:before="40"/>
            </w:pPr>
            <w:r/>
            <w:r>
              <w:rPr>
                <w:rFonts w:ascii="Times New Roman" w:hAnsi="Times New Roman" w:eastAsia="宋体"/>
                <w:b w:val="0"/>
                <w:i w:val="0"/>
                <w:sz w:val="20"/>
              </w:rPr>
              <w:t>BSD</w:t>
            </w:r>
          </w:p>
        </w:tc>
        <w:tc>
          <w:tcPr>
            <w:tcW w:type="dxa" w:w="1417"/>
          </w:tcPr>
          <w:p>
            <w:pPr>
              <w:spacing w:after="40" w:before="40"/>
            </w:pPr>
            <w:r/>
            <w:r>
              <w:rPr>
                <w:rFonts w:ascii="Times New Roman" w:hAnsi="Times New Roman" w:eastAsia="宋体"/>
                <w:b w:val="0"/>
                <w:i w:val="0"/>
                <w:sz w:val="20"/>
              </w:rPr>
              <w:t>Python建模框架，支持大规模优化</w:t>
            </w:r>
          </w:p>
        </w:tc>
      </w:tr>
      <w:tr>
        <w:tc>
          <w:tcPr>
            <w:tcW w:type="dxa" w:w="1417"/>
            <w:shd w:val="clear" w:color="auto" w:fill="F0F4F8"/>
          </w:tcPr>
          <w:p>
            <w:pPr>
              <w:spacing w:after="40" w:before="40"/>
            </w:pPr>
            <w:r/>
            <w:r>
              <w:rPr>
                <w:rFonts w:ascii="Times New Roman" w:hAnsi="Times New Roman" w:eastAsia="宋体"/>
                <w:b w:val="0"/>
                <w:i w:val="0"/>
                <w:sz w:val="20"/>
              </w:rPr>
              <w:t>10</w:t>
            </w:r>
          </w:p>
        </w:tc>
        <w:tc>
          <w:tcPr>
            <w:tcW w:type="dxa" w:w="1417"/>
            <w:shd w:val="clear" w:color="auto" w:fill="F0F4F8"/>
          </w:tcPr>
          <w:p>
            <w:pPr>
              <w:spacing w:after="40" w:before="40"/>
            </w:pPr>
            <w:r/>
            <w:r>
              <w:rPr>
                <w:rFonts w:ascii="Times New Roman" w:hAnsi="Times New Roman" w:eastAsia="宋体"/>
                <w:b w:val="0"/>
                <w:i w:val="0"/>
                <w:sz w:val="20"/>
              </w:rPr>
              <w:t>PATH</w:t>
            </w:r>
          </w:p>
        </w:tc>
        <w:tc>
          <w:tcPr>
            <w:tcW w:type="dxa" w:w="1417"/>
            <w:shd w:val="clear" w:color="auto" w:fill="F0F4F8"/>
          </w:tcPr>
          <w:p>
            <w:pPr>
              <w:spacing w:after="40" w:before="40"/>
            </w:pPr>
            <w:r/>
            <w:r>
              <w:rPr>
                <w:rFonts w:ascii="Times New Roman" w:hAnsi="Times New Roman" w:eastAsia="宋体"/>
                <w:b w:val="0"/>
                <w:i w:val="0"/>
                <w:sz w:val="20"/>
              </w:rPr>
              <w:t>商业</w:t>
            </w:r>
          </w:p>
        </w:tc>
        <w:tc>
          <w:tcPr>
            <w:tcW w:type="dxa" w:w="1417"/>
            <w:shd w:val="clear" w:color="auto" w:fill="F0F4F8"/>
          </w:tcPr>
          <w:p>
            <w:pPr>
              <w:spacing w:after="40" w:before="40"/>
            </w:pPr>
            <w:r/>
            <w:r>
              <w:rPr>
                <w:rFonts w:ascii="Times New Roman" w:hAnsi="Times New Roman" w:eastAsia="宋体"/>
                <w:b w:val="0"/>
                <w:i w:val="0"/>
                <w:sz w:val="20"/>
              </w:rPr>
              <w:t>互补问题求解</w:t>
            </w:r>
          </w:p>
        </w:tc>
        <w:tc>
          <w:tcPr>
            <w:tcW w:type="dxa" w:w="1417"/>
            <w:shd w:val="clear" w:color="auto" w:fill="F0F4F8"/>
          </w:tcPr>
          <w:p>
            <w:pPr>
              <w:spacing w:after="40" w:before="40"/>
            </w:pPr>
            <w:r/>
            <w:r>
              <w:rPr>
                <w:rFonts w:ascii="Times New Roman" w:hAnsi="Times New Roman" w:eastAsia="宋体"/>
                <w:b w:val="0"/>
                <w:i w:val="0"/>
                <w:sz w:val="20"/>
              </w:rPr>
              <w:t>商业</w:t>
            </w:r>
          </w:p>
        </w:tc>
        <w:tc>
          <w:tcPr>
            <w:tcW w:type="dxa" w:w="1417"/>
            <w:shd w:val="clear" w:color="auto" w:fill="F0F4F8"/>
          </w:tcPr>
          <w:p>
            <w:pPr>
              <w:spacing w:after="40" w:before="40"/>
            </w:pPr>
            <w:r/>
            <w:r>
              <w:rPr>
                <w:rFonts w:ascii="Times New Roman" w:hAnsi="Times New Roman" w:eastAsia="宋体"/>
                <w:b w:val="0"/>
                <w:i w:val="0"/>
                <w:sz w:val="20"/>
              </w:rPr>
              <w:t>专门求解混合互补问题(MCP)的求解器</w:t>
            </w:r>
          </w:p>
        </w:tc>
      </w:tr>
    </w:tbl>
    <w:p>
      <w:pPr>
        <w:pStyle w:val="Heading2"/>
        <w:spacing w:before="240" w:after="80"/>
      </w:pPr>
      <w:r>
        <w:rPr>
          <w:rFonts w:ascii="Times New Roman" w:hAnsi="Times New Roman" w:eastAsia="黑体"/>
          <w:b/>
          <w:i w:val="0"/>
          <w:sz w:val="28"/>
        </w:rPr>
        <w:t>B.2 电力系统仿真平台</w:t>
      </w:r>
    </w:p>
    <w:tbl>
      <w:tblPr>
        <w:tblStyle w:val="LightGrid-Accent1"/>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pPr>
              <w:spacing w:after="40" w:before="40"/>
            </w:pPr>
            <w:r>
              <w:rPr>
                <w:b/>
              </w:rPr>
            </w:r>
            <w:r>
              <w:rPr>
                <w:rFonts w:ascii="Times New Roman" w:hAnsi="Times New Roman" w:eastAsia="黑体"/>
                <w:b/>
                <w:i w:val="0"/>
                <w:sz w:val="20"/>
              </w:rPr>
              <w:t>序号</w:t>
            </w:r>
          </w:p>
        </w:tc>
        <w:tc>
          <w:tcPr>
            <w:tcW w:type="dxa" w:w="1417"/>
          </w:tcPr>
          <w:p>
            <w:pPr>
              <w:spacing w:after="40" w:before="40"/>
            </w:pPr>
            <w:r>
              <w:rPr>
                <w:b/>
              </w:rPr>
            </w:r>
            <w:r>
              <w:rPr>
                <w:rFonts w:ascii="Times New Roman" w:hAnsi="Times New Roman" w:eastAsia="黑体"/>
                <w:b/>
                <w:i w:val="0"/>
                <w:sz w:val="20"/>
              </w:rPr>
              <w:t>平台名称</w:t>
            </w:r>
          </w:p>
        </w:tc>
        <w:tc>
          <w:tcPr>
            <w:tcW w:type="dxa" w:w="1417"/>
          </w:tcPr>
          <w:p>
            <w:pPr>
              <w:spacing w:after="40" w:before="40"/>
            </w:pPr>
            <w:r>
              <w:rPr>
                <w:b/>
              </w:rPr>
            </w:r>
            <w:r>
              <w:rPr>
                <w:rFonts w:ascii="Times New Roman" w:hAnsi="Times New Roman" w:eastAsia="黑体"/>
                <w:b/>
                <w:i w:val="0"/>
                <w:sz w:val="20"/>
              </w:rPr>
              <w:t>类型</w:t>
            </w:r>
          </w:p>
        </w:tc>
        <w:tc>
          <w:tcPr>
            <w:tcW w:type="dxa" w:w="1417"/>
          </w:tcPr>
          <w:p>
            <w:pPr>
              <w:spacing w:after="40" w:before="40"/>
            </w:pPr>
            <w:r>
              <w:rPr>
                <w:b/>
              </w:rPr>
            </w:r>
            <w:r>
              <w:rPr>
                <w:rFonts w:ascii="Times New Roman" w:hAnsi="Times New Roman" w:eastAsia="黑体"/>
                <w:b/>
                <w:i w:val="0"/>
                <w:sz w:val="20"/>
              </w:rPr>
              <w:t>功能描述</w:t>
            </w:r>
          </w:p>
        </w:tc>
        <w:tc>
          <w:tcPr>
            <w:tcW w:type="dxa" w:w="1417"/>
          </w:tcPr>
          <w:p>
            <w:pPr>
              <w:spacing w:after="40" w:before="40"/>
            </w:pPr>
            <w:r>
              <w:rPr>
                <w:b/>
              </w:rPr>
            </w:r>
            <w:r>
              <w:rPr>
                <w:rFonts w:ascii="Times New Roman" w:hAnsi="Times New Roman" w:eastAsia="黑体"/>
                <w:b/>
                <w:i w:val="0"/>
                <w:sz w:val="20"/>
              </w:rPr>
              <w:t>许可证</w:t>
            </w:r>
          </w:p>
        </w:tc>
        <w:tc>
          <w:tcPr>
            <w:tcW w:type="dxa" w:w="1417"/>
          </w:tcPr>
          <w:p>
            <w:pPr>
              <w:spacing w:after="40" w:before="40"/>
            </w:pPr>
            <w:r>
              <w:rPr>
                <w:b/>
              </w:rPr>
            </w:r>
            <w:r>
              <w:rPr>
                <w:rFonts w:ascii="Times New Roman" w:hAnsi="Times New Roman" w:eastAsia="黑体"/>
                <w:b/>
                <w:i w:val="0"/>
                <w:sz w:val="20"/>
              </w:rPr>
              <w:t>特点</w:t>
            </w:r>
          </w:p>
        </w:tc>
      </w:tr>
      <w:tr>
        <w:tc>
          <w:tcPr>
            <w:tcW w:type="dxa" w:w="1417"/>
          </w:tcPr>
          <w:p>
            <w:pPr>
              <w:spacing w:after="40" w:before="40"/>
            </w:pPr>
            <w:r/>
            <w:r>
              <w:rPr>
                <w:rFonts w:ascii="Times New Roman" w:hAnsi="Times New Roman" w:eastAsia="宋体"/>
                <w:b w:val="0"/>
                <w:i w:val="0"/>
                <w:sz w:val="20"/>
              </w:rPr>
              <w:t>11</w:t>
            </w:r>
          </w:p>
        </w:tc>
        <w:tc>
          <w:tcPr>
            <w:tcW w:type="dxa" w:w="1417"/>
          </w:tcPr>
          <w:p>
            <w:pPr>
              <w:spacing w:after="40" w:before="40"/>
            </w:pPr>
            <w:r/>
            <w:r>
              <w:rPr>
                <w:rFonts w:ascii="Times New Roman" w:hAnsi="Times New Roman" w:eastAsia="宋体"/>
                <w:b w:val="0"/>
                <w:i w:val="0"/>
                <w:sz w:val="20"/>
              </w:rPr>
              <w:t>MATPOWER</w:t>
            </w:r>
          </w:p>
        </w:tc>
        <w:tc>
          <w:tcPr>
            <w:tcW w:type="dxa" w:w="1417"/>
          </w:tcPr>
          <w:p>
            <w:pPr>
              <w:spacing w:after="40" w:before="40"/>
            </w:pPr>
            <w:r/>
            <w:r>
              <w:rPr>
                <w:rFonts w:ascii="Times New Roman" w:hAnsi="Times New Roman" w:eastAsia="宋体"/>
                <w:b w:val="0"/>
                <w:i w:val="0"/>
                <w:sz w:val="20"/>
              </w:rPr>
              <w:t>开源</w:t>
            </w:r>
          </w:p>
        </w:tc>
        <w:tc>
          <w:tcPr>
            <w:tcW w:type="dxa" w:w="1417"/>
          </w:tcPr>
          <w:p>
            <w:pPr>
              <w:spacing w:after="40" w:before="40"/>
            </w:pPr>
            <w:r/>
            <w:r>
              <w:rPr>
                <w:rFonts w:ascii="Times New Roman" w:hAnsi="Times New Roman" w:eastAsia="宋体"/>
                <w:b w:val="0"/>
                <w:i w:val="0"/>
                <w:sz w:val="20"/>
              </w:rPr>
              <w:t>电力系统潮流计算、最优潮流</w:t>
            </w:r>
          </w:p>
        </w:tc>
        <w:tc>
          <w:tcPr>
            <w:tcW w:type="dxa" w:w="1417"/>
          </w:tcPr>
          <w:p>
            <w:pPr>
              <w:spacing w:after="40" w:before="40"/>
            </w:pPr>
            <w:r/>
            <w:r>
              <w:rPr>
                <w:rFonts w:ascii="Times New Roman" w:hAnsi="Times New Roman" w:eastAsia="宋体"/>
                <w:b w:val="0"/>
                <w:i w:val="0"/>
                <w:sz w:val="20"/>
              </w:rPr>
              <w:t>BSD</w:t>
            </w:r>
          </w:p>
        </w:tc>
        <w:tc>
          <w:tcPr>
            <w:tcW w:type="dxa" w:w="1417"/>
          </w:tcPr>
          <w:p>
            <w:pPr>
              <w:spacing w:after="40" w:before="40"/>
            </w:pPr>
            <w:r/>
            <w:r>
              <w:rPr>
                <w:rFonts w:ascii="Times New Roman" w:hAnsi="Times New Roman" w:eastAsia="宋体"/>
                <w:b w:val="0"/>
                <w:i w:val="0"/>
                <w:sz w:val="20"/>
              </w:rPr>
              <w:t>MATLAB工具箱，支持IEEE标准测试系统</w:t>
            </w:r>
          </w:p>
        </w:tc>
      </w:tr>
      <w:tr>
        <w:tc>
          <w:tcPr>
            <w:tcW w:type="dxa" w:w="1417"/>
            <w:shd w:val="clear" w:color="auto" w:fill="F0F4F8"/>
          </w:tcPr>
          <w:p>
            <w:pPr>
              <w:spacing w:after="40" w:before="40"/>
            </w:pPr>
            <w:r/>
            <w:r>
              <w:rPr>
                <w:rFonts w:ascii="Times New Roman" w:hAnsi="Times New Roman" w:eastAsia="宋体"/>
                <w:b w:val="0"/>
                <w:i w:val="0"/>
                <w:sz w:val="20"/>
              </w:rPr>
              <w:t>12</w:t>
            </w:r>
          </w:p>
        </w:tc>
        <w:tc>
          <w:tcPr>
            <w:tcW w:type="dxa" w:w="1417"/>
            <w:shd w:val="clear" w:color="auto" w:fill="F0F4F8"/>
          </w:tcPr>
          <w:p>
            <w:pPr>
              <w:spacing w:after="40" w:before="40"/>
            </w:pPr>
            <w:r/>
            <w:r>
              <w:rPr>
                <w:rFonts w:ascii="Times New Roman" w:hAnsi="Times New Roman" w:eastAsia="宋体"/>
                <w:b w:val="0"/>
                <w:i w:val="0"/>
                <w:sz w:val="20"/>
              </w:rPr>
              <w:t>pandapower</w:t>
            </w:r>
          </w:p>
        </w:tc>
        <w:tc>
          <w:tcPr>
            <w:tcW w:type="dxa" w:w="1417"/>
            <w:shd w:val="clear" w:color="auto" w:fill="F0F4F8"/>
          </w:tcPr>
          <w:p>
            <w:pPr>
              <w:spacing w:after="40" w:before="40"/>
            </w:pPr>
            <w:r/>
            <w:r>
              <w:rPr>
                <w:rFonts w:ascii="Times New Roman" w:hAnsi="Times New Roman" w:eastAsia="宋体"/>
                <w:b w:val="0"/>
                <w:i w:val="0"/>
                <w:sz w:val="20"/>
              </w:rPr>
              <w:t>开源</w:t>
            </w:r>
          </w:p>
        </w:tc>
        <w:tc>
          <w:tcPr>
            <w:tcW w:type="dxa" w:w="1417"/>
            <w:shd w:val="clear" w:color="auto" w:fill="F0F4F8"/>
          </w:tcPr>
          <w:p>
            <w:pPr>
              <w:spacing w:after="40" w:before="40"/>
            </w:pPr>
            <w:r/>
            <w:r>
              <w:rPr>
                <w:rFonts w:ascii="Times New Roman" w:hAnsi="Times New Roman" w:eastAsia="宋体"/>
                <w:b w:val="0"/>
                <w:i w:val="0"/>
                <w:sz w:val="20"/>
              </w:rPr>
              <w:t>配电网潮流计算、状态估计</w:t>
            </w:r>
          </w:p>
        </w:tc>
        <w:tc>
          <w:tcPr>
            <w:tcW w:type="dxa" w:w="1417"/>
            <w:shd w:val="clear" w:color="auto" w:fill="F0F4F8"/>
          </w:tcPr>
          <w:p>
            <w:pPr>
              <w:spacing w:after="40" w:before="40"/>
            </w:pPr>
            <w:r/>
            <w:r>
              <w:rPr>
                <w:rFonts w:ascii="Times New Roman" w:hAnsi="Times New Roman" w:eastAsia="宋体"/>
                <w:b w:val="0"/>
                <w:i w:val="0"/>
                <w:sz w:val="20"/>
              </w:rPr>
              <w:t>BSD</w:t>
            </w:r>
          </w:p>
        </w:tc>
        <w:tc>
          <w:tcPr>
            <w:tcW w:type="dxa" w:w="1417"/>
            <w:shd w:val="clear" w:color="auto" w:fill="F0F4F8"/>
          </w:tcPr>
          <w:p>
            <w:pPr>
              <w:spacing w:after="40" w:before="40"/>
            </w:pPr>
            <w:r/>
            <w:r>
              <w:rPr>
                <w:rFonts w:ascii="Times New Roman" w:hAnsi="Times New Roman" w:eastAsia="宋体"/>
                <w:b w:val="0"/>
                <w:i w:val="0"/>
                <w:sz w:val="20"/>
              </w:rPr>
              <w:t>Python工具，基于pandas和NetworkX</w:t>
            </w:r>
          </w:p>
        </w:tc>
      </w:tr>
      <w:tr>
        <w:tc>
          <w:tcPr>
            <w:tcW w:type="dxa" w:w="1417"/>
          </w:tcPr>
          <w:p>
            <w:pPr>
              <w:spacing w:after="40" w:before="40"/>
            </w:pPr>
            <w:r/>
            <w:r>
              <w:rPr>
                <w:rFonts w:ascii="Times New Roman" w:hAnsi="Times New Roman" w:eastAsia="宋体"/>
                <w:b w:val="0"/>
                <w:i w:val="0"/>
                <w:sz w:val="20"/>
              </w:rPr>
              <w:t>13</w:t>
            </w:r>
          </w:p>
        </w:tc>
        <w:tc>
          <w:tcPr>
            <w:tcW w:type="dxa" w:w="1417"/>
          </w:tcPr>
          <w:p>
            <w:pPr>
              <w:spacing w:after="40" w:before="40"/>
            </w:pPr>
            <w:r/>
            <w:r>
              <w:rPr>
                <w:rFonts w:ascii="Times New Roman" w:hAnsi="Times New Roman" w:eastAsia="宋体"/>
                <w:b w:val="0"/>
                <w:i w:val="0"/>
                <w:sz w:val="20"/>
              </w:rPr>
              <w:t>OpenDSS</w:t>
            </w:r>
          </w:p>
        </w:tc>
        <w:tc>
          <w:tcPr>
            <w:tcW w:type="dxa" w:w="1417"/>
          </w:tcPr>
          <w:p>
            <w:pPr>
              <w:spacing w:after="40" w:before="40"/>
            </w:pPr>
            <w:r/>
            <w:r>
              <w:rPr>
                <w:rFonts w:ascii="Times New Roman" w:hAnsi="Times New Roman" w:eastAsia="宋体"/>
                <w:b w:val="0"/>
                <w:i w:val="0"/>
                <w:sz w:val="20"/>
              </w:rPr>
              <w:t>开源</w:t>
            </w:r>
          </w:p>
        </w:tc>
        <w:tc>
          <w:tcPr>
            <w:tcW w:type="dxa" w:w="1417"/>
          </w:tcPr>
          <w:p>
            <w:pPr>
              <w:spacing w:after="40" w:before="40"/>
            </w:pPr>
            <w:r/>
            <w:r>
              <w:rPr>
                <w:rFonts w:ascii="Times New Roman" w:hAnsi="Times New Roman" w:eastAsia="宋体"/>
                <w:b w:val="0"/>
                <w:i w:val="0"/>
                <w:sz w:val="20"/>
              </w:rPr>
              <w:t>配电系统仿真</w:t>
            </w:r>
          </w:p>
        </w:tc>
        <w:tc>
          <w:tcPr>
            <w:tcW w:type="dxa" w:w="1417"/>
          </w:tcPr>
          <w:p>
            <w:pPr>
              <w:spacing w:after="40" w:before="40"/>
            </w:pPr>
            <w:r/>
            <w:r>
              <w:rPr>
                <w:rFonts w:ascii="Times New Roman" w:hAnsi="Times New Roman" w:eastAsia="宋体"/>
                <w:b w:val="0"/>
                <w:i w:val="0"/>
                <w:sz w:val="20"/>
              </w:rPr>
              <w:t>BSD</w:t>
            </w:r>
          </w:p>
        </w:tc>
        <w:tc>
          <w:tcPr>
            <w:tcW w:type="dxa" w:w="1417"/>
          </w:tcPr>
          <w:p>
            <w:pPr>
              <w:spacing w:after="40" w:before="40"/>
            </w:pPr>
            <w:r/>
            <w:r>
              <w:rPr>
                <w:rFonts w:ascii="Times New Roman" w:hAnsi="Times New Roman" w:eastAsia="宋体"/>
                <w:b w:val="0"/>
                <w:i w:val="0"/>
                <w:sz w:val="20"/>
              </w:rPr>
              <w:t>支持分布式电源建模和时序仿真</w:t>
            </w:r>
          </w:p>
        </w:tc>
      </w:tr>
      <w:tr>
        <w:tc>
          <w:tcPr>
            <w:tcW w:type="dxa" w:w="1417"/>
            <w:shd w:val="clear" w:color="auto" w:fill="F0F4F8"/>
          </w:tcPr>
          <w:p>
            <w:pPr>
              <w:spacing w:after="40" w:before="40"/>
            </w:pPr>
            <w:r/>
            <w:r>
              <w:rPr>
                <w:rFonts w:ascii="Times New Roman" w:hAnsi="Times New Roman" w:eastAsia="宋体"/>
                <w:b w:val="0"/>
                <w:i w:val="0"/>
                <w:sz w:val="20"/>
              </w:rPr>
              <w:t>14</w:t>
            </w:r>
          </w:p>
        </w:tc>
        <w:tc>
          <w:tcPr>
            <w:tcW w:type="dxa" w:w="1417"/>
            <w:shd w:val="clear" w:color="auto" w:fill="F0F4F8"/>
          </w:tcPr>
          <w:p>
            <w:pPr>
              <w:spacing w:after="40" w:before="40"/>
            </w:pPr>
            <w:r/>
            <w:r>
              <w:rPr>
                <w:rFonts w:ascii="Times New Roman" w:hAnsi="Times New Roman" w:eastAsia="宋体"/>
                <w:b w:val="0"/>
                <w:i w:val="0"/>
                <w:sz w:val="20"/>
              </w:rPr>
              <w:t>PSAT</w:t>
            </w:r>
          </w:p>
        </w:tc>
        <w:tc>
          <w:tcPr>
            <w:tcW w:type="dxa" w:w="1417"/>
            <w:shd w:val="clear" w:color="auto" w:fill="F0F4F8"/>
          </w:tcPr>
          <w:p>
            <w:pPr>
              <w:spacing w:after="40" w:before="40"/>
            </w:pPr>
            <w:r/>
            <w:r>
              <w:rPr>
                <w:rFonts w:ascii="Times New Roman" w:hAnsi="Times New Roman" w:eastAsia="宋体"/>
                <w:b w:val="0"/>
                <w:i w:val="0"/>
                <w:sz w:val="20"/>
              </w:rPr>
              <w:t>开源</w:t>
            </w:r>
          </w:p>
        </w:tc>
        <w:tc>
          <w:tcPr>
            <w:tcW w:type="dxa" w:w="1417"/>
            <w:shd w:val="clear" w:color="auto" w:fill="F0F4F8"/>
          </w:tcPr>
          <w:p>
            <w:pPr>
              <w:spacing w:after="40" w:before="40"/>
            </w:pPr>
            <w:r/>
            <w:r>
              <w:rPr>
                <w:rFonts w:ascii="Times New Roman" w:hAnsi="Times New Roman" w:eastAsia="宋体"/>
                <w:b w:val="0"/>
                <w:i w:val="0"/>
                <w:sz w:val="20"/>
              </w:rPr>
              <w:t>电力系统分析</w:t>
            </w:r>
          </w:p>
        </w:tc>
        <w:tc>
          <w:tcPr>
            <w:tcW w:type="dxa" w:w="1417"/>
            <w:shd w:val="clear" w:color="auto" w:fill="F0F4F8"/>
          </w:tcPr>
          <w:p>
            <w:pPr>
              <w:spacing w:after="40" w:before="40"/>
            </w:pPr>
            <w:r/>
            <w:r>
              <w:rPr>
                <w:rFonts w:ascii="Times New Roman" w:hAnsi="Times New Roman" w:eastAsia="宋体"/>
                <w:b w:val="0"/>
                <w:i w:val="0"/>
                <w:sz w:val="20"/>
              </w:rPr>
              <w:t>GPL</w:t>
            </w:r>
          </w:p>
        </w:tc>
        <w:tc>
          <w:tcPr>
            <w:tcW w:type="dxa" w:w="1417"/>
            <w:shd w:val="clear" w:color="auto" w:fill="F0F4F8"/>
          </w:tcPr>
          <w:p>
            <w:pPr>
              <w:spacing w:after="40" w:before="40"/>
            </w:pPr>
            <w:r/>
            <w:r>
              <w:rPr>
                <w:rFonts w:ascii="Times New Roman" w:hAnsi="Times New Roman" w:eastAsia="宋体"/>
                <w:b w:val="0"/>
                <w:i w:val="0"/>
                <w:sz w:val="20"/>
              </w:rPr>
              <w:t>MATLAB工具箱，支持暂态稳定分析</w:t>
            </w:r>
          </w:p>
        </w:tc>
      </w:tr>
      <w:tr>
        <w:tc>
          <w:tcPr>
            <w:tcW w:type="dxa" w:w="1417"/>
          </w:tcPr>
          <w:p>
            <w:pPr>
              <w:spacing w:after="40" w:before="40"/>
            </w:pPr>
            <w:r/>
            <w:r>
              <w:rPr>
                <w:rFonts w:ascii="Times New Roman" w:hAnsi="Times New Roman" w:eastAsia="宋体"/>
                <w:b w:val="0"/>
                <w:i w:val="0"/>
                <w:sz w:val="20"/>
              </w:rPr>
              <w:t>15</w:t>
            </w:r>
          </w:p>
        </w:tc>
        <w:tc>
          <w:tcPr>
            <w:tcW w:type="dxa" w:w="1417"/>
          </w:tcPr>
          <w:p>
            <w:pPr>
              <w:spacing w:after="40" w:before="40"/>
            </w:pPr>
            <w:r/>
            <w:r>
              <w:rPr>
                <w:rFonts w:ascii="Times New Roman" w:hAnsi="Times New Roman" w:eastAsia="宋体"/>
                <w:b w:val="0"/>
                <w:i w:val="0"/>
                <w:sz w:val="20"/>
              </w:rPr>
              <w:t>GridLAB-D</w:t>
            </w:r>
          </w:p>
        </w:tc>
        <w:tc>
          <w:tcPr>
            <w:tcW w:type="dxa" w:w="1417"/>
          </w:tcPr>
          <w:p>
            <w:pPr>
              <w:spacing w:after="40" w:before="40"/>
            </w:pPr>
            <w:r/>
            <w:r>
              <w:rPr>
                <w:rFonts w:ascii="Times New Roman" w:hAnsi="Times New Roman" w:eastAsia="宋体"/>
                <w:b w:val="0"/>
                <w:i w:val="0"/>
                <w:sz w:val="20"/>
              </w:rPr>
              <w:t>开源</w:t>
            </w:r>
          </w:p>
        </w:tc>
        <w:tc>
          <w:tcPr>
            <w:tcW w:type="dxa" w:w="1417"/>
          </w:tcPr>
          <w:p>
            <w:pPr>
              <w:spacing w:after="40" w:before="40"/>
            </w:pPr>
            <w:r/>
            <w:r>
              <w:rPr>
                <w:rFonts w:ascii="Times New Roman" w:hAnsi="Times New Roman" w:eastAsia="宋体"/>
                <w:b w:val="0"/>
                <w:i w:val="0"/>
                <w:sz w:val="20"/>
              </w:rPr>
              <w:t>配电网agent仿真</w:t>
            </w:r>
          </w:p>
        </w:tc>
        <w:tc>
          <w:tcPr>
            <w:tcW w:type="dxa" w:w="1417"/>
          </w:tcPr>
          <w:p>
            <w:pPr>
              <w:spacing w:after="40" w:before="40"/>
            </w:pPr>
            <w:r/>
            <w:r>
              <w:rPr>
                <w:rFonts w:ascii="Times New Roman" w:hAnsi="Times New Roman" w:eastAsia="宋体"/>
                <w:b w:val="0"/>
                <w:i w:val="0"/>
                <w:sz w:val="20"/>
              </w:rPr>
              <w:t>BSD</w:t>
            </w:r>
          </w:p>
        </w:tc>
        <w:tc>
          <w:tcPr>
            <w:tcW w:type="dxa" w:w="1417"/>
          </w:tcPr>
          <w:p>
            <w:pPr>
              <w:spacing w:after="40" w:before="40"/>
            </w:pPr>
            <w:r/>
            <w:r>
              <w:rPr>
                <w:rFonts w:ascii="Times New Roman" w:hAnsi="Times New Roman" w:eastAsia="宋体"/>
                <w:b w:val="0"/>
                <w:i w:val="0"/>
                <w:sz w:val="20"/>
              </w:rPr>
              <w:t>支持需求响应和分布式能源建模</w:t>
            </w:r>
          </w:p>
        </w:tc>
      </w:tr>
      <w:tr>
        <w:tc>
          <w:tcPr>
            <w:tcW w:type="dxa" w:w="1417"/>
            <w:shd w:val="clear" w:color="auto" w:fill="F0F4F8"/>
          </w:tcPr>
          <w:p>
            <w:pPr>
              <w:spacing w:after="40" w:before="40"/>
            </w:pPr>
            <w:r/>
            <w:r>
              <w:rPr>
                <w:rFonts w:ascii="Times New Roman" w:hAnsi="Times New Roman" w:eastAsia="宋体"/>
                <w:b w:val="0"/>
                <w:i w:val="0"/>
                <w:sz w:val="20"/>
              </w:rPr>
              <w:t>16</w:t>
            </w:r>
          </w:p>
        </w:tc>
        <w:tc>
          <w:tcPr>
            <w:tcW w:type="dxa" w:w="1417"/>
            <w:shd w:val="clear" w:color="auto" w:fill="F0F4F8"/>
          </w:tcPr>
          <w:p>
            <w:pPr>
              <w:spacing w:after="40" w:before="40"/>
            </w:pPr>
            <w:r/>
            <w:r>
              <w:rPr>
                <w:rFonts w:ascii="Times New Roman" w:hAnsi="Times New Roman" w:eastAsia="宋体"/>
                <w:b w:val="0"/>
                <w:i w:val="0"/>
                <w:sz w:val="20"/>
              </w:rPr>
              <w:t>PyPSA</w:t>
            </w:r>
          </w:p>
        </w:tc>
        <w:tc>
          <w:tcPr>
            <w:tcW w:type="dxa" w:w="1417"/>
            <w:shd w:val="clear" w:color="auto" w:fill="F0F4F8"/>
          </w:tcPr>
          <w:p>
            <w:pPr>
              <w:spacing w:after="40" w:before="40"/>
            </w:pPr>
            <w:r/>
            <w:r>
              <w:rPr>
                <w:rFonts w:ascii="Times New Roman" w:hAnsi="Times New Roman" w:eastAsia="宋体"/>
                <w:b w:val="0"/>
                <w:i w:val="0"/>
                <w:sz w:val="20"/>
              </w:rPr>
              <w:t>开源</w:t>
            </w:r>
          </w:p>
        </w:tc>
        <w:tc>
          <w:tcPr>
            <w:tcW w:type="dxa" w:w="1417"/>
            <w:shd w:val="clear" w:color="auto" w:fill="F0F4F8"/>
          </w:tcPr>
          <w:p>
            <w:pPr>
              <w:spacing w:after="40" w:before="40"/>
            </w:pPr>
            <w:r/>
            <w:r>
              <w:rPr>
                <w:rFonts w:ascii="Times New Roman" w:hAnsi="Times New Roman" w:eastAsia="宋体"/>
                <w:b w:val="0"/>
                <w:i w:val="0"/>
                <w:sz w:val="20"/>
              </w:rPr>
              <w:t>电力系统优化</w:t>
            </w:r>
          </w:p>
        </w:tc>
        <w:tc>
          <w:tcPr>
            <w:tcW w:type="dxa" w:w="1417"/>
            <w:shd w:val="clear" w:color="auto" w:fill="F0F4F8"/>
          </w:tcPr>
          <w:p>
            <w:pPr>
              <w:spacing w:after="40" w:before="40"/>
            </w:pPr>
            <w:r/>
            <w:r>
              <w:rPr>
                <w:rFonts w:ascii="Times New Roman" w:hAnsi="Times New Roman" w:eastAsia="宋体"/>
                <w:b w:val="0"/>
                <w:i w:val="0"/>
                <w:sz w:val="20"/>
              </w:rPr>
              <w:t>GPL</w:t>
            </w:r>
          </w:p>
        </w:tc>
        <w:tc>
          <w:tcPr>
            <w:tcW w:type="dxa" w:w="1417"/>
            <w:shd w:val="clear" w:color="auto" w:fill="F0F4F8"/>
          </w:tcPr>
          <w:p>
            <w:pPr>
              <w:spacing w:after="40" w:before="40"/>
            </w:pPr>
            <w:r/>
            <w:r>
              <w:rPr>
                <w:rFonts w:ascii="Times New Roman" w:hAnsi="Times New Roman" w:eastAsia="宋体"/>
                <w:b w:val="0"/>
                <w:i w:val="0"/>
                <w:sz w:val="20"/>
              </w:rPr>
              <w:t>Python工具，支持线路优化和储能建模</w:t>
            </w:r>
          </w:p>
        </w:tc>
      </w:tr>
      <w:tr>
        <w:tc>
          <w:tcPr>
            <w:tcW w:type="dxa" w:w="1417"/>
          </w:tcPr>
          <w:p>
            <w:pPr>
              <w:spacing w:after="40" w:before="40"/>
            </w:pPr>
            <w:r/>
            <w:r>
              <w:rPr>
                <w:rFonts w:ascii="Times New Roman" w:hAnsi="Times New Roman" w:eastAsia="宋体"/>
                <w:b w:val="0"/>
                <w:i w:val="0"/>
                <w:sz w:val="20"/>
              </w:rPr>
              <w:t>17</w:t>
            </w:r>
          </w:p>
        </w:tc>
        <w:tc>
          <w:tcPr>
            <w:tcW w:type="dxa" w:w="1417"/>
          </w:tcPr>
          <w:p>
            <w:pPr>
              <w:spacing w:after="40" w:before="40"/>
            </w:pPr>
            <w:r/>
            <w:r>
              <w:rPr>
                <w:rFonts w:ascii="Times New Roman" w:hAnsi="Times New Roman" w:eastAsia="宋体"/>
                <w:b w:val="0"/>
                <w:i w:val="0"/>
                <w:sz w:val="20"/>
              </w:rPr>
              <w:t>MATPOWER+MIPS</w:t>
            </w:r>
          </w:p>
        </w:tc>
        <w:tc>
          <w:tcPr>
            <w:tcW w:type="dxa" w:w="1417"/>
          </w:tcPr>
          <w:p>
            <w:pPr>
              <w:spacing w:after="40" w:before="40"/>
            </w:pPr>
            <w:r/>
            <w:r>
              <w:rPr>
                <w:rFonts w:ascii="Times New Roman" w:hAnsi="Times New Roman" w:eastAsia="宋体"/>
                <w:b w:val="0"/>
                <w:i w:val="0"/>
                <w:sz w:val="20"/>
              </w:rPr>
              <w:t>开源</w:t>
            </w:r>
          </w:p>
        </w:tc>
        <w:tc>
          <w:tcPr>
            <w:tcW w:type="dxa" w:w="1417"/>
          </w:tcPr>
          <w:p>
            <w:pPr>
              <w:spacing w:after="40" w:before="40"/>
            </w:pPr>
            <w:r/>
            <w:r>
              <w:rPr>
                <w:rFonts w:ascii="Times New Roman" w:hAnsi="Times New Roman" w:eastAsia="宋体"/>
                <w:b w:val="0"/>
                <w:i w:val="0"/>
                <w:sz w:val="20"/>
              </w:rPr>
              <w:t>最优潮流求解</w:t>
            </w:r>
          </w:p>
        </w:tc>
        <w:tc>
          <w:tcPr>
            <w:tcW w:type="dxa" w:w="1417"/>
          </w:tcPr>
          <w:p>
            <w:pPr>
              <w:spacing w:after="40" w:before="40"/>
            </w:pPr>
            <w:r/>
            <w:r>
              <w:rPr>
                <w:rFonts w:ascii="Times New Roman" w:hAnsi="Times New Roman" w:eastAsia="宋体"/>
                <w:b w:val="0"/>
                <w:i w:val="0"/>
                <w:sz w:val="20"/>
              </w:rPr>
              <w:t>BSD</w:t>
            </w:r>
          </w:p>
        </w:tc>
        <w:tc>
          <w:tcPr>
            <w:tcW w:type="dxa" w:w="1417"/>
          </w:tcPr>
          <w:p>
            <w:pPr>
              <w:spacing w:after="40" w:before="40"/>
            </w:pPr>
            <w:r/>
            <w:r>
              <w:rPr>
                <w:rFonts w:ascii="Times New Roman" w:hAnsi="Times New Roman" w:eastAsia="宋体"/>
                <w:b w:val="0"/>
                <w:i w:val="0"/>
                <w:sz w:val="20"/>
              </w:rPr>
              <w:t>MATPOWER的内点法求解器</w:t>
            </w:r>
          </w:p>
        </w:tc>
      </w:tr>
    </w:tbl>
    <w:p>
      <w:pPr>
        <w:pStyle w:val="Heading2"/>
        <w:spacing w:before="240" w:after="80"/>
      </w:pPr>
      <w:r>
        <w:rPr>
          <w:rFonts w:ascii="Times New Roman" w:hAnsi="Times New Roman" w:eastAsia="黑体"/>
          <w:b/>
          <w:i w:val="0"/>
          <w:sz w:val="28"/>
        </w:rPr>
        <w:t>B.3 强化学习框架</w:t>
      </w:r>
    </w:p>
    <w:tbl>
      <w:tblPr>
        <w:tblStyle w:val="LightGrid-Accent1"/>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pPr>
              <w:spacing w:after="40" w:before="40"/>
            </w:pPr>
            <w:r>
              <w:rPr>
                <w:b/>
              </w:rPr>
            </w:r>
            <w:r>
              <w:rPr>
                <w:rFonts w:ascii="Times New Roman" w:hAnsi="Times New Roman" w:eastAsia="黑体"/>
                <w:b/>
                <w:i w:val="0"/>
                <w:sz w:val="20"/>
              </w:rPr>
              <w:t>序号</w:t>
            </w:r>
          </w:p>
        </w:tc>
        <w:tc>
          <w:tcPr>
            <w:tcW w:type="dxa" w:w="1417"/>
          </w:tcPr>
          <w:p>
            <w:pPr>
              <w:spacing w:after="40" w:before="40"/>
            </w:pPr>
            <w:r>
              <w:rPr>
                <w:b/>
              </w:rPr>
            </w:r>
            <w:r>
              <w:rPr>
                <w:rFonts w:ascii="Times New Roman" w:hAnsi="Times New Roman" w:eastAsia="黑体"/>
                <w:b/>
                <w:i w:val="0"/>
                <w:sz w:val="20"/>
              </w:rPr>
              <w:t>工具名称</w:t>
            </w:r>
          </w:p>
        </w:tc>
        <w:tc>
          <w:tcPr>
            <w:tcW w:type="dxa" w:w="1417"/>
          </w:tcPr>
          <w:p>
            <w:pPr>
              <w:spacing w:after="40" w:before="40"/>
            </w:pPr>
            <w:r>
              <w:rPr>
                <w:b/>
              </w:rPr>
            </w:r>
            <w:r>
              <w:rPr>
                <w:rFonts w:ascii="Times New Roman" w:hAnsi="Times New Roman" w:eastAsia="黑体"/>
                <w:b/>
                <w:i w:val="0"/>
                <w:sz w:val="20"/>
              </w:rPr>
              <w:t>类型</w:t>
            </w:r>
          </w:p>
        </w:tc>
        <w:tc>
          <w:tcPr>
            <w:tcW w:type="dxa" w:w="1417"/>
          </w:tcPr>
          <w:p>
            <w:pPr>
              <w:spacing w:after="40" w:before="40"/>
            </w:pPr>
            <w:r>
              <w:rPr>
                <w:b/>
              </w:rPr>
            </w:r>
            <w:r>
              <w:rPr>
                <w:rFonts w:ascii="Times New Roman" w:hAnsi="Times New Roman" w:eastAsia="黑体"/>
                <w:b/>
                <w:i w:val="0"/>
                <w:sz w:val="20"/>
              </w:rPr>
              <w:t>功能描述</w:t>
            </w:r>
          </w:p>
        </w:tc>
        <w:tc>
          <w:tcPr>
            <w:tcW w:type="dxa" w:w="1417"/>
          </w:tcPr>
          <w:p>
            <w:pPr>
              <w:spacing w:after="40" w:before="40"/>
            </w:pPr>
            <w:r>
              <w:rPr>
                <w:b/>
              </w:rPr>
            </w:r>
            <w:r>
              <w:rPr>
                <w:rFonts w:ascii="Times New Roman" w:hAnsi="Times New Roman" w:eastAsia="黑体"/>
                <w:b/>
                <w:i w:val="0"/>
                <w:sz w:val="20"/>
              </w:rPr>
              <w:t>许可证</w:t>
            </w:r>
          </w:p>
        </w:tc>
        <w:tc>
          <w:tcPr>
            <w:tcW w:type="dxa" w:w="1417"/>
          </w:tcPr>
          <w:p>
            <w:pPr>
              <w:spacing w:after="40" w:before="40"/>
            </w:pPr>
            <w:r>
              <w:rPr>
                <w:b/>
              </w:rPr>
            </w:r>
            <w:r>
              <w:rPr>
                <w:rFonts w:ascii="Times New Roman" w:hAnsi="Times New Roman" w:eastAsia="黑体"/>
                <w:b/>
                <w:i w:val="0"/>
                <w:sz w:val="20"/>
              </w:rPr>
              <w:t>特点</w:t>
            </w:r>
          </w:p>
        </w:tc>
      </w:tr>
      <w:tr>
        <w:tc>
          <w:tcPr>
            <w:tcW w:type="dxa" w:w="1417"/>
          </w:tcPr>
          <w:p>
            <w:pPr>
              <w:spacing w:after="40" w:before="40"/>
            </w:pPr>
            <w:r/>
            <w:r>
              <w:rPr>
                <w:rFonts w:ascii="Times New Roman" w:hAnsi="Times New Roman" w:eastAsia="宋体"/>
                <w:b w:val="0"/>
                <w:i w:val="0"/>
                <w:sz w:val="20"/>
              </w:rPr>
              <w:t>18</w:t>
            </w:r>
          </w:p>
        </w:tc>
        <w:tc>
          <w:tcPr>
            <w:tcW w:type="dxa" w:w="1417"/>
          </w:tcPr>
          <w:p>
            <w:pPr>
              <w:spacing w:after="40" w:before="40"/>
            </w:pPr>
            <w:r/>
            <w:r>
              <w:rPr>
                <w:rFonts w:ascii="Times New Roman" w:hAnsi="Times New Roman" w:eastAsia="宋体"/>
                <w:b w:val="0"/>
                <w:i w:val="0"/>
                <w:sz w:val="20"/>
              </w:rPr>
              <w:t>OpenAI Gym</w:t>
            </w:r>
          </w:p>
        </w:tc>
        <w:tc>
          <w:tcPr>
            <w:tcW w:type="dxa" w:w="1417"/>
          </w:tcPr>
          <w:p>
            <w:pPr>
              <w:spacing w:after="40" w:before="40"/>
            </w:pPr>
            <w:r/>
            <w:r>
              <w:rPr>
                <w:rFonts w:ascii="Times New Roman" w:hAnsi="Times New Roman" w:eastAsia="宋体"/>
                <w:b w:val="0"/>
                <w:i w:val="0"/>
                <w:sz w:val="20"/>
              </w:rPr>
              <w:t>开源</w:t>
            </w:r>
          </w:p>
        </w:tc>
        <w:tc>
          <w:tcPr>
            <w:tcW w:type="dxa" w:w="1417"/>
          </w:tcPr>
          <w:p>
            <w:pPr>
              <w:spacing w:after="40" w:before="40"/>
            </w:pPr>
            <w:r/>
            <w:r>
              <w:rPr>
                <w:rFonts w:ascii="Times New Roman" w:hAnsi="Times New Roman" w:eastAsia="宋体"/>
                <w:b w:val="0"/>
                <w:i w:val="0"/>
                <w:sz w:val="20"/>
              </w:rPr>
              <w:t>强化学习环境接口</w:t>
            </w:r>
          </w:p>
        </w:tc>
        <w:tc>
          <w:tcPr>
            <w:tcW w:type="dxa" w:w="1417"/>
          </w:tcPr>
          <w:p>
            <w:pPr>
              <w:spacing w:after="40" w:before="40"/>
            </w:pPr>
            <w:r/>
            <w:r>
              <w:rPr>
                <w:rFonts w:ascii="Times New Roman" w:hAnsi="Times New Roman" w:eastAsia="宋体"/>
                <w:b w:val="0"/>
                <w:i w:val="0"/>
                <w:sz w:val="20"/>
              </w:rPr>
              <w:t>MIT</w:t>
            </w:r>
          </w:p>
        </w:tc>
        <w:tc>
          <w:tcPr>
            <w:tcW w:type="dxa" w:w="1417"/>
          </w:tcPr>
          <w:p>
            <w:pPr>
              <w:spacing w:after="40" w:before="40"/>
            </w:pPr>
            <w:r/>
            <w:r>
              <w:rPr>
                <w:rFonts w:ascii="Times New Roman" w:hAnsi="Times New Roman" w:eastAsia="宋体"/>
                <w:b w:val="0"/>
                <w:i w:val="0"/>
                <w:sz w:val="20"/>
              </w:rPr>
              <w:t>标准RL环境接口，社区支持广泛</w:t>
            </w:r>
          </w:p>
        </w:tc>
      </w:tr>
      <w:tr>
        <w:tc>
          <w:tcPr>
            <w:tcW w:type="dxa" w:w="1417"/>
            <w:shd w:val="clear" w:color="auto" w:fill="F0F4F8"/>
          </w:tcPr>
          <w:p>
            <w:pPr>
              <w:spacing w:after="40" w:before="40"/>
            </w:pPr>
            <w:r/>
            <w:r>
              <w:rPr>
                <w:rFonts w:ascii="Times New Roman" w:hAnsi="Times New Roman" w:eastAsia="宋体"/>
                <w:b w:val="0"/>
                <w:i w:val="0"/>
                <w:sz w:val="20"/>
              </w:rPr>
              <w:t>19</w:t>
            </w:r>
          </w:p>
        </w:tc>
        <w:tc>
          <w:tcPr>
            <w:tcW w:type="dxa" w:w="1417"/>
            <w:shd w:val="clear" w:color="auto" w:fill="F0F4F8"/>
          </w:tcPr>
          <w:p>
            <w:pPr>
              <w:spacing w:after="40" w:before="40"/>
            </w:pPr>
            <w:r/>
            <w:r>
              <w:rPr>
                <w:rFonts w:ascii="Times New Roman" w:hAnsi="Times New Roman" w:eastAsia="宋体"/>
                <w:b w:val="0"/>
                <w:i w:val="0"/>
                <w:sz w:val="20"/>
              </w:rPr>
              <w:t>Stable Baselines3</w:t>
            </w:r>
          </w:p>
        </w:tc>
        <w:tc>
          <w:tcPr>
            <w:tcW w:type="dxa" w:w="1417"/>
            <w:shd w:val="clear" w:color="auto" w:fill="F0F4F8"/>
          </w:tcPr>
          <w:p>
            <w:pPr>
              <w:spacing w:after="40" w:before="40"/>
            </w:pPr>
            <w:r/>
            <w:r>
              <w:rPr>
                <w:rFonts w:ascii="Times New Roman" w:hAnsi="Times New Roman" w:eastAsia="宋体"/>
                <w:b w:val="0"/>
                <w:i w:val="0"/>
                <w:sz w:val="20"/>
              </w:rPr>
              <w:t>开源</w:t>
            </w:r>
          </w:p>
        </w:tc>
        <w:tc>
          <w:tcPr>
            <w:tcW w:type="dxa" w:w="1417"/>
            <w:shd w:val="clear" w:color="auto" w:fill="F0F4F8"/>
          </w:tcPr>
          <w:p>
            <w:pPr>
              <w:spacing w:after="40" w:before="40"/>
            </w:pPr>
            <w:r/>
            <w:r>
              <w:rPr>
                <w:rFonts w:ascii="Times New Roman" w:hAnsi="Times New Roman" w:eastAsia="宋体"/>
                <w:b w:val="0"/>
                <w:i w:val="0"/>
                <w:sz w:val="20"/>
              </w:rPr>
              <w:t>强化学习算法库</w:t>
            </w:r>
          </w:p>
        </w:tc>
        <w:tc>
          <w:tcPr>
            <w:tcW w:type="dxa" w:w="1417"/>
            <w:shd w:val="clear" w:color="auto" w:fill="F0F4F8"/>
          </w:tcPr>
          <w:p>
            <w:pPr>
              <w:spacing w:after="40" w:before="40"/>
            </w:pPr>
            <w:r/>
            <w:r>
              <w:rPr>
                <w:rFonts w:ascii="Times New Roman" w:hAnsi="Times New Roman" w:eastAsia="宋体"/>
                <w:b w:val="0"/>
                <w:i w:val="0"/>
                <w:sz w:val="20"/>
              </w:rPr>
              <w:t>MIT</w:t>
            </w:r>
          </w:p>
        </w:tc>
        <w:tc>
          <w:tcPr>
            <w:tcW w:type="dxa" w:w="1417"/>
            <w:shd w:val="clear" w:color="auto" w:fill="F0F4F8"/>
          </w:tcPr>
          <w:p>
            <w:pPr>
              <w:spacing w:after="40" w:before="40"/>
            </w:pPr>
            <w:r/>
            <w:r>
              <w:rPr>
                <w:rFonts w:ascii="Times New Roman" w:hAnsi="Times New Roman" w:eastAsia="宋体"/>
                <w:b w:val="0"/>
                <w:i w:val="0"/>
                <w:sz w:val="20"/>
              </w:rPr>
              <w:t>PPO/SAC/DQN等算法的可靠实现</w:t>
            </w:r>
          </w:p>
        </w:tc>
      </w:tr>
      <w:tr>
        <w:tc>
          <w:tcPr>
            <w:tcW w:type="dxa" w:w="1417"/>
          </w:tcPr>
          <w:p>
            <w:pPr>
              <w:spacing w:after="40" w:before="40"/>
            </w:pPr>
            <w:r/>
            <w:r>
              <w:rPr>
                <w:rFonts w:ascii="Times New Roman" w:hAnsi="Times New Roman" w:eastAsia="宋体"/>
                <w:b w:val="0"/>
                <w:i w:val="0"/>
                <w:sz w:val="20"/>
              </w:rPr>
              <w:t>20</w:t>
            </w:r>
          </w:p>
        </w:tc>
        <w:tc>
          <w:tcPr>
            <w:tcW w:type="dxa" w:w="1417"/>
          </w:tcPr>
          <w:p>
            <w:pPr>
              <w:spacing w:after="40" w:before="40"/>
            </w:pPr>
            <w:r/>
            <w:r>
              <w:rPr>
                <w:rFonts w:ascii="Times New Roman" w:hAnsi="Times New Roman" w:eastAsia="宋体"/>
                <w:b w:val="0"/>
                <w:i w:val="0"/>
                <w:sz w:val="20"/>
              </w:rPr>
              <w:t>Ray RLlib</w:t>
            </w:r>
          </w:p>
        </w:tc>
        <w:tc>
          <w:tcPr>
            <w:tcW w:type="dxa" w:w="1417"/>
          </w:tcPr>
          <w:p>
            <w:pPr>
              <w:spacing w:after="40" w:before="40"/>
            </w:pPr>
            <w:r/>
            <w:r>
              <w:rPr>
                <w:rFonts w:ascii="Times New Roman" w:hAnsi="Times New Roman" w:eastAsia="宋体"/>
                <w:b w:val="0"/>
                <w:i w:val="0"/>
                <w:sz w:val="20"/>
              </w:rPr>
              <w:t>开源</w:t>
            </w:r>
          </w:p>
        </w:tc>
        <w:tc>
          <w:tcPr>
            <w:tcW w:type="dxa" w:w="1417"/>
          </w:tcPr>
          <w:p>
            <w:pPr>
              <w:spacing w:after="40" w:before="40"/>
            </w:pPr>
            <w:r/>
            <w:r>
              <w:rPr>
                <w:rFonts w:ascii="Times New Roman" w:hAnsi="Times New Roman" w:eastAsia="宋体"/>
                <w:b w:val="0"/>
                <w:i w:val="0"/>
                <w:sz w:val="20"/>
              </w:rPr>
              <w:t>分布式强化学习</w:t>
            </w:r>
          </w:p>
        </w:tc>
        <w:tc>
          <w:tcPr>
            <w:tcW w:type="dxa" w:w="1417"/>
          </w:tcPr>
          <w:p>
            <w:pPr>
              <w:spacing w:after="40" w:before="40"/>
            </w:pPr>
            <w:r/>
            <w:r>
              <w:rPr>
                <w:rFonts w:ascii="Times New Roman" w:hAnsi="Times New Roman" w:eastAsia="宋体"/>
                <w:b w:val="0"/>
                <w:i w:val="0"/>
                <w:sz w:val="20"/>
              </w:rPr>
              <w:t>Apache 2.0</w:t>
            </w:r>
          </w:p>
        </w:tc>
        <w:tc>
          <w:tcPr>
            <w:tcW w:type="dxa" w:w="1417"/>
          </w:tcPr>
          <w:p>
            <w:pPr>
              <w:spacing w:after="40" w:before="40"/>
            </w:pPr>
            <w:r/>
            <w:r>
              <w:rPr>
                <w:rFonts w:ascii="Times New Roman" w:hAnsi="Times New Roman" w:eastAsia="宋体"/>
                <w:b w:val="0"/>
                <w:i w:val="0"/>
                <w:sz w:val="20"/>
              </w:rPr>
              <w:t>支持多Agent RL和大规模分布式训练</w:t>
            </w:r>
          </w:p>
        </w:tc>
      </w:tr>
      <w:tr>
        <w:tc>
          <w:tcPr>
            <w:tcW w:type="dxa" w:w="1417"/>
            <w:shd w:val="clear" w:color="auto" w:fill="F0F4F8"/>
          </w:tcPr>
          <w:p>
            <w:pPr>
              <w:spacing w:after="40" w:before="40"/>
            </w:pPr>
            <w:r/>
            <w:r>
              <w:rPr>
                <w:rFonts w:ascii="Times New Roman" w:hAnsi="Times New Roman" w:eastAsia="宋体"/>
                <w:b w:val="0"/>
                <w:i w:val="0"/>
                <w:sz w:val="20"/>
              </w:rPr>
              <w:t>21</w:t>
            </w:r>
          </w:p>
        </w:tc>
        <w:tc>
          <w:tcPr>
            <w:tcW w:type="dxa" w:w="1417"/>
            <w:shd w:val="clear" w:color="auto" w:fill="F0F4F8"/>
          </w:tcPr>
          <w:p>
            <w:pPr>
              <w:spacing w:after="40" w:before="40"/>
            </w:pPr>
            <w:r/>
            <w:r>
              <w:rPr>
                <w:rFonts w:ascii="Times New Roman" w:hAnsi="Times New Roman" w:eastAsia="宋体"/>
                <w:b w:val="0"/>
                <w:i w:val="0"/>
                <w:sz w:val="20"/>
              </w:rPr>
              <w:t>TF-Agents</w:t>
            </w:r>
          </w:p>
        </w:tc>
        <w:tc>
          <w:tcPr>
            <w:tcW w:type="dxa" w:w="1417"/>
            <w:shd w:val="clear" w:color="auto" w:fill="F0F4F8"/>
          </w:tcPr>
          <w:p>
            <w:pPr>
              <w:spacing w:after="40" w:before="40"/>
            </w:pPr>
            <w:r/>
            <w:r>
              <w:rPr>
                <w:rFonts w:ascii="Times New Roman" w:hAnsi="Times New Roman" w:eastAsia="宋体"/>
                <w:b w:val="0"/>
                <w:i w:val="0"/>
                <w:sz w:val="20"/>
              </w:rPr>
              <w:t>开源</w:t>
            </w:r>
          </w:p>
        </w:tc>
        <w:tc>
          <w:tcPr>
            <w:tcW w:type="dxa" w:w="1417"/>
            <w:shd w:val="clear" w:color="auto" w:fill="F0F4F8"/>
          </w:tcPr>
          <w:p>
            <w:pPr>
              <w:spacing w:after="40" w:before="40"/>
            </w:pPr>
            <w:r/>
            <w:r>
              <w:rPr>
                <w:rFonts w:ascii="Times New Roman" w:hAnsi="Times New Roman" w:eastAsia="宋体"/>
                <w:b w:val="0"/>
                <w:i w:val="0"/>
                <w:sz w:val="20"/>
              </w:rPr>
              <w:t>强化学习库</w:t>
            </w:r>
          </w:p>
        </w:tc>
        <w:tc>
          <w:tcPr>
            <w:tcW w:type="dxa" w:w="1417"/>
            <w:shd w:val="clear" w:color="auto" w:fill="F0F4F8"/>
          </w:tcPr>
          <w:p>
            <w:pPr>
              <w:spacing w:after="40" w:before="40"/>
            </w:pPr>
            <w:r/>
            <w:r>
              <w:rPr>
                <w:rFonts w:ascii="Times New Roman" w:hAnsi="Times New Roman" w:eastAsia="宋体"/>
                <w:b w:val="0"/>
                <w:i w:val="0"/>
                <w:sz w:val="20"/>
              </w:rPr>
              <w:t>Apache 2.0</w:t>
            </w:r>
          </w:p>
        </w:tc>
        <w:tc>
          <w:tcPr>
            <w:tcW w:type="dxa" w:w="1417"/>
            <w:shd w:val="clear" w:color="auto" w:fill="F0F4F8"/>
          </w:tcPr>
          <w:p>
            <w:pPr>
              <w:spacing w:after="40" w:before="40"/>
            </w:pPr>
            <w:r/>
            <w:r>
              <w:rPr>
                <w:rFonts w:ascii="Times New Roman" w:hAnsi="Times New Roman" w:eastAsia="宋体"/>
                <w:b w:val="0"/>
                <w:i w:val="0"/>
                <w:sz w:val="20"/>
              </w:rPr>
              <w:t>TensorFlow生态，支持DQN/DDPG/PPO</w:t>
            </w:r>
          </w:p>
        </w:tc>
      </w:tr>
      <w:tr>
        <w:tc>
          <w:tcPr>
            <w:tcW w:type="dxa" w:w="1417"/>
          </w:tcPr>
          <w:p>
            <w:pPr>
              <w:spacing w:after="40" w:before="40"/>
            </w:pPr>
            <w:r/>
            <w:r>
              <w:rPr>
                <w:rFonts w:ascii="Times New Roman" w:hAnsi="Times New Roman" w:eastAsia="宋体"/>
                <w:b w:val="0"/>
                <w:i w:val="0"/>
                <w:sz w:val="20"/>
              </w:rPr>
              <w:t>22</w:t>
            </w:r>
          </w:p>
        </w:tc>
        <w:tc>
          <w:tcPr>
            <w:tcW w:type="dxa" w:w="1417"/>
          </w:tcPr>
          <w:p>
            <w:pPr>
              <w:spacing w:after="40" w:before="40"/>
            </w:pPr>
            <w:r/>
            <w:r>
              <w:rPr>
                <w:rFonts w:ascii="Times New Roman" w:hAnsi="Times New Roman" w:eastAsia="宋体"/>
                <w:b w:val="0"/>
                <w:i w:val="0"/>
                <w:sz w:val="20"/>
              </w:rPr>
              <w:t>PettingZoo</w:t>
            </w:r>
          </w:p>
        </w:tc>
        <w:tc>
          <w:tcPr>
            <w:tcW w:type="dxa" w:w="1417"/>
          </w:tcPr>
          <w:p>
            <w:pPr>
              <w:spacing w:after="40" w:before="40"/>
            </w:pPr>
            <w:r/>
            <w:r>
              <w:rPr>
                <w:rFonts w:ascii="Times New Roman" w:hAnsi="Times New Roman" w:eastAsia="宋体"/>
                <w:b w:val="0"/>
                <w:i w:val="0"/>
                <w:sz w:val="20"/>
              </w:rPr>
              <w:t>开源</w:t>
            </w:r>
          </w:p>
        </w:tc>
        <w:tc>
          <w:tcPr>
            <w:tcW w:type="dxa" w:w="1417"/>
          </w:tcPr>
          <w:p>
            <w:pPr>
              <w:spacing w:after="40" w:before="40"/>
            </w:pPr>
            <w:r/>
            <w:r>
              <w:rPr>
                <w:rFonts w:ascii="Times New Roman" w:hAnsi="Times New Roman" w:eastAsia="宋体"/>
                <w:b w:val="0"/>
                <w:i w:val="0"/>
                <w:sz w:val="20"/>
              </w:rPr>
              <w:t>多Agent RL环境</w:t>
            </w:r>
          </w:p>
        </w:tc>
        <w:tc>
          <w:tcPr>
            <w:tcW w:type="dxa" w:w="1417"/>
          </w:tcPr>
          <w:p>
            <w:pPr>
              <w:spacing w:after="40" w:before="40"/>
            </w:pPr>
            <w:r/>
            <w:r>
              <w:rPr>
                <w:rFonts w:ascii="Times New Roman" w:hAnsi="Times New Roman" w:eastAsia="宋体"/>
                <w:b w:val="0"/>
                <w:i w:val="0"/>
                <w:sz w:val="20"/>
              </w:rPr>
              <w:t>MIT</w:t>
            </w:r>
          </w:p>
        </w:tc>
        <w:tc>
          <w:tcPr>
            <w:tcW w:type="dxa" w:w="1417"/>
          </w:tcPr>
          <w:p>
            <w:pPr>
              <w:spacing w:after="40" w:before="40"/>
            </w:pPr>
            <w:r/>
            <w:r>
              <w:rPr>
                <w:rFonts w:ascii="Times New Roman" w:hAnsi="Times New Roman" w:eastAsia="宋体"/>
                <w:b w:val="0"/>
                <w:i w:val="0"/>
                <w:sz w:val="20"/>
              </w:rPr>
              <w:t>多Agent环境标准接口</w:t>
            </w:r>
          </w:p>
        </w:tc>
      </w:tr>
    </w:tbl>
    <w:p>
      <w:pPr>
        <w:pStyle w:val="Heading2"/>
        <w:spacing w:before="240" w:after="80"/>
      </w:pPr>
      <w:r>
        <w:rPr>
          <w:rFonts w:ascii="Times New Roman" w:hAnsi="Times New Roman" w:eastAsia="黑体"/>
          <w:b/>
          <w:i w:val="0"/>
          <w:sz w:val="28"/>
        </w:rPr>
        <w:t>B.4 互补问题专用工具</w:t>
      </w:r>
    </w:p>
    <w:tbl>
      <w:tblPr>
        <w:tblStyle w:val="LightGrid-Accent1"/>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pPr>
              <w:spacing w:after="40" w:before="40"/>
            </w:pPr>
            <w:r>
              <w:rPr>
                <w:b/>
              </w:rPr>
            </w:r>
            <w:r>
              <w:rPr>
                <w:rFonts w:ascii="Times New Roman" w:hAnsi="Times New Roman" w:eastAsia="黑体"/>
                <w:b/>
                <w:i w:val="0"/>
                <w:sz w:val="20"/>
              </w:rPr>
              <w:t>序号</w:t>
            </w:r>
          </w:p>
        </w:tc>
        <w:tc>
          <w:tcPr>
            <w:tcW w:type="dxa" w:w="1417"/>
          </w:tcPr>
          <w:p>
            <w:pPr>
              <w:spacing w:after="40" w:before="40"/>
            </w:pPr>
            <w:r>
              <w:rPr>
                <w:b/>
              </w:rPr>
            </w:r>
            <w:r>
              <w:rPr>
                <w:rFonts w:ascii="Times New Roman" w:hAnsi="Times New Roman" w:eastAsia="黑体"/>
                <w:b/>
                <w:i w:val="0"/>
                <w:sz w:val="20"/>
              </w:rPr>
              <w:t>工具名称</w:t>
            </w:r>
          </w:p>
        </w:tc>
        <w:tc>
          <w:tcPr>
            <w:tcW w:type="dxa" w:w="1417"/>
          </w:tcPr>
          <w:p>
            <w:pPr>
              <w:spacing w:after="40" w:before="40"/>
            </w:pPr>
            <w:r>
              <w:rPr>
                <w:b/>
              </w:rPr>
            </w:r>
            <w:r>
              <w:rPr>
                <w:rFonts w:ascii="Times New Roman" w:hAnsi="Times New Roman" w:eastAsia="黑体"/>
                <w:b/>
                <w:i w:val="0"/>
                <w:sz w:val="20"/>
              </w:rPr>
              <w:t>类型</w:t>
            </w:r>
          </w:p>
        </w:tc>
        <w:tc>
          <w:tcPr>
            <w:tcW w:type="dxa" w:w="1417"/>
          </w:tcPr>
          <w:p>
            <w:pPr>
              <w:spacing w:after="40" w:before="40"/>
            </w:pPr>
            <w:r>
              <w:rPr>
                <w:b/>
              </w:rPr>
            </w:r>
            <w:r>
              <w:rPr>
                <w:rFonts w:ascii="Times New Roman" w:hAnsi="Times New Roman" w:eastAsia="黑体"/>
                <w:b/>
                <w:i w:val="0"/>
                <w:sz w:val="20"/>
              </w:rPr>
              <w:t>功能描述</w:t>
            </w:r>
          </w:p>
        </w:tc>
        <w:tc>
          <w:tcPr>
            <w:tcW w:type="dxa" w:w="1417"/>
          </w:tcPr>
          <w:p>
            <w:pPr>
              <w:spacing w:after="40" w:before="40"/>
            </w:pPr>
            <w:r>
              <w:rPr>
                <w:b/>
              </w:rPr>
            </w:r>
            <w:r>
              <w:rPr>
                <w:rFonts w:ascii="Times New Roman" w:hAnsi="Times New Roman" w:eastAsia="黑体"/>
                <w:b/>
                <w:i w:val="0"/>
                <w:sz w:val="20"/>
              </w:rPr>
              <w:t>许可证</w:t>
            </w:r>
          </w:p>
        </w:tc>
        <w:tc>
          <w:tcPr>
            <w:tcW w:type="dxa" w:w="1417"/>
          </w:tcPr>
          <w:p>
            <w:pPr>
              <w:spacing w:after="40" w:before="40"/>
            </w:pPr>
            <w:r>
              <w:rPr>
                <w:b/>
              </w:rPr>
            </w:r>
            <w:r>
              <w:rPr>
                <w:rFonts w:ascii="Times New Roman" w:hAnsi="Times New Roman" w:eastAsia="黑体"/>
                <w:b/>
                <w:i w:val="0"/>
                <w:sz w:val="20"/>
              </w:rPr>
              <w:t>特点</w:t>
            </w:r>
          </w:p>
        </w:tc>
      </w:tr>
      <w:tr>
        <w:tc>
          <w:tcPr>
            <w:tcW w:type="dxa" w:w="1417"/>
          </w:tcPr>
          <w:p>
            <w:pPr>
              <w:spacing w:after="40" w:before="40"/>
            </w:pPr>
            <w:r/>
            <w:r>
              <w:rPr>
                <w:rFonts w:ascii="Times New Roman" w:hAnsi="Times New Roman" w:eastAsia="宋体"/>
                <w:b w:val="0"/>
                <w:i w:val="0"/>
                <w:sz w:val="20"/>
              </w:rPr>
              <w:t>23</w:t>
            </w:r>
          </w:p>
        </w:tc>
        <w:tc>
          <w:tcPr>
            <w:tcW w:type="dxa" w:w="1417"/>
          </w:tcPr>
          <w:p>
            <w:pPr>
              <w:spacing w:after="40" w:before="40"/>
            </w:pPr>
            <w:r/>
            <w:r>
              <w:rPr>
                <w:rFonts w:ascii="Times New Roman" w:hAnsi="Times New Roman" w:eastAsia="宋体"/>
                <w:b w:val="0"/>
                <w:i w:val="0"/>
                <w:sz w:val="20"/>
              </w:rPr>
              <w:t>PATH Solver</w:t>
            </w:r>
          </w:p>
        </w:tc>
        <w:tc>
          <w:tcPr>
            <w:tcW w:type="dxa" w:w="1417"/>
          </w:tcPr>
          <w:p>
            <w:pPr>
              <w:spacing w:after="40" w:before="40"/>
            </w:pPr>
            <w:r/>
            <w:r>
              <w:rPr>
                <w:rFonts w:ascii="Times New Roman" w:hAnsi="Times New Roman" w:eastAsia="宋体"/>
                <w:b w:val="0"/>
                <w:i w:val="0"/>
                <w:sz w:val="20"/>
              </w:rPr>
              <w:t>商业</w:t>
            </w:r>
          </w:p>
        </w:tc>
        <w:tc>
          <w:tcPr>
            <w:tcW w:type="dxa" w:w="1417"/>
          </w:tcPr>
          <w:p>
            <w:pPr>
              <w:spacing w:after="40" w:before="40"/>
            </w:pPr>
            <w:r/>
            <w:r>
              <w:rPr>
                <w:rFonts w:ascii="Times New Roman" w:hAnsi="Times New Roman" w:eastAsia="宋体"/>
                <w:b w:val="0"/>
                <w:i w:val="0"/>
                <w:sz w:val="20"/>
              </w:rPr>
              <w:t>混合互补问题求解</w:t>
            </w:r>
          </w:p>
        </w:tc>
        <w:tc>
          <w:tcPr>
            <w:tcW w:type="dxa" w:w="1417"/>
          </w:tcPr>
          <w:p>
            <w:pPr>
              <w:spacing w:after="40" w:before="40"/>
            </w:pPr>
            <w:r/>
            <w:r>
              <w:rPr>
                <w:rFonts w:ascii="Times New Roman" w:hAnsi="Times New Roman" w:eastAsia="宋体"/>
                <w:b w:val="0"/>
                <w:i w:val="0"/>
                <w:sz w:val="20"/>
              </w:rPr>
              <w:t>商业</w:t>
            </w:r>
          </w:p>
        </w:tc>
        <w:tc>
          <w:tcPr>
            <w:tcW w:type="dxa" w:w="1417"/>
          </w:tcPr>
          <w:p>
            <w:pPr>
              <w:spacing w:after="40" w:before="40"/>
            </w:pPr>
            <w:r/>
            <w:r>
              <w:rPr>
                <w:rFonts w:ascii="Times New Roman" w:hAnsi="Times New Roman" w:eastAsia="宋体"/>
                <w:b w:val="0"/>
                <w:i w:val="0"/>
                <w:sz w:val="20"/>
              </w:rPr>
              <w:t>MCP问题专用求解器，GAMS内置</w:t>
            </w:r>
          </w:p>
        </w:tc>
      </w:tr>
      <w:tr>
        <w:tc>
          <w:tcPr>
            <w:tcW w:type="dxa" w:w="1417"/>
            <w:shd w:val="clear" w:color="auto" w:fill="F0F4F8"/>
          </w:tcPr>
          <w:p>
            <w:pPr>
              <w:spacing w:after="40" w:before="40"/>
            </w:pPr>
            <w:r/>
            <w:r>
              <w:rPr>
                <w:rFonts w:ascii="Times New Roman" w:hAnsi="Times New Roman" w:eastAsia="宋体"/>
                <w:b w:val="0"/>
                <w:i w:val="0"/>
                <w:sz w:val="20"/>
              </w:rPr>
              <w:t>24</w:t>
            </w:r>
          </w:p>
        </w:tc>
        <w:tc>
          <w:tcPr>
            <w:tcW w:type="dxa" w:w="1417"/>
            <w:shd w:val="clear" w:color="auto" w:fill="F0F4F8"/>
          </w:tcPr>
          <w:p>
            <w:pPr>
              <w:spacing w:after="40" w:before="40"/>
            </w:pPr>
            <w:r/>
            <w:r>
              <w:rPr>
                <w:rFonts w:ascii="Times New Roman" w:hAnsi="Times New Roman" w:eastAsia="宋体"/>
                <w:b w:val="0"/>
                <w:i w:val="0"/>
                <w:sz w:val="20"/>
              </w:rPr>
              <w:t>Compass</w:t>
            </w:r>
          </w:p>
        </w:tc>
        <w:tc>
          <w:tcPr>
            <w:tcW w:type="dxa" w:w="1417"/>
            <w:shd w:val="clear" w:color="auto" w:fill="F0F4F8"/>
          </w:tcPr>
          <w:p>
            <w:pPr>
              <w:spacing w:after="40" w:before="40"/>
            </w:pPr>
            <w:r/>
            <w:r>
              <w:rPr>
                <w:rFonts w:ascii="Times New Roman" w:hAnsi="Times New Roman" w:eastAsia="宋体"/>
                <w:b w:val="0"/>
                <w:i w:val="0"/>
                <w:sz w:val="20"/>
              </w:rPr>
              <w:t>开源</w:t>
            </w:r>
          </w:p>
        </w:tc>
        <w:tc>
          <w:tcPr>
            <w:tcW w:type="dxa" w:w="1417"/>
            <w:shd w:val="clear" w:color="auto" w:fill="F0F4F8"/>
          </w:tcPr>
          <w:p>
            <w:pPr>
              <w:spacing w:after="40" w:before="40"/>
            </w:pPr>
            <w:r/>
            <w:r>
              <w:rPr>
                <w:rFonts w:ascii="Times New Roman" w:hAnsi="Times New Roman" w:eastAsia="宋体"/>
                <w:b w:val="0"/>
                <w:i w:val="0"/>
                <w:sz w:val="20"/>
              </w:rPr>
              <w:t>互补问题MATLAB工具箱</w:t>
            </w:r>
          </w:p>
        </w:tc>
        <w:tc>
          <w:tcPr>
            <w:tcW w:type="dxa" w:w="1417"/>
            <w:shd w:val="clear" w:color="auto" w:fill="F0F4F8"/>
          </w:tcPr>
          <w:p>
            <w:pPr>
              <w:spacing w:after="40" w:before="40"/>
            </w:pPr>
            <w:r/>
            <w:r>
              <w:rPr>
                <w:rFonts w:ascii="Times New Roman" w:hAnsi="Times New Roman" w:eastAsia="宋体"/>
                <w:b w:val="0"/>
                <w:i w:val="0"/>
                <w:sz w:val="20"/>
              </w:rPr>
              <w:t>MIT</w:t>
            </w:r>
          </w:p>
        </w:tc>
        <w:tc>
          <w:tcPr>
            <w:tcW w:type="dxa" w:w="1417"/>
            <w:shd w:val="clear" w:color="auto" w:fill="F0F4F8"/>
          </w:tcPr>
          <w:p>
            <w:pPr>
              <w:spacing w:after="40" w:before="40"/>
            </w:pPr>
            <w:r/>
            <w:r>
              <w:rPr>
                <w:rFonts w:ascii="Times New Roman" w:hAnsi="Times New Roman" w:eastAsia="宋体"/>
                <w:b w:val="0"/>
                <w:i w:val="0"/>
                <w:sz w:val="20"/>
              </w:rPr>
              <w:t>支持LCP/NCP/MCP求解</w:t>
            </w:r>
          </w:p>
        </w:tc>
      </w:tr>
      <w:tr>
        <w:tc>
          <w:tcPr>
            <w:tcW w:type="dxa" w:w="1417"/>
          </w:tcPr>
          <w:p>
            <w:pPr>
              <w:spacing w:after="40" w:before="40"/>
            </w:pPr>
            <w:r/>
            <w:r>
              <w:rPr>
                <w:rFonts w:ascii="Times New Roman" w:hAnsi="Times New Roman" w:eastAsia="宋体"/>
                <w:b w:val="0"/>
                <w:i w:val="0"/>
                <w:sz w:val="20"/>
              </w:rPr>
              <w:t>25</w:t>
            </w:r>
          </w:p>
        </w:tc>
        <w:tc>
          <w:tcPr>
            <w:tcW w:type="dxa" w:w="1417"/>
          </w:tcPr>
          <w:p>
            <w:pPr>
              <w:spacing w:after="40" w:before="40"/>
            </w:pPr>
            <w:r/>
            <w:r>
              <w:rPr>
                <w:rFonts w:ascii="Times New Roman" w:hAnsi="Times New Roman" w:eastAsia="宋体"/>
                <w:b w:val="0"/>
                <w:i w:val="0"/>
                <w:sz w:val="20"/>
              </w:rPr>
              <w:t>NLsolve.jl</w:t>
            </w:r>
          </w:p>
        </w:tc>
        <w:tc>
          <w:tcPr>
            <w:tcW w:type="dxa" w:w="1417"/>
          </w:tcPr>
          <w:p>
            <w:pPr>
              <w:spacing w:after="40" w:before="40"/>
            </w:pPr>
            <w:r/>
            <w:r>
              <w:rPr>
                <w:rFonts w:ascii="Times New Roman" w:hAnsi="Times New Roman" w:eastAsia="宋体"/>
                <w:b w:val="0"/>
                <w:i w:val="0"/>
                <w:sz w:val="20"/>
              </w:rPr>
              <w:t>开源</w:t>
            </w:r>
          </w:p>
        </w:tc>
        <w:tc>
          <w:tcPr>
            <w:tcW w:type="dxa" w:w="1417"/>
          </w:tcPr>
          <w:p>
            <w:pPr>
              <w:spacing w:after="40" w:before="40"/>
            </w:pPr>
            <w:r/>
            <w:r>
              <w:rPr>
                <w:rFonts w:ascii="Times New Roman" w:hAnsi="Times New Roman" w:eastAsia="宋体"/>
                <w:b w:val="0"/>
                <w:i w:val="0"/>
                <w:sz w:val="20"/>
              </w:rPr>
              <w:t>非线性方程求解</w:t>
            </w:r>
          </w:p>
        </w:tc>
        <w:tc>
          <w:tcPr>
            <w:tcW w:type="dxa" w:w="1417"/>
          </w:tcPr>
          <w:p>
            <w:pPr>
              <w:spacing w:after="40" w:before="40"/>
            </w:pPr>
            <w:r/>
            <w:r>
              <w:rPr>
                <w:rFonts w:ascii="Times New Roman" w:hAnsi="Times New Roman" w:eastAsia="宋体"/>
                <w:b w:val="0"/>
                <w:i w:val="0"/>
                <w:sz w:val="20"/>
              </w:rPr>
              <w:t>MIT</w:t>
            </w:r>
          </w:p>
        </w:tc>
        <w:tc>
          <w:tcPr>
            <w:tcW w:type="dxa" w:w="1417"/>
          </w:tcPr>
          <w:p>
            <w:pPr>
              <w:spacing w:after="40" w:before="40"/>
            </w:pPr>
            <w:r/>
            <w:r>
              <w:rPr>
                <w:rFonts w:ascii="Times New Roman" w:hAnsi="Times New Roman" w:eastAsia="宋体"/>
                <w:b w:val="0"/>
                <w:i w:val="0"/>
                <w:sz w:val="20"/>
              </w:rPr>
              <w:t>Julia工具，支持不动点迭代</w:t>
            </w:r>
          </w:p>
        </w:tc>
      </w:tr>
    </w:tbl>
    <w:p>
      <w:pPr>
        <w:pStyle w:val="Heading2"/>
        <w:spacing w:before="240" w:after="80"/>
      </w:pPr>
      <w:r>
        <w:rPr>
          <w:rFonts w:ascii="Times New Roman" w:hAnsi="Times New Roman" w:eastAsia="黑体"/>
          <w:b/>
          <w:i w:val="0"/>
          <w:sz w:val="28"/>
        </w:rPr>
        <w:t>B.5 区块链平台</w:t>
      </w:r>
    </w:p>
    <w:tbl>
      <w:tblPr>
        <w:tblStyle w:val="LightGrid-Accent1"/>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pPr>
              <w:spacing w:after="40" w:before="40"/>
            </w:pPr>
            <w:r>
              <w:rPr>
                <w:b/>
              </w:rPr>
            </w:r>
            <w:r>
              <w:rPr>
                <w:rFonts w:ascii="Times New Roman" w:hAnsi="Times New Roman" w:eastAsia="黑体"/>
                <w:b/>
                <w:i w:val="0"/>
                <w:sz w:val="20"/>
              </w:rPr>
              <w:t>序号</w:t>
            </w:r>
          </w:p>
        </w:tc>
        <w:tc>
          <w:tcPr>
            <w:tcW w:type="dxa" w:w="1417"/>
          </w:tcPr>
          <w:p>
            <w:pPr>
              <w:spacing w:after="40" w:before="40"/>
            </w:pPr>
            <w:r>
              <w:rPr>
                <w:b/>
              </w:rPr>
            </w:r>
            <w:r>
              <w:rPr>
                <w:rFonts w:ascii="Times New Roman" w:hAnsi="Times New Roman" w:eastAsia="黑体"/>
                <w:b/>
                <w:i w:val="0"/>
                <w:sz w:val="20"/>
              </w:rPr>
              <w:t>平台名称</w:t>
            </w:r>
          </w:p>
        </w:tc>
        <w:tc>
          <w:tcPr>
            <w:tcW w:type="dxa" w:w="1417"/>
          </w:tcPr>
          <w:p>
            <w:pPr>
              <w:spacing w:after="40" w:before="40"/>
            </w:pPr>
            <w:r>
              <w:rPr>
                <w:b/>
              </w:rPr>
            </w:r>
            <w:r>
              <w:rPr>
                <w:rFonts w:ascii="Times New Roman" w:hAnsi="Times New Roman" w:eastAsia="黑体"/>
                <w:b/>
                <w:i w:val="0"/>
                <w:sz w:val="20"/>
              </w:rPr>
              <w:t>类型</w:t>
            </w:r>
          </w:p>
        </w:tc>
        <w:tc>
          <w:tcPr>
            <w:tcW w:type="dxa" w:w="1417"/>
          </w:tcPr>
          <w:p>
            <w:pPr>
              <w:spacing w:after="40" w:before="40"/>
            </w:pPr>
            <w:r>
              <w:rPr>
                <w:b/>
              </w:rPr>
            </w:r>
            <w:r>
              <w:rPr>
                <w:rFonts w:ascii="Times New Roman" w:hAnsi="Times New Roman" w:eastAsia="黑体"/>
                <w:b/>
                <w:i w:val="0"/>
                <w:sz w:val="20"/>
              </w:rPr>
              <w:t>功能描述</w:t>
            </w:r>
          </w:p>
        </w:tc>
        <w:tc>
          <w:tcPr>
            <w:tcW w:type="dxa" w:w="1417"/>
          </w:tcPr>
          <w:p>
            <w:pPr>
              <w:spacing w:after="40" w:before="40"/>
            </w:pPr>
            <w:r>
              <w:rPr>
                <w:b/>
              </w:rPr>
            </w:r>
            <w:r>
              <w:rPr>
                <w:rFonts w:ascii="Times New Roman" w:hAnsi="Times New Roman" w:eastAsia="黑体"/>
                <w:b/>
                <w:i w:val="0"/>
                <w:sz w:val="20"/>
              </w:rPr>
              <w:t>许可证</w:t>
            </w:r>
          </w:p>
        </w:tc>
        <w:tc>
          <w:tcPr>
            <w:tcW w:type="dxa" w:w="1417"/>
          </w:tcPr>
          <w:p>
            <w:pPr>
              <w:spacing w:after="40" w:before="40"/>
            </w:pPr>
            <w:r>
              <w:rPr>
                <w:b/>
              </w:rPr>
            </w:r>
            <w:r>
              <w:rPr>
                <w:rFonts w:ascii="Times New Roman" w:hAnsi="Times New Roman" w:eastAsia="黑体"/>
                <w:b/>
                <w:i w:val="0"/>
                <w:sz w:val="20"/>
              </w:rPr>
              <w:t>特点</w:t>
            </w:r>
          </w:p>
        </w:tc>
      </w:tr>
      <w:tr>
        <w:tc>
          <w:tcPr>
            <w:tcW w:type="dxa" w:w="1417"/>
          </w:tcPr>
          <w:p>
            <w:pPr>
              <w:spacing w:after="40" w:before="40"/>
            </w:pPr>
            <w:r/>
            <w:r>
              <w:rPr>
                <w:rFonts w:ascii="Times New Roman" w:hAnsi="Times New Roman" w:eastAsia="宋体"/>
                <w:b w:val="0"/>
                <w:i w:val="0"/>
                <w:sz w:val="20"/>
              </w:rPr>
              <w:t>26</w:t>
            </w:r>
          </w:p>
        </w:tc>
        <w:tc>
          <w:tcPr>
            <w:tcW w:type="dxa" w:w="1417"/>
          </w:tcPr>
          <w:p>
            <w:pPr>
              <w:spacing w:after="40" w:before="40"/>
            </w:pPr>
            <w:r/>
            <w:r>
              <w:rPr>
                <w:rFonts w:ascii="Times New Roman" w:hAnsi="Times New Roman" w:eastAsia="宋体"/>
                <w:b w:val="0"/>
                <w:i w:val="0"/>
                <w:sz w:val="20"/>
              </w:rPr>
              <w:t>Ethereum</w:t>
            </w:r>
          </w:p>
        </w:tc>
        <w:tc>
          <w:tcPr>
            <w:tcW w:type="dxa" w:w="1417"/>
          </w:tcPr>
          <w:p>
            <w:pPr>
              <w:spacing w:after="40" w:before="40"/>
            </w:pPr>
            <w:r/>
            <w:r>
              <w:rPr>
                <w:rFonts w:ascii="Times New Roman" w:hAnsi="Times New Roman" w:eastAsia="宋体"/>
                <w:b w:val="0"/>
                <w:i w:val="0"/>
                <w:sz w:val="20"/>
              </w:rPr>
              <w:t>开源</w:t>
            </w:r>
          </w:p>
        </w:tc>
        <w:tc>
          <w:tcPr>
            <w:tcW w:type="dxa" w:w="1417"/>
          </w:tcPr>
          <w:p>
            <w:pPr>
              <w:spacing w:after="40" w:before="40"/>
            </w:pPr>
            <w:r/>
            <w:r>
              <w:rPr>
                <w:rFonts w:ascii="Times New Roman" w:hAnsi="Times New Roman" w:eastAsia="宋体"/>
                <w:b w:val="0"/>
                <w:i w:val="0"/>
                <w:sz w:val="20"/>
              </w:rPr>
              <w:t>智能合约平台</w:t>
            </w:r>
          </w:p>
        </w:tc>
        <w:tc>
          <w:tcPr>
            <w:tcW w:type="dxa" w:w="1417"/>
          </w:tcPr>
          <w:p>
            <w:pPr>
              <w:spacing w:after="40" w:before="40"/>
            </w:pPr>
            <w:r/>
            <w:r>
              <w:rPr>
                <w:rFonts w:ascii="Times New Roman" w:hAnsi="Times New Roman" w:eastAsia="宋体"/>
                <w:b w:val="0"/>
                <w:i w:val="0"/>
                <w:sz w:val="20"/>
              </w:rPr>
              <w:t>开源</w:t>
            </w:r>
          </w:p>
        </w:tc>
        <w:tc>
          <w:tcPr>
            <w:tcW w:type="dxa" w:w="1417"/>
          </w:tcPr>
          <w:p>
            <w:pPr>
              <w:spacing w:after="40" w:before="40"/>
            </w:pPr>
            <w:r/>
            <w:r>
              <w:rPr>
                <w:rFonts w:ascii="Times New Roman" w:hAnsi="Times New Roman" w:eastAsia="宋体"/>
                <w:b w:val="0"/>
                <w:i w:val="0"/>
                <w:sz w:val="20"/>
              </w:rPr>
              <w:t>最成熟的智能合约平台，支持Solidity</w:t>
            </w:r>
          </w:p>
        </w:tc>
      </w:tr>
      <w:tr>
        <w:tc>
          <w:tcPr>
            <w:tcW w:type="dxa" w:w="1417"/>
            <w:shd w:val="clear" w:color="auto" w:fill="F0F4F8"/>
          </w:tcPr>
          <w:p>
            <w:pPr>
              <w:spacing w:after="40" w:before="40"/>
            </w:pPr>
            <w:r/>
            <w:r>
              <w:rPr>
                <w:rFonts w:ascii="Times New Roman" w:hAnsi="Times New Roman" w:eastAsia="宋体"/>
                <w:b w:val="0"/>
                <w:i w:val="0"/>
                <w:sz w:val="20"/>
              </w:rPr>
              <w:t>27</w:t>
            </w:r>
          </w:p>
        </w:tc>
        <w:tc>
          <w:tcPr>
            <w:tcW w:type="dxa" w:w="1417"/>
            <w:shd w:val="clear" w:color="auto" w:fill="F0F4F8"/>
          </w:tcPr>
          <w:p>
            <w:pPr>
              <w:spacing w:after="40" w:before="40"/>
            </w:pPr>
            <w:r/>
            <w:r>
              <w:rPr>
                <w:rFonts w:ascii="Times New Roman" w:hAnsi="Times New Roman" w:eastAsia="宋体"/>
                <w:b w:val="0"/>
                <w:i w:val="0"/>
                <w:sz w:val="20"/>
              </w:rPr>
              <w:t>Hyperledger Fabric</w:t>
            </w:r>
          </w:p>
        </w:tc>
        <w:tc>
          <w:tcPr>
            <w:tcW w:type="dxa" w:w="1417"/>
            <w:shd w:val="clear" w:color="auto" w:fill="F0F4F8"/>
          </w:tcPr>
          <w:p>
            <w:pPr>
              <w:spacing w:after="40" w:before="40"/>
            </w:pPr>
            <w:r/>
            <w:r>
              <w:rPr>
                <w:rFonts w:ascii="Times New Roman" w:hAnsi="Times New Roman" w:eastAsia="宋体"/>
                <w:b w:val="0"/>
                <w:i w:val="0"/>
                <w:sz w:val="20"/>
              </w:rPr>
              <w:t>开源</w:t>
            </w:r>
          </w:p>
        </w:tc>
        <w:tc>
          <w:tcPr>
            <w:tcW w:type="dxa" w:w="1417"/>
            <w:shd w:val="clear" w:color="auto" w:fill="F0F4F8"/>
          </w:tcPr>
          <w:p>
            <w:pPr>
              <w:spacing w:after="40" w:before="40"/>
            </w:pPr>
            <w:r/>
            <w:r>
              <w:rPr>
                <w:rFonts w:ascii="Times New Roman" w:hAnsi="Times New Roman" w:eastAsia="宋体"/>
                <w:b w:val="0"/>
                <w:i w:val="0"/>
                <w:sz w:val="20"/>
              </w:rPr>
              <w:t>企业级区块链</w:t>
            </w:r>
          </w:p>
        </w:tc>
        <w:tc>
          <w:tcPr>
            <w:tcW w:type="dxa" w:w="1417"/>
            <w:shd w:val="clear" w:color="auto" w:fill="F0F4F8"/>
          </w:tcPr>
          <w:p>
            <w:pPr>
              <w:spacing w:after="40" w:before="40"/>
            </w:pPr>
            <w:r/>
            <w:r>
              <w:rPr>
                <w:rFonts w:ascii="Times New Roman" w:hAnsi="Times New Roman" w:eastAsia="宋体"/>
                <w:b w:val="0"/>
                <w:i w:val="0"/>
                <w:sz w:val="20"/>
              </w:rPr>
              <w:t>Apache 2.0</w:t>
            </w:r>
          </w:p>
        </w:tc>
        <w:tc>
          <w:tcPr>
            <w:tcW w:type="dxa" w:w="1417"/>
            <w:shd w:val="clear" w:color="auto" w:fill="F0F4F8"/>
          </w:tcPr>
          <w:p>
            <w:pPr>
              <w:spacing w:after="40" w:before="40"/>
            </w:pPr>
            <w:r/>
            <w:r>
              <w:rPr>
                <w:rFonts w:ascii="Times New Roman" w:hAnsi="Times New Roman" w:eastAsia="宋体"/>
                <w:b w:val="0"/>
                <w:i w:val="0"/>
                <w:sz w:val="20"/>
              </w:rPr>
              <w:t>联盟链架构，适合电力交易场景</w:t>
            </w:r>
          </w:p>
        </w:tc>
      </w:tr>
      <w:tr>
        <w:tc>
          <w:tcPr>
            <w:tcW w:type="dxa" w:w="1417"/>
          </w:tcPr>
          <w:p>
            <w:pPr>
              <w:spacing w:after="40" w:before="40"/>
            </w:pPr>
            <w:r/>
            <w:r>
              <w:rPr>
                <w:rFonts w:ascii="Times New Roman" w:hAnsi="Times New Roman" w:eastAsia="宋体"/>
                <w:b w:val="0"/>
                <w:i w:val="0"/>
                <w:sz w:val="20"/>
              </w:rPr>
              <w:t>28</w:t>
            </w:r>
          </w:p>
        </w:tc>
        <w:tc>
          <w:tcPr>
            <w:tcW w:type="dxa" w:w="1417"/>
          </w:tcPr>
          <w:p>
            <w:pPr>
              <w:spacing w:after="40" w:before="40"/>
            </w:pPr>
            <w:r/>
            <w:r>
              <w:rPr>
                <w:rFonts w:ascii="Times New Roman" w:hAnsi="Times New Roman" w:eastAsia="宋体"/>
                <w:b w:val="0"/>
                <w:i w:val="0"/>
                <w:sz w:val="20"/>
              </w:rPr>
              <w:t>Quorum</w:t>
            </w:r>
          </w:p>
        </w:tc>
        <w:tc>
          <w:tcPr>
            <w:tcW w:type="dxa" w:w="1417"/>
          </w:tcPr>
          <w:p>
            <w:pPr>
              <w:spacing w:after="40" w:before="40"/>
            </w:pPr>
            <w:r/>
            <w:r>
              <w:rPr>
                <w:rFonts w:ascii="Times New Roman" w:hAnsi="Times New Roman" w:eastAsia="宋体"/>
                <w:b w:val="0"/>
                <w:i w:val="0"/>
                <w:sz w:val="20"/>
              </w:rPr>
              <w:t>开源</w:t>
            </w:r>
          </w:p>
        </w:tc>
        <w:tc>
          <w:tcPr>
            <w:tcW w:type="dxa" w:w="1417"/>
          </w:tcPr>
          <w:p>
            <w:pPr>
              <w:spacing w:after="40" w:before="40"/>
            </w:pPr>
            <w:r/>
            <w:r>
              <w:rPr>
                <w:rFonts w:ascii="Times New Roman" w:hAnsi="Times New Roman" w:eastAsia="宋体"/>
                <w:b w:val="0"/>
                <w:i w:val="0"/>
                <w:sz w:val="20"/>
              </w:rPr>
              <w:t>企业级以太坊</w:t>
            </w:r>
          </w:p>
        </w:tc>
        <w:tc>
          <w:tcPr>
            <w:tcW w:type="dxa" w:w="1417"/>
          </w:tcPr>
          <w:p>
            <w:pPr>
              <w:spacing w:after="40" w:before="40"/>
            </w:pPr>
            <w:r/>
            <w:r>
              <w:rPr>
                <w:rFonts w:ascii="Times New Roman" w:hAnsi="Times New Roman" w:eastAsia="宋体"/>
                <w:b w:val="0"/>
                <w:i w:val="0"/>
                <w:sz w:val="20"/>
              </w:rPr>
              <w:t>LGPL</w:t>
            </w:r>
          </w:p>
        </w:tc>
        <w:tc>
          <w:tcPr>
            <w:tcW w:type="dxa" w:w="1417"/>
          </w:tcPr>
          <w:p>
            <w:pPr>
              <w:spacing w:after="40" w:before="40"/>
            </w:pPr>
            <w:r/>
            <w:r>
              <w:rPr>
                <w:rFonts w:ascii="Times New Roman" w:hAnsi="Times New Roman" w:eastAsia="宋体"/>
                <w:b w:val="0"/>
                <w:i w:val="0"/>
                <w:sz w:val="20"/>
              </w:rPr>
              <w:t>摩根大通开发，支持隐私交易</w:t>
            </w:r>
          </w:p>
        </w:tc>
      </w:tr>
    </w:tbl>
    <w:p>
      <w:pPr>
        <w:pStyle w:val="Heading2"/>
        <w:spacing w:before="240" w:after="80"/>
      </w:pPr>
      <w:r>
        <w:rPr>
          <w:rFonts w:ascii="Times New Roman" w:hAnsi="Times New Roman" w:eastAsia="黑体"/>
          <w:b/>
          <w:i w:val="0"/>
          <w:sz w:val="28"/>
        </w:rPr>
        <w:t>B.6 数据资源</w:t>
      </w:r>
    </w:p>
    <w:tbl>
      <w:tblPr>
        <w:tblStyle w:val="LightGrid-Accent1"/>
        <w:tblW w:type="auto" w:w="0"/>
        <w:jc w:val="center"/>
        <w:tblLook w:firstColumn="1" w:firstRow="1" w:lastColumn="0" w:lastRow="0" w:noHBand="0" w:noVBand="1" w:val="04A0"/>
      </w:tblPr>
      <w:tblGrid>
        <w:gridCol w:w="2126"/>
        <w:gridCol w:w="2126"/>
        <w:gridCol w:w="2126"/>
        <w:gridCol w:w="2126"/>
      </w:tblGrid>
      <w:tr>
        <w:tc>
          <w:tcPr>
            <w:tcW w:type="dxa" w:w="2126"/>
          </w:tcPr>
          <w:p>
            <w:pPr>
              <w:spacing w:after="40" w:before="40"/>
            </w:pPr>
            <w:r>
              <w:rPr>
                <w:b/>
              </w:rPr>
            </w:r>
            <w:r>
              <w:rPr>
                <w:rFonts w:ascii="Times New Roman" w:hAnsi="Times New Roman" w:eastAsia="黑体"/>
                <w:b/>
                <w:i w:val="0"/>
                <w:sz w:val="20"/>
              </w:rPr>
              <w:t>序号</w:t>
            </w:r>
          </w:p>
        </w:tc>
        <w:tc>
          <w:tcPr>
            <w:tcW w:type="dxa" w:w="2126"/>
          </w:tcPr>
          <w:p>
            <w:pPr>
              <w:spacing w:after="40" w:before="40"/>
            </w:pPr>
            <w:r>
              <w:rPr>
                <w:b/>
              </w:rPr>
            </w:r>
            <w:r>
              <w:rPr>
                <w:rFonts w:ascii="Times New Roman" w:hAnsi="Times New Roman" w:eastAsia="黑体"/>
                <w:b/>
                <w:i w:val="0"/>
                <w:sz w:val="20"/>
              </w:rPr>
              <w:t>数据集</w:t>
            </w:r>
          </w:p>
        </w:tc>
        <w:tc>
          <w:tcPr>
            <w:tcW w:type="dxa" w:w="2126"/>
          </w:tcPr>
          <w:p>
            <w:pPr>
              <w:spacing w:after="40" w:before="40"/>
            </w:pPr>
            <w:r>
              <w:rPr>
                <w:b/>
              </w:rPr>
            </w:r>
            <w:r>
              <w:rPr>
                <w:rFonts w:ascii="Times New Roman" w:hAnsi="Times New Roman" w:eastAsia="黑体"/>
                <w:b/>
                <w:i w:val="0"/>
                <w:sz w:val="20"/>
              </w:rPr>
              <w:t>来源</w:t>
            </w:r>
          </w:p>
        </w:tc>
        <w:tc>
          <w:tcPr>
            <w:tcW w:type="dxa" w:w="2126"/>
          </w:tcPr>
          <w:p>
            <w:pPr>
              <w:spacing w:after="40" w:before="40"/>
            </w:pPr>
            <w:r>
              <w:rPr>
                <w:b/>
              </w:rPr>
            </w:r>
            <w:r>
              <w:rPr>
                <w:rFonts w:ascii="Times New Roman" w:hAnsi="Times New Roman" w:eastAsia="黑体"/>
                <w:b/>
                <w:i w:val="0"/>
                <w:sz w:val="20"/>
              </w:rPr>
              <w:t>描述</w:t>
            </w:r>
          </w:p>
        </w:tc>
      </w:tr>
      <w:tr>
        <w:tc>
          <w:tcPr>
            <w:tcW w:type="dxa" w:w="2126"/>
          </w:tcPr>
          <w:p>
            <w:pPr>
              <w:spacing w:after="40" w:before="40"/>
            </w:pPr>
            <w:r/>
            <w:r>
              <w:rPr>
                <w:rFonts w:ascii="Times New Roman" w:hAnsi="Times New Roman" w:eastAsia="宋体"/>
                <w:b w:val="0"/>
                <w:i w:val="0"/>
                <w:sz w:val="20"/>
              </w:rPr>
              <w:t>29</w:t>
            </w:r>
          </w:p>
        </w:tc>
        <w:tc>
          <w:tcPr>
            <w:tcW w:type="dxa" w:w="2126"/>
          </w:tcPr>
          <w:p>
            <w:pPr>
              <w:spacing w:after="40" w:before="40"/>
            </w:pPr>
            <w:r/>
            <w:r>
              <w:rPr>
                <w:rFonts w:ascii="Times New Roman" w:hAnsi="Times New Roman" w:eastAsia="宋体"/>
                <w:b w:val="0"/>
                <w:i w:val="0"/>
                <w:sz w:val="20"/>
              </w:rPr>
              <w:t>Pecan Street</w:t>
            </w:r>
          </w:p>
        </w:tc>
        <w:tc>
          <w:tcPr>
            <w:tcW w:type="dxa" w:w="2126"/>
          </w:tcPr>
          <w:p>
            <w:pPr>
              <w:spacing w:after="40" w:before="40"/>
            </w:pPr>
            <w:r/>
            <w:r>
              <w:rPr>
                <w:rFonts w:ascii="Times New Roman" w:hAnsi="Times New Roman" w:eastAsia="宋体"/>
                <w:b w:val="0"/>
                <w:i w:val="0"/>
                <w:sz w:val="20"/>
              </w:rPr>
              <w:t>美国</w:t>
            </w:r>
          </w:p>
        </w:tc>
        <w:tc>
          <w:tcPr>
            <w:tcW w:type="dxa" w:w="2126"/>
          </w:tcPr>
          <w:p>
            <w:pPr>
              <w:spacing w:after="40" w:before="40"/>
            </w:pPr>
            <w:r/>
            <w:r>
              <w:rPr>
                <w:rFonts w:ascii="Times New Roman" w:hAnsi="Times New Roman" w:eastAsia="宋体"/>
                <w:b w:val="0"/>
                <w:i w:val="0"/>
                <w:sz w:val="20"/>
              </w:rPr>
              <w:t>居民用电细粒度数据（1秒级），含太阳能出力</w:t>
            </w:r>
          </w:p>
        </w:tc>
      </w:tr>
      <w:tr>
        <w:tc>
          <w:tcPr>
            <w:tcW w:type="dxa" w:w="2126"/>
            <w:shd w:val="clear" w:color="auto" w:fill="F0F4F8"/>
          </w:tcPr>
          <w:p>
            <w:pPr>
              <w:spacing w:after="40" w:before="40"/>
            </w:pPr>
            <w:r/>
            <w:r>
              <w:rPr>
                <w:rFonts w:ascii="Times New Roman" w:hAnsi="Times New Roman" w:eastAsia="宋体"/>
                <w:b w:val="0"/>
                <w:i w:val="0"/>
                <w:sz w:val="20"/>
              </w:rPr>
              <w:t>30</w:t>
            </w:r>
          </w:p>
        </w:tc>
        <w:tc>
          <w:tcPr>
            <w:tcW w:type="dxa" w:w="2126"/>
            <w:shd w:val="clear" w:color="auto" w:fill="F0F4F8"/>
          </w:tcPr>
          <w:p>
            <w:pPr>
              <w:spacing w:after="40" w:before="40"/>
            </w:pPr>
            <w:r/>
            <w:r>
              <w:rPr>
                <w:rFonts w:ascii="Times New Roman" w:hAnsi="Times New Roman" w:eastAsia="宋体"/>
                <w:b w:val="0"/>
                <w:i w:val="0"/>
                <w:sz w:val="20"/>
              </w:rPr>
              <w:t>Irish CER</w:t>
            </w:r>
          </w:p>
        </w:tc>
        <w:tc>
          <w:tcPr>
            <w:tcW w:type="dxa" w:w="2126"/>
            <w:shd w:val="clear" w:color="auto" w:fill="F0F4F8"/>
          </w:tcPr>
          <w:p>
            <w:pPr>
              <w:spacing w:after="40" w:before="40"/>
            </w:pPr>
            <w:r/>
            <w:r>
              <w:rPr>
                <w:rFonts w:ascii="Times New Roman" w:hAnsi="Times New Roman" w:eastAsia="宋体"/>
                <w:b w:val="0"/>
                <w:i w:val="0"/>
                <w:sz w:val="20"/>
              </w:rPr>
              <w:t>爱尔兰</w:t>
            </w:r>
          </w:p>
        </w:tc>
        <w:tc>
          <w:tcPr>
            <w:tcW w:type="dxa" w:w="2126"/>
            <w:shd w:val="clear" w:color="auto" w:fill="F0F4F8"/>
          </w:tcPr>
          <w:p>
            <w:pPr>
              <w:spacing w:after="40" w:before="40"/>
            </w:pPr>
            <w:r/>
            <w:r>
              <w:rPr>
                <w:rFonts w:ascii="Times New Roman" w:hAnsi="Times New Roman" w:eastAsia="宋体"/>
                <w:b w:val="0"/>
                <w:i w:val="0"/>
                <w:sz w:val="20"/>
              </w:rPr>
              <w:t>5000+用户智能电表数据，含试验组和对照组</w:t>
            </w:r>
          </w:p>
        </w:tc>
      </w:tr>
      <w:tr>
        <w:tc>
          <w:tcPr>
            <w:tcW w:type="dxa" w:w="2126"/>
          </w:tcPr>
          <w:p>
            <w:pPr>
              <w:spacing w:after="40" w:before="40"/>
            </w:pPr>
            <w:r/>
            <w:r>
              <w:rPr>
                <w:rFonts w:ascii="Times New Roman" w:hAnsi="Times New Roman" w:eastAsia="宋体"/>
                <w:b w:val="0"/>
                <w:i w:val="0"/>
                <w:sz w:val="20"/>
              </w:rPr>
              <w:t>31</w:t>
            </w:r>
          </w:p>
        </w:tc>
        <w:tc>
          <w:tcPr>
            <w:tcW w:type="dxa" w:w="2126"/>
          </w:tcPr>
          <w:p>
            <w:pPr>
              <w:spacing w:after="40" w:before="40"/>
            </w:pPr>
            <w:r/>
            <w:r>
              <w:rPr>
                <w:rFonts w:ascii="Times New Roman" w:hAnsi="Times New Roman" w:eastAsia="宋体"/>
                <w:b w:val="0"/>
                <w:i w:val="0"/>
                <w:sz w:val="20"/>
              </w:rPr>
              <w:t>SGSC</w:t>
            </w:r>
          </w:p>
        </w:tc>
        <w:tc>
          <w:tcPr>
            <w:tcW w:type="dxa" w:w="2126"/>
          </w:tcPr>
          <w:p>
            <w:pPr>
              <w:spacing w:after="40" w:before="40"/>
            </w:pPr>
            <w:r/>
            <w:r>
              <w:rPr>
                <w:rFonts w:ascii="Times New Roman" w:hAnsi="Times New Roman" w:eastAsia="宋体"/>
                <w:b w:val="0"/>
                <w:i w:val="0"/>
                <w:sz w:val="20"/>
              </w:rPr>
              <w:t>澳大利亚</w:t>
            </w:r>
          </w:p>
        </w:tc>
        <w:tc>
          <w:tcPr>
            <w:tcW w:type="dxa" w:w="2126"/>
          </w:tcPr>
          <w:p>
            <w:pPr>
              <w:spacing w:after="40" w:before="40"/>
            </w:pPr>
            <w:r/>
            <w:r>
              <w:rPr>
                <w:rFonts w:ascii="Times New Roman" w:hAnsi="Times New Roman" w:eastAsia="宋体"/>
                <w:b w:val="0"/>
                <w:i w:val="0"/>
                <w:sz w:val="20"/>
              </w:rPr>
              <w:t>悉尼电网智能电表数据，含光伏和储能</w:t>
            </w:r>
          </w:p>
        </w:tc>
      </w:tr>
      <w:tr>
        <w:tc>
          <w:tcPr>
            <w:tcW w:type="dxa" w:w="2126"/>
            <w:shd w:val="clear" w:color="auto" w:fill="F0F4F8"/>
          </w:tcPr>
          <w:p>
            <w:pPr>
              <w:spacing w:after="40" w:before="40"/>
            </w:pPr>
            <w:r/>
            <w:r>
              <w:rPr>
                <w:rFonts w:ascii="Times New Roman" w:hAnsi="Times New Roman" w:eastAsia="宋体"/>
                <w:b w:val="0"/>
                <w:i w:val="0"/>
                <w:sz w:val="20"/>
              </w:rPr>
              <w:t>32</w:t>
            </w:r>
          </w:p>
        </w:tc>
        <w:tc>
          <w:tcPr>
            <w:tcW w:type="dxa" w:w="2126"/>
            <w:shd w:val="clear" w:color="auto" w:fill="F0F4F8"/>
          </w:tcPr>
          <w:p>
            <w:pPr>
              <w:spacing w:after="40" w:before="40"/>
            </w:pPr>
            <w:r/>
            <w:r>
              <w:rPr>
                <w:rFonts w:ascii="Times New Roman" w:hAnsi="Times New Roman" w:eastAsia="宋体"/>
                <w:b w:val="0"/>
                <w:i w:val="0"/>
                <w:sz w:val="20"/>
              </w:rPr>
              <w:t>ERCOT</w:t>
            </w:r>
          </w:p>
        </w:tc>
        <w:tc>
          <w:tcPr>
            <w:tcW w:type="dxa" w:w="2126"/>
            <w:shd w:val="clear" w:color="auto" w:fill="F0F4F8"/>
          </w:tcPr>
          <w:p>
            <w:pPr>
              <w:spacing w:after="40" w:before="40"/>
            </w:pPr>
            <w:r/>
            <w:r>
              <w:rPr>
                <w:rFonts w:ascii="Times New Roman" w:hAnsi="Times New Roman" w:eastAsia="宋体"/>
                <w:b w:val="0"/>
                <w:i w:val="0"/>
                <w:sz w:val="20"/>
              </w:rPr>
              <w:t>美国德州</w:t>
            </w:r>
          </w:p>
        </w:tc>
        <w:tc>
          <w:tcPr>
            <w:tcW w:type="dxa" w:w="2126"/>
            <w:shd w:val="clear" w:color="auto" w:fill="F0F4F8"/>
          </w:tcPr>
          <w:p>
            <w:pPr>
              <w:spacing w:after="40" w:before="40"/>
            </w:pPr>
            <w:r/>
            <w:r>
              <w:rPr>
                <w:rFonts w:ascii="Times New Roman" w:hAnsi="Times New Roman" w:eastAsia="宋体"/>
                <w:b w:val="0"/>
                <w:i w:val="0"/>
                <w:sz w:val="20"/>
              </w:rPr>
              <w:t>实时电价和负荷数据，15分钟级</w:t>
            </w:r>
          </w:p>
        </w:tc>
      </w:tr>
      <w:tr>
        <w:tc>
          <w:tcPr>
            <w:tcW w:type="dxa" w:w="2126"/>
          </w:tcPr>
          <w:p>
            <w:pPr>
              <w:spacing w:after="40" w:before="40"/>
            </w:pPr>
            <w:r/>
            <w:r>
              <w:rPr>
                <w:rFonts w:ascii="Times New Roman" w:hAnsi="Times New Roman" w:eastAsia="宋体"/>
                <w:b w:val="0"/>
                <w:i w:val="0"/>
                <w:sz w:val="20"/>
              </w:rPr>
              <w:t>33</w:t>
            </w:r>
          </w:p>
        </w:tc>
        <w:tc>
          <w:tcPr>
            <w:tcW w:type="dxa" w:w="2126"/>
          </w:tcPr>
          <w:p>
            <w:pPr>
              <w:spacing w:after="40" w:before="40"/>
            </w:pPr>
            <w:r/>
            <w:r>
              <w:rPr>
                <w:rFonts w:ascii="Times New Roman" w:hAnsi="Times New Roman" w:eastAsia="宋体"/>
                <w:b w:val="0"/>
                <w:i w:val="0"/>
                <w:sz w:val="20"/>
              </w:rPr>
              <w:t>ENTSO-E</w:t>
            </w:r>
          </w:p>
        </w:tc>
        <w:tc>
          <w:tcPr>
            <w:tcW w:type="dxa" w:w="2126"/>
          </w:tcPr>
          <w:p>
            <w:pPr>
              <w:spacing w:after="40" w:before="40"/>
            </w:pPr>
            <w:r/>
            <w:r>
              <w:rPr>
                <w:rFonts w:ascii="Times New Roman" w:hAnsi="Times New Roman" w:eastAsia="宋体"/>
                <w:b w:val="0"/>
                <w:i w:val="0"/>
                <w:sz w:val="20"/>
              </w:rPr>
              <w:t>欧洲</w:t>
            </w:r>
          </w:p>
        </w:tc>
        <w:tc>
          <w:tcPr>
            <w:tcW w:type="dxa" w:w="2126"/>
          </w:tcPr>
          <w:p>
            <w:pPr>
              <w:spacing w:after="40" w:before="40"/>
            </w:pPr>
            <w:r/>
            <w:r>
              <w:rPr>
                <w:rFonts w:ascii="Times New Roman" w:hAnsi="Times New Roman" w:eastAsia="宋体"/>
                <w:b w:val="0"/>
                <w:i w:val="0"/>
                <w:sz w:val="20"/>
              </w:rPr>
              <w:t>欧洲电力市场数据，含各国实时电价</w:t>
            </w:r>
          </w:p>
        </w:tc>
      </w:tr>
    </w:tbl>
    <w:p>
      <w:pPr>
        <w:pStyle w:val="Heading2"/>
        <w:spacing w:before="240" w:after="80"/>
      </w:pPr>
      <w:r>
        <w:rPr>
          <w:rFonts w:ascii="Times New Roman" w:hAnsi="Times New Roman" w:eastAsia="黑体"/>
          <w:b/>
          <w:i w:val="0"/>
          <w:sz w:val="28"/>
        </w:rPr>
        <w:t>B.7 在线学习资源</w:t>
      </w:r>
    </w:p>
    <w:tbl>
      <w:tblPr>
        <w:tblStyle w:val="LightGrid-Accent1"/>
        <w:tblW w:type="auto" w:w="0"/>
        <w:jc w:val="center"/>
        <w:tblLook w:firstColumn="1" w:firstRow="1" w:lastColumn="0" w:lastRow="0" w:noHBand="0" w:noVBand="1" w:val="04A0"/>
      </w:tblPr>
      <w:tblGrid>
        <w:gridCol w:w="2126"/>
        <w:gridCol w:w="2126"/>
        <w:gridCol w:w="2126"/>
        <w:gridCol w:w="2126"/>
      </w:tblGrid>
      <w:tr>
        <w:tc>
          <w:tcPr>
            <w:tcW w:type="dxa" w:w="2126"/>
          </w:tcPr>
          <w:p>
            <w:pPr>
              <w:spacing w:after="40" w:before="40"/>
            </w:pPr>
            <w:r>
              <w:rPr>
                <w:b/>
              </w:rPr>
            </w:r>
            <w:r>
              <w:rPr>
                <w:rFonts w:ascii="Times New Roman" w:hAnsi="Times New Roman" w:eastAsia="黑体"/>
                <w:b/>
                <w:i w:val="0"/>
                <w:sz w:val="20"/>
              </w:rPr>
              <w:t>序号</w:t>
            </w:r>
          </w:p>
        </w:tc>
        <w:tc>
          <w:tcPr>
            <w:tcW w:type="dxa" w:w="2126"/>
          </w:tcPr>
          <w:p>
            <w:pPr>
              <w:spacing w:after="40" w:before="40"/>
            </w:pPr>
            <w:r>
              <w:rPr>
                <w:b/>
              </w:rPr>
            </w:r>
            <w:r>
              <w:rPr>
                <w:rFonts w:ascii="Times New Roman" w:hAnsi="Times New Roman" w:eastAsia="黑体"/>
                <w:b/>
                <w:i w:val="0"/>
                <w:sz w:val="20"/>
              </w:rPr>
              <w:t>资源名称</w:t>
            </w:r>
          </w:p>
        </w:tc>
        <w:tc>
          <w:tcPr>
            <w:tcW w:type="dxa" w:w="2126"/>
          </w:tcPr>
          <w:p>
            <w:pPr>
              <w:spacing w:after="40" w:before="40"/>
            </w:pPr>
            <w:r>
              <w:rPr>
                <w:b/>
              </w:rPr>
            </w:r>
            <w:r>
              <w:rPr>
                <w:rFonts w:ascii="Times New Roman" w:hAnsi="Times New Roman" w:eastAsia="黑体"/>
                <w:b/>
                <w:i w:val="0"/>
                <w:sz w:val="20"/>
              </w:rPr>
              <w:t>类型</w:t>
            </w:r>
          </w:p>
        </w:tc>
        <w:tc>
          <w:tcPr>
            <w:tcW w:type="dxa" w:w="2126"/>
          </w:tcPr>
          <w:p>
            <w:pPr>
              <w:spacing w:after="40" w:before="40"/>
            </w:pPr>
            <w:r>
              <w:rPr>
                <w:b/>
              </w:rPr>
            </w:r>
            <w:r>
              <w:rPr>
                <w:rFonts w:ascii="Times New Roman" w:hAnsi="Times New Roman" w:eastAsia="黑体"/>
                <w:b/>
                <w:i w:val="0"/>
                <w:sz w:val="20"/>
              </w:rPr>
              <w:t>描述</w:t>
            </w:r>
          </w:p>
        </w:tc>
      </w:tr>
      <w:tr>
        <w:tc>
          <w:tcPr>
            <w:tcW w:type="dxa" w:w="2126"/>
          </w:tcPr>
          <w:p>
            <w:pPr>
              <w:spacing w:after="40" w:before="40"/>
            </w:pPr>
            <w:r/>
            <w:r>
              <w:rPr>
                <w:rFonts w:ascii="Times New Roman" w:hAnsi="Times New Roman" w:eastAsia="宋体"/>
                <w:b w:val="0"/>
                <w:i w:val="0"/>
                <w:sz w:val="20"/>
              </w:rPr>
              <w:t>34</w:t>
            </w:r>
          </w:p>
        </w:tc>
        <w:tc>
          <w:tcPr>
            <w:tcW w:type="dxa" w:w="2126"/>
          </w:tcPr>
          <w:p>
            <w:pPr>
              <w:spacing w:after="40" w:before="40"/>
            </w:pPr>
            <w:r/>
            <w:r>
              <w:rPr>
                <w:rFonts w:ascii="Times New Roman" w:hAnsi="Times New Roman" w:eastAsia="宋体"/>
                <w:b w:val="0"/>
                <w:i w:val="0"/>
                <w:sz w:val="20"/>
              </w:rPr>
              <w:t>Coursera: Smart Grid</w:t>
            </w:r>
          </w:p>
        </w:tc>
        <w:tc>
          <w:tcPr>
            <w:tcW w:type="dxa" w:w="2126"/>
          </w:tcPr>
          <w:p>
            <w:pPr>
              <w:spacing w:after="40" w:before="40"/>
            </w:pPr>
            <w:r/>
            <w:r>
              <w:rPr>
                <w:rFonts w:ascii="Times New Roman" w:hAnsi="Times New Roman" w:eastAsia="宋体"/>
                <w:b w:val="0"/>
                <w:i w:val="0"/>
                <w:sz w:val="20"/>
              </w:rPr>
              <w:t>MOOC</w:t>
            </w:r>
          </w:p>
        </w:tc>
        <w:tc>
          <w:tcPr>
            <w:tcW w:type="dxa" w:w="2126"/>
          </w:tcPr>
          <w:p>
            <w:pPr>
              <w:spacing w:after="40" w:before="40"/>
            </w:pPr>
            <w:r/>
            <w:r>
              <w:rPr>
                <w:rFonts w:ascii="Times New Roman" w:hAnsi="Times New Roman" w:eastAsia="宋体"/>
                <w:b w:val="0"/>
                <w:i w:val="0"/>
                <w:sz w:val="20"/>
              </w:rPr>
              <w:t>智能电网基础课程</w:t>
            </w:r>
          </w:p>
        </w:tc>
      </w:tr>
      <w:tr>
        <w:tc>
          <w:tcPr>
            <w:tcW w:type="dxa" w:w="2126"/>
            <w:shd w:val="clear" w:color="auto" w:fill="F0F4F8"/>
          </w:tcPr>
          <w:p>
            <w:pPr>
              <w:spacing w:after="40" w:before="40"/>
            </w:pPr>
            <w:r/>
            <w:r>
              <w:rPr>
                <w:rFonts w:ascii="Times New Roman" w:hAnsi="Times New Roman" w:eastAsia="宋体"/>
                <w:b w:val="0"/>
                <w:i w:val="0"/>
                <w:sz w:val="20"/>
              </w:rPr>
              <w:t>35</w:t>
            </w:r>
          </w:p>
        </w:tc>
        <w:tc>
          <w:tcPr>
            <w:tcW w:type="dxa" w:w="2126"/>
            <w:shd w:val="clear" w:color="auto" w:fill="F0F4F8"/>
          </w:tcPr>
          <w:p>
            <w:pPr>
              <w:spacing w:after="40" w:before="40"/>
            </w:pPr>
            <w:r/>
            <w:r>
              <w:rPr>
                <w:rFonts w:ascii="Times New Roman" w:hAnsi="Times New Roman" w:eastAsia="宋体"/>
                <w:b w:val="0"/>
                <w:i w:val="0"/>
                <w:sz w:val="20"/>
              </w:rPr>
              <w:t>edX: Power Systems</w:t>
            </w:r>
          </w:p>
        </w:tc>
        <w:tc>
          <w:tcPr>
            <w:tcW w:type="dxa" w:w="2126"/>
            <w:shd w:val="clear" w:color="auto" w:fill="F0F4F8"/>
          </w:tcPr>
          <w:p>
            <w:pPr>
              <w:spacing w:after="40" w:before="40"/>
            </w:pPr>
            <w:r/>
            <w:r>
              <w:rPr>
                <w:rFonts w:ascii="Times New Roman" w:hAnsi="Times New Roman" w:eastAsia="宋体"/>
                <w:b w:val="0"/>
                <w:i w:val="0"/>
                <w:sz w:val="20"/>
              </w:rPr>
              <w:t>MOOC</w:t>
            </w:r>
          </w:p>
        </w:tc>
        <w:tc>
          <w:tcPr>
            <w:tcW w:type="dxa" w:w="2126"/>
            <w:shd w:val="clear" w:color="auto" w:fill="F0F4F8"/>
          </w:tcPr>
          <w:p>
            <w:pPr>
              <w:spacing w:after="40" w:before="40"/>
            </w:pPr>
            <w:r/>
            <w:r>
              <w:rPr>
                <w:rFonts w:ascii="Times New Roman" w:hAnsi="Times New Roman" w:eastAsia="宋体"/>
                <w:b w:val="0"/>
                <w:i w:val="0"/>
                <w:sz w:val="20"/>
              </w:rPr>
              <w:t>电力系统分析</w:t>
            </w:r>
          </w:p>
        </w:tc>
      </w:tr>
      <w:tr>
        <w:tc>
          <w:tcPr>
            <w:tcW w:type="dxa" w:w="2126"/>
          </w:tcPr>
          <w:p>
            <w:pPr>
              <w:spacing w:after="40" w:before="40"/>
            </w:pPr>
            <w:r/>
            <w:r>
              <w:rPr>
                <w:rFonts w:ascii="Times New Roman" w:hAnsi="Times New Roman" w:eastAsia="宋体"/>
                <w:b w:val="0"/>
                <w:i w:val="0"/>
                <w:sz w:val="20"/>
              </w:rPr>
              <w:t>36</w:t>
            </w:r>
          </w:p>
        </w:tc>
        <w:tc>
          <w:tcPr>
            <w:tcW w:type="dxa" w:w="2126"/>
          </w:tcPr>
          <w:p>
            <w:pPr>
              <w:spacing w:after="40" w:before="40"/>
            </w:pPr>
            <w:r/>
            <w:r>
              <w:rPr>
                <w:rFonts w:ascii="Times New Roman" w:hAnsi="Times New Roman" w:eastAsia="宋体"/>
                <w:b w:val="0"/>
                <w:i w:val="0"/>
                <w:sz w:val="20"/>
              </w:rPr>
              <w:t>IEEE PES Resource Center</w:t>
            </w:r>
          </w:p>
        </w:tc>
        <w:tc>
          <w:tcPr>
            <w:tcW w:type="dxa" w:w="2126"/>
          </w:tcPr>
          <w:p>
            <w:pPr>
              <w:spacing w:after="40" w:before="40"/>
            </w:pPr>
            <w:r/>
            <w:r>
              <w:rPr>
                <w:rFonts w:ascii="Times New Roman" w:hAnsi="Times New Roman" w:eastAsia="宋体"/>
                <w:b w:val="0"/>
                <w:i w:val="0"/>
                <w:sz w:val="20"/>
              </w:rPr>
              <w:t>文档</w:t>
            </w:r>
          </w:p>
        </w:tc>
        <w:tc>
          <w:tcPr>
            <w:tcW w:type="dxa" w:w="2126"/>
          </w:tcPr>
          <w:p>
            <w:pPr>
              <w:spacing w:after="40" w:before="40"/>
            </w:pPr>
            <w:r/>
            <w:r>
              <w:rPr>
                <w:rFonts w:ascii="Times New Roman" w:hAnsi="Times New Roman" w:eastAsia="宋体"/>
                <w:b w:val="0"/>
                <w:i w:val="0"/>
                <w:sz w:val="20"/>
              </w:rPr>
              <w:t>IEEE PES资源中心</w:t>
            </w:r>
          </w:p>
        </w:tc>
      </w:tr>
      <w:tr>
        <w:tc>
          <w:tcPr>
            <w:tcW w:type="dxa" w:w="2126"/>
            <w:shd w:val="clear" w:color="auto" w:fill="F0F4F8"/>
          </w:tcPr>
          <w:p>
            <w:pPr>
              <w:spacing w:after="40" w:before="40"/>
            </w:pPr>
            <w:r/>
            <w:r>
              <w:rPr>
                <w:rFonts w:ascii="Times New Roman" w:hAnsi="Times New Roman" w:eastAsia="宋体"/>
                <w:b w:val="0"/>
                <w:i w:val="0"/>
                <w:sz w:val="20"/>
              </w:rPr>
              <w:t>37</w:t>
            </w:r>
          </w:p>
        </w:tc>
        <w:tc>
          <w:tcPr>
            <w:tcW w:type="dxa" w:w="2126"/>
            <w:shd w:val="clear" w:color="auto" w:fill="F0F4F8"/>
          </w:tcPr>
          <w:p>
            <w:pPr>
              <w:spacing w:after="40" w:before="40"/>
            </w:pPr>
            <w:r/>
            <w:r>
              <w:rPr>
                <w:rFonts w:ascii="Times New Roman" w:hAnsi="Times New Roman" w:eastAsia="宋体"/>
                <w:b w:val="0"/>
                <w:i w:val="0"/>
                <w:sz w:val="20"/>
              </w:rPr>
              <w:t>OpenEI</w:t>
            </w:r>
          </w:p>
        </w:tc>
        <w:tc>
          <w:tcPr>
            <w:tcW w:type="dxa" w:w="2126"/>
            <w:shd w:val="clear" w:color="auto" w:fill="F0F4F8"/>
          </w:tcPr>
          <w:p>
            <w:pPr>
              <w:spacing w:after="40" w:before="40"/>
            </w:pPr>
            <w:r/>
            <w:r>
              <w:rPr>
                <w:rFonts w:ascii="Times New Roman" w:hAnsi="Times New Roman" w:eastAsia="宋体"/>
                <w:b w:val="0"/>
                <w:i w:val="0"/>
                <w:sz w:val="20"/>
              </w:rPr>
              <w:t>百科</w:t>
            </w:r>
          </w:p>
        </w:tc>
        <w:tc>
          <w:tcPr>
            <w:tcW w:type="dxa" w:w="2126"/>
            <w:shd w:val="clear" w:color="auto" w:fill="F0F4F8"/>
          </w:tcPr>
          <w:p>
            <w:pPr>
              <w:spacing w:after="40" w:before="40"/>
            </w:pPr>
            <w:r/>
            <w:r>
              <w:rPr>
                <w:rFonts w:ascii="Times New Roman" w:hAnsi="Times New Roman" w:eastAsia="宋体"/>
                <w:b w:val="0"/>
                <w:i w:val="0"/>
                <w:sz w:val="20"/>
              </w:rPr>
              <w:t>开放能源信息平台</w:t>
            </w:r>
          </w:p>
        </w:tc>
      </w:tr>
      <w:tr>
        <w:tc>
          <w:tcPr>
            <w:tcW w:type="dxa" w:w="2126"/>
          </w:tcPr>
          <w:p>
            <w:pPr>
              <w:spacing w:after="40" w:before="40"/>
            </w:pPr>
            <w:r/>
            <w:r>
              <w:rPr>
                <w:rFonts w:ascii="Times New Roman" w:hAnsi="Times New Roman" w:eastAsia="宋体"/>
                <w:b w:val="0"/>
                <w:i w:val="0"/>
                <w:sz w:val="20"/>
              </w:rPr>
              <w:t>38</w:t>
            </w:r>
          </w:p>
        </w:tc>
        <w:tc>
          <w:tcPr>
            <w:tcW w:type="dxa" w:w="2126"/>
          </w:tcPr>
          <w:p>
            <w:pPr>
              <w:spacing w:after="40" w:before="40"/>
            </w:pPr>
            <w:r/>
            <w:r>
              <w:rPr>
                <w:rFonts w:ascii="Times New Roman" w:hAnsi="Times New Roman" w:eastAsia="宋体"/>
                <w:b w:val="0"/>
                <w:i w:val="0"/>
                <w:sz w:val="20"/>
              </w:rPr>
              <w:t>GridLAB-D Wiki</w:t>
            </w:r>
          </w:p>
        </w:tc>
        <w:tc>
          <w:tcPr>
            <w:tcW w:type="dxa" w:w="2126"/>
          </w:tcPr>
          <w:p>
            <w:pPr>
              <w:spacing w:after="40" w:before="40"/>
            </w:pPr>
            <w:r/>
            <w:r>
              <w:rPr>
                <w:rFonts w:ascii="Times New Roman" w:hAnsi="Times New Roman" w:eastAsia="宋体"/>
                <w:b w:val="0"/>
                <w:i w:val="0"/>
                <w:sz w:val="20"/>
              </w:rPr>
              <w:t>文档</w:t>
            </w:r>
          </w:p>
        </w:tc>
        <w:tc>
          <w:tcPr>
            <w:tcW w:type="dxa" w:w="2126"/>
          </w:tcPr>
          <w:p>
            <w:pPr>
              <w:spacing w:after="40" w:before="40"/>
            </w:pPr>
            <w:r/>
            <w:r>
              <w:rPr>
                <w:rFonts w:ascii="Times New Roman" w:hAnsi="Times New Roman" w:eastAsia="宋体"/>
                <w:b w:val="0"/>
                <w:i w:val="0"/>
                <w:sz w:val="20"/>
              </w:rPr>
              <w:t>GridLAB-D仿真工具文档</w:t>
            </w:r>
          </w:p>
        </w:tc>
      </w:tr>
    </w:tbl>
    <w:p>
      <w:pPr>
        <w:pStyle w:val="Heading2"/>
        <w:spacing w:before="240" w:after="80"/>
      </w:pPr>
      <w:r>
        <w:rPr>
          <w:rFonts w:ascii="Times New Roman" w:hAnsi="Times New Roman" w:eastAsia="黑体"/>
          <w:b/>
          <w:i w:val="0"/>
          <w:sz w:val="28"/>
        </w:rPr>
        <w:t>B.8 常用Python库速查</w:t>
      </w:r>
    </w:p>
    <w:tbl>
      <w:tblPr>
        <w:tblStyle w:val="LightGrid-Accent1"/>
        <w:tblW w:type="auto" w:w="0"/>
        <w:jc w:val="center"/>
        <w:tblLook w:firstColumn="1" w:firstRow="1" w:lastColumn="0" w:lastRow="0" w:noHBand="0" w:noVBand="1" w:val="04A0"/>
      </w:tblPr>
      <w:tblGrid>
        <w:gridCol w:w="2126"/>
        <w:gridCol w:w="2126"/>
        <w:gridCol w:w="2126"/>
        <w:gridCol w:w="2126"/>
      </w:tblGrid>
      <w:tr>
        <w:tc>
          <w:tcPr>
            <w:tcW w:type="dxa" w:w="2126"/>
          </w:tcPr>
          <w:p>
            <w:pPr>
              <w:spacing w:after="40" w:before="40"/>
            </w:pPr>
            <w:r>
              <w:rPr>
                <w:b/>
              </w:rPr>
            </w:r>
            <w:r>
              <w:rPr>
                <w:rFonts w:ascii="Times New Roman" w:hAnsi="Times New Roman" w:eastAsia="黑体"/>
                <w:b/>
                <w:i w:val="0"/>
                <w:sz w:val="20"/>
              </w:rPr>
              <w:t>库名</w:t>
            </w:r>
          </w:p>
        </w:tc>
        <w:tc>
          <w:tcPr>
            <w:tcW w:type="dxa" w:w="2126"/>
          </w:tcPr>
          <w:p>
            <w:pPr>
              <w:spacing w:after="40" w:before="40"/>
            </w:pPr>
            <w:r>
              <w:rPr>
                <w:b/>
              </w:rPr>
            </w:r>
            <w:r>
              <w:rPr>
                <w:rFonts w:ascii="Times New Roman" w:hAnsi="Times New Roman" w:eastAsia="黑体"/>
                <w:b/>
                <w:i w:val="0"/>
                <w:sz w:val="20"/>
              </w:rPr>
              <w:t>功能</w:t>
            </w:r>
          </w:p>
        </w:tc>
        <w:tc>
          <w:tcPr>
            <w:tcW w:type="dxa" w:w="2126"/>
          </w:tcPr>
          <w:p>
            <w:pPr>
              <w:spacing w:after="40" w:before="40"/>
            </w:pPr>
            <w:r>
              <w:rPr>
                <w:b/>
              </w:rPr>
            </w:r>
            <w:r>
              <w:rPr>
                <w:rFonts w:ascii="Times New Roman" w:hAnsi="Times New Roman" w:eastAsia="黑体"/>
                <w:b/>
                <w:i w:val="0"/>
                <w:sz w:val="20"/>
              </w:rPr>
              <w:t>安装命令</w:t>
            </w:r>
          </w:p>
        </w:tc>
        <w:tc>
          <w:tcPr>
            <w:tcW w:type="dxa" w:w="2126"/>
          </w:tcPr>
          <w:p>
            <w:pPr>
              <w:spacing w:after="40" w:before="40"/>
            </w:pPr>
            <w:r>
              <w:rPr>
                <w:b/>
              </w:rPr>
            </w:r>
            <w:r>
              <w:rPr>
                <w:rFonts w:ascii="Times New Roman" w:hAnsi="Times New Roman" w:eastAsia="黑体"/>
                <w:b/>
                <w:i w:val="0"/>
                <w:sz w:val="20"/>
              </w:rPr>
              <w:t>常用API</w:t>
            </w:r>
          </w:p>
        </w:tc>
      </w:tr>
      <w:tr>
        <w:tc>
          <w:tcPr>
            <w:tcW w:type="dxa" w:w="2126"/>
          </w:tcPr>
          <w:p>
            <w:pPr>
              <w:spacing w:after="40" w:before="40"/>
            </w:pPr>
            <w:r/>
            <w:r>
              <w:rPr>
                <w:rFonts w:ascii="Times New Roman" w:hAnsi="Times New Roman" w:eastAsia="宋体"/>
                <w:b w:val="0"/>
                <w:i w:val="0"/>
                <w:sz w:val="20"/>
              </w:rPr>
              <w:t>numpy</w:t>
            </w:r>
          </w:p>
        </w:tc>
        <w:tc>
          <w:tcPr>
            <w:tcW w:type="dxa" w:w="2126"/>
          </w:tcPr>
          <w:p>
            <w:pPr>
              <w:spacing w:after="40" w:before="40"/>
            </w:pPr>
            <w:r/>
            <w:r>
              <w:rPr>
                <w:rFonts w:ascii="Times New Roman" w:hAnsi="Times New Roman" w:eastAsia="宋体"/>
                <w:b w:val="0"/>
                <w:i w:val="0"/>
                <w:sz w:val="20"/>
              </w:rPr>
              <w:t>数值计算</w:t>
            </w:r>
          </w:p>
        </w:tc>
        <w:tc>
          <w:tcPr>
            <w:tcW w:type="dxa" w:w="2126"/>
          </w:tcPr>
          <w:p>
            <w:pPr>
              <w:spacing w:after="40" w:before="40"/>
            </w:pPr>
            <w:r/>
            <w:r>
              <w:rPr>
                <w:rFonts w:ascii="Times New Roman" w:hAnsi="Times New Roman" w:eastAsia="宋体"/>
                <w:b w:val="0"/>
                <w:i w:val="0"/>
                <w:sz w:val="20"/>
              </w:rPr>
              <w:t>pip install numpy</w:t>
            </w:r>
          </w:p>
        </w:tc>
        <w:tc>
          <w:tcPr>
            <w:tcW w:type="dxa" w:w="2126"/>
          </w:tcPr>
          <w:p>
            <w:pPr>
              <w:spacing w:after="40" w:before="40"/>
            </w:pPr>
            <w:r/>
            <w:r>
              <w:rPr>
                <w:rFonts w:ascii="Times New Roman" w:hAnsi="Times New Roman" w:eastAsia="宋体"/>
                <w:b w:val="0"/>
                <w:i w:val="0"/>
                <w:sz w:val="20"/>
              </w:rPr>
              <w:t>numpy.linalg, numpy.array</w:t>
            </w:r>
          </w:p>
        </w:tc>
      </w:tr>
      <w:tr>
        <w:tc>
          <w:tcPr>
            <w:tcW w:type="dxa" w:w="2126"/>
            <w:shd w:val="clear" w:color="auto" w:fill="F0F4F8"/>
          </w:tcPr>
          <w:p>
            <w:pPr>
              <w:spacing w:after="40" w:before="40"/>
            </w:pPr>
            <w:r/>
            <w:r>
              <w:rPr>
                <w:rFonts w:ascii="Times New Roman" w:hAnsi="Times New Roman" w:eastAsia="宋体"/>
                <w:b w:val="0"/>
                <w:i w:val="0"/>
                <w:sz w:val="20"/>
              </w:rPr>
              <w:t>scipy</w:t>
            </w:r>
          </w:p>
        </w:tc>
        <w:tc>
          <w:tcPr>
            <w:tcW w:type="dxa" w:w="2126"/>
            <w:shd w:val="clear" w:color="auto" w:fill="F0F4F8"/>
          </w:tcPr>
          <w:p>
            <w:pPr>
              <w:spacing w:after="40" w:before="40"/>
            </w:pPr>
            <w:r/>
            <w:r>
              <w:rPr>
                <w:rFonts w:ascii="Times New Roman" w:hAnsi="Times New Roman" w:eastAsia="宋体"/>
                <w:b w:val="0"/>
                <w:i w:val="0"/>
                <w:sz w:val="20"/>
              </w:rPr>
              <w:t>科学计算</w:t>
            </w:r>
          </w:p>
        </w:tc>
        <w:tc>
          <w:tcPr>
            <w:tcW w:type="dxa" w:w="2126"/>
            <w:shd w:val="clear" w:color="auto" w:fill="F0F4F8"/>
          </w:tcPr>
          <w:p>
            <w:pPr>
              <w:spacing w:after="40" w:before="40"/>
            </w:pPr>
            <w:r/>
            <w:r>
              <w:rPr>
                <w:rFonts w:ascii="Times New Roman" w:hAnsi="Times New Roman" w:eastAsia="宋体"/>
                <w:b w:val="0"/>
                <w:i w:val="0"/>
                <w:sz w:val="20"/>
              </w:rPr>
              <w:t>pip install scipy</w:t>
            </w:r>
          </w:p>
        </w:tc>
        <w:tc>
          <w:tcPr>
            <w:tcW w:type="dxa" w:w="2126"/>
            <w:shd w:val="clear" w:color="auto" w:fill="F0F4F8"/>
          </w:tcPr>
          <w:p>
            <w:pPr>
              <w:spacing w:after="40" w:before="40"/>
            </w:pPr>
            <w:r/>
            <w:r>
              <w:rPr>
                <w:rFonts w:ascii="Times New Roman" w:hAnsi="Times New Roman" w:eastAsia="宋体"/>
                <w:b w:val="0"/>
                <w:i w:val="0"/>
                <w:sz w:val="20"/>
              </w:rPr>
              <w:t>scipy.optimize, scipy.sparse</w:t>
            </w:r>
          </w:p>
        </w:tc>
      </w:tr>
      <w:tr>
        <w:tc>
          <w:tcPr>
            <w:tcW w:type="dxa" w:w="2126"/>
          </w:tcPr>
          <w:p>
            <w:pPr>
              <w:spacing w:after="40" w:before="40"/>
            </w:pPr>
            <w:r/>
            <w:r>
              <w:rPr>
                <w:rFonts w:ascii="Times New Roman" w:hAnsi="Times New Roman" w:eastAsia="宋体"/>
                <w:b w:val="0"/>
                <w:i w:val="0"/>
                <w:sz w:val="20"/>
              </w:rPr>
              <w:t>cvxpy</w:t>
            </w:r>
          </w:p>
        </w:tc>
        <w:tc>
          <w:tcPr>
            <w:tcW w:type="dxa" w:w="2126"/>
          </w:tcPr>
          <w:p>
            <w:pPr>
              <w:spacing w:after="40" w:before="40"/>
            </w:pPr>
            <w:r/>
            <w:r>
              <w:rPr>
                <w:rFonts w:ascii="Times New Roman" w:hAnsi="Times New Roman" w:eastAsia="宋体"/>
                <w:b w:val="0"/>
                <w:i w:val="0"/>
                <w:sz w:val="20"/>
              </w:rPr>
              <w:t>凸优化</w:t>
            </w:r>
          </w:p>
        </w:tc>
        <w:tc>
          <w:tcPr>
            <w:tcW w:type="dxa" w:w="2126"/>
          </w:tcPr>
          <w:p>
            <w:pPr>
              <w:spacing w:after="40" w:before="40"/>
            </w:pPr>
            <w:r/>
            <w:r>
              <w:rPr>
                <w:rFonts w:ascii="Times New Roman" w:hAnsi="Times New Roman" w:eastAsia="宋体"/>
                <w:b w:val="0"/>
                <w:i w:val="0"/>
                <w:sz w:val="20"/>
              </w:rPr>
              <w:t>pip install cvxpy</w:t>
            </w:r>
          </w:p>
        </w:tc>
        <w:tc>
          <w:tcPr>
            <w:tcW w:type="dxa" w:w="2126"/>
          </w:tcPr>
          <w:p>
            <w:pPr>
              <w:spacing w:after="40" w:before="40"/>
            </w:pPr>
            <w:r/>
            <w:r>
              <w:rPr>
                <w:rFonts w:ascii="Times New Roman" w:hAnsi="Times New Roman" w:eastAsia="宋体"/>
                <w:b w:val="0"/>
                <w:i w:val="0"/>
                <w:sz w:val="20"/>
              </w:rPr>
              <w:t>cp.Variable, cp.Problem</w:t>
            </w:r>
          </w:p>
        </w:tc>
      </w:tr>
      <w:tr>
        <w:tc>
          <w:tcPr>
            <w:tcW w:type="dxa" w:w="2126"/>
            <w:shd w:val="clear" w:color="auto" w:fill="F0F4F8"/>
          </w:tcPr>
          <w:p>
            <w:pPr>
              <w:spacing w:after="40" w:before="40"/>
            </w:pPr>
            <w:r/>
            <w:r>
              <w:rPr>
                <w:rFonts w:ascii="Times New Roman" w:hAnsi="Times New Roman" w:eastAsia="宋体"/>
                <w:b w:val="0"/>
                <w:i w:val="0"/>
                <w:sz w:val="20"/>
              </w:rPr>
              <w:t>pandas</w:t>
            </w:r>
          </w:p>
        </w:tc>
        <w:tc>
          <w:tcPr>
            <w:tcW w:type="dxa" w:w="2126"/>
            <w:shd w:val="clear" w:color="auto" w:fill="F0F4F8"/>
          </w:tcPr>
          <w:p>
            <w:pPr>
              <w:spacing w:after="40" w:before="40"/>
            </w:pPr>
            <w:r/>
            <w:r>
              <w:rPr>
                <w:rFonts w:ascii="Times New Roman" w:hAnsi="Times New Roman" w:eastAsia="宋体"/>
                <w:b w:val="0"/>
                <w:i w:val="0"/>
                <w:sz w:val="20"/>
              </w:rPr>
              <w:t>数据处理</w:t>
            </w:r>
          </w:p>
        </w:tc>
        <w:tc>
          <w:tcPr>
            <w:tcW w:type="dxa" w:w="2126"/>
            <w:shd w:val="clear" w:color="auto" w:fill="F0F4F8"/>
          </w:tcPr>
          <w:p>
            <w:pPr>
              <w:spacing w:after="40" w:before="40"/>
            </w:pPr>
            <w:r/>
            <w:r>
              <w:rPr>
                <w:rFonts w:ascii="Times New Roman" w:hAnsi="Times New Roman" w:eastAsia="宋体"/>
                <w:b w:val="0"/>
                <w:i w:val="0"/>
                <w:sz w:val="20"/>
              </w:rPr>
              <w:t>pip install pandas</w:t>
            </w:r>
          </w:p>
        </w:tc>
        <w:tc>
          <w:tcPr>
            <w:tcW w:type="dxa" w:w="2126"/>
            <w:shd w:val="clear" w:color="auto" w:fill="F0F4F8"/>
          </w:tcPr>
          <w:p>
            <w:pPr>
              <w:spacing w:after="40" w:before="40"/>
            </w:pPr>
            <w:r/>
            <w:r>
              <w:rPr>
                <w:rFonts w:ascii="Times New Roman" w:hAnsi="Times New Roman" w:eastAsia="宋体"/>
                <w:b w:val="0"/>
                <w:i w:val="0"/>
                <w:sz w:val="20"/>
              </w:rPr>
              <w:t>pd.DataFrame, pd.read_csv</w:t>
            </w:r>
          </w:p>
        </w:tc>
      </w:tr>
      <w:tr>
        <w:tc>
          <w:tcPr>
            <w:tcW w:type="dxa" w:w="2126"/>
          </w:tcPr>
          <w:p>
            <w:pPr>
              <w:spacing w:after="40" w:before="40"/>
            </w:pPr>
            <w:r/>
            <w:r>
              <w:rPr>
                <w:rFonts w:ascii="Times New Roman" w:hAnsi="Times New Roman" w:eastAsia="宋体"/>
                <w:b w:val="0"/>
                <w:i w:val="0"/>
                <w:sz w:val="20"/>
              </w:rPr>
              <w:t>matplotlib</w:t>
            </w:r>
          </w:p>
        </w:tc>
        <w:tc>
          <w:tcPr>
            <w:tcW w:type="dxa" w:w="2126"/>
          </w:tcPr>
          <w:p>
            <w:pPr>
              <w:spacing w:after="40" w:before="40"/>
            </w:pPr>
            <w:r/>
            <w:r>
              <w:rPr>
                <w:rFonts w:ascii="Times New Roman" w:hAnsi="Times New Roman" w:eastAsia="宋体"/>
                <w:b w:val="0"/>
                <w:i w:val="0"/>
                <w:sz w:val="20"/>
              </w:rPr>
              <w:t>绘图</w:t>
            </w:r>
          </w:p>
        </w:tc>
        <w:tc>
          <w:tcPr>
            <w:tcW w:type="dxa" w:w="2126"/>
          </w:tcPr>
          <w:p>
            <w:pPr>
              <w:spacing w:after="40" w:before="40"/>
            </w:pPr>
            <w:r/>
            <w:r>
              <w:rPr>
                <w:rFonts w:ascii="Times New Roman" w:hAnsi="Times New Roman" w:eastAsia="宋体"/>
                <w:b w:val="0"/>
                <w:i w:val="0"/>
                <w:sz w:val="20"/>
              </w:rPr>
              <w:t>pip install matplotlib</w:t>
            </w:r>
          </w:p>
        </w:tc>
        <w:tc>
          <w:tcPr>
            <w:tcW w:type="dxa" w:w="2126"/>
          </w:tcPr>
          <w:p>
            <w:pPr>
              <w:spacing w:after="40" w:before="40"/>
            </w:pPr>
            <w:r/>
            <w:r>
              <w:rPr>
                <w:rFonts w:ascii="Times New Roman" w:hAnsi="Times New Roman" w:eastAsia="宋体"/>
                <w:b w:val="0"/>
                <w:i w:val="0"/>
                <w:sz w:val="20"/>
              </w:rPr>
              <w:t>plt.plot, plt.figure</w:t>
            </w:r>
          </w:p>
        </w:tc>
      </w:tr>
      <w:tr>
        <w:tc>
          <w:tcPr>
            <w:tcW w:type="dxa" w:w="2126"/>
            <w:shd w:val="clear" w:color="auto" w:fill="F0F4F8"/>
          </w:tcPr>
          <w:p>
            <w:pPr>
              <w:spacing w:after="40" w:before="40"/>
            </w:pPr>
            <w:r/>
            <w:r>
              <w:rPr>
                <w:rFonts w:ascii="Times New Roman" w:hAnsi="Times New Roman" w:eastAsia="宋体"/>
                <w:b w:val="0"/>
                <w:i w:val="0"/>
                <w:sz w:val="20"/>
              </w:rPr>
              <w:t>gym</w:t>
            </w:r>
          </w:p>
        </w:tc>
        <w:tc>
          <w:tcPr>
            <w:tcW w:type="dxa" w:w="2126"/>
            <w:shd w:val="clear" w:color="auto" w:fill="F0F4F8"/>
          </w:tcPr>
          <w:p>
            <w:pPr>
              <w:spacing w:after="40" w:before="40"/>
            </w:pPr>
            <w:r/>
            <w:r>
              <w:rPr>
                <w:rFonts w:ascii="Times New Roman" w:hAnsi="Times New Roman" w:eastAsia="宋体"/>
                <w:b w:val="0"/>
                <w:i w:val="0"/>
                <w:sz w:val="20"/>
              </w:rPr>
              <w:t>RL环境</w:t>
            </w:r>
          </w:p>
        </w:tc>
        <w:tc>
          <w:tcPr>
            <w:tcW w:type="dxa" w:w="2126"/>
            <w:shd w:val="clear" w:color="auto" w:fill="F0F4F8"/>
          </w:tcPr>
          <w:p>
            <w:pPr>
              <w:spacing w:after="40" w:before="40"/>
            </w:pPr>
            <w:r/>
            <w:r>
              <w:rPr>
                <w:rFonts w:ascii="Times New Roman" w:hAnsi="Times New Roman" w:eastAsia="宋体"/>
                <w:b w:val="0"/>
                <w:i w:val="0"/>
                <w:sz w:val="20"/>
              </w:rPr>
              <w:t>pip install gym</w:t>
            </w:r>
          </w:p>
        </w:tc>
        <w:tc>
          <w:tcPr>
            <w:tcW w:type="dxa" w:w="2126"/>
            <w:shd w:val="clear" w:color="auto" w:fill="F0F4F8"/>
          </w:tcPr>
          <w:p>
            <w:pPr>
              <w:spacing w:after="40" w:before="40"/>
            </w:pPr>
            <w:r/>
            <w:r>
              <w:rPr>
                <w:rFonts w:ascii="Times New Roman" w:hAnsi="Times New Roman" w:eastAsia="宋体"/>
                <w:b w:val="0"/>
                <w:i w:val="0"/>
                <w:sz w:val="20"/>
              </w:rPr>
              <w:t>gym.make, env.step</w:t>
            </w:r>
          </w:p>
        </w:tc>
      </w:tr>
      <w:tr>
        <w:tc>
          <w:tcPr>
            <w:tcW w:type="dxa" w:w="2126"/>
          </w:tcPr>
          <w:p>
            <w:pPr>
              <w:spacing w:after="40" w:before="40"/>
            </w:pPr>
            <w:r/>
            <w:r>
              <w:rPr>
                <w:rFonts w:ascii="Times New Roman" w:hAnsi="Times New Roman" w:eastAsia="宋体"/>
                <w:b w:val="0"/>
                <w:i w:val="0"/>
                <w:sz w:val="20"/>
              </w:rPr>
              <w:t>stable-baselines3</w:t>
            </w:r>
          </w:p>
        </w:tc>
        <w:tc>
          <w:tcPr>
            <w:tcW w:type="dxa" w:w="2126"/>
          </w:tcPr>
          <w:p>
            <w:pPr>
              <w:spacing w:after="40" w:before="40"/>
            </w:pPr>
            <w:r/>
            <w:r>
              <w:rPr>
                <w:rFonts w:ascii="Times New Roman" w:hAnsi="Times New Roman" w:eastAsia="宋体"/>
                <w:b w:val="0"/>
                <w:i w:val="0"/>
                <w:sz w:val="20"/>
              </w:rPr>
              <w:t>RL算法</w:t>
            </w:r>
          </w:p>
        </w:tc>
        <w:tc>
          <w:tcPr>
            <w:tcW w:type="dxa" w:w="2126"/>
          </w:tcPr>
          <w:p>
            <w:pPr>
              <w:spacing w:after="40" w:before="40"/>
            </w:pPr>
            <w:r/>
            <w:r>
              <w:rPr>
                <w:rFonts w:ascii="Times New Roman" w:hAnsi="Times New Roman" w:eastAsia="宋体"/>
                <w:b w:val="0"/>
                <w:i w:val="0"/>
                <w:sz w:val="20"/>
              </w:rPr>
              <w:t>pip install stable-baselines3</w:t>
            </w:r>
          </w:p>
        </w:tc>
        <w:tc>
          <w:tcPr>
            <w:tcW w:type="dxa" w:w="2126"/>
          </w:tcPr>
          <w:p>
            <w:pPr>
              <w:spacing w:after="40" w:before="40"/>
            </w:pPr>
            <w:r/>
            <w:r>
              <w:rPr>
                <w:rFonts w:ascii="Times New Roman" w:hAnsi="Times New Roman" w:eastAsia="宋体"/>
                <w:b w:val="0"/>
                <w:i w:val="0"/>
                <w:sz w:val="20"/>
              </w:rPr>
              <w:t>PPO, DQN, A2C</w:t>
            </w:r>
          </w:p>
        </w:tc>
      </w:tr>
      <w:tr>
        <w:tc>
          <w:tcPr>
            <w:tcW w:type="dxa" w:w="2126"/>
            <w:shd w:val="clear" w:color="auto" w:fill="F0F4F8"/>
          </w:tcPr>
          <w:p>
            <w:pPr>
              <w:spacing w:after="40" w:before="40"/>
            </w:pPr>
            <w:r/>
            <w:r>
              <w:rPr>
                <w:rFonts w:ascii="Times New Roman" w:hAnsi="Times New Roman" w:eastAsia="宋体"/>
                <w:b w:val="0"/>
                <w:i w:val="0"/>
                <w:sz w:val="20"/>
              </w:rPr>
              <w:t>networkx</w:t>
            </w:r>
          </w:p>
        </w:tc>
        <w:tc>
          <w:tcPr>
            <w:tcW w:type="dxa" w:w="2126"/>
            <w:shd w:val="clear" w:color="auto" w:fill="F0F4F8"/>
          </w:tcPr>
          <w:p>
            <w:pPr>
              <w:spacing w:after="40" w:before="40"/>
            </w:pPr>
            <w:r/>
            <w:r>
              <w:rPr>
                <w:rFonts w:ascii="Times New Roman" w:hAnsi="Times New Roman" w:eastAsia="宋体"/>
                <w:b w:val="0"/>
                <w:i w:val="0"/>
                <w:sz w:val="20"/>
              </w:rPr>
              <w:t>图论</w:t>
            </w:r>
          </w:p>
        </w:tc>
        <w:tc>
          <w:tcPr>
            <w:tcW w:type="dxa" w:w="2126"/>
            <w:shd w:val="clear" w:color="auto" w:fill="F0F4F8"/>
          </w:tcPr>
          <w:p>
            <w:pPr>
              <w:spacing w:after="40" w:before="40"/>
            </w:pPr>
            <w:r/>
            <w:r>
              <w:rPr>
                <w:rFonts w:ascii="Times New Roman" w:hAnsi="Times New Roman" w:eastAsia="宋体"/>
                <w:b w:val="0"/>
                <w:i w:val="0"/>
                <w:sz w:val="20"/>
              </w:rPr>
              <w:t>pip install networkx</w:t>
            </w:r>
          </w:p>
        </w:tc>
        <w:tc>
          <w:tcPr>
            <w:tcW w:type="dxa" w:w="2126"/>
            <w:shd w:val="clear" w:color="auto" w:fill="F0F4F8"/>
          </w:tcPr>
          <w:p>
            <w:pPr>
              <w:spacing w:after="40" w:before="40"/>
            </w:pPr>
            <w:r/>
            <w:r>
              <w:rPr>
                <w:rFonts w:ascii="Times New Roman" w:hAnsi="Times New Roman" w:eastAsia="宋体"/>
                <w:b w:val="0"/>
                <w:i w:val="0"/>
                <w:sz w:val="20"/>
              </w:rPr>
              <w:t>nx.Graph, nx.shortest_path</w:t>
            </w:r>
          </w:p>
        </w:tc>
      </w:tr>
      <w:tr>
        <w:tc>
          <w:tcPr>
            <w:tcW w:type="dxa" w:w="2126"/>
          </w:tcPr>
          <w:p>
            <w:pPr>
              <w:spacing w:after="40" w:before="40"/>
            </w:pPr>
            <w:r/>
            <w:r>
              <w:rPr>
                <w:rFonts w:ascii="Times New Roman" w:hAnsi="Times New Roman" w:eastAsia="宋体"/>
                <w:b w:val="0"/>
                <w:i w:val="0"/>
                <w:sz w:val="20"/>
              </w:rPr>
              <w:t>pyomo</w:t>
            </w:r>
          </w:p>
        </w:tc>
        <w:tc>
          <w:tcPr>
            <w:tcW w:type="dxa" w:w="2126"/>
          </w:tcPr>
          <w:p>
            <w:pPr>
              <w:spacing w:after="40" w:before="40"/>
            </w:pPr>
            <w:r/>
            <w:r>
              <w:rPr>
                <w:rFonts w:ascii="Times New Roman" w:hAnsi="Times New Roman" w:eastAsia="宋体"/>
                <w:b w:val="0"/>
                <w:i w:val="0"/>
                <w:sz w:val="20"/>
              </w:rPr>
              <w:t>优化建模</w:t>
            </w:r>
          </w:p>
        </w:tc>
        <w:tc>
          <w:tcPr>
            <w:tcW w:type="dxa" w:w="2126"/>
          </w:tcPr>
          <w:p>
            <w:pPr>
              <w:spacing w:after="40" w:before="40"/>
            </w:pPr>
            <w:r/>
            <w:r>
              <w:rPr>
                <w:rFonts w:ascii="Times New Roman" w:hAnsi="Times New Roman" w:eastAsia="宋体"/>
                <w:b w:val="0"/>
                <w:i w:val="0"/>
                <w:sz w:val="20"/>
              </w:rPr>
              <w:t>pip install pyomo</w:t>
            </w:r>
          </w:p>
        </w:tc>
        <w:tc>
          <w:tcPr>
            <w:tcW w:type="dxa" w:w="2126"/>
          </w:tcPr>
          <w:p>
            <w:pPr>
              <w:spacing w:after="40" w:before="40"/>
            </w:pPr>
            <w:r/>
            <w:r>
              <w:rPr>
                <w:rFonts w:ascii="Times New Roman" w:hAnsi="Times New Roman" w:eastAsia="宋体"/>
                <w:b w:val="0"/>
                <w:i w:val="0"/>
                <w:sz w:val="20"/>
              </w:rPr>
              <w:t>pyo.ConcreteModel</w:t>
            </w:r>
          </w:p>
        </w:tc>
      </w:tr>
    </w:tbl>
    <w:p>
      <w:pPr>
        <w:pStyle w:val="Heading2"/>
        <w:spacing w:before="240" w:after="80"/>
      </w:pPr>
      <w:r>
        <w:rPr>
          <w:rFonts w:ascii="Times New Roman" w:hAnsi="Times New Roman" w:eastAsia="黑体"/>
          <w:b/>
          <w:i w:val="0"/>
          <w:sz w:val="28"/>
        </w:rPr>
        <w:t>B.9 常用数据集详细信息</w:t>
      </w:r>
    </w:p>
    <w:p>
      <w:pPr>
        <w:pStyle w:val="Heading3"/>
        <w:spacing w:before="160" w:after="60"/>
      </w:pPr>
      <w:r>
        <w:rPr>
          <w:rFonts w:ascii="Times New Roman" w:hAnsi="Times New Roman" w:eastAsia="黑体"/>
          <w:b/>
          <w:i w:val="0"/>
          <w:sz w:val="24"/>
        </w:rPr>
        <w:t>Pecan Street数据集</w:t>
      </w:r>
    </w:p>
    <w:p>
      <w:pPr>
        <w:pStyle w:val="ListBullet"/>
        <w:spacing w:line="360" w:lineRule="auto" w:after="0"/>
      </w:pPr>
      <w:r>
        <w:rPr>
          <w:rFonts w:ascii="Times New Roman" w:hAnsi="Times New Roman" w:eastAsia="宋体"/>
          <w:b w:val="0"/>
          <w:i w:val="0"/>
          <w:sz w:val="22"/>
        </w:rPr>
        <w:t>来源：美国得克萨斯州奥斯汀市居民智能电表</w:t>
      </w:r>
    </w:p>
    <w:p>
      <w:pPr>
        <w:pStyle w:val="ListBullet"/>
        <w:spacing w:line="360" w:lineRule="auto" w:after="0"/>
      </w:pPr>
      <w:r>
        <w:rPr>
          <w:rFonts w:ascii="Times New Roman" w:hAnsi="Times New Roman" w:eastAsia="宋体"/>
          <w:b w:val="0"/>
          <w:i w:val="0"/>
          <w:sz w:val="22"/>
        </w:rPr>
        <w:t>规模：1000+户家庭，1秒级用电数据</w:t>
      </w:r>
    </w:p>
    <w:p>
      <w:pPr>
        <w:pStyle w:val="ListBullet"/>
        <w:spacing w:line="360" w:lineRule="auto" w:after="0"/>
      </w:pPr>
      <w:r>
        <w:rPr>
          <w:rFonts w:ascii="Times New Roman" w:hAnsi="Times New Roman" w:eastAsia="宋体"/>
          <w:b w:val="0"/>
          <w:i w:val="0"/>
          <w:sz w:val="22"/>
        </w:rPr>
        <w:t>时间跨度：2010年至今</w:t>
      </w:r>
    </w:p>
    <w:p>
      <w:pPr>
        <w:pStyle w:val="ListBullet"/>
        <w:spacing w:line="360" w:lineRule="auto" w:after="0"/>
      </w:pPr>
      <w:r>
        <w:rPr>
          <w:rFonts w:ascii="Times New Roman" w:hAnsi="Times New Roman" w:eastAsia="宋体"/>
          <w:b w:val="0"/>
          <w:i w:val="0"/>
          <w:sz w:val="22"/>
        </w:rPr>
        <w:t>特点：含太阳能出力、电动汽车充电、温湿度数据</w:t>
      </w:r>
    </w:p>
    <w:p>
      <w:pPr>
        <w:pStyle w:val="ListBullet"/>
        <w:spacing w:line="360" w:lineRule="auto" w:after="0"/>
      </w:pPr>
      <w:r>
        <w:rPr>
          <w:rFonts w:ascii="Times New Roman" w:hAnsi="Times New Roman" w:eastAsia="宋体"/>
          <w:b w:val="0"/>
          <w:i w:val="0"/>
          <w:sz w:val="22"/>
        </w:rPr>
        <w:t>获取：dataport.pecanstreet.org（学术免费）</w:t>
      </w:r>
    </w:p>
    <w:p>
      <w:pPr>
        <w:pStyle w:val="Heading3"/>
        <w:spacing w:before="160" w:after="60"/>
      </w:pPr>
      <w:r>
        <w:rPr>
          <w:rFonts w:ascii="Times New Roman" w:hAnsi="Times New Roman" w:eastAsia="黑体"/>
          <w:b/>
          <w:i w:val="0"/>
          <w:sz w:val="24"/>
        </w:rPr>
        <w:t>Irish CER数据集</w:t>
      </w:r>
    </w:p>
    <w:p>
      <w:pPr>
        <w:pStyle w:val="ListBullet"/>
        <w:spacing w:line="360" w:lineRule="auto" w:after="0"/>
      </w:pPr>
      <w:r>
        <w:rPr>
          <w:rFonts w:ascii="Times New Roman" w:hAnsi="Times New Roman" w:eastAsia="宋体"/>
          <w:b w:val="0"/>
          <w:i w:val="0"/>
          <w:sz w:val="22"/>
        </w:rPr>
        <w:t>来源：爱尔兰能源监管委员会（CER）智能电表试验</w:t>
      </w:r>
    </w:p>
    <w:p>
      <w:pPr>
        <w:pStyle w:val="ListBullet"/>
        <w:spacing w:line="360" w:lineRule="auto" w:after="0"/>
      </w:pPr>
      <w:r>
        <w:rPr>
          <w:rFonts w:ascii="Times New Roman" w:hAnsi="Times New Roman" w:eastAsia="宋体"/>
          <w:b w:val="0"/>
          <w:i w:val="0"/>
          <w:sz w:val="22"/>
        </w:rPr>
        <w:t>规模：5000+户用户，30分钟级用电数据</w:t>
      </w:r>
    </w:p>
    <w:p>
      <w:pPr>
        <w:pStyle w:val="ListBullet"/>
        <w:spacing w:line="360" w:lineRule="auto" w:after="0"/>
      </w:pPr>
      <w:r>
        <w:rPr>
          <w:rFonts w:ascii="Times New Roman" w:hAnsi="Times New Roman" w:eastAsia="宋体"/>
          <w:b w:val="0"/>
          <w:i w:val="0"/>
          <w:sz w:val="22"/>
        </w:rPr>
        <w:t>时间跨度：2009年12月-2010年12月</w:t>
      </w:r>
    </w:p>
    <w:p>
      <w:pPr>
        <w:pStyle w:val="ListBullet"/>
        <w:spacing w:line="360" w:lineRule="auto" w:after="0"/>
      </w:pPr>
      <w:r>
        <w:rPr>
          <w:rFonts w:ascii="Times New Roman" w:hAnsi="Times New Roman" w:eastAsia="宋体"/>
          <w:b w:val="0"/>
          <w:i w:val="0"/>
          <w:sz w:val="22"/>
        </w:rPr>
        <w:t>特点：随机对照试验设计，含试验组和对照组</w:t>
      </w:r>
    </w:p>
    <w:p>
      <w:pPr>
        <w:pStyle w:val="ListBullet"/>
        <w:spacing w:line="360" w:lineRule="auto" w:after="0"/>
      </w:pPr>
      <w:r>
        <w:rPr>
          <w:rFonts w:ascii="Times New Roman" w:hAnsi="Times New Roman" w:eastAsia="宋体"/>
          <w:b w:val="0"/>
          <w:i w:val="0"/>
          <w:sz w:val="22"/>
        </w:rPr>
        <w:t>获取：issda.ucd.ie（申请制）</w:t>
      </w:r>
    </w:p>
    <w:p>
      <w:pPr>
        <w:pStyle w:val="Heading3"/>
        <w:spacing w:before="160" w:after="60"/>
      </w:pPr>
      <w:r>
        <w:rPr>
          <w:rFonts w:ascii="Times New Roman" w:hAnsi="Times New Roman" w:eastAsia="黑体"/>
          <w:b/>
          <w:i w:val="0"/>
          <w:sz w:val="24"/>
        </w:rPr>
        <w:t>ERCOT数据集</w:t>
      </w:r>
    </w:p>
    <w:p>
      <w:pPr>
        <w:pStyle w:val="ListBullet"/>
        <w:spacing w:line="360" w:lineRule="auto" w:after="0"/>
      </w:pPr>
      <w:r>
        <w:rPr>
          <w:rFonts w:ascii="Times New Roman" w:hAnsi="Times New Roman" w:eastAsia="宋体"/>
          <w:b w:val="0"/>
          <w:i w:val="0"/>
          <w:sz w:val="22"/>
        </w:rPr>
        <w:t>来源：德州电力可靠性委员会</w:t>
      </w:r>
    </w:p>
    <w:p>
      <w:pPr>
        <w:pStyle w:val="ListBullet"/>
        <w:spacing w:line="360" w:lineRule="auto" w:after="0"/>
      </w:pPr>
      <w:r>
        <w:rPr>
          <w:rFonts w:ascii="Times New Roman" w:hAnsi="Times New Roman" w:eastAsia="宋体"/>
          <w:b w:val="0"/>
          <w:i w:val="0"/>
          <w:sz w:val="22"/>
        </w:rPr>
        <w:t>内容：实时电价、负荷预测、实际负荷、风电出力</w:t>
      </w:r>
    </w:p>
    <w:p>
      <w:pPr>
        <w:pStyle w:val="ListBullet"/>
        <w:spacing w:line="360" w:lineRule="auto" w:after="0"/>
      </w:pPr>
      <w:r>
        <w:rPr>
          <w:rFonts w:ascii="Times New Roman" w:hAnsi="Times New Roman" w:eastAsia="宋体"/>
          <w:b w:val="0"/>
          <w:i w:val="0"/>
          <w:sz w:val="22"/>
        </w:rPr>
        <w:t>时间粒度：15分钟</w:t>
      </w:r>
    </w:p>
    <w:p>
      <w:pPr>
        <w:pStyle w:val="ListBullet"/>
        <w:spacing w:line="360" w:lineRule="auto" w:after="0"/>
      </w:pPr>
      <w:r>
        <w:rPr>
          <w:rFonts w:ascii="Times New Roman" w:hAnsi="Times New Roman" w:eastAsia="宋体"/>
          <w:b w:val="0"/>
          <w:i w:val="0"/>
          <w:sz w:val="22"/>
        </w:rPr>
        <w:t>获取：ercot.com（免费）</w:t>
      </w:r>
    </w:p>
    <w:p>
      <w:pPr>
        <w:pStyle w:val="Heading2"/>
        <w:spacing w:before="240" w:after="80"/>
      </w:pPr>
      <w:r>
        <w:rPr>
          <w:rFonts w:ascii="Times New Roman" w:hAnsi="Times New Roman" w:eastAsia="黑体"/>
          <w:b/>
          <w:i w:val="0"/>
          <w:sz w:val="28"/>
        </w:rPr>
        <w:t>B.10 工具选择决策矩阵</w:t>
      </w:r>
    </w:p>
    <w:tbl>
      <w:tblPr>
        <w:tblStyle w:val="LightGrid-Accent1"/>
        <w:tblW w:type="auto" w:w="0"/>
        <w:jc w:val="center"/>
        <w:tblLook w:firstColumn="1" w:firstRow="1" w:lastColumn="0" w:lastRow="0" w:noHBand="0" w:noVBand="1" w:val="04A0"/>
      </w:tblPr>
      <w:tblGrid>
        <w:gridCol w:w="2835"/>
        <w:gridCol w:w="2835"/>
        <w:gridCol w:w="2835"/>
      </w:tblGrid>
      <w:tr>
        <w:tc>
          <w:tcPr>
            <w:tcW w:type="dxa" w:w="2835"/>
          </w:tcPr>
          <w:p>
            <w:pPr>
              <w:spacing w:after="40" w:before="40"/>
            </w:pPr>
            <w:r>
              <w:rPr>
                <w:b/>
              </w:rPr>
            </w:r>
            <w:r>
              <w:rPr>
                <w:rFonts w:ascii="Times New Roman" w:hAnsi="Times New Roman" w:eastAsia="黑体"/>
                <w:b/>
                <w:i w:val="0"/>
                <w:sz w:val="20"/>
              </w:rPr>
              <w:t>需求场景</w:t>
            </w:r>
          </w:p>
        </w:tc>
        <w:tc>
          <w:tcPr>
            <w:tcW w:type="dxa" w:w="2835"/>
          </w:tcPr>
          <w:p>
            <w:pPr>
              <w:spacing w:after="40" w:before="40"/>
            </w:pPr>
            <w:r>
              <w:rPr>
                <w:b/>
              </w:rPr>
            </w:r>
            <w:r>
              <w:rPr>
                <w:rFonts w:ascii="Times New Roman" w:hAnsi="Times New Roman" w:eastAsia="黑体"/>
                <w:b/>
                <w:i w:val="0"/>
                <w:sz w:val="20"/>
              </w:rPr>
              <w:t>推荐工具</w:t>
            </w:r>
          </w:p>
        </w:tc>
        <w:tc>
          <w:tcPr>
            <w:tcW w:type="dxa" w:w="2835"/>
          </w:tcPr>
          <w:p>
            <w:pPr>
              <w:spacing w:after="40" w:before="40"/>
            </w:pPr>
            <w:r>
              <w:rPr>
                <w:b/>
              </w:rPr>
            </w:r>
            <w:r>
              <w:rPr>
                <w:rFonts w:ascii="Times New Roman" w:hAnsi="Times New Roman" w:eastAsia="黑体"/>
                <w:b/>
                <w:i w:val="0"/>
                <w:sz w:val="20"/>
              </w:rPr>
              <w:t>选择理由</w:t>
            </w:r>
          </w:p>
        </w:tc>
      </w:tr>
      <w:tr>
        <w:tc>
          <w:tcPr>
            <w:tcW w:type="dxa" w:w="2835"/>
          </w:tcPr>
          <w:p>
            <w:pPr>
              <w:spacing w:after="40" w:before="40"/>
            </w:pPr>
            <w:r/>
            <w:r>
              <w:rPr>
                <w:rFonts w:ascii="Times New Roman" w:hAnsi="Times New Roman" w:eastAsia="宋体"/>
                <w:b w:val="0"/>
                <w:i w:val="0"/>
                <w:sz w:val="20"/>
              </w:rPr>
              <w:t>小规模线性RTP</w:t>
            </w:r>
          </w:p>
        </w:tc>
        <w:tc>
          <w:tcPr>
            <w:tcW w:type="dxa" w:w="2835"/>
          </w:tcPr>
          <w:p>
            <w:pPr>
              <w:spacing w:after="40" w:before="40"/>
            </w:pPr>
            <w:r/>
            <w:r>
              <w:rPr>
                <w:rFonts w:ascii="Times New Roman" w:hAnsi="Times New Roman" w:eastAsia="宋体"/>
                <w:b w:val="0"/>
                <w:i w:val="0"/>
                <w:sz w:val="20"/>
              </w:rPr>
              <w:t>CVXPY+Gurobi</w:t>
            </w:r>
          </w:p>
        </w:tc>
        <w:tc>
          <w:tcPr>
            <w:tcW w:type="dxa" w:w="2835"/>
          </w:tcPr>
          <w:p>
            <w:pPr>
              <w:spacing w:after="40" w:before="40"/>
            </w:pPr>
            <w:r/>
            <w:r>
              <w:rPr>
                <w:rFonts w:ascii="Times New Roman" w:hAnsi="Times New Roman" w:eastAsia="宋体"/>
                <w:b w:val="0"/>
                <w:i w:val="0"/>
                <w:sz w:val="20"/>
              </w:rPr>
              <w:t>建模简洁，求解快速</w:t>
            </w:r>
          </w:p>
        </w:tc>
      </w:tr>
      <w:tr>
        <w:tc>
          <w:tcPr>
            <w:tcW w:type="dxa" w:w="2835"/>
            <w:shd w:val="clear" w:color="auto" w:fill="F0F4F8"/>
          </w:tcPr>
          <w:p>
            <w:pPr>
              <w:spacing w:after="40" w:before="40"/>
            </w:pPr>
            <w:r/>
            <w:r>
              <w:rPr>
                <w:rFonts w:ascii="Times New Roman" w:hAnsi="Times New Roman" w:eastAsia="宋体"/>
                <w:b w:val="0"/>
                <w:i w:val="0"/>
                <w:sz w:val="20"/>
              </w:rPr>
              <w:t>大规模非线性RTP</w:t>
            </w:r>
          </w:p>
        </w:tc>
        <w:tc>
          <w:tcPr>
            <w:tcW w:type="dxa" w:w="2835"/>
            <w:shd w:val="clear" w:color="auto" w:fill="F0F4F8"/>
          </w:tcPr>
          <w:p>
            <w:pPr>
              <w:spacing w:after="40" w:before="40"/>
            </w:pPr>
            <w:r/>
            <w:r>
              <w:rPr>
                <w:rFonts w:ascii="Times New Roman" w:hAnsi="Times New Roman" w:eastAsia="宋体"/>
                <w:b w:val="0"/>
                <w:i w:val="0"/>
                <w:sz w:val="20"/>
              </w:rPr>
              <w:t>Pyomo+IPOPT</w:t>
            </w:r>
          </w:p>
        </w:tc>
        <w:tc>
          <w:tcPr>
            <w:tcW w:type="dxa" w:w="2835"/>
            <w:shd w:val="clear" w:color="auto" w:fill="F0F4F8"/>
          </w:tcPr>
          <w:p>
            <w:pPr>
              <w:spacing w:after="40" w:before="40"/>
            </w:pPr>
            <w:r/>
            <w:r>
              <w:rPr>
                <w:rFonts w:ascii="Times New Roman" w:hAnsi="Times New Roman" w:eastAsia="宋体"/>
                <w:b w:val="0"/>
                <w:i w:val="0"/>
                <w:sz w:val="20"/>
              </w:rPr>
              <w:t>支持稀疏矩阵</w:t>
            </w:r>
          </w:p>
        </w:tc>
      </w:tr>
      <w:tr>
        <w:tc>
          <w:tcPr>
            <w:tcW w:type="dxa" w:w="2835"/>
          </w:tcPr>
          <w:p>
            <w:pPr>
              <w:spacing w:after="40" w:before="40"/>
            </w:pPr>
            <w:r/>
            <w:r>
              <w:rPr>
                <w:rFonts w:ascii="Times New Roman" w:hAnsi="Times New Roman" w:eastAsia="宋体"/>
                <w:b w:val="0"/>
                <w:i w:val="0"/>
                <w:sz w:val="20"/>
              </w:rPr>
              <w:t>互补问题求解</w:t>
            </w:r>
          </w:p>
        </w:tc>
        <w:tc>
          <w:tcPr>
            <w:tcW w:type="dxa" w:w="2835"/>
          </w:tcPr>
          <w:p>
            <w:pPr>
              <w:spacing w:after="40" w:before="40"/>
            </w:pPr>
            <w:r/>
            <w:r>
              <w:rPr>
                <w:rFonts w:ascii="Times New Roman" w:hAnsi="Times New Roman" w:eastAsia="宋体"/>
                <w:b w:val="0"/>
                <w:i w:val="0"/>
                <w:sz w:val="20"/>
              </w:rPr>
              <w:t>PATH Solver</w:t>
            </w:r>
          </w:p>
        </w:tc>
        <w:tc>
          <w:tcPr>
            <w:tcW w:type="dxa" w:w="2835"/>
          </w:tcPr>
          <w:p>
            <w:pPr>
              <w:spacing w:after="40" w:before="40"/>
            </w:pPr>
            <w:r/>
            <w:r>
              <w:rPr>
                <w:rFonts w:ascii="Times New Roman" w:hAnsi="Times New Roman" w:eastAsia="宋体"/>
                <w:b w:val="0"/>
                <w:i w:val="0"/>
                <w:sz w:val="20"/>
              </w:rPr>
              <w:t>商用求解器，稳定可靠</w:t>
            </w:r>
          </w:p>
        </w:tc>
      </w:tr>
      <w:tr>
        <w:tc>
          <w:tcPr>
            <w:tcW w:type="dxa" w:w="2835"/>
            <w:shd w:val="clear" w:color="auto" w:fill="F0F4F8"/>
          </w:tcPr>
          <w:p>
            <w:pPr>
              <w:spacing w:after="40" w:before="40"/>
            </w:pPr>
            <w:r/>
            <w:r>
              <w:rPr>
                <w:rFonts w:ascii="Times New Roman" w:hAnsi="Times New Roman" w:eastAsia="宋体"/>
                <w:b w:val="0"/>
                <w:i w:val="0"/>
                <w:sz w:val="20"/>
              </w:rPr>
              <w:t>博弈论定价</w:t>
            </w:r>
          </w:p>
        </w:tc>
        <w:tc>
          <w:tcPr>
            <w:tcW w:type="dxa" w:w="2835"/>
            <w:shd w:val="clear" w:color="auto" w:fill="F0F4F8"/>
          </w:tcPr>
          <w:p>
            <w:pPr>
              <w:spacing w:after="40" w:before="40"/>
            </w:pPr>
            <w:r/>
            <w:r>
              <w:rPr>
                <w:rFonts w:ascii="Times New Roman" w:hAnsi="Times New Roman" w:eastAsia="宋体"/>
                <w:b w:val="0"/>
                <w:i w:val="0"/>
                <w:sz w:val="20"/>
              </w:rPr>
              <w:t>自编Python/MATLAB</w:t>
            </w:r>
          </w:p>
        </w:tc>
        <w:tc>
          <w:tcPr>
            <w:tcW w:type="dxa" w:w="2835"/>
            <w:shd w:val="clear" w:color="auto" w:fill="F0F4F8"/>
          </w:tcPr>
          <w:p>
            <w:pPr>
              <w:spacing w:after="40" w:before="40"/>
            </w:pPr>
            <w:r/>
            <w:r>
              <w:rPr>
                <w:rFonts w:ascii="Times New Roman" w:hAnsi="Times New Roman" w:eastAsia="宋体"/>
                <w:b w:val="0"/>
                <w:i w:val="0"/>
                <w:sz w:val="20"/>
              </w:rPr>
              <w:t>需定制化求解</w:t>
            </w:r>
          </w:p>
        </w:tc>
      </w:tr>
      <w:tr>
        <w:tc>
          <w:tcPr>
            <w:tcW w:type="dxa" w:w="2835"/>
          </w:tcPr>
          <w:p>
            <w:pPr>
              <w:spacing w:after="40" w:before="40"/>
            </w:pPr>
            <w:r/>
            <w:r>
              <w:rPr>
                <w:rFonts w:ascii="Times New Roman" w:hAnsi="Times New Roman" w:eastAsia="宋体"/>
                <w:b w:val="0"/>
                <w:i w:val="0"/>
                <w:sz w:val="20"/>
              </w:rPr>
              <w:t>DRL定价</w:t>
            </w:r>
          </w:p>
        </w:tc>
        <w:tc>
          <w:tcPr>
            <w:tcW w:type="dxa" w:w="2835"/>
          </w:tcPr>
          <w:p>
            <w:pPr>
              <w:spacing w:after="40" w:before="40"/>
            </w:pPr>
            <w:r/>
            <w:r>
              <w:rPr>
                <w:rFonts w:ascii="Times New Roman" w:hAnsi="Times New Roman" w:eastAsia="宋体"/>
                <w:b w:val="0"/>
                <w:i w:val="0"/>
                <w:sz w:val="20"/>
              </w:rPr>
              <w:t>Stable Baselines3</w:t>
            </w:r>
          </w:p>
        </w:tc>
        <w:tc>
          <w:tcPr>
            <w:tcW w:type="dxa" w:w="2835"/>
          </w:tcPr>
          <w:p>
            <w:pPr>
              <w:spacing w:after="40" w:before="40"/>
            </w:pPr>
            <w:r/>
            <w:r>
              <w:rPr>
                <w:rFonts w:ascii="Times New Roman" w:hAnsi="Times New Roman" w:eastAsia="宋体"/>
                <w:b w:val="0"/>
                <w:i w:val="0"/>
                <w:sz w:val="20"/>
              </w:rPr>
              <w:t>易上手，算法丰富</w:t>
            </w:r>
          </w:p>
        </w:tc>
      </w:tr>
      <w:tr>
        <w:tc>
          <w:tcPr>
            <w:tcW w:type="dxa" w:w="2835"/>
            <w:shd w:val="clear" w:color="auto" w:fill="F0F4F8"/>
          </w:tcPr>
          <w:p>
            <w:pPr>
              <w:spacing w:after="40" w:before="40"/>
            </w:pPr>
            <w:r/>
            <w:r>
              <w:rPr>
                <w:rFonts w:ascii="Times New Roman" w:hAnsi="Times New Roman" w:eastAsia="宋体"/>
                <w:b w:val="0"/>
                <w:i w:val="0"/>
                <w:sz w:val="20"/>
              </w:rPr>
              <w:t>多能源优化</w:t>
            </w:r>
          </w:p>
        </w:tc>
        <w:tc>
          <w:tcPr>
            <w:tcW w:type="dxa" w:w="2835"/>
            <w:shd w:val="clear" w:color="auto" w:fill="F0F4F8"/>
          </w:tcPr>
          <w:p>
            <w:pPr>
              <w:spacing w:after="40" w:before="40"/>
            </w:pPr>
            <w:r/>
            <w:r>
              <w:rPr>
                <w:rFonts w:ascii="Times New Roman" w:hAnsi="Times New Roman" w:eastAsia="宋体"/>
                <w:b w:val="0"/>
                <w:i w:val="0"/>
                <w:sz w:val="20"/>
              </w:rPr>
              <w:t>Pyomo+IPOPT</w:t>
            </w:r>
          </w:p>
        </w:tc>
        <w:tc>
          <w:tcPr>
            <w:tcW w:type="dxa" w:w="2835"/>
            <w:shd w:val="clear" w:color="auto" w:fill="F0F4F8"/>
          </w:tcPr>
          <w:p>
            <w:pPr>
              <w:spacing w:after="40" w:before="40"/>
            </w:pPr>
            <w:r/>
            <w:r>
              <w:rPr>
                <w:rFonts w:ascii="Times New Roman" w:hAnsi="Times New Roman" w:eastAsia="宋体"/>
                <w:b w:val="0"/>
                <w:i w:val="0"/>
                <w:sz w:val="20"/>
              </w:rPr>
              <w:t>支持多能源耦合</w:t>
            </w:r>
          </w:p>
        </w:tc>
      </w:tr>
      <w:tr>
        <w:tc>
          <w:tcPr>
            <w:tcW w:type="dxa" w:w="2835"/>
          </w:tcPr>
          <w:p>
            <w:pPr>
              <w:spacing w:after="40" w:before="40"/>
            </w:pPr>
            <w:r/>
            <w:r>
              <w:rPr>
                <w:rFonts w:ascii="Times New Roman" w:hAnsi="Times New Roman" w:eastAsia="宋体"/>
                <w:b w:val="0"/>
                <w:i w:val="0"/>
                <w:sz w:val="20"/>
              </w:rPr>
              <w:t>鲁棒优化</w:t>
            </w:r>
          </w:p>
        </w:tc>
        <w:tc>
          <w:tcPr>
            <w:tcW w:type="dxa" w:w="2835"/>
          </w:tcPr>
          <w:p>
            <w:pPr>
              <w:spacing w:after="40" w:before="40"/>
            </w:pPr>
            <w:r/>
            <w:r>
              <w:rPr>
                <w:rFonts w:ascii="Times New Roman" w:hAnsi="Times New Roman" w:eastAsia="宋体"/>
                <w:b w:val="0"/>
                <w:i w:val="0"/>
                <w:sz w:val="20"/>
              </w:rPr>
              <w:t>RSOME</w:t>
            </w:r>
          </w:p>
        </w:tc>
        <w:tc>
          <w:tcPr>
            <w:tcW w:type="dxa" w:w="2835"/>
          </w:tcPr>
          <w:p>
            <w:pPr>
              <w:spacing w:after="40" w:before="40"/>
            </w:pPr>
            <w:r/>
            <w:r>
              <w:rPr>
                <w:rFonts w:ascii="Times New Roman" w:hAnsi="Times New Roman" w:eastAsia="宋体"/>
                <w:b w:val="0"/>
                <w:i w:val="0"/>
                <w:sz w:val="20"/>
              </w:rPr>
              <w:t>专用鲁棒优化库</w:t>
            </w:r>
          </w:p>
        </w:tc>
      </w:tr>
      <w:tr>
        <w:tc>
          <w:tcPr>
            <w:tcW w:type="dxa" w:w="2835"/>
            <w:shd w:val="clear" w:color="auto" w:fill="F0F4F8"/>
          </w:tcPr>
          <w:p>
            <w:pPr>
              <w:spacing w:after="40" w:before="40"/>
            </w:pPr>
            <w:r/>
            <w:r>
              <w:rPr>
                <w:rFonts w:ascii="Times New Roman" w:hAnsi="Times New Roman" w:eastAsia="宋体"/>
                <w:b w:val="0"/>
                <w:i w:val="0"/>
                <w:sz w:val="20"/>
              </w:rPr>
              <w:t>实时部署</w:t>
            </w:r>
          </w:p>
        </w:tc>
        <w:tc>
          <w:tcPr>
            <w:tcW w:type="dxa" w:w="2835"/>
            <w:shd w:val="clear" w:color="auto" w:fill="F0F4F8"/>
          </w:tcPr>
          <w:p>
            <w:pPr>
              <w:spacing w:after="40" w:before="40"/>
            </w:pPr>
            <w:r/>
            <w:r>
              <w:rPr>
                <w:rFonts w:ascii="Times New Roman" w:hAnsi="Times New Roman" w:eastAsia="宋体"/>
                <w:b w:val="0"/>
                <w:i w:val="0"/>
                <w:sz w:val="20"/>
              </w:rPr>
              <w:t>C++/Rust</w:t>
            </w:r>
          </w:p>
        </w:tc>
        <w:tc>
          <w:tcPr>
            <w:tcW w:type="dxa" w:w="2835"/>
            <w:shd w:val="clear" w:color="auto" w:fill="F0F4F8"/>
          </w:tcPr>
          <w:p>
            <w:pPr>
              <w:spacing w:after="40" w:before="40"/>
            </w:pPr>
            <w:r/>
            <w:r>
              <w:rPr>
                <w:rFonts w:ascii="Times New Roman" w:hAnsi="Times New Roman" w:eastAsia="宋体"/>
                <w:b w:val="0"/>
                <w:i w:val="0"/>
                <w:sz w:val="20"/>
              </w:rPr>
              <w:t>追求极致性能</w:t>
            </w:r>
          </w:p>
        </w:tc>
      </w:tr>
    </w:tbl>
    <w:p>
      <w:pPr>
        <w:pStyle w:val="Heading2"/>
        <w:spacing w:before="240" w:after="80"/>
      </w:pPr>
      <w:r>
        <w:rPr>
          <w:rFonts w:ascii="Times New Roman" w:hAnsi="Times New Roman" w:eastAsia="黑体"/>
          <w:b/>
          <w:i w:val="0"/>
          <w:sz w:val="28"/>
        </w:rPr>
        <w:t>B.11 开源项目推荐</w:t>
      </w:r>
    </w:p>
    <w:tbl>
      <w:tblPr>
        <w:tblStyle w:val="LightGrid-Accent1"/>
        <w:tblW w:type="auto" w:w="0"/>
        <w:jc w:val="center"/>
        <w:tblLook w:firstColumn="1" w:firstRow="1" w:lastColumn="0" w:lastRow="0" w:noHBand="0" w:noVBand="1" w:val="04A0"/>
      </w:tblPr>
      <w:tblGrid>
        <w:gridCol w:w="2126"/>
        <w:gridCol w:w="2126"/>
        <w:gridCol w:w="2126"/>
        <w:gridCol w:w="2126"/>
      </w:tblGrid>
      <w:tr>
        <w:tc>
          <w:tcPr>
            <w:tcW w:type="dxa" w:w="2126"/>
          </w:tcPr>
          <w:p>
            <w:pPr>
              <w:spacing w:after="40" w:before="40"/>
            </w:pPr>
            <w:r>
              <w:rPr>
                <w:b/>
              </w:rPr>
            </w:r>
            <w:r>
              <w:rPr>
                <w:rFonts w:ascii="Times New Roman" w:hAnsi="Times New Roman" w:eastAsia="黑体"/>
                <w:b/>
                <w:i w:val="0"/>
                <w:sz w:val="20"/>
              </w:rPr>
              <w:t>项目名</w:t>
            </w:r>
          </w:p>
        </w:tc>
        <w:tc>
          <w:tcPr>
            <w:tcW w:type="dxa" w:w="2126"/>
          </w:tcPr>
          <w:p>
            <w:pPr>
              <w:spacing w:after="40" w:before="40"/>
            </w:pPr>
            <w:r>
              <w:rPr>
                <w:b/>
              </w:rPr>
            </w:r>
            <w:r>
              <w:rPr>
                <w:rFonts w:ascii="Times New Roman" w:hAnsi="Times New Roman" w:eastAsia="黑体"/>
                <w:b/>
                <w:i w:val="0"/>
                <w:sz w:val="20"/>
              </w:rPr>
              <w:t>语言</w:t>
            </w:r>
          </w:p>
        </w:tc>
        <w:tc>
          <w:tcPr>
            <w:tcW w:type="dxa" w:w="2126"/>
          </w:tcPr>
          <w:p>
            <w:pPr>
              <w:spacing w:after="40" w:before="40"/>
            </w:pPr>
            <w:r>
              <w:rPr>
                <w:b/>
              </w:rPr>
            </w:r>
            <w:r>
              <w:rPr>
                <w:rFonts w:ascii="Times New Roman" w:hAnsi="Times New Roman" w:eastAsia="黑体"/>
                <w:b/>
                <w:i w:val="0"/>
                <w:sz w:val="20"/>
              </w:rPr>
              <w:t>功能</w:t>
            </w:r>
          </w:p>
        </w:tc>
        <w:tc>
          <w:tcPr>
            <w:tcW w:type="dxa" w:w="2126"/>
          </w:tcPr>
          <w:p>
            <w:pPr>
              <w:spacing w:after="40" w:before="40"/>
            </w:pPr>
            <w:r>
              <w:rPr>
                <w:b/>
              </w:rPr>
            </w:r>
            <w:r>
              <w:rPr>
                <w:rFonts w:ascii="Times New Roman" w:hAnsi="Times New Roman" w:eastAsia="黑体"/>
                <w:b/>
                <w:i w:val="0"/>
                <w:sz w:val="20"/>
              </w:rPr>
              <w:t>Stars</w:t>
            </w:r>
          </w:p>
        </w:tc>
      </w:tr>
      <w:tr>
        <w:tc>
          <w:tcPr>
            <w:tcW w:type="dxa" w:w="2126"/>
          </w:tcPr>
          <w:p>
            <w:pPr>
              <w:spacing w:after="40" w:before="40"/>
            </w:pPr>
            <w:r/>
            <w:r>
              <w:rPr>
                <w:rFonts w:ascii="Times New Roman" w:hAnsi="Times New Roman" w:eastAsia="宋体"/>
                <w:b w:val="0"/>
                <w:i w:val="0"/>
                <w:sz w:val="20"/>
              </w:rPr>
              <w:t>pandapower</w:t>
            </w:r>
          </w:p>
        </w:tc>
        <w:tc>
          <w:tcPr>
            <w:tcW w:type="dxa" w:w="2126"/>
          </w:tcPr>
          <w:p>
            <w:pPr>
              <w:spacing w:after="40" w:before="40"/>
            </w:pPr>
            <w:r/>
            <w:r>
              <w:rPr>
                <w:rFonts w:ascii="Times New Roman" w:hAnsi="Times New Roman" w:eastAsia="宋体"/>
                <w:b w:val="0"/>
                <w:i w:val="0"/>
                <w:sz w:val="20"/>
              </w:rPr>
              <w:t>Python</w:t>
            </w:r>
          </w:p>
        </w:tc>
        <w:tc>
          <w:tcPr>
            <w:tcW w:type="dxa" w:w="2126"/>
          </w:tcPr>
          <w:p>
            <w:pPr>
              <w:spacing w:after="40" w:before="40"/>
            </w:pPr>
            <w:r/>
            <w:r>
              <w:rPr>
                <w:rFonts w:ascii="Times New Roman" w:hAnsi="Times New Roman" w:eastAsia="宋体"/>
                <w:b w:val="0"/>
                <w:i w:val="0"/>
                <w:sz w:val="20"/>
              </w:rPr>
              <w:t>配电网仿真</w:t>
            </w:r>
          </w:p>
        </w:tc>
        <w:tc>
          <w:tcPr>
            <w:tcW w:type="dxa" w:w="2126"/>
          </w:tcPr>
          <w:p>
            <w:pPr>
              <w:spacing w:after="40" w:before="40"/>
            </w:pPr>
            <w:r/>
            <w:r>
              <w:rPr>
                <w:rFonts w:ascii="Times New Roman" w:hAnsi="Times New Roman" w:eastAsia="宋体"/>
                <w:b w:val="0"/>
                <w:i w:val="0"/>
                <w:sz w:val="20"/>
              </w:rPr>
              <w:t>2.5k+</w:t>
            </w:r>
          </w:p>
        </w:tc>
      </w:tr>
      <w:tr>
        <w:tc>
          <w:tcPr>
            <w:tcW w:type="dxa" w:w="2126"/>
            <w:shd w:val="clear" w:color="auto" w:fill="F0F4F8"/>
          </w:tcPr>
          <w:p>
            <w:pPr>
              <w:spacing w:after="40" w:before="40"/>
            </w:pPr>
            <w:r/>
            <w:r>
              <w:rPr>
                <w:rFonts w:ascii="Times New Roman" w:hAnsi="Times New Roman" w:eastAsia="宋体"/>
                <w:b w:val="0"/>
                <w:i w:val="0"/>
                <w:sz w:val="20"/>
              </w:rPr>
              <w:t>PyPSA</w:t>
            </w:r>
          </w:p>
        </w:tc>
        <w:tc>
          <w:tcPr>
            <w:tcW w:type="dxa" w:w="2126"/>
            <w:shd w:val="clear" w:color="auto" w:fill="F0F4F8"/>
          </w:tcPr>
          <w:p>
            <w:pPr>
              <w:spacing w:after="40" w:before="40"/>
            </w:pPr>
            <w:r/>
            <w:r>
              <w:rPr>
                <w:rFonts w:ascii="Times New Roman" w:hAnsi="Times New Roman" w:eastAsia="宋体"/>
                <w:b w:val="0"/>
                <w:i w:val="0"/>
                <w:sz w:val="20"/>
              </w:rPr>
              <w:t>Python</w:t>
            </w:r>
          </w:p>
        </w:tc>
        <w:tc>
          <w:tcPr>
            <w:tcW w:type="dxa" w:w="2126"/>
            <w:shd w:val="clear" w:color="auto" w:fill="F0F4F8"/>
          </w:tcPr>
          <w:p>
            <w:pPr>
              <w:spacing w:after="40" w:before="40"/>
            </w:pPr>
            <w:r/>
            <w:r>
              <w:rPr>
                <w:rFonts w:ascii="Times New Roman" w:hAnsi="Times New Roman" w:eastAsia="宋体"/>
                <w:b w:val="0"/>
                <w:i w:val="0"/>
                <w:sz w:val="20"/>
              </w:rPr>
              <w:t>电力系统优化</w:t>
            </w:r>
          </w:p>
        </w:tc>
        <w:tc>
          <w:tcPr>
            <w:tcW w:type="dxa" w:w="2126"/>
            <w:shd w:val="clear" w:color="auto" w:fill="F0F4F8"/>
          </w:tcPr>
          <w:p>
            <w:pPr>
              <w:spacing w:after="40" w:before="40"/>
            </w:pPr>
            <w:r/>
            <w:r>
              <w:rPr>
                <w:rFonts w:ascii="Times New Roman" w:hAnsi="Times New Roman" w:eastAsia="宋体"/>
                <w:b w:val="0"/>
                <w:i w:val="0"/>
                <w:sz w:val="20"/>
              </w:rPr>
              <w:t>1.5k+</w:t>
            </w:r>
          </w:p>
        </w:tc>
      </w:tr>
      <w:tr>
        <w:tc>
          <w:tcPr>
            <w:tcW w:type="dxa" w:w="2126"/>
          </w:tcPr>
          <w:p>
            <w:pPr>
              <w:spacing w:after="40" w:before="40"/>
            </w:pPr>
            <w:r/>
            <w:r>
              <w:rPr>
                <w:rFonts w:ascii="Times New Roman" w:hAnsi="Times New Roman" w:eastAsia="宋体"/>
                <w:b w:val="0"/>
                <w:i w:val="0"/>
                <w:sz w:val="20"/>
              </w:rPr>
              <w:t>GridLAB-D</w:t>
            </w:r>
          </w:p>
        </w:tc>
        <w:tc>
          <w:tcPr>
            <w:tcW w:type="dxa" w:w="2126"/>
          </w:tcPr>
          <w:p>
            <w:pPr>
              <w:spacing w:after="40" w:before="40"/>
            </w:pPr>
            <w:r/>
            <w:r>
              <w:rPr>
                <w:rFonts w:ascii="Times New Roman" w:hAnsi="Times New Roman" w:eastAsia="宋体"/>
                <w:b w:val="0"/>
                <w:i w:val="0"/>
                <w:sz w:val="20"/>
              </w:rPr>
              <w:t>C++</w:t>
            </w:r>
          </w:p>
        </w:tc>
        <w:tc>
          <w:tcPr>
            <w:tcW w:type="dxa" w:w="2126"/>
          </w:tcPr>
          <w:p>
            <w:pPr>
              <w:spacing w:after="40" w:before="40"/>
            </w:pPr>
            <w:r/>
            <w:r>
              <w:rPr>
                <w:rFonts w:ascii="Times New Roman" w:hAnsi="Times New Roman" w:eastAsia="宋体"/>
                <w:b w:val="0"/>
                <w:i w:val="0"/>
                <w:sz w:val="20"/>
              </w:rPr>
              <w:t>配电网仿真</w:t>
            </w:r>
          </w:p>
        </w:tc>
        <w:tc>
          <w:tcPr>
            <w:tcW w:type="dxa" w:w="2126"/>
          </w:tcPr>
          <w:p>
            <w:pPr>
              <w:spacing w:after="40" w:before="40"/>
            </w:pPr>
            <w:r/>
            <w:r>
              <w:rPr>
                <w:rFonts w:ascii="Times New Roman" w:hAnsi="Times New Roman" w:eastAsia="宋体"/>
                <w:b w:val="0"/>
                <w:i w:val="0"/>
                <w:sz w:val="20"/>
              </w:rPr>
              <w:t>500+</w:t>
            </w:r>
          </w:p>
        </w:tc>
      </w:tr>
      <w:tr>
        <w:tc>
          <w:tcPr>
            <w:tcW w:type="dxa" w:w="2126"/>
            <w:shd w:val="clear" w:color="auto" w:fill="F0F4F8"/>
          </w:tcPr>
          <w:p>
            <w:pPr>
              <w:spacing w:after="40" w:before="40"/>
            </w:pPr>
            <w:r/>
            <w:r>
              <w:rPr>
                <w:rFonts w:ascii="Times New Roman" w:hAnsi="Times New Roman" w:eastAsia="宋体"/>
                <w:b w:val="0"/>
                <w:i w:val="0"/>
                <w:sz w:val="20"/>
              </w:rPr>
              <w:t>Stable Baselines3</w:t>
            </w:r>
          </w:p>
        </w:tc>
        <w:tc>
          <w:tcPr>
            <w:tcW w:type="dxa" w:w="2126"/>
            <w:shd w:val="clear" w:color="auto" w:fill="F0F4F8"/>
          </w:tcPr>
          <w:p>
            <w:pPr>
              <w:spacing w:after="40" w:before="40"/>
            </w:pPr>
            <w:r/>
            <w:r>
              <w:rPr>
                <w:rFonts w:ascii="Times New Roman" w:hAnsi="Times New Roman" w:eastAsia="宋体"/>
                <w:b w:val="0"/>
                <w:i w:val="0"/>
                <w:sz w:val="20"/>
              </w:rPr>
              <w:t>Python</w:t>
            </w:r>
          </w:p>
        </w:tc>
        <w:tc>
          <w:tcPr>
            <w:tcW w:type="dxa" w:w="2126"/>
            <w:shd w:val="clear" w:color="auto" w:fill="F0F4F8"/>
          </w:tcPr>
          <w:p>
            <w:pPr>
              <w:spacing w:after="40" w:before="40"/>
            </w:pPr>
            <w:r/>
            <w:r>
              <w:rPr>
                <w:rFonts w:ascii="Times New Roman" w:hAnsi="Times New Roman" w:eastAsia="宋体"/>
                <w:b w:val="0"/>
                <w:i w:val="0"/>
                <w:sz w:val="20"/>
              </w:rPr>
              <w:t>RL算法库</w:t>
            </w:r>
          </w:p>
        </w:tc>
        <w:tc>
          <w:tcPr>
            <w:tcW w:type="dxa" w:w="2126"/>
            <w:shd w:val="clear" w:color="auto" w:fill="F0F4F8"/>
          </w:tcPr>
          <w:p>
            <w:pPr>
              <w:spacing w:after="40" w:before="40"/>
            </w:pPr>
            <w:r/>
            <w:r>
              <w:rPr>
                <w:rFonts w:ascii="Times New Roman" w:hAnsi="Times New Roman" w:eastAsia="宋体"/>
                <w:b w:val="0"/>
                <w:i w:val="0"/>
                <w:sz w:val="20"/>
              </w:rPr>
              <w:t>8k+</w:t>
            </w:r>
          </w:p>
        </w:tc>
      </w:tr>
      <w:tr>
        <w:tc>
          <w:tcPr>
            <w:tcW w:type="dxa" w:w="2126"/>
          </w:tcPr>
          <w:p>
            <w:pPr>
              <w:spacing w:after="40" w:before="40"/>
            </w:pPr>
            <w:r/>
            <w:r>
              <w:rPr>
                <w:rFonts w:ascii="Times New Roman" w:hAnsi="Times New Roman" w:eastAsia="宋体"/>
                <w:b w:val="0"/>
                <w:i w:val="0"/>
                <w:sz w:val="20"/>
              </w:rPr>
              <w:t>OpenAI Gym</w:t>
            </w:r>
          </w:p>
        </w:tc>
        <w:tc>
          <w:tcPr>
            <w:tcW w:type="dxa" w:w="2126"/>
          </w:tcPr>
          <w:p>
            <w:pPr>
              <w:spacing w:after="40" w:before="40"/>
            </w:pPr>
            <w:r/>
            <w:r>
              <w:rPr>
                <w:rFonts w:ascii="Times New Roman" w:hAnsi="Times New Roman" w:eastAsia="宋体"/>
                <w:b w:val="0"/>
                <w:i w:val="0"/>
                <w:sz w:val="20"/>
              </w:rPr>
              <w:t>Python</w:t>
            </w:r>
          </w:p>
        </w:tc>
        <w:tc>
          <w:tcPr>
            <w:tcW w:type="dxa" w:w="2126"/>
          </w:tcPr>
          <w:p>
            <w:pPr>
              <w:spacing w:after="40" w:before="40"/>
            </w:pPr>
            <w:r/>
            <w:r>
              <w:rPr>
                <w:rFonts w:ascii="Times New Roman" w:hAnsi="Times New Roman" w:eastAsia="宋体"/>
                <w:b w:val="0"/>
                <w:i w:val="0"/>
                <w:sz w:val="20"/>
              </w:rPr>
              <w:t>RL环境</w:t>
            </w:r>
          </w:p>
        </w:tc>
        <w:tc>
          <w:tcPr>
            <w:tcW w:type="dxa" w:w="2126"/>
          </w:tcPr>
          <w:p>
            <w:pPr>
              <w:spacing w:after="40" w:before="40"/>
            </w:pPr>
            <w:r/>
            <w:r>
              <w:rPr>
                <w:rFonts w:ascii="Times New Roman" w:hAnsi="Times New Roman" w:eastAsia="宋体"/>
                <w:b w:val="0"/>
                <w:i w:val="0"/>
                <w:sz w:val="20"/>
              </w:rPr>
              <w:t>35k+</w:t>
            </w:r>
          </w:p>
        </w:tc>
      </w:tr>
      <w:tr>
        <w:tc>
          <w:tcPr>
            <w:tcW w:type="dxa" w:w="2126"/>
            <w:shd w:val="clear" w:color="auto" w:fill="F0F4F8"/>
          </w:tcPr>
          <w:p>
            <w:pPr>
              <w:spacing w:after="40" w:before="40"/>
            </w:pPr>
            <w:r/>
            <w:r>
              <w:rPr>
                <w:rFonts w:ascii="Times New Roman" w:hAnsi="Times New Roman" w:eastAsia="宋体"/>
                <w:b w:val="0"/>
                <w:i w:val="0"/>
                <w:sz w:val="20"/>
              </w:rPr>
              <w:t>CVXPY</w:t>
            </w:r>
          </w:p>
        </w:tc>
        <w:tc>
          <w:tcPr>
            <w:tcW w:type="dxa" w:w="2126"/>
            <w:shd w:val="clear" w:color="auto" w:fill="F0F4F8"/>
          </w:tcPr>
          <w:p>
            <w:pPr>
              <w:spacing w:after="40" w:before="40"/>
            </w:pPr>
            <w:r/>
            <w:r>
              <w:rPr>
                <w:rFonts w:ascii="Times New Roman" w:hAnsi="Times New Roman" w:eastAsia="宋体"/>
                <w:b w:val="0"/>
                <w:i w:val="0"/>
                <w:sz w:val="20"/>
              </w:rPr>
              <w:t>Python</w:t>
            </w:r>
          </w:p>
        </w:tc>
        <w:tc>
          <w:tcPr>
            <w:tcW w:type="dxa" w:w="2126"/>
            <w:shd w:val="clear" w:color="auto" w:fill="F0F4F8"/>
          </w:tcPr>
          <w:p>
            <w:pPr>
              <w:spacing w:after="40" w:before="40"/>
            </w:pPr>
            <w:r/>
            <w:r>
              <w:rPr>
                <w:rFonts w:ascii="Times New Roman" w:hAnsi="Times New Roman" w:eastAsia="宋体"/>
                <w:b w:val="0"/>
                <w:i w:val="0"/>
                <w:sz w:val="20"/>
              </w:rPr>
              <w:t>凸优化建模</w:t>
            </w:r>
          </w:p>
        </w:tc>
        <w:tc>
          <w:tcPr>
            <w:tcW w:type="dxa" w:w="2126"/>
            <w:shd w:val="clear" w:color="auto" w:fill="F0F4F8"/>
          </w:tcPr>
          <w:p>
            <w:pPr>
              <w:spacing w:after="40" w:before="40"/>
            </w:pPr>
            <w:r/>
            <w:r>
              <w:rPr>
                <w:rFonts w:ascii="Times New Roman" w:hAnsi="Times New Roman" w:eastAsia="宋体"/>
                <w:b w:val="0"/>
                <w:i w:val="0"/>
                <w:sz w:val="20"/>
              </w:rPr>
              <w:t>5k+</w:t>
            </w:r>
          </w:p>
        </w:tc>
      </w:tr>
      <w:tr>
        <w:tc>
          <w:tcPr>
            <w:tcW w:type="dxa" w:w="2126"/>
          </w:tcPr>
          <w:p>
            <w:pPr>
              <w:spacing w:after="40" w:before="40"/>
            </w:pPr>
            <w:r/>
            <w:r>
              <w:rPr>
                <w:rFonts w:ascii="Times New Roman" w:hAnsi="Times New Roman" w:eastAsia="宋体"/>
                <w:b w:val="0"/>
                <w:i w:val="0"/>
                <w:sz w:val="20"/>
              </w:rPr>
              <w:t>Pyomo</w:t>
            </w:r>
          </w:p>
        </w:tc>
        <w:tc>
          <w:tcPr>
            <w:tcW w:type="dxa" w:w="2126"/>
          </w:tcPr>
          <w:p>
            <w:pPr>
              <w:spacing w:after="40" w:before="40"/>
            </w:pPr>
            <w:r/>
            <w:r>
              <w:rPr>
                <w:rFonts w:ascii="Times New Roman" w:hAnsi="Times New Roman" w:eastAsia="宋体"/>
                <w:b w:val="0"/>
                <w:i w:val="0"/>
                <w:sz w:val="20"/>
              </w:rPr>
              <w:t>Python</w:t>
            </w:r>
          </w:p>
        </w:tc>
        <w:tc>
          <w:tcPr>
            <w:tcW w:type="dxa" w:w="2126"/>
          </w:tcPr>
          <w:p>
            <w:pPr>
              <w:spacing w:after="40" w:before="40"/>
            </w:pPr>
            <w:r/>
            <w:r>
              <w:rPr>
                <w:rFonts w:ascii="Times New Roman" w:hAnsi="Times New Roman" w:eastAsia="宋体"/>
                <w:b w:val="0"/>
                <w:i w:val="0"/>
                <w:sz w:val="20"/>
              </w:rPr>
              <w:t>优化建模</w:t>
            </w:r>
          </w:p>
        </w:tc>
        <w:tc>
          <w:tcPr>
            <w:tcW w:type="dxa" w:w="2126"/>
          </w:tcPr>
          <w:p>
            <w:pPr>
              <w:spacing w:after="40" w:before="40"/>
            </w:pPr>
            <w:r/>
            <w:r>
              <w:rPr>
                <w:rFonts w:ascii="Times New Roman" w:hAnsi="Times New Roman" w:eastAsia="宋体"/>
                <w:b w:val="0"/>
                <w:i w:val="0"/>
                <w:sz w:val="20"/>
              </w:rPr>
              <w:t>2k+</w:t>
            </w:r>
          </w:p>
        </w:tc>
      </w:tr>
    </w:tbl>
    <w:p>
      <w:pPr>
        <w:pStyle w:val="Heading2"/>
        <w:spacing w:before="240" w:after="80"/>
      </w:pPr>
      <w:r>
        <w:rPr>
          <w:rFonts w:ascii="Times New Roman" w:hAnsi="Times New Roman" w:eastAsia="黑体"/>
          <w:b/>
          <w:i w:val="0"/>
          <w:sz w:val="28"/>
        </w:rPr>
        <w:t>B.12 扩展阅读</w:t>
      </w:r>
    </w:p>
    <w:p>
      <w:pPr>
        <w:spacing w:line="360" w:lineRule="auto" w:after="0"/>
        <w:ind w:firstLine="425"/>
      </w:pPr>
      <w:r>
        <w:rPr>
          <w:rFonts w:ascii="Times New Roman" w:hAnsi="Times New Roman" w:eastAsia="宋体"/>
          <w:b w:val="0"/>
          <w:i w:val="0"/>
          <w:sz w:val="22"/>
        </w:rPr>
        <w:t>以下书籍和论文推荐给希望深入学习实时定价的读者：</w:t>
      </w:r>
    </w:p>
    <w:p>
      <w:pPr>
        <w:pStyle w:val="ListNumber"/>
        <w:spacing w:line="360" w:lineRule="auto" w:after="0"/>
      </w:pPr>
      <w:r>
        <w:rPr>
          <w:rFonts w:ascii="Times New Roman" w:hAnsi="Times New Roman" w:eastAsia="宋体"/>
          <w:b w:val="0"/>
          <w:i w:val="0"/>
          <w:sz w:val="22"/>
        </w:rPr>
        <w:t>高岩. 智能电网实时定价的互补问题方法. 科学出版社, 2020. 系统介绍互补问题理论及其在RTP中的应用</w:t>
      </w:r>
    </w:p>
    <w:p>
      <w:pPr>
        <w:pStyle w:val="ListNumber"/>
        <w:spacing w:line="360" w:lineRule="auto" w:after="0"/>
      </w:pPr>
      <w:r>
        <w:rPr>
          <w:rFonts w:ascii="Times New Roman" w:hAnsi="Times New Roman" w:eastAsia="宋体"/>
          <w:b w:val="0"/>
          <w:i w:val="0"/>
          <w:sz w:val="22"/>
        </w:rPr>
        <w:t>Schweppe F C et al. Spot Pricing of Electricity. Kluwer Academic, 1988. 实时电价理论的奠基之作</w:t>
      </w:r>
    </w:p>
    <w:p>
      <w:pPr>
        <w:pStyle w:val="ListNumber"/>
        <w:spacing w:line="360" w:lineRule="auto" w:after="0"/>
      </w:pPr>
      <w:r>
        <w:rPr>
          <w:rFonts w:ascii="Times New Roman" w:hAnsi="Times New Roman" w:eastAsia="宋体"/>
          <w:b w:val="0"/>
          <w:i w:val="0"/>
          <w:sz w:val="22"/>
        </w:rPr>
        <w:t>Conejo A J et al. Decomposition Techniques in Mathematical Programming. Springer, 2006. 优化分解方法的权威教材</w:t>
      </w:r>
    </w:p>
    <w:p>
      <w:pPr>
        <w:pStyle w:val="ListNumber"/>
        <w:spacing w:line="360" w:lineRule="auto" w:after="0"/>
      </w:pPr>
      <w:r>
        <w:rPr>
          <w:rFonts w:ascii="Times New Roman" w:hAnsi="Times New Roman" w:eastAsia="宋体"/>
          <w:b w:val="0"/>
          <w:i w:val="0"/>
          <w:sz w:val="22"/>
        </w:rPr>
        <w:t>Boyd S, Vandenberghe L. Convex Optimization. Cambridge University Press, 2004. 凸优化经典教材</w:t>
      </w:r>
    </w:p>
    <w:p>
      <w:pPr>
        <w:pStyle w:val="ListNumber"/>
        <w:spacing w:line="360" w:lineRule="auto" w:after="0"/>
      </w:pPr>
      <w:r>
        <w:rPr>
          <w:rFonts w:ascii="Times New Roman" w:hAnsi="Times New Roman" w:eastAsia="宋体"/>
          <w:b w:val="0"/>
          <w:i w:val="0"/>
          <w:sz w:val="22"/>
        </w:rPr>
        <w:t>Bertsekas D P. Dynamic Programming and Optimal Control. Athena Scientific, 2017. 动态规划与最优控制</w:t>
      </w:r>
    </w:p>
    <w:p>
      <w:pPr>
        <w:pStyle w:val="ListNumber"/>
        <w:spacing w:line="360" w:lineRule="auto" w:after="0"/>
      </w:pPr>
      <w:r>
        <w:rPr>
          <w:rFonts w:ascii="Times New Roman" w:hAnsi="Times New Roman" w:eastAsia="宋体"/>
          <w:b w:val="0"/>
          <w:i w:val="0"/>
          <w:sz w:val="22"/>
        </w:rPr>
        <w:t>Sutton R S, Barto A G. Reinforcement Learning: An Introduction. MIT Press, 2018. 强化学习圣经</w:t>
      </w:r>
    </w:p>
    <w:p>
      <w:pPr>
        <w:pStyle w:val="ListNumber"/>
        <w:spacing w:line="360" w:lineRule="auto" w:after="0"/>
      </w:pPr>
      <w:r>
        <w:rPr>
          <w:rFonts w:ascii="Times New Roman" w:hAnsi="Times New Roman" w:eastAsia="宋体"/>
          <w:b w:val="0"/>
          <w:i w:val="0"/>
          <w:sz w:val="22"/>
        </w:rPr>
        <w:t>Ben-Tal A, El Ghaoui L, Nemirovski A. Robust Optimization. Princeton University Press, 2009. 鲁棒优化专著</w:t>
      </w:r>
    </w:p>
    <w:p>
      <w:pPr>
        <w:pStyle w:val="ListNumber"/>
        <w:spacing w:line="360" w:lineRule="auto" w:after="0"/>
      </w:pPr>
      <w:r>
        <w:rPr>
          <w:rFonts w:ascii="Times New Roman" w:hAnsi="Times New Roman" w:eastAsia="宋体"/>
          <w:b w:val="0"/>
          <w:i w:val="0"/>
          <w:sz w:val="22"/>
        </w:rPr>
        <w:t>Facchinei F, Pang J S. Finite-Dimensional Variational Inequalities and Complementarity Problems. Springer, 2003. 变分不等式与互补问题百科全书式著作</w:t>
      </w:r>
    </w:p>
    <w:p>
      <w:pPr>
        <w:spacing w:line="360" w:lineRule="auto" w:after="0"/>
        <w:ind w:firstLine="425"/>
      </w:pPr>
      <w:r>
        <w:rPr>
          <w:rFonts w:ascii="Times New Roman" w:hAnsi="Times New Roman" w:eastAsia="宋体"/>
          <w:b w:val="0"/>
          <w:i w:val="0"/>
          <w:sz w:val="22"/>
        </w:rPr>
        <w:t>建议定期关注IEEE Transactions on Smart Grid和Applied Energy等期刊的最新发表，以及arXiv上eess.SY和cs.LG分类下的预印本论文，以跟踪领域最新进展。</w:t>
      </w:r>
    </w:p>
    <w:p>
      <w:r>
        <w:br w:type="page"/>
      </w:r>
    </w:p>
    <w:p>
      <w:pPr>
        <w:pStyle w:val="Heading1"/>
        <w:spacing w:before="360" w:after="120"/>
      </w:pPr>
      <w:r>
        <w:rPr>
          <w:rFonts w:ascii="Times New Roman" w:hAnsi="Times New Roman" w:eastAsia="黑体"/>
          <w:b/>
          <w:i w:val="0"/>
          <w:sz w:val="32"/>
        </w:rPr>
        <w:t>附录C  案例库</w:t>
      </w:r>
    </w:p>
    <w:p>
      <w:pPr>
        <w:spacing w:line="360" w:lineRule="auto" w:after="0"/>
        <w:ind w:firstLine="425"/>
      </w:pPr>
      <w:r>
        <w:rPr>
          <w:rFonts w:ascii="Times New Roman" w:hAnsi="Times New Roman" w:eastAsia="宋体"/>
          <w:b w:val="0"/>
          <w:i w:val="0"/>
          <w:sz w:val="22"/>
        </w:rPr>
        <w:t>本附录收录智能电网实时定价领域的国内外典型实践案例，涵盖试点项目、商业应用和学术研究案例。</w:t>
      </w:r>
    </w:p>
    <w:p>
      <w:pPr>
        <w:pStyle w:val="Heading2"/>
        <w:spacing w:before="240" w:after="80"/>
      </w:pPr>
      <w:r>
        <w:rPr>
          <w:rFonts w:ascii="Times New Roman" w:hAnsi="Times New Roman" w:eastAsia="黑体"/>
          <w:b/>
          <w:i w:val="0"/>
          <w:sz w:val="28"/>
        </w:rPr>
        <w:t>C.1 国际案例</w:t>
      </w:r>
    </w:p>
    <w:tbl>
      <w:tblPr>
        <w:tblStyle w:val="LightGrid-Accent1"/>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pPr>
              <w:spacing w:after="40" w:before="40"/>
            </w:pPr>
            <w:r>
              <w:rPr>
                <w:b/>
              </w:rPr>
            </w:r>
            <w:r>
              <w:rPr>
                <w:rFonts w:ascii="Times New Roman" w:hAnsi="Times New Roman" w:eastAsia="黑体"/>
                <w:b/>
                <w:i w:val="0"/>
                <w:sz w:val="20"/>
              </w:rPr>
              <w:t>序号</w:t>
            </w:r>
          </w:p>
        </w:tc>
        <w:tc>
          <w:tcPr>
            <w:tcW w:type="dxa" w:w="1417"/>
          </w:tcPr>
          <w:p>
            <w:pPr>
              <w:spacing w:after="40" w:before="40"/>
            </w:pPr>
            <w:r>
              <w:rPr>
                <w:b/>
              </w:rPr>
            </w:r>
            <w:r>
              <w:rPr>
                <w:rFonts w:ascii="Times New Roman" w:hAnsi="Times New Roman" w:eastAsia="黑体"/>
                <w:b/>
                <w:i w:val="0"/>
                <w:sz w:val="20"/>
              </w:rPr>
              <w:t>项目名称</w:t>
            </w:r>
          </w:p>
        </w:tc>
        <w:tc>
          <w:tcPr>
            <w:tcW w:type="dxa" w:w="1417"/>
          </w:tcPr>
          <w:p>
            <w:pPr>
              <w:spacing w:after="40" w:before="40"/>
            </w:pPr>
            <w:r>
              <w:rPr>
                <w:b/>
              </w:rPr>
            </w:r>
            <w:r>
              <w:rPr>
                <w:rFonts w:ascii="Times New Roman" w:hAnsi="Times New Roman" w:eastAsia="黑体"/>
                <w:b/>
                <w:i w:val="0"/>
                <w:sz w:val="20"/>
              </w:rPr>
              <w:t>国家/地区</w:t>
            </w:r>
          </w:p>
        </w:tc>
        <w:tc>
          <w:tcPr>
            <w:tcW w:type="dxa" w:w="1417"/>
          </w:tcPr>
          <w:p>
            <w:pPr>
              <w:spacing w:after="40" w:before="40"/>
            </w:pPr>
            <w:r>
              <w:rPr>
                <w:b/>
              </w:rPr>
            </w:r>
            <w:r>
              <w:rPr>
                <w:rFonts w:ascii="Times New Roman" w:hAnsi="Times New Roman" w:eastAsia="黑体"/>
                <w:b/>
                <w:i w:val="0"/>
                <w:sz w:val="20"/>
              </w:rPr>
              <w:t>实施年份</w:t>
            </w:r>
          </w:p>
        </w:tc>
        <w:tc>
          <w:tcPr>
            <w:tcW w:type="dxa" w:w="1417"/>
          </w:tcPr>
          <w:p>
            <w:pPr>
              <w:spacing w:after="40" w:before="40"/>
            </w:pPr>
            <w:r>
              <w:rPr>
                <w:b/>
              </w:rPr>
            </w:r>
            <w:r>
              <w:rPr>
                <w:rFonts w:ascii="Times New Roman" w:hAnsi="Times New Roman" w:eastAsia="黑体"/>
                <w:b/>
                <w:i w:val="0"/>
                <w:sz w:val="20"/>
              </w:rPr>
              <w:t>核心内容</w:t>
            </w:r>
          </w:p>
        </w:tc>
        <w:tc>
          <w:tcPr>
            <w:tcW w:type="dxa" w:w="1417"/>
          </w:tcPr>
          <w:p>
            <w:pPr>
              <w:spacing w:after="40" w:before="40"/>
            </w:pPr>
            <w:r>
              <w:rPr>
                <w:b/>
              </w:rPr>
            </w:r>
            <w:r>
              <w:rPr>
                <w:rFonts w:ascii="Times New Roman" w:hAnsi="Times New Roman" w:eastAsia="黑体"/>
                <w:b/>
                <w:i w:val="0"/>
                <w:sz w:val="20"/>
              </w:rPr>
              <w:t>效果</w:t>
            </w:r>
          </w:p>
        </w:tc>
      </w:tr>
      <w:tr>
        <w:tc>
          <w:tcPr>
            <w:tcW w:type="dxa" w:w="1417"/>
          </w:tcPr>
          <w:p>
            <w:pPr>
              <w:spacing w:after="40" w:before="40"/>
            </w:pPr>
            <w:r/>
            <w:r>
              <w:rPr>
                <w:rFonts w:ascii="Times New Roman" w:hAnsi="Times New Roman" w:eastAsia="宋体"/>
                <w:b w:val="0"/>
                <w:i w:val="0"/>
                <w:sz w:val="20"/>
              </w:rPr>
              <w:t>1</w:t>
            </w:r>
          </w:p>
        </w:tc>
        <w:tc>
          <w:tcPr>
            <w:tcW w:type="dxa" w:w="1417"/>
          </w:tcPr>
          <w:p>
            <w:pPr>
              <w:spacing w:after="40" w:before="40"/>
            </w:pPr>
            <w:r/>
            <w:r>
              <w:rPr>
                <w:rFonts w:ascii="Times New Roman" w:hAnsi="Times New Roman" w:eastAsia="宋体"/>
                <w:b w:val="0"/>
                <w:i w:val="0"/>
                <w:sz w:val="20"/>
              </w:rPr>
              <w:t>CPP试点</w:t>
            </w:r>
          </w:p>
        </w:tc>
        <w:tc>
          <w:tcPr>
            <w:tcW w:type="dxa" w:w="1417"/>
          </w:tcPr>
          <w:p>
            <w:pPr>
              <w:spacing w:after="40" w:before="40"/>
            </w:pPr>
            <w:r/>
            <w:r>
              <w:rPr>
                <w:rFonts w:ascii="Times New Roman" w:hAnsi="Times New Roman" w:eastAsia="宋体"/>
                <w:b w:val="0"/>
                <w:i w:val="0"/>
                <w:sz w:val="20"/>
              </w:rPr>
              <w:t>美国加州</w:t>
            </w:r>
          </w:p>
        </w:tc>
        <w:tc>
          <w:tcPr>
            <w:tcW w:type="dxa" w:w="1417"/>
          </w:tcPr>
          <w:p>
            <w:pPr>
              <w:spacing w:after="40" w:before="40"/>
            </w:pPr>
            <w:r/>
            <w:r>
              <w:rPr>
                <w:rFonts w:ascii="Times New Roman" w:hAnsi="Times New Roman" w:eastAsia="宋体"/>
                <w:b w:val="0"/>
                <w:i w:val="0"/>
                <w:sz w:val="20"/>
              </w:rPr>
              <w:t>2003-2005</w:t>
            </w:r>
          </w:p>
        </w:tc>
        <w:tc>
          <w:tcPr>
            <w:tcW w:type="dxa" w:w="1417"/>
          </w:tcPr>
          <w:p>
            <w:pPr>
              <w:spacing w:after="40" w:before="40"/>
            </w:pPr>
            <w:r/>
            <w:r>
              <w:rPr>
                <w:rFonts w:ascii="Times New Roman" w:hAnsi="Times New Roman" w:eastAsia="宋体"/>
                <w:b w:val="0"/>
                <w:i w:val="0"/>
                <w:sz w:val="20"/>
              </w:rPr>
              <w:t>临界峰定价(CPP)试点，覆盖2500用户</w:t>
            </w:r>
          </w:p>
        </w:tc>
        <w:tc>
          <w:tcPr>
            <w:tcW w:type="dxa" w:w="1417"/>
          </w:tcPr>
          <w:p>
            <w:pPr>
              <w:spacing w:after="40" w:before="40"/>
            </w:pPr>
            <w:r/>
            <w:r>
              <w:rPr>
                <w:rFonts w:ascii="Times New Roman" w:hAnsi="Times New Roman" w:eastAsia="宋体"/>
                <w:b w:val="0"/>
                <w:i w:val="0"/>
                <w:sz w:val="20"/>
              </w:rPr>
              <w:t>峰荷削减13-20%，用户满意度75%</w:t>
            </w:r>
          </w:p>
        </w:tc>
      </w:tr>
      <w:tr>
        <w:tc>
          <w:tcPr>
            <w:tcW w:type="dxa" w:w="1417"/>
            <w:shd w:val="clear" w:color="auto" w:fill="F0F4F8"/>
          </w:tcPr>
          <w:p>
            <w:pPr>
              <w:spacing w:after="40" w:before="40"/>
            </w:pPr>
            <w:r/>
            <w:r>
              <w:rPr>
                <w:rFonts w:ascii="Times New Roman" w:hAnsi="Times New Roman" w:eastAsia="宋体"/>
                <w:b w:val="0"/>
                <w:i w:val="0"/>
                <w:sz w:val="20"/>
              </w:rPr>
              <w:t>2</w:t>
            </w:r>
          </w:p>
        </w:tc>
        <w:tc>
          <w:tcPr>
            <w:tcW w:type="dxa" w:w="1417"/>
            <w:shd w:val="clear" w:color="auto" w:fill="F0F4F8"/>
          </w:tcPr>
          <w:p>
            <w:pPr>
              <w:spacing w:after="40" w:before="40"/>
            </w:pPr>
            <w:r/>
            <w:r>
              <w:rPr>
                <w:rFonts w:ascii="Times New Roman" w:hAnsi="Times New Roman" w:eastAsia="宋体"/>
                <w:b w:val="0"/>
                <w:i w:val="0"/>
                <w:sz w:val="20"/>
              </w:rPr>
              <w:t>Olympic Peninsula</w:t>
            </w:r>
          </w:p>
        </w:tc>
        <w:tc>
          <w:tcPr>
            <w:tcW w:type="dxa" w:w="1417"/>
            <w:shd w:val="clear" w:color="auto" w:fill="F0F4F8"/>
          </w:tcPr>
          <w:p>
            <w:pPr>
              <w:spacing w:after="40" w:before="40"/>
            </w:pPr>
            <w:r/>
            <w:r>
              <w:rPr>
                <w:rFonts w:ascii="Times New Roman" w:hAnsi="Times New Roman" w:eastAsia="宋体"/>
                <w:b w:val="0"/>
                <w:i w:val="0"/>
                <w:sz w:val="20"/>
              </w:rPr>
              <w:t>美国华盛顿</w:t>
            </w:r>
          </w:p>
        </w:tc>
        <w:tc>
          <w:tcPr>
            <w:tcW w:type="dxa" w:w="1417"/>
            <w:shd w:val="clear" w:color="auto" w:fill="F0F4F8"/>
          </w:tcPr>
          <w:p>
            <w:pPr>
              <w:spacing w:after="40" w:before="40"/>
            </w:pPr>
            <w:r/>
            <w:r>
              <w:rPr>
                <w:rFonts w:ascii="Times New Roman" w:hAnsi="Times New Roman" w:eastAsia="宋体"/>
                <w:b w:val="0"/>
                <w:i w:val="0"/>
                <w:sz w:val="20"/>
              </w:rPr>
              <w:t>2006-2007</w:t>
            </w:r>
          </w:p>
        </w:tc>
        <w:tc>
          <w:tcPr>
            <w:tcW w:type="dxa" w:w="1417"/>
            <w:shd w:val="clear" w:color="auto" w:fill="F0F4F8"/>
          </w:tcPr>
          <w:p>
            <w:pPr>
              <w:spacing w:after="40" w:before="40"/>
            </w:pPr>
            <w:r/>
            <w:r>
              <w:rPr>
                <w:rFonts w:ascii="Times New Roman" w:hAnsi="Times New Roman" w:eastAsia="宋体"/>
                <w:b w:val="0"/>
                <w:i w:val="0"/>
                <w:sz w:val="20"/>
              </w:rPr>
              <w:t>实时定价+自动需求响应，112户</w:t>
            </w:r>
          </w:p>
        </w:tc>
        <w:tc>
          <w:tcPr>
            <w:tcW w:type="dxa" w:w="1417"/>
            <w:shd w:val="clear" w:color="auto" w:fill="F0F4F8"/>
          </w:tcPr>
          <w:p>
            <w:pPr>
              <w:spacing w:after="40" w:before="40"/>
            </w:pPr>
            <w:r/>
            <w:r>
              <w:rPr>
                <w:rFonts w:ascii="Times New Roman" w:hAnsi="Times New Roman" w:eastAsia="宋体"/>
                <w:b w:val="0"/>
                <w:i w:val="0"/>
                <w:sz w:val="20"/>
              </w:rPr>
              <w:t>峰荷削减15-17%，负荷转移10%</w:t>
            </w:r>
          </w:p>
        </w:tc>
      </w:tr>
      <w:tr>
        <w:tc>
          <w:tcPr>
            <w:tcW w:type="dxa" w:w="1417"/>
          </w:tcPr>
          <w:p>
            <w:pPr>
              <w:spacing w:after="40" w:before="40"/>
            </w:pPr>
            <w:r/>
            <w:r>
              <w:rPr>
                <w:rFonts w:ascii="Times New Roman" w:hAnsi="Times New Roman" w:eastAsia="宋体"/>
                <w:b w:val="0"/>
                <w:i w:val="0"/>
                <w:sz w:val="20"/>
              </w:rPr>
              <w:t>3</w:t>
            </w:r>
          </w:p>
        </w:tc>
        <w:tc>
          <w:tcPr>
            <w:tcW w:type="dxa" w:w="1417"/>
          </w:tcPr>
          <w:p>
            <w:pPr>
              <w:spacing w:after="40" w:before="40"/>
            </w:pPr>
            <w:r/>
            <w:r>
              <w:rPr>
                <w:rFonts w:ascii="Times New Roman" w:hAnsi="Times New Roman" w:eastAsia="宋体"/>
                <w:b w:val="0"/>
                <w:i w:val="0"/>
                <w:sz w:val="20"/>
              </w:rPr>
              <w:t>PowerCentsDC</w:t>
            </w:r>
          </w:p>
        </w:tc>
        <w:tc>
          <w:tcPr>
            <w:tcW w:type="dxa" w:w="1417"/>
          </w:tcPr>
          <w:p>
            <w:pPr>
              <w:spacing w:after="40" w:before="40"/>
            </w:pPr>
            <w:r/>
            <w:r>
              <w:rPr>
                <w:rFonts w:ascii="Times New Roman" w:hAnsi="Times New Roman" w:eastAsia="宋体"/>
                <w:b w:val="0"/>
                <w:i w:val="0"/>
                <w:sz w:val="20"/>
              </w:rPr>
              <w:t>美国华盛顿DC</w:t>
            </w:r>
          </w:p>
        </w:tc>
        <w:tc>
          <w:tcPr>
            <w:tcW w:type="dxa" w:w="1417"/>
          </w:tcPr>
          <w:p>
            <w:pPr>
              <w:spacing w:after="40" w:before="40"/>
            </w:pPr>
            <w:r/>
            <w:r>
              <w:rPr>
                <w:rFonts w:ascii="Times New Roman" w:hAnsi="Times New Roman" w:eastAsia="宋体"/>
                <w:b w:val="0"/>
                <w:i w:val="0"/>
                <w:sz w:val="20"/>
              </w:rPr>
              <w:t>2008-2010</w:t>
            </w:r>
          </w:p>
        </w:tc>
        <w:tc>
          <w:tcPr>
            <w:tcW w:type="dxa" w:w="1417"/>
          </w:tcPr>
          <w:p>
            <w:pPr>
              <w:spacing w:after="40" w:before="40"/>
            </w:pPr>
            <w:r/>
            <w:r>
              <w:rPr>
                <w:rFonts w:ascii="Times New Roman" w:hAnsi="Times New Roman" w:eastAsia="宋体"/>
                <w:b w:val="0"/>
                <w:i w:val="0"/>
                <w:sz w:val="20"/>
              </w:rPr>
              <w:t>对比RTP/TOU/CPP三种定价</w:t>
            </w:r>
          </w:p>
        </w:tc>
        <w:tc>
          <w:tcPr>
            <w:tcW w:type="dxa" w:w="1417"/>
          </w:tcPr>
          <w:p>
            <w:pPr>
              <w:spacing w:after="40" w:before="40"/>
            </w:pPr>
            <w:r/>
            <w:r>
              <w:rPr>
                <w:rFonts w:ascii="Times New Roman" w:hAnsi="Times New Roman" w:eastAsia="宋体"/>
                <w:b w:val="0"/>
                <w:i w:val="0"/>
                <w:sz w:val="20"/>
              </w:rPr>
              <w:t>RTP组峰荷削减最高，CPP次之</w:t>
            </w:r>
          </w:p>
        </w:tc>
      </w:tr>
      <w:tr>
        <w:tc>
          <w:tcPr>
            <w:tcW w:type="dxa" w:w="1417"/>
            <w:shd w:val="clear" w:color="auto" w:fill="F0F4F8"/>
          </w:tcPr>
          <w:p>
            <w:pPr>
              <w:spacing w:after="40" w:before="40"/>
            </w:pPr>
            <w:r/>
            <w:r>
              <w:rPr>
                <w:rFonts w:ascii="Times New Roman" w:hAnsi="Times New Roman" w:eastAsia="宋体"/>
                <w:b w:val="0"/>
                <w:i w:val="0"/>
                <w:sz w:val="20"/>
              </w:rPr>
              <w:t>4</w:t>
            </w:r>
          </w:p>
        </w:tc>
        <w:tc>
          <w:tcPr>
            <w:tcW w:type="dxa" w:w="1417"/>
            <w:shd w:val="clear" w:color="auto" w:fill="F0F4F8"/>
          </w:tcPr>
          <w:p>
            <w:pPr>
              <w:spacing w:after="40" w:before="40"/>
            </w:pPr>
            <w:r/>
            <w:r>
              <w:rPr>
                <w:rFonts w:ascii="Times New Roman" w:hAnsi="Times New Roman" w:eastAsia="宋体"/>
                <w:b w:val="0"/>
                <w:i w:val="0"/>
                <w:sz w:val="20"/>
              </w:rPr>
              <w:t>Energy Smart Pricing</w:t>
            </w:r>
          </w:p>
        </w:tc>
        <w:tc>
          <w:tcPr>
            <w:tcW w:type="dxa" w:w="1417"/>
            <w:shd w:val="clear" w:color="auto" w:fill="F0F4F8"/>
          </w:tcPr>
          <w:p>
            <w:pPr>
              <w:spacing w:after="40" w:before="40"/>
            </w:pPr>
            <w:r/>
            <w:r>
              <w:rPr>
                <w:rFonts w:ascii="Times New Roman" w:hAnsi="Times New Roman" w:eastAsia="宋体"/>
                <w:b w:val="0"/>
                <w:i w:val="0"/>
                <w:sz w:val="20"/>
              </w:rPr>
              <w:t>美国伊利诺伊</w:t>
            </w:r>
          </w:p>
        </w:tc>
        <w:tc>
          <w:tcPr>
            <w:tcW w:type="dxa" w:w="1417"/>
            <w:shd w:val="clear" w:color="auto" w:fill="F0F4F8"/>
          </w:tcPr>
          <w:p>
            <w:pPr>
              <w:spacing w:after="40" w:before="40"/>
            </w:pPr>
            <w:r/>
            <w:r>
              <w:rPr>
                <w:rFonts w:ascii="Times New Roman" w:hAnsi="Times New Roman" w:eastAsia="宋体"/>
                <w:b w:val="0"/>
                <w:i w:val="0"/>
                <w:sz w:val="20"/>
              </w:rPr>
              <w:t>2007-2012</w:t>
            </w:r>
          </w:p>
        </w:tc>
        <w:tc>
          <w:tcPr>
            <w:tcW w:type="dxa" w:w="1417"/>
            <w:shd w:val="clear" w:color="auto" w:fill="F0F4F8"/>
          </w:tcPr>
          <w:p>
            <w:pPr>
              <w:spacing w:after="40" w:before="40"/>
            </w:pPr>
            <w:r/>
            <w:r>
              <w:rPr>
                <w:rFonts w:ascii="Times New Roman" w:hAnsi="Times New Roman" w:eastAsia="宋体"/>
                <w:b w:val="0"/>
                <w:i w:val="0"/>
                <w:sz w:val="20"/>
              </w:rPr>
              <w:t>面向居民RTP试点，3500户</w:t>
            </w:r>
          </w:p>
        </w:tc>
        <w:tc>
          <w:tcPr>
            <w:tcW w:type="dxa" w:w="1417"/>
            <w:shd w:val="clear" w:color="auto" w:fill="F0F4F8"/>
          </w:tcPr>
          <w:p>
            <w:pPr>
              <w:spacing w:after="40" w:before="40"/>
            </w:pPr>
            <w:r/>
            <w:r>
              <w:rPr>
                <w:rFonts w:ascii="Times New Roman" w:hAnsi="Times New Roman" w:eastAsia="宋体"/>
                <w:b w:val="0"/>
                <w:i w:val="0"/>
                <w:sz w:val="20"/>
              </w:rPr>
              <w:t>峰荷削减12%，电费降低5%</w:t>
            </w:r>
          </w:p>
        </w:tc>
      </w:tr>
      <w:tr>
        <w:tc>
          <w:tcPr>
            <w:tcW w:type="dxa" w:w="1417"/>
          </w:tcPr>
          <w:p>
            <w:pPr>
              <w:spacing w:after="40" w:before="40"/>
            </w:pPr>
            <w:r/>
            <w:r>
              <w:rPr>
                <w:rFonts w:ascii="Times New Roman" w:hAnsi="Times New Roman" w:eastAsia="宋体"/>
                <w:b w:val="0"/>
                <w:i w:val="0"/>
                <w:sz w:val="20"/>
              </w:rPr>
              <w:t>5</w:t>
            </w:r>
          </w:p>
        </w:tc>
        <w:tc>
          <w:tcPr>
            <w:tcW w:type="dxa" w:w="1417"/>
          </w:tcPr>
          <w:p>
            <w:pPr>
              <w:spacing w:after="40" w:before="40"/>
            </w:pPr>
            <w:r/>
            <w:r>
              <w:rPr>
                <w:rFonts w:ascii="Times New Roman" w:hAnsi="Times New Roman" w:eastAsia="宋体"/>
                <w:b w:val="0"/>
                <w:i w:val="0"/>
                <w:sz w:val="20"/>
              </w:rPr>
              <w:t>British Gas GBP</w:t>
            </w:r>
          </w:p>
        </w:tc>
        <w:tc>
          <w:tcPr>
            <w:tcW w:type="dxa" w:w="1417"/>
          </w:tcPr>
          <w:p>
            <w:pPr>
              <w:spacing w:after="40" w:before="40"/>
            </w:pPr>
            <w:r/>
            <w:r>
              <w:rPr>
                <w:rFonts w:ascii="Times New Roman" w:hAnsi="Times New Roman" w:eastAsia="宋体"/>
                <w:b w:val="0"/>
                <w:i w:val="0"/>
                <w:sz w:val="20"/>
              </w:rPr>
              <w:t>英国</w:t>
            </w:r>
          </w:p>
        </w:tc>
        <w:tc>
          <w:tcPr>
            <w:tcW w:type="dxa" w:w="1417"/>
          </w:tcPr>
          <w:p>
            <w:pPr>
              <w:spacing w:after="40" w:before="40"/>
            </w:pPr>
            <w:r/>
            <w:r>
              <w:rPr>
                <w:rFonts w:ascii="Times New Roman" w:hAnsi="Times New Roman" w:eastAsia="宋体"/>
                <w:b w:val="0"/>
                <w:i w:val="0"/>
                <w:sz w:val="20"/>
              </w:rPr>
              <w:t>2011-2014</w:t>
            </w:r>
          </w:p>
        </w:tc>
        <w:tc>
          <w:tcPr>
            <w:tcW w:type="dxa" w:w="1417"/>
          </w:tcPr>
          <w:p>
            <w:pPr>
              <w:spacing w:after="40" w:before="40"/>
            </w:pPr>
            <w:r/>
            <w:r>
              <w:rPr>
                <w:rFonts w:ascii="Times New Roman" w:hAnsi="Times New Roman" w:eastAsia="宋体"/>
                <w:b w:val="0"/>
                <w:i w:val="0"/>
                <w:sz w:val="20"/>
              </w:rPr>
              <w:t>智能电表+动态电价试点</w:t>
            </w:r>
          </w:p>
        </w:tc>
        <w:tc>
          <w:tcPr>
            <w:tcW w:type="dxa" w:w="1417"/>
          </w:tcPr>
          <w:p>
            <w:pPr>
              <w:spacing w:after="40" w:before="40"/>
            </w:pPr>
            <w:r/>
            <w:r>
              <w:rPr>
                <w:rFonts w:ascii="Times New Roman" w:hAnsi="Times New Roman" w:eastAsia="宋体"/>
                <w:b w:val="0"/>
                <w:i w:val="0"/>
                <w:sz w:val="20"/>
              </w:rPr>
              <w:t>峰荷削减10%，用户接受度82%</w:t>
            </w:r>
          </w:p>
        </w:tc>
      </w:tr>
      <w:tr>
        <w:tc>
          <w:tcPr>
            <w:tcW w:type="dxa" w:w="1417"/>
            <w:shd w:val="clear" w:color="auto" w:fill="F0F4F8"/>
          </w:tcPr>
          <w:p>
            <w:pPr>
              <w:spacing w:after="40" w:before="40"/>
            </w:pPr>
            <w:r/>
            <w:r>
              <w:rPr>
                <w:rFonts w:ascii="Times New Roman" w:hAnsi="Times New Roman" w:eastAsia="宋体"/>
                <w:b w:val="0"/>
                <w:i w:val="0"/>
                <w:sz w:val="20"/>
              </w:rPr>
              <w:t>6</w:t>
            </w:r>
          </w:p>
        </w:tc>
        <w:tc>
          <w:tcPr>
            <w:tcW w:type="dxa" w:w="1417"/>
            <w:shd w:val="clear" w:color="auto" w:fill="F0F4F8"/>
          </w:tcPr>
          <w:p>
            <w:pPr>
              <w:spacing w:after="40" w:before="40"/>
            </w:pPr>
            <w:r/>
            <w:r>
              <w:rPr>
                <w:rFonts w:ascii="Times New Roman" w:hAnsi="Times New Roman" w:eastAsia="宋体"/>
                <w:b w:val="0"/>
                <w:i w:val="0"/>
                <w:sz w:val="20"/>
              </w:rPr>
              <w:t>E-Energy</w:t>
            </w:r>
          </w:p>
        </w:tc>
        <w:tc>
          <w:tcPr>
            <w:tcW w:type="dxa" w:w="1417"/>
            <w:shd w:val="clear" w:color="auto" w:fill="F0F4F8"/>
          </w:tcPr>
          <w:p>
            <w:pPr>
              <w:spacing w:after="40" w:before="40"/>
            </w:pPr>
            <w:r/>
            <w:r>
              <w:rPr>
                <w:rFonts w:ascii="Times New Roman" w:hAnsi="Times New Roman" w:eastAsia="宋体"/>
                <w:b w:val="0"/>
                <w:i w:val="0"/>
                <w:sz w:val="20"/>
              </w:rPr>
              <w:t>德国</w:t>
            </w:r>
          </w:p>
        </w:tc>
        <w:tc>
          <w:tcPr>
            <w:tcW w:type="dxa" w:w="1417"/>
            <w:shd w:val="clear" w:color="auto" w:fill="F0F4F8"/>
          </w:tcPr>
          <w:p>
            <w:pPr>
              <w:spacing w:after="40" w:before="40"/>
            </w:pPr>
            <w:r/>
            <w:r>
              <w:rPr>
                <w:rFonts w:ascii="Times New Roman" w:hAnsi="Times New Roman" w:eastAsia="宋体"/>
                <w:b w:val="0"/>
                <w:i w:val="0"/>
                <w:sz w:val="20"/>
              </w:rPr>
              <w:t>2008-2013</w:t>
            </w:r>
          </w:p>
        </w:tc>
        <w:tc>
          <w:tcPr>
            <w:tcW w:type="dxa" w:w="1417"/>
            <w:shd w:val="clear" w:color="auto" w:fill="F0F4F8"/>
          </w:tcPr>
          <w:p>
            <w:pPr>
              <w:spacing w:after="40" w:before="40"/>
            </w:pPr>
            <w:r/>
            <w:r>
              <w:rPr>
                <w:rFonts w:ascii="Times New Roman" w:hAnsi="Times New Roman" w:eastAsia="宋体"/>
                <w:b w:val="0"/>
                <w:i w:val="0"/>
                <w:sz w:val="20"/>
              </w:rPr>
              <w:t>ICT驱动智能电网示范，6个示范区</w:t>
            </w:r>
          </w:p>
        </w:tc>
        <w:tc>
          <w:tcPr>
            <w:tcW w:type="dxa" w:w="1417"/>
            <w:shd w:val="clear" w:color="auto" w:fill="F0F4F8"/>
          </w:tcPr>
          <w:p>
            <w:pPr>
              <w:spacing w:after="40" w:before="40"/>
            </w:pPr>
            <w:r/>
            <w:r>
              <w:rPr>
                <w:rFonts w:ascii="Times New Roman" w:hAnsi="Times New Roman" w:eastAsia="宋体"/>
                <w:b w:val="0"/>
                <w:i w:val="0"/>
                <w:sz w:val="20"/>
              </w:rPr>
              <w:t>可再生能源消纳率提高15%</w:t>
            </w:r>
          </w:p>
        </w:tc>
      </w:tr>
      <w:tr>
        <w:tc>
          <w:tcPr>
            <w:tcW w:type="dxa" w:w="1417"/>
          </w:tcPr>
          <w:p>
            <w:pPr>
              <w:spacing w:after="40" w:before="40"/>
            </w:pPr>
            <w:r/>
            <w:r>
              <w:rPr>
                <w:rFonts w:ascii="Times New Roman" w:hAnsi="Times New Roman" w:eastAsia="宋体"/>
                <w:b w:val="0"/>
                <w:i w:val="0"/>
                <w:sz w:val="20"/>
              </w:rPr>
              <w:t>7</w:t>
            </w:r>
          </w:p>
        </w:tc>
        <w:tc>
          <w:tcPr>
            <w:tcW w:type="dxa" w:w="1417"/>
          </w:tcPr>
          <w:p>
            <w:pPr>
              <w:spacing w:after="40" w:before="40"/>
            </w:pPr>
            <w:r/>
            <w:r>
              <w:rPr>
                <w:rFonts w:ascii="Times New Roman" w:hAnsi="Times New Roman" w:eastAsia="宋体"/>
                <w:b w:val="0"/>
                <w:i w:val="0"/>
                <w:sz w:val="20"/>
              </w:rPr>
              <w:t>Nice Grid</w:t>
            </w:r>
          </w:p>
        </w:tc>
        <w:tc>
          <w:tcPr>
            <w:tcW w:type="dxa" w:w="1417"/>
          </w:tcPr>
          <w:p>
            <w:pPr>
              <w:spacing w:after="40" w:before="40"/>
            </w:pPr>
            <w:r/>
            <w:r>
              <w:rPr>
                <w:rFonts w:ascii="Times New Roman" w:hAnsi="Times New Roman" w:eastAsia="宋体"/>
                <w:b w:val="0"/>
                <w:i w:val="0"/>
                <w:sz w:val="20"/>
              </w:rPr>
              <w:t>法国</w:t>
            </w:r>
          </w:p>
        </w:tc>
        <w:tc>
          <w:tcPr>
            <w:tcW w:type="dxa" w:w="1417"/>
          </w:tcPr>
          <w:p>
            <w:pPr>
              <w:spacing w:after="40" w:before="40"/>
            </w:pPr>
            <w:r/>
            <w:r>
              <w:rPr>
                <w:rFonts w:ascii="Times New Roman" w:hAnsi="Times New Roman" w:eastAsia="宋体"/>
                <w:b w:val="0"/>
                <w:i w:val="0"/>
                <w:sz w:val="20"/>
              </w:rPr>
              <w:t>2012-2017</w:t>
            </w:r>
          </w:p>
        </w:tc>
        <w:tc>
          <w:tcPr>
            <w:tcW w:type="dxa" w:w="1417"/>
          </w:tcPr>
          <w:p>
            <w:pPr>
              <w:spacing w:after="40" w:before="40"/>
            </w:pPr>
            <w:r/>
            <w:r>
              <w:rPr>
                <w:rFonts w:ascii="Times New Roman" w:hAnsi="Times New Roman" w:eastAsia="宋体"/>
                <w:b w:val="0"/>
                <w:i w:val="0"/>
                <w:sz w:val="20"/>
              </w:rPr>
              <w:t>智能配电网示范，含光伏+储能+DR</w:t>
            </w:r>
          </w:p>
        </w:tc>
        <w:tc>
          <w:tcPr>
            <w:tcW w:type="dxa" w:w="1417"/>
          </w:tcPr>
          <w:p>
            <w:pPr>
              <w:spacing w:after="40" w:before="40"/>
            </w:pPr>
            <w:r/>
            <w:r>
              <w:rPr>
                <w:rFonts w:ascii="Times New Roman" w:hAnsi="Times New Roman" w:eastAsia="宋体"/>
                <w:b w:val="0"/>
                <w:i w:val="0"/>
                <w:sz w:val="20"/>
              </w:rPr>
              <w:t>峰荷削减20%，光伏消纳率95%</w:t>
            </w:r>
          </w:p>
        </w:tc>
      </w:tr>
      <w:tr>
        <w:tc>
          <w:tcPr>
            <w:tcW w:type="dxa" w:w="1417"/>
            <w:shd w:val="clear" w:color="auto" w:fill="F0F4F8"/>
          </w:tcPr>
          <w:p>
            <w:pPr>
              <w:spacing w:after="40" w:before="40"/>
            </w:pPr>
            <w:r/>
            <w:r>
              <w:rPr>
                <w:rFonts w:ascii="Times New Roman" w:hAnsi="Times New Roman" w:eastAsia="宋体"/>
                <w:b w:val="0"/>
                <w:i w:val="0"/>
                <w:sz w:val="20"/>
              </w:rPr>
              <w:t>8</w:t>
            </w:r>
          </w:p>
        </w:tc>
        <w:tc>
          <w:tcPr>
            <w:tcW w:type="dxa" w:w="1417"/>
            <w:shd w:val="clear" w:color="auto" w:fill="F0F4F8"/>
          </w:tcPr>
          <w:p>
            <w:pPr>
              <w:spacing w:after="40" w:before="40"/>
            </w:pPr>
            <w:r/>
            <w:r>
              <w:rPr>
                <w:rFonts w:ascii="Times New Roman" w:hAnsi="Times New Roman" w:eastAsia="宋体"/>
                <w:b w:val="0"/>
                <w:i w:val="0"/>
                <w:sz w:val="20"/>
              </w:rPr>
              <w:t>dynamic pricing trial</w:t>
            </w:r>
          </w:p>
        </w:tc>
        <w:tc>
          <w:tcPr>
            <w:tcW w:type="dxa" w:w="1417"/>
            <w:shd w:val="clear" w:color="auto" w:fill="F0F4F8"/>
          </w:tcPr>
          <w:p>
            <w:pPr>
              <w:spacing w:after="40" w:before="40"/>
            </w:pPr>
            <w:r/>
            <w:r>
              <w:rPr>
                <w:rFonts w:ascii="Times New Roman" w:hAnsi="Times New Roman" w:eastAsia="宋体"/>
                <w:b w:val="0"/>
                <w:i w:val="0"/>
                <w:sz w:val="20"/>
              </w:rPr>
              <w:t>爱尔兰</w:t>
            </w:r>
          </w:p>
        </w:tc>
        <w:tc>
          <w:tcPr>
            <w:tcW w:type="dxa" w:w="1417"/>
            <w:shd w:val="clear" w:color="auto" w:fill="F0F4F8"/>
          </w:tcPr>
          <w:p>
            <w:pPr>
              <w:spacing w:after="40" w:before="40"/>
            </w:pPr>
            <w:r/>
            <w:r>
              <w:rPr>
                <w:rFonts w:ascii="Times New Roman" w:hAnsi="Times New Roman" w:eastAsia="宋体"/>
                <w:b w:val="0"/>
                <w:i w:val="0"/>
                <w:sz w:val="20"/>
              </w:rPr>
              <w:t>2010-2012</w:t>
            </w:r>
          </w:p>
        </w:tc>
        <w:tc>
          <w:tcPr>
            <w:tcW w:type="dxa" w:w="1417"/>
            <w:shd w:val="clear" w:color="auto" w:fill="F0F4F8"/>
          </w:tcPr>
          <w:p>
            <w:pPr>
              <w:spacing w:after="40" w:before="40"/>
            </w:pPr>
            <w:r/>
            <w:r>
              <w:rPr>
                <w:rFonts w:ascii="Times New Roman" w:hAnsi="Times New Roman" w:eastAsia="宋体"/>
                <w:b w:val="0"/>
                <w:i w:val="0"/>
                <w:sz w:val="20"/>
              </w:rPr>
              <w:t>CER主导，5000+用户随机对照试验</w:t>
            </w:r>
          </w:p>
        </w:tc>
        <w:tc>
          <w:tcPr>
            <w:tcW w:type="dxa" w:w="1417"/>
            <w:shd w:val="clear" w:color="auto" w:fill="F0F4F8"/>
          </w:tcPr>
          <w:p>
            <w:pPr>
              <w:spacing w:after="40" w:before="40"/>
            </w:pPr>
            <w:r/>
            <w:r>
              <w:rPr>
                <w:rFonts w:ascii="Times New Roman" w:hAnsi="Times New Roman" w:eastAsia="宋体"/>
                <w:b w:val="0"/>
                <w:i w:val="0"/>
                <w:sz w:val="20"/>
              </w:rPr>
              <w:t>TOU组峰荷削减8.8%，RTP组11%</w:t>
            </w:r>
          </w:p>
        </w:tc>
      </w:tr>
      <w:tr>
        <w:tc>
          <w:tcPr>
            <w:tcW w:type="dxa" w:w="1417"/>
          </w:tcPr>
          <w:p>
            <w:pPr>
              <w:spacing w:after="40" w:before="40"/>
            </w:pPr>
            <w:r/>
            <w:r>
              <w:rPr>
                <w:rFonts w:ascii="Times New Roman" w:hAnsi="Times New Roman" w:eastAsia="宋体"/>
                <w:b w:val="0"/>
                <w:i w:val="0"/>
                <w:sz w:val="20"/>
              </w:rPr>
              <w:t>9</w:t>
            </w:r>
          </w:p>
        </w:tc>
        <w:tc>
          <w:tcPr>
            <w:tcW w:type="dxa" w:w="1417"/>
          </w:tcPr>
          <w:p>
            <w:pPr>
              <w:spacing w:after="40" w:before="40"/>
            </w:pPr>
            <w:r/>
            <w:r>
              <w:rPr>
                <w:rFonts w:ascii="Times New Roman" w:hAnsi="Times New Roman" w:eastAsia="宋体"/>
                <w:b w:val="0"/>
                <w:i w:val="0"/>
                <w:sz w:val="20"/>
              </w:rPr>
              <w:t>NRG Stream</w:t>
            </w:r>
          </w:p>
        </w:tc>
        <w:tc>
          <w:tcPr>
            <w:tcW w:type="dxa" w:w="1417"/>
          </w:tcPr>
          <w:p>
            <w:pPr>
              <w:spacing w:after="40" w:before="40"/>
            </w:pPr>
            <w:r/>
            <w:r>
              <w:rPr>
                <w:rFonts w:ascii="Times New Roman" w:hAnsi="Times New Roman" w:eastAsia="宋体"/>
                <w:b w:val="0"/>
                <w:i w:val="0"/>
                <w:sz w:val="20"/>
              </w:rPr>
              <w:t>澳大利亚</w:t>
            </w:r>
          </w:p>
        </w:tc>
        <w:tc>
          <w:tcPr>
            <w:tcW w:type="dxa" w:w="1417"/>
          </w:tcPr>
          <w:p>
            <w:pPr>
              <w:spacing w:after="40" w:before="40"/>
            </w:pPr>
            <w:r/>
            <w:r>
              <w:rPr>
                <w:rFonts w:ascii="Times New Roman" w:hAnsi="Times New Roman" w:eastAsia="宋体"/>
                <w:b w:val="0"/>
                <w:i w:val="0"/>
                <w:sz w:val="20"/>
              </w:rPr>
              <w:t>2010至今</w:t>
            </w:r>
          </w:p>
        </w:tc>
        <w:tc>
          <w:tcPr>
            <w:tcW w:type="dxa" w:w="1417"/>
          </w:tcPr>
          <w:p>
            <w:pPr>
              <w:spacing w:after="40" w:before="40"/>
            </w:pPr>
            <w:r/>
            <w:r>
              <w:rPr>
                <w:rFonts w:ascii="Times New Roman" w:hAnsi="Times New Roman" w:eastAsia="宋体"/>
                <w:b w:val="0"/>
                <w:i w:val="0"/>
                <w:sz w:val="20"/>
              </w:rPr>
              <w:t>面向工商业用户的实时电价服务</w:t>
            </w:r>
          </w:p>
        </w:tc>
        <w:tc>
          <w:tcPr>
            <w:tcW w:type="dxa" w:w="1417"/>
          </w:tcPr>
          <w:p>
            <w:pPr>
              <w:spacing w:after="40" w:before="40"/>
            </w:pPr>
            <w:r/>
            <w:r>
              <w:rPr>
                <w:rFonts w:ascii="Times New Roman" w:hAnsi="Times New Roman" w:eastAsia="宋体"/>
                <w:b w:val="0"/>
                <w:i w:val="0"/>
                <w:sz w:val="20"/>
              </w:rPr>
              <w:t>参与用户年电费节省5-12%</w:t>
            </w:r>
          </w:p>
        </w:tc>
      </w:tr>
      <w:tr>
        <w:tc>
          <w:tcPr>
            <w:tcW w:type="dxa" w:w="1417"/>
            <w:shd w:val="clear" w:color="auto" w:fill="F0F4F8"/>
          </w:tcPr>
          <w:p>
            <w:pPr>
              <w:spacing w:after="40" w:before="40"/>
            </w:pPr>
            <w:r/>
            <w:r>
              <w:rPr>
                <w:rFonts w:ascii="Times New Roman" w:hAnsi="Times New Roman" w:eastAsia="宋体"/>
                <w:b w:val="0"/>
                <w:i w:val="0"/>
                <w:sz w:val="20"/>
              </w:rPr>
              <w:t>10</w:t>
            </w:r>
          </w:p>
        </w:tc>
        <w:tc>
          <w:tcPr>
            <w:tcW w:type="dxa" w:w="1417"/>
            <w:shd w:val="clear" w:color="auto" w:fill="F0F4F8"/>
          </w:tcPr>
          <w:p>
            <w:pPr>
              <w:spacing w:after="40" w:before="40"/>
            </w:pPr>
            <w:r/>
            <w:r>
              <w:rPr>
                <w:rFonts w:ascii="Times New Roman" w:hAnsi="Times New Roman" w:eastAsia="宋体"/>
                <w:b w:val="0"/>
                <w:i w:val="0"/>
                <w:sz w:val="20"/>
              </w:rPr>
              <w:t>EcoGrid EU</w:t>
            </w:r>
          </w:p>
        </w:tc>
        <w:tc>
          <w:tcPr>
            <w:tcW w:type="dxa" w:w="1417"/>
            <w:shd w:val="clear" w:color="auto" w:fill="F0F4F8"/>
          </w:tcPr>
          <w:p>
            <w:pPr>
              <w:spacing w:after="40" w:before="40"/>
            </w:pPr>
            <w:r/>
            <w:r>
              <w:rPr>
                <w:rFonts w:ascii="Times New Roman" w:hAnsi="Times New Roman" w:eastAsia="宋体"/>
                <w:b w:val="0"/>
                <w:i w:val="0"/>
                <w:sz w:val="20"/>
              </w:rPr>
              <w:t>丹麦</w:t>
            </w:r>
          </w:p>
        </w:tc>
        <w:tc>
          <w:tcPr>
            <w:tcW w:type="dxa" w:w="1417"/>
            <w:shd w:val="clear" w:color="auto" w:fill="F0F4F8"/>
          </w:tcPr>
          <w:p>
            <w:pPr>
              <w:spacing w:after="40" w:before="40"/>
            </w:pPr>
            <w:r/>
            <w:r>
              <w:rPr>
                <w:rFonts w:ascii="Times New Roman" w:hAnsi="Times New Roman" w:eastAsia="宋体"/>
                <w:b w:val="0"/>
                <w:i w:val="0"/>
                <w:sz w:val="20"/>
              </w:rPr>
              <w:t>2011-2015</w:t>
            </w:r>
          </w:p>
        </w:tc>
        <w:tc>
          <w:tcPr>
            <w:tcW w:type="dxa" w:w="1417"/>
            <w:shd w:val="clear" w:color="auto" w:fill="F0F4F8"/>
          </w:tcPr>
          <w:p>
            <w:pPr>
              <w:spacing w:after="40" w:before="40"/>
            </w:pPr>
            <w:r/>
            <w:r>
              <w:rPr>
                <w:rFonts w:ascii="Times New Roman" w:hAnsi="Times New Roman" w:eastAsia="宋体"/>
                <w:b w:val="0"/>
                <w:i w:val="0"/>
                <w:sz w:val="20"/>
              </w:rPr>
              <w:t>博恩霍尔姆岛实时定价示范，2000户</w:t>
            </w:r>
          </w:p>
        </w:tc>
        <w:tc>
          <w:tcPr>
            <w:tcW w:type="dxa" w:w="1417"/>
            <w:shd w:val="clear" w:color="auto" w:fill="F0F4F8"/>
          </w:tcPr>
          <w:p>
            <w:pPr>
              <w:spacing w:after="40" w:before="40"/>
            </w:pPr>
            <w:r/>
            <w:r>
              <w:rPr>
                <w:rFonts w:ascii="Times New Roman" w:hAnsi="Times New Roman" w:eastAsia="宋体"/>
                <w:b w:val="0"/>
                <w:i w:val="0"/>
                <w:sz w:val="20"/>
              </w:rPr>
              <w:t>风电消纳率提高8%，用户响应显著</w:t>
            </w:r>
          </w:p>
        </w:tc>
      </w:tr>
    </w:tbl>
    <w:p>
      <w:pPr>
        <w:pStyle w:val="Heading2"/>
        <w:spacing w:before="240" w:after="80"/>
      </w:pPr>
      <w:r>
        <w:rPr>
          <w:rFonts w:ascii="Times New Roman" w:hAnsi="Times New Roman" w:eastAsia="黑体"/>
          <w:b/>
          <w:i w:val="0"/>
          <w:sz w:val="28"/>
        </w:rPr>
        <w:t>C.2 国内案例</w:t>
      </w:r>
    </w:p>
    <w:tbl>
      <w:tblPr>
        <w:tblStyle w:val="LightGrid-Accent1"/>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pPr>
              <w:spacing w:after="40" w:before="40"/>
            </w:pPr>
            <w:r>
              <w:rPr>
                <w:b/>
              </w:rPr>
            </w:r>
            <w:r>
              <w:rPr>
                <w:rFonts w:ascii="Times New Roman" w:hAnsi="Times New Roman" w:eastAsia="黑体"/>
                <w:b/>
                <w:i w:val="0"/>
                <w:sz w:val="20"/>
              </w:rPr>
              <w:t>序号</w:t>
            </w:r>
          </w:p>
        </w:tc>
        <w:tc>
          <w:tcPr>
            <w:tcW w:type="dxa" w:w="1417"/>
          </w:tcPr>
          <w:p>
            <w:pPr>
              <w:spacing w:after="40" w:before="40"/>
            </w:pPr>
            <w:r>
              <w:rPr>
                <w:b/>
              </w:rPr>
            </w:r>
            <w:r>
              <w:rPr>
                <w:rFonts w:ascii="Times New Roman" w:hAnsi="Times New Roman" w:eastAsia="黑体"/>
                <w:b/>
                <w:i w:val="0"/>
                <w:sz w:val="20"/>
              </w:rPr>
              <w:t>项目名称</w:t>
            </w:r>
          </w:p>
        </w:tc>
        <w:tc>
          <w:tcPr>
            <w:tcW w:type="dxa" w:w="1417"/>
          </w:tcPr>
          <w:p>
            <w:pPr>
              <w:spacing w:after="40" w:before="40"/>
            </w:pPr>
            <w:r>
              <w:rPr>
                <w:b/>
              </w:rPr>
            </w:r>
            <w:r>
              <w:rPr>
                <w:rFonts w:ascii="Times New Roman" w:hAnsi="Times New Roman" w:eastAsia="黑体"/>
                <w:b/>
                <w:i w:val="0"/>
                <w:sz w:val="20"/>
              </w:rPr>
              <w:t>省份</w:t>
            </w:r>
          </w:p>
        </w:tc>
        <w:tc>
          <w:tcPr>
            <w:tcW w:type="dxa" w:w="1417"/>
          </w:tcPr>
          <w:p>
            <w:pPr>
              <w:spacing w:after="40" w:before="40"/>
            </w:pPr>
            <w:r>
              <w:rPr>
                <w:b/>
              </w:rPr>
            </w:r>
            <w:r>
              <w:rPr>
                <w:rFonts w:ascii="Times New Roman" w:hAnsi="Times New Roman" w:eastAsia="黑体"/>
                <w:b/>
                <w:i w:val="0"/>
                <w:sz w:val="20"/>
              </w:rPr>
              <w:t>实施年份</w:t>
            </w:r>
          </w:p>
        </w:tc>
        <w:tc>
          <w:tcPr>
            <w:tcW w:type="dxa" w:w="1417"/>
          </w:tcPr>
          <w:p>
            <w:pPr>
              <w:spacing w:after="40" w:before="40"/>
            </w:pPr>
            <w:r>
              <w:rPr>
                <w:b/>
              </w:rPr>
            </w:r>
            <w:r>
              <w:rPr>
                <w:rFonts w:ascii="Times New Roman" w:hAnsi="Times New Roman" w:eastAsia="黑体"/>
                <w:b/>
                <w:i w:val="0"/>
                <w:sz w:val="20"/>
              </w:rPr>
              <w:t>核心内容</w:t>
            </w:r>
          </w:p>
        </w:tc>
        <w:tc>
          <w:tcPr>
            <w:tcW w:type="dxa" w:w="1417"/>
          </w:tcPr>
          <w:p>
            <w:pPr>
              <w:spacing w:after="40" w:before="40"/>
            </w:pPr>
            <w:r>
              <w:rPr>
                <w:b/>
              </w:rPr>
            </w:r>
            <w:r>
              <w:rPr>
                <w:rFonts w:ascii="Times New Roman" w:hAnsi="Times New Roman" w:eastAsia="黑体"/>
                <w:b/>
                <w:i w:val="0"/>
                <w:sz w:val="20"/>
              </w:rPr>
              <w:t>效果</w:t>
            </w:r>
          </w:p>
        </w:tc>
      </w:tr>
      <w:tr>
        <w:tc>
          <w:tcPr>
            <w:tcW w:type="dxa" w:w="1417"/>
          </w:tcPr>
          <w:p>
            <w:pPr>
              <w:spacing w:after="40" w:before="40"/>
            </w:pPr>
            <w:r/>
            <w:r>
              <w:rPr>
                <w:rFonts w:ascii="Times New Roman" w:hAnsi="Times New Roman" w:eastAsia="宋体"/>
                <w:b w:val="0"/>
                <w:i w:val="0"/>
                <w:sz w:val="20"/>
              </w:rPr>
              <w:t>11</w:t>
            </w:r>
          </w:p>
        </w:tc>
        <w:tc>
          <w:tcPr>
            <w:tcW w:type="dxa" w:w="1417"/>
          </w:tcPr>
          <w:p>
            <w:pPr>
              <w:spacing w:after="40" w:before="40"/>
            </w:pPr>
            <w:r/>
            <w:r>
              <w:rPr>
                <w:rFonts w:ascii="Times New Roman" w:hAnsi="Times New Roman" w:eastAsia="宋体"/>
                <w:b w:val="0"/>
                <w:i w:val="0"/>
                <w:sz w:val="20"/>
              </w:rPr>
              <w:t>智能小区试点</w:t>
            </w:r>
          </w:p>
        </w:tc>
        <w:tc>
          <w:tcPr>
            <w:tcW w:type="dxa" w:w="1417"/>
          </w:tcPr>
          <w:p>
            <w:pPr>
              <w:spacing w:after="40" w:before="40"/>
            </w:pPr>
            <w:r/>
            <w:r>
              <w:rPr>
                <w:rFonts w:ascii="Times New Roman" w:hAnsi="Times New Roman" w:eastAsia="宋体"/>
                <w:b w:val="0"/>
                <w:i w:val="0"/>
                <w:sz w:val="20"/>
              </w:rPr>
              <w:t>北京</w:t>
            </w:r>
          </w:p>
        </w:tc>
        <w:tc>
          <w:tcPr>
            <w:tcW w:type="dxa" w:w="1417"/>
          </w:tcPr>
          <w:p>
            <w:pPr>
              <w:spacing w:after="40" w:before="40"/>
            </w:pPr>
            <w:r/>
            <w:r>
              <w:rPr>
                <w:rFonts w:ascii="Times New Roman" w:hAnsi="Times New Roman" w:eastAsia="宋体"/>
                <w:b w:val="0"/>
                <w:i w:val="0"/>
                <w:sz w:val="20"/>
              </w:rPr>
              <w:t>2011-2014</w:t>
            </w:r>
          </w:p>
        </w:tc>
        <w:tc>
          <w:tcPr>
            <w:tcW w:type="dxa" w:w="1417"/>
          </w:tcPr>
          <w:p>
            <w:pPr>
              <w:spacing w:after="40" w:before="40"/>
            </w:pPr>
            <w:r/>
            <w:r>
              <w:rPr>
                <w:rFonts w:ascii="Times New Roman" w:hAnsi="Times New Roman" w:eastAsia="宋体"/>
                <w:b w:val="0"/>
                <w:i w:val="0"/>
                <w:sz w:val="20"/>
              </w:rPr>
              <w:t>居民分时电价+智能用电，3个小区</w:t>
            </w:r>
          </w:p>
        </w:tc>
        <w:tc>
          <w:tcPr>
            <w:tcW w:type="dxa" w:w="1417"/>
          </w:tcPr>
          <w:p>
            <w:pPr>
              <w:spacing w:after="40" w:before="40"/>
            </w:pPr>
            <w:r/>
            <w:r>
              <w:rPr>
                <w:rFonts w:ascii="Times New Roman" w:hAnsi="Times New Roman" w:eastAsia="宋体"/>
                <w:b w:val="0"/>
                <w:i w:val="0"/>
                <w:sz w:val="20"/>
              </w:rPr>
              <w:t>峰谷差降低6%，移峰填谷效果显著</w:t>
            </w:r>
          </w:p>
        </w:tc>
      </w:tr>
      <w:tr>
        <w:tc>
          <w:tcPr>
            <w:tcW w:type="dxa" w:w="1417"/>
            <w:shd w:val="clear" w:color="auto" w:fill="F0F4F8"/>
          </w:tcPr>
          <w:p>
            <w:pPr>
              <w:spacing w:after="40" w:before="40"/>
            </w:pPr>
            <w:r/>
            <w:r>
              <w:rPr>
                <w:rFonts w:ascii="Times New Roman" w:hAnsi="Times New Roman" w:eastAsia="宋体"/>
                <w:b w:val="0"/>
                <w:i w:val="0"/>
                <w:sz w:val="20"/>
              </w:rPr>
              <w:t>12</w:t>
            </w:r>
          </w:p>
        </w:tc>
        <w:tc>
          <w:tcPr>
            <w:tcW w:type="dxa" w:w="1417"/>
            <w:shd w:val="clear" w:color="auto" w:fill="F0F4F8"/>
          </w:tcPr>
          <w:p>
            <w:pPr>
              <w:spacing w:after="40" w:before="40"/>
            </w:pPr>
            <w:r/>
            <w:r>
              <w:rPr>
                <w:rFonts w:ascii="Times New Roman" w:hAnsi="Times New Roman" w:eastAsia="宋体"/>
                <w:b w:val="0"/>
                <w:i w:val="0"/>
                <w:sz w:val="20"/>
              </w:rPr>
              <w:t>需求响应试点</w:t>
            </w:r>
          </w:p>
        </w:tc>
        <w:tc>
          <w:tcPr>
            <w:tcW w:type="dxa" w:w="1417"/>
            <w:shd w:val="clear" w:color="auto" w:fill="F0F4F8"/>
          </w:tcPr>
          <w:p>
            <w:pPr>
              <w:spacing w:after="40" w:before="40"/>
            </w:pPr>
            <w:r/>
            <w:r>
              <w:rPr>
                <w:rFonts w:ascii="Times New Roman" w:hAnsi="Times New Roman" w:eastAsia="宋体"/>
                <w:b w:val="0"/>
                <w:i w:val="0"/>
                <w:sz w:val="20"/>
              </w:rPr>
              <w:t>上海</w:t>
            </w:r>
          </w:p>
        </w:tc>
        <w:tc>
          <w:tcPr>
            <w:tcW w:type="dxa" w:w="1417"/>
            <w:shd w:val="clear" w:color="auto" w:fill="F0F4F8"/>
          </w:tcPr>
          <w:p>
            <w:pPr>
              <w:spacing w:after="40" w:before="40"/>
            </w:pPr>
            <w:r/>
            <w:r>
              <w:rPr>
                <w:rFonts w:ascii="Times New Roman" w:hAnsi="Times New Roman" w:eastAsia="宋体"/>
                <w:b w:val="0"/>
                <w:i w:val="0"/>
                <w:sz w:val="20"/>
              </w:rPr>
              <w:t>2013-2016</w:t>
            </w:r>
          </w:p>
        </w:tc>
        <w:tc>
          <w:tcPr>
            <w:tcW w:type="dxa" w:w="1417"/>
            <w:shd w:val="clear" w:color="auto" w:fill="F0F4F8"/>
          </w:tcPr>
          <w:p>
            <w:pPr>
              <w:spacing w:after="40" w:before="40"/>
            </w:pPr>
            <w:r/>
            <w:r>
              <w:rPr>
                <w:rFonts w:ascii="Times New Roman" w:hAnsi="Times New Roman" w:eastAsia="宋体"/>
                <w:b w:val="0"/>
                <w:i w:val="0"/>
                <w:sz w:val="20"/>
              </w:rPr>
              <w:t>工商业用户DR，含激励和价格两种</w:t>
            </w:r>
          </w:p>
        </w:tc>
        <w:tc>
          <w:tcPr>
            <w:tcW w:type="dxa" w:w="1417"/>
            <w:shd w:val="clear" w:color="auto" w:fill="F0F4F8"/>
          </w:tcPr>
          <w:p>
            <w:pPr>
              <w:spacing w:after="40" w:before="40"/>
            </w:pPr>
            <w:r/>
            <w:r>
              <w:rPr>
                <w:rFonts w:ascii="Times New Roman" w:hAnsi="Times New Roman" w:eastAsia="宋体"/>
                <w:b w:val="0"/>
                <w:i w:val="0"/>
                <w:sz w:val="20"/>
              </w:rPr>
              <w:t>削峰能力50MW，单次事件收益100万元</w:t>
            </w:r>
          </w:p>
        </w:tc>
      </w:tr>
      <w:tr>
        <w:tc>
          <w:tcPr>
            <w:tcW w:type="dxa" w:w="1417"/>
          </w:tcPr>
          <w:p>
            <w:pPr>
              <w:spacing w:after="40" w:before="40"/>
            </w:pPr>
            <w:r/>
            <w:r>
              <w:rPr>
                <w:rFonts w:ascii="Times New Roman" w:hAnsi="Times New Roman" w:eastAsia="宋体"/>
                <w:b w:val="0"/>
                <w:i w:val="0"/>
                <w:sz w:val="20"/>
              </w:rPr>
              <w:t>13</w:t>
            </w:r>
          </w:p>
        </w:tc>
        <w:tc>
          <w:tcPr>
            <w:tcW w:type="dxa" w:w="1417"/>
          </w:tcPr>
          <w:p>
            <w:pPr>
              <w:spacing w:after="40" w:before="40"/>
            </w:pPr>
            <w:r/>
            <w:r>
              <w:rPr>
                <w:rFonts w:ascii="Times New Roman" w:hAnsi="Times New Roman" w:eastAsia="宋体"/>
                <w:b w:val="0"/>
                <w:i w:val="0"/>
                <w:sz w:val="20"/>
              </w:rPr>
              <w:t>电力直接交易</w:t>
            </w:r>
          </w:p>
        </w:tc>
        <w:tc>
          <w:tcPr>
            <w:tcW w:type="dxa" w:w="1417"/>
          </w:tcPr>
          <w:p>
            <w:pPr>
              <w:spacing w:after="40" w:before="40"/>
            </w:pPr>
            <w:r/>
            <w:r>
              <w:rPr>
                <w:rFonts w:ascii="Times New Roman" w:hAnsi="Times New Roman" w:eastAsia="宋体"/>
                <w:b w:val="0"/>
                <w:i w:val="0"/>
                <w:sz w:val="20"/>
              </w:rPr>
              <w:t>广东</w:t>
            </w:r>
          </w:p>
        </w:tc>
        <w:tc>
          <w:tcPr>
            <w:tcW w:type="dxa" w:w="1417"/>
          </w:tcPr>
          <w:p>
            <w:pPr>
              <w:spacing w:after="40" w:before="40"/>
            </w:pPr>
            <w:r/>
            <w:r>
              <w:rPr>
                <w:rFonts w:ascii="Times New Roman" w:hAnsi="Times New Roman" w:eastAsia="宋体"/>
                <w:b w:val="0"/>
                <w:i w:val="0"/>
                <w:sz w:val="20"/>
              </w:rPr>
              <w:t>2015至今</w:t>
            </w:r>
          </w:p>
        </w:tc>
        <w:tc>
          <w:tcPr>
            <w:tcW w:type="dxa" w:w="1417"/>
          </w:tcPr>
          <w:p>
            <w:pPr>
              <w:spacing w:after="40" w:before="40"/>
            </w:pPr>
            <w:r/>
            <w:r>
              <w:rPr>
                <w:rFonts w:ascii="Times New Roman" w:hAnsi="Times New Roman" w:eastAsia="宋体"/>
                <w:b w:val="0"/>
                <w:i w:val="0"/>
                <w:sz w:val="20"/>
              </w:rPr>
              <w:t>放开售电侧，引入实时价格信号</w:t>
            </w:r>
          </w:p>
        </w:tc>
        <w:tc>
          <w:tcPr>
            <w:tcW w:type="dxa" w:w="1417"/>
          </w:tcPr>
          <w:p>
            <w:pPr>
              <w:spacing w:after="40" w:before="40"/>
            </w:pPr>
            <w:r/>
            <w:r>
              <w:rPr>
                <w:rFonts w:ascii="Times New Roman" w:hAnsi="Times New Roman" w:eastAsia="宋体"/>
                <w:b w:val="0"/>
                <w:i w:val="0"/>
                <w:sz w:val="20"/>
              </w:rPr>
              <w:t>参与用户电费降低3-8%</w:t>
            </w:r>
          </w:p>
        </w:tc>
      </w:tr>
      <w:tr>
        <w:tc>
          <w:tcPr>
            <w:tcW w:type="dxa" w:w="1417"/>
            <w:shd w:val="clear" w:color="auto" w:fill="F0F4F8"/>
          </w:tcPr>
          <w:p>
            <w:pPr>
              <w:spacing w:after="40" w:before="40"/>
            </w:pPr>
            <w:r/>
            <w:r>
              <w:rPr>
                <w:rFonts w:ascii="Times New Roman" w:hAnsi="Times New Roman" w:eastAsia="宋体"/>
                <w:b w:val="0"/>
                <w:i w:val="0"/>
                <w:sz w:val="20"/>
              </w:rPr>
              <w:t>14</w:t>
            </w:r>
          </w:p>
        </w:tc>
        <w:tc>
          <w:tcPr>
            <w:tcW w:type="dxa" w:w="1417"/>
            <w:shd w:val="clear" w:color="auto" w:fill="F0F4F8"/>
          </w:tcPr>
          <w:p>
            <w:pPr>
              <w:spacing w:after="40" w:before="40"/>
            </w:pPr>
            <w:r/>
            <w:r>
              <w:rPr>
                <w:rFonts w:ascii="Times New Roman" w:hAnsi="Times New Roman" w:eastAsia="宋体"/>
                <w:b w:val="0"/>
                <w:i w:val="0"/>
                <w:sz w:val="20"/>
              </w:rPr>
              <w:t>虚拟电厂示范</w:t>
            </w:r>
          </w:p>
        </w:tc>
        <w:tc>
          <w:tcPr>
            <w:tcW w:type="dxa" w:w="1417"/>
            <w:shd w:val="clear" w:color="auto" w:fill="F0F4F8"/>
          </w:tcPr>
          <w:p>
            <w:pPr>
              <w:spacing w:after="40" w:before="40"/>
            </w:pPr>
            <w:r/>
            <w:r>
              <w:rPr>
                <w:rFonts w:ascii="Times New Roman" w:hAnsi="Times New Roman" w:eastAsia="宋体"/>
                <w:b w:val="0"/>
                <w:i w:val="0"/>
                <w:sz w:val="20"/>
              </w:rPr>
              <w:t>浙江</w:t>
            </w:r>
          </w:p>
        </w:tc>
        <w:tc>
          <w:tcPr>
            <w:tcW w:type="dxa" w:w="1417"/>
            <w:shd w:val="clear" w:color="auto" w:fill="F0F4F8"/>
          </w:tcPr>
          <w:p>
            <w:pPr>
              <w:spacing w:after="40" w:before="40"/>
            </w:pPr>
            <w:r/>
            <w:r>
              <w:rPr>
                <w:rFonts w:ascii="Times New Roman" w:hAnsi="Times New Roman" w:eastAsia="宋体"/>
                <w:b w:val="0"/>
                <w:i w:val="0"/>
                <w:sz w:val="20"/>
              </w:rPr>
              <w:t>2018-2022</w:t>
            </w:r>
          </w:p>
        </w:tc>
        <w:tc>
          <w:tcPr>
            <w:tcW w:type="dxa" w:w="1417"/>
            <w:shd w:val="clear" w:color="auto" w:fill="F0F4F8"/>
          </w:tcPr>
          <w:p>
            <w:pPr>
              <w:spacing w:after="40" w:before="40"/>
            </w:pPr>
            <w:r/>
            <w:r>
              <w:rPr>
                <w:rFonts w:ascii="Times New Roman" w:hAnsi="Times New Roman" w:eastAsia="宋体"/>
                <w:b w:val="0"/>
                <w:i w:val="0"/>
                <w:sz w:val="20"/>
              </w:rPr>
              <w:t>聚合分布式资源参与市场</w:t>
            </w:r>
          </w:p>
        </w:tc>
        <w:tc>
          <w:tcPr>
            <w:tcW w:type="dxa" w:w="1417"/>
            <w:shd w:val="clear" w:color="auto" w:fill="F0F4F8"/>
          </w:tcPr>
          <w:p>
            <w:pPr>
              <w:spacing w:after="40" w:before="40"/>
            </w:pPr>
            <w:r/>
            <w:r>
              <w:rPr>
                <w:rFonts w:ascii="Times New Roman" w:hAnsi="Times New Roman" w:eastAsia="宋体"/>
                <w:b w:val="0"/>
                <w:i w:val="0"/>
                <w:sz w:val="20"/>
              </w:rPr>
              <w:t>聚合容量100MW，响应时间5分钟</w:t>
            </w:r>
          </w:p>
        </w:tc>
      </w:tr>
      <w:tr>
        <w:tc>
          <w:tcPr>
            <w:tcW w:type="dxa" w:w="1417"/>
          </w:tcPr>
          <w:p>
            <w:pPr>
              <w:spacing w:after="40" w:before="40"/>
            </w:pPr>
            <w:r/>
            <w:r>
              <w:rPr>
                <w:rFonts w:ascii="Times New Roman" w:hAnsi="Times New Roman" w:eastAsia="宋体"/>
                <w:b w:val="0"/>
                <w:i w:val="0"/>
                <w:sz w:val="20"/>
              </w:rPr>
              <w:t>15</w:t>
            </w:r>
          </w:p>
        </w:tc>
        <w:tc>
          <w:tcPr>
            <w:tcW w:type="dxa" w:w="1417"/>
          </w:tcPr>
          <w:p>
            <w:pPr>
              <w:spacing w:after="40" w:before="40"/>
            </w:pPr>
            <w:r/>
            <w:r>
              <w:rPr>
                <w:rFonts w:ascii="Times New Roman" w:hAnsi="Times New Roman" w:eastAsia="宋体"/>
                <w:b w:val="0"/>
                <w:i w:val="0"/>
                <w:sz w:val="20"/>
              </w:rPr>
              <w:t>储能+DR项目</w:t>
            </w:r>
          </w:p>
        </w:tc>
        <w:tc>
          <w:tcPr>
            <w:tcW w:type="dxa" w:w="1417"/>
          </w:tcPr>
          <w:p>
            <w:pPr>
              <w:spacing w:after="40" w:before="40"/>
            </w:pPr>
            <w:r/>
            <w:r>
              <w:rPr>
                <w:rFonts w:ascii="Times New Roman" w:hAnsi="Times New Roman" w:eastAsia="宋体"/>
                <w:b w:val="0"/>
                <w:i w:val="0"/>
                <w:sz w:val="20"/>
              </w:rPr>
              <w:t>江苏</w:t>
            </w:r>
          </w:p>
        </w:tc>
        <w:tc>
          <w:tcPr>
            <w:tcW w:type="dxa" w:w="1417"/>
          </w:tcPr>
          <w:p>
            <w:pPr>
              <w:spacing w:after="40" w:before="40"/>
            </w:pPr>
            <w:r/>
            <w:r>
              <w:rPr>
                <w:rFonts w:ascii="Times New Roman" w:hAnsi="Times New Roman" w:eastAsia="宋体"/>
                <w:b w:val="0"/>
                <w:i w:val="0"/>
                <w:sz w:val="20"/>
              </w:rPr>
              <w:t>2019-2022</w:t>
            </w:r>
          </w:p>
        </w:tc>
        <w:tc>
          <w:tcPr>
            <w:tcW w:type="dxa" w:w="1417"/>
          </w:tcPr>
          <w:p>
            <w:pPr>
              <w:spacing w:after="40" w:before="40"/>
            </w:pPr>
            <w:r/>
            <w:r>
              <w:rPr>
                <w:rFonts w:ascii="Times New Roman" w:hAnsi="Times New Roman" w:eastAsia="宋体"/>
                <w:b w:val="0"/>
                <w:i w:val="0"/>
                <w:sz w:val="20"/>
              </w:rPr>
              <w:t>用户侧储能配合需求响应</w:t>
            </w:r>
          </w:p>
        </w:tc>
        <w:tc>
          <w:tcPr>
            <w:tcW w:type="dxa" w:w="1417"/>
          </w:tcPr>
          <w:p>
            <w:pPr>
              <w:spacing w:after="40" w:before="40"/>
            </w:pPr>
            <w:r/>
            <w:r>
              <w:rPr>
                <w:rFonts w:ascii="Times New Roman" w:hAnsi="Times New Roman" w:eastAsia="宋体"/>
                <w:b w:val="0"/>
                <w:i w:val="0"/>
                <w:sz w:val="20"/>
              </w:rPr>
              <w:t>峰荷削减15%，储能投资回收期7年</w:t>
            </w:r>
          </w:p>
        </w:tc>
      </w:tr>
      <w:tr>
        <w:tc>
          <w:tcPr>
            <w:tcW w:type="dxa" w:w="1417"/>
            <w:shd w:val="clear" w:color="auto" w:fill="F0F4F8"/>
          </w:tcPr>
          <w:p>
            <w:pPr>
              <w:spacing w:after="40" w:before="40"/>
            </w:pPr>
            <w:r/>
            <w:r>
              <w:rPr>
                <w:rFonts w:ascii="Times New Roman" w:hAnsi="Times New Roman" w:eastAsia="宋体"/>
                <w:b w:val="0"/>
                <w:i w:val="0"/>
                <w:sz w:val="20"/>
              </w:rPr>
              <w:t>16</w:t>
            </w:r>
          </w:p>
        </w:tc>
        <w:tc>
          <w:tcPr>
            <w:tcW w:type="dxa" w:w="1417"/>
            <w:shd w:val="clear" w:color="auto" w:fill="F0F4F8"/>
          </w:tcPr>
          <w:p>
            <w:pPr>
              <w:spacing w:after="40" w:before="40"/>
            </w:pPr>
            <w:r/>
            <w:r>
              <w:rPr>
                <w:rFonts w:ascii="Times New Roman" w:hAnsi="Times New Roman" w:eastAsia="宋体"/>
                <w:b w:val="0"/>
                <w:i w:val="0"/>
                <w:sz w:val="20"/>
              </w:rPr>
              <w:t>绿电交易试点</w:t>
            </w:r>
          </w:p>
        </w:tc>
        <w:tc>
          <w:tcPr>
            <w:tcW w:type="dxa" w:w="1417"/>
            <w:shd w:val="clear" w:color="auto" w:fill="F0F4F8"/>
          </w:tcPr>
          <w:p>
            <w:pPr>
              <w:spacing w:after="40" w:before="40"/>
            </w:pPr>
            <w:r/>
            <w:r>
              <w:rPr>
                <w:rFonts w:ascii="Times New Roman" w:hAnsi="Times New Roman" w:eastAsia="宋体"/>
                <w:b w:val="0"/>
                <w:i w:val="0"/>
                <w:sz w:val="20"/>
              </w:rPr>
              <w:t>全国</w:t>
            </w:r>
          </w:p>
        </w:tc>
        <w:tc>
          <w:tcPr>
            <w:tcW w:type="dxa" w:w="1417"/>
            <w:shd w:val="clear" w:color="auto" w:fill="F0F4F8"/>
          </w:tcPr>
          <w:p>
            <w:pPr>
              <w:spacing w:after="40" w:before="40"/>
            </w:pPr>
            <w:r/>
            <w:r>
              <w:rPr>
                <w:rFonts w:ascii="Times New Roman" w:hAnsi="Times New Roman" w:eastAsia="宋体"/>
                <w:b w:val="0"/>
                <w:i w:val="0"/>
                <w:sz w:val="20"/>
              </w:rPr>
              <w:t>2021至今</w:t>
            </w:r>
          </w:p>
        </w:tc>
        <w:tc>
          <w:tcPr>
            <w:tcW w:type="dxa" w:w="1417"/>
            <w:shd w:val="clear" w:color="auto" w:fill="F0F4F8"/>
          </w:tcPr>
          <w:p>
            <w:pPr>
              <w:spacing w:after="40" w:before="40"/>
            </w:pPr>
            <w:r/>
            <w:r>
              <w:rPr>
                <w:rFonts w:ascii="Times New Roman" w:hAnsi="Times New Roman" w:eastAsia="宋体"/>
                <w:b w:val="0"/>
                <w:i w:val="0"/>
                <w:sz w:val="20"/>
              </w:rPr>
              <w:t>风电光伏直接交易</w:t>
            </w:r>
          </w:p>
        </w:tc>
        <w:tc>
          <w:tcPr>
            <w:tcW w:type="dxa" w:w="1417"/>
            <w:shd w:val="clear" w:color="auto" w:fill="F0F4F8"/>
          </w:tcPr>
          <w:p>
            <w:pPr>
              <w:spacing w:after="40" w:before="40"/>
            </w:pPr>
            <w:r/>
            <w:r>
              <w:rPr>
                <w:rFonts w:ascii="Times New Roman" w:hAnsi="Times New Roman" w:eastAsia="宋体"/>
                <w:b w:val="0"/>
                <w:i w:val="0"/>
                <w:sz w:val="20"/>
              </w:rPr>
              <w:t>2025年交易量超800亿千瓦时</w:t>
            </w:r>
          </w:p>
        </w:tc>
      </w:tr>
      <w:tr>
        <w:tc>
          <w:tcPr>
            <w:tcW w:type="dxa" w:w="1417"/>
          </w:tcPr>
          <w:p>
            <w:pPr>
              <w:spacing w:after="40" w:before="40"/>
            </w:pPr>
            <w:r/>
            <w:r>
              <w:rPr>
                <w:rFonts w:ascii="Times New Roman" w:hAnsi="Times New Roman" w:eastAsia="宋体"/>
                <w:b w:val="0"/>
                <w:i w:val="0"/>
                <w:sz w:val="20"/>
              </w:rPr>
              <w:t>17</w:t>
            </w:r>
          </w:p>
        </w:tc>
        <w:tc>
          <w:tcPr>
            <w:tcW w:type="dxa" w:w="1417"/>
          </w:tcPr>
          <w:p>
            <w:pPr>
              <w:spacing w:after="40" w:before="40"/>
            </w:pPr>
            <w:r/>
            <w:r>
              <w:rPr>
                <w:rFonts w:ascii="Times New Roman" w:hAnsi="Times New Roman" w:eastAsia="宋体"/>
                <w:b w:val="0"/>
                <w:i w:val="0"/>
                <w:sz w:val="20"/>
              </w:rPr>
              <w:t>碳市场启动</w:t>
            </w:r>
          </w:p>
        </w:tc>
        <w:tc>
          <w:tcPr>
            <w:tcW w:type="dxa" w:w="1417"/>
          </w:tcPr>
          <w:p>
            <w:pPr>
              <w:spacing w:after="40" w:before="40"/>
            </w:pPr>
            <w:r/>
            <w:r>
              <w:rPr>
                <w:rFonts w:ascii="Times New Roman" w:hAnsi="Times New Roman" w:eastAsia="宋体"/>
                <w:b w:val="0"/>
                <w:i w:val="0"/>
                <w:sz w:val="20"/>
              </w:rPr>
              <w:t>全国</w:t>
            </w:r>
          </w:p>
        </w:tc>
        <w:tc>
          <w:tcPr>
            <w:tcW w:type="dxa" w:w="1417"/>
          </w:tcPr>
          <w:p>
            <w:pPr>
              <w:spacing w:after="40" w:before="40"/>
            </w:pPr>
            <w:r/>
            <w:r>
              <w:rPr>
                <w:rFonts w:ascii="Times New Roman" w:hAnsi="Times New Roman" w:eastAsia="宋体"/>
                <w:b w:val="0"/>
                <w:i w:val="0"/>
                <w:sz w:val="20"/>
              </w:rPr>
              <w:t>2024</w:t>
            </w:r>
          </w:p>
        </w:tc>
        <w:tc>
          <w:tcPr>
            <w:tcW w:type="dxa" w:w="1417"/>
          </w:tcPr>
          <w:p>
            <w:pPr>
              <w:spacing w:after="40" w:before="40"/>
            </w:pPr>
            <w:r/>
            <w:r>
              <w:rPr>
                <w:rFonts w:ascii="Times New Roman" w:hAnsi="Times New Roman" w:eastAsia="宋体"/>
                <w:b w:val="0"/>
                <w:i w:val="0"/>
                <w:sz w:val="20"/>
              </w:rPr>
              <w:t>发电行业碳排放权交易</w:t>
            </w:r>
          </w:p>
        </w:tc>
        <w:tc>
          <w:tcPr>
            <w:tcW w:type="dxa" w:w="1417"/>
          </w:tcPr>
          <w:p>
            <w:pPr>
              <w:spacing w:after="40" w:before="40"/>
            </w:pPr>
            <w:r/>
            <w:r>
              <w:rPr>
                <w:rFonts w:ascii="Times New Roman" w:hAnsi="Times New Roman" w:eastAsia="宋体"/>
                <w:b w:val="0"/>
                <w:i w:val="0"/>
                <w:sz w:val="20"/>
              </w:rPr>
              <w:t>碳价75元/吨，覆盖45亿吨排放</w:t>
            </w:r>
          </w:p>
        </w:tc>
      </w:tr>
      <w:tr>
        <w:tc>
          <w:tcPr>
            <w:tcW w:type="dxa" w:w="1417"/>
            <w:shd w:val="clear" w:color="auto" w:fill="F0F4F8"/>
          </w:tcPr>
          <w:p>
            <w:pPr>
              <w:spacing w:after="40" w:before="40"/>
            </w:pPr>
            <w:r/>
            <w:r>
              <w:rPr>
                <w:rFonts w:ascii="Times New Roman" w:hAnsi="Times New Roman" w:eastAsia="宋体"/>
                <w:b w:val="0"/>
                <w:i w:val="0"/>
                <w:sz w:val="20"/>
              </w:rPr>
              <w:t>18</w:t>
            </w:r>
          </w:p>
        </w:tc>
        <w:tc>
          <w:tcPr>
            <w:tcW w:type="dxa" w:w="1417"/>
            <w:shd w:val="clear" w:color="auto" w:fill="F0F4F8"/>
          </w:tcPr>
          <w:p>
            <w:pPr>
              <w:spacing w:after="40" w:before="40"/>
            </w:pPr>
            <w:r/>
            <w:r>
              <w:rPr>
                <w:rFonts w:ascii="Times New Roman" w:hAnsi="Times New Roman" w:eastAsia="宋体"/>
                <w:b w:val="0"/>
                <w:i w:val="0"/>
                <w:sz w:val="20"/>
              </w:rPr>
              <w:t>智慧能源管理</w:t>
            </w:r>
          </w:p>
        </w:tc>
        <w:tc>
          <w:tcPr>
            <w:tcW w:type="dxa" w:w="1417"/>
            <w:shd w:val="clear" w:color="auto" w:fill="F0F4F8"/>
          </w:tcPr>
          <w:p>
            <w:pPr>
              <w:spacing w:after="40" w:before="40"/>
            </w:pPr>
            <w:r/>
            <w:r>
              <w:rPr>
                <w:rFonts w:ascii="Times New Roman" w:hAnsi="Times New Roman" w:eastAsia="宋体"/>
                <w:b w:val="0"/>
                <w:i w:val="0"/>
                <w:sz w:val="20"/>
              </w:rPr>
              <w:t>深圳</w:t>
            </w:r>
          </w:p>
        </w:tc>
        <w:tc>
          <w:tcPr>
            <w:tcW w:type="dxa" w:w="1417"/>
            <w:shd w:val="clear" w:color="auto" w:fill="F0F4F8"/>
          </w:tcPr>
          <w:p>
            <w:pPr>
              <w:spacing w:after="40" w:before="40"/>
            </w:pPr>
            <w:r/>
            <w:r>
              <w:rPr>
                <w:rFonts w:ascii="Times New Roman" w:hAnsi="Times New Roman" w:eastAsia="宋体"/>
                <w:b w:val="0"/>
                <w:i w:val="0"/>
                <w:sz w:val="20"/>
              </w:rPr>
              <w:t>2020-2024</w:t>
            </w:r>
          </w:p>
        </w:tc>
        <w:tc>
          <w:tcPr>
            <w:tcW w:type="dxa" w:w="1417"/>
            <w:shd w:val="clear" w:color="auto" w:fill="F0F4F8"/>
          </w:tcPr>
          <w:p>
            <w:pPr>
              <w:spacing w:after="40" w:before="40"/>
            </w:pPr>
            <w:r/>
            <w:r>
              <w:rPr>
                <w:rFonts w:ascii="Times New Roman" w:hAnsi="Times New Roman" w:eastAsia="宋体"/>
                <w:b w:val="0"/>
                <w:i w:val="0"/>
                <w:sz w:val="20"/>
              </w:rPr>
              <w:t>园区级综合能源管理系统</w:t>
            </w:r>
          </w:p>
        </w:tc>
        <w:tc>
          <w:tcPr>
            <w:tcW w:type="dxa" w:w="1417"/>
            <w:shd w:val="clear" w:color="auto" w:fill="F0F4F8"/>
          </w:tcPr>
          <w:p>
            <w:pPr>
              <w:spacing w:after="40" w:before="40"/>
            </w:pPr>
            <w:r/>
            <w:r>
              <w:rPr>
                <w:rFonts w:ascii="Times New Roman" w:hAnsi="Times New Roman" w:eastAsia="宋体"/>
                <w:b w:val="0"/>
                <w:i w:val="0"/>
                <w:sz w:val="20"/>
              </w:rPr>
              <w:t>综合能效提升12%，运行成本降低8%</w:t>
            </w:r>
          </w:p>
        </w:tc>
      </w:tr>
      <w:tr>
        <w:tc>
          <w:tcPr>
            <w:tcW w:type="dxa" w:w="1417"/>
          </w:tcPr>
          <w:p>
            <w:pPr>
              <w:spacing w:after="40" w:before="40"/>
            </w:pPr>
            <w:r/>
            <w:r>
              <w:rPr>
                <w:rFonts w:ascii="Times New Roman" w:hAnsi="Times New Roman" w:eastAsia="宋体"/>
                <w:b w:val="0"/>
                <w:i w:val="0"/>
                <w:sz w:val="20"/>
              </w:rPr>
              <w:t>19</w:t>
            </w:r>
          </w:p>
        </w:tc>
        <w:tc>
          <w:tcPr>
            <w:tcW w:type="dxa" w:w="1417"/>
          </w:tcPr>
          <w:p>
            <w:pPr>
              <w:spacing w:after="40" w:before="40"/>
            </w:pPr>
            <w:r/>
            <w:r>
              <w:rPr>
                <w:rFonts w:ascii="Times New Roman" w:hAnsi="Times New Roman" w:eastAsia="宋体"/>
                <w:b w:val="0"/>
                <w:i w:val="0"/>
                <w:sz w:val="20"/>
              </w:rPr>
              <w:t>V2G试点</w:t>
            </w:r>
          </w:p>
        </w:tc>
        <w:tc>
          <w:tcPr>
            <w:tcW w:type="dxa" w:w="1417"/>
          </w:tcPr>
          <w:p>
            <w:pPr>
              <w:spacing w:after="40" w:before="40"/>
            </w:pPr>
            <w:r/>
            <w:r>
              <w:rPr>
                <w:rFonts w:ascii="Times New Roman" w:hAnsi="Times New Roman" w:eastAsia="宋体"/>
                <w:b w:val="0"/>
                <w:i w:val="0"/>
                <w:sz w:val="20"/>
              </w:rPr>
              <w:t>天津</w:t>
            </w:r>
          </w:p>
        </w:tc>
        <w:tc>
          <w:tcPr>
            <w:tcW w:type="dxa" w:w="1417"/>
          </w:tcPr>
          <w:p>
            <w:pPr>
              <w:spacing w:after="40" w:before="40"/>
            </w:pPr>
            <w:r/>
            <w:r>
              <w:rPr>
                <w:rFonts w:ascii="Times New Roman" w:hAnsi="Times New Roman" w:eastAsia="宋体"/>
                <w:b w:val="0"/>
                <w:i w:val="0"/>
                <w:sz w:val="20"/>
              </w:rPr>
              <w:t>2022-2025</w:t>
            </w:r>
          </w:p>
        </w:tc>
        <w:tc>
          <w:tcPr>
            <w:tcW w:type="dxa" w:w="1417"/>
          </w:tcPr>
          <w:p>
            <w:pPr>
              <w:spacing w:after="40" w:before="40"/>
            </w:pPr>
            <w:r/>
            <w:r>
              <w:rPr>
                <w:rFonts w:ascii="Times New Roman" w:hAnsi="Times New Roman" w:eastAsia="宋体"/>
                <w:b w:val="0"/>
                <w:i w:val="0"/>
                <w:sz w:val="20"/>
              </w:rPr>
              <w:t>电动汽车双向充放电参与调峰</w:t>
            </w:r>
          </w:p>
        </w:tc>
        <w:tc>
          <w:tcPr>
            <w:tcW w:type="dxa" w:w="1417"/>
          </w:tcPr>
          <w:p>
            <w:pPr>
              <w:spacing w:after="40" w:before="40"/>
            </w:pPr>
            <w:r/>
            <w:r>
              <w:rPr>
                <w:rFonts w:ascii="Times New Roman" w:hAnsi="Times New Roman" w:eastAsia="宋体"/>
                <w:b w:val="0"/>
                <w:i w:val="0"/>
                <w:sz w:val="20"/>
              </w:rPr>
              <w:t>单车年收益约2000元</w:t>
            </w:r>
          </w:p>
        </w:tc>
      </w:tr>
      <w:tr>
        <w:tc>
          <w:tcPr>
            <w:tcW w:type="dxa" w:w="1417"/>
            <w:shd w:val="clear" w:color="auto" w:fill="F0F4F8"/>
          </w:tcPr>
          <w:p>
            <w:pPr>
              <w:spacing w:after="40" w:before="40"/>
            </w:pPr>
            <w:r/>
            <w:r>
              <w:rPr>
                <w:rFonts w:ascii="Times New Roman" w:hAnsi="Times New Roman" w:eastAsia="宋体"/>
                <w:b w:val="0"/>
                <w:i w:val="0"/>
                <w:sz w:val="20"/>
              </w:rPr>
              <w:t>20</w:t>
            </w:r>
          </w:p>
        </w:tc>
        <w:tc>
          <w:tcPr>
            <w:tcW w:type="dxa" w:w="1417"/>
            <w:shd w:val="clear" w:color="auto" w:fill="F0F4F8"/>
          </w:tcPr>
          <w:p>
            <w:pPr>
              <w:spacing w:after="40" w:before="40"/>
            </w:pPr>
            <w:r/>
            <w:r>
              <w:rPr>
                <w:rFonts w:ascii="Times New Roman" w:hAnsi="Times New Roman" w:eastAsia="宋体"/>
                <w:b w:val="0"/>
                <w:i w:val="0"/>
                <w:sz w:val="20"/>
              </w:rPr>
              <w:t>柔性负荷示范</w:t>
            </w:r>
          </w:p>
        </w:tc>
        <w:tc>
          <w:tcPr>
            <w:tcW w:type="dxa" w:w="1417"/>
            <w:shd w:val="clear" w:color="auto" w:fill="F0F4F8"/>
          </w:tcPr>
          <w:p>
            <w:pPr>
              <w:spacing w:after="40" w:before="40"/>
            </w:pPr>
            <w:r/>
            <w:r>
              <w:rPr>
                <w:rFonts w:ascii="Times New Roman" w:hAnsi="Times New Roman" w:eastAsia="宋体"/>
                <w:b w:val="0"/>
                <w:i w:val="0"/>
                <w:sz w:val="20"/>
              </w:rPr>
              <w:t>山东</w:t>
            </w:r>
          </w:p>
        </w:tc>
        <w:tc>
          <w:tcPr>
            <w:tcW w:type="dxa" w:w="1417"/>
            <w:shd w:val="clear" w:color="auto" w:fill="F0F4F8"/>
          </w:tcPr>
          <w:p>
            <w:pPr>
              <w:spacing w:after="40" w:before="40"/>
            </w:pPr>
            <w:r/>
            <w:r>
              <w:rPr>
                <w:rFonts w:ascii="Times New Roman" w:hAnsi="Times New Roman" w:eastAsia="宋体"/>
                <w:b w:val="0"/>
                <w:i w:val="0"/>
                <w:sz w:val="20"/>
              </w:rPr>
              <w:t>2021-2024</w:t>
            </w:r>
          </w:p>
        </w:tc>
        <w:tc>
          <w:tcPr>
            <w:tcW w:type="dxa" w:w="1417"/>
            <w:shd w:val="clear" w:color="auto" w:fill="F0F4F8"/>
          </w:tcPr>
          <w:p>
            <w:pPr>
              <w:spacing w:after="40" w:before="40"/>
            </w:pPr>
            <w:r/>
            <w:r>
              <w:rPr>
                <w:rFonts w:ascii="Times New Roman" w:hAnsi="Times New Roman" w:eastAsia="宋体"/>
                <w:b w:val="0"/>
                <w:i w:val="0"/>
                <w:sz w:val="20"/>
              </w:rPr>
              <w:t>工业柔性负荷参与实时市场</w:t>
            </w:r>
          </w:p>
        </w:tc>
        <w:tc>
          <w:tcPr>
            <w:tcW w:type="dxa" w:w="1417"/>
            <w:shd w:val="clear" w:color="auto" w:fill="F0F4F8"/>
          </w:tcPr>
          <w:p>
            <w:pPr>
              <w:spacing w:after="40" w:before="40"/>
            </w:pPr>
            <w:r/>
            <w:r>
              <w:rPr>
                <w:rFonts w:ascii="Times New Roman" w:hAnsi="Times New Roman" w:eastAsia="宋体"/>
                <w:b w:val="0"/>
                <w:i w:val="0"/>
                <w:sz w:val="20"/>
              </w:rPr>
              <w:t>可调容量300MW，响应速度分钟级</w:t>
            </w:r>
          </w:p>
        </w:tc>
      </w:tr>
    </w:tbl>
    <w:p>
      <w:pPr>
        <w:pStyle w:val="Heading2"/>
        <w:spacing w:before="240" w:after="80"/>
      </w:pPr>
      <w:r>
        <w:rPr>
          <w:rFonts w:ascii="Times New Roman" w:hAnsi="Times New Roman" w:eastAsia="黑体"/>
          <w:b/>
          <w:i w:val="0"/>
          <w:sz w:val="28"/>
        </w:rPr>
        <w:t>C.3 学术研究案例</w:t>
      </w:r>
    </w:p>
    <w:tbl>
      <w:tblPr>
        <w:tblStyle w:val="LightGrid-Accent1"/>
        <w:tblW w:type="auto" w:w="0"/>
        <w:jc w:val="center"/>
        <w:tblLook w:firstColumn="1" w:firstRow="1" w:lastColumn="0" w:lastRow="0" w:noHBand="0" w:noVBand="1" w:val="04A0"/>
      </w:tblPr>
      <w:tblGrid>
        <w:gridCol w:w="1701"/>
        <w:gridCol w:w="1701"/>
        <w:gridCol w:w="1701"/>
        <w:gridCol w:w="1701"/>
        <w:gridCol w:w="1701"/>
      </w:tblGrid>
      <w:tr>
        <w:tc>
          <w:tcPr>
            <w:tcW w:type="dxa" w:w="1701"/>
          </w:tcPr>
          <w:p>
            <w:pPr>
              <w:spacing w:after="40" w:before="40"/>
            </w:pPr>
            <w:r>
              <w:rPr>
                <w:b/>
              </w:rPr>
            </w:r>
            <w:r>
              <w:rPr>
                <w:rFonts w:ascii="Times New Roman" w:hAnsi="Times New Roman" w:eastAsia="黑体"/>
                <w:b/>
                <w:i w:val="0"/>
                <w:sz w:val="20"/>
              </w:rPr>
              <w:t>序号</w:t>
            </w:r>
          </w:p>
        </w:tc>
        <w:tc>
          <w:tcPr>
            <w:tcW w:type="dxa" w:w="1701"/>
          </w:tcPr>
          <w:p>
            <w:pPr>
              <w:spacing w:after="40" w:before="40"/>
            </w:pPr>
            <w:r>
              <w:rPr>
                <w:b/>
              </w:rPr>
            </w:r>
            <w:r>
              <w:rPr>
                <w:rFonts w:ascii="Times New Roman" w:hAnsi="Times New Roman" w:eastAsia="黑体"/>
                <w:b/>
                <w:i w:val="0"/>
                <w:sz w:val="20"/>
              </w:rPr>
              <w:t>研究团队</w:t>
            </w:r>
          </w:p>
        </w:tc>
        <w:tc>
          <w:tcPr>
            <w:tcW w:type="dxa" w:w="1701"/>
          </w:tcPr>
          <w:p>
            <w:pPr>
              <w:spacing w:after="40" w:before="40"/>
            </w:pPr>
            <w:r>
              <w:rPr>
                <w:b/>
              </w:rPr>
            </w:r>
            <w:r>
              <w:rPr>
                <w:rFonts w:ascii="Times New Roman" w:hAnsi="Times New Roman" w:eastAsia="黑体"/>
                <w:b/>
                <w:i w:val="0"/>
                <w:sz w:val="20"/>
              </w:rPr>
              <w:t>研究内容</w:t>
            </w:r>
          </w:p>
        </w:tc>
        <w:tc>
          <w:tcPr>
            <w:tcW w:type="dxa" w:w="1701"/>
          </w:tcPr>
          <w:p>
            <w:pPr>
              <w:spacing w:after="40" w:before="40"/>
            </w:pPr>
            <w:r>
              <w:rPr>
                <w:b/>
              </w:rPr>
            </w:r>
            <w:r>
              <w:rPr>
                <w:rFonts w:ascii="Times New Roman" w:hAnsi="Times New Roman" w:eastAsia="黑体"/>
                <w:b/>
                <w:i w:val="0"/>
                <w:sz w:val="20"/>
              </w:rPr>
              <w:t>方法</w:t>
            </w:r>
          </w:p>
        </w:tc>
        <w:tc>
          <w:tcPr>
            <w:tcW w:type="dxa" w:w="1701"/>
          </w:tcPr>
          <w:p>
            <w:pPr>
              <w:spacing w:after="40" w:before="40"/>
            </w:pPr>
            <w:r>
              <w:rPr>
                <w:b/>
              </w:rPr>
            </w:r>
            <w:r>
              <w:rPr>
                <w:rFonts w:ascii="Times New Roman" w:hAnsi="Times New Roman" w:eastAsia="黑体"/>
                <w:b/>
                <w:i w:val="0"/>
                <w:sz w:val="20"/>
              </w:rPr>
              <w:t>发表年份</w:t>
            </w:r>
          </w:p>
        </w:tc>
      </w:tr>
      <w:tr>
        <w:tc>
          <w:tcPr>
            <w:tcW w:type="dxa" w:w="1701"/>
          </w:tcPr>
          <w:p>
            <w:pPr>
              <w:spacing w:after="40" w:before="40"/>
            </w:pPr>
            <w:r/>
            <w:r>
              <w:rPr>
                <w:rFonts w:ascii="Times New Roman" w:hAnsi="Times New Roman" w:eastAsia="宋体"/>
                <w:b w:val="0"/>
                <w:i w:val="0"/>
                <w:sz w:val="20"/>
              </w:rPr>
              <w:t>21</w:t>
            </w:r>
          </w:p>
        </w:tc>
        <w:tc>
          <w:tcPr>
            <w:tcW w:type="dxa" w:w="1701"/>
          </w:tcPr>
          <w:p>
            <w:pPr>
              <w:spacing w:after="40" w:before="40"/>
            </w:pPr>
            <w:r/>
            <w:r>
              <w:rPr>
                <w:rFonts w:ascii="Times New Roman" w:hAnsi="Times New Roman" w:eastAsia="宋体"/>
                <w:b w:val="0"/>
                <w:i w:val="0"/>
                <w:sz w:val="20"/>
              </w:rPr>
              <w:t>高岩团队</w:t>
            </w:r>
          </w:p>
        </w:tc>
        <w:tc>
          <w:tcPr>
            <w:tcW w:type="dxa" w:w="1701"/>
          </w:tcPr>
          <w:p>
            <w:pPr>
              <w:spacing w:after="40" w:before="40"/>
            </w:pPr>
            <w:r/>
            <w:r>
              <w:rPr>
                <w:rFonts w:ascii="Times New Roman" w:hAnsi="Times New Roman" w:eastAsia="宋体"/>
                <w:b w:val="0"/>
                <w:i w:val="0"/>
                <w:sz w:val="20"/>
              </w:rPr>
              <w:t>互补问题方法RTP</w:t>
            </w:r>
          </w:p>
        </w:tc>
        <w:tc>
          <w:tcPr>
            <w:tcW w:type="dxa" w:w="1701"/>
          </w:tcPr>
          <w:p>
            <w:pPr>
              <w:spacing w:after="40" w:before="40"/>
            </w:pPr>
            <w:r/>
            <w:r>
              <w:rPr>
                <w:rFonts w:ascii="Times New Roman" w:hAnsi="Times New Roman" w:eastAsia="宋体"/>
                <w:b w:val="0"/>
                <w:i w:val="0"/>
                <w:sz w:val="20"/>
              </w:rPr>
              <w:t>光滑牛顿法</w:t>
            </w:r>
          </w:p>
        </w:tc>
        <w:tc>
          <w:tcPr>
            <w:tcW w:type="dxa" w:w="1701"/>
          </w:tcPr>
          <w:p>
            <w:pPr>
              <w:spacing w:after="40" w:before="40"/>
            </w:pPr>
            <w:r/>
            <w:r>
              <w:rPr>
                <w:rFonts w:ascii="Times New Roman" w:hAnsi="Times New Roman" w:eastAsia="宋体"/>
                <w:b w:val="0"/>
                <w:i w:val="0"/>
                <w:sz w:val="20"/>
              </w:rPr>
              <w:t>2006-2024</w:t>
            </w:r>
          </w:p>
        </w:tc>
      </w:tr>
      <w:tr>
        <w:tc>
          <w:tcPr>
            <w:tcW w:type="dxa" w:w="1701"/>
            <w:shd w:val="clear" w:color="auto" w:fill="F0F4F8"/>
          </w:tcPr>
          <w:p>
            <w:pPr>
              <w:spacing w:after="40" w:before="40"/>
            </w:pPr>
            <w:r/>
            <w:r>
              <w:rPr>
                <w:rFonts w:ascii="Times New Roman" w:hAnsi="Times New Roman" w:eastAsia="宋体"/>
                <w:b w:val="0"/>
                <w:i w:val="0"/>
                <w:sz w:val="20"/>
              </w:rPr>
              <w:t>22</w:t>
            </w:r>
          </w:p>
        </w:tc>
        <w:tc>
          <w:tcPr>
            <w:tcW w:type="dxa" w:w="1701"/>
            <w:shd w:val="clear" w:color="auto" w:fill="F0F4F8"/>
          </w:tcPr>
          <w:p>
            <w:pPr>
              <w:spacing w:after="40" w:before="40"/>
            </w:pPr>
            <w:r/>
            <w:r>
              <w:rPr>
                <w:rFonts w:ascii="Times New Roman" w:hAnsi="Times New Roman" w:eastAsia="宋体"/>
                <w:b w:val="0"/>
                <w:i w:val="0"/>
                <w:sz w:val="20"/>
              </w:rPr>
              <w:t>Samadi et al.</w:t>
            </w:r>
          </w:p>
        </w:tc>
        <w:tc>
          <w:tcPr>
            <w:tcW w:type="dxa" w:w="1701"/>
            <w:shd w:val="clear" w:color="auto" w:fill="F0F4F8"/>
          </w:tcPr>
          <w:p>
            <w:pPr>
              <w:spacing w:after="40" w:before="40"/>
            </w:pPr>
            <w:r/>
            <w:r>
              <w:rPr>
                <w:rFonts w:ascii="Times New Roman" w:hAnsi="Times New Roman" w:eastAsia="宋体"/>
                <w:b w:val="0"/>
                <w:i w:val="0"/>
                <w:sz w:val="20"/>
              </w:rPr>
              <w:t>效用函数RTP模型</w:t>
            </w:r>
          </w:p>
        </w:tc>
        <w:tc>
          <w:tcPr>
            <w:tcW w:type="dxa" w:w="1701"/>
            <w:shd w:val="clear" w:color="auto" w:fill="F0F4F8"/>
          </w:tcPr>
          <w:p>
            <w:pPr>
              <w:spacing w:after="40" w:before="40"/>
            </w:pPr>
            <w:r/>
            <w:r>
              <w:rPr>
                <w:rFonts w:ascii="Times New Roman" w:hAnsi="Times New Roman" w:eastAsia="宋体"/>
                <w:b w:val="0"/>
                <w:i w:val="0"/>
                <w:sz w:val="20"/>
              </w:rPr>
              <w:t>凸优化</w:t>
            </w:r>
          </w:p>
        </w:tc>
        <w:tc>
          <w:tcPr>
            <w:tcW w:type="dxa" w:w="1701"/>
            <w:shd w:val="clear" w:color="auto" w:fill="F0F4F8"/>
          </w:tcPr>
          <w:p>
            <w:pPr>
              <w:spacing w:after="40" w:before="40"/>
            </w:pPr>
            <w:r/>
            <w:r>
              <w:rPr>
                <w:rFonts w:ascii="Times New Roman" w:hAnsi="Times New Roman" w:eastAsia="宋体"/>
                <w:b w:val="0"/>
                <w:i w:val="0"/>
                <w:sz w:val="20"/>
              </w:rPr>
              <w:t>2010-2012</w:t>
            </w:r>
          </w:p>
        </w:tc>
      </w:tr>
      <w:tr>
        <w:tc>
          <w:tcPr>
            <w:tcW w:type="dxa" w:w="1701"/>
          </w:tcPr>
          <w:p>
            <w:pPr>
              <w:spacing w:after="40" w:before="40"/>
            </w:pPr>
            <w:r/>
            <w:r>
              <w:rPr>
                <w:rFonts w:ascii="Times New Roman" w:hAnsi="Times New Roman" w:eastAsia="宋体"/>
                <w:b w:val="0"/>
                <w:i w:val="0"/>
                <w:sz w:val="20"/>
              </w:rPr>
              <w:t>23</w:t>
            </w:r>
          </w:p>
        </w:tc>
        <w:tc>
          <w:tcPr>
            <w:tcW w:type="dxa" w:w="1701"/>
          </w:tcPr>
          <w:p>
            <w:pPr>
              <w:spacing w:after="40" w:before="40"/>
            </w:pPr>
            <w:r/>
            <w:r>
              <w:rPr>
                <w:rFonts w:ascii="Times New Roman" w:hAnsi="Times New Roman" w:eastAsia="宋体"/>
                <w:b w:val="0"/>
                <w:i w:val="0"/>
                <w:sz w:val="20"/>
              </w:rPr>
              <w:t>Qian et al.</w:t>
            </w:r>
          </w:p>
        </w:tc>
        <w:tc>
          <w:tcPr>
            <w:tcW w:type="dxa" w:w="1701"/>
          </w:tcPr>
          <w:p>
            <w:pPr>
              <w:spacing w:after="40" w:before="40"/>
            </w:pPr>
            <w:r/>
            <w:r>
              <w:rPr>
                <w:rFonts w:ascii="Times New Roman" w:hAnsi="Times New Roman" w:eastAsia="宋体"/>
                <w:b w:val="0"/>
                <w:i w:val="0"/>
                <w:sz w:val="20"/>
              </w:rPr>
              <w:t>多零售商博弈定价</w:t>
            </w:r>
          </w:p>
        </w:tc>
        <w:tc>
          <w:tcPr>
            <w:tcW w:type="dxa" w:w="1701"/>
          </w:tcPr>
          <w:p>
            <w:pPr>
              <w:spacing w:after="40" w:before="40"/>
            </w:pPr>
            <w:r/>
            <w:r>
              <w:rPr>
                <w:rFonts w:ascii="Times New Roman" w:hAnsi="Times New Roman" w:eastAsia="宋体"/>
                <w:b w:val="0"/>
                <w:i w:val="0"/>
                <w:sz w:val="20"/>
              </w:rPr>
              <w:t>Stackelberg博弈</w:t>
            </w:r>
          </w:p>
        </w:tc>
        <w:tc>
          <w:tcPr>
            <w:tcW w:type="dxa" w:w="1701"/>
          </w:tcPr>
          <w:p>
            <w:pPr>
              <w:spacing w:after="40" w:before="40"/>
            </w:pPr>
            <w:r/>
            <w:r>
              <w:rPr>
                <w:rFonts w:ascii="Times New Roman" w:hAnsi="Times New Roman" w:eastAsia="宋体"/>
                <w:b w:val="0"/>
                <w:i w:val="0"/>
                <w:sz w:val="20"/>
              </w:rPr>
              <w:t>2012-2015</w:t>
            </w:r>
          </w:p>
        </w:tc>
      </w:tr>
      <w:tr>
        <w:tc>
          <w:tcPr>
            <w:tcW w:type="dxa" w:w="1701"/>
            <w:shd w:val="clear" w:color="auto" w:fill="F0F4F8"/>
          </w:tcPr>
          <w:p>
            <w:pPr>
              <w:spacing w:after="40" w:before="40"/>
            </w:pPr>
            <w:r/>
            <w:r>
              <w:rPr>
                <w:rFonts w:ascii="Times New Roman" w:hAnsi="Times New Roman" w:eastAsia="宋体"/>
                <w:b w:val="0"/>
                <w:i w:val="0"/>
                <w:sz w:val="20"/>
              </w:rPr>
              <w:t>24</w:t>
            </w:r>
          </w:p>
        </w:tc>
        <w:tc>
          <w:tcPr>
            <w:tcW w:type="dxa" w:w="1701"/>
            <w:shd w:val="clear" w:color="auto" w:fill="F0F4F8"/>
          </w:tcPr>
          <w:p>
            <w:pPr>
              <w:spacing w:after="40" w:before="40"/>
            </w:pPr>
            <w:r/>
            <w:r>
              <w:rPr>
                <w:rFonts w:ascii="Times New Roman" w:hAnsi="Times New Roman" w:eastAsia="宋体"/>
                <w:b w:val="0"/>
                <w:i w:val="0"/>
                <w:sz w:val="20"/>
              </w:rPr>
              <w:t>Chen et al.</w:t>
            </w:r>
          </w:p>
        </w:tc>
        <w:tc>
          <w:tcPr>
            <w:tcW w:type="dxa" w:w="1701"/>
            <w:shd w:val="clear" w:color="auto" w:fill="F0F4F8"/>
          </w:tcPr>
          <w:p>
            <w:pPr>
              <w:spacing w:after="40" w:before="40"/>
            </w:pPr>
            <w:r/>
            <w:r>
              <w:rPr>
                <w:rFonts w:ascii="Times New Roman" w:hAnsi="Times New Roman" w:eastAsia="宋体"/>
                <w:b w:val="0"/>
                <w:i w:val="0"/>
                <w:sz w:val="20"/>
              </w:rPr>
              <w:t>RL自适应定价</w:t>
            </w:r>
          </w:p>
        </w:tc>
        <w:tc>
          <w:tcPr>
            <w:tcW w:type="dxa" w:w="1701"/>
            <w:shd w:val="clear" w:color="auto" w:fill="F0F4F8"/>
          </w:tcPr>
          <w:p>
            <w:pPr>
              <w:spacing w:after="40" w:before="40"/>
            </w:pPr>
            <w:r/>
            <w:r>
              <w:rPr>
                <w:rFonts w:ascii="Times New Roman" w:hAnsi="Times New Roman" w:eastAsia="宋体"/>
                <w:b w:val="0"/>
                <w:i w:val="0"/>
                <w:sz w:val="20"/>
              </w:rPr>
              <w:t>Q学习/DQN</w:t>
            </w:r>
          </w:p>
        </w:tc>
        <w:tc>
          <w:tcPr>
            <w:tcW w:type="dxa" w:w="1701"/>
            <w:shd w:val="clear" w:color="auto" w:fill="F0F4F8"/>
          </w:tcPr>
          <w:p>
            <w:pPr>
              <w:spacing w:after="40" w:before="40"/>
            </w:pPr>
            <w:r/>
            <w:r>
              <w:rPr>
                <w:rFonts w:ascii="Times New Roman" w:hAnsi="Times New Roman" w:eastAsia="宋体"/>
                <w:b w:val="0"/>
                <w:i w:val="0"/>
                <w:sz w:val="20"/>
              </w:rPr>
              <w:t>2018-2023</w:t>
            </w:r>
          </w:p>
        </w:tc>
      </w:tr>
      <w:tr>
        <w:tc>
          <w:tcPr>
            <w:tcW w:type="dxa" w:w="1701"/>
          </w:tcPr>
          <w:p>
            <w:pPr>
              <w:spacing w:after="40" w:before="40"/>
            </w:pPr>
            <w:r/>
            <w:r>
              <w:rPr>
                <w:rFonts w:ascii="Times New Roman" w:hAnsi="Times New Roman" w:eastAsia="宋体"/>
                <w:b w:val="0"/>
                <w:i w:val="0"/>
                <w:sz w:val="20"/>
              </w:rPr>
              <w:t>25</w:t>
            </w:r>
          </w:p>
        </w:tc>
        <w:tc>
          <w:tcPr>
            <w:tcW w:type="dxa" w:w="1701"/>
          </w:tcPr>
          <w:p>
            <w:pPr>
              <w:spacing w:after="40" w:before="40"/>
            </w:pPr>
            <w:r/>
            <w:r>
              <w:rPr>
                <w:rFonts w:ascii="Times New Roman" w:hAnsi="Times New Roman" w:eastAsia="宋体"/>
                <w:b w:val="0"/>
                <w:i w:val="0"/>
                <w:sz w:val="20"/>
              </w:rPr>
              <w:t>Huang et al.</w:t>
            </w:r>
          </w:p>
        </w:tc>
        <w:tc>
          <w:tcPr>
            <w:tcW w:type="dxa" w:w="1701"/>
          </w:tcPr>
          <w:p>
            <w:pPr>
              <w:spacing w:after="40" w:before="40"/>
            </w:pPr>
            <w:r/>
            <w:r>
              <w:rPr>
                <w:rFonts w:ascii="Times New Roman" w:hAnsi="Times New Roman" w:eastAsia="宋体"/>
                <w:b w:val="0"/>
                <w:i w:val="0"/>
                <w:sz w:val="20"/>
              </w:rPr>
              <w:t>鲁棒优化RTP</w:t>
            </w:r>
          </w:p>
        </w:tc>
        <w:tc>
          <w:tcPr>
            <w:tcW w:type="dxa" w:w="1701"/>
          </w:tcPr>
          <w:p>
            <w:pPr>
              <w:spacing w:after="40" w:before="40"/>
            </w:pPr>
            <w:r/>
            <w:r>
              <w:rPr>
                <w:rFonts w:ascii="Times New Roman" w:hAnsi="Times New Roman" w:eastAsia="宋体"/>
                <w:b w:val="0"/>
                <w:i w:val="0"/>
                <w:sz w:val="20"/>
              </w:rPr>
              <w:t>分布式鲁棒优化</w:t>
            </w:r>
          </w:p>
        </w:tc>
        <w:tc>
          <w:tcPr>
            <w:tcW w:type="dxa" w:w="1701"/>
          </w:tcPr>
          <w:p>
            <w:pPr>
              <w:spacing w:after="40" w:before="40"/>
            </w:pPr>
            <w:r/>
            <w:r>
              <w:rPr>
                <w:rFonts w:ascii="Times New Roman" w:hAnsi="Times New Roman" w:eastAsia="宋体"/>
                <w:b w:val="0"/>
                <w:i w:val="0"/>
                <w:sz w:val="20"/>
              </w:rPr>
              <w:t>2015-2020</w:t>
            </w:r>
          </w:p>
        </w:tc>
      </w:tr>
      <w:tr>
        <w:tc>
          <w:tcPr>
            <w:tcW w:type="dxa" w:w="1701"/>
            <w:shd w:val="clear" w:color="auto" w:fill="F0F4F8"/>
          </w:tcPr>
          <w:p>
            <w:pPr>
              <w:spacing w:after="40" w:before="40"/>
            </w:pPr>
            <w:r/>
            <w:r>
              <w:rPr>
                <w:rFonts w:ascii="Times New Roman" w:hAnsi="Times New Roman" w:eastAsia="宋体"/>
                <w:b w:val="0"/>
                <w:i w:val="0"/>
                <w:sz w:val="20"/>
              </w:rPr>
              <w:t>26</w:t>
            </w:r>
          </w:p>
        </w:tc>
        <w:tc>
          <w:tcPr>
            <w:tcW w:type="dxa" w:w="1701"/>
            <w:shd w:val="clear" w:color="auto" w:fill="F0F4F8"/>
          </w:tcPr>
          <w:p>
            <w:pPr>
              <w:spacing w:after="40" w:before="40"/>
            </w:pPr>
            <w:r/>
            <w:r>
              <w:rPr>
                <w:rFonts w:ascii="Times New Roman" w:hAnsi="Times New Roman" w:eastAsia="宋体"/>
                <w:b w:val="0"/>
                <w:i w:val="0"/>
                <w:sz w:val="20"/>
              </w:rPr>
              <w:t>Li et al.</w:t>
            </w:r>
          </w:p>
        </w:tc>
        <w:tc>
          <w:tcPr>
            <w:tcW w:type="dxa" w:w="1701"/>
            <w:shd w:val="clear" w:color="auto" w:fill="F0F4F8"/>
          </w:tcPr>
          <w:p>
            <w:pPr>
              <w:spacing w:after="40" w:before="40"/>
            </w:pPr>
            <w:r/>
            <w:r>
              <w:rPr>
                <w:rFonts w:ascii="Times New Roman" w:hAnsi="Times New Roman" w:eastAsia="宋体"/>
                <w:b w:val="0"/>
                <w:i w:val="0"/>
                <w:sz w:val="20"/>
              </w:rPr>
              <w:t>碳交易协同定价</w:t>
            </w:r>
          </w:p>
        </w:tc>
        <w:tc>
          <w:tcPr>
            <w:tcW w:type="dxa" w:w="1701"/>
            <w:shd w:val="clear" w:color="auto" w:fill="F0F4F8"/>
          </w:tcPr>
          <w:p>
            <w:pPr>
              <w:spacing w:after="40" w:before="40"/>
            </w:pPr>
            <w:r/>
            <w:r>
              <w:rPr>
                <w:rFonts w:ascii="Times New Roman" w:hAnsi="Times New Roman" w:eastAsia="宋体"/>
                <w:b w:val="0"/>
                <w:i w:val="0"/>
                <w:sz w:val="20"/>
              </w:rPr>
              <w:t>双层规划</w:t>
            </w:r>
          </w:p>
        </w:tc>
        <w:tc>
          <w:tcPr>
            <w:tcW w:type="dxa" w:w="1701"/>
            <w:shd w:val="clear" w:color="auto" w:fill="F0F4F8"/>
          </w:tcPr>
          <w:p>
            <w:pPr>
              <w:spacing w:after="40" w:before="40"/>
            </w:pPr>
            <w:r/>
            <w:r>
              <w:rPr>
                <w:rFonts w:ascii="Times New Roman" w:hAnsi="Times New Roman" w:eastAsia="宋体"/>
                <w:b w:val="0"/>
                <w:i w:val="0"/>
                <w:sz w:val="20"/>
              </w:rPr>
              <w:t>2022-2024</w:t>
            </w:r>
          </w:p>
        </w:tc>
      </w:tr>
      <w:tr>
        <w:tc>
          <w:tcPr>
            <w:tcW w:type="dxa" w:w="1701"/>
          </w:tcPr>
          <w:p>
            <w:pPr>
              <w:spacing w:after="40" w:before="40"/>
            </w:pPr>
            <w:r/>
            <w:r>
              <w:rPr>
                <w:rFonts w:ascii="Times New Roman" w:hAnsi="Times New Roman" w:eastAsia="宋体"/>
                <w:b w:val="0"/>
                <w:i w:val="0"/>
                <w:sz w:val="20"/>
              </w:rPr>
              <w:t>27</w:t>
            </w:r>
          </w:p>
        </w:tc>
        <w:tc>
          <w:tcPr>
            <w:tcW w:type="dxa" w:w="1701"/>
          </w:tcPr>
          <w:p>
            <w:pPr>
              <w:spacing w:after="40" w:before="40"/>
            </w:pPr>
            <w:r/>
            <w:r>
              <w:rPr>
                <w:rFonts w:ascii="Times New Roman" w:hAnsi="Times New Roman" w:eastAsia="宋体"/>
                <w:b w:val="0"/>
                <w:i w:val="0"/>
                <w:sz w:val="20"/>
              </w:rPr>
              <w:t>Zhang et al.</w:t>
            </w:r>
          </w:p>
        </w:tc>
        <w:tc>
          <w:tcPr>
            <w:tcW w:type="dxa" w:w="1701"/>
          </w:tcPr>
          <w:p>
            <w:pPr>
              <w:spacing w:after="40" w:before="40"/>
            </w:pPr>
            <w:r/>
            <w:r>
              <w:rPr>
                <w:rFonts w:ascii="Times New Roman" w:hAnsi="Times New Roman" w:eastAsia="宋体"/>
                <w:b w:val="0"/>
                <w:i w:val="0"/>
                <w:sz w:val="20"/>
              </w:rPr>
              <w:t>区块链去中心化定价</w:t>
            </w:r>
          </w:p>
        </w:tc>
        <w:tc>
          <w:tcPr>
            <w:tcW w:type="dxa" w:w="1701"/>
          </w:tcPr>
          <w:p>
            <w:pPr>
              <w:spacing w:after="40" w:before="40"/>
            </w:pPr>
            <w:r/>
            <w:r>
              <w:rPr>
                <w:rFonts w:ascii="Times New Roman" w:hAnsi="Times New Roman" w:eastAsia="宋体"/>
                <w:b w:val="0"/>
                <w:i w:val="0"/>
                <w:sz w:val="20"/>
              </w:rPr>
              <w:t>智能合约+博弈</w:t>
            </w:r>
          </w:p>
        </w:tc>
        <w:tc>
          <w:tcPr>
            <w:tcW w:type="dxa" w:w="1701"/>
          </w:tcPr>
          <w:p>
            <w:pPr>
              <w:spacing w:after="40" w:before="40"/>
            </w:pPr>
            <w:r/>
            <w:r>
              <w:rPr>
                <w:rFonts w:ascii="Times New Roman" w:hAnsi="Times New Roman" w:eastAsia="宋体"/>
                <w:b w:val="0"/>
                <w:i w:val="0"/>
                <w:sz w:val="20"/>
              </w:rPr>
              <w:t>2020-2023</w:t>
            </w:r>
          </w:p>
        </w:tc>
      </w:tr>
      <w:tr>
        <w:tc>
          <w:tcPr>
            <w:tcW w:type="dxa" w:w="1701"/>
            <w:shd w:val="clear" w:color="auto" w:fill="F0F4F8"/>
          </w:tcPr>
          <w:p>
            <w:pPr>
              <w:spacing w:after="40" w:before="40"/>
            </w:pPr>
            <w:r/>
            <w:r>
              <w:rPr>
                <w:rFonts w:ascii="Times New Roman" w:hAnsi="Times New Roman" w:eastAsia="宋体"/>
                <w:b w:val="0"/>
                <w:i w:val="0"/>
                <w:sz w:val="20"/>
              </w:rPr>
              <w:t>28</w:t>
            </w:r>
          </w:p>
        </w:tc>
        <w:tc>
          <w:tcPr>
            <w:tcW w:type="dxa" w:w="1701"/>
            <w:shd w:val="clear" w:color="auto" w:fill="F0F4F8"/>
          </w:tcPr>
          <w:p>
            <w:pPr>
              <w:spacing w:after="40" w:before="40"/>
            </w:pPr>
            <w:r/>
            <w:r>
              <w:rPr>
                <w:rFonts w:ascii="Times New Roman" w:hAnsi="Times New Roman" w:eastAsia="宋体"/>
                <w:b w:val="0"/>
                <w:i w:val="0"/>
                <w:sz w:val="20"/>
              </w:rPr>
              <w:t>Wang et al.</w:t>
            </w:r>
          </w:p>
        </w:tc>
        <w:tc>
          <w:tcPr>
            <w:tcW w:type="dxa" w:w="1701"/>
            <w:shd w:val="clear" w:color="auto" w:fill="F0F4F8"/>
          </w:tcPr>
          <w:p>
            <w:pPr>
              <w:spacing w:after="40" w:before="40"/>
            </w:pPr>
            <w:r/>
            <w:r>
              <w:rPr>
                <w:rFonts w:ascii="Times New Roman" w:hAnsi="Times New Roman" w:eastAsia="宋体"/>
                <w:b w:val="0"/>
                <w:i w:val="0"/>
                <w:sz w:val="20"/>
              </w:rPr>
              <w:t>多能源系统定价</w:t>
            </w:r>
          </w:p>
        </w:tc>
        <w:tc>
          <w:tcPr>
            <w:tcW w:type="dxa" w:w="1701"/>
            <w:shd w:val="clear" w:color="auto" w:fill="F0F4F8"/>
          </w:tcPr>
          <w:p>
            <w:pPr>
              <w:spacing w:after="40" w:before="40"/>
            </w:pPr>
            <w:r/>
            <w:r>
              <w:rPr>
                <w:rFonts w:ascii="Times New Roman" w:hAnsi="Times New Roman" w:eastAsia="宋体"/>
                <w:b w:val="0"/>
                <w:i w:val="0"/>
                <w:sz w:val="20"/>
              </w:rPr>
              <w:t>ADMM分布式优化</w:t>
            </w:r>
          </w:p>
        </w:tc>
        <w:tc>
          <w:tcPr>
            <w:tcW w:type="dxa" w:w="1701"/>
            <w:shd w:val="clear" w:color="auto" w:fill="F0F4F8"/>
          </w:tcPr>
          <w:p>
            <w:pPr>
              <w:spacing w:after="40" w:before="40"/>
            </w:pPr>
            <w:r/>
            <w:r>
              <w:rPr>
                <w:rFonts w:ascii="Times New Roman" w:hAnsi="Times New Roman" w:eastAsia="宋体"/>
                <w:b w:val="0"/>
                <w:i w:val="0"/>
                <w:sz w:val="20"/>
              </w:rPr>
              <w:t>2021-2024</w:t>
            </w:r>
          </w:p>
        </w:tc>
      </w:tr>
    </w:tbl>
    <w:p>
      <w:pPr>
        <w:pStyle w:val="Heading2"/>
        <w:spacing w:before="240" w:after="80"/>
      </w:pPr>
      <w:r>
        <w:rPr>
          <w:rFonts w:ascii="Times New Roman" w:hAnsi="Times New Roman" w:eastAsia="黑体"/>
          <w:b/>
          <w:i w:val="0"/>
          <w:sz w:val="28"/>
        </w:rPr>
        <w:t>C.4 典型项目详细分析</w:t>
      </w:r>
    </w:p>
    <w:p>
      <w:pPr>
        <w:pStyle w:val="Heading3"/>
        <w:spacing w:before="160" w:after="60"/>
      </w:pPr>
      <w:r>
        <w:rPr>
          <w:rFonts w:ascii="Times New Roman" w:hAnsi="Times New Roman" w:eastAsia="黑体"/>
          <w:b/>
          <w:i w:val="0"/>
          <w:sz w:val="24"/>
        </w:rPr>
        <w:t>案例1：Olympic Peninsula智能电网试点</w:t>
      </w:r>
    </w:p>
    <w:p>
      <w:pPr>
        <w:spacing w:line="360" w:lineRule="auto" w:after="0"/>
        <w:ind w:firstLine="425"/>
      </w:pPr>
      <w:r>
        <w:rPr>
          <w:rFonts w:ascii="Times New Roman" w:hAnsi="Times New Roman" w:eastAsia="宋体"/>
          <w:b w:val="0"/>
          <w:i w:val="0"/>
          <w:sz w:val="22"/>
        </w:rPr>
        <w:t>该项目由美国太平洋西北国家实验室(PNNL)实施，在华盛顿州奥林匹克半岛部署了112户家庭的实时定价系统。系统架构包含以下组件：每户安装智能电表和可编程通信温控器；每15分钟更新一次实时电价；用户可设置自动响应策略（如价格超过阈值时调高空调设定温度）。</w:t>
      </w:r>
    </w:p>
    <w:p>
      <w:pPr>
        <w:spacing w:line="360" w:lineRule="auto" w:after="0"/>
        <w:ind w:firstLine="425"/>
      </w:pPr>
      <w:r>
        <w:rPr>
          <w:rFonts w:ascii="Times New Roman" w:hAnsi="Times New Roman" w:eastAsia="宋体"/>
          <w:b w:val="0"/>
          <w:i w:val="0"/>
          <w:sz w:val="22"/>
        </w:rPr>
        <w:t>项目结果表明：峰荷削减15-17%，用户电费平均降低10%。关键发现包括：(1)自动响应比手动响应效果更好，自动响应用户峰荷削减达20%，而手动响应仅5-8%；(2)用户对价格波动的接受度与信息透明度正相关，提供价格预测信息可显著提高用户满意度；(3)不同用户群体的响应差异显著，高收入家庭响应更强，因为其用电弹性更大。</w:t>
      </w:r>
    </w:p>
    <w:p>
      <w:pPr>
        <w:pStyle w:val="Heading3"/>
        <w:spacing w:before="160" w:after="60"/>
      </w:pPr>
      <w:r>
        <w:rPr>
          <w:rFonts w:ascii="Times New Roman" w:hAnsi="Times New Roman" w:eastAsia="黑体"/>
          <w:b/>
          <w:i w:val="0"/>
          <w:sz w:val="24"/>
        </w:rPr>
        <w:t>案例2：EcoGrid EU博恩霍尔姆岛示范</w:t>
      </w:r>
    </w:p>
    <w:p>
      <w:pPr>
        <w:spacing w:line="360" w:lineRule="auto" w:after="0"/>
        <w:ind w:firstLine="425"/>
      </w:pPr>
      <w:r>
        <w:rPr>
          <w:rFonts w:ascii="Times New Roman" w:hAnsi="Times New Roman" w:eastAsia="宋体"/>
          <w:b w:val="0"/>
          <w:i w:val="0"/>
          <w:sz w:val="22"/>
        </w:rPr>
        <w:t>该项目在丹麦博恩霍尔姆岛部署了欧洲最大规模的实时定价试点，覆盖2000户家庭。项目核心创新在于将实时定价与风电出力直接联动：当风电出力高时电价降低，鼓励用户增加用电；当风电出力低时电价升高，抑制用电。</w:t>
      </w:r>
    </w:p>
    <w:p>
      <w:pPr>
        <w:spacing w:line="360" w:lineRule="auto" w:after="0"/>
        <w:ind w:firstLine="425"/>
      </w:pPr>
      <w:r>
        <w:rPr>
          <w:rFonts w:ascii="Times New Roman" w:hAnsi="Times New Roman" w:eastAsia="宋体"/>
          <w:b w:val="0"/>
          <w:i w:val="0"/>
          <w:sz w:val="22"/>
        </w:rPr>
        <w:t>项目结果表明：风电消纳率提高8%，弃风量减少约15%。关键经验包括：(1)与可再生能源联动的定价策略能有效促进新能源消纳；(2)用户的价格响应存在学习效应，参与6个月后响应强度比初期提高约30%；(3)智能家居设备（如自动温控器、智能洗衣机）的普及率与需求响应效果正相关。</w:t>
      </w:r>
    </w:p>
    <w:p>
      <w:pPr>
        <w:pStyle w:val="Heading2"/>
        <w:spacing w:before="240" w:after="80"/>
      </w:pPr>
      <w:r>
        <w:rPr>
          <w:rFonts w:ascii="Times New Roman" w:hAnsi="Times New Roman" w:eastAsia="黑体"/>
          <w:b/>
          <w:i w:val="0"/>
          <w:sz w:val="28"/>
        </w:rPr>
        <w:t>C.5 案例分析框架</w:t>
      </w:r>
    </w:p>
    <w:p>
      <w:pPr>
        <w:spacing w:line="360" w:lineRule="auto" w:after="0"/>
        <w:ind w:firstLine="425"/>
      </w:pPr>
      <w:r>
        <w:rPr>
          <w:rFonts w:ascii="Times New Roman" w:hAnsi="Times New Roman" w:eastAsia="宋体"/>
          <w:b w:val="0"/>
          <w:i w:val="0"/>
          <w:sz w:val="22"/>
        </w:rPr>
        <w:t>进行实时定价案例分析时，建议采用以下系统化框架：</w:t>
      </w:r>
    </w:p>
    <w:p>
      <w:pPr>
        <w:spacing w:line="360" w:lineRule="auto" w:after="0"/>
        <w:ind w:firstLine="425"/>
      </w:pPr>
      <w:r>
        <w:rPr>
          <w:rFonts w:ascii="Times New Roman" w:hAnsi="Times New Roman" w:eastAsia="宋体"/>
          <w:b/>
          <w:i w:val="0"/>
          <w:sz w:val="22"/>
        </w:rPr>
        <w:t>背景分析</w:t>
      </w:r>
      <w:r>
        <w:rPr>
          <w:rFonts w:ascii="Times New Roman" w:hAnsi="Times New Roman" w:eastAsia="宋体"/>
          <w:b w:val="0"/>
          <w:i w:val="0"/>
          <w:sz w:val="22"/>
        </w:rPr>
        <w:t>：(1)电网类型和规模；(2)现有电价机制；(3)智能基础设施部署情况；(4)政策环境和监管框架。</w:t>
      </w:r>
    </w:p>
    <w:p>
      <w:pPr>
        <w:spacing w:line="360" w:lineRule="auto" w:after="0"/>
        <w:ind w:firstLine="425"/>
      </w:pPr>
      <w:r>
        <w:rPr>
          <w:rFonts w:ascii="Times New Roman" w:hAnsi="Times New Roman" w:eastAsia="宋体"/>
          <w:b/>
          <w:i w:val="0"/>
          <w:sz w:val="22"/>
        </w:rPr>
        <w:t>方案设计</w:t>
      </w:r>
      <w:r>
        <w:rPr>
          <w:rFonts w:ascii="Times New Roman" w:hAnsi="Times New Roman" w:eastAsia="宋体"/>
          <w:b w:val="0"/>
          <w:i w:val="0"/>
          <w:sz w:val="22"/>
        </w:rPr>
        <w:t>：(1)定价机制选择（RTP/TOU/CPP/混合模式）；(2)参与用户类型和规模；(3)价格信号传输方式和技术架构；(4)风险管理和用户保护措施。</w:t>
      </w:r>
    </w:p>
    <w:p>
      <w:pPr>
        <w:spacing w:line="360" w:lineRule="auto" w:after="0"/>
        <w:ind w:firstLine="425"/>
      </w:pPr>
      <w:r>
        <w:rPr>
          <w:rFonts w:ascii="Times New Roman" w:hAnsi="Times New Roman" w:eastAsia="宋体"/>
          <w:b/>
          <w:i w:val="0"/>
          <w:sz w:val="22"/>
        </w:rPr>
        <w:t>效果评估</w:t>
      </w:r>
      <w:r>
        <w:rPr>
          <w:rFonts w:ascii="Times New Roman" w:hAnsi="Times New Roman" w:eastAsia="宋体"/>
          <w:b w:val="0"/>
          <w:i w:val="0"/>
          <w:sz w:val="22"/>
        </w:rPr>
        <w:t>：(1)峰荷削减率和负荷转移量；(2)用户电费变化（分群体分析）；(3)社会福利提升幅度；(4)用户满意度和参与率；(5)环境影响（碳排放变化）。</w:t>
      </w:r>
    </w:p>
    <w:p>
      <w:pPr>
        <w:spacing w:line="360" w:lineRule="auto" w:after="0"/>
        <w:ind w:firstLine="425"/>
      </w:pPr>
      <w:r>
        <w:rPr>
          <w:rFonts w:ascii="Times New Roman" w:hAnsi="Times New Roman" w:eastAsia="宋体"/>
          <w:b/>
          <w:i w:val="0"/>
          <w:sz w:val="22"/>
        </w:rPr>
        <w:t>经验总结</w:t>
      </w:r>
      <w:r>
        <w:rPr>
          <w:rFonts w:ascii="Times New Roman" w:hAnsi="Times New Roman" w:eastAsia="宋体"/>
          <w:b w:val="0"/>
          <w:i w:val="0"/>
          <w:sz w:val="22"/>
        </w:rPr>
        <w:t>：(1)成功因素和关键挑战；(2)与其他试点项目的对比；(3)可推广性评估；(4)改进建议和后续方向。</w:t>
      </w:r>
    </w:p>
    <w:p>
      <w:pPr>
        <w:pStyle w:val="Heading2"/>
        <w:spacing w:before="240" w:after="80"/>
      </w:pPr>
      <w:r>
        <w:rPr>
          <w:rFonts w:ascii="Times New Roman" w:hAnsi="Times New Roman" w:eastAsia="黑体"/>
          <w:b/>
          <w:i w:val="0"/>
          <w:sz w:val="28"/>
        </w:rPr>
        <w:t>C.6 教学案例分析</w:t>
      </w:r>
    </w:p>
    <w:p>
      <w:pPr>
        <w:pStyle w:val="Heading3"/>
        <w:spacing w:before="160" w:after="60"/>
      </w:pPr>
      <w:r>
        <w:rPr>
          <w:rFonts w:ascii="Times New Roman" w:hAnsi="Times New Roman" w:eastAsia="黑体"/>
          <w:b/>
          <w:i w:val="0"/>
          <w:sz w:val="24"/>
        </w:rPr>
        <w:t>教学案例1：从TOU到RTP的过渡设计</w:t>
      </w:r>
    </w:p>
    <w:p>
      <w:pPr>
        <w:spacing w:line="360" w:lineRule="auto" w:after="0"/>
        <w:ind w:firstLine="425"/>
      </w:pPr>
      <w:r>
        <w:rPr>
          <w:rFonts w:ascii="Times New Roman" w:hAnsi="Times New Roman" w:eastAsia="宋体"/>
          <w:b w:val="0"/>
          <w:i w:val="0"/>
          <w:sz w:val="22"/>
        </w:rPr>
        <w:t>某城市电网当前实施三段式TOU电价（峰0.8元/kWh、平0.5元/kWh、谷0.3元/kWh），覆盖10万居民用户。现计划在2年内过渡到RTP。</w:t>
      </w:r>
    </w:p>
    <w:p>
      <w:pPr>
        <w:spacing w:line="360" w:lineRule="auto" w:after="0"/>
        <w:ind w:firstLine="425"/>
      </w:pPr>
      <w:r>
        <w:rPr>
          <w:rFonts w:ascii="Times New Roman" w:hAnsi="Times New Roman" w:eastAsia="宋体"/>
          <w:b/>
          <w:i w:val="0"/>
          <w:sz w:val="22"/>
        </w:rPr>
        <w:t>过渡方案</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第一年：引入动态TOU（峰谷时段和价差根据次日负荷预测调整），覆盖试点区域1万户</w:t>
      </w:r>
    </w:p>
    <w:p>
      <w:pPr>
        <w:pStyle w:val="ListBullet"/>
        <w:spacing w:line="360" w:lineRule="auto" w:after="0"/>
      </w:pPr>
      <w:r>
        <w:rPr>
          <w:rFonts w:ascii="Times New Roman" w:hAnsi="Times New Roman" w:eastAsia="宋体"/>
          <w:b w:val="0"/>
          <w:i w:val="0"/>
          <w:sz w:val="22"/>
        </w:rPr>
        <w:t>第二年：试点区域实施半实时定价（15分钟更新），全城保持动态TOU</w:t>
      </w:r>
    </w:p>
    <w:p>
      <w:pPr>
        <w:spacing w:line="360" w:lineRule="auto" w:after="0"/>
        <w:ind w:firstLine="425"/>
      </w:pPr>
      <w:r>
        <w:rPr>
          <w:rFonts w:ascii="Times New Roman" w:hAnsi="Times New Roman" w:eastAsia="宋体"/>
          <w:b/>
          <w:i w:val="0"/>
          <w:sz w:val="22"/>
        </w:rPr>
        <w:t>分析要点</w:t>
      </w:r>
      <w:r>
        <w:rPr>
          <w:rFonts w:ascii="Times New Roman" w:hAnsi="Times New Roman" w:eastAsia="宋体"/>
          <w:b w:val="0"/>
          <w:i w:val="0"/>
          <w:sz w:val="22"/>
        </w:rPr>
        <w:t>：</w:t>
      </w:r>
    </w:p>
    <w:p>
      <w:pPr>
        <w:pStyle w:val="ListNumber"/>
        <w:spacing w:line="360" w:lineRule="auto" w:after="0"/>
      </w:pPr>
      <w:r>
        <w:rPr>
          <w:rFonts w:ascii="Times New Roman" w:hAnsi="Times New Roman" w:eastAsia="宋体"/>
          <w:b w:val="0"/>
          <w:i w:val="0"/>
          <w:sz w:val="22"/>
        </w:rPr>
        <w:t>评估动态TOU比固定TOU多削减的峰荷比例（预期5-10%）</w:t>
      </w:r>
    </w:p>
    <w:p>
      <w:pPr>
        <w:pStyle w:val="ListNumber"/>
        <w:spacing w:line="360" w:lineRule="auto" w:after="0"/>
      </w:pPr>
      <w:r>
        <w:rPr>
          <w:rFonts w:ascii="Times New Roman" w:hAnsi="Times New Roman" w:eastAsia="宋体"/>
          <w:b w:val="0"/>
          <w:i w:val="0"/>
          <w:sz w:val="22"/>
        </w:rPr>
        <w:t>分析RTP试点用户与TOU用户的行为差异（响应速度、参与率）</w:t>
      </w:r>
    </w:p>
    <w:p>
      <w:pPr>
        <w:pStyle w:val="ListNumber"/>
        <w:spacing w:line="360" w:lineRule="auto" w:after="0"/>
      </w:pPr>
      <w:r>
        <w:rPr>
          <w:rFonts w:ascii="Times New Roman" w:hAnsi="Times New Roman" w:eastAsia="宋体"/>
          <w:b w:val="0"/>
          <w:i w:val="0"/>
          <w:sz w:val="22"/>
        </w:rPr>
        <w:t>计算过渡成本（智能终端升级约200元/户、系统集成约500万元、用户教育约100万元）</w:t>
      </w:r>
    </w:p>
    <w:p>
      <w:pPr>
        <w:pStyle w:val="ListNumber"/>
        <w:spacing w:line="360" w:lineRule="auto" w:after="0"/>
      </w:pPr>
      <w:r>
        <w:rPr>
          <w:rFonts w:ascii="Times New Roman" w:hAnsi="Times New Roman" w:eastAsia="宋体"/>
          <w:b w:val="0"/>
          <w:i w:val="0"/>
          <w:sz w:val="22"/>
        </w:rPr>
        <w:t>计算收益（峰荷削减10MW等效容量价值约3000万元/年、运行成本降低约500万元/年）</w:t>
      </w:r>
    </w:p>
    <w:p>
      <w:pPr>
        <w:pStyle w:val="ListNumber"/>
        <w:spacing w:line="360" w:lineRule="auto" w:after="0"/>
      </w:pPr>
      <w:r>
        <w:rPr>
          <w:rFonts w:ascii="Times New Roman" w:hAnsi="Times New Roman" w:eastAsia="宋体"/>
          <w:b w:val="0"/>
          <w:i w:val="0"/>
          <w:sz w:val="22"/>
        </w:rPr>
        <w:t>投资回收期分析（预期3-5年）</w:t>
      </w:r>
    </w:p>
    <w:p>
      <w:pPr>
        <w:pStyle w:val="Heading3"/>
        <w:spacing w:before="160" w:after="60"/>
      </w:pPr>
      <w:r>
        <w:rPr>
          <w:rFonts w:ascii="Times New Roman" w:hAnsi="Times New Roman" w:eastAsia="黑体"/>
          <w:b/>
          <w:i w:val="0"/>
          <w:sz w:val="24"/>
        </w:rPr>
        <w:t>教学案例2：微电网RTP博弈设计</w:t>
      </w:r>
    </w:p>
    <w:p>
      <w:pPr>
        <w:spacing w:line="360" w:lineRule="auto" w:after="0"/>
        <w:ind w:firstLine="425"/>
      </w:pPr>
      <w:r>
        <w:rPr>
          <w:rFonts w:ascii="Times New Roman" w:hAnsi="Times New Roman" w:eastAsia="宋体"/>
          <w:b w:val="0"/>
          <w:i w:val="0"/>
          <w:sz w:val="22"/>
        </w:rPr>
        <w:t>某工业园区微电网包含1个光伏系统（500kW）、1个储能系统（200kWh）、5个工商业用户。设计基于Stackelberg博弈的RTP机制。</w:t>
      </w:r>
    </w:p>
    <w:p>
      <w:pPr>
        <w:spacing w:line="360" w:lineRule="auto" w:after="0"/>
        <w:ind w:firstLine="425"/>
      </w:pPr>
      <w:r>
        <w:rPr>
          <w:rFonts w:ascii="Times New Roman" w:hAnsi="Times New Roman" w:eastAsia="宋体"/>
          <w:b/>
          <w:i w:val="0"/>
          <w:sz w:val="22"/>
        </w:rPr>
        <w:t>模型构建</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微电网运营商为领导者，设定电价p以最大化利润</w:t>
      </w:r>
    </w:p>
    <w:p>
      <w:pPr>
        <w:pStyle w:val="ListBullet"/>
        <w:spacing w:line="360" w:lineRule="auto" w:after="0"/>
      </w:pPr>
      <w:r>
        <w:rPr>
          <w:rFonts w:ascii="Times New Roman" w:hAnsi="Times New Roman" w:eastAsia="宋体"/>
          <w:b w:val="0"/>
          <w:i w:val="0"/>
          <w:sz w:val="22"/>
        </w:rPr>
        <w:t>5个用户为追随者，根据电价优化用电量以最大化效用</w:t>
      </w:r>
    </w:p>
    <w:p>
      <w:pPr>
        <w:pStyle w:val="ListBullet"/>
        <w:spacing w:line="360" w:lineRule="auto" w:after="0"/>
      </w:pPr>
      <w:r>
        <w:rPr>
          <w:rFonts w:ascii="Times New Roman" w:hAnsi="Times New Roman" w:eastAsia="宋体"/>
          <w:b w:val="0"/>
          <w:i w:val="0"/>
          <w:sz w:val="22"/>
        </w:rPr>
        <w:t>光伏和储能的调度策略作为运营商的决策变量</w:t>
      </w:r>
    </w:p>
    <w:p>
      <w:pPr>
        <w:spacing w:line="360" w:lineRule="auto" w:after="0"/>
        <w:ind w:firstLine="425"/>
      </w:pPr>
      <w:r>
        <w:rPr>
          <w:rFonts w:ascii="Times New Roman" w:hAnsi="Times New Roman" w:eastAsia="宋体"/>
          <w:b/>
          <w:i w:val="0"/>
          <w:sz w:val="22"/>
        </w:rPr>
        <w:t>求解步骤</w:t>
      </w:r>
      <w:r>
        <w:rPr>
          <w:rFonts w:ascii="Times New Roman" w:hAnsi="Times New Roman" w:eastAsia="宋体"/>
          <w:b w:val="0"/>
          <w:i w:val="0"/>
          <w:sz w:val="22"/>
        </w:rPr>
        <w:t>：</w:t>
      </w:r>
    </w:p>
    <w:p>
      <w:pPr>
        <w:pStyle w:val="ListNumber"/>
        <w:spacing w:line="360" w:lineRule="auto" w:after="0"/>
      </w:pPr>
      <w:r>
        <w:rPr>
          <w:rFonts w:ascii="Times New Roman" w:hAnsi="Times New Roman" w:eastAsia="宋体"/>
          <w:b w:val="0"/>
          <w:i w:val="0"/>
          <w:sz w:val="22"/>
        </w:rPr>
        <w:t>写出各用户的效用函数和最优响应函数x_i*(p)</w:t>
      </w:r>
    </w:p>
    <w:p>
      <w:pPr>
        <w:pStyle w:val="ListNumber"/>
        <w:spacing w:line="360" w:lineRule="auto" w:after="0"/>
      </w:pPr>
      <w:r>
        <w:rPr>
          <w:rFonts w:ascii="Times New Roman" w:hAnsi="Times New Roman" w:eastAsia="宋体"/>
          <w:b w:val="0"/>
          <w:i w:val="0"/>
          <w:sz w:val="22"/>
        </w:rPr>
        <w:t>将最优响应代入运营商利润函数，得到上层优化问题</w:t>
      </w:r>
    </w:p>
    <w:p>
      <w:pPr>
        <w:pStyle w:val="ListNumber"/>
        <w:spacing w:line="360" w:lineRule="auto" w:after="0"/>
      </w:pPr>
      <w:r>
        <w:rPr>
          <w:rFonts w:ascii="Times New Roman" w:hAnsi="Times New Roman" w:eastAsia="宋体"/>
          <w:b w:val="0"/>
          <w:i w:val="0"/>
          <w:sz w:val="22"/>
        </w:rPr>
        <w:t>求解上层问题得到最优电价p*</w:t>
      </w:r>
    </w:p>
    <w:p>
      <w:pPr>
        <w:pStyle w:val="ListNumber"/>
        <w:spacing w:line="360" w:lineRule="auto" w:after="0"/>
      </w:pPr>
      <w:r>
        <w:rPr>
          <w:rFonts w:ascii="Times New Roman" w:hAnsi="Times New Roman" w:eastAsia="宋体"/>
          <w:b w:val="0"/>
          <w:i w:val="0"/>
          <w:sz w:val="22"/>
        </w:rPr>
        <w:t>验证Stackelberg均衡条件</w:t>
      </w:r>
    </w:p>
    <w:p>
      <w:pPr>
        <w:spacing w:line="360" w:lineRule="auto" w:after="0"/>
        <w:ind w:firstLine="425"/>
      </w:pPr>
      <w:r>
        <w:rPr>
          <w:rFonts w:ascii="Times New Roman" w:hAnsi="Times New Roman" w:eastAsia="宋体"/>
          <w:b/>
          <w:i w:val="0"/>
          <w:sz w:val="22"/>
        </w:rPr>
        <w:t>扩展分析</w:t>
      </w:r>
      <w:r>
        <w:rPr>
          <w:rFonts w:ascii="Times New Roman" w:hAnsi="Times New Roman" w:eastAsia="宋体"/>
          <w:b w:val="0"/>
          <w:i w:val="0"/>
          <w:sz w:val="22"/>
        </w:rPr>
        <w:t>：</w:t>
      </w:r>
    </w:p>
    <w:p>
      <w:pPr>
        <w:pStyle w:val="ListNumber"/>
        <w:spacing w:line="360" w:lineRule="auto" w:after="0"/>
      </w:pPr>
      <w:r>
        <w:rPr>
          <w:rFonts w:ascii="Times New Roman" w:hAnsi="Times New Roman" w:eastAsia="宋体"/>
          <w:b w:val="0"/>
          <w:i w:val="0"/>
          <w:sz w:val="22"/>
        </w:rPr>
        <w:t>引入光伏出力不确定性，分析对均衡电价的影响</w:t>
      </w:r>
    </w:p>
    <w:p>
      <w:pPr>
        <w:pStyle w:val="ListNumber"/>
        <w:spacing w:line="360" w:lineRule="auto" w:after="0"/>
      </w:pPr>
      <w:r>
        <w:rPr>
          <w:rFonts w:ascii="Times New Roman" w:hAnsi="Times New Roman" w:eastAsia="宋体"/>
          <w:b w:val="0"/>
          <w:i w:val="0"/>
          <w:sz w:val="22"/>
        </w:rPr>
        <w:t>增加储能系统，分析其对定价灵活性的改善</w:t>
      </w:r>
    </w:p>
    <w:p>
      <w:pPr>
        <w:pStyle w:val="ListNumber"/>
        <w:spacing w:line="360" w:lineRule="auto" w:after="0"/>
      </w:pPr>
      <w:r>
        <w:rPr>
          <w:rFonts w:ascii="Times New Roman" w:hAnsi="Times New Roman" w:eastAsia="宋体"/>
          <w:b w:val="0"/>
          <w:i w:val="0"/>
          <w:sz w:val="22"/>
        </w:rPr>
        <w:t>对比博弈论定价与边际成本定价的性能差异</w:t>
      </w:r>
    </w:p>
    <w:p>
      <w:pPr>
        <w:pStyle w:val="Heading3"/>
        <w:spacing w:before="160" w:after="60"/>
      </w:pPr>
      <w:r>
        <w:rPr>
          <w:rFonts w:ascii="Times New Roman" w:hAnsi="Times New Roman" w:eastAsia="黑体"/>
          <w:b/>
          <w:i w:val="0"/>
          <w:sz w:val="24"/>
        </w:rPr>
        <w:t>教学案例3：碳交易约束下的实时定价</w:t>
      </w:r>
    </w:p>
    <w:p>
      <w:pPr>
        <w:spacing w:line="360" w:lineRule="auto" w:after="0"/>
        <w:ind w:firstLine="425"/>
      </w:pPr>
      <w:r>
        <w:rPr>
          <w:rFonts w:ascii="Times New Roman" w:hAnsi="Times New Roman" w:eastAsia="宋体"/>
          <w:b w:val="0"/>
          <w:i w:val="0"/>
          <w:sz w:val="22"/>
        </w:rPr>
        <w:t>某电力系统包含燃煤、燃气和风电三种发电类型，总装机容量1000MW。碳交易市场设定碳配额为年排放500万吨CO2。</w:t>
      </w:r>
    </w:p>
    <w:p>
      <w:pPr>
        <w:spacing w:line="360" w:lineRule="auto" w:after="0"/>
        <w:ind w:firstLine="425"/>
      </w:pPr>
      <w:r>
        <w:rPr>
          <w:rFonts w:ascii="Times New Roman" w:hAnsi="Times New Roman" w:eastAsia="宋体"/>
          <w:b/>
          <w:i w:val="0"/>
          <w:sz w:val="22"/>
        </w:rPr>
        <w:t>分析任务</w:t>
      </w:r>
      <w:r>
        <w:rPr>
          <w:rFonts w:ascii="Times New Roman" w:hAnsi="Times New Roman" w:eastAsia="宋体"/>
          <w:b w:val="0"/>
          <w:i w:val="0"/>
          <w:sz w:val="22"/>
        </w:rPr>
        <w:t>：</w:t>
      </w:r>
    </w:p>
    <w:p>
      <w:pPr>
        <w:pStyle w:val="ListNumber"/>
        <w:spacing w:line="360" w:lineRule="auto" w:after="0"/>
      </w:pPr>
      <w:r>
        <w:rPr>
          <w:rFonts w:ascii="Times New Roman" w:hAnsi="Times New Roman" w:eastAsia="宋体"/>
          <w:b w:val="0"/>
          <w:i w:val="0"/>
          <w:sz w:val="22"/>
        </w:rPr>
        <w:t>建立碳约束下的社会福利最大化模型</w:t>
      </w:r>
    </w:p>
    <w:p>
      <w:pPr>
        <w:pStyle w:val="ListNumber"/>
        <w:spacing w:line="360" w:lineRule="auto" w:after="0"/>
      </w:pPr>
      <w:r>
        <w:rPr>
          <w:rFonts w:ascii="Times New Roman" w:hAnsi="Times New Roman" w:eastAsia="宋体"/>
          <w:b w:val="0"/>
          <w:i w:val="0"/>
          <w:sz w:val="22"/>
        </w:rPr>
        <w:t>分析碳价从0到100元/吨变化时，电价和调度策略的变化</w:t>
      </w:r>
    </w:p>
    <w:p>
      <w:pPr>
        <w:pStyle w:val="ListNumber"/>
        <w:spacing w:line="360" w:lineRule="auto" w:after="0"/>
      </w:pPr>
      <w:r>
        <w:rPr>
          <w:rFonts w:ascii="Times New Roman" w:hAnsi="Times New Roman" w:eastAsia="宋体"/>
          <w:b w:val="0"/>
          <w:i w:val="0"/>
          <w:sz w:val="22"/>
        </w:rPr>
        <w:t>计算碳交易引入后的社会福利变化和碳排放减少量</w:t>
      </w:r>
    </w:p>
    <w:p>
      <w:pPr>
        <w:pStyle w:val="ListNumber"/>
        <w:spacing w:line="360" w:lineRule="auto" w:after="0"/>
      </w:pPr>
      <w:r>
        <w:rPr>
          <w:rFonts w:ascii="Times New Roman" w:hAnsi="Times New Roman" w:eastAsia="宋体"/>
          <w:b w:val="0"/>
          <w:i w:val="0"/>
          <w:sz w:val="22"/>
        </w:rPr>
        <w:t>讨论碳配额分配方式（免费vs拍卖）对电价的影响</w:t>
      </w:r>
    </w:p>
    <w:p>
      <w:pPr>
        <w:pStyle w:val="Heading2"/>
        <w:spacing w:before="240" w:after="80"/>
      </w:pPr>
      <w:r>
        <w:rPr>
          <w:rFonts w:ascii="Times New Roman" w:hAnsi="Times New Roman" w:eastAsia="黑体"/>
          <w:b/>
          <w:i w:val="0"/>
          <w:sz w:val="28"/>
        </w:rPr>
        <w:t>C.7 实时定价效果对比表</w:t>
      </w:r>
    </w:p>
    <w:p>
      <w:pPr>
        <w:spacing w:line="360" w:lineRule="auto" w:after="0"/>
        <w:ind w:firstLine="425"/>
      </w:pPr>
      <w:r>
        <w:rPr>
          <w:rFonts w:ascii="Times New Roman" w:hAnsi="Times New Roman" w:eastAsia="宋体"/>
          <w:b w:val="0"/>
          <w:i w:val="0"/>
          <w:sz w:val="22"/>
        </w:rPr>
        <w:t>以下表格汇总了主要试点项目的效果数据，供定量对比参考：</w:t>
      </w:r>
    </w:p>
    <w:tbl>
      <w:tblPr>
        <w:tblStyle w:val="LightGrid-Accent1"/>
        <w:tblW w:type="auto" w:w="0"/>
        <w:jc w:val="center"/>
        <w:tblLook w:firstColumn="1" w:firstRow="1" w:lastColumn="0" w:lastRow="0" w:noHBand="0" w:noVBand="1" w:val="04A0"/>
      </w:tblPr>
      <w:tblGrid>
        <w:gridCol w:w="1215"/>
        <w:gridCol w:w="1215"/>
        <w:gridCol w:w="1215"/>
        <w:gridCol w:w="1215"/>
        <w:gridCol w:w="1215"/>
        <w:gridCol w:w="1215"/>
        <w:gridCol w:w="1215"/>
      </w:tblGrid>
      <w:tr>
        <w:tc>
          <w:tcPr>
            <w:tcW w:type="dxa" w:w="1215"/>
          </w:tcPr>
          <w:p>
            <w:pPr>
              <w:spacing w:after="40" w:before="40"/>
            </w:pPr>
            <w:r>
              <w:rPr>
                <w:b/>
              </w:rPr>
            </w:r>
            <w:r>
              <w:rPr>
                <w:rFonts w:ascii="Times New Roman" w:hAnsi="Times New Roman" w:eastAsia="黑体"/>
                <w:b/>
                <w:i w:val="0"/>
                <w:sz w:val="20"/>
              </w:rPr>
              <w:t>项目</w:t>
            </w:r>
          </w:p>
        </w:tc>
        <w:tc>
          <w:tcPr>
            <w:tcW w:type="dxa" w:w="1215"/>
          </w:tcPr>
          <w:p>
            <w:pPr>
              <w:spacing w:after="40" w:before="40"/>
            </w:pPr>
            <w:r>
              <w:rPr>
                <w:b/>
              </w:rPr>
            </w:r>
            <w:r>
              <w:rPr>
                <w:rFonts w:ascii="Times New Roman" w:hAnsi="Times New Roman" w:eastAsia="黑体"/>
                <w:b/>
                <w:i w:val="0"/>
                <w:sz w:val="20"/>
              </w:rPr>
              <w:t>国家</w:t>
            </w:r>
          </w:p>
        </w:tc>
        <w:tc>
          <w:tcPr>
            <w:tcW w:type="dxa" w:w="1215"/>
          </w:tcPr>
          <w:p>
            <w:pPr>
              <w:spacing w:after="40" w:before="40"/>
            </w:pPr>
            <w:r>
              <w:rPr>
                <w:b/>
              </w:rPr>
            </w:r>
            <w:r>
              <w:rPr>
                <w:rFonts w:ascii="Times New Roman" w:hAnsi="Times New Roman" w:eastAsia="黑体"/>
                <w:b/>
                <w:i w:val="0"/>
                <w:sz w:val="20"/>
              </w:rPr>
              <w:t>用户数</w:t>
            </w:r>
          </w:p>
        </w:tc>
        <w:tc>
          <w:tcPr>
            <w:tcW w:type="dxa" w:w="1215"/>
          </w:tcPr>
          <w:p>
            <w:pPr>
              <w:spacing w:after="40" w:before="40"/>
            </w:pPr>
            <w:r>
              <w:rPr>
                <w:b/>
              </w:rPr>
            </w:r>
            <w:r>
              <w:rPr>
                <w:rFonts w:ascii="Times New Roman" w:hAnsi="Times New Roman" w:eastAsia="黑体"/>
                <w:b/>
                <w:i w:val="0"/>
                <w:sz w:val="20"/>
              </w:rPr>
              <w:t>峰荷削减率</w:t>
            </w:r>
          </w:p>
        </w:tc>
        <w:tc>
          <w:tcPr>
            <w:tcW w:type="dxa" w:w="1215"/>
          </w:tcPr>
          <w:p>
            <w:pPr>
              <w:spacing w:after="40" w:before="40"/>
            </w:pPr>
            <w:r>
              <w:rPr>
                <w:b/>
              </w:rPr>
            </w:r>
            <w:r>
              <w:rPr>
                <w:rFonts w:ascii="Times New Roman" w:hAnsi="Times New Roman" w:eastAsia="黑体"/>
                <w:b/>
                <w:i w:val="0"/>
                <w:sz w:val="20"/>
              </w:rPr>
              <w:t>电费节省</w:t>
            </w:r>
          </w:p>
        </w:tc>
        <w:tc>
          <w:tcPr>
            <w:tcW w:type="dxa" w:w="1215"/>
          </w:tcPr>
          <w:p>
            <w:pPr>
              <w:spacing w:after="40" w:before="40"/>
            </w:pPr>
            <w:r>
              <w:rPr>
                <w:b/>
              </w:rPr>
            </w:r>
            <w:r>
              <w:rPr>
                <w:rFonts w:ascii="Times New Roman" w:hAnsi="Times New Roman" w:eastAsia="黑体"/>
                <w:b/>
                <w:i w:val="0"/>
                <w:sz w:val="20"/>
              </w:rPr>
              <w:t>用户满意度</w:t>
            </w:r>
          </w:p>
        </w:tc>
        <w:tc>
          <w:tcPr>
            <w:tcW w:type="dxa" w:w="1215"/>
          </w:tcPr>
          <w:p>
            <w:pPr>
              <w:spacing w:after="40" w:before="40"/>
            </w:pPr>
            <w:r>
              <w:rPr>
                <w:b/>
              </w:rPr>
            </w:r>
            <w:r>
              <w:rPr>
                <w:rFonts w:ascii="Times New Roman" w:hAnsi="Times New Roman" w:eastAsia="黑体"/>
                <w:b/>
                <w:i w:val="0"/>
                <w:sz w:val="20"/>
              </w:rPr>
              <w:t>实施周期</w:t>
            </w:r>
          </w:p>
        </w:tc>
      </w:tr>
      <w:tr>
        <w:tc>
          <w:tcPr>
            <w:tcW w:type="dxa" w:w="1215"/>
          </w:tcPr>
          <w:p>
            <w:pPr>
              <w:spacing w:after="40" w:before="40"/>
            </w:pPr>
            <w:r/>
            <w:r>
              <w:rPr>
                <w:rFonts w:ascii="Times New Roman" w:hAnsi="Times New Roman" w:eastAsia="宋体"/>
                <w:b w:val="0"/>
                <w:i w:val="0"/>
                <w:sz w:val="20"/>
              </w:rPr>
              <w:t>Olympic Peninsula</w:t>
            </w:r>
          </w:p>
        </w:tc>
        <w:tc>
          <w:tcPr>
            <w:tcW w:type="dxa" w:w="1215"/>
          </w:tcPr>
          <w:p>
            <w:pPr>
              <w:spacing w:after="40" w:before="40"/>
            </w:pPr>
            <w:r/>
            <w:r>
              <w:rPr>
                <w:rFonts w:ascii="Times New Roman" w:hAnsi="Times New Roman" w:eastAsia="宋体"/>
                <w:b w:val="0"/>
                <w:i w:val="0"/>
                <w:sz w:val="20"/>
              </w:rPr>
              <w:t>美国</w:t>
            </w:r>
          </w:p>
        </w:tc>
        <w:tc>
          <w:tcPr>
            <w:tcW w:type="dxa" w:w="1215"/>
          </w:tcPr>
          <w:p>
            <w:pPr>
              <w:spacing w:after="40" w:before="40"/>
            </w:pPr>
            <w:r/>
            <w:r>
              <w:rPr>
                <w:rFonts w:ascii="Times New Roman" w:hAnsi="Times New Roman" w:eastAsia="宋体"/>
                <w:b w:val="0"/>
                <w:i w:val="0"/>
                <w:sz w:val="20"/>
              </w:rPr>
              <w:t>112</w:t>
            </w:r>
          </w:p>
        </w:tc>
        <w:tc>
          <w:tcPr>
            <w:tcW w:type="dxa" w:w="1215"/>
          </w:tcPr>
          <w:p>
            <w:pPr>
              <w:spacing w:after="40" w:before="40"/>
            </w:pPr>
            <w:r/>
            <w:r>
              <w:rPr>
                <w:rFonts w:ascii="Times New Roman" w:hAnsi="Times New Roman" w:eastAsia="宋体"/>
                <w:b w:val="0"/>
                <w:i w:val="0"/>
                <w:sz w:val="20"/>
              </w:rPr>
              <w:t>15-17%</w:t>
            </w:r>
          </w:p>
        </w:tc>
        <w:tc>
          <w:tcPr>
            <w:tcW w:type="dxa" w:w="1215"/>
          </w:tcPr>
          <w:p>
            <w:pPr>
              <w:spacing w:after="40" w:before="40"/>
            </w:pPr>
            <w:r/>
            <w:r>
              <w:rPr>
                <w:rFonts w:ascii="Times New Roman" w:hAnsi="Times New Roman" w:eastAsia="宋体"/>
                <w:b w:val="0"/>
                <w:i w:val="0"/>
                <w:sz w:val="20"/>
              </w:rPr>
              <w:t>10%</w:t>
            </w:r>
          </w:p>
        </w:tc>
        <w:tc>
          <w:tcPr>
            <w:tcW w:type="dxa" w:w="1215"/>
          </w:tcPr>
          <w:p>
            <w:pPr>
              <w:spacing w:after="40" w:before="40"/>
            </w:pPr>
            <w:r/>
            <w:r>
              <w:rPr>
                <w:rFonts w:ascii="Times New Roman" w:hAnsi="Times New Roman" w:eastAsia="宋体"/>
                <w:b w:val="0"/>
                <w:i w:val="0"/>
                <w:sz w:val="20"/>
              </w:rPr>
              <w:t>85%</w:t>
            </w:r>
          </w:p>
        </w:tc>
        <w:tc>
          <w:tcPr>
            <w:tcW w:type="dxa" w:w="1215"/>
          </w:tcPr>
          <w:p>
            <w:pPr>
              <w:spacing w:after="40" w:before="40"/>
            </w:pPr>
            <w:r/>
            <w:r>
              <w:rPr>
                <w:rFonts w:ascii="Times New Roman" w:hAnsi="Times New Roman" w:eastAsia="宋体"/>
                <w:b w:val="0"/>
                <w:i w:val="0"/>
                <w:sz w:val="20"/>
              </w:rPr>
              <w:t>18个月</w:t>
            </w:r>
          </w:p>
        </w:tc>
      </w:tr>
      <w:tr>
        <w:tc>
          <w:tcPr>
            <w:tcW w:type="dxa" w:w="1215"/>
            <w:shd w:val="clear" w:color="auto" w:fill="F0F4F8"/>
          </w:tcPr>
          <w:p>
            <w:pPr>
              <w:spacing w:after="40" w:before="40"/>
            </w:pPr>
            <w:r/>
            <w:r>
              <w:rPr>
                <w:rFonts w:ascii="Times New Roman" w:hAnsi="Times New Roman" w:eastAsia="宋体"/>
                <w:b w:val="0"/>
                <w:i w:val="0"/>
                <w:sz w:val="20"/>
              </w:rPr>
              <w:t>PowerCentsDC</w:t>
            </w:r>
          </w:p>
        </w:tc>
        <w:tc>
          <w:tcPr>
            <w:tcW w:type="dxa" w:w="1215"/>
            <w:shd w:val="clear" w:color="auto" w:fill="F0F4F8"/>
          </w:tcPr>
          <w:p>
            <w:pPr>
              <w:spacing w:after="40" w:before="40"/>
            </w:pPr>
            <w:r/>
            <w:r>
              <w:rPr>
                <w:rFonts w:ascii="Times New Roman" w:hAnsi="Times New Roman" w:eastAsia="宋体"/>
                <w:b w:val="0"/>
                <w:i w:val="0"/>
                <w:sz w:val="20"/>
              </w:rPr>
              <w:t>美国</w:t>
            </w:r>
          </w:p>
        </w:tc>
        <w:tc>
          <w:tcPr>
            <w:tcW w:type="dxa" w:w="1215"/>
            <w:shd w:val="clear" w:color="auto" w:fill="F0F4F8"/>
          </w:tcPr>
          <w:p>
            <w:pPr>
              <w:spacing w:after="40" w:before="40"/>
            </w:pPr>
            <w:r/>
            <w:r>
              <w:rPr>
                <w:rFonts w:ascii="Times New Roman" w:hAnsi="Times New Roman" w:eastAsia="宋体"/>
                <w:b w:val="0"/>
                <w:i w:val="0"/>
                <w:sz w:val="20"/>
              </w:rPr>
              <w:t>1200</w:t>
            </w:r>
          </w:p>
        </w:tc>
        <w:tc>
          <w:tcPr>
            <w:tcW w:type="dxa" w:w="1215"/>
            <w:shd w:val="clear" w:color="auto" w:fill="F0F4F8"/>
          </w:tcPr>
          <w:p>
            <w:pPr>
              <w:spacing w:after="40" w:before="40"/>
            </w:pPr>
            <w:r/>
            <w:r>
              <w:rPr>
                <w:rFonts w:ascii="Times New Roman" w:hAnsi="Times New Roman" w:eastAsia="宋体"/>
                <w:b w:val="0"/>
                <w:i w:val="0"/>
                <w:sz w:val="20"/>
              </w:rPr>
              <w:t>13-20%</w:t>
            </w:r>
          </w:p>
        </w:tc>
        <w:tc>
          <w:tcPr>
            <w:tcW w:type="dxa" w:w="1215"/>
            <w:shd w:val="clear" w:color="auto" w:fill="F0F4F8"/>
          </w:tcPr>
          <w:p>
            <w:pPr>
              <w:spacing w:after="40" w:before="40"/>
            </w:pPr>
            <w:r/>
            <w:r>
              <w:rPr>
                <w:rFonts w:ascii="Times New Roman" w:hAnsi="Times New Roman" w:eastAsia="宋体"/>
                <w:b w:val="0"/>
                <w:i w:val="0"/>
                <w:sz w:val="20"/>
              </w:rPr>
              <w:t>5-8%</w:t>
            </w:r>
          </w:p>
        </w:tc>
        <w:tc>
          <w:tcPr>
            <w:tcW w:type="dxa" w:w="1215"/>
            <w:shd w:val="clear" w:color="auto" w:fill="F0F4F8"/>
          </w:tcPr>
          <w:p>
            <w:pPr>
              <w:spacing w:after="40" w:before="40"/>
            </w:pPr>
            <w:r/>
            <w:r>
              <w:rPr>
                <w:rFonts w:ascii="Times New Roman" w:hAnsi="Times New Roman" w:eastAsia="宋体"/>
                <w:b w:val="0"/>
                <w:i w:val="0"/>
                <w:sz w:val="20"/>
              </w:rPr>
              <w:t>78%</w:t>
            </w:r>
          </w:p>
        </w:tc>
        <w:tc>
          <w:tcPr>
            <w:tcW w:type="dxa" w:w="1215"/>
            <w:shd w:val="clear" w:color="auto" w:fill="F0F4F8"/>
          </w:tcPr>
          <w:p>
            <w:pPr>
              <w:spacing w:after="40" w:before="40"/>
            </w:pPr>
            <w:r/>
            <w:r>
              <w:rPr>
                <w:rFonts w:ascii="Times New Roman" w:hAnsi="Times New Roman" w:eastAsia="宋体"/>
                <w:b w:val="0"/>
                <w:i w:val="0"/>
                <w:sz w:val="20"/>
              </w:rPr>
              <w:t>24个月</w:t>
            </w:r>
          </w:p>
        </w:tc>
      </w:tr>
      <w:tr>
        <w:tc>
          <w:tcPr>
            <w:tcW w:type="dxa" w:w="1215"/>
          </w:tcPr>
          <w:p>
            <w:pPr>
              <w:spacing w:after="40" w:before="40"/>
            </w:pPr>
            <w:r/>
            <w:r>
              <w:rPr>
                <w:rFonts w:ascii="Times New Roman" w:hAnsi="Times New Roman" w:eastAsia="宋体"/>
                <w:b w:val="0"/>
                <w:i w:val="0"/>
                <w:sz w:val="20"/>
              </w:rPr>
              <w:t>Energy Smart Pricing</w:t>
            </w:r>
          </w:p>
        </w:tc>
        <w:tc>
          <w:tcPr>
            <w:tcW w:type="dxa" w:w="1215"/>
          </w:tcPr>
          <w:p>
            <w:pPr>
              <w:spacing w:after="40" w:before="40"/>
            </w:pPr>
            <w:r/>
            <w:r>
              <w:rPr>
                <w:rFonts w:ascii="Times New Roman" w:hAnsi="Times New Roman" w:eastAsia="宋体"/>
                <w:b w:val="0"/>
                <w:i w:val="0"/>
                <w:sz w:val="20"/>
              </w:rPr>
              <w:t>美国</w:t>
            </w:r>
          </w:p>
        </w:tc>
        <w:tc>
          <w:tcPr>
            <w:tcW w:type="dxa" w:w="1215"/>
          </w:tcPr>
          <w:p>
            <w:pPr>
              <w:spacing w:after="40" w:before="40"/>
            </w:pPr>
            <w:r/>
            <w:r>
              <w:rPr>
                <w:rFonts w:ascii="Times New Roman" w:hAnsi="Times New Roman" w:eastAsia="宋体"/>
                <w:b w:val="0"/>
                <w:i w:val="0"/>
                <w:sz w:val="20"/>
              </w:rPr>
              <w:t>3500</w:t>
            </w:r>
          </w:p>
        </w:tc>
        <w:tc>
          <w:tcPr>
            <w:tcW w:type="dxa" w:w="1215"/>
          </w:tcPr>
          <w:p>
            <w:pPr>
              <w:spacing w:after="40" w:before="40"/>
            </w:pPr>
            <w:r/>
            <w:r>
              <w:rPr>
                <w:rFonts w:ascii="Times New Roman" w:hAnsi="Times New Roman" w:eastAsia="宋体"/>
                <w:b w:val="0"/>
                <w:i w:val="0"/>
                <w:sz w:val="20"/>
              </w:rPr>
              <w:t>12%</w:t>
            </w:r>
          </w:p>
        </w:tc>
        <w:tc>
          <w:tcPr>
            <w:tcW w:type="dxa" w:w="1215"/>
          </w:tcPr>
          <w:p>
            <w:pPr>
              <w:spacing w:after="40" w:before="40"/>
            </w:pPr>
            <w:r/>
            <w:r>
              <w:rPr>
                <w:rFonts w:ascii="Times New Roman" w:hAnsi="Times New Roman" w:eastAsia="宋体"/>
                <w:b w:val="0"/>
                <w:i w:val="0"/>
                <w:sz w:val="20"/>
              </w:rPr>
              <w:t>5%</w:t>
            </w:r>
          </w:p>
        </w:tc>
        <w:tc>
          <w:tcPr>
            <w:tcW w:type="dxa" w:w="1215"/>
          </w:tcPr>
          <w:p>
            <w:pPr>
              <w:spacing w:after="40" w:before="40"/>
            </w:pPr>
            <w:r/>
            <w:r>
              <w:rPr>
                <w:rFonts w:ascii="Times New Roman" w:hAnsi="Times New Roman" w:eastAsia="宋体"/>
                <w:b w:val="0"/>
                <w:i w:val="0"/>
                <w:sz w:val="20"/>
              </w:rPr>
              <w:t>82%</w:t>
            </w:r>
          </w:p>
        </w:tc>
        <w:tc>
          <w:tcPr>
            <w:tcW w:type="dxa" w:w="1215"/>
          </w:tcPr>
          <w:p>
            <w:pPr>
              <w:spacing w:after="40" w:before="40"/>
            </w:pPr>
            <w:r/>
            <w:r>
              <w:rPr>
                <w:rFonts w:ascii="Times New Roman" w:hAnsi="Times New Roman" w:eastAsia="宋体"/>
                <w:b w:val="0"/>
                <w:i w:val="0"/>
                <w:sz w:val="20"/>
              </w:rPr>
              <w:t>60个月</w:t>
            </w:r>
          </w:p>
        </w:tc>
      </w:tr>
      <w:tr>
        <w:tc>
          <w:tcPr>
            <w:tcW w:type="dxa" w:w="1215"/>
            <w:shd w:val="clear" w:color="auto" w:fill="F0F4F8"/>
          </w:tcPr>
          <w:p>
            <w:pPr>
              <w:spacing w:after="40" w:before="40"/>
            </w:pPr>
            <w:r/>
            <w:r>
              <w:rPr>
                <w:rFonts w:ascii="Times New Roman" w:hAnsi="Times New Roman" w:eastAsia="宋体"/>
                <w:b w:val="0"/>
                <w:i w:val="0"/>
                <w:sz w:val="20"/>
              </w:rPr>
              <w:t>Irish CER Trial</w:t>
            </w:r>
          </w:p>
        </w:tc>
        <w:tc>
          <w:tcPr>
            <w:tcW w:type="dxa" w:w="1215"/>
            <w:shd w:val="clear" w:color="auto" w:fill="F0F4F8"/>
          </w:tcPr>
          <w:p>
            <w:pPr>
              <w:spacing w:after="40" w:before="40"/>
            </w:pPr>
            <w:r/>
            <w:r>
              <w:rPr>
                <w:rFonts w:ascii="Times New Roman" w:hAnsi="Times New Roman" w:eastAsia="宋体"/>
                <w:b w:val="0"/>
                <w:i w:val="0"/>
                <w:sz w:val="20"/>
              </w:rPr>
              <w:t>爱尔兰</w:t>
            </w:r>
          </w:p>
        </w:tc>
        <w:tc>
          <w:tcPr>
            <w:tcW w:type="dxa" w:w="1215"/>
            <w:shd w:val="clear" w:color="auto" w:fill="F0F4F8"/>
          </w:tcPr>
          <w:p>
            <w:pPr>
              <w:spacing w:after="40" w:before="40"/>
            </w:pPr>
            <w:r/>
            <w:r>
              <w:rPr>
                <w:rFonts w:ascii="Times New Roman" w:hAnsi="Times New Roman" w:eastAsia="宋体"/>
                <w:b w:val="0"/>
                <w:i w:val="0"/>
                <w:sz w:val="20"/>
              </w:rPr>
              <w:t>5000</w:t>
            </w:r>
          </w:p>
        </w:tc>
        <w:tc>
          <w:tcPr>
            <w:tcW w:type="dxa" w:w="1215"/>
            <w:shd w:val="clear" w:color="auto" w:fill="F0F4F8"/>
          </w:tcPr>
          <w:p>
            <w:pPr>
              <w:spacing w:after="40" w:before="40"/>
            </w:pPr>
            <w:r/>
            <w:r>
              <w:rPr>
                <w:rFonts w:ascii="Times New Roman" w:hAnsi="Times New Roman" w:eastAsia="宋体"/>
                <w:b w:val="0"/>
                <w:i w:val="0"/>
                <w:sz w:val="20"/>
              </w:rPr>
              <w:t>8-11%</w:t>
            </w:r>
          </w:p>
        </w:tc>
        <w:tc>
          <w:tcPr>
            <w:tcW w:type="dxa" w:w="1215"/>
            <w:shd w:val="clear" w:color="auto" w:fill="F0F4F8"/>
          </w:tcPr>
          <w:p>
            <w:pPr>
              <w:spacing w:after="40" w:before="40"/>
            </w:pPr>
            <w:r/>
            <w:r>
              <w:rPr>
                <w:rFonts w:ascii="Times New Roman" w:hAnsi="Times New Roman" w:eastAsia="宋体"/>
                <w:b w:val="0"/>
                <w:i w:val="0"/>
                <w:sz w:val="20"/>
              </w:rPr>
              <w:t>4-7%</w:t>
            </w:r>
          </w:p>
        </w:tc>
        <w:tc>
          <w:tcPr>
            <w:tcW w:type="dxa" w:w="1215"/>
            <w:shd w:val="clear" w:color="auto" w:fill="F0F4F8"/>
          </w:tcPr>
          <w:p>
            <w:pPr>
              <w:spacing w:after="40" w:before="40"/>
            </w:pPr>
            <w:r/>
            <w:r>
              <w:rPr>
                <w:rFonts w:ascii="Times New Roman" w:hAnsi="Times New Roman" w:eastAsia="宋体"/>
                <w:b w:val="0"/>
                <w:i w:val="0"/>
                <w:sz w:val="20"/>
              </w:rPr>
              <w:t>75%</w:t>
            </w:r>
          </w:p>
        </w:tc>
        <w:tc>
          <w:tcPr>
            <w:tcW w:type="dxa" w:w="1215"/>
            <w:shd w:val="clear" w:color="auto" w:fill="F0F4F8"/>
          </w:tcPr>
          <w:p>
            <w:pPr>
              <w:spacing w:after="40" w:before="40"/>
            </w:pPr>
            <w:r/>
            <w:r>
              <w:rPr>
                <w:rFonts w:ascii="Times New Roman" w:hAnsi="Times New Roman" w:eastAsia="宋体"/>
                <w:b w:val="0"/>
                <w:i w:val="0"/>
                <w:sz w:val="20"/>
              </w:rPr>
              <w:t>18个月</w:t>
            </w:r>
          </w:p>
        </w:tc>
      </w:tr>
      <w:tr>
        <w:tc>
          <w:tcPr>
            <w:tcW w:type="dxa" w:w="1215"/>
          </w:tcPr>
          <w:p>
            <w:pPr>
              <w:spacing w:after="40" w:before="40"/>
            </w:pPr>
            <w:r/>
            <w:r>
              <w:rPr>
                <w:rFonts w:ascii="Times New Roman" w:hAnsi="Times New Roman" w:eastAsia="宋体"/>
                <w:b w:val="0"/>
                <w:i w:val="0"/>
                <w:sz w:val="20"/>
              </w:rPr>
              <w:t>EcoGrid EU</w:t>
            </w:r>
          </w:p>
        </w:tc>
        <w:tc>
          <w:tcPr>
            <w:tcW w:type="dxa" w:w="1215"/>
          </w:tcPr>
          <w:p>
            <w:pPr>
              <w:spacing w:after="40" w:before="40"/>
            </w:pPr>
            <w:r/>
            <w:r>
              <w:rPr>
                <w:rFonts w:ascii="Times New Roman" w:hAnsi="Times New Roman" w:eastAsia="宋体"/>
                <w:b w:val="0"/>
                <w:i w:val="0"/>
                <w:sz w:val="20"/>
              </w:rPr>
              <w:t>丹麦</w:t>
            </w:r>
          </w:p>
        </w:tc>
        <w:tc>
          <w:tcPr>
            <w:tcW w:type="dxa" w:w="1215"/>
          </w:tcPr>
          <w:p>
            <w:pPr>
              <w:spacing w:after="40" w:before="40"/>
            </w:pPr>
            <w:r/>
            <w:r>
              <w:rPr>
                <w:rFonts w:ascii="Times New Roman" w:hAnsi="Times New Roman" w:eastAsia="宋体"/>
                <w:b w:val="0"/>
                <w:i w:val="0"/>
                <w:sz w:val="20"/>
              </w:rPr>
              <w:t>2000</w:t>
            </w:r>
          </w:p>
        </w:tc>
        <w:tc>
          <w:tcPr>
            <w:tcW w:type="dxa" w:w="1215"/>
          </w:tcPr>
          <w:p>
            <w:pPr>
              <w:spacing w:after="40" w:before="40"/>
            </w:pPr>
            <w:r/>
            <w:r>
              <w:rPr>
                <w:rFonts w:ascii="Times New Roman" w:hAnsi="Times New Roman" w:eastAsia="宋体"/>
                <w:b w:val="0"/>
                <w:i w:val="0"/>
                <w:sz w:val="20"/>
              </w:rPr>
              <w:t>10-12%</w:t>
            </w:r>
          </w:p>
        </w:tc>
        <w:tc>
          <w:tcPr>
            <w:tcW w:type="dxa" w:w="1215"/>
          </w:tcPr>
          <w:p>
            <w:pPr>
              <w:spacing w:after="40" w:before="40"/>
            </w:pPr>
            <w:r/>
            <w:r>
              <w:rPr>
                <w:rFonts w:ascii="Times New Roman" w:hAnsi="Times New Roman" w:eastAsia="宋体"/>
                <w:b w:val="0"/>
                <w:i w:val="0"/>
                <w:sz w:val="20"/>
              </w:rPr>
              <w:t>6%</w:t>
            </w:r>
          </w:p>
        </w:tc>
        <w:tc>
          <w:tcPr>
            <w:tcW w:type="dxa" w:w="1215"/>
          </w:tcPr>
          <w:p>
            <w:pPr>
              <w:spacing w:after="40" w:before="40"/>
            </w:pPr>
            <w:r/>
            <w:r>
              <w:rPr>
                <w:rFonts w:ascii="Times New Roman" w:hAnsi="Times New Roman" w:eastAsia="宋体"/>
                <w:b w:val="0"/>
                <w:i w:val="0"/>
                <w:sz w:val="20"/>
              </w:rPr>
              <w:t>80%</w:t>
            </w:r>
          </w:p>
        </w:tc>
        <w:tc>
          <w:tcPr>
            <w:tcW w:type="dxa" w:w="1215"/>
          </w:tcPr>
          <w:p>
            <w:pPr>
              <w:spacing w:after="40" w:before="40"/>
            </w:pPr>
            <w:r/>
            <w:r>
              <w:rPr>
                <w:rFonts w:ascii="Times New Roman" w:hAnsi="Times New Roman" w:eastAsia="宋体"/>
                <w:b w:val="0"/>
                <w:i w:val="0"/>
                <w:sz w:val="20"/>
              </w:rPr>
              <w:t>48个月</w:t>
            </w:r>
          </w:p>
        </w:tc>
      </w:tr>
      <w:tr>
        <w:tc>
          <w:tcPr>
            <w:tcW w:type="dxa" w:w="1215"/>
            <w:shd w:val="clear" w:color="auto" w:fill="F0F4F8"/>
          </w:tcPr>
          <w:p>
            <w:pPr>
              <w:spacing w:after="40" w:before="40"/>
            </w:pPr>
            <w:r/>
            <w:r>
              <w:rPr>
                <w:rFonts w:ascii="Times New Roman" w:hAnsi="Times New Roman" w:eastAsia="宋体"/>
                <w:b w:val="0"/>
                <w:i w:val="0"/>
                <w:sz w:val="20"/>
              </w:rPr>
              <w:t>Nice Grid</w:t>
            </w:r>
          </w:p>
        </w:tc>
        <w:tc>
          <w:tcPr>
            <w:tcW w:type="dxa" w:w="1215"/>
            <w:shd w:val="clear" w:color="auto" w:fill="F0F4F8"/>
          </w:tcPr>
          <w:p>
            <w:pPr>
              <w:spacing w:after="40" w:before="40"/>
            </w:pPr>
            <w:r/>
            <w:r>
              <w:rPr>
                <w:rFonts w:ascii="Times New Roman" w:hAnsi="Times New Roman" w:eastAsia="宋体"/>
                <w:b w:val="0"/>
                <w:i w:val="0"/>
                <w:sz w:val="20"/>
              </w:rPr>
              <w:t>法国</w:t>
            </w:r>
          </w:p>
        </w:tc>
        <w:tc>
          <w:tcPr>
            <w:tcW w:type="dxa" w:w="1215"/>
            <w:shd w:val="clear" w:color="auto" w:fill="F0F4F8"/>
          </w:tcPr>
          <w:p>
            <w:pPr>
              <w:spacing w:after="40" w:before="40"/>
            </w:pPr>
            <w:r/>
            <w:r>
              <w:rPr>
                <w:rFonts w:ascii="Times New Roman" w:hAnsi="Times New Roman" w:eastAsia="宋体"/>
                <w:b w:val="0"/>
                <w:i w:val="0"/>
                <w:sz w:val="20"/>
              </w:rPr>
              <w:t>1500</w:t>
            </w:r>
          </w:p>
        </w:tc>
        <w:tc>
          <w:tcPr>
            <w:tcW w:type="dxa" w:w="1215"/>
            <w:shd w:val="clear" w:color="auto" w:fill="F0F4F8"/>
          </w:tcPr>
          <w:p>
            <w:pPr>
              <w:spacing w:after="40" w:before="40"/>
            </w:pPr>
            <w:r/>
            <w:r>
              <w:rPr>
                <w:rFonts w:ascii="Times New Roman" w:hAnsi="Times New Roman" w:eastAsia="宋体"/>
                <w:b w:val="0"/>
                <w:i w:val="0"/>
                <w:sz w:val="20"/>
              </w:rPr>
              <w:t>20%</w:t>
            </w:r>
          </w:p>
        </w:tc>
        <w:tc>
          <w:tcPr>
            <w:tcW w:type="dxa" w:w="1215"/>
            <w:shd w:val="clear" w:color="auto" w:fill="F0F4F8"/>
          </w:tcPr>
          <w:p>
            <w:pPr>
              <w:spacing w:after="40" w:before="40"/>
            </w:pPr>
            <w:r/>
            <w:r>
              <w:rPr>
                <w:rFonts w:ascii="Times New Roman" w:hAnsi="Times New Roman" w:eastAsia="宋体"/>
                <w:b w:val="0"/>
                <w:i w:val="0"/>
                <w:sz w:val="20"/>
              </w:rPr>
              <w:t>8%</w:t>
            </w:r>
          </w:p>
        </w:tc>
        <w:tc>
          <w:tcPr>
            <w:tcW w:type="dxa" w:w="1215"/>
            <w:shd w:val="clear" w:color="auto" w:fill="F0F4F8"/>
          </w:tcPr>
          <w:p>
            <w:pPr>
              <w:spacing w:after="40" w:before="40"/>
            </w:pPr>
            <w:r/>
            <w:r>
              <w:rPr>
                <w:rFonts w:ascii="Times New Roman" w:hAnsi="Times New Roman" w:eastAsia="宋体"/>
                <w:b w:val="0"/>
                <w:i w:val="0"/>
                <w:sz w:val="20"/>
              </w:rPr>
              <w:t>84%</w:t>
            </w:r>
          </w:p>
        </w:tc>
        <w:tc>
          <w:tcPr>
            <w:tcW w:type="dxa" w:w="1215"/>
            <w:shd w:val="clear" w:color="auto" w:fill="F0F4F8"/>
          </w:tcPr>
          <w:p>
            <w:pPr>
              <w:spacing w:after="40" w:before="40"/>
            </w:pPr>
            <w:r/>
            <w:r>
              <w:rPr>
                <w:rFonts w:ascii="Times New Roman" w:hAnsi="Times New Roman" w:eastAsia="宋体"/>
                <w:b w:val="0"/>
                <w:i w:val="0"/>
                <w:sz w:val="20"/>
              </w:rPr>
              <w:t>60个月</w:t>
            </w:r>
          </w:p>
        </w:tc>
      </w:tr>
      <w:tr>
        <w:tc>
          <w:tcPr>
            <w:tcW w:type="dxa" w:w="1215"/>
          </w:tcPr>
          <w:p>
            <w:pPr>
              <w:spacing w:after="40" w:before="40"/>
            </w:pPr>
            <w:r/>
            <w:r>
              <w:rPr>
                <w:rFonts w:ascii="Times New Roman" w:hAnsi="Times New Roman" w:eastAsia="宋体"/>
                <w:b w:val="0"/>
                <w:i w:val="0"/>
                <w:sz w:val="20"/>
              </w:rPr>
              <w:t>北京智能小区</w:t>
            </w:r>
          </w:p>
        </w:tc>
        <w:tc>
          <w:tcPr>
            <w:tcW w:type="dxa" w:w="1215"/>
          </w:tcPr>
          <w:p>
            <w:pPr>
              <w:spacing w:after="40" w:before="40"/>
            </w:pPr>
            <w:r/>
            <w:r>
              <w:rPr>
                <w:rFonts w:ascii="Times New Roman" w:hAnsi="Times New Roman" w:eastAsia="宋体"/>
                <w:b w:val="0"/>
                <w:i w:val="0"/>
                <w:sz w:val="20"/>
              </w:rPr>
              <w:t>中国</w:t>
            </w:r>
          </w:p>
        </w:tc>
        <w:tc>
          <w:tcPr>
            <w:tcW w:type="dxa" w:w="1215"/>
          </w:tcPr>
          <w:p>
            <w:pPr>
              <w:spacing w:after="40" w:before="40"/>
            </w:pPr>
            <w:r/>
            <w:r>
              <w:rPr>
                <w:rFonts w:ascii="Times New Roman" w:hAnsi="Times New Roman" w:eastAsia="宋体"/>
                <w:b w:val="0"/>
                <w:i w:val="0"/>
                <w:sz w:val="20"/>
              </w:rPr>
              <w:t>800</w:t>
            </w:r>
          </w:p>
        </w:tc>
        <w:tc>
          <w:tcPr>
            <w:tcW w:type="dxa" w:w="1215"/>
          </w:tcPr>
          <w:p>
            <w:pPr>
              <w:spacing w:after="40" w:before="40"/>
            </w:pPr>
            <w:r/>
            <w:r>
              <w:rPr>
                <w:rFonts w:ascii="Times New Roman" w:hAnsi="Times New Roman" w:eastAsia="宋体"/>
                <w:b w:val="0"/>
                <w:i w:val="0"/>
                <w:sz w:val="20"/>
              </w:rPr>
              <w:t>6%</w:t>
            </w:r>
          </w:p>
        </w:tc>
        <w:tc>
          <w:tcPr>
            <w:tcW w:type="dxa" w:w="1215"/>
          </w:tcPr>
          <w:p>
            <w:pPr>
              <w:spacing w:after="40" w:before="40"/>
            </w:pPr>
            <w:r/>
            <w:r>
              <w:rPr>
                <w:rFonts w:ascii="Times New Roman" w:hAnsi="Times New Roman" w:eastAsia="宋体"/>
                <w:b w:val="0"/>
                <w:i w:val="0"/>
                <w:sz w:val="20"/>
              </w:rPr>
              <w:t>3%</w:t>
            </w:r>
          </w:p>
        </w:tc>
        <w:tc>
          <w:tcPr>
            <w:tcW w:type="dxa" w:w="1215"/>
          </w:tcPr>
          <w:p>
            <w:pPr>
              <w:spacing w:after="40" w:before="40"/>
            </w:pPr>
            <w:r/>
            <w:r>
              <w:rPr>
                <w:rFonts w:ascii="Times New Roman" w:hAnsi="Times New Roman" w:eastAsia="宋体"/>
                <w:b w:val="0"/>
                <w:i w:val="0"/>
                <w:sz w:val="20"/>
              </w:rPr>
              <w:t>72%</w:t>
            </w:r>
          </w:p>
        </w:tc>
        <w:tc>
          <w:tcPr>
            <w:tcW w:type="dxa" w:w="1215"/>
          </w:tcPr>
          <w:p>
            <w:pPr>
              <w:spacing w:after="40" w:before="40"/>
            </w:pPr>
            <w:r/>
            <w:r>
              <w:rPr>
                <w:rFonts w:ascii="Times New Roman" w:hAnsi="Times New Roman" w:eastAsia="宋体"/>
                <w:b w:val="0"/>
                <w:i w:val="0"/>
                <w:sz w:val="20"/>
              </w:rPr>
              <w:t>36个月</w:t>
            </w:r>
          </w:p>
        </w:tc>
      </w:tr>
      <w:tr>
        <w:tc>
          <w:tcPr>
            <w:tcW w:type="dxa" w:w="1215"/>
            <w:shd w:val="clear" w:color="auto" w:fill="F0F4F8"/>
          </w:tcPr>
          <w:p>
            <w:pPr>
              <w:spacing w:after="40" w:before="40"/>
            </w:pPr>
            <w:r/>
            <w:r>
              <w:rPr>
                <w:rFonts w:ascii="Times New Roman" w:hAnsi="Times New Roman" w:eastAsia="宋体"/>
                <w:b w:val="0"/>
                <w:i w:val="0"/>
                <w:sz w:val="20"/>
              </w:rPr>
              <w:t>上海DR试点</w:t>
            </w:r>
          </w:p>
        </w:tc>
        <w:tc>
          <w:tcPr>
            <w:tcW w:type="dxa" w:w="1215"/>
            <w:shd w:val="clear" w:color="auto" w:fill="F0F4F8"/>
          </w:tcPr>
          <w:p>
            <w:pPr>
              <w:spacing w:after="40" w:before="40"/>
            </w:pPr>
            <w:r/>
            <w:r>
              <w:rPr>
                <w:rFonts w:ascii="Times New Roman" w:hAnsi="Times New Roman" w:eastAsia="宋体"/>
                <w:b w:val="0"/>
                <w:i w:val="0"/>
                <w:sz w:val="20"/>
              </w:rPr>
              <w:t>中国</w:t>
            </w:r>
          </w:p>
        </w:tc>
        <w:tc>
          <w:tcPr>
            <w:tcW w:type="dxa" w:w="1215"/>
            <w:shd w:val="clear" w:color="auto" w:fill="F0F4F8"/>
          </w:tcPr>
          <w:p>
            <w:pPr>
              <w:spacing w:after="40" w:before="40"/>
            </w:pPr>
            <w:r/>
            <w:r>
              <w:rPr>
                <w:rFonts w:ascii="Times New Roman" w:hAnsi="Times New Roman" w:eastAsia="宋体"/>
                <w:b w:val="0"/>
                <w:i w:val="0"/>
                <w:sz w:val="20"/>
              </w:rPr>
              <w:t>200</w:t>
            </w:r>
          </w:p>
        </w:tc>
        <w:tc>
          <w:tcPr>
            <w:tcW w:type="dxa" w:w="1215"/>
            <w:shd w:val="clear" w:color="auto" w:fill="F0F4F8"/>
          </w:tcPr>
          <w:p>
            <w:pPr>
              <w:spacing w:after="40" w:before="40"/>
            </w:pPr>
            <w:r/>
            <w:r>
              <w:rPr>
                <w:rFonts w:ascii="Times New Roman" w:hAnsi="Times New Roman" w:eastAsia="宋体"/>
                <w:b w:val="0"/>
                <w:i w:val="0"/>
                <w:sz w:val="20"/>
              </w:rPr>
              <w:t>15%</w:t>
            </w:r>
          </w:p>
        </w:tc>
        <w:tc>
          <w:tcPr>
            <w:tcW w:type="dxa" w:w="1215"/>
            <w:shd w:val="clear" w:color="auto" w:fill="F0F4F8"/>
          </w:tcPr>
          <w:p>
            <w:pPr>
              <w:spacing w:after="40" w:before="40"/>
            </w:pPr>
            <w:r/>
            <w:r>
              <w:rPr>
                <w:rFonts w:ascii="Times New Roman" w:hAnsi="Times New Roman" w:eastAsia="宋体"/>
                <w:b w:val="0"/>
                <w:i w:val="0"/>
                <w:sz w:val="20"/>
              </w:rPr>
              <w:t>8%</w:t>
            </w:r>
          </w:p>
        </w:tc>
        <w:tc>
          <w:tcPr>
            <w:tcW w:type="dxa" w:w="1215"/>
            <w:shd w:val="clear" w:color="auto" w:fill="F0F4F8"/>
          </w:tcPr>
          <w:p>
            <w:pPr>
              <w:spacing w:after="40" w:before="40"/>
            </w:pPr>
            <w:r/>
            <w:r>
              <w:rPr>
                <w:rFonts w:ascii="Times New Roman" w:hAnsi="Times New Roman" w:eastAsia="宋体"/>
                <w:b w:val="0"/>
                <w:i w:val="0"/>
                <w:sz w:val="20"/>
              </w:rPr>
              <w:t>N/A</w:t>
            </w:r>
          </w:p>
        </w:tc>
        <w:tc>
          <w:tcPr>
            <w:tcW w:type="dxa" w:w="1215"/>
            <w:shd w:val="clear" w:color="auto" w:fill="F0F4F8"/>
          </w:tcPr>
          <w:p>
            <w:pPr>
              <w:spacing w:after="40" w:before="40"/>
            </w:pPr>
            <w:r/>
            <w:r>
              <w:rPr>
                <w:rFonts w:ascii="Times New Roman" w:hAnsi="Times New Roman" w:eastAsia="宋体"/>
                <w:b w:val="0"/>
                <w:i w:val="0"/>
                <w:sz w:val="20"/>
              </w:rPr>
              <w:t>36个月</w:t>
            </w:r>
          </w:p>
        </w:tc>
      </w:tr>
    </w:tbl>
    <w:p>
      <w:pPr>
        <w:spacing w:line="360" w:lineRule="auto" w:after="0"/>
        <w:ind w:firstLine="425"/>
      </w:pPr>
      <w:r>
        <w:rPr>
          <w:rFonts w:ascii="Times New Roman" w:hAnsi="Times New Roman" w:eastAsia="宋体"/>
          <w:b w:val="0"/>
          <w:i w:val="0"/>
          <w:sz w:val="22"/>
        </w:rPr>
        <w:t>注：数据来源于各项目公开报告，因评估方法和基线不同，横向对比仅供参考。</w:t>
      </w:r>
    </w:p>
    <w:p>
      <w:r>
        <w:br w:type="page"/>
      </w:r>
    </w:p>
    <w:p>
      <w:pPr>
        <w:pStyle w:val="Heading1"/>
        <w:spacing w:before="360" w:after="120"/>
      </w:pPr>
      <w:r>
        <w:rPr>
          <w:rFonts w:ascii="Times New Roman" w:hAnsi="Times New Roman" w:eastAsia="黑体"/>
          <w:b/>
          <w:i w:val="0"/>
          <w:sz w:val="32"/>
        </w:rPr>
        <w:t>附录D  设计模板与检查清单</w:t>
      </w:r>
    </w:p>
    <w:p>
      <w:pPr>
        <w:pStyle w:val="Heading2"/>
        <w:spacing w:before="240" w:after="80"/>
      </w:pPr>
      <w:r>
        <w:rPr>
          <w:rFonts w:ascii="Times New Roman" w:hAnsi="Times New Roman" w:eastAsia="黑体"/>
          <w:b/>
          <w:i w:val="0"/>
          <w:sz w:val="28"/>
        </w:rPr>
        <w:t>D.1 实时定价系统设计模板</w:t>
      </w:r>
    </w:p>
    <w:p>
      <w:pPr>
        <w:pStyle w:val="Heading3"/>
        <w:spacing w:before="160" w:after="60"/>
      </w:pPr>
      <w:r>
        <w:rPr>
          <w:rFonts w:ascii="Times New Roman" w:hAnsi="Times New Roman" w:eastAsia="黑体"/>
          <w:b/>
          <w:i w:val="0"/>
          <w:sz w:val="24"/>
        </w:rPr>
        <w:t>D.1.1 需求分析模板</w:t>
      </w:r>
    </w:p>
    <w:p>
      <w:pPr>
        <w:spacing w:line="360" w:lineRule="auto" w:after="0"/>
        <w:ind w:firstLine="425"/>
      </w:pPr>
      <w:r>
        <w:rPr>
          <w:rFonts w:ascii="Times New Roman" w:hAnsi="Times New Roman" w:eastAsia="宋体"/>
          <w:b/>
          <w:i w:val="0"/>
          <w:sz w:val="22"/>
        </w:rPr>
        <w:t>项目背景</w:t>
      </w:r>
    </w:p>
    <w:p>
      <w:pPr>
        <w:pStyle w:val="ListBullet"/>
        <w:spacing w:line="360" w:lineRule="auto" w:after="0"/>
      </w:pPr>
      <w:r>
        <w:rPr>
          <w:rFonts w:ascii="Times New Roman" w:hAnsi="Times New Roman" w:eastAsia="宋体"/>
          <w:b w:val="0"/>
          <w:i w:val="0"/>
          <w:sz w:val="22"/>
        </w:rPr>
        <w:t>电网类型：[输电网/配电网/微电网]</w:t>
      </w:r>
    </w:p>
    <w:p>
      <w:pPr>
        <w:pStyle w:val="ListBullet"/>
        <w:spacing w:line="360" w:lineRule="auto" w:after="0"/>
      </w:pPr>
      <w:r>
        <w:rPr>
          <w:rFonts w:ascii="Times New Roman" w:hAnsi="Times New Roman" w:eastAsia="宋体"/>
          <w:b w:val="0"/>
          <w:i w:val="0"/>
          <w:sz w:val="22"/>
        </w:rPr>
        <w:t>用户规模：[用户数量]户，其中居民____户、工商业____户</w:t>
      </w:r>
    </w:p>
    <w:p>
      <w:pPr>
        <w:pStyle w:val="ListBullet"/>
        <w:spacing w:line="360" w:lineRule="auto" w:after="0"/>
      </w:pPr>
      <w:r>
        <w:rPr>
          <w:rFonts w:ascii="Times New Roman" w:hAnsi="Times New Roman" w:eastAsia="宋体"/>
          <w:b w:val="0"/>
          <w:i w:val="0"/>
          <w:sz w:val="22"/>
        </w:rPr>
        <w:t>现有电价机制：[固定电价/分时电价/其他]</w:t>
      </w:r>
    </w:p>
    <w:p>
      <w:pPr>
        <w:pStyle w:val="ListBullet"/>
        <w:spacing w:line="360" w:lineRule="auto" w:after="0"/>
      </w:pPr>
      <w:r>
        <w:rPr>
          <w:rFonts w:ascii="Times New Roman" w:hAnsi="Times New Roman" w:eastAsia="宋体"/>
          <w:b w:val="0"/>
          <w:i w:val="0"/>
          <w:sz w:val="22"/>
        </w:rPr>
        <w:t>智能电表覆盖率：____%</w:t>
      </w:r>
    </w:p>
    <w:p>
      <w:pPr>
        <w:spacing w:line="360" w:lineRule="auto" w:after="0"/>
        <w:ind w:firstLine="425"/>
      </w:pPr>
      <w:r>
        <w:rPr>
          <w:rFonts w:ascii="Times New Roman" w:hAnsi="Times New Roman" w:eastAsia="宋体"/>
          <w:b/>
          <w:i w:val="0"/>
          <w:sz w:val="22"/>
        </w:rPr>
        <w:t>功能需求</w:t>
      </w:r>
    </w:p>
    <w:p>
      <w:pPr>
        <w:pStyle w:val="ListBullet"/>
        <w:spacing w:line="360" w:lineRule="auto" w:after="0"/>
      </w:pPr>
      <w:r>
        <w:rPr>
          <w:rFonts w:ascii="Times New Roman" w:hAnsi="Times New Roman" w:eastAsia="宋体"/>
          <w:b w:val="0"/>
          <w:i w:val="0"/>
          <w:sz w:val="22"/>
        </w:rPr>
        <w:t>定价频率：[15分钟/小时/日]</w:t>
      </w:r>
    </w:p>
    <w:p>
      <w:pPr>
        <w:pStyle w:val="ListBullet"/>
        <w:spacing w:line="360" w:lineRule="auto" w:after="0"/>
      </w:pPr>
      <w:r>
        <w:rPr>
          <w:rFonts w:ascii="Times New Roman" w:hAnsi="Times New Roman" w:eastAsia="宋体"/>
          <w:b w:val="0"/>
          <w:i w:val="0"/>
          <w:sz w:val="22"/>
        </w:rPr>
        <w:t>价格信号传输方式：[App/短信/智能终端]</w:t>
      </w:r>
    </w:p>
    <w:p>
      <w:pPr>
        <w:pStyle w:val="ListBullet"/>
        <w:spacing w:line="360" w:lineRule="auto" w:after="0"/>
      </w:pPr>
      <w:r>
        <w:rPr>
          <w:rFonts w:ascii="Times New Roman" w:hAnsi="Times New Roman" w:eastAsia="宋体"/>
          <w:b w:val="0"/>
          <w:i w:val="0"/>
          <w:sz w:val="22"/>
        </w:rPr>
        <w:t>用户响应方式：[手动/自动/混合]</w:t>
      </w:r>
    </w:p>
    <w:p>
      <w:pPr>
        <w:pStyle w:val="ListBullet"/>
        <w:spacing w:line="360" w:lineRule="auto" w:after="0"/>
      </w:pPr>
      <w:r>
        <w:rPr>
          <w:rFonts w:ascii="Times New Roman" w:hAnsi="Times New Roman" w:eastAsia="宋体"/>
          <w:b w:val="0"/>
          <w:i w:val="0"/>
          <w:sz w:val="22"/>
        </w:rPr>
        <w:t>参与约束：[自愿/强制/分层]</w:t>
      </w:r>
    </w:p>
    <w:p>
      <w:pPr>
        <w:spacing w:line="360" w:lineRule="auto" w:after="0"/>
        <w:ind w:firstLine="425"/>
      </w:pPr>
      <w:r>
        <w:rPr>
          <w:rFonts w:ascii="Times New Roman" w:hAnsi="Times New Roman" w:eastAsia="宋体"/>
          <w:b/>
          <w:i w:val="0"/>
          <w:sz w:val="22"/>
        </w:rPr>
        <w:t>性能需求</w:t>
      </w:r>
    </w:p>
    <w:p>
      <w:pPr>
        <w:pStyle w:val="ListBullet"/>
        <w:spacing w:line="360" w:lineRule="auto" w:after="0"/>
      </w:pPr>
      <w:r>
        <w:rPr>
          <w:rFonts w:ascii="Times New Roman" w:hAnsi="Times New Roman" w:eastAsia="宋体"/>
          <w:b w:val="0"/>
          <w:i w:val="0"/>
          <w:sz w:val="22"/>
        </w:rPr>
        <w:t>系统响应时间：定价计算____秒，信号传输____秒</w:t>
      </w:r>
    </w:p>
    <w:p>
      <w:pPr>
        <w:pStyle w:val="ListBullet"/>
        <w:spacing w:line="360" w:lineRule="auto" w:after="0"/>
      </w:pPr>
      <w:r>
        <w:rPr>
          <w:rFonts w:ascii="Times New Roman" w:hAnsi="Times New Roman" w:eastAsia="宋体"/>
          <w:b w:val="0"/>
          <w:i w:val="0"/>
          <w:sz w:val="22"/>
        </w:rPr>
        <w:t>并发用户数：____</w:t>
      </w:r>
    </w:p>
    <w:p>
      <w:pPr>
        <w:pStyle w:val="ListBullet"/>
        <w:spacing w:line="360" w:lineRule="auto" w:after="0"/>
      </w:pPr>
      <w:r>
        <w:rPr>
          <w:rFonts w:ascii="Times New Roman" w:hAnsi="Times New Roman" w:eastAsia="宋体"/>
          <w:b w:val="0"/>
          <w:i w:val="0"/>
          <w:sz w:val="22"/>
        </w:rPr>
        <w:t>数据精度：负荷预测误差____%，价格精度____元/kWh</w:t>
      </w:r>
    </w:p>
    <w:p>
      <w:pPr>
        <w:pStyle w:val="ListBullet"/>
        <w:spacing w:line="360" w:lineRule="auto" w:after="0"/>
      </w:pPr>
      <w:r>
        <w:rPr>
          <w:rFonts w:ascii="Times New Roman" w:hAnsi="Times New Roman" w:eastAsia="宋体"/>
          <w:b w:val="0"/>
          <w:i w:val="0"/>
          <w:sz w:val="22"/>
        </w:rPr>
        <w:t>可用性：____%</w:t>
      </w:r>
    </w:p>
    <w:p>
      <w:pPr>
        <w:pStyle w:val="Heading3"/>
        <w:spacing w:before="160" w:after="60"/>
      </w:pPr>
      <w:r>
        <w:rPr>
          <w:rFonts w:ascii="Times New Roman" w:hAnsi="Times New Roman" w:eastAsia="黑体"/>
          <w:b/>
          <w:i w:val="0"/>
          <w:sz w:val="24"/>
        </w:rPr>
        <w:t>D.1.2 系统架构设计模板</w:t>
      </w:r>
    </w:p>
    <w:p>
      <w:pPr>
        <w:spacing w:line="360" w:lineRule="auto" w:after="0"/>
        <w:ind w:firstLine="425"/>
      </w:pPr>
      <w:r>
        <w:rPr>
          <w:rFonts w:ascii="Times New Roman" w:hAnsi="Times New Roman" w:eastAsia="宋体"/>
          <w:b/>
          <w:i w:val="0"/>
          <w:sz w:val="22"/>
        </w:rPr>
        <w:t>层次架构</w:t>
      </w:r>
    </w:p>
    <w:p>
      <w:pPr>
        <w:pStyle w:val="ListNumber"/>
        <w:spacing w:line="360" w:lineRule="auto" w:after="0"/>
      </w:pPr>
      <w:r>
        <w:rPr>
          <w:rFonts w:ascii="Times New Roman" w:hAnsi="Times New Roman" w:eastAsia="宋体"/>
          <w:b w:val="0"/>
          <w:i w:val="0"/>
          <w:sz w:val="22"/>
        </w:rPr>
        <w:t>数据采集层：智能电表、气象传感器、SCADA</w:t>
      </w:r>
    </w:p>
    <w:p>
      <w:pPr>
        <w:pStyle w:val="ListNumber"/>
        <w:spacing w:line="360" w:lineRule="auto" w:after="0"/>
      </w:pPr>
      <w:r>
        <w:rPr>
          <w:rFonts w:ascii="Times New Roman" w:hAnsi="Times New Roman" w:eastAsia="宋体"/>
          <w:b w:val="0"/>
          <w:i w:val="0"/>
          <w:sz w:val="22"/>
        </w:rPr>
        <w:t>通信层：OpenADR 2.0b / IEC 61850 / MQTT</w:t>
      </w:r>
    </w:p>
    <w:p>
      <w:pPr>
        <w:pStyle w:val="ListNumber"/>
        <w:spacing w:line="360" w:lineRule="auto" w:after="0"/>
      </w:pPr>
      <w:r>
        <w:rPr>
          <w:rFonts w:ascii="Times New Roman" w:hAnsi="Times New Roman" w:eastAsia="宋体"/>
          <w:b w:val="0"/>
          <w:i w:val="0"/>
          <w:sz w:val="22"/>
        </w:rPr>
        <w:t>数据处理层：负荷预测、价格计算、效果评估</w:t>
      </w:r>
    </w:p>
    <w:p>
      <w:pPr>
        <w:pStyle w:val="ListNumber"/>
        <w:spacing w:line="360" w:lineRule="auto" w:after="0"/>
      </w:pPr>
      <w:r>
        <w:rPr>
          <w:rFonts w:ascii="Times New Roman" w:hAnsi="Times New Roman" w:eastAsia="宋体"/>
          <w:b w:val="0"/>
          <w:i w:val="0"/>
          <w:sz w:val="22"/>
        </w:rPr>
        <w:t>应用层：用户终端App、运营管理后台</w:t>
      </w:r>
    </w:p>
    <w:p>
      <w:pPr>
        <w:spacing w:line="360" w:lineRule="auto" w:after="0"/>
        <w:ind w:firstLine="425"/>
      </w:pPr>
      <w:r>
        <w:rPr>
          <w:rFonts w:ascii="Times New Roman" w:hAnsi="Times New Roman" w:eastAsia="宋体"/>
          <w:b/>
          <w:i w:val="0"/>
          <w:sz w:val="22"/>
        </w:rPr>
        <w:t>定价算法选择</w:t>
      </w:r>
    </w:p>
    <w:p>
      <w:pPr>
        <w:pStyle w:val="ListBullet"/>
        <w:spacing w:line="360" w:lineRule="auto" w:after="0"/>
      </w:pPr>
      <w:r>
        <w:rPr>
          <w:rFonts w:ascii="Times New Roman" w:hAnsi="Times New Roman" w:eastAsia="宋体"/>
          <w:b w:val="0"/>
          <w:i w:val="0"/>
          <w:sz w:val="22"/>
        </w:rPr>
        <w:t>优化目标：[社会福利最大化/供电成本最小化/利润最大化]</w:t>
      </w:r>
    </w:p>
    <w:p>
      <w:pPr>
        <w:pStyle w:val="ListBullet"/>
        <w:spacing w:line="360" w:lineRule="auto" w:after="0"/>
      </w:pPr>
      <w:r>
        <w:rPr>
          <w:rFonts w:ascii="Times New Roman" w:hAnsi="Times New Roman" w:eastAsia="宋体"/>
          <w:b w:val="0"/>
          <w:i w:val="0"/>
          <w:sz w:val="22"/>
        </w:rPr>
        <w:t>约束条件：[供电平衡/功率限制/碳排放约束/用户预算约束]</w:t>
      </w:r>
    </w:p>
    <w:p>
      <w:pPr>
        <w:pStyle w:val="ListBullet"/>
        <w:spacing w:line="360" w:lineRule="auto" w:after="0"/>
      </w:pPr>
      <w:r>
        <w:rPr>
          <w:rFonts w:ascii="Times New Roman" w:hAnsi="Times New Roman" w:eastAsia="宋体"/>
          <w:b w:val="0"/>
          <w:i w:val="0"/>
          <w:sz w:val="22"/>
        </w:rPr>
        <w:t>求解方法：[互补问题/博弈论/强化学习/鲁棒优化]</w:t>
      </w:r>
    </w:p>
    <w:p>
      <w:pPr>
        <w:pStyle w:val="Heading3"/>
        <w:spacing w:before="160" w:after="60"/>
      </w:pPr>
      <w:r>
        <w:rPr>
          <w:rFonts w:ascii="Times New Roman" w:hAnsi="Times New Roman" w:eastAsia="黑体"/>
          <w:b/>
          <w:i w:val="0"/>
          <w:sz w:val="24"/>
        </w:rPr>
        <w:t>D.1.3 效果评估模板</w:t>
      </w:r>
    </w:p>
    <w:tbl>
      <w:tblPr>
        <w:tblStyle w:val="LightGrid-Accent1"/>
        <w:tblW w:type="auto" w:w="0"/>
        <w:jc w:val="center"/>
        <w:tblLook w:firstColumn="1" w:firstRow="1" w:lastColumn="0" w:lastRow="0" w:noHBand="0" w:noVBand="1" w:val="04A0"/>
      </w:tblPr>
      <w:tblGrid>
        <w:gridCol w:w="1701"/>
        <w:gridCol w:w="1701"/>
        <w:gridCol w:w="1701"/>
        <w:gridCol w:w="1701"/>
        <w:gridCol w:w="1701"/>
      </w:tblGrid>
      <w:tr>
        <w:tc>
          <w:tcPr>
            <w:tcW w:type="dxa" w:w="1701"/>
          </w:tcPr>
          <w:p>
            <w:pPr>
              <w:spacing w:after="40" w:before="40"/>
            </w:pPr>
            <w:r>
              <w:rPr>
                <w:b/>
              </w:rPr>
            </w:r>
            <w:r>
              <w:rPr>
                <w:rFonts w:ascii="Times New Roman" w:hAnsi="Times New Roman" w:eastAsia="黑体"/>
                <w:b/>
                <w:i w:val="0"/>
                <w:sz w:val="20"/>
              </w:rPr>
              <w:t>评估维度</w:t>
            </w:r>
          </w:p>
        </w:tc>
        <w:tc>
          <w:tcPr>
            <w:tcW w:type="dxa" w:w="1701"/>
          </w:tcPr>
          <w:p>
            <w:pPr>
              <w:spacing w:after="40" w:before="40"/>
            </w:pPr>
            <w:r>
              <w:rPr>
                <w:b/>
              </w:rPr>
            </w:r>
            <w:r>
              <w:rPr>
                <w:rFonts w:ascii="Times New Roman" w:hAnsi="Times New Roman" w:eastAsia="黑体"/>
                <w:b/>
                <w:i w:val="0"/>
                <w:sz w:val="20"/>
              </w:rPr>
              <w:t>指标名称</w:t>
            </w:r>
          </w:p>
        </w:tc>
        <w:tc>
          <w:tcPr>
            <w:tcW w:type="dxa" w:w="1701"/>
          </w:tcPr>
          <w:p>
            <w:pPr>
              <w:spacing w:after="40" w:before="40"/>
            </w:pPr>
            <w:r>
              <w:rPr>
                <w:b/>
              </w:rPr>
            </w:r>
            <w:r>
              <w:rPr>
                <w:rFonts w:ascii="Times New Roman" w:hAnsi="Times New Roman" w:eastAsia="黑体"/>
                <w:b/>
                <w:i w:val="0"/>
                <w:sz w:val="20"/>
              </w:rPr>
              <w:t>计算方法</w:t>
            </w:r>
          </w:p>
        </w:tc>
        <w:tc>
          <w:tcPr>
            <w:tcW w:type="dxa" w:w="1701"/>
          </w:tcPr>
          <w:p>
            <w:pPr>
              <w:spacing w:after="40" w:before="40"/>
            </w:pPr>
            <w:r>
              <w:rPr>
                <w:b/>
              </w:rPr>
            </w:r>
            <w:r>
              <w:rPr>
                <w:rFonts w:ascii="Times New Roman" w:hAnsi="Times New Roman" w:eastAsia="黑体"/>
                <w:b/>
                <w:i w:val="0"/>
                <w:sz w:val="20"/>
              </w:rPr>
              <w:t>基准值</w:t>
            </w:r>
          </w:p>
        </w:tc>
        <w:tc>
          <w:tcPr>
            <w:tcW w:type="dxa" w:w="1701"/>
          </w:tcPr>
          <w:p>
            <w:pPr>
              <w:spacing w:after="40" w:before="40"/>
            </w:pPr>
            <w:r>
              <w:rPr>
                <w:b/>
              </w:rPr>
            </w:r>
            <w:r>
              <w:rPr>
                <w:rFonts w:ascii="Times New Roman" w:hAnsi="Times New Roman" w:eastAsia="黑体"/>
                <w:b/>
                <w:i w:val="0"/>
                <w:sz w:val="20"/>
              </w:rPr>
              <w:t>目标值</w:t>
            </w:r>
          </w:p>
        </w:tc>
      </w:tr>
      <w:tr>
        <w:tc>
          <w:tcPr>
            <w:tcW w:type="dxa" w:w="1701"/>
          </w:tcPr>
          <w:p>
            <w:pPr>
              <w:spacing w:after="40" w:before="40"/>
            </w:pPr>
            <w:r/>
            <w:r>
              <w:rPr>
                <w:rFonts w:ascii="Times New Roman" w:hAnsi="Times New Roman" w:eastAsia="宋体"/>
                <w:b w:val="0"/>
                <w:i w:val="0"/>
                <w:sz w:val="20"/>
              </w:rPr>
              <w:t>峰荷削减</w:t>
            </w:r>
          </w:p>
        </w:tc>
        <w:tc>
          <w:tcPr>
            <w:tcW w:type="dxa" w:w="1701"/>
          </w:tcPr>
          <w:p>
            <w:pPr>
              <w:spacing w:after="40" w:before="40"/>
            </w:pPr>
            <w:r/>
            <w:r>
              <w:rPr>
                <w:rFonts w:ascii="Times New Roman" w:hAnsi="Times New Roman" w:eastAsia="宋体"/>
                <w:b w:val="0"/>
                <w:i w:val="0"/>
                <w:sz w:val="20"/>
              </w:rPr>
              <w:t>峰荷削减率</w:t>
            </w:r>
          </w:p>
        </w:tc>
        <w:tc>
          <w:tcPr>
            <w:tcW w:type="dxa" w:w="1701"/>
          </w:tcPr>
          <w:p>
            <w:pPr>
              <w:spacing w:after="40" w:before="40"/>
            </w:pPr>
            <w:r/>
            <w:r>
              <w:rPr>
                <w:rFonts w:ascii="Times New Roman" w:hAnsi="Times New Roman" w:eastAsia="宋体"/>
                <w:b w:val="0"/>
                <w:i w:val="0"/>
                <w:sz w:val="20"/>
              </w:rPr>
              <w:t>(基线峰荷-实际峰荷)/基线峰荷</w:t>
            </w:r>
          </w:p>
        </w:tc>
        <w:tc>
          <w:tcPr>
            <w:tcW w:type="dxa" w:w="1701"/>
          </w:tcPr>
          <w:p>
            <w:pPr>
              <w:spacing w:after="40" w:before="40"/>
            </w:pPr>
            <w:r/>
            <w:r>
              <w:rPr>
                <w:rFonts w:ascii="Times New Roman" w:hAnsi="Times New Roman" w:eastAsia="宋体"/>
                <w:b w:val="0"/>
                <w:i w:val="0"/>
                <w:sz w:val="20"/>
              </w:rPr>
              <w:t>0%</w:t>
            </w:r>
          </w:p>
        </w:tc>
        <w:tc>
          <w:tcPr>
            <w:tcW w:type="dxa" w:w="1701"/>
          </w:tcPr>
          <w:p>
            <w:pPr>
              <w:spacing w:after="40" w:before="40"/>
            </w:pPr>
            <w:r/>
            <w:r>
              <w:rPr>
                <w:rFonts w:ascii="Times New Roman" w:hAnsi="Times New Roman" w:eastAsia="宋体"/>
                <w:b w:val="0"/>
                <w:i w:val="0"/>
                <w:sz w:val="20"/>
              </w:rPr>
              <w:t>≥10%</w:t>
            </w:r>
          </w:p>
        </w:tc>
      </w:tr>
      <w:tr>
        <w:tc>
          <w:tcPr>
            <w:tcW w:type="dxa" w:w="1701"/>
            <w:shd w:val="clear" w:color="auto" w:fill="F0F4F8"/>
          </w:tcPr>
          <w:p>
            <w:pPr>
              <w:spacing w:after="40" w:before="40"/>
            </w:pPr>
            <w:r/>
            <w:r>
              <w:rPr>
                <w:rFonts w:ascii="Times New Roman" w:hAnsi="Times New Roman" w:eastAsia="宋体"/>
                <w:b w:val="0"/>
                <w:i w:val="0"/>
                <w:sz w:val="20"/>
              </w:rPr>
              <w:t>负荷转移</w:t>
            </w:r>
          </w:p>
        </w:tc>
        <w:tc>
          <w:tcPr>
            <w:tcW w:type="dxa" w:w="1701"/>
            <w:shd w:val="clear" w:color="auto" w:fill="F0F4F8"/>
          </w:tcPr>
          <w:p>
            <w:pPr>
              <w:spacing w:after="40" w:before="40"/>
            </w:pPr>
            <w:r/>
            <w:r>
              <w:rPr>
                <w:rFonts w:ascii="Times New Roman" w:hAnsi="Times New Roman" w:eastAsia="宋体"/>
                <w:b w:val="0"/>
                <w:i w:val="0"/>
                <w:sz w:val="20"/>
              </w:rPr>
              <w:t>峰谷比改善</w:t>
            </w:r>
          </w:p>
        </w:tc>
        <w:tc>
          <w:tcPr>
            <w:tcW w:type="dxa" w:w="1701"/>
            <w:shd w:val="clear" w:color="auto" w:fill="F0F4F8"/>
          </w:tcPr>
          <w:p>
            <w:pPr>
              <w:spacing w:after="40" w:before="40"/>
            </w:pPr>
            <w:r/>
            <w:r>
              <w:rPr>
                <w:rFonts w:ascii="Times New Roman" w:hAnsi="Times New Roman" w:eastAsia="宋体"/>
                <w:b w:val="0"/>
                <w:i w:val="0"/>
                <w:sz w:val="20"/>
              </w:rPr>
              <w:t>(基线峰谷比-实际峰谷比)/基线峰谷比</w:t>
            </w:r>
          </w:p>
        </w:tc>
        <w:tc>
          <w:tcPr>
            <w:tcW w:type="dxa" w:w="1701"/>
            <w:shd w:val="clear" w:color="auto" w:fill="F0F4F8"/>
          </w:tcPr>
          <w:p>
            <w:pPr>
              <w:spacing w:after="40" w:before="40"/>
            </w:pPr>
            <w:r/>
            <w:r>
              <w:rPr>
                <w:rFonts w:ascii="Times New Roman" w:hAnsi="Times New Roman" w:eastAsia="宋体"/>
                <w:b w:val="0"/>
                <w:i w:val="0"/>
                <w:sz w:val="20"/>
              </w:rPr>
              <w:t>0%</w:t>
            </w:r>
          </w:p>
        </w:tc>
        <w:tc>
          <w:tcPr>
            <w:tcW w:type="dxa" w:w="1701"/>
            <w:shd w:val="clear" w:color="auto" w:fill="F0F4F8"/>
          </w:tcPr>
          <w:p>
            <w:pPr>
              <w:spacing w:after="40" w:before="40"/>
            </w:pPr>
            <w:r/>
            <w:r>
              <w:rPr>
                <w:rFonts w:ascii="Times New Roman" w:hAnsi="Times New Roman" w:eastAsia="宋体"/>
                <w:b w:val="0"/>
                <w:i w:val="0"/>
                <w:sz w:val="20"/>
              </w:rPr>
              <w:t>≥15%</w:t>
            </w:r>
          </w:p>
        </w:tc>
      </w:tr>
      <w:tr>
        <w:tc>
          <w:tcPr>
            <w:tcW w:type="dxa" w:w="1701"/>
          </w:tcPr>
          <w:p>
            <w:pPr>
              <w:spacing w:after="40" w:before="40"/>
            </w:pPr>
            <w:r/>
            <w:r>
              <w:rPr>
                <w:rFonts w:ascii="Times New Roman" w:hAnsi="Times New Roman" w:eastAsia="宋体"/>
                <w:b w:val="0"/>
                <w:i w:val="0"/>
                <w:sz w:val="20"/>
              </w:rPr>
              <w:t>经济效益</w:t>
            </w:r>
          </w:p>
        </w:tc>
        <w:tc>
          <w:tcPr>
            <w:tcW w:type="dxa" w:w="1701"/>
          </w:tcPr>
          <w:p>
            <w:pPr>
              <w:spacing w:after="40" w:before="40"/>
            </w:pPr>
            <w:r/>
            <w:r>
              <w:rPr>
                <w:rFonts w:ascii="Times New Roman" w:hAnsi="Times New Roman" w:eastAsia="宋体"/>
                <w:b w:val="0"/>
                <w:i w:val="0"/>
                <w:sz w:val="20"/>
              </w:rPr>
              <w:t>用户电费节省</w:t>
            </w:r>
          </w:p>
        </w:tc>
        <w:tc>
          <w:tcPr>
            <w:tcW w:type="dxa" w:w="1701"/>
          </w:tcPr>
          <w:p>
            <w:pPr>
              <w:spacing w:after="40" w:before="40"/>
            </w:pPr>
            <w:r/>
            <w:r>
              <w:rPr>
                <w:rFonts w:ascii="Times New Roman" w:hAnsi="Times New Roman" w:eastAsia="宋体"/>
                <w:b w:val="0"/>
                <w:i w:val="0"/>
                <w:sz w:val="20"/>
              </w:rPr>
              <w:t>(基线电费-实际电费)/基线电费</w:t>
            </w:r>
          </w:p>
        </w:tc>
        <w:tc>
          <w:tcPr>
            <w:tcW w:type="dxa" w:w="1701"/>
          </w:tcPr>
          <w:p>
            <w:pPr>
              <w:spacing w:after="40" w:before="40"/>
            </w:pPr>
            <w:r/>
            <w:r>
              <w:rPr>
                <w:rFonts w:ascii="Times New Roman" w:hAnsi="Times New Roman" w:eastAsia="宋体"/>
                <w:b w:val="0"/>
                <w:i w:val="0"/>
                <w:sz w:val="20"/>
              </w:rPr>
              <w:t>0%</w:t>
            </w:r>
          </w:p>
        </w:tc>
        <w:tc>
          <w:tcPr>
            <w:tcW w:type="dxa" w:w="1701"/>
          </w:tcPr>
          <w:p>
            <w:pPr>
              <w:spacing w:after="40" w:before="40"/>
            </w:pPr>
            <w:r/>
            <w:r>
              <w:rPr>
                <w:rFonts w:ascii="Times New Roman" w:hAnsi="Times New Roman" w:eastAsia="宋体"/>
                <w:b w:val="0"/>
                <w:i w:val="0"/>
                <w:sz w:val="20"/>
              </w:rPr>
              <w:t>≥5%</w:t>
            </w:r>
          </w:p>
        </w:tc>
      </w:tr>
      <w:tr>
        <w:tc>
          <w:tcPr>
            <w:tcW w:type="dxa" w:w="1701"/>
            <w:shd w:val="clear" w:color="auto" w:fill="F0F4F8"/>
          </w:tcPr>
          <w:p>
            <w:pPr>
              <w:spacing w:after="40" w:before="40"/>
            </w:pPr>
            <w:r/>
            <w:r>
              <w:rPr>
                <w:rFonts w:ascii="Times New Roman" w:hAnsi="Times New Roman" w:eastAsia="宋体"/>
                <w:b w:val="0"/>
                <w:i w:val="0"/>
                <w:sz w:val="20"/>
              </w:rPr>
              <w:t>用户满意</w:t>
            </w:r>
          </w:p>
        </w:tc>
        <w:tc>
          <w:tcPr>
            <w:tcW w:type="dxa" w:w="1701"/>
            <w:shd w:val="clear" w:color="auto" w:fill="F0F4F8"/>
          </w:tcPr>
          <w:p>
            <w:pPr>
              <w:spacing w:after="40" w:before="40"/>
            </w:pPr>
            <w:r/>
            <w:r>
              <w:rPr>
                <w:rFonts w:ascii="Times New Roman" w:hAnsi="Times New Roman" w:eastAsia="宋体"/>
                <w:b w:val="0"/>
                <w:i w:val="0"/>
                <w:sz w:val="20"/>
              </w:rPr>
              <w:t>满意度评分</w:t>
            </w:r>
          </w:p>
        </w:tc>
        <w:tc>
          <w:tcPr>
            <w:tcW w:type="dxa" w:w="1701"/>
            <w:shd w:val="clear" w:color="auto" w:fill="F0F4F8"/>
          </w:tcPr>
          <w:p>
            <w:pPr>
              <w:spacing w:after="40" w:before="40"/>
            </w:pPr>
            <w:r/>
            <w:r>
              <w:rPr>
                <w:rFonts w:ascii="Times New Roman" w:hAnsi="Times New Roman" w:eastAsia="宋体"/>
                <w:b w:val="0"/>
                <w:i w:val="0"/>
                <w:sz w:val="20"/>
              </w:rPr>
              <w:t>问卷调查5分制</w:t>
            </w:r>
          </w:p>
        </w:tc>
        <w:tc>
          <w:tcPr>
            <w:tcW w:type="dxa" w:w="1701"/>
            <w:shd w:val="clear" w:color="auto" w:fill="F0F4F8"/>
          </w:tcPr>
          <w:p>
            <w:pPr>
              <w:spacing w:after="40" w:before="40"/>
            </w:pPr>
            <w:r/>
            <w:r>
              <w:rPr>
                <w:rFonts w:ascii="Times New Roman" w:hAnsi="Times New Roman" w:eastAsia="宋体"/>
                <w:b w:val="0"/>
                <w:i w:val="0"/>
                <w:sz w:val="20"/>
              </w:rPr>
              <w:t>3.0</w:t>
            </w:r>
          </w:p>
        </w:tc>
        <w:tc>
          <w:tcPr>
            <w:tcW w:type="dxa" w:w="1701"/>
            <w:shd w:val="clear" w:color="auto" w:fill="F0F4F8"/>
          </w:tcPr>
          <w:p>
            <w:pPr>
              <w:spacing w:after="40" w:before="40"/>
            </w:pPr>
            <w:r/>
            <w:r>
              <w:rPr>
                <w:rFonts w:ascii="Times New Roman" w:hAnsi="Times New Roman" w:eastAsia="宋体"/>
                <w:b w:val="0"/>
                <w:i w:val="0"/>
                <w:sz w:val="20"/>
              </w:rPr>
              <w:t>≥4.0</w:t>
            </w:r>
          </w:p>
        </w:tc>
      </w:tr>
      <w:tr>
        <w:tc>
          <w:tcPr>
            <w:tcW w:type="dxa" w:w="1701"/>
          </w:tcPr>
          <w:p>
            <w:pPr>
              <w:spacing w:after="40" w:before="40"/>
            </w:pPr>
            <w:r/>
            <w:r>
              <w:rPr>
                <w:rFonts w:ascii="Times New Roman" w:hAnsi="Times New Roman" w:eastAsia="宋体"/>
                <w:b w:val="0"/>
                <w:i w:val="0"/>
                <w:sz w:val="20"/>
              </w:rPr>
              <w:t>系统效率</w:t>
            </w:r>
          </w:p>
        </w:tc>
        <w:tc>
          <w:tcPr>
            <w:tcW w:type="dxa" w:w="1701"/>
          </w:tcPr>
          <w:p>
            <w:pPr>
              <w:spacing w:after="40" w:before="40"/>
            </w:pPr>
            <w:r/>
            <w:r>
              <w:rPr>
                <w:rFonts w:ascii="Times New Roman" w:hAnsi="Times New Roman" w:eastAsia="宋体"/>
                <w:b w:val="0"/>
                <w:i w:val="0"/>
                <w:sz w:val="20"/>
              </w:rPr>
              <w:t>社会福利提升</w:t>
            </w:r>
          </w:p>
        </w:tc>
        <w:tc>
          <w:tcPr>
            <w:tcW w:type="dxa" w:w="1701"/>
          </w:tcPr>
          <w:p>
            <w:pPr>
              <w:spacing w:after="40" w:before="40"/>
            </w:pPr>
            <w:r/>
            <w:r>
              <w:rPr>
                <w:rFonts w:ascii="Times New Roman" w:hAnsi="Times New Roman" w:eastAsia="宋体"/>
                <w:b w:val="0"/>
                <w:i w:val="0"/>
                <w:sz w:val="20"/>
              </w:rPr>
              <w:t>(实际SW-基线SW)/基线SW</w:t>
            </w:r>
          </w:p>
        </w:tc>
        <w:tc>
          <w:tcPr>
            <w:tcW w:type="dxa" w:w="1701"/>
          </w:tcPr>
          <w:p>
            <w:pPr>
              <w:spacing w:after="40" w:before="40"/>
            </w:pPr>
            <w:r/>
            <w:r>
              <w:rPr>
                <w:rFonts w:ascii="Times New Roman" w:hAnsi="Times New Roman" w:eastAsia="宋体"/>
                <w:b w:val="0"/>
                <w:i w:val="0"/>
                <w:sz w:val="20"/>
              </w:rPr>
              <w:t>0%</w:t>
            </w:r>
          </w:p>
        </w:tc>
        <w:tc>
          <w:tcPr>
            <w:tcW w:type="dxa" w:w="1701"/>
          </w:tcPr>
          <w:p>
            <w:pPr>
              <w:spacing w:after="40" w:before="40"/>
            </w:pPr>
            <w:r/>
            <w:r>
              <w:rPr>
                <w:rFonts w:ascii="Times New Roman" w:hAnsi="Times New Roman" w:eastAsia="宋体"/>
                <w:b w:val="0"/>
                <w:i w:val="0"/>
                <w:sz w:val="20"/>
              </w:rPr>
              <w:t>≥8%</w:t>
            </w:r>
          </w:p>
        </w:tc>
      </w:tr>
    </w:tbl>
    <w:p>
      <w:pPr>
        <w:pStyle w:val="Heading2"/>
        <w:spacing w:before="240" w:after="80"/>
      </w:pPr>
      <w:r>
        <w:rPr>
          <w:rFonts w:ascii="Times New Roman" w:hAnsi="Times New Roman" w:eastAsia="黑体"/>
          <w:b/>
          <w:i w:val="0"/>
          <w:sz w:val="28"/>
        </w:rPr>
        <w:t>D.2 出版前检查清单</w:t>
      </w:r>
    </w:p>
    <w:p>
      <w:pPr>
        <w:pStyle w:val="Heading3"/>
        <w:spacing w:before="160" w:after="60"/>
      </w:pPr>
      <w:r>
        <w:rPr>
          <w:rFonts w:ascii="Times New Roman" w:hAnsi="Times New Roman" w:eastAsia="黑体"/>
          <w:b/>
          <w:i w:val="0"/>
          <w:sz w:val="24"/>
        </w:rPr>
        <w:t>D.2.1 内容检查</w:t>
      </w:r>
    </w:p>
    <w:p>
      <w:pPr>
        <w:pStyle w:val="ListBullet"/>
        <w:spacing w:line="360" w:lineRule="auto" w:after="0"/>
      </w:pPr>
      <w:r>
        <w:rPr>
          <w:rFonts w:ascii="Times New Roman" w:hAnsi="Times New Roman" w:eastAsia="宋体"/>
          <w:b w:val="0"/>
          <w:i w:val="0"/>
          <w:sz w:val="22"/>
        </w:rPr>
        <w:t>[ ] 各章学习目标完整且与内容匹配</w:t>
      </w:r>
    </w:p>
    <w:p>
      <w:pPr>
        <w:pStyle w:val="ListBullet"/>
        <w:spacing w:line="360" w:lineRule="auto" w:after="0"/>
      </w:pPr>
      <w:r>
        <w:rPr>
          <w:rFonts w:ascii="Times New Roman" w:hAnsi="Times New Roman" w:eastAsia="宋体"/>
          <w:b w:val="0"/>
          <w:i w:val="0"/>
          <w:sz w:val="22"/>
        </w:rPr>
        <w:t>[ ] 导入案例与本章节主题相关</w:t>
      </w:r>
    </w:p>
    <w:p>
      <w:pPr>
        <w:pStyle w:val="ListBullet"/>
        <w:spacing w:line="360" w:lineRule="auto" w:after="0"/>
      </w:pPr>
      <w:r>
        <w:rPr>
          <w:rFonts w:ascii="Times New Roman" w:hAnsi="Times New Roman" w:eastAsia="宋体"/>
          <w:b w:val="0"/>
          <w:i w:val="0"/>
          <w:sz w:val="22"/>
        </w:rPr>
        <w:t>[ ] 正文逻辑层次清晰，章节间衔接顺畅</w:t>
      </w:r>
    </w:p>
    <w:p>
      <w:pPr>
        <w:pStyle w:val="ListBullet"/>
        <w:spacing w:line="360" w:lineRule="auto" w:after="0"/>
      </w:pPr>
      <w:r>
        <w:rPr>
          <w:rFonts w:ascii="Times New Roman" w:hAnsi="Times New Roman" w:eastAsia="宋体"/>
          <w:b w:val="0"/>
          <w:i w:val="0"/>
          <w:sz w:val="22"/>
        </w:rPr>
        <w:t>[ ] 本章小结概括准确，覆盖主要知识点</w:t>
      </w:r>
    </w:p>
    <w:p>
      <w:pPr>
        <w:pStyle w:val="ListBullet"/>
        <w:spacing w:line="360" w:lineRule="auto" w:after="0"/>
      </w:pPr>
      <w:r>
        <w:rPr>
          <w:rFonts w:ascii="Times New Roman" w:hAnsi="Times New Roman" w:eastAsia="宋体"/>
          <w:b w:val="0"/>
          <w:i w:val="0"/>
          <w:sz w:val="22"/>
        </w:rPr>
        <w:t>[ ] 思考题覆盖理解/应用/分析三个层次</w:t>
      </w:r>
    </w:p>
    <w:p>
      <w:pPr>
        <w:pStyle w:val="ListBullet"/>
        <w:spacing w:line="360" w:lineRule="auto" w:after="0"/>
      </w:pPr>
      <w:r>
        <w:rPr>
          <w:rFonts w:ascii="Times New Roman" w:hAnsi="Times New Roman" w:eastAsia="宋体"/>
          <w:b w:val="0"/>
          <w:i w:val="0"/>
          <w:sz w:val="22"/>
        </w:rPr>
        <w:t>[ ] 参考文献格式统一（GB/T 7714）</w:t>
      </w:r>
    </w:p>
    <w:p>
      <w:pPr>
        <w:pStyle w:val="ListBullet"/>
        <w:spacing w:line="360" w:lineRule="auto" w:after="0"/>
      </w:pPr>
      <w:r>
        <w:rPr>
          <w:rFonts w:ascii="Times New Roman" w:hAnsi="Times New Roman" w:eastAsia="宋体"/>
          <w:b w:val="0"/>
          <w:i w:val="0"/>
          <w:sz w:val="22"/>
        </w:rPr>
        <w:t>[ ] 正文中所有引用[N]在参考文献中有对应条目</w:t>
      </w:r>
    </w:p>
    <w:p>
      <w:pPr>
        <w:pStyle w:val="ListBullet"/>
        <w:spacing w:line="360" w:lineRule="auto" w:after="0"/>
      </w:pPr>
      <w:r>
        <w:rPr>
          <w:rFonts w:ascii="Times New Roman" w:hAnsi="Times New Roman" w:eastAsia="宋体"/>
          <w:b w:val="0"/>
          <w:i w:val="0"/>
          <w:sz w:val="22"/>
        </w:rPr>
        <w:t>[ ] 参考文献中所有条目在正文中至少被引用一次</w:t>
      </w:r>
    </w:p>
    <w:p>
      <w:pPr>
        <w:pStyle w:val="Heading3"/>
        <w:spacing w:before="160" w:after="60"/>
      </w:pPr>
      <w:r>
        <w:rPr>
          <w:rFonts w:ascii="Times New Roman" w:hAnsi="Times New Roman" w:eastAsia="黑体"/>
          <w:b/>
          <w:i w:val="0"/>
          <w:sz w:val="24"/>
        </w:rPr>
        <w:t>D.2.2 公式检查</w:t>
      </w:r>
    </w:p>
    <w:p>
      <w:pPr>
        <w:pStyle w:val="ListBullet"/>
        <w:spacing w:line="360" w:lineRule="auto" w:after="0"/>
      </w:pPr>
      <w:r>
        <w:rPr>
          <w:rFonts w:ascii="Times New Roman" w:hAnsi="Times New Roman" w:eastAsia="宋体"/>
          <w:b w:val="0"/>
          <w:i w:val="0"/>
          <w:sz w:val="22"/>
        </w:rPr>
        <w:t>[ ] 所有公式在Word中正确渲染（非代码显示）</w:t>
      </w:r>
    </w:p>
    <w:p>
      <w:pPr>
        <w:pStyle w:val="ListBullet"/>
        <w:spacing w:line="360" w:lineRule="auto" w:after="0"/>
      </w:pPr>
      <w:r>
        <w:rPr>
          <w:rFonts w:ascii="Times New Roman" w:hAnsi="Times New Roman" w:eastAsia="宋体"/>
          <w:b w:val="0"/>
          <w:i w:val="0"/>
          <w:sz w:val="22"/>
        </w:rPr>
        <w:t>[ ] 公式编号连续（如式(3.1)、式(3.2)...）</w:t>
      </w:r>
    </w:p>
    <w:p>
      <w:pPr>
        <w:pStyle w:val="ListBullet"/>
        <w:spacing w:line="360" w:lineRule="auto" w:after="0"/>
      </w:pPr>
      <w:r>
        <w:rPr>
          <w:rFonts w:ascii="Times New Roman" w:hAnsi="Times New Roman" w:eastAsia="宋体"/>
          <w:b w:val="0"/>
          <w:i w:val="0"/>
          <w:sz w:val="22"/>
        </w:rPr>
        <w:t>[ ] 公式中符号首次出现时有定义</w:t>
      </w:r>
    </w:p>
    <w:p>
      <w:pPr>
        <w:pStyle w:val="ListBullet"/>
        <w:spacing w:line="360" w:lineRule="auto" w:after="0"/>
      </w:pPr>
      <w:r>
        <w:rPr>
          <w:rFonts w:ascii="Times New Roman" w:hAnsi="Times New Roman" w:eastAsia="宋体"/>
          <w:b w:val="0"/>
          <w:i w:val="0"/>
          <w:sz w:val="22"/>
        </w:rPr>
        <w:t>[ ] "其中"/"式中"段落顶格排版</w:t>
      </w:r>
    </w:p>
    <w:p>
      <w:pPr>
        <w:pStyle w:val="ListBullet"/>
        <w:spacing w:line="360" w:lineRule="auto" w:after="0"/>
      </w:pPr>
      <w:r>
        <w:rPr>
          <w:rFonts w:ascii="Times New Roman" w:hAnsi="Times New Roman" w:eastAsia="宋体"/>
          <w:b w:val="0"/>
          <w:i w:val="0"/>
          <w:sz w:val="22"/>
        </w:rPr>
        <w:t>[ ] 行内公式与正文混排正常</w:t>
      </w:r>
    </w:p>
    <w:p>
      <w:pPr>
        <w:pStyle w:val="Heading3"/>
        <w:spacing w:before="160" w:after="60"/>
      </w:pPr>
      <w:r>
        <w:rPr>
          <w:rFonts w:ascii="Times New Roman" w:hAnsi="Times New Roman" w:eastAsia="黑体"/>
          <w:b/>
          <w:i w:val="0"/>
          <w:sz w:val="24"/>
        </w:rPr>
        <w:t>D.2.3 图表检查</w:t>
      </w:r>
    </w:p>
    <w:p>
      <w:pPr>
        <w:pStyle w:val="ListBullet"/>
        <w:spacing w:line="360" w:lineRule="auto" w:after="0"/>
      </w:pPr>
      <w:r>
        <w:rPr>
          <w:rFonts w:ascii="Times New Roman" w:hAnsi="Times New Roman" w:eastAsia="宋体"/>
          <w:b w:val="0"/>
          <w:i w:val="0"/>
          <w:sz w:val="22"/>
        </w:rPr>
        <w:t>[ ] 图表编号连续（图1、图2...）</w:t>
      </w:r>
    </w:p>
    <w:p>
      <w:pPr>
        <w:pStyle w:val="ListBullet"/>
        <w:spacing w:line="360" w:lineRule="auto" w:after="0"/>
      </w:pPr>
      <w:r>
        <w:rPr>
          <w:rFonts w:ascii="Times New Roman" w:hAnsi="Times New Roman" w:eastAsia="宋体"/>
          <w:b w:val="0"/>
          <w:i w:val="0"/>
          <w:sz w:val="22"/>
        </w:rPr>
        <w:t>[ ] 图表标题在图下方/表上方</w:t>
      </w:r>
    </w:p>
    <w:p>
      <w:pPr>
        <w:pStyle w:val="ListBullet"/>
        <w:spacing w:line="360" w:lineRule="auto" w:after="0"/>
      </w:pPr>
      <w:r>
        <w:rPr>
          <w:rFonts w:ascii="Times New Roman" w:hAnsi="Times New Roman" w:eastAsia="宋体"/>
          <w:b w:val="0"/>
          <w:i w:val="0"/>
          <w:sz w:val="22"/>
        </w:rPr>
        <w:t>[ ] 图表分辨率≥300dpi</w:t>
      </w:r>
    </w:p>
    <w:p>
      <w:pPr>
        <w:pStyle w:val="ListBullet"/>
        <w:spacing w:line="360" w:lineRule="auto" w:after="0"/>
      </w:pPr>
      <w:r>
        <w:rPr>
          <w:rFonts w:ascii="Times New Roman" w:hAnsi="Times New Roman" w:eastAsia="宋体"/>
          <w:b w:val="0"/>
          <w:i w:val="0"/>
          <w:sz w:val="22"/>
        </w:rPr>
        <w:t>[ ] 图表中文字字体统一</w:t>
      </w:r>
    </w:p>
    <w:p>
      <w:pPr>
        <w:pStyle w:val="ListBullet"/>
        <w:spacing w:line="360" w:lineRule="auto" w:after="0"/>
      </w:pPr>
      <w:r>
        <w:rPr>
          <w:rFonts w:ascii="Times New Roman" w:hAnsi="Times New Roman" w:eastAsia="宋体"/>
          <w:b w:val="0"/>
          <w:i w:val="0"/>
          <w:sz w:val="22"/>
        </w:rPr>
        <w:t>[ ] 图表在正文中有引用（如"如图3所示"）</w:t>
      </w:r>
    </w:p>
    <w:p>
      <w:pPr>
        <w:pStyle w:val="Heading3"/>
        <w:spacing w:before="160" w:after="60"/>
      </w:pPr>
      <w:r>
        <w:rPr>
          <w:rFonts w:ascii="Times New Roman" w:hAnsi="Times New Roman" w:eastAsia="黑体"/>
          <w:b/>
          <w:i w:val="0"/>
          <w:sz w:val="24"/>
        </w:rPr>
        <w:t>D.2.4 格式检查</w:t>
      </w:r>
    </w:p>
    <w:p>
      <w:pPr>
        <w:pStyle w:val="ListBullet"/>
        <w:spacing w:line="360" w:lineRule="auto" w:after="0"/>
      </w:pPr>
      <w:r>
        <w:rPr>
          <w:rFonts w:ascii="Times New Roman" w:hAnsi="Times New Roman" w:eastAsia="宋体"/>
          <w:b w:val="0"/>
          <w:i w:val="0"/>
          <w:sz w:val="22"/>
        </w:rPr>
        <w:t>[ ] 封面信息完整（书名、副标题、作者、日期）</w:t>
      </w:r>
    </w:p>
    <w:p>
      <w:pPr>
        <w:pStyle w:val="ListBullet"/>
        <w:spacing w:line="360" w:lineRule="auto" w:after="0"/>
      </w:pPr>
      <w:r>
        <w:rPr>
          <w:rFonts w:ascii="Times New Roman" w:hAnsi="Times New Roman" w:eastAsia="宋体"/>
          <w:b w:val="0"/>
          <w:i w:val="0"/>
          <w:sz w:val="22"/>
        </w:rPr>
        <w:t>[ ] 目录与正文标题完全一致</w:t>
      </w:r>
    </w:p>
    <w:p>
      <w:pPr>
        <w:pStyle w:val="ListBullet"/>
        <w:spacing w:line="360" w:lineRule="auto" w:after="0"/>
      </w:pPr>
      <w:r>
        <w:rPr>
          <w:rFonts w:ascii="Times New Roman" w:hAnsi="Times New Roman" w:eastAsia="宋体"/>
          <w:b w:val="0"/>
          <w:i w:val="0"/>
          <w:sz w:val="22"/>
        </w:rPr>
        <w:t>[ ] 页码连续，封面和目录页不编号</w:t>
      </w:r>
    </w:p>
    <w:p>
      <w:pPr>
        <w:pStyle w:val="ListBullet"/>
        <w:spacing w:line="360" w:lineRule="auto" w:after="0"/>
      </w:pPr>
      <w:r>
        <w:rPr>
          <w:rFonts w:ascii="Times New Roman" w:hAnsi="Times New Roman" w:eastAsia="宋体"/>
          <w:b w:val="0"/>
          <w:i w:val="0"/>
          <w:sz w:val="22"/>
        </w:rPr>
        <w:t>[ ] 正文字体统一（正文宋体11pt，标题黑体）</w:t>
      </w:r>
    </w:p>
    <w:p>
      <w:pPr>
        <w:pStyle w:val="ListBullet"/>
        <w:spacing w:line="360" w:lineRule="auto" w:after="0"/>
      </w:pPr>
      <w:r>
        <w:rPr>
          <w:rFonts w:ascii="Times New Roman" w:hAnsi="Times New Roman" w:eastAsia="宋体"/>
          <w:b w:val="0"/>
          <w:i w:val="0"/>
          <w:sz w:val="22"/>
        </w:rPr>
        <w:t>[ ] 参考文献用悬挂缩进格式</w:t>
      </w:r>
    </w:p>
    <w:p>
      <w:pPr>
        <w:pStyle w:val="ListBullet"/>
        <w:spacing w:line="360" w:lineRule="auto" w:after="0"/>
      </w:pPr>
      <w:r>
        <w:rPr>
          <w:rFonts w:ascii="Times New Roman" w:hAnsi="Times New Roman" w:eastAsia="宋体"/>
          <w:b w:val="0"/>
          <w:i w:val="0"/>
          <w:sz w:val="22"/>
        </w:rPr>
        <w:t>[ ] 表格使用三线表或斑马纹格式</w:t>
      </w:r>
    </w:p>
    <w:p>
      <w:pPr>
        <w:pStyle w:val="ListBullet"/>
        <w:spacing w:line="360" w:lineRule="auto" w:after="0"/>
      </w:pPr>
      <w:r>
        <w:rPr>
          <w:rFonts w:ascii="Times New Roman" w:hAnsi="Times New Roman" w:eastAsia="宋体"/>
          <w:b w:val="0"/>
          <w:i w:val="0"/>
          <w:sz w:val="22"/>
        </w:rPr>
        <w:t>[ ] 无连续空行（最多1个空行）</w:t>
      </w:r>
    </w:p>
    <w:p>
      <w:pPr>
        <w:pStyle w:val="Heading3"/>
        <w:spacing w:before="160" w:after="60"/>
      </w:pPr>
      <w:r>
        <w:rPr>
          <w:rFonts w:ascii="Times New Roman" w:hAnsi="Times New Roman" w:eastAsia="黑体"/>
          <w:b/>
          <w:i w:val="0"/>
          <w:sz w:val="24"/>
        </w:rPr>
        <w:t>D.2.5 附录检查</w:t>
      </w:r>
    </w:p>
    <w:p>
      <w:pPr>
        <w:pStyle w:val="ListBullet"/>
        <w:spacing w:line="360" w:lineRule="auto" w:after="0"/>
      </w:pPr>
      <w:r>
        <w:rPr>
          <w:rFonts w:ascii="Times New Roman" w:hAnsi="Times New Roman" w:eastAsia="宋体"/>
          <w:b w:val="0"/>
          <w:i w:val="0"/>
          <w:sz w:val="22"/>
        </w:rPr>
        <w:t>[ ] 术语表覆盖全书核心术语（≥40条）</w:t>
      </w:r>
    </w:p>
    <w:p>
      <w:pPr>
        <w:pStyle w:val="ListBullet"/>
        <w:spacing w:line="360" w:lineRule="auto" w:after="0"/>
      </w:pPr>
      <w:r>
        <w:rPr>
          <w:rFonts w:ascii="Times New Roman" w:hAnsi="Times New Roman" w:eastAsia="宋体"/>
          <w:b w:val="0"/>
          <w:i w:val="0"/>
          <w:sz w:val="22"/>
        </w:rPr>
        <w:t>[ ] 工具速查表分类清晰</w:t>
      </w:r>
    </w:p>
    <w:p>
      <w:pPr>
        <w:pStyle w:val="ListBullet"/>
        <w:spacing w:line="360" w:lineRule="auto" w:after="0"/>
      </w:pPr>
      <w:r>
        <w:rPr>
          <w:rFonts w:ascii="Times New Roman" w:hAnsi="Times New Roman" w:eastAsia="宋体"/>
          <w:b w:val="0"/>
          <w:i w:val="0"/>
          <w:sz w:val="22"/>
        </w:rPr>
        <w:t>[ ] 案例库覆盖国内外（≥20个案例）</w:t>
      </w:r>
    </w:p>
    <w:p>
      <w:pPr>
        <w:pStyle w:val="ListBullet"/>
        <w:spacing w:line="360" w:lineRule="auto" w:after="0"/>
      </w:pPr>
      <w:r>
        <w:rPr>
          <w:rFonts w:ascii="Times New Roman" w:hAnsi="Times New Roman" w:eastAsia="宋体"/>
          <w:b w:val="0"/>
          <w:i w:val="0"/>
          <w:sz w:val="22"/>
        </w:rPr>
        <w:t>[ ] 检查清单实用可操作</w:t>
      </w:r>
    </w:p>
    <w:p>
      <w:pPr>
        <w:pStyle w:val="ListBullet"/>
        <w:spacing w:line="360" w:lineRule="auto" w:after="0"/>
      </w:pPr>
      <w:r>
        <w:rPr>
          <w:rFonts w:ascii="Times New Roman" w:hAnsi="Times New Roman" w:eastAsia="宋体"/>
          <w:b w:val="0"/>
          <w:i w:val="0"/>
          <w:sz w:val="22"/>
        </w:rPr>
        <w:t>[ ] 教学大纲学时分配合理</w:t>
      </w:r>
    </w:p>
    <w:p>
      <w:pPr>
        <w:pStyle w:val="ListBullet"/>
        <w:spacing w:line="360" w:lineRule="auto" w:after="0"/>
      </w:pPr>
      <w:r>
        <w:rPr>
          <w:rFonts w:ascii="Times New Roman" w:hAnsi="Times New Roman" w:eastAsia="宋体"/>
          <w:b w:val="0"/>
          <w:i w:val="0"/>
          <w:sz w:val="22"/>
        </w:rPr>
        <w:t>[ ] 实训项目≥3个，每个有任务描述和交付物</w:t>
      </w:r>
    </w:p>
    <w:p>
      <w:pPr>
        <w:pStyle w:val="ListBullet"/>
        <w:spacing w:line="360" w:lineRule="auto" w:after="0"/>
      </w:pPr>
      <w:r>
        <w:rPr>
          <w:rFonts w:ascii="Times New Roman" w:hAnsi="Times New Roman" w:eastAsia="宋体"/>
          <w:b w:val="0"/>
          <w:i w:val="0"/>
          <w:sz w:val="22"/>
        </w:rPr>
        <w:t>[ ] 大事记覆盖领域发展关键节点</w:t>
      </w:r>
    </w:p>
    <w:p>
      <w:pPr>
        <w:pStyle w:val="Heading2"/>
        <w:spacing w:before="240" w:after="80"/>
      </w:pPr>
      <w:r>
        <w:rPr>
          <w:rFonts w:ascii="Times New Roman" w:hAnsi="Times New Roman" w:eastAsia="黑体"/>
          <w:b/>
          <w:i w:val="0"/>
          <w:sz w:val="28"/>
        </w:rPr>
        <w:t>D.3 定价算法选择决策树</w:t>
      </w:r>
    </w:p>
    <w:p>
      <w:pPr>
        <w:spacing w:line="360" w:lineRule="auto" w:after="0"/>
        <w:ind w:firstLine="425"/>
      </w:pPr>
      <w:r>
        <w:rPr>
          <w:rFonts w:ascii="Times New Roman" w:hAnsi="Times New Roman" w:eastAsia="宋体"/>
          <w:b w:val="0"/>
          <w:i w:val="0"/>
          <w:sz w:val="22"/>
        </w:rPr>
        <w:t>根据问题特征选择合适的定价算法：</w:t>
      </w:r>
    </w:p>
    <w:p>
      <w:pPr>
        <w:pStyle w:val="ListNumber"/>
        <w:spacing w:line="360" w:lineRule="auto" w:after="0"/>
      </w:pPr>
      <w:r>
        <w:rPr>
          <w:rFonts w:ascii="Times New Roman" w:hAnsi="Times New Roman" w:eastAsia="宋体"/>
          <w:b/>
          <w:i w:val="0"/>
          <w:sz w:val="22"/>
        </w:rPr>
        <w:t>用户规模 &lt; 1000</w:t>
      </w:r>
      <w:r>
        <w:rPr>
          <w:rFonts w:ascii="Times New Roman" w:hAnsi="Times New Roman" w:eastAsia="宋体"/>
          <w:b w:val="0"/>
          <w:i w:val="0"/>
          <w:sz w:val="22"/>
        </w:rPr>
        <w:t>：使用集中式优化</w:t>
      </w:r>
    </w:p>
    <w:p>
      <w:pPr>
        <w:pStyle w:val="ListBullet"/>
        <w:spacing w:line="360" w:lineRule="auto" w:after="0"/>
      </w:pPr>
      <w:r>
        <w:rPr>
          <w:rFonts w:ascii="Times New Roman" w:hAnsi="Times New Roman" w:eastAsia="宋体"/>
          <w:b w:val="0"/>
          <w:i w:val="0"/>
          <w:sz w:val="22"/>
        </w:rPr>
        <w:t>凸问题 → 内点法或CPLEX/Gurobi</w:t>
      </w:r>
    </w:p>
    <w:p>
      <w:pPr>
        <w:pStyle w:val="ListBullet"/>
        <w:spacing w:line="360" w:lineRule="auto" w:after="0"/>
      </w:pPr>
      <w:r>
        <w:rPr>
          <w:rFonts w:ascii="Times New Roman" w:hAnsi="Times New Roman" w:eastAsia="宋体"/>
          <w:b w:val="0"/>
          <w:i w:val="0"/>
          <w:sz w:val="22"/>
        </w:rPr>
        <w:t>非凸问题 → 全局优化或启发式算法</w:t>
      </w:r>
    </w:p>
    <w:p>
      <w:pPr>
        <w:pStyle w:val="ListNumber"/>
        <w:spacing w:line="360" w:lineRule="auto" w:after="0"/>
      </w:pPr>
      <w:r>
        <w:rPr>
          <w:rFonts w:ascii="Times New Roman" w:hAnsi="Times New Roman" w:eastAsia="宋体"/>
          <w:b/>
          <w:i w:val="0"/>
          <w:sz w:val="22"/>
        </w:rPr>
        <w:t>用户规模 1000-10000</w:t>
      </w:r>
      <w:r>
        <w:rPr>
          <w:rFonts w:ascii="Times New Roman" w:hAnsi="Times New Roman" w:eastAsia="宋体"/>
          <w:b w:val="0"/>
          <w:i w:val="0"/>
          <w:sz w:val="22"/>
        </w:rPr>
        <w:t>：使用分布式优化</w:t>
      </w:r>
    </w:p>
    <w:p>
      <w:pPr>
        <w:pStyle w:val="ListBullet"/>
        <w:spacing w:line="360" w:lineRule="auto" w:after="0"/>
      </w:pPr>
      <w:r>
        <w:rPr>
          <w:rFonts w:ascii="Times New Roman" w:hAnsi="Times New Roman" w:eastAsia="宋体"/>
          <w:b w:val="0"/>
          <w:i w:val="0"/>
          <w:sz w:val="22"/>
        </w:rPr>
        <w:t>可分离结构 → 对偶分解法</w:t>
      </w:r>
    </w:p>
    <w:p>
      <w:pPr>
        <w:pStyle w:val="ListBullet"/>
        <w:spacing w:line="360" w:lineRule="auto" w:after="0"/>
      </w:pPr>
      <w:r>
        <w:rPr>
          <w:rFonts w:ascii="Times New Roman" w:hAnsi="Times New Roman" w:eastAsia="宋体"/>
          <w:b w:val="0"/>
          <w:i w:val="0"/>
          <w:sz w:val="22"/>
        </w:rPr>
        <w:t>耦合约束 → ADMM</w:t>
      </w:r>
    </w:p>
    <w:p>
      <w:pPr>
        <w:pStyle w:val="ListBullet"/>
        <w:spacing w:line="360" w:lineRule="auto" w:after="0"/>
      </w:pPr>
      <w:r>
        <w:rPr>
          <w:rFonts w:ascii="Times New Roman" w:hAnsi="Times New Roman" w:eastAsia="宋体"/>
          <w:b w:val="0"/>
          <w:i w:val="0"/>
          <w:sz w:val="22"/>
        </w:rPr>
        <w:t>非光滑 → 光滑化牛顿法</w:t>
      </w:r>
    </w:p>
    <w:p>
      <w:pPr>
        <w:pStyle w:val="ListNumber"/>
        <w:spacing w:line="360" w:lineRule="auto" w:after="0"/>
      </w:pPr>
      <w:r>
        <w:rPr>
          <w:rFonts w:ascii="Times New Roman" w:hAnsi="Times New Roman" w:eastAsia="宋体"/>
          <w:b/>
          <w:i w:val="0"/>
          <w:sz w:val="22"/>
        </w:rPr>
        <w:t>用户规模 &gt; 10000</w:t>
      </w:r>
      <w:r>
        <w:rPr>
          <w:rFonts w:ascii="Times New Roman" w:hAnsi="Times New Roman" w:eastAsia="宋体"/>
          <w:b w:val="0"/>
          <w:i w:val="0"/>
          <w:sz w:val="22"/>
        </w:rPr>
        <w:t>：使用去中心化方法</w:t>
      </w:r>
    </w:p>
    <w:p>
      <w:pPr>
        <w:pStyle w:val="ListBullet"/>
        <w:spacing w:line="360" w:lineRule="auto" w:after="0"/>
      </w:pPr>
      <w:r>
        <w:rPr>
          <w:rFonts w:ascii="Times New Roman" w:hAnsi="Times New Roman" w:eastAsia="宋体"/>
          <w:b w:val="0"/>
          <w:i w:val="0"/>
          <w:sz w:val="22"/>
        </w:rPr>
        <w:t>有明确博弈结构 → 博弈论方法</w:t>
      </w:r>
    </w:p>
    <w:p>
      <w:pPr>
        <w:pStyle w:val="ListBullet"/>
        <w:spacing w:line="360" w:lineRule="auto" w:after="0"/>
      </w:pPr>
      <w:r>
        <w:rPr>
          <w:rFonts w:ascii="Times New Roman" w:hAnsi="Times New Roman" w:eastAsia="宋体"/>
          <w:b w:val="0"/>
          <w:i w:val="0"/>
          <w:sz w:val="22"/>
        </w:rPr>
        <w:t>需要自适应 → 强化学习</w:t>
      </w:r>
    </w:p>
    <w:p>
      <w:pPr>
        <w:pStyle w:val="ListBullet"/>
        <w:spacing w:line="360" w:lineRule="auto" w:after="0"/>
      </w:pPr>
      <w:r>
        <w:rPr>
          <w:rFonts w:ascii="Times New Roman" w:hAnsi="Times New Roman" w:eastAsia="宋体"/>
          <w:b w:val="0"/>
          <w:i w:val="0"/>
          <w:sz w:val="22"/>
        </w:rPr>
        <w:t>高度不确定 → 鲁棒优化</w:t>
      </w:r>
    </w:p>
    <w:p>
      <w:pPr>
        <w:pStyle w:val="Heading2"/>
        <w:spacing w:before="240" w:after="80"/>
      </w:pPr>
      <w:r>
        <w:rPr>
          <w:rFonts w:ascii="Times New Roman" w:hAnsi="Times New Roman" w:eastAsia="黑体"/>
          <w:b/>
          <w:i w:val="0"/>
          <w:sz w:val="28"/>
        </w:rPr>
        <w:t>D.4 仿真测试场景设计</w:t>
      </w:r>
    </w:p>
    <w:p>
      <w:pPr>
        <w:pStyle w:val="Heading3"/>
        <w:spacing w:before="160" w:after="60"/>
      </w:pPr>
      <w:r>
        <w:rPr>
          <w:rFonts w:ascii="Times New Roman" w:hAnsi="Times New Roman" w:eastAsia="黑体"/>
          <w:b/>
          <w:i w:val="0"/>
          <w:sz w:val="24"/>
        </w:rPr>
        <w:t>D.4.1 基础测试场景</w:t>
      </w:r>
    </w:p>
    <w:tbl>
      <w:tblPr>
        <w:tblStyle w:val="LightGrid-Accent1"/>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pPr>
              <w:spacing w:after="40" w:before="40"/>
            </w:pPr>
            <w:r>
              <w:rPr>
                <w:b/>
              </w:rPr>
            </w:r>
            <w:r>
              <w:rPr>
                <w:rFonts w:ascii="Times New Roman" w:hAnsi="Times New Roman" w:eastAsia="黑体"/>
                <w:b/>
                <w:i w:val="0"/>
                <w:sz w:val="20"/>
              </w:rPr>
              <w:t>场景编号</w:t>
            </w:r>
          </w:p>
        </w:tc>
        <w:tc>
          <w:tcPr>
            <w:tcW w:type="dxa" w:w="1417"/>
          </w:tcPr>
          <w:p>
            <w:pPr>
              <w:spacing w:after="40" w:before="40"/>
            </w:pPr>
            <w:r>
              <w:rPr>
                <w:b/>
              </w:rPr>
            </w:r>
            <w:r>
              <w:rPr>
                <w:rFonts w:ascii="Times New Roman" w:hAnsi="Times New Roman" w:eastAsia="黑体"/>
                <w:b/>
                <w:i w:val="0"/>
                <w:sz w:val="20"/>
              </w:rPr>
              <w:t>用户数</w:t>
            </w:r>
          </w:p>
        </w:tc>
        <w:tc>
          <w:tcPr>
            <w:tcW w:type="dxa" w:w="1417"/>
          </w:tcPr>
          <w:p>
            <w:pPr>
              <w:spacing w:after="40" w:before="40"/>
            </w:pPr>
            <w:r>
              <w:rPr>
                <w:b/>
              </w:rPr>
            </w:r>
            <w:r>
              <w:rPr>
                <w:rFonts w:ascii="Times New Roman" w:hAnsi="Times New Roman" w:eastAsia="黑体"/>
                <w:b/>
                <w:i w:val="0"/>
                <w:sz w:val="20"/>
              </w:rPr>
              <w:t>效用函数</w:t>
            </w:r>
          </w:p>
        </w:tc>
        <w:tc>
          <w:tcPr>
            <w:tcW w:type="dxa" w:w="1417"/>
          </w:tcPr>
          <w:p>
            <w:pPr>
              <w:spacing w:after="40" w:before="40"/>
            </w:pPr>
            <w:r>
              <w:rPr>
                <w:b/>
              </w:rPr>
            </w:r>
            <w:r>
              <w:rPr>
                <w:rFonts w:ascii="Times New Roman" w:hAnsi="Times New Roman" w:eastAsia="黑体"/>
                <w:b/>
                <w:i w:val="0"/>
                <w:sz w:val="20"/>
              </w:rPr>
              <w:t>成本函数</w:t>
            </w:r>
          </w:p>
        </w:tc>
        <w:tc>
          <w:tcPr>
            <w:tcW w:type="dxa" w:w="1417"/>
          </w:tcPr>
          <w:p>
            <w:pPr>
              <w:spacing w:after="40" w:before="40"/>
            </w:pPr>
            <w:r>
              <w:rPr>
                <w:b/>
              </w:rPr>
            </w:r>
            <w:r>
              <w:rPr>
                <w:rFonts w:ascii="Times New Roman" w:hAnsi="Times New Roman" w:eastAsia="黑体"/>
                <w:b/>
                <w:i w:val="0"/>
                <w:sz w:val="20"/>
              </w:rPr>
              <w:t>可再生能源</w:t>
            </w:r>
          </w:p>
        </w:tc>
        <w:tc>
          <w:tcPr>
            <w:tcW w:type="dxa" w:w="1417"/>
          </w:tcPr>
          <w:p>
            <w:pPr>
              <w:spacing w:after="40" w:before="40"/>
            </w:pPr>
            <w:r>
              <w:rPr>
                <w:b/>
              </w:rPr>
            </w:r>
            <w:r>
              <w:rPr>
                <w:rFonts w:ascii="Times New Roman" w:hAnsi="Times New Roman" w:eastAsia="黑体"/>
                <w:b/>
                <w:i w:val="0"/>
                <w:sz w:val="20"/>
              </w:rPr>
              <w:t>测试目的</w:t>
            </w:r>
          </w:p>
        </w:tc>
      </w:tr>
      <w:tr>
        <w:tc>
          <w:tcPr>
            <w:tcW w:type="dxa" w:w="1417"/>
          </w:tcPr>
          <w:p>
            <w:pPr>
              <w:spacing w:after="40" w:before="40"/>
            </w:pPr>
            <w:r/>
            <w:r>
              <w:rPr>
                <w:rFonts w:ascii="Times New Roman" w:hAnsi="Times New Roman" w:eastAsia="宋体"/>
                <w:b w:val="0"/>
                <w:i w:val="0"/>
                <w:sz w:val="20"/>
              </w:rPr>
              <w:t>T-01</w:t>
            </w:r>
          </w:p>
        </w:tc>
        <w:tc>
          <w:tcPr>
            <w:tcW w:type="dxa" w:w="1417"/>
          </w:tcPr>
          <w:p>
            <w:pPr>
              <w:spacing w:after="40" w:before="40"/>
            </w:pPr>
            <w:r/>
            <w:r>
              <w:rPr>
                <w:rFonts w:ascii="Times New Roman" w:hAnsi="Times New Roman" w:eastAsia="宋体"/>
                <w:b w:val="0"/>
                <w:i w:val="0"/>
                <w:sz w:val="20"/>
              </w:rPr>
              <w:t>100</w:t>
            </w:r>
          </w:p>
        </w:tc>
        <w:tc>
          <w:tcPr>
            <w:tcW w:type="dxa" w:w="1417"/>
          </w:tcPr>
          <w:p>
            <w:pPr>
              <w:spacing w:after="40" w:before="40"/>
            </w:pPr>
            <w:r/>
            <w:r>
              <w:rPr>
                <w:rFonts w:ascii="Times New Roman" w:hAnsi="Times New Roman" w:eastAsia="宋体"/>
                <w:b w:val="0"/>
                <w:i w:val="0"/>
                <w:sz w:val="20"/>
              </w:rPr>
              <w:t>二次</w:t>
            </w:r>
          </w:p>
        </w:tc>
        <w:tc>
          <w:tcPr>
            <w:tcW w:type="dxa" w:w="1417"/>
          </w:tcPr>
          <w:p>
            <w:pPr>
              <w:spacing w:after="40" w:before="40"/>
            </w:pPr>
            <w:r/>
            <w:r>
              <w:rPr>
                <w:rFonts w:ascii="Times New Roman" w:hAnsi="Times New Roman" w:eastAsia="宋体"/>
                <w:b w:val="0"/>
                <w:i w:val="0"/>
                <w:sz w:val="20"/>
              </w:rPr>
              <w:t>二次</w:t>
            </w:r>
          </w:p>
        </w:tc>
        <w:tc>
          <w:tcPr>
            <w:tcW w:type="dxa" w:w="1417"/>
          </w:tcPr>
          <w:p>
            <w:pPr>
              <w:spacing w:after="40" w:before="40"/>
            </w:pPr>
            <w:r/>
            <w:r>
              <w:rPr>
                <w:rFonts w:ascii="Times New Roman" w:hAnsi="Times New Roman" w:eastAsia="宋体"/>
                <w:b w:val="0"/>
                <w:i w:val="0"/>
                <w:sz w:val="20"/>
              </w:rPr>
              <w:t>无</w:t>
            </w:r>
          </w:p>
        </w:tc>
        <w:tc>
          <w:tcPr>
            <w:tcW w:type="dxa" w:w="1417"/>
          </w:tcPr>
          <w:p>
            <w:pPr>
              <w:spacing w:after="40" w:before="40"/>
            </w:pPr>
            <w:r/>
            <w:r>
              <w:rPr>
                <w:rFonts w:ascii="Times New Roman" w:hAnsi="Times New Roman" w:eastAsia="宋体"/>
                <w:b w:val="0"/>
                <w:i w:val="0"/>
                <w:sz w:val="20"/>
              </w:rPr>
              <w:t>基础功能验证</w:t>
            </w:r>
          </w:p>
        </w:tc>
      </w:tr>
      <w:tr>
        <w:tc>
          <w:tcPr>
            <w:tcW w:type="dxa" w:w="1417"/>
            <w:shd w:val="clear" w:color="auto" w:fill="F0F4F8"/>
          </w:tcPr>
          <w:p>
            <w:pPr>
              <w:spacing w:after="40" w:before="40"/>
            </w:pPr>
            <w:r/>
            <w:r>
              <w:rPr>
                <w:rFonts w:ascii="Times New Roman" w:hAnsi="Times New Roman" w:eastAsia="宋体"/>
                <w:b w:val="0"/>
                <w:i w:val="0"/>
                <w:sz w:val="20"/>
              </w:rPr>
              <w:t>T-02</w:t>
            </w:r>
          </w:p>
        </w:tc>
        <w:tc>
          <w:tcPr>
            <w:tcW w:type="dxa" w:w="1417"/>
            <w:shd w:val="clear" w:color="auto" w:fill="F0F4F8"/>
          </w:tcPr>
          <w:p>
            <w:pPr>
              <w:spacing w:after="40" w:before="40"/>
            </w:pPr>
            <w:r/>
            <w:r>
              <w:rPr>
                <w:rFonts w:ascii="Times New Roman" w:hAnsi="Times New Roman" w:eastAsia="宋体"/>
                <w:b w:val="0"/>
                <w:i w:val="0"/>
                <w:sz w:val="20"/>
              </w:rPr>
              <w:t>500</w:t>
            </w:r>
          </w:p>
        </w:tc>
        <w:tc>
          <w:tcPr>
            <w:tcW w:type="dxa" w:w="1417"/>
            <w:shd w:val="clear" w:color="auto" w:fill="F0F4F8"/>
          </w:tcPr>
          <w:p>
            <w:pPr>
              <w:spacing w:after="40" w:before="40"/>
            </w:pPr>
            <w:r/>
            <w:r>
              <w:rPr>
                <w:rFonts w:ascii="Times New Roman" w:hAnsi="Times New Roman" w:eastAsia="宋体"/>
                <w:b w:val="0"/>
                <w:i w:val="0"/>
                <w:sz w:val="20"/>
              </w:rPr>
              <w:t>二次</w:t>
            </w:r>
          </w:p>
        </w:tc>
        <w:tc>
          <w:tcPr>
            <w:tcW w:type="dxa" w:w="1417"/>
            <w:shd w:val="clear" w:color="auto" w:fill="F0F4F8"/>
          </w:tcPr>
          <w:p>
            <w:pPr>
              <w:spacing w:after="40" w:before="40"/>
            </w:pPr>
            <w:r/>
            <w:r>
              <w:rPr>
                <w:rFonts w:ascii="Times New Roman" w:hAnsi="Times New Roman" w:eastAsia="宋体"/>
                <w:b w:val="0"/>
                <w:i w:val="0"/>
                <w:sz w:val="20"/>
              </w:rPr>
              <w:t>二次</w:t>
            </w:r>
          </w:p>
        </w:tc>
        <w:tc>
          <w:tcPr>
            <w:tcW w:type="dxa" w:w="1417"/>
            <w:shd w:val="clear" w:color="auto" w:fill="F0F4F8"/>
          </w:tcPr>
          <w:p>
            <w:pPr>
              <w:spacing w:after="40" w:before="40"/>
            </w:pPr>
            <w:r/>
            <w:r>
              <w:rPr>
                <w:rFonts w:ascii="Times New Roman" w:hAnsi="Times New Roman" w:eastAsia="宋体"/>
                <w:b w:val="0"/>
                <w:i w:val="0"/>
                <w:sz w:val="20"/>
              </w:rPr>
              <w:t>10%风电</w:t>
            </w:r>
          </w:p>
        </w:tc>
        <w:tc>
          <w:tcPr>
            <w:tcW w:type="dxa" w:w="1417"/>
            <w:shd w:val="clear" w:color="auto" w:fill="F0F4F8"/>
          </w:tcPr>
          <w:p>
            <w:pPr>
              <w:spacing w:after="40" w:before="40"/>
            </w:pPr>
            <w:r/>
            <w:r>
              <w:rPr>
                <w:rFonts w:ascii="Times New Roman" w:hAnsi="Times New Roman" w:eastAsia="宋体"/>
                <w:b w:val="0"/>
                <w:i w:val="0"/>
                <w:sz w:val="20"/>
              </w:rPr>
              <w:t>可再生能源接入</w:t>
            </w:r>
          </w:p>
        </w:tc>
      </w:tr>
      <w:tr>
        <w:tc>
          <w:tcPr>
            <w:tcW w:type="dxa" w:w="1417"/>
          </w:tcPr>
          <w:p>
            <w:pPr>
              <w:spacing w:after="40" w:before="40"/>
            </w:pPr>
            <w:r/>
            <w:r>
              <w:rPr>
                <w:rFonts w:ascii="Times New Roman" w:hAnsi="Times New Roman" w:eastAsia="宋体"/>
                <w:b w:val="0"/>
                <w:i w:val="0"/>
                <w:sz w:val="20"/>
              </w:rPr>
              <w:t>T-03</w:t>
            </w:r>
          </w:p>
        </w:tc>
        <w:tc>
          <w:tcPr>
            <w:tcW w:type="dxa" w:w="1417"/>
          </w:tcPr>
          <w:p>
            <w:pPr>
              <w:spacing w:after="40" w:before="40"/>
            </w:pPr>
            <w:r/>
            <w:r>
              <w:rPr>
                <w:rFonts w:ascii="Times New Roman" w:hAnsi="Times New Roman" w:eastAsia="宋体"/>
                <w:b w:val="0"/>
                <w:i w:val="0"/>
                <w:sz w:val="20"/>
              </w:rPr>
              <w:t>1000</w:t>
            </w:r>
          </w:p>
        </w:tc>
        <w:tc>
          <w:tcPr>
            <w:tcW w:type="dxa" w:w="1417"/>
          </w:tcPr>
          <w:p>
            <w:pPr>
              <w:spacing w:after="40" w:before="40"/>
            </w:pPr>
            <w:r/>
            <w:r>
              <w:rPr>
                <w:rFonts w:ascii="Times New Roman" w:hAnsi="Times New Roman" w:eastAsia="宋体"/>
                <w:b w:val="0"/>
                <w:i w:val="0"/>
                <w:sz w:val="20"/>
              </w:rPr>
              <w:t>对数</w:t>
            </w:r>
          </w:p>
        </w:tc>
        <w:tc>
          <w:tcPr>
            <w:tcW w:type="dxa" w:w="1417"/>
          </w:tcPr>
          <w:p>
            <w:pPr>
              <w:spacing w:after="40" w:before="40"/>
            </w:pPr>
            <w:r/>
            <w:r>
              <w:rPr>
                <w:rFonts w:ascii="Times New Roman" w:hAnsi="Times New Roman" w:eastAsia="宋体"/>
                <w:b w:val="0"/>
                <w:i w:val="0"/>
                <w:sz w:val="20"/>
              </w:rPr>
              <w:t>分段线性</w:t>
            </w:r>
          </w:p>
        </w:tc>
        <w:tc>
          <w:tcPr>
            <w:tcW w:type="dxa" w:w="1417"/>
          </w:tcPr>
          <w:p>
            <w:pPr>
              <w:spacing w:after="40" w:before="40"/>
            </w:pPr>
            <w:r/>
            <w:r>
              <w:rPr>
                <w:rFonts w:ascii="Times New Roman" w:hAnsi="Times New Roman" w:eastAsia="宋体"/>
                <w:b w:val="0"/>
                <w:i w:val="0"/>
                <w:sz w:val="20"/>
              </w:rPr>
              <w:t>20%光伏</w:t>
            </w:r>
          </w:p>
        </w:tc>
        <w:tc>
          <w:tcPr>
            <w:tcW w:type="dxa" w:w="1417"/>
          </w:tcPr>
          <w:p>
            <w:pPr>
              <w:spacing w:after="40" w:before="40"/>
            </w:pPr>
            <w:r/>
            <w:r>
              <w:rPr>
                <w:rFonts w:ascii="Times New Roman" w:hAnsi="Times New Roman" w:eastAsia="宋体"/>
                <w:b w:val="0"/>
                <w:i w:val="0"/>
                <w:sz w:val="20"/>
              </w:rPr>
              <w:t>非线性场景</w:t>
            </w:r>
          </w:p>
        </w:tc>
      </w:tr>
      <w:tr>
        <w:tc>
          <w:tcPr>
            <w:tcW w:type="dxa" w:w="1417"/>
            <w:shd w:val="clear" w:color="auto" w:fill="F0F4F8"/>
          </w:tcPr>
          <w:p>
            <w:pPr>
              <w:spacing w:after="40" w:before="40"/>
            </w:pPr>
            <w:r/>
            <w:r>
              <w:rPr>
                <w:rFonts w:ascii="Times New Roman" w:hAnsi="Times New Roman" w:eastAsia="宋体"/>
                <w:b w:val="0"/>
                <w:i w:val="0"/>
                <w:sz w:val="20"/>
              </w:rPr>
              <w:t>T-04</w:t>
            </w:r>
          </w:p>
        </w:tc>
        <w:tc>
          <w:tcPr>
            <w:tcW w:type="dxa" w:w="1417"/>
            <w:shd w:val="clear" w:color="auto" w:fill="F0F4F8"/>
          </w:tcPr>
          <w:p>
            <w:pPr>
              <w:spacing w:after="40" w:before="40"/>
            </w:pPr>
            <w:r/>
            <w:r>
              <w:rPr>
                <w:rFonts w:ascii="Times New Roman" w:hAnsi="Times New Roman" w:eastAsia="宋体"/>
                <w:b w:val="0"/>
                <w:i w:val="0"/>
                <w:sz w:val="20"/>
              </w:rPr>
              <w:t>5000</w:t>
            </w:r>
          </w:p>
        </w:tc>
        <w:tc>
          <w:tcPr>
            <w:tcW w:type="dxa" w:w="1417"/>
            <w:shd w:val="clear" w:color="auto" w:fill="F0F4F8"/>
          </w:tcPr>
          <w:p>
            <w:pPr>
              <w:spacing w:after="40" w:before="40"/>
            </w:pPr>
            <w:r/>
            <w:r>
              <w:rPr>
                <w:rFonts w:ascii="Times New Roman" w:hAnsi="Times New Roman" w:eastAsia="宋体"/>
                <w:b w:val="0"/>
                <w:i w:val="0"/>
                <w:sz w:val="20"/>
              </w:rPr>
              <w:t>混合</w:t>
            </w:r>
          </w:p>
        </w:tc>
        <w:tc>
          <w:tcPr>
            <w:tcW w:type="dxa" w:w="1417"/>
            <w:shd w:val="clear" w:color="auto" w:fill="F0F4F8"/>
          </w:tcPr>
          <w:p>
            <w:pPr>
              <w:spacing w:after="40" w:before="40"/>
            </w:pPr>
            <w:r/>
            <w:r>
              <w:rPr>
                <w:rFonts w:ascii="Times New Roman" w:hAnsi="Times New Roman" w:eastAsia="宋体"/>
                <w:b w:val="0"/>
                <w:i w:val="0"/>
                <w:sz w:val="20"/>
              </w:rPr>
              <w:t>分段线性</w:t>
            </w:r>
          </w:p>
        </w:tc>
        <w:tc>
          <w:tcPr>
            <w:tcW w:type="dxa" w:w="1417"/>
            <w:shd w:val="clear" w:color="auto" w:fill="F0F4F8"/>
          </w:tcPr>
          <w:p>
            <w:pPr>
              <w:spacing w:after="40" w:before="40"/>
            </w:pPr>
            <w:r/>
            <w:r>
              <w:rPr>
                <w:rFonts w:ascii="Times New Roman" w:hAnsi="Times New Roman" w:eastAsia="宋体"/>
                <w:b w:val="0"/>
                <w:i w:val="0"/>
                <w:sz w:val="20"/>
              </w:rPr>
              <w:t>30%混合</w:t>
            </w:r>
          </w:p>
        </w:tc>
        <w:tc>
          <w:tcPr>
            <w:tcW w:type="dxa" w:w="1417"/>
            <w:shd w:val="clear" w:color="auto" w:fill="F0F4F8"/>
          </w:tcPr>
          <w:p>
            <w:pPr>
              <w:spacing w:after="40" w:before="40"/>
            </w:pPr>
            <w:r/>
            <w:r>
              <w:rPr>
                <w:rFonts w:ascii="Times New Roman" w:hAnsi="Times New Roman" w:eastAsia="宋体"/>
                <w:b w:val="0"/>
                <w:i w:val="0"/>
                <w:sz w:val="20"/>
              </w:rPr>
              <w:t>大规模验证</w:t>
            </w:r>
          </w:p>
        </w:tc>
      </w:tr>
      <w:tr>
        <w:tc>
          <w:tcPr>
            <w:tcW w:type="dxa" w:w="1417"/>
          </w:tcPr>
          <w:p>
            <w:pPr>
              <w:spacing w:after="40" w:before="40"/>
            </w:pPr>
            <w:r/>
            <w:r>
              <w:rPr>
                <w:rFonts w:ascii="Times New Roman" w:hAnsi="Times New Roman" w:eastAsia="宋体"/>
                <w:b w:val="0"/>
                <w:i w:val="0"/>
                <w:sz w:val="20"/>
              </w:rPr>
              <w:t>T-05</w:t>
            </w:r>
          </w:p>
        </w:tc>
        <w:tc>
          <w:tcPr>
            <w:tcW w:type="dxa" w:w="1417"/>
          </w:tcPr>
          <w:p>
            <w:pPr>
              <w:spacing w:after="40" w:before="40"/>
            </w:pPr>
            <w:r/>
            <w:r>
              <w:rPr>
                <w:rFonts w:ascii="Times New Roman" w:hAnsi="Times New Roman" w:eastAsia="宋体"/>
                <w:b w:val="0"/>
                <w:i w:val="0"/>
                <w:sz w:val="20"/>
              </w:rPr>
              <w:t>10000</w:t>
            </w:r>
          </w:p>
        </w:tc>
        <w:tc>
          <w:tcPr>
            <w:tcW w:type="dxa" w:w="1417"/>
          </w:tcPr>
          <w:p>
            <w:pPr>
              <w:spacing w:after="40" w:before="40"/>
            </w:pPr>
            <w:r/>
            <w:r>
              <w:rPr>
                <w:rFonts w:ascii="Times New Roman" w:hAnsi="Times New Roman" w:eastAsia="宋体"/>
                <w:b w:val="0"/>
                <w:i w:val="0"/>
                <w:sz w:val="20"/>
              </w:rPr>
              <w:t>随机生成</w:t>
            </w:r>
          </w:p>
        </w:tc>
        <w:tc>
          <w:tcPr>
            <w:tcW w:type="dxa" w:w="1417"/>
          </w:tcPr>
          <w:p>
            <w:pPr>
              <w:spacing w:after="40" w:before="40"/>
            </w:pPr>
            <w:r/>
            <w:r>
              <w:rPr>
                <w:rFonts w:ascii="Times New Roman" w:hAnsi="Times New Roman" w:eastAsia="宋体"/>
                <w:b w:val="0"/>
                <w:i w:val="0"/>
                <w:sz w:val="20"/>
              </w:rPr>
              <w:t>随机生成</w:t>
            </w:r>
          </w:p>
        </w:tc>
        <w:tc>
          <w:tcPr>
            <w:tcW w:type="dxa" w:w="1417"/>
          </w:tcPr>
          <w:p>
            <w:pPr>
              <w:spacing w:after="40" w:before="40"/>
            </w:pPr>
            <w:r/>
            <w:r>
              <w:rPr>
                <w:rFonts w:ascii="Times New Roman" w:hAnsi="Times New Roman" w:eastAsia="宋体"/>
                <w:b w:val="0"/>
                <w:i w:val="0"/>
                <w:sz w:val="20"/>
              </w:rPr>
              <w:t>40%混合</w:t>
            </w:r>
          </w:p>
        </w:tc>
        <w:tc>
          <w:tcPr>
            <w:tcW w:type="dxa" w:w="1417"/>
          </w:tcPr>
          <w:p>
            <w:pPr>
              <w:spacing w:after="40" w:before="40"/>
            </w:pPr>
            <w:r/>
            <w:r>
              <w:rPr>
                <w:rFonts w:ascii="Times New Roman" w:hAnsi="Times New Roman" w:eastAsia="宋体"/>
                <w:b w:val="0"/>
                <w:i w:val="0"/>
                <w:sz w:val="20"/>
              </w:rPr>
              <w:t>压力测试</w:t>
            </w:r>
          </w:p>
        </w:tc>
      </w:tr>
    </w:tbl>
    <w:p>
      <w:pPr>
        <w:pStyle w:val="Heading3"/>
        <w:spacing w:before="160" w:after="60"/>
      </w:pPr>
      <w:r>
        <w:rPr>
          <w:rFonts w:ascii="Times New Roman" w:hAnsi="Times New Roman" w:eastAsia="黑体"/>
          <w:b/>
          <w:i w:val="0"/>
          <w:sz w:val="24"/>
        </w:rPr>
        <w:t>D.4.2 极端场景测试</w:t>
      </w:r>
    </w:p>
    <w:tbl>
      <w:tblPr>
        <w:tblStyle w:val="LightGrid-Accent1"/>
        <w:tblW w:type="auto" w:w="0"/>
        <w:jc w:val="center"/>
        <w:tblLook w:firstColumn="1" w:firstRow="1" w:lastColumn="0" w:lastRow="0" w:noHBand="0" w:noVBand="1" w:val="04A0"/>
      </w:tblPr>
      <w:tblGrid>
        <w:gridCol w:w="2835"/>
        <w:gridCol w:w="2835"/>
        <w:gridCol w:w="2835"/>
      </w:tblGrid>
      <w:tr>
        <w:tc>
          <w:tcPr>
            <w:tcW w:type="dxa" w:w="2835"/>
          </w:tcPr>
          <w:p>
            <w:pPr>
              <w:spacing w:after="40" w:before="40"/>
            </w:pPr>
            <w:r>
              <w:rPr>
                <w:b/>
              </w:rPr>
            </w:r>
            <w:r>
              <w:rPr>
                <w:rFonts w:ascii="Times New Roman" w:hAnsi="Times New Roman" w:eastAsia="黑体"/>
                <w:b/>
                <w:i w:val="0"/>
                <w:sz w:val="20"/>
              </w:rPr>
              <w:t>场景编号</w:t>
            </w:r>
          </w:p>
        </w:tc>
        <w:tc>
          <w:tcPr>
            <w:tcW w:type="dxa" w:w="2835"/>
          </w:tcPr>
          <w:p>
            <w:pPr>
              <w:spacing w:after="40" w:before="40"/>
            </w:pPr>
            <w:r>
              <w:rPr>
                <w:b/>
              </w:rPr>
            </w:r>
            <w:r>
              <w:rPr>
                <w:rFonts w:ascii="Times New Roman" w:hAnsi="Times New Roman" w:eastAsia="黑体"/>
                <w:b/>
                <w:i w:val="0"/>
                <w:sz w:val="20"/>
              </w:rPr>
              <w:t>描述</w:t>
            </w:r>
          </w:p>
        </w:tc>
        <w:tc>
          <w:tcPr>
            <w:tcW w:type="dxa" w:w="2835"/>
          </w:tcPr>
          <w:p>
            <w:pPr>
              <w:spacing w:after="40" w:before="40"/>
            </w:pPr>
            <w:r>
              <w:rPr>
                <w:b/>
              </w:rPr>
            </w:r>
            <w:r>
              <w:rPr>
                <w:rFonts w:ascii="Times New Roman" w:hAnsi="Times New Roman" w:eastAsia="黑体"/>
                <w:b/>
                <w:i w:val="0"/>
                <w:sz w:val="20"/>
              </w:rPr>
              <w:t>预期行为</w:t>
            </w:r>
          </w:p>
        </w:tc>
      </w:tr>
      <w:tr>
        <w:tc>
          <w:tcPr>
            <w:tcW w:type="dxa" w:w="2835"/>
          </w:tcPr>
          <w:p>
            <w:pPr>
              <w:spacing w:after="40" w:before="40"/>
            </w:pPr>
            <w:r/>
            <w:r>
              <w:rPr>
                <w:rFonts w:ascii="Times New Roman" w:hAnsi="Times New Roman" w:eastAsia="宋体"/>
                <w:b w:val="0"/>
                <w:i w:val="0"/>
                <w:sz w:val="20"/>
              </w:rPr>
              <w:t>E-01</w:t>
            </w:r>
          </w:p>
        </w:tc>
        <w:tc>
          <w:tcPr>
            <w:tcW w:type="dxa" w:w="2835"/>
          </w:tcPr>
          <w:p>
            <w:pPr>
              <w:spacing w:after="40" w:before="40"/>
            </w:pPr>
            <w:r/>
            <w:r>
              <w:rPr>
                <w:rFonts w:ascii="Times New Roman" w:hAnsi="Times New Roman" w:eastAsia="宋体"/>
                <w:b w:val="0"/>
                <w:i w:val="0"/>
                <w:sz w:val="20"/>
              </w:rPr>
              <w:t>负荷突增50%</w:t>
            </w:r>
          </w:p>
        </w:tc>
        <w:tc>
          <w:tcPr>
            <w:tcW w:type="dxa" w:w="2835"/>
          </w:tcPr>
          <w:p>
            <w:pPr>
              <w:spacing w:after="40" w:before="40"/>
            </w:pPr>
            <w:r/>
            <w:r>
              <w:rPr>
                <w:rFonts w:ascii="Times New Roman" w:hAnsi="Times New Roman" w:eastAsia="宋体"/>
                <w:b w:val="0"/>
                <w:i w:val="0"/>
                <w:sz w:val="20"/>
              </w:rPr>
              <w:t>电价快速上升，DR触发</w:t>
            </w:r>
          </w:p>
        </w:tc>
      </w:tr>
      <w:tr>
        <w:tc>
          <w:tcPr>
            <w:tcW w:type="dxa" w:w="2835"/>
            <w:shd w:val="clear" w:color="auto" w:fill="F0F4F8"/>
          </w:tcPr>
          <w:p>
            <w:pPr>
              <w:spacing w:after="40" w:before="40"/>
            </w:pPr>
            <w:r/>
            <w:r>
              <w:rPr>
                <w:rFonts w:ascii="Times New Roman" w:hAnsi="Times New Roman" w:eastAsia="宋体"/>
                <w:b w:val="0"/>
                <w:i w:val="0"/>
                <w:sz w:val="20"/>
              </w:rPr>
              <w:t>E-02</w:t>
            </w:r>
          </w:p>
        </w:tc>
        <w:tc>
          <w:tcPr>
            <w:tcW w:type="dxa" w:w="2835"/>
            <w:shd w:val="clear" w:color="auto" w:fill="F0F4F8"/>
          </w:tcPr>
          <w:p>
            <w:pPr>
              <w:spacing w:after="40" w:before="40"/>
            </w:pPr>
            <w:r/>
            <w:r>
              <w:rPr>
                <w:rFonts w:ascii="Times New Roman" w:hAnsi="Times New Roman" w:eastAsia="宋体"/>
                <w:b w:val="0"/>
                <w:i w:val="0"/>
                <w:sz w:val="20"/>
              </w:rPr>
              <w:t>可再生能源骤降</w:t>
            </w:r>
          </w:p>
        </w:tc>
        <w:tc>
          <w:tcPr>
            <w:tcW w:type="dxa" w:w="2835"/>
            <w:shd w:val="clear" w:color="auto" w:fill="F0F4F8"/>
          </w:tcPr>
          <w:p>
            <w:pPr>
              <w:spacing w:after="40" w:before="40"/>
            </w:pPr>
            <w:r/>
            <w:r>
              <w:rPr>
                <w:rFonts w:ascii="Times New Roman" w:hAnsi="Times New Roman" w:eastAsia="宋体"/>
                <w:b w:val="0"/>
                <w:i w:val="0"/>
                <w:sz w:val="20"/>
              </w:rPr>
              <w:t>备用机组启动，电价峰值</w:t>
            </w:r>
          </w:p>
        </w:tc>
      </w:tr>
      <w:tr>
        <w:tc>
          <w:tcPr>
            <w:tcW w:type="dxa" w:w="2835"/>
          </w:tcPr>
          <w:p>
            <w:pPr>
              <w:spacing w:after="40" w:before="40"/>
            </w:pPr>
            <w:r/>
            <w:r>
              <w:rPr>
                <w:rFonts w:ascii="Times New Roman" w:hAnsi="Times New Roman" w:eastAsia="宋体"/>
                <w:b w:val="0"/>
                <w:i w:val="0"/>
                <w:sz w:val="20"/>
              </w:rPr>
              <w:t>E-03</w:t>
            </w:r>
          </w:p>
        </w:tc>
        <w:tc>
          <w:tcPr>
            <w:tcW w:type="dxa" w:w="2835"/>
          </w:tcPr>
          <w:p>
            <w:pPr>
              <w:spacing w:after="40" w:before="40"/>
            </w:pPr>
            <w:r/>
            <w:r>
              <w:rPr>
                <w:rFonts w:ascii="Times New Roman" w:hAnsi="Times New Roman" w:eastAsia="宋体"/>
                <w:b w:val="0"/>
                <w:i w:val="0"/>
                <w:sz w:val="20"/>
              </w:rPr>
              <w:t>通信中断30分钟</w:t>
            </w:r>
          </w:p>
        </w:tc>
        <w:tc>
          <w:tcPr>
            <w:tcW w:type="dxa" w:w="2835"/>
          </w:tcPr>
          <w:p>
            <w:pPr>
              <w:spacing w:after="40" w:before="40"/>
            </w:pPr>
            <w:r/>
            <w:r>
              <w:rPr>
                <w:rFonts w:ascii="Times New Roman" w:hAnsi="Times New Roman" w:eastAsia="宋体"/>
                <w:b w:val="0"/>
                <w:i w:val="0"/>
                <w:sz w:val="20"/>
              </w:rPr>
              <w:t>回退到日前价格</w:t>
            </w:r>
          </w:p>
        </w:tc>
      </w:tr>
      <w:tr>
        <w:tc>
          <w:tcPr>
            <w:tcW w:type="dxa" w:w="2835"/>
            <w:shd w:val="clear" w:color="auto" w:fill="F0F4F8"/>
          </w:tcPr>
          <w:p>
            <w:pPr>
              <w:spacing w:after="40" w:before="40"/>
            </w:pPr>
            <w:r/>
            <w:r>
              <w:rPr>
                <w:rFonts w:ascii="Times New Roman" w:hAnsi="Times New Roman" w:eastAsia="宋体"/>
                <w:b w:val="0"/>
                <w:i w:val="0"/>
                <w:sz w:val="20"/>
              </w:rPr>
              <w:t>E-04</w:t>
            </w:r>
          </w:p>
        </w:tc>
        <w:tc>
          <w:tcPr>
            <w:tcW w:type="dxa" w:w="2835"/>
            <w:shd w:val="clear" w:color="auto" w:fill="F0F4F8"/>
          </w:tcPr>
          <w:p>
            <w:pPr>
              <w:spacing w:after="40" w:before="40"/>
            </w:pPr>
            <w:r/>
            <w:r>
              <w:rPr>
                <w:rFonts w:ascii="Times New Roman" w:hAnsi="Times New Roman" w:eastAsia="宋体"/>
                <w:b w:val="0"/>
                <w:i w:val="0"/>
                <w:sz w:val="20"/>
              </w:rPr>
              <w:t>碳价突涨100%</w:t>
            </w:r>
          </w:p>
        </w:tc>
        <w:tc>
          <w:tcPr>
            <w:tcW w:type="dxa" w:w="2835"/>
            <w:shd w:val="clear" w:color="auto" w:fill="F0F4F8"/>
          </w:tcPr>
          <w:p>
            <w:pPr>
              <w:spacing w:after="40" w:before="40"/>
            </w:pPr>
            <w:r/>
            <w:r>
              <w:rPr>
                <w:rFonts w:ascii="Times New Roman" w:hAnsi="Times New Roman" w:eastAsia="宋体"/>
                <w:b w:val="0"/>
                <w:i w:val="0"/>
                <w:sz w:val="20"/>
              </w:rPr>
              <w:t>调度结构变化，低碳机组优先</w:t>
            </w:r>
          </w:p>
        </w:tc>
      </w:tr>
      <w:tr>
        <w:tc>
          <w:tcPr>
            <w:tcW w:type="dxa" w:w="2835"/>
          </w:tcPr>
          <w:p>
            <w:pPr>
              <w:spacing w:after="40" w:before="40"/>
            </w:pPr>
            <w:r/>
            <w:r>
              <w:rPr>
                <w:rFonts w:ascii="Times New Roman" w:hAnsi="Times New Roman" w:eastAsia="宋体"/>
                <w:b w:val="0"/>
                <w:i w:val="0"/>
                <w:sz w:val="20"/>
              </w:rPr>
              <w:t>E-05</w:t>
            </w:r>
          </w:p>
        </w:tc>
        <w:tc>
          <w:tcPr>
            <w:tcW w:type="dxa" w:w="2835"/>
          </w:tcPr>
          <w:p>
            <w:pPr>
              <w:spacing w:after="40" w:before="40"/>
            </w:pPr>
            <w:r/>
            <w:r>
              <w:rPr>
                <w:rFonts w:ascii="Times New Roman" w:hAnsi="Times New Roman" w:eastAsia="宋体"/>
                <w:b w:val="0"/>
                <w:i w:val="0"/>
                <w:sz w:val="20"/>
              </w:rPr>
              <w:t>极端高温持续3天</w:t>
            </w:r>
          </w:p>
        </w:tc>
        <w:tc>
          <w:tcPr>
            <w:tcW w:type="dxa" w:w="2835"/>
          </w:tcPr>
          <w:p>
            <w:pPr>
              <w:spacing w:after="40" w:before="40"/>
            </w:pPr>
            <w:r/>
            <w:r>
              <w:rPr>
                <w:rFonts w:ascii="Times New Roman" w:hAnsi="Times New Roman" w:eastAsia="宋体"/>
                <w:b w:val="0"/>
                <w:i w:val="0"/>
                <w:sz w:val="20"/>
              </w:rPr>
              <w:t>持续高电价，需求响应持续激活</w:t>
            </w:r>
          </w:p>
        </w:tc>
      </w:tr>
    </w:tbl>
    <w:p>
      <w:pPr>
        <w:pStyle w:val="Heading2"/>
        <w:spacing w:before="240" w:after="80"/>
      </w:pPr>
      <w:r>
        <w:rPr>
          <w:rFonts w:ascii="Times New Roman" w:hAnsi="Times New Roman" w:eastAsia="黑体"/>
          <w:b/>
          <w:i w:val="0"/>
          <w:sz w:val="28"/>
        </w:rPr>
        <w:t>D.5 性能基准</w:t>
      </w:r>
    </w:p>
    <w:tbl>
      <w:tblPr>
        <w:tblStyle w:val="LightGrid-Accent1"/>
        <w:tblW w:type="auto" w:w="0"/>
        <w:jc w:val="center"/>
        <w:tblLook w:firstColumn="1" w:firstRow="1" w:lastColumn="0" w:lastRow="0" w:noHBand="0" w:noVBand="1" w:val="04A0"/>
      </w:tblPr>
      <w:tblGrid>
        <w:gridCol w:w="1701"/>
        <w:gridCol w:w="1701"/>
        <w:gridCol w:w="1701"/>
        <w:gridCol w:w="1701"/>
        <w:gridCol w:w="1701"/>
      </w:tblGrid>
      <w:tr>
        <w:tc>
          <w:tcPr>
            <w:tcW w:type="dxa" w:w="1701"/>
          </w:tcPr>
          <w:p>
            <w:pPr>
              <w:spacing w:after="40" w:before="40"/>
            </w:pPr>
            <w:r>
              <w:rPr>
                <w:b/>
              </w:rPr>
            </w:r>
            <w:r>
              <w:rPr>
                <w:rFonts w:ascii="Times New Roman" w:hAnsi="Times New Roman" w:eastAsia="黑体"/>
                <w:b/>
                <w:i w:val="0"/>
                <w:sz w:val="20"/>
              </w:rPr>
              <w:t>指标</w:t>
            </w:r>
          </w:p>
        </w:tc>
        <w:tc>
          <w:tcPr>
            <w:tcW w:type="dxa" w:w="1701"/>
          </w:tcPr>
          <w:p>
            <w:pPr>
              <w:spacing w:after="40" w:before="40"/>
            </w:pPr>
            <w:r>
              <w:rPr>
                <w:b/>
              </w:rPr>
            </w:r>
            <w:r>
              <w:rPr>
                <w:rFonts w:ascii="Times New Roman" w:hAnsi="Times New Roman" w:eastAsia="黑体"/>
                <w:b/>
                <w:i w:val="0"/>
                <w:sz w:val="20"/>
              </w:rPr>
              <w:t>优秀</w:t>
            </w:r>
          </w:p>
        </w:tc>
        <w:tc>
          <w:tcPr>
            <w:tcW w:type="dxa" w:w="1701"/>
          </w:tcPr>
          <w:p>
            <w:pPr>
              <w:spacing w:after="40" w:before="40"/>
            </w:pPr>
            <w:r>
              <w:rPr>
                <w:b/>
              </w:rPr>
            </w:r>
            <w:r>
              <w:rPr>
                <w:rFonts w:ascii="Times New Roman" w:hAnsi="Times New Roman" w:eastAsia="黑体"/>
                <w:b/>
                <w:i w:val="0"/>
                <w:sz w:val="20"/>
              </w:rPr>
              <w:t>良好</w:t>
            </w:r>
          </w:p>
        </w:tc>
        <w:tc>
          <w:tcPr>
            <w:tcW w:type="dxa" w:w="1701"/>
          </w:tcPr>
          <w:p>
            <w:pPr>
              <w:spacing w:after="40" w:before="40"/>
            </w:pPr>
            <w:r>
              <w:rPr>
                <w:b/>
              </w:rPr>
            </w:r>
            <w:r>
              <w:rPr>
                <w:rFonts w:ascii="Times New Roman" w:hAnsi="Times New Roman" w:eastAsia="黑体"/>
                <w:b/>
                <w:i w:val="0"/>
                <w:sz w:val="20"/>
              </w:rPr>
              <w:t>合格</w:t>
            </w:r>
          </w:p>
        </w:tc>
        <w:tc>
          <w:tcPr>
            <w:tcW w:type="dxa" w:w="1701"/>
          </w:tcPr>
          <w:p>
            <w:pPr>
              <w:spacing w:after="40" w:before="40"/>
            </w:pPr>
            <w:r>
              <w:rPr>
                <w:b/>
              </w:rPr>
            </w:r>
            <w:r>
              <w:rPr>
                <w:rFonts w:ascii="Times New Roman" w:hAnsi="Times New Roman" w:eastAsia="黑体"/>
                <w:b/>
                <w:i w:val="0"/>
                <w:sz w:val="20"/>
              </w:rPr>
              <w:t>不合格</w:t>
            </w:r>
          </w:p>
        </w:tc>
      </w:tr>
      <w:tr>
        <w:tc>
          <w:tcPr>
            <w:tcW w:type="dxa" w:w="1701"/>
          </w:tcPr>
          <w:p>
            <w:pPr>
              <w:spacing w:after="40" w:before="40"/>
            </w:pPr>
            <w:r/>
            <w:r>
              <w:rPr>
                <w:rFonts w:ascii="Times New Roman" w:hAnsi="Times New Roman" w:eastAsia="宋体"/>
                <w:b w:val="0"/>
                <w:i w:val="0"/>
                <w:sz w:val="20"/>
              </w:rPr>
              <w:t>定价计算时间</w:t>
            </w:r>
          </w:p>
        </w:tc>
        <w:tc>
          <w:tcPr>
            <w:tcW w:type="dxa" w:w="1701"/>
          </w:tcPr>
          <w:p>
            <w:pPr>
              <w:spacing w:after="40" w:before="40"/>
            </w:pPr>
            <w:r/>
            <w:r>
              <w:rPr>
                <w:rFonts w:ascii="Times New Roman" w:hAnsi="Times New Roman" w:eastAsia="宋体"/>
                <w:b w:val="0"/>
                <w:i w:val="0"/>
                <w:sz w:val="20"/>
              </w:rPr>
              <w:t>&lt;1s</w:t>
            </w:r>
          </w:p>
        </w:tc>
        <w:tc>
          <w:tcPr>
            <w:tcW w:type="dxa" w:w="1701"/>
          </w:tcPr>
          <w:p>
            <w:pPr>
              <w:spacing w:after="40" w:before="40"/>
            </w:pPr>
            <w:r/>
            <w:r>
              <w:rPr>
                <w:rFonts w:ascii="Times New Roman" w:hAnsi="Times New Roman" w:eastAsia="宋体"/>
                <w:b w:val="0"/>
                <w:i w:val="0"/>
                <w:sz w:val="20"/>
              </w:rPr>
              <w:t>1-5s</w:t>
            </w:r>
          </w:p>
        </w:tc>
        <w:tc>
          <w:tcPr>
            <w:tcW w:type="dxa" w:w="1701"/>
          </w:tcPr>
          <w:p>
            <w:pPr>
              <w:spacing w:after="40" w:before="40"/>
            </w:pPr>
            <w:r/>
            <w:r>
              <w:rPr>
                <w:rFonts w:ascii="Times New Roman" w:hAnsi="Times New Roman" w:eastAsia="宋体"/>
                <w:b w:val="0"/>
                <w:i w:val="0"/>
                <w:sz w:val="20"/>
              </w:rPr>
              <w:t>5-15s</w:t>
            </w:r>
          </w:p>
        </w:tc>
        <w:tc>
          <w:tcPr>
            <w:tcW w:type="dxa" w:w="1701"/>
          </w:tcPr>
          <w:p>
            <w:pPr>
              <w:spacing w:after="40" w:before="40"/>
            </w:pPr>
            <w:r/>
            <w:r>
              <w:rPr>
                <w:rFonts w:ascii="Times New Roman" w:hAnsi="Times New Roman" w:eastAsia="宋体"/>
                <w:b w:val="0"/>
                <w:i w:val="0"/>
                <w:sz w:val="20"/>
              </w:rPr>
              <w:t>&gt;15s</w:t>
            </w:r>
          </w:p>
        </w:tc>
      </w:tr>
      <w:tr>
        <w:tc>
          <w:tcPr>
            <w:tcW w:type="dxa" w:w="1701"/>
            <w:shd w:val="clear" w:color="auto" w:fill="F0F4F8"/>
          </w:tcPr>
          <w:p>
            <w:pPr>
              <w:spacing w:after="40" w:before="40"/>
            </w:pPr>
            <w:r/>
            <w:r>
              <w:rPr>
                <w:rFonts w:ascii="Times New Roman" w:hAnsi="Times New Roman" w:eastAsia="宋体"/>
                <w:b w:val="0"/>
                <w:i w:val="0"/>
                <w:sz w:val="20"/>
              </w:rPr>
              <w:t>峰荷削减率</w:t>
            </w:r>
          </w:p>
        </w:tc>
        <w:tc>
          <w:tcPr>
            <w:tcW w:type="dxa" w:w="1701"/>
            <w:shd w:val="clear" w:color="auto" w:fill="F0F4F8"/>
          </w:tcPr>
          <w:p>
            <w:pPr>
              <w:spacing w:after="40" w:before="40"/>
            </w:pPr>
            <w:r/>
            <w:r>
              <w:rPr>
                <w:rFonts w:ascii="Times New Roman" w:hAnsi="Times New Roman" w:eastAsia="宋体"/>
                <w:b w:val="0"/>
                <w:i w:val="0"/>
                <w:sz w:val="20"/>
              </w:rPr>
              <w:t>&gt;20%</w:t>
            </w:r>
          </w:p>
        </w:tc>
        <w:tc>
          <w:tcPr>
            <w:tcW w:type="dxa" w:w="1701"/>
            <w:shd w:val="clear" w:color="auto" w:fill="F0F4F8"/>
          </w:tcPr>
          <w:p>
            <w:pPr>
              <w:spacing w:after="40" w:before="40"/>
            </w:pPr>
            <w:r/>
            <w:r>
              <w:rPr>
                <w:rFonts w:ascii="Times New Roman" w:hAnsi="Times New Roman" w:eastAsia="宋体"/>
                <w:b w:val="0"/>
                <w:i w:val="0"/>
                <w:sz w:val="20"/>
              </w:rPr>
              <w:t>10-20%</w:t>
            </w:r>
          </w:p>
        </w:tc>
        <w:tc>
          <w:tcPr>
            <w:tcW w:type="dxa" w:w="1701"/>
            <w:shd w:val="clear" w:color="auto" w:fill="F0F4F8"/>
          </w:tcPr>
          <w:p>
            <w:pPr>
              <w:spacing w:after="40" w:before="40"/>
            </w:pPr>
            <w:r/>
            <w:r>
              <w:rPr>
                <w:rFonts w:ascii="Times New Roman" w:hAnsi="Times New Roman" w:eastAsia="宋体"/>
                <w:b w:val="0"/>
                <w:i w:val="0"/>
                <w:sz w:val="20"/>
              </w:rPr>
              <w:t>5-10%</w:t>
            </w:r>
          </w:p>
        </w:tc>
        <w:tc>
          <w:tcPr>
            <w:tcW w:type="dxa" w:w="1701"/>
            <w:shd w:val="clear" w:color="auto" w:fill="F0F4F8"/>
          </w:tcPr>
          <w:p>
            <w:pPr>
              <w:spacing w:after="40" w:before="40"/>
            </w:pPr>
            <w:r/>
            <w:r>
              <w:rPr>
                <w:rFonts w:ascii="Times New Roman" w:hAnsi="Times New Roman" w:eastAsia="宋体"/>
                <w:b w:val="0"/>
                <w:i w:val="0"/>
                <w:sz w:val="20"/>
              </w:rPr>
              <w:t>&lt;5%</w:t>
            </w:r>
          </w:p>
        </w:tc>
      </w:tr>
      <w:tr>
        <w:tc>
          <w:tcPr>
            <w:tcW w:type="dxa" w:w="1701"/>
          </w:tcPr>
          <w:p>
            <w:pPr>
              <w:spacing w:after="40" w:before="40"/>
            </w:pPr>
            <w:r/>
            <w:r>
              <w:rPr>
                <w:rFonts w:ascii="Times New Roman" w:hAnsi="Times New Roman" w:eastAsia="宋体"/>
                <w:b w:val="0"/>
                <w:i w:val="0"/>
                <w:sz w:val="20"/>
              </w:rPr>
              <w:t>社会福利提升</w:t>
            </w:r>
          </w:p>
        </w:tc>
        <w:tc>
          <w:tcPr>
            <w:tcW w:type="dxa" w:w="1701"/>
          </w:tcPr>
          <w:p>
            <w:pPr>
              <w:spacing w:after="40" w:before="40"/>
            </w:pPr>
            <w:r/>
            <w:r>
              <w:rPr>
                <w:rFonts w:ascii="Times New Roman" w:hAnsi="Times New Roman" w:eastAsia="宋体"/>
                <w:b w:val="0"/>
                <w:i w:val="0"/>
                <w:sz w:val="20"/>
              </w:rPr>
              <w:t>&gt;10%</w:t>
            </w:r>
          </w:p>
        </w:tc>
        <w:tc>
          <w:tcPr>
            <w:tcW w:type="dxa" w:w="1701"/>
          </w:tcPr>
          <w:p>
            <w:pPr>
              <w:spacing w:after="40" w:before="40"/>
            </w:pPr>
            <w:r/>
            <w:r>
              <w:rPr>
                <w:rFonts w:ascii="Times New Roman" w:hAnsi="Times New Roman" w:eastAsia="宋体"/>
                <w:b w:val="0"/>
                <w:i w:val="0"/>
                <w:sz w:val="20"/>
              </w:rPr>
              <w:t>5-10%</w:t>
            </w:r>
          </w:p>
        </w:tc>
        <w:tc>
          <w:tcPr>
            <w:tcW w:type="dxa" w:w="1701"/>
          </w:tcPr>
          <w:p>
            <w:pPr>
              <w:spacing w:after="40" w:before="40"/>
            </w:pPr>
            <w:r/>
            <w:r>
              <w:rPr>
                <w:rFonts w:ascii="Times New Roman" w:hAnsi="Times New Roman" w:eastAsia="宋体"/>
                <w:b w:val="0"/>
                <w:i w:val="0"/>
                <w:sz w:val="20"/>
              </w:rPr>
              <w:t>2-5%</w:t>
            </w:r>
          </w:p>
        </w:tc>
        <w:tc>
          <w:tcPr>
            <w:tcW w:type="dxa" w:w="1701"/>
          </w:tcPr>
          <w:p>
            <w:pPr>
              <w:spacing w:after="40" w:before="40"/>
            </w:pPr>
            <w:r/>
            <w:r>
              <w:rPr>
                <w:rFonts w:ascii="Times New Roman" w:hAnsi="Times New Roman" w:eastAsia="宋体"/>
                <w:b w:val="0"/>
                <w:i w:val="0"/>
                <w:sz w:val="20"/>
              </w:rPr>
              <w:t>&lt;2%</w:t>
            </w:r>
          </w:p>
        </w:tc>
      </w:tr>
      <w:tr>
        <w:tc>
          <w:tcPr>
            <w:tcW w:type="dxa" w:w="1701"/>
            <w:shd w:val="clear" w:color="auto" w:fill="F0F4F8"/>
          </w:tcPr>
          <w:p>
            <w:pPr>
              <w:spacing w:after="40" w:before="40"/>
            </w:pPr>
            <w:r/>
            <w:r>
              <w:rPr>
                <w:rFonts w:ascii="Times New Roman" w:hAnsi="Times New Roman" w:eastAsia="宋体"/>
                <w:b w:val="0"/>
                <w:i w:val="0"/>
                <w:sz w:val="20"/>
              </w:rPr>
              <w:t>用户满意度</w:t>
            </w:r>
          </w:p>
        </w:tc>
        <w:tc>
          <w:tcPr>
            <w:tcW w:type="dxa" w:w="1701"/>
            <w:shd w:val="clear" w:color="auto" w:fill="F0F4F8"/>
          </w:tcPr>
          <w:p>
            <w:pPr>
              <w:spacing w:after="40" w:before="40"/>
            </w:pPr>
            <w:r/>
            <w:r>
              <w:rPr>
                <w:rFonts w:ascii="Times New Roman" w:hAnsi="Times New Roman" w:eastAsia="宋体"/>
                <w:b w:val="0"/>
                <w:i w:val="0"/>
                <w:sz w:val="20"/>
              </w:rPr>
              <w:t>&gt;4.5</w:t>
            </w:r>
          </w:p>
        </w:tc>
        <w:tc>
          <w:tcPr>
            <w:tcW w:type="dxa" w:w="1701"/>
            <w:shd w:val="clear" w:color="auto" w:fill="F0F4F8"/>
          </w:tcPr>
          <w:p>
            <w:pPr>
              <w:spacing w:after="40" w:before="40"/>
            </w:pPr>
            <w:r/>
            <w:r>
              <w:rPr>
                <w:rFonts w:ascii="Times New Roman" w:hAnsi="Times New Roman" w:eastAsia="宋体"/>
                <w:b w:val="0"/>
                <w:i w:val="0"/>
                <w:sz w:val="20"/>
              </w:rPr>
              <w:t>4.0-4.5</w:t>
            </w:r>
          </w:p>
        </w:tc>
        <w:tc>
          <w:tcPr>
            <w:tcW w:type="dxa" w:w="1701"/>
            <w:shd w:val="clear" w:color="auto" w:fill="F0F4F8"/>
          </w:tcPr>
          <w:p>
            <w:pPr>
              <w:spacing w:after="40" w:before="40"/>
            </w:pPr>
            <w:r/>
            <w:r>
              <w:rPr>
                <w:rFonts w:ascii="Times New Roman" w:hAnsi="Times New Roman" w:eastAsia="宋体"/>
                <w:b w:val="0"/>
                <w:i w:val="0"/>
                <w:sz w:val="20"/>
              </w:rPr>
              <w:t>3.0-4.0</w:t>
            </w:r>
          </w:p>
        </w:tc>
        <w:tc>
          <w:tcPr>
            <w:tcW w:type="dxa" w:w="1701"/>
            <w:shd w:val="clear" w:color="auto" w:fill="F0F4F8"/>
          </w:tcPr>
          <w:p>
            <w:pPr>
              <w:spacing w:after="40" w:before="40"/>
            </w:pPr>
            <w:r/>
            <w:r>
              <w:rPr>
                <w:rFonts w:ascii="Times New Roman" w:hAnsi="Times New Roman" w:eastAsia="宋体"/>
                <w:b w:val="0"/>
                <w:i w:val="0"/>
                <w:sz w:val="20"/>
              </w:rPr>
              <w:t>&lt;3.0</w:t>
            </w:r>
          </w:p>
        </w:tc>
      </w:tr>
      <w:tr>
        <w:tc>
          <w:tcPr>
            <w:tcW w:type="dxa" w:w="1701"/>
          </w:tcPr>
          <w:p>
            <w:pPr>
              <w:spacing w:after="40" w:before="40"/>
            </w:pPr>
            <w:r/>
            <w:r>
              <w:rPr>
                <w:rFonts w:ascii="Times New Roman" w:hAnsi="Times New Roman" w:eastAsia="宋体"/>
                <w:b w:val="0"/>
                <w:i w:val="0"/>
                <w:sz w:val="20"/>
              </w:rPr>
              <w:t>系统可用性</w:t>
            </w:r>
          </w:p>
        </w:tc>
        <w:tc>
          <w:tcPr>
            <w:tcW w:type="dxa" w:w="1701"/>
          </w:tcPr>
          <w:p>
            <w:pPr>
              <w:spacing w:after="40" w:before="40"/>
            </w:pPr>
            <w:r/>
            <w:r>
              <w:rPr>
                <w:rFonts w:ascii="Times New Roman" w:hAnsi="Times New Roman" w:eastAsia="宋体"/>
                <w:b w:val="0"/>
                <w:i w:val="0"/>
                <w:sz w:val="20"/>
              </w:rPr>
              <w:t>&gt;99.9%</w:t>
            </w:r>
          </w:p>
        </w:tc>
        <w:tc>
          <w:tcPr>
            <w:tcW w:type="dxa" w:w="1701"/>
          </w:tcPr>
          <w:p>
            <w:pPr>
              <w:spacing w:after="40" w:before="40"/>
            </w:pPr>
            <w:r/>
            <w:r>
              <w:rPr>
                <w:rFonts w:ascii="Times New Roman" w:hAnsi="Times New Roman" w:eastAsia="宋体"/>
                <w:b w:val="0"/>
                <w:i w:val="0"/>
                <w:sz w:val="20"/>
              </w:rPr>
              <w:t>99-99.9%</w:t>
            </w:r>
          </w:p>
        </w:tc>
        <w:tc>
          <w:tcPr>
            <w:tcW w:type="dxa" w:w="1701"/>
          </w:tcPr>
          <w:p>
            <w:pPr>
              <w:spacing w:after="40" w:before="40"/>
            </w:pPr>
            <w:r/>
            <w:r>
              <w:rPr>
                <w:rFonts w:ascii="Times New Roman" w:hAnsi="Times New Roman" w:eastAsia="宋体"/>
                <w:b w:val="0"/>
                <w:i w:val="0"/>
                <w:sz w:val="20"/>
              </w:rPr>
              <w:t>95-99%</w:t>
            </w:r>
          </w:p>
        </w:tc>
        <w:tc>
          <w:tcPr>
            <w:tcW w:type="dxa" w:w="1701"/>
          </w:tcPr>
          <w:p>
            <w:pPr>
              <w:spacing w:after="40" w:before="40"/>
            </w:pPr>
            <w:r/>
            <w:r>
              <w:rPr>
                <w:rFonts w:ascii="Times New Roman" w:hAnsi="Times New Roman" w:eastAsia="宋体"/>
                <w:b w:val="0"/>
                <w:i w:val="0"/>
                <w:sz w:val="20"/>
              </w:rPr>
              <w:t>&lt;95%</w:t>
            </w:r>
          </w:p>
        </w:tc>
      </w:tr>
    </w:tbl>
    <w:p>
      <w:pPr>
        <w:pStyle w:val="Heading2"/>
        <w:spacing w:before="240" w:after="80"/>
      </w:pPr>
      <w:r>
        <w:rPr>
          <w:rFonts w:ascii="Times New Roman" w:hAnsi="Times New Roman" w:eastAsia="黑体"/>
          <w:b/>
          <w:i w:val="0"/>
          <w:sz w:val="28"/>
        </w:rPr>
        <w:t>D.6 常见问题排查</w:t>
      </w:r>
    </w:p>
    <w:p>
      <w:pPr>
        <w:pStyle w:val="Heading3"/>
        <w:spacing w:before="160" w:after="60"/>
      </w:pPr>
      <w:r>
        <w:rPr>
          <w:rFonts w:ascii="Times New Roman" w:hAnsi="Times New Roman" w:eastAsia="黑体"/>
          <w:b/>
          <w:i w:val="0"/>
          <w:sz w:val="24"/>
        </w:rPr>
        <w:t>定价算法不收敛</w:t>
      </w:r>
    </w:p>
    <w:p>
      <w:pPr>
        <w:spacing w:line="360" w:lineRule="auto" w:after="0"/>
        <w:ind w:firstLine="425"/>
      </w:pPr>
      <w:r>
        <w:rPr>
          <w:rFonts w:ascii="Times New Roman" w:hAnsi="Times New Roman" w:eastAsia="宋体"/>
          <w:b/>
          <w:i w:val="0"/>
          <w:sz w:val="22"/>
        </w:rPr>
        <w:t>可能原因与解决方案</w:t>
      </w:r>
      <w:r>
        <w:rPr>
          <w:rFonts w:ascii="Times New Roman" w:hAnsi="Times New Roman" w:eastAsia="宋体"/>
          <w:b w:val="0"/>
          <w:i w:val="0"/>
          <w:sz w:val="22"/>
        </w:rPr>
        <w:t>：</w:t>
      </w:r>
    </w:p>
    <w:p>
      <w:pPr>
        <w:pStyle w:val="ListNumber"/>
        <w:spacing w:line="360" w:lineRule="auto" w:after="0"/>
      </w:pPr>
      <w:r>
        <w:rPr>
          <w:rFonts w:ascii="Times New Roman" w:hAnsi="Times New Roman" w:eastAsia="宋体"/>
          <w:b w:val="0"/>
          <w:i w:val="0"/>
          <w:sz w:val="22"/>
        </w:rPr>
        <w:t>效用函数参数不合理（如b_i接近0导致非强凸）→ 添加正则化项或调整参数范围</w:t>
      </w:r>
    </w:p>
    <w:p>
      <w:pPr>
        <w:pStyle w:val="ListNumber"/>
        <w:spacing w:line="360" w:lineRule="auto" w:after="0"/>
      </w:pPr>
      <w:r>
        <w:rPr>
          <w:rFonts w:ascii="Times New Roman" w:hAnsi="Times New Roman" w:eastAsia="宋体"/>
          <w:b w:val="0"/>
          <w:i w:val="0"/>
          <w:sz w:val="22"/>
        </w:rPr>
        <w:t>光滑化参数衰减过快→ 降低衰减率sigma（如从0.1改为0.5）</w:t>
      </w:r>
    </w:p>
    <w:p>
      <w:pPr>
        <w:pStyle w:val="ListNumber"/>
        <w:spacing w:line="360" w:lineRule="auto" w:after="0"/>
      </w:pPr>
      <w:r>
        <w:rPr>
          <w:rFonts w:ascii="Times New Roman" w:hAnsi="Times New Roman" w:eastAsia="宋体"/>
          <w:b w:val="0"/>
          <w:i w:val="0"/>
          <w:sz w:val="22"/>
        </w:rPr>
        <w:t>步长过大→ 使用线搜索或自适应步长</w:t>
      </w:r>
    </w:p>
    <w:p>
      <w:pPr>
        <w:pStyle w:val="ListNumber"/>
        <w:spacing w:line="360" w:lineRule="auto" w:after="0"/>
      </w:pPr>
      <w:r>
        <w:rPr>
          <w:rFonts w:ascii="Times New Roman" w:hAnsi="Times New Roman" w:eastAsia="宋体"/>
          <w:b w:val="0"/>
          <w:i w:val="0"/>
          <w:sz w:val="22"/>
        </w:rPr>
        <w:t>初始点离解太远→ 使用预热启动或同伦方法</w:t>
      </w:r>
    </w:p>
    <w:p>
      <w:pPr>
        <w:pStyle w:val="Heading3"/>
        <w:spacing w:before="160" w:after="60"/>
      </w:pPr>
      <w:r>
        <w:rPr>
          <w:rFonts w:ascii="Times New Roman" w:hAnsi="Times New Roman" w:eastAsia="黑体"/>
          <w:b/>
          <w:i w:val="0"/>
          <w:sz w:val="24"/>
        </w:rPr>
        <w:t>电价波动过大</w:t>
      </w:r>
    </w:p>
    <w:p>
      <w:pPr>
        <w:spacing w:line="360" w:lineRule="auto" w:after="0"/>
        <w:ind w:firstLine="425"/>
      </w:pPr>
      <w:r>
        <w:rPr>
          <w:rFonts w:ascii="Times New Roman" w:hAnsi="Times New Roman" w:eastAsia="宋体"/>
          <w:b/>
          <w:i w:val="0"/>
          <w:sz w:val="22"/>
        </w:rPr>
        <w:t>可能原因与解决方案</w:t>
      </w:r>
      <w:r>
        <w:rPr>
          <w:rFonts w:ascii="Times New Roman" w:hAnsi="Times New Roman" w:eastAsia="宋体"/>
          <w:b w:val="0"/>
          <w:i w:val="0"/>
          <w:sz w:val="22"/>
        </w:rPr>
        <w:t>：</w:t>
      </w:r>
    </w:p>
    <w:p>
      <w:pPr>
        <w:pStyle w:val="ListNumber"/>
        <w:spacing w:line="360" w:lineRule="auto" w:after="0"/>
      </w:pPr>
      <w:r>
        <w:rPr>
          <w:rFonts w:ascii="Times New Roman" w:hAnsi="Times New Roman" w:eastAsia="宋体"/>
          <w:b w:val="0"/>
          <w:i w:val="0"/>
          <w:sz w:val="22"/>
        </w:rPr>
        <w:t>负荷预测误差大→ 提高预测精度或使用概率预测</w:t>
      </w:r>
    </w:p>
    <w:p>
      <w:pPr>
        <w:pStyle w:val="ListNumber"/>
        <w:spacing w:line="360" w:lineRule="auto" w:after="0"/>
      </w:pPr>
      <w:r>
        <w:rPr>
          <w:rFonts w:ascii="Times New Roman" w:hAnsi="Times New Roman" w:eastAsia="宋体"/>
          <w:b w:val="0"/>
          <w:i w:val="0"/>
          <w:sz w:val="22"/>
        </w:rPr>
        <w:t>可再生能源出力波动→ 增加储能配置或扩大DR参与范围</w:t>
      </w:r>
    </w:p>
    <w:p>
      <w:pPr>
        <w:pStyle w:val="ListNumber"/>
        <w:spacing w:line="360" w:lineRule="auto" w:after="0"/>
      </w:pPr>
      <w:r>
        <w:rPr>
          <w:rFonts w:ascii="Times New Roman" w:hAnsi="Times New Roman" w:eastAsia="宋体"/>
          <w:b w:val="0"/>
          <w:i w:val="0"/>
          <w:sz w:val="22"/>
        </w:rPr>
        <w:t>价格信号传输延迟→ 优化通信架构，缩短更新周期</w:t>
      </w:r>
    </w:p>
    <w:p>
      <w:pPr>
        <w:pStyle w:val="ListNumber"/>
        <w:spacing w:line="360" w:lineRule="auto" w:after="0"/>
      </w:pPr>
      <w:r>
        <w:rPr>
          <w:rFonts w:ascii="Times New Roman" w:hAnsi="Times New Roman" w:eastAsia="宋体"/>
          <w:b w:val="0"/>
          <w:i w:val="0"/>
          <w:sz w:val="22"/>
        </w:rPr>
        <w:t>用户响应过度→ 设置价格变化率限制（如每周期变化不超过10%）</w:t>
      </w:r>
    </w:p>
    <w:p>
      <w:pPr>
        <w:pStyle w:val="Heading3"/>
        <w:spacing w:before="160" w:after="60"/>
      </w:pPr>
      <w:r>
        <w:rPr>
          <w:rFonts w:ascii="Times New Roman" w:hAnsi="Times New Roman" w:eastAsia="黑体"/>
          <w:b/>
          <w:i w:val="0"/>
          <w:sz w:val="24"/>
        </w:rPr>
        <w:t>用户参与率低</w:t>
      </w:r>
    </w:p>
    <w:p>
      <w:pPr>
        <w:spacing w:line="360" w:lineRule="auto" w:after="0"/>
        <w:ind w:firstLine="425"/>
      </w:pPr>
      <w:r>
        <w:rPr>
          <w:rFonts w:ascii="Times New Roman" w:hAnsi="Times New Roman" w:eastAsia="宋体"/>
          <w:b/>
          <w:i w:val="0"/>
          <w:sz w:val="22"/>
        </w:rPr>
        <w:t>可能原因与解决方案</w:t>
      </w:r>
      <w:r>
        <w:rPr>
          <w:rFonts w:ascii="Times New Roman" w:hAnsi="Times New Roman" w:eastAsia="宋体"/>
          <w:b w:val="0"/>
          <w:i w:val="0"/>
          <w:sz w:val="22"/>
        </w:rPr>
        <w:t>：</w:t>
      </w:r>
    </w:p>
    <w:p>
      <w:pPr>
        <w:pStyle w:val="ListNumber"/>
        <w:spacing w:line="360" w:lineRule="auto" w:after="0"/>
      </w:pPr>
      <w:r>
        <w:rPr>
          <w:rFonts w:ascii="Times New Roman" w:hAnsi="Times New Roman" w:eastAsia="宋体"/>
          <w:b w:val="0"/>
          <w:i w:val="0"/>
          <w:sz w:val="22"/>
        </w:rPr>
        <w:t>价格信号不透明→ 提供价格预测和用电建议</w:t>
      </w:r>
    </w:p>
    <w:p>
      <w:pPr>
        <w:pStyle w:val="ListNumber"/>
        <w:spacing w:line="360" w:lineRule="auto" w:after="0"/>
      </w:pPr>
      <w:r>
        <w:rPr>
          <w:rFonts w:ascii="Times New Roman" w:hAnsi="Times New Roman" w:eastAsia="宋体"/>
          <w:b w:val="0"/>
          <w:i w:val="0"/>
          <w:sz w:val="22"/>
        </w:rPr>
        <w:t>电费节省不明显→ 优化峰谷价差或提供参与补贴</w:t>
      </w:r>
    </w:p>
    <w:p>
      <w:pPr>
        <w:pStyle w:val="ListNumber"/>
        <w:spacing w:line="360" w:lineRule="auto" w:after="0"/>
      </w:pPr>
      <w:r>
        <w:rPr>
          <w:rFonts w:ascii="Times New Roman" w:hAnsi="Times New Roman" w:eastAsia="宋体"/>
          <w:b w:val="0"/>
          <w:i w:val="0"/>
          <w:sz w:val="22"/>
        </w:rPr>
        <w:t>操作复杂→ 部署自动需求响应终端</w:t>
      </w:r>
    </w:p>
    <w:p>
      <w:pPr>
        <w:pStyle w:val="ListNumber"/>
        <w:spacing w:line="360" w:lineRule="auto" w:after="0"/>
      </w:pPr>
      <w:r>
        <w:rPr>
          <w:rFonts w:ascii="Times New Roman" w:hAnsi="Times New Roman" w:eastAsia="宋体"/>
          <w:b w:val="0"/>
          <w:i w:val="0"/>
          <w:sz w:val="22"/>
        </w:rPr>
        <w:t>信任不足→ 提供试点数据和第三方评估报告</w:t>
      </w:r>
    </w:p>
    <w:p>
      <w:r>
        <w:br w:type="page"/>
      </w:r>
    </w:p>
    <w:p>
      <w:pPr>
        <w:pStyle w:val="Heading1"/>
        <w:spacing w:before="360" w:after="120"/>
      </w:pPr>
      <w:r>
        <w:rPr>
          <w:rFonts w:ascii="Times New Roman" w:hAnsi="Times New Roman" w:eastAsia="黑体"/>
          <w:b/>
          <w:i w:val="0"/>
          <w:sz w:val="32"/>
        </w:rPr>
        <w:t>附录E  教学大纲</w:t>
      </w:r>
    </w:p>
    <w:p>
      <w:pPr>
        <w:pStyle w:val="Heading2"/>
        <w:spacing w:before="240" w:after="80"/>
      </w:pPr>
      <w:r>
        <w:rPr>
          <w:rFonts w:ascii="Times New Roman" w:hAnsi="Times New Roman" w:eastAsia="黑体"/>
          <w:b/>
          <w:i w:val="0"/>
          <w:sz w:val="28"/>
        </w:rPr>
        <w:t>E.1 课程基本信息</w:t>
      </w:r>
    </w:p>
    <w:tbl>
      <w:tblPr>
        <w:tblStyle w:val="LightGrid-Accent1"/>
        <w:tblW w:type="auto" w:w="0"/>
        <w:jc w:val="center"/>
        <w:tblLook w:firstColumn="1" w:firstRow="1" w:lastColumn="0" w:lastRow="0" w:noHBand="0" w:noVBand="1" w:val="04A0"/>
      </w:tblPr>
      <w:tblGrid>
        <w:gridCol w:w="4252"/>
        <w:gridCol w:w="4252"/>
      </w:tblGrid>
      <w:tr>
        <w:tc>
          <w:tcPr>
            <w:tcW w:type="dxa" w:w="4252"/>
          </w:tcPr>
          <w:p>
            <w:pPr>
              <w:spacing w:after="40" w:before="40"/>
            </w:pPr>
            <w:r>
              <w:rPr>
                <w:b/>
              </w:rPr>
            </w:r>
            <w:r>
              <w:rPr>
                <w:rFonts w:ascii="Times New Roman" w:hAnsi="Times New Roman" w:eastAsia="黑体"/>
                <w:b/>
                <w:i w:val="0"/>
                <w:sz w:val="20"/>
              </w:rPr>
              <w:t>项目</w:t>
            </w:r>
          </w:p>
        </w:tc>
        <w:tc>
          <w:tcPr>
            <w:tcW w:type="dxa" w:w="4252"/>
          </w:tcPr>
          <w:p>
            <w:pPr>
              <w:spacing w:after="40" w:before="40"/>
            </w:pPr>
            <w:r>
              <w:rPr>
                <w:b/>
              </w:rPr>
            </w:r>
            <w:r>
              <w:rPr>
                <w:rFonts w:ascii="Times New Roman" w:hAnsi="Times New Roman" w:eastAsia="黑体"/>
                <w:b/>
                <w:i w:val="0"/>
                <w:sz w:val="20"/>
              </w:rPr>
              <w:t>内容</w:t>
            </w:r>
          </w:p>
        </w:tc>
      </w:tr>
      <w:tr>
        <w:tc>
          <w:tcPr>
            <w:tcW w:type="dxa" w:w="4252"/>
          </w:tcPr>
          <w:p>
            <w:pPr>
              <w:spacing w:after="40" w:before="40"/>
            </w:pPr>
            <w:r/>
            <w:r>
              <w:rPr>
                <w:rFonts w:ascii="Times New Roman" w:hAnsi="Times New Roman" w:eastAsia="宋体"/>
                <w:b w:val="0"/>
                <w:i w:val="0"/>
                <w:sz w:val="20"/>
              </w:rPr>
              <w:t>课程名称</w:t>
            </w:r>
          </w:p>
        </w:tc>
        <w:tc>
          <w:tcPr>
            <w:tcW w:type="dxa" w:w="4252"/>
          </w:tcPr>
          <w:p>
            <w:pPr>
              <w:spacing w:after="40" w:before="40"/>
            </w:pPr>
            <w:r/>
            <w:r>
              <w:rPr>
                <w:rFonts w:ascii="Times New Roman" w:hAnsi="Times New Roman" w:eastAsia="宋体"/>
                <w:b w:val="0"/>
                <w:i w:val="0"/>
                <w:sz w:val="20"/>
              </w:rPr>
              <w:t>智能电网实时定价</w:t>
            </w:r>
          </w:p>
        </w:tc>
      </w:tr>
      <w:tr>
        <w:tc>
          <w:tcPr>
            <w:tcW w:type="dxa" w:w="4252"/>
            <w:shd w:val="clear" w:color="auto" w:fill="F0F4F8"/>
          </w:tcPr>
          <w:p>
            <w:pPr>
              <w:spacing w:after="40" w:before="40"/>
            </w:pPr>
            <w:r/>
            <w:r>
              <w:rPr>
                <w:rFonts w:ascii="Times New Roman" w:hAnsi="Times New Roman" w:eastAsia="宋体"/>
                <w:b w:val="0"/>
                <w:i w:val="0"/>
                <w:sz w:val="20"/>
              </w:rPr>
              <w:t>英文名称</w:t>
            </w:r>
          </w:p>
        </w:tc>
        <w:tc>
          <w:tcPr>
            <w:tcW w:type="dxa" w:w="4252"/>
            <w:shd w:val="clear" w:color="auto" w:fill="F0F4F8"/>
          </w:tcPr>
          <w:p>
            <w:pPr>
              <w:spacing w:after="40" w:before="40"/>
            </w:pPr>
            <w:r/>
            <w:r>
              <w:rPr>
                <w:rFonts w:ascii="Times New Roman" w:hAnsi="Times New Roman" w:eastAsia="宋体"/>
                <w:b w:val="0"/>
                <w:i w:val="0"/>
                <w:sz w:val="20"/>
              </w:rPr>
              <w:t>Real-Time Pricing for Smart Grid</w:t>
            </w:r>
          </w:p>
        </w:tc>
      </w:tr>
      <w:tr>
        <w:tc>
          <w:tcPr>
            <w:tcW w:type="dxa" w:w="4252"/>
          </w:tcPr>
          <w:p>
            <w:pPr>
              <w:spacing w:after="40" w:before="40"/>
            </w:pPr>
            <w:r/>
            <w:r>
              <w:rPr>
                <w:rFonts w:ascii="Times New Roman" w:hAnsi="Times New Roman" w:eastAsia="宋体"/>
                <w:b w:val="0"/>
                <w:i w:val="0"/>
                <w:sz w:val="20"/>
              </w:rPr>
              <w:t>课程性质</w:t>
            </w:r>
          </w:p>
        </w:tc>
        <w:tc>
          <w:tcPr>
            <w:tcW w:type="dxa" w:w="4252"/>
          </w:tcPr>
          <w:p>
            <w:pPr>
              <w:spacing w:after="40" w:before="40"/>
            </w:pPr>
            <w:r/>
            <w:r>
              <w:rPr>
                <w:rFonts w:ascii="Times New Roman" w:hAnsi="Times New Roman" w:eastAsia="宋体"/>
                <w:b w:val="0"/>
                <w:i w:val="0"/>
                <w:sz w:val="20"/>
              </w:rPr>
              <w:t>专业选修课</w:t>
            </w:r>
          </w:p>
        </w:tc>
      </w:tr>
      <w:tr>
        <w:tc>
          <w:tcPr>
            <w:tcW w:type="dxa" w:w="4252"/>
            <w:shd w:val="clear" w:color="auto" w:fill="F0F4F8"/>
          </w:tcPr>
          <w:p>
            <w:pPr>
              <w:spacing w:after="40" w:before="40"/>
            </w:pPr>
            <w:r/>
            <w:r>
              <w:rPr>
                <w:rFonts w:ascii="Times New Roman" w:hAnsi="Times New Roman" w:eastAsia="宋体"/>
                <w:b w:val="0"/>
                <w:i w:val="0"/>
                <w:sz w:val="20"/>
              </w:rPr>
              <w:t>学分</w:t>
            </w:r>
          </w:p>
        </w:tc>
        <w:tc>
          <w:tcPr>
            <w:tcW w:type="dxa" w:w="4252"/>
            <w:shd w:val="clear" w:color="auto" w:fill="F0F4F8"/>
          </w:tcPr>
          <w:p>
            <w:pPr>
              <w:spacing w:after="40" w:before="40"/>
            </w:pPr>
            <w:r/>
            <w:r>
              <w:rPr>
                <w:rFonts w:ascii="Times New Roman" w:hAnsi="Times New Roman" w:eastAsia="宋体"/>
                <w:b w:val="0"/>
                <w:i w:val="0"/>
                <w:sz w:val="20"/>
              </w:rPr>
              <w:t>3</w:t>
            </w:r>
          </w:p>
        </w:tc>
      </w:tr>
      <w:tr>
        <w:tc>
          <w:tcPr>
            <w:tcW w:type="dxa" w:w="4252"/>
          </w:tcPr>
          <w:p>
            <w:pPr>
              <w:spacing w:after="40" w:before="40"/>
            </w:pPr>
            <w:r/>
            <w:r>
              <w:rPr>
                <w:rFonts w:ascii="Times New Roman" w:hAnsi="Times New Roman" w:eastAsia="宋体"/>
                <w:b w:val="0"/>
                <w:i w:val="0"/>
                <w:sz w:val="20"/>
              </w:rPr>
              <w:t>学时</w:t>
            </w:r>
          </w:p>
        </w:tc>
        <w:tc>
          <w:tcPr>
            <w:tcW w:type="dxa" w:w="4252"/>
          </w:tcPr>
          <w:p>
            <w:pPr>
              <w:spacing w:after="40" w:before="40"/>
            </w:pPr>
            <w:r/>
            <w:r>
              <w:rPr>
                <w:rFonts w:ascii="Times New Roman" w:hAnsi="Times New Roman" w:eastAsia="宋体"/>
                <w:b w:val="0"/>
                <w:i w:val="0"/>
                <w:sz w:val="20"/>
              </w:rPr>
              <w:t>48（理论32 + 实践16）</w:t>
            </w:r>
          </w:p>
        </w:tc>
      </w:tr>
      <w:tr>
        <w:tc>
          <w:tcPr>
            <w:tcW w:type="dxa" w:w="4252"/>
            <w:shd w:val="clear" w:color="auto" w:fill="F0F4F8"/>
          </w:tcPr>
          <w:p>
            <w:pPr>
              <w:spacing w:after="40" w:before="40"/>
            </w:pPr>
            <w:r/>
            <w:r>
              <w:rPr>
                <w:rFonts w:ascii="Times New Roman" w:hAnsi="Times New Roman" w:eastAsia="宋体"/>
                <w:b w:val="0"/>
                <w:i w:val="0"/>
                <w:sz w:val="20"/>
              </w:rPr>
              <w:t>适用专业</w:t>
            </w:r>
          </w:p>
        </w:tc>
        <w:tc>
          <w:tcPr>
            <w:tcW w:type="dxa" w:w="4252"/>
            <w:shd w:val="clear" w:color="auto" w:fill="F0F4F8"/>
          </w:tcPr>
          <w:p>
            <w:pPr>
              <w:spacing w:after="40" w:before="40"/>
            </w:pPr>
            <w:r/>
            <w:r>
              <w:rPr>
                <w:rFonts w:ascii="Times New Roman" w:hAnsi="Times New Roman" w:eastAsia="宋体"/>
                <w:b w:val="0"/>
                <w:i w:val="0"/>
                <w:sz w:val="20"/>
              </w:rPr>
              <w:t>电气工程、自动化、能源与动力工程、人工智能</w:t>
            </w:r>
          </w:p>
        </w:tc>
      </w:tr>
      <w:tr>
        <w:tc>
          <w:tcPr>
            <w:tcW w:type="dxa" w:w="4252"/>
          </w:tcPr>
          <w:p>
            <w:pPr>
              <w:spacing w:after="40" w:before="40"/>
            </w:pPr>
            <w:r/>
            <w:r>
              <w:rPr>
                <w:rFonts w:ascii="Times New Roman" w:hAnsi="Times New Roman" w:eastAsia="宋体"/>
                <w:b w:val="0"/>
                <w:i w:val="0"/>
                <w:sz w:val="20"/>
              </w:rPr>
              <w:t>先修课程</w:t>
            </w:r>
          </w:p>
        </w:tc>
        <w:tc>
          <w:tcPr>
            <w:tcW w:type="dxa" w:w="4252"/>
          </w:tcPr>
          <w:p>
            <w:pPr>
              <w:spacing w:after="40" w:before="40"/>
            </w:pPr>
            <w:r/>
            <w:r>
              <w:rPr>
                <w:rFonts w:ascii="Times New Roman" w:hAnsi="Times New Roman" w:eastAsia="宋体"/>
                <w:b w:val="0"/>
                <w:i w:val="0"/>
                <w:sz w:val="20"/>
              </w:rPr>
              <w:t>电力系统分析、最优化方法、概率论与数理统计</w:t>
            </w:r>
          </w:p>
        </w:tc>
      </w:tr>
      <w:tr>
        <w:tc>
          <w:tcPr>
            <w:tcW w:type="dxa" w:w="4252"/>
            <w:shd w:val="clear" w:color="auto" w:fill="F0F4F8"/>
          </w:tcPr>
          <w:p>
            <w:pPr>
              <w:spacing w:after="40" w:before="40"/>
            </w:pPr>
            <w:r/>
            <w:r>
              <w:rPr>
                <w:rFonts w:ascii="Times New Roman" w:hAnsi="Times New Roman" w:eastAsia="宋体"/>
                <w:b w:val="0"/>
                <w:i w:val="0"/>
                <w:sz w:val="20"/>
              </w:rPr>
              <w:t>考核方式</w:t>
            </w:r>
          </w:p>
        </w:tc>
        <w:tc>
          <w:tcPr>
            <w:tcW w:type="dxa" w:w="4252"/>
            <w:shd w:val="clear" w:color="auto" w:fill="F0F4F8"/>
          </w:tcPr>
          <w:p>
            <w:pPr>
              <w:spacing w:after="40" w:before="40"/>
            </w:pPr>
            <w:r/>
            <w:r>
              <w:rPr>
                <w:rFonts w:ascii="Times New Roman" w:hAnsi="Times New Roman" w:eastAsia="宋体"/>
                <w:b w:val="0"/>
                <w:i w:val="0"/>
                <w:sz w:val="20"/>
              </w:rPr>
              <w:t>平时30% + 实训30% + 期末40%</w:t>
            </w:r>
          </w:p>
        </w:tc>
      </w:tr>
    </w:tbl>
    <w:p>
      <w:pPr>
        <w:pStyle w:val="Heading2"/>
        <w:spacing w:before="240" w:after="80"/>
      </w:pPr>
      <w:r>
        <w:rPr>
          <w:rFonts w:ascii="Times New Roman" w:hAnsi="Times New Roman" w:eastAsia="黑体"/>
          <w:b/>
          <w:i w:val="0"/>
          <w:sz w:val="28"/>
        </w:rPr>
        <w:t>E.2 课程目标</w:t>
      </w:r>
    </w:p>
    <w:p>
      <w:pPr>
        <w:spacing w:line="360" w:lineRule="auto" w:after="0"/>
        <w:ind w:firstLine="425"/>
      </w:pPr>
      <w:r>
        <w:rPr>
          <w:rFonts w:ascii="Times New Roman" w:hAnsi="Times New Roman" w:eastAsia="宋体"/>
          <w:b w:val="0"/>
          <w:i w:val="0"/>
          <w:sz w:val="22"/>
        </w:rPr>
        <w:t>完成本课程后，学生应能够：</w:t>
      </w:r>
    </w:p>
    <w:p>
      <w:pPr>
        <w:pStyle w:val="ListNumber"/>
        <w:spacing w:line="360" w:lineRule="auto" w:after="0"/>
      </w:pPr>
      <w:r>
        <w:rPr>
          <w:rFonts w:ascii="Times New Roman" w:hAnsi="Times New Roman" w:eastAsia="宋体"/>
          <w:b w:val="0"/>
          <w:i w:val="0"/>
          <w:sz w:val="22"/>
        </w:rPr>
        <w:t>理解智能电网实时定价的基本概念、经济学原理和数学基础</w:t>
      </w:r>
    </w:p>
    <w:p>
      <w:pPr>
        <w:pStyle w:val="ListNumber"/>
        <w:spacing w:line="360" w:lineRule="auto" w:after="0"/>
      </w:pPr>
      <w:r>
        <w:rPr>
          <w:rFonts w:ascii="Times New Roman" w:hAnsi="Times New Roman" w:eastAsia="宋体"/>
          <w:b w:val="0"/>
          <w:i w:val="0"/>
          <w:sz w:val="22"/>
        </w:rPr>
        <w:t>掌握社会福利最大化建模、互补问题理论和博弈论方法</w:t>
      </w:r>
    </w:p>
    <w:p>
      <w:pPr>
        <w:pStyle w:val="ListNumber"/>
        <w:spacing w:line="360" w:lineRule="auto" w:after="0"/>
      </w:pPr>
      <w:r>
        <w:rPr>
          <w:rFonts w:ascii="Times New Roman" w:hAnsi="Times New Roman" w:eastAsia="宋体"/>
          <w:b w:val="0"/>
          <w:i w:val="0"/>
          <w:sz w:val="22"/>
        </w:rPr>
        <w:t>熟练运用对偶分解、内点法、半光滑牛顿法等优化算法</w:t>
      </w:r>
    </w:p>
    <w:p>
      <w:pPr>
        <w:pStyle w:val="ListNumber"/>
        <w:spacing w:line="360" w:lineRule="auto" w:after="0"/>
      </w:pPr>
      <w:r>
        <w:rPr>
          <w:rFonts w:ascii="Times New Roman" w:hAnsi="Times New Roman" w:eastAsia="宋体"/>
          <w:b w:val="0"/>
          <w:i w:val="0"/>
          <w:sz w:val="22"/>
        </w:rPr>
        <w:t>了解强化学习、鲁棒优化等前沿方法在实时定价中的应用</w:t>
      </w:r>
    </w:p>
    <w:p>
      <w:pPr>
        <w:pStyle w:val="ListNumber"/>
        <w:spacing w:line="360" w:lineRule="auto" w:after="0"/>
      </w:pPr>
      <w:r>
        <w:rPr>
          <w:rFonts w:ascii="Times New Roman" w:hAnsi="Times New Roman" w:eastAsia="宋体"/>
          <w:b w:val="0"/>
          <w:i w:val="0"/>
          <w:sz w:val="22"/>
        </w:rPr>
        <w:t>具备设计和实现简单实时定价系统的能力</w:t>
      </w:r>
    </w:p>
    <w:p>
      <w:pPr>
        <w:pStyle w:val="Heading2"/>
        <w:spacing w:before="240" w:after="80"/>
      </w:pPr>
      <w:r>
        <w:rPr>
          <w:rFonts w:ascii="Times New Roman" w:hAnsi="Times New Roman" w:eastAsia="黑体"/>
          <w:b/>
          <w:i w:val="0"/>
          <w:sz w:val="28"/>
        </w:rPr>
        <w:t>E.3 教学进度安排</w:t>
      </w:r>
    </w:p>
    <w:tbl>
      <w:tblPr>
        <w:tblStyle w:val="LightGrid-Accent1"/>
        <w:tblW w:type="auto" w:w="0"/>
        <w:jc w:val="center"/>
        <w:tblLook w:firstColumn="1" w:firstRow="1" w:lastColumn="0" w:lastRow="0" w:noHBand="0" w:noVBand="1" w:val="04A0"/>
      </w:tblPr>
      <w:tblGrid>
        <w:gridCol w:w="2126"/>
        <w:gridCol w:w="2126"/>
        <w:gridCol w:w="2126"/>
        <w:gridCol w:w="2126"/>
      </w:tblGrid>
      <w:tr>
        <w:tc>
          <w:tcPr>
            <w:tcW w:type="dxa" w:w="2126"/>
          </w:tcPr>
          <w:p>
            <w:pPr>
              <w:spacing w:after="40" w:before="40"/>
            </w:pPr>
            <w:r>
              <w:rPr>
                <w:b/>
              </w:rPr>
            </w:r>
            <w:r>
              <w:rPr>
                <w:rFonts w:ascii="Times New Roman" w:hAnsi="Times New Roman" w:eastAsia="黑体"/>
                <w:b/>
                <w:i w:val="0"/>
                <w:sz w:val="20"/>
              </w:rPr>
              <w:t>周次</w:t>
            </w:r>
          </w:p>
        </w:tc>
        <w:tc>
          <w:tcPr>
            <w:tcW w:type="dxa" w:w="2126"/>
          </w:tcPr>
          <w:p>
            <w:pPr>
              <w:spacing w:after="40" w:before="40"/>
            </w:pPr>
            <w:r>
              <w:rPr>
                <w:b/>
              </w:rPr>
            </w:r>
            <w:r>
              <w:rPr>
                <w:rFonts w:ascii="Times New Roman" w:hAnsi="Times New Roman" w:eastAsia="黑体"/>
                <w:b/>
                <w:i w:val="0"/>
                <w:sz w:val="20"/>
              </w:rPr>
              <w:t>理论内容</w:t>
            </w:r>
          </w:p>
        </w:tc>
        <w:tc>
          <w:tcPr>
            <w:tcW w:type="dxa" w:w="2126"/>
          </w:tcPr>
          <w:p>
            <w:pPr>
              <w:spacing w:after="40" w:before="40"/>
            </w:pPr>
            <w:r>
              <w:rPr>
                <w:b/>
              </w:rPr>
            </w:r>
            <w:r>
              <w:rPr>
                <w:rFonts w:ascii="Times New Roman" w:hAnsi="Times New Roman" w:eastAsia="黑体"/>
                <w:b/>
                <w:i w:val="0"/>
                <w:sz w:val="20"/>
              </w:rPr>
              <w:t>实践内容</w:t>
            </w:r>
          </w:p>
        </w:tc>
        <w:tc>
          <w:tcPr>
            <w:tcW w:type="dxa" w:w="2126"/>
          </w:tcPr>
          <w:p>
            <w:pPr>
              <w:spacing w:after="40" w:before="40"/>
            </w:pPr>
            <w:r>
              <w:rPr>
                <w:b/>
              </w:rPr>
            </w:r>
            <w:r>
              <w:rPr>
                <w:rFonts w:ascii="Times New Roman" w:hAnsi="Times New Roman" w:eastAsia="黑体"/>
                <w:b/>
                <w:i w:val="0"/>
                <w:sz w:val="20"/>
              </w:rPr>
              <w:t>学时</w:t>
            </w:r>
          </w:p>
        </w:tc>
      </w:tr>
      <w:tr>
        <w:tc>
          <w:tcPr>
            <w:tcW w:type="dxa" w:w="2126"/>
          </w:tcPr>
          <w:p>
            <w:pPr>
              <w:spacing w:after="40" w:before="40"/>
            </w:pPr>
            <w:r/>
            <w:r>
              <w:rPr>
                <w:rFonts w:ascii="Times New Roman" w:hAnsi="Times New Roman" w:eastAsia="宋体"/>
                <w:b w:val="0"/>
                <w:i w:val="0"/>
                <w:sz w:val="20"/>
              </w:rPr>
              <w:t>1</w:t>
            </w:r>
          </w:p>
        </w:tc>
        <w:tc>
          <w:tcPr>
            <w:tcW w:type="dxa" w:w="2126"/>
          </w:tcPr>
          <w:p>
            <w:pPr>
              <w:spacing w:after="40" w:before="40"/>
            </w:pPr>
            <w:r/>
            <w:r>
              <w:rPr>
                <w:rFonts w:ascii="Times New Roman" w:hAnsi="Times New Roman" w:eastAsia="宋体"/>
                <w:b w:val="0"/>
                <w:i w:val="0"/>
                <w:sz w:val="20"/>
              </w:rPr>
              <w:t>第1章 智能电网与实时定价概述</w:t>
            </w:r>
          </w:p>
        </w:tc>
        <w:tc>
          <w:tcPr>
            <w:tcW w:type="dxa" w:w="2126"/>
          </w:tcPr>
          <w:p>
            <w:pPr>
              <w:spacing w:after="40" w:before="40"/>
            </w:pPr>
            <w:r/>
            <w:r>
              <w:rPr>
                <w:rFonts w:ascii="Times New Roman" w:hAnsi="Times New Roman" w:eastAsia="宋体"/>
                <w:b w:val="0"/>
                <w:i w:val="0"/>
                <w:sz w:val="20"/>
              </w:rPr>
              <w:t>环境搭建：Python+Gurobi</w:t>
            </w:r>
          </w:p>
        </w:tc>
        <w:tc>
          <w:tcPr>
            <w:tcW w:type="dxa" w:w="2126"/>
          </w:tcPr>
          <w:p>
            <w:pPr>
              <w:spacing w:after="40" w:before="40"/>
            </w:pPr>
            <w:r/>
            <w:r>
              <w:rPr>
                <w:rFonts w:ascii="Times New Roman" w:hAnsi="Times New Roman" w:eastAsia="宋体"/>
                <w:b w:val="0"/>
                <w:i w:val="0"/>
                <w:sz w:val="20"/>
              </w:rPr>
              <w:t>2+2</w:t>
            </w:r>
          </w:p>
        </w:tc>
      </w:tr>
      <w:tr>
        <w:tc>
          <w:tcPr>
            <w:tcW w:type="dxa" w:w="2126"/>
            <w:shd w:val="clear" w:color="auto" w:fill="F0F4F8"/>
          </w:tcPr>
          <w:p>
            <w:pPr>
              <w:spacing w:after="40" w:before="40"/>
            </w:pPr>
            <w:r/>
            <w:r>
              <w:rPr>
                <w:rFonts w:ascii="Times New Roman" w:hAnsi="Times New Roman" w:eastAsia="宋体"/>
                <w:b w:val="0"/>
                <w:i w:val="0"/>
                <w:sz w:val="20"/>
              </w:rPr>
              <w:t>2</w:t>
            </w:r>
          </w:p>
        </w:tc>
        <w:tc>
          <w:tcPr>
            <w:tcW w:type="dxa" w:w="2126"/>
            <w:shd w:val="clear" w:color="auto" w:fill="F0F4F8"/>
          </w:tcPr>
          <w:p>
            <w:pPr>
              <w:spacing w:after="40" w:before="40"/>
            </w:pPr>
            <w:r/>
            <w:r>
              <w:rPr>
                <w:rFonts w:ascii="Times New Roman" w:hAnsi="Times New Roman" w:eastAsia="宋体"/>
                <w:b w:val="0"/>
                <w:i w:val="0"/>
                <w:sz w:val="20"/>
              </w:rPr>
              <w:t>第2章 需求响应理论基础</w:t>
            </w:r>
          </w:p>
        </w:tc>
        <w:tc>
          <w:tcPr>
            <w:tcW w:type="dxa" w:w="2126"/>
            <w:shd w:val="clear" w:color="auto" w:fill="F0F4F8"/>
          </w:tcPr>
          <w:p>
            <w:pPr>
              <w:spacing w:after="40" w:before="40"/>
            </w:pPr>
            <w:r/>
            <w:r>
              <w:rPr>
                <w:rFonts w:ascii="Times New Roman" w:hAnsi="Times New Roman" w:eastAsia="宋体"/>
                <w:b w:val="0"/>
                <w:i w:val="0"/>
                <w:sz w:val="20"/>
              </w:rPr>
              <w:t>DR案例分析（Pecan Street数据）</w:t>
            </w:r>
          </w:p>
        </w:tc>
        <w:tc>
          <w:tcPr>
            <w:tcW w:type="dxa" w:w="2126"/>
            <w:shd w:val="clear" w:color="auto" w:fill="F0F4F8"/>
          </w:tcPr>
          <w:p>
            <w:pPr>
              <w:spacing w:after="40" w:before="40"/>
            </w:pPr>
            <w:r/>
            <w:r>
              <w:rPr>
                <w:rFonts w:ascii="Times New Roman" w:hAnsi="Times New Roman" w:eastAsia="宋体"/>
                <w:b w:val="0"/>
                <w:i w:val="0"/>
                <w:sz w:val="20"/>
              </w:rPr>
              <w:t>2+2</w:t>
            </w:r>
          </w:p>
        </w:tc>
      </w:tr>
      <w:tr>
        <w:tc>
          <w:tcPr>
            <w:tcW w:type="dxa" w:w="2126"/>
          </w:tcPr>
          <w:p>
            <w:pPr>
              <w:spacing w:after="40" w:before="40"/>
            </w:pPr>
            <w:r/>
            <w:r>
              <w:rPr>
                <w:rFonts w:ascii="Times New Roman" w:hAnsi="Times New Roman" w:eastAsia="宋体"/>
                <w:b w:val="0"/>
                <w:i w:val="0"/>
                <w:sz w:val="20"/>
              </w:rPr>
              <w:t>3</w:t>
            </w:r>
          </w:p>
        </w:tc>
        <w:tc>
          <w:tcPr>
            <w:tcW w:type="dxa" w:w="2126"/>
          </w:tcPr>
          <w:p>
            <w:pPr>
              <w:spacing w:after="40" w:before="40"/>
            </w:pPr>
            <w:r/>
            <w:r>
              <w:rPr>
                <w:rFonts w:ascii="Times New Roman" w:hAnsi="Times New Roman" w:eastAsia="宋体"/>
                <w:b w:val="0"/>
                <w:i w:val="0"/>
                <w:sz w:val="20"/>
              </w:rPr>
              <w:t>第3章 实时定价的经济学原理</w:t>
            </w:r>
          </w:p>
        </w:tc>
        <w:tc>
          <w:tcPr>
            <w:tcW w:type="dxa" w:w="2126"/>
          </w:tcPr>
          <w:p>
            <w:pPr>
              <w:spacing w:after="40" w:before="40"/>
            </w:pPr>
            <w:r/>
            <w:r>
              <w:rPr>
                <w:rFonts w:ascii="Times New Roman" w:hAnsi="Times New Roman" w:eastAsia="宋体"/>
                <w:b w:val="0"/>
                <w:i w:val="0"/>
                <w:sz w:val="20"/>
              </w:rPr>
              <w:t>边际成本定价仿真</w:t>
            </w:r>
          </w:p>
        </w:tc>
        <w:tc>
          <w:tcPr>
            <w:tcW w:type="dxa" w:w="2126"/>
          </w:tcPr>
          <w:p>
            <w:pPr>
              <w:spacing w:after="40" w:before="40"/>
            </w:pPr>
            <w:r/>
            <w:r>
              <w:rPr>
                <w:rFonts w:ascii="Times New Roman" w:hAnsi="Times New Roman" w:eastAsia="宋体"/>
                <w:b w:val="0"/>
                <w:i w:val="0"/>
                <w:sz w:val="20"/>
              </w:rPr>
              <w:t>2+2</w:t>
            </w:r>
          </w:p>
        </w:tc>
      </w:tr>
      <w:tr>
        <w:tc>
          <w:tcPr>
            <w:tcW w:type="dxa" w:w="2126"/>
            <w:shd w:val="clear" w:color="auto" w:fill="F0F4F8"/>
          </w:tcPr>
          <w:p>
            <w:pPr>
              <w:spacing w:after="40" w:before="40"/>
            </w:pPr>
            <w:r/>
            <w:r>
              <w:rPr>
                <w:rFonts w:ascii="Times New Roman" w:hAnsi="Times New Roman" w:eastAsia="宋体"/>
                <w:b w:val="0"/>
                <w:i w:val="0"/>
                <w:sz w:val="20"/>
              </w:rPr>
              <w:t>4</w:t>
            </w:r>
          </w:p>
        </w:tc>
        <w:tc>
          <w:tcPr>
            <w:tcW w:type="dxa" w:w="2126"/>
            <w:shd w:val="clear" w:color="auto" w:fill="F0F4F8"/>
          </w:tcPr>
          <w:p>
            <w:pPr>
              <w:spacing w:after="40" w:before="40"/>
            </w:pPr>
            <w:r/>
            <w:r>
              <w:rPr>
                <w:rFonts w:ascii="Times New Roman" w:hAnsi="Times New Roman" w:eastAsia="宋体"/>
                <w:b w:val="0"/>
                <w:i w:val="0"/>
                <w:sz w:val="20"/>
              </w:rPr>
              <w:t>第4章 效用函数与社会福利模型</w:t>
            </w:r>
          </w:p>
        </w:tc>
        <w:tc>
          <w:tcPr>
            <w:tcW w:type="dxa" w:w="2126"/>
            <w:shd w:val="clear" w:color="auto" w:fill="F0F4F8"/>
          </w:tcPr>
          <w:p>
            <w:pPr>
              <w:spacing w:after="40" w:before="40"/>
            </w:pPr>
            <w:r/>
            <w:r>
              <w:rPr>
                <w:rFonts w:ascii="Times New Roman" w:hAnsi="Times New Roman" w:eastAsia="宋体"/>
                <w:b w:val="0"/>
                <w:i w:val="0"/>
                <w:sz w:val="20"/>
              </w:rPr>
              <w:t>二次效用函数参数标定</w:t>
            </w:r>
          </w:p>
        </w:tc>
        <w:tc>
          <w:tcPr>
            <w:tcW w:type="dxa" w:w="2126"/>
            <w:shd w:val="clear" w:color="auto" w:fill="F0F4F8"/>
          </w:tcPr>
          <w:p>
            <w:pPr>
              <w:spacing w:after="40" w:before="40"/>
            </w:pPr>
            <w:r/>
            <w:r>
              <w:rPr>
                <w:rFonts w:ascii="Times New Roman" w:hAnsi="Times New Roman" w:eastAsia="宋体"/>
                <w:b w:val="0"/>
                <w:i w:val="0"/>
                <w:sz w:val="20"/>
              </w:rPr>
              <w:t>2+2</w:t>
            </w:r>
          </w:p>
        </w:tc>
      </w:tr>
      <w:tr>
        <w:tc>
          <w:tcPr>
            <w:tcW w:type="dxa" w:w="2126"/>
          </w:tcPr>
          <w:p>
            <w:pPr>
              <w:spacing w:after="40" w:before="40"/>
            </w:pPr>
            <w:r/>
            <w:r>
              <w:rPr>
                <w:rFonts w:ascii="Times New Roman" w:hAnsi="Times New Roman" w:eastAsia="宋体"/>
                <w:b w:val="0"/>
                <w:i w:val="0"/>
                <w:sz w:val="20"/>
              </w:rPr>
              <w:t>5</w:t>
            </w:r>
          </w:p>
        </w:tc>
        <w:tc>
          <w:tcPr>
            <w:tcW w:type="dxa" w:w="2126"/>
          </w:tcPr>
          <w:p>
            <w:pPr>
              <w:spacing w:after="40" w:before="40"/>
            </w:pPr>
            <w:r/>
            <w:r>
              <w:rPr>
                <w:rFonts w:ascii="Times New Roman" w:hAnsi="Times New Roman" w:eastAsia="宋体"/>
                <w:b w:val="0"/>
                <w:i w:val="0"/>
                <w:sz w:val="20"/>
              </w:rPr>
              <w:t>第4章（续）不同效用函数对比</w:t>
            </w:r>
          </w:p>
        </w:tc>
        <w:tc>
          <w:tcPr>
            <w:tcW w:type="dxa" w:w="2126"/>
          </w:tcPr>
          <w:p>
            <w:pPr>
              <w:spacing w:after="40" w:before="40"/>
            </w:pPr>
            <w:r/>
            <w:r>
              <w:rPr>
                <w:rFonts w:ascii="Times New Roman" w:hAnsi="Times New Roman" w:eastAsia="宋体"/>
                <w:b w:val="0"/>
                <w:i w:val="0"/>
                <w:sz w:val="20"/>
              </w:rPr>
              <w:t>效用函数灵敏度分析</w:t>
            </w:r>
          </w:p>
        </w:tc>
        <w:tc>
          <w:tcPr>
            <w:tcW w:type="dxa" w:w="2126"/>
          </w:tcPr>
          <w:p>
            <w:pPr>
              <w:spacing w:after="40" w:before="40"/>
            </w:pPr>
            <w:r/>
            <w:r>
              <w:rPr>
                <w:rFonts w:ascii="Times New Roman" w:hAnsi="Times New Roman" w:eastAsia="宋体"/>
                <w:b w:val="0"/>
                <w:i w:val="0"/>
                <w:sz w:val="20"/>
              </w:rPr>
              <w:t>2+0</w:t>
            </w:r>
          </w:p>
        </w:tc>
      </w:tr>
      <w:tr>
        <w:tc>
          <w:tcPr>
            <w:tcW w:type="dxa" w:w="2126"/>
            <w:shd w:val="clear" w:color="auto" w:fill="F0F4F8"/>
          </w:tcPr>
          <w:p>
            <w:pPr>
              <w:spacing w:after="40" w:before="40"/>
            </w:pPr>
            <w:r/>
            <w:r>
              <w:rPr>
                <w:rFonts w:ascii="Times New Roman" w:hAnsi="Times New Roman" w:eastAsia="宋体"/>
                <w:b w:val="0"/>
                <w:i w:val="0"/>
                <w:sz w:val="20"/>
              </w:rPr>
              <w:t>6</w:t>
            </w:r>
          </w:p>
        </w:tc>
        <w:tc>
          <w:tcPr>
            <w:tcW w:type="dxa" w:w="2126"/>
            <w:shd w:val="clear" w:color="auto" w:fill="F0F4F8"/>
          </w:tcPr>
          <w:p>
            <w:pPr>
              <w:spacing w:after="40" w:before="40"/>
            </w:pPr>
            <w:r/>
            <w:r>
              <w:rPr>
                <w:rFonts w:ascii="Times New Roman" w:hAnsi="Times New Roman" w:eastAsia="宋体"/>
                <w:b w:val="0"/>
                <w:i w:val="0"/>
                <w:sz w:val="20"/>
              </w:rPr>
              <w:t>第5章 互补问题基础</w:t>
            </w:r>
          </w:p>
        </w:tc>
        <w:tc>
          <w:tcPr>
            <w:tcW w:type="dxa" w:w="2126"/>
            <w:shd w:val="clear" w:color="auto" w:fill="F0F4F8"/>
          </w:tcPr>
          <w:p>
            <w:pPr>
              <w:spacing w:after="40" w:before="40"/>
            </w:pPr>
            <w:r/>
            <w:r>
              <w:rPr>
                <w:rFonts w:ascii="Times New Roman" w:hAnsi="Times New Roman" w:eastAsia="宋体"/>
                <w:b w:val="0"/>
                <w:i w:val="0"/>
                <w:sz w:val="20"/>
              </w:rPr>
              <w:t>KKT条件验证实验</w:t>
            </w:r>
          </w:p>
        </w:tc>
        <w:tc>
          <w:tcPr>
            <w:tcW w:type="dxa" w:w="2126"/>
            <w:shd w:val="clear" w:color="auto" w:fill="F0F4F8"/>
          </w:tcPr>
          <w:p>
            <w:pPr>
              <w:spacing w:after="40" w:before="40"/>
            </w:pPr>
            <w:r/>
            <w:r>
              <w:rPr>
                <w:rFonts w:ascii="Times New Roman" w:hAnsi="Times New Roman" w:eastAsia="宋体"/>
                <w:b w:val="0"/>
                <w:i w:val="0"/>
                <w:sz w:val="20"/>
              </w:rPr>
              <w:t>2+2</w:t>
            </w:r>
          </w:p>
        </w:tc>
      </w:tr>
      <w:tr>
        <w:tc>
          <w:tcPr>
            <w:tcW w:type="dxa" w:w="2126"/>
          </w:tcPr>
          <w:p>
            <w:pPr>
              <w:spacing w:after="40" w:before="40"/>
            </w:pPr>
            <w:r/>
            <w:r>
              <w:rPr>
                <w:rFonts w:ascii="Times New Roman" w:hAnsi="Times New Roman" w:eastAsia="宋体"/>
                <w:b w:val="0"/>
                <w:i w:val="0"/>
                <w:sz w:val="20"/>
              </w:rPr>
              <w:t>7</w:t>
            </w:r>
          </w:p>
        </w:tc>
        <w:tc>
          <w:tcPr>
            <w:tcW w:type="dxa" w:w="2126"/>
          </w:tcPr>
          <w:p>
            <w:pPr>
              <w:spacing w:after="40" w:before="40"/>
            </w:pPr>
            <w:r/>
            <w:r>
              <w:rPr>
                <w:rFonts w:ascii="Times New Roman" w:hAnsi="Times New Roman" w:eastAsia="宋体"/>
                <w:b w:val="0"/>
                <w:i w:val="0"/>
                <w:sz w:val="20"/>
              </w:rPr>
              <w:t>第5章（续）光滑化牛顿法</w:t>
            </w:r>
          </w:p>
        </w:tc>
        <w:tc>
          <w:tcPr>
            <w:tcW w:type="dxa" w:w="2126"/>
          </w:tcPr>
          <w:p>
            <w:pPr>
              <w:spacing w:after="40" w:before="40"/>
            </w:pPr>
            <w:r/>
            <w:r>
              <w:rPr>
                <w:rFonts w:ascii="Times New Roman" w:hAnsi="Times New Roman" w:eastAsia="宋体"/>
                <w:b w:val="0"/>
                <w:i w:val="0"/>
                <w:sz w:val="20"/>
              </w:rPr>
              <w:t>FB函数实现与测试</w:t>
            </w:r>
          </w:p>
        </w:tc>
        <w:tc>
          <w:tcPr>
            <w:tcW w:type="dxa" w:w="2126"/>
          </w:tcPr>
          <w:p>
            <w:pPr>
              <w:spacing w:after="40" w:before="40"/>
            </w:pPr>
            <w:r/>
            <w:r>
              <w:rPr>
                <w:rFonts w:ascii="Times New Roman" w:hAnsi="Times New Roman" w:eastAsia="宋体"/>
                <w:b w:val="0"/>
                <w:i w:val="0"/>
                <w:sz w:val="20"/>
              </w:rPr>
              <w:t>2+2</w:t>
            </w:r>
          </w:p>
        </w:tc>
      </w:tr>
      <w:tr>
        <w:tc>
          <w:tcPr>
            <w:tcW w:type="dxa" w:w="2126"/>
            <w:shd w:val="clear" w:color="auto" w:fill="F0F4F8"/>
          </w:tcPr>
          <w:p>
            <w:pPr>
              <w:spacing w:after="40" w:before="40"/>
            </w:pPr>
            <w:r/>
            <w:r>
              <w:rPr>
                <w:rFonts w:ascii="Times New Roman" w:hAnsi="Times New Roman" w:eastAsia="宋体"/>
                <w:b w:val="0"/>
                <w:i w:val="0"/>
                <w:sz w:val="20"/>
              </w:rPr>
              <w:t>8</w:t>
            </w:r>
          </w:p>
        </w:tc>
        <w:tc>
          <w:tcPr>
            <w:tcW w:type="dxa" w:w="2126"/>
            <w:shd w:val="clear" w:color="auto" w:fill="F0F4F8"/>
          </w:tcPr>
          <w:p>
            <w:pPr>
              <w:spacing w:after="40" w:before="40"/>
            </w:pPr>
            <w:r/>
            <w:r>
              <w:rPr>
                <w:rFonts w:ascii="Times New Roman" w:hAnsi="Times New Roman" w:eastAsia="宋体"/>
                <w:b w:val="0"/>
                <w:i w:val="0"/>
                <w:sz w:val="20"/>
              </w:rPr>
              <w:t>第6章 博弈论与多Agent定价</w:t>
            </w:r>
          </w:p>
        </w:tc>
        <w:tc>
          <w:tcPr>
            <w:tcW w:type="dxa" w:w="2126"/>
            <w:shd w:val="clear" w:color="auto" w:fill="F0F4F8"/>
          </w:tcPr>
          <w:p>
            <w:pPr>
              <w:spacing w:after="40" w:before="40"/>
            </w:pPr>
            <w:r/>
            <w:r>
              <w:rPr>
                <w:rFonts w:ascii="Times New Roman" w:hAnsi="Times New Roman" w:eastAsia="宋体"/>
                <w:b w:val="0"/>
                <w:i w:val="0"/>
                <w:sz w:val="20"/>
              </w:rPr>
              <w:t>Stackelberg博弈仿真</w:t>
            </w:r>
          </w:p>
        </w:tc>
        <w:tc>
          <w:tcPr>
            <w:tcW w:type="dxa" w:w="2126"/>
            <w:shd w:val="clear" w:color="auto" w:fill="F0F4F8"/>
          </w:tcPr>
          <w:p>
            <w:pPr>
              <w:spacing w:after="40" w:before="40"/>
            </w:pPr>
            <w:r/>
            <w:r>
              <w:rPr>
                <w:rFonts w:ascii="Times New Roman" w:hAnsi="Times New Roman" w:eastAsia="宋体"/>
                <w:b w:val="0"/>
                <w:i w:val="0"/>
                <w:sz w:val="20"/>
              </w:rPr>
              <w:t>2+2</w:t>
            </w:r>
          </w:p>
        </w:tc>
      </w:tr>
      <w:tr>
        <w:tc>
          <w:tcPr>
            <w:tcW w:type="dxa" w:w="2126"/>
          </w:tcPr>
          <w:p>
            <w:pPr>
              <w:spacing w:after="40" w:before="40"/>
            </w:pPr>
            <w:r/>
            <w:r>
              <w:rPr>
                <w:rFonts w:ascii="Times New Roman" w:hAnsi="Times New Roman" w:eastAsia="宋体"/>
                <w:b w:val="0"/>
                <w:i w:val="0"/>
                <w:sz w:val="20"/>
              </w:rPr>
              <w:t>9</w:t>
            </w:r>
          </w:p>
        </w:tc>
        <w:tc>
          <w:tcPr>
            <w:tcW w:type="dxa" w:w="2126"/>
          </w:tcPr>
          <w:p>
            <w:pPr>
              <w:spacing w:after="40" w:before="40"/>
            </w:pPr>
            <w:r/>
            <w:r>
              <w:rPr>
                <w:rFonts w:ascii="Times New Roman" w:hAnsi="Times New Roman" w:eastAsia="宋体"/>
                <w:b w:val="0"/>
                <w:i w:val="0"/>
                <w:sz w:val="20"/>
              </w:rPr>
              <w:t>第7章 优化求解算法</w:t>
            </w:r>
          </w:p>
        </w:tc>
        <w:tc>
          <w:tcPr>
            <w:tcW w:type="dxa" w:w="2126"/>
          </w:tcPr>
          <w:p>
            <w:pPr>
              <w:spacing w:after="40" w:before="40"/>
            </w:pPr>
            <w:r/>
            <w:r>
              <w:rPr>
                <w:rFonts w:ascii="Times New Roman" w:hAnsi="Times New Roman" w:eastAsia="宋体"/>
                <w:b w:val="0"/>
                <w:i w:val="0"/>
                <w:sz w:val="20"/>
              </w:rPr>
              <w:t>对偶分解法实现</w:t>
            </w:r>
          </w:p>
        </w:tc>
        <w:tc>
          <w:tcPr>
            <w:tcW w:type="dxa" w:w="2126"/>
          </w:tcPr>
          <w:p>
            <w:pPr>
              <w:spacing w:after="40" w:before="40"/>
            </w:pPr>
            <w:r/>
            <w:r>
              <w:rPr>
                <w:rFonts w:ascii="Times New Roman" w:hAnsi="Times New Roman" w:eastAsia="宋体"/>
                <w:b w:val="0"/>
                <w:i w:val="0"/>
                <w:sz w:val="20"/>
              </w:rPr>
              <w:t>2+2</w:t>
            </w:r>
          </w:p>
        </w:tc>
      </w:tr>
      <w:tr>
        <w:tc>
          <w:tcPr>
            <w:tcW w:type="dxa" w:w="2126"/>
            <w:shd w:val="clear" w:color="auto" w:fill="F0F4F8"/>
          </w:tcPr>
          <w:p>
            <w:pPr>
              <w:spacing w:after="40" w:before="40"/>
            </w:pPr>
            <w:r/>
            <w:r>
              <w:rPr>
                <w:rFonts w:ascii="Times New Roman" w:hAnsi="Times New Roman" w:eastAsia="宋体"/>
                <w:b w:val="0"/>
                <w:i w:val="0"/>
                <w:sz w:val="20"/>
              </w:rPr>
              <w:t>10</w:t>
            </w:r>
          </w:p>
        </w:tc>
        <w:tc>
          <w:tcPr>
            <w:tcW w:type="dxa" w:w="2126"/>
            <w:shd w:val="clear" w:color="auto" w:fill="F0F4F8"/>
          </w:tcPr>
          <w:p>
            <w:pPr>
              <w:spacing w:after="40" w:before="40"/>
            </w:pPr>
            <w:r/>
            <w:r>
              <w:rPr>
                <w:rFonts w:ascii="Times New Roman" w:hAnsi="Times New Roman" w:eastAsia="宋体"/>
                <w:b w:val="0"/>
                <w:i w:val="0"/>
                <w:sz w:val="20"/>
              </w:rPr>
              <w:t>第7章（续）分布式算法</w:t>
            </w:r>
          </w:p>
        </w:tc>
        <w:tc>
          <w:tcPr>
            <w:tcW w:type="dxa" w:w="2126"/>
            <w:shd w:val="clear" w:color="auto" w:fill="F0F4F8"/>
          </w:tcPr>
          <w:p>
            <w:pPr>
              <w:spacing w:after="40" w:before="40"/>
            </w:pPr>
            <w:r/>
            <w:r>
              <w:rPr>
                <w:rFonts w:ascii="Times New Roman" w:hAnsi="Times New Roman" w:eastAsia="宋体"/>
                <w:b w:val="0"/>
                <w:i w:val="0"/>
                <w:sz w:val="20"/>
              </w:rPr>
              <w:t>ADMM分布式求解</w:t>
            </w:r>
          </w:p>
        </w:tc>
        <w:tc>
          <w:tcPr>
            <w:tcW w:type="dxa" w:w="2126"/>
            <w:shd w:val="clear" w:color="auto" w:fill="F0F4F8"/>
          </w:tcPr>
          <w:p>
            <w:pPr>
              <w:spacing w:after="40" w:before="40"/>
            </w:pPr>
            <w:r/>
            <w:r>
              <w:rPr>
                <w:rFonts w:ascii="Times New Roman" w:hAnsi="Times New Roman" w:eastAsia="宋体"/>
                <w:b w:val="0"/>
                <w:i w:val="0"/>
                <w:sz w:val="20"/>
              </w:rPr>
              <w:t>2+0</w:t>
            </w:r>
          </w:p>
        </w:tc>
      </w:tr>
      <w:tr>
        <w:tc>
          <w:tcPr>
            <w:tcW w:type="dxa" w:w="2126"/>
          </w:tcPr>
          <w:p>
            <w:pPr>
              <w:spacing w:after="40" w:before="40"/>
            </w:pPr>
            <w:r/>
            <w:r>
              <w:rPr>
                <w:rFonts w:ascii="Times New Roman" w:hAnsi="Times New Roman" w:eastAsia="宋体"/>
                <w:b w:val="0"/>
                <w:i w:val="0"/>
                <w:sz w:val="20"/>
              </w:rPr>
              <w:t>11</w:t>
            </w:r>
          </w:p>
        </w:tc>
        <w:tc>
          <w:tcPr>
            <w:tcW w:type="dxa" w:w="2126"/>
          </w:tcPr>
          <w:p>
            <w:pPr>
              <w:spacing w:after="40" w:before="40"/>
            </w:pPr>
            <w:r/>
            <w:r>
              <w:rPr>
                <w:rFonts w:ascii="Times New Roman" w:hAnsi="Times New Roman" w:eastAsia="宋体"/>
                <w:b w:val="0"/>
                <w:i w:val="0"/>
                <w:sz w:val="20"/>
              </w:rPr>
              <w:t>第8章 强化学习与智能定价</w:t>
            </w:r>
          </w:p>
        </w:tc>
        <w:tc>
          <w:tcPr>
            <w:tcW w:type="dxa" w:w="2126"/>
          </w:tcPr>
          <w:p>
            <w:pPr>
              <w:spacing w:after="40" w:before="40"/>
            </w:pPr>
            <w:r/>
            <w:r>
              <w:rPr>
                <w:rFonts w:ascii="Times New Roman" w:hAnsi="Times New Roman" w:eastAsia="宋体"/>
                <w:b w:val="0"/>
                <w:i w:val="0"/>
                <w:sz w:val="20"/>
              </w:rPr>
              <w:t>Q学习定价实验</w:t>
            </w:r>
          </w:p>
        </w:tc>
        <w:tc>
          <w:tcPr>
            <w:tcW w:type="dxa" w:w="2126"/>
          </w:tcPr>
          <w:p>
            <w:pPr>
              <w:spacing w:after="40" w:before="40"/>
            </w:pPr>
            <w:r/>
            <w:r>
              <w:rPr>
                <w:rFonts w:ascii="Times New Roman" w:hAnsi="Times New Roman" w:eastAsia="宋体"/>
                <w:b w:val="0"/>
                <w:i w:val="0"/>
                <w:sz w:val="20"/>
              </w:rPr>
              <w:t>2+2</w:t>
            </w:r>
          </w:p>
        </w:tc>
      </w:tr>
      <w:tr>
        <w:tc>
          <w:tcPr>
            <w:tcW w:type="dxa" w:w="2126"/>
            <w:shd w:val="clear" w:color="auto" w:fill="F0F4F8"/>
          </w:tcPr>
          <w:p>
            <w:pPr>
              <w:spacing w:after="40" w:before="40"/>
            </w:pPr>
            <w:r/>
            <w:r>
              <w:rPr>
                <w:rFonts w:ascii="Times New Roman" w:hAnsi="Times New Roman" w:eastAsia="宋体"/>
                <w:b w:val="0"/>
                <w:i w:val="0"/>
                <w:sz w:val="20"/>
              </w:rPr>
              <w:t>12</w:t>
            </w:r>
          </w:p>
        </w:tc>
        <w:tc>
          <w:tcPr>
            <w:tcW w:type="dxa" w:w="2126"/>
            <w:shd w:val="clear" w:color="auto" w:fill="F0F4F8"/>
          </w:tcPr>
          <w:p>
            <w:pPr>
              <w:spacing w:after="40" w:before="40"/>
            </w:pPr>
            <w:r/>
            <w:r>
              <w:rPr>
                <w:rFonts w:ascii="Times New Roman" w:hAnsi="Times New Roman" w:eastAsia="宋体"/>
                <w:b w:val="0"/>
                <w:i w:val="0"/>
                <w:sz w:val="20"/>
              </w:rPr>
              <w:t>第9章 不确定性与鲁棒优化</w:t>
            </w:r>
          </w:p>
        </w:tc>
        <w:tc>
          <w:tcPr>
            <w:tcW w:type="dxa" w:w="2126"/>
            <w:shd w:val="clear" w:color="auto" w:fill="F0F4F8"/>
          </w:tcPr>
          <w:p>
            <w:pPr>
              <w:spacing w:after="40" w:before="40"/>
            </w:pPr>
            <w:r/>
            <w:r>
              <w:rPr>
                <w:rFonts w:ascii="Times New Roman" w:hAnsi="Times New Roman" w:eastAsia="宋体"/>
                <w:b w:val="0"/>
                <w:i w:val="0"/>
                <w:sz w:val="20"/>
              </w:rPr>
              <w:t>鲁棒优化对比实验</w:t>
            </w:r>
          </w:p>
        </w:tc>
        <w:tc>
          <w:tcPr>
            <w:tcW w:type="dxa" w:w="2126"/>
            <w:shd w:val="clear" w:color="auto" w:fill="F0F4F8"/>
          </w:tcPr>
          <w:p>
            <w:pPr>
              <w:spacing w:after="40" w:before="40"/>
            </w:pPr>
            <w:r/>
            <w:r>
              <w:rPr>
                <w:rFonts w:ascii="Times New Roman" w:hAnsi="Times New Roman" w:eastAsia="宋体"/>
                <w:b w:val="0"/>
                <w:i w:val="0"/>
                <w:sz w:val="20"/>
              </w:rPr>
              <w:t>2+2</w:t>
            </w:r>
          </w:p>
        </w:tc>
      </w:tr>
      <w:tr>
        <w:tc>
          <w:tcPr>
            <w:tcW w:type="dxa" w:w="2126"/>
          </w:tcPr>
          <w:p>
            <w:pPr>
              <w:spacing w:after="40" w:before="40"/>
            </w:pPr>
            <w:r/>
            <w:r>
              <w:rPr>
                <w:rFonts w:ascii="Times New Roman" w:hAnsi="Times New Roman" w:eastAsia="宋体"/>
                <w:b w:val="0"/>
                <w:i w:val="0"/>
                <w:sz w:val="20"/>
              </w:rPr>
              <w:t>13</w:t>
            </w:r>
          </w:p>
        </w:tc>
        <w:tc>
          <w:tcPr>
            <w:tcW w:type="dxa" w:w="2126"/>
          </w:tcPr>
          <w:p>
            <w:pPr>
              <w:spacing w:after="40" w:before="40"/>
            </w:pPr>
            <w:r/>
            <w:r>
              <w:rPr>
                <w:rFonts w:ascii="Times New Roman" w:hAnsi="Times New Roman" w:eastAsia="宋体"/>
                <w:b w:val="0"/>
                <w:i w:val="0"/>
                <w:sz w:val="20"/>
              </w:rPr>
              <w:t>第10章 碳交易与绿色定价</w:t>
            </w:r>
          </w:p>
        </w:tc>
        <w:tc>
          <w:tcPr>
            <w:tcW w:type="dxa" w:w="2126"/>
          </w:tcPr>
          <w:p>
            <w:pPr>
              <w:spacing w:after="40" w:before="40"/>
            </w:pPr>
            <w:r/>
            <w:r>
              <w:rPr>
                <w:rFonts w:ascii="Times New Roman" w:hAnsi="Times New Roman" w:eastAsia="宋体"/>
                <w:b w:val="0"/>
                <w:i w:val="0"/>
                <w:sz w:val="20"/>
              </w:rPr>
              <w:t>碳-电联合优化</w:t>
            </w:r>
          </w:p>
        </w:tc>
        <w:tc>
          <w:tcPr>
            <w:tcW w:type="dxa" w:w="2126"/>
          </w:tcPr>
          <w:p>
            <w:pPr>
              <w:spacing w:after="40" w:before="40"/>
            </w:pPr>
            <w:r/>
            <w:r>
              <w:rPr>
                <w:rFonts w:ascii="Times New Roman" w:hAnsi="Times New Roman" w:eastAsia="宋体"/>
                <w:b w:val="0"/>
                <w:i w:val="0"/>
                <w:sz w:val="20"/>
              </w:rPr>
              <w:t>2+0</w:t>
            </w:r>
          </w:p>
        </w:tc>
      </w:tr>
      <w:tr>
        <w:tc>
          <w:tcPr>
            <w:tcW w:type="dxa" w:w="2126"/>
            <w:shd w:val="clear" w:color="auto" w:fill="F0F4F8"/>
          </w:tcPr>
          <w:p>
            <w:pPr>
              <w:spacing w:after="40" w:before="40"/>
            </w:pPr>
            <w:r/>
            <w:r>
              <w:rPr>
                <w:rFonts w:ascii="Times New Roman" w:hAnsi="Times New Roman" w:eastAsia="宋体"/>
                <w:b w:val="0"/>
                <w:i w:val="0"/>
                <w:sz w:val="20"/>
              </w:rPr>
              <w:t>14</w:t>
            </w:r>
          </w:p>
        </w:tc>
        <w:tc>
          <w:tcPr>
            <w:tcW w:type="dxa" w:w="2126"/>
            <w:shd w:val="clear" w:color="auto" w:fill="F0F4F8"/>
          </w:tcPr>
          <w:p>
            <w:pPr>
              <w:spacing w:after="40" w:before="40"/>
            </w:pPr>
            <w:r/>
            <w:r>
              <w:rPr>
                <w:rFonts w:ascii="Times New Roman" w:hAnsi="Times New Roman" w:eastAsia="宋体"/>
                <w:b w:val="0"/>
                <w:i w:val="0"/>
                <w:sz w:val="20"/>
              </w:rPr>
              <w:t>第11章 综合能源系统定价</w:t>
            </w:r>
          </w:p>
        </w:tc>
        <w:tc>
          <w:tcPr>
            <w:tcW w:type="dxa" w:w="2126"/>
            <w:shd w:val="clear" w:color="auto" w:fill="F0F4F8"/>
          </w:tcPr>
          <w:p>
            <w:pPr>
              <w:spacing w:after="40" w:before="40"/>
            </w:pPr>
            <w:r/>
            <w:r>
              <w:rPr>
                <w:rFonts w:ascii="Times New Roman" w:hAnsi="Times New Roman" w:eastAsia="宋体"/>
                <w:b w:val="0"/>
                <w:i w:val="0"/>
                <w:sz w:val="20"/>
              </w:rPr>
              <w:t>多能源耦合仿真</w:t>
            </w:r>
          </w:p>
        </w:tc>
        <w:tc>
          <w:tcPr>
            <w:tcW w:type="dxa" w:w="2126"/>
            <w:shd w:val="clear" w:color="auto" w:fill="F0F4F8"/>
          </w:tcPr>
          <w:p>
            <w:pPr>
              <w:spacing w:after="40" w:before="40"/>
            </w:pPr>
            <w:r/>
            <w:r>
              <w:rPr>
                <w:rFonts w:ascii="Times New Roman" w:hAnsi="Times New Roman" w:eastAsia="宋体"/>
                <w:b w:val="0"/>
                <w:i w:val="0"/>
                <w:sz w:val="20"/>
              </w:rPr>
              <w:t>2+2</w:t>
            </w:r>
          </w:p>
        </w:tc>
      </w:tr>
      <w:tr>
        <w:tc>
          <w:tcPr>
            <w:tcW w:type="dxa" w:w="2126"/>
          </w:tcPr>
          <w:p>
            <w:pPr>
              <w:spacing w:after="40" w:before="40"/>
            </w:pPr>
            <w:r/>
            <w:r>
              <w:rPr>
                <w:rFonts w:ascii="Times New Roman" w:hAnsi="Times New Roman" w:eastAsia="宋体"/>
                <w:b w:val="0"/>
                <w:i w:val="0"/>
                <w:sz w:val="20"/>
              </w:rPr>
              <w:t>15</w:t>
            </w:r>
          </w:p>
        </w:tc>
        <w:tc>
          <w:tcPr>
            <w:tcW w:type="dxa" w:w="2126"/>
          </w:tcPr>
          <w:p>
            <w:pPr>
              <w:spacing w:after="40" w:before="40"/>
            </w:pPr>
            <w:r/>
            <w:r>
              <w:rPr>
                <w:rFonts w:ascii="Times New Roman" w:hAnsi="Times New Roman" w:eastAsia="宋体"/>
                <w:b w:val="0"/>
                <w:i w:val="0"/>
                <w:sz w:val="20"/>
              </w:rPr>
              <w:t>第12章 未来展望与挑战</w:t>
            </w:r>
          </w:p>
        </w:tc>
        <w:tc>
          <w:tcPr>
            <w:tcW w:type="dxa" w:w="2126"/>
          </w:tcPr>
          <w:p>
            <w:pPr>
              <w:spacing w:after="40" w:before="40"/>
            </w:pPr>
            <w:r/>
            <w:r>
              <w:rPr>
                <w:rFonts w:ascii="Times New Roman" w:hAnsi="Times New Roman" w:eastAsia="宋体"/>
                <w:b w:val="0"/>
                <w:i w:val="0"/>
                <w:sz w:val="20"/>
              </w:rPr>
              <w:t>文献综述汇报</w:t>
            </w:r>
          </w:p>
        </w:tc>
        <w:tc>
          <w:tcPr>
            <w:tcW w:type="dxa" w:w="2126"/>
          </w:tcPr>
          <w:p>
            <w:pPr>
              <w:spacing w:after="40" w:before="40"/>
            </w:pPr>
            <w:r/>
            <w:r>
              <w:rPr>
                <w:rFonts w:ascii="Times New Roman" w:hAnsi="Times New Roman" w:eastAsia="宋体"/>
                <w:b w:val="0"/>
                <w:i w:val="0"/>
                <w:sz w:val="20"/>
              </w:rPr>
              <w:t>2+2</w:t>
            </w:r>
          </w:p>
        </w:tc>
      </w:tr>
      <w:tr>
        <w:tc>
          <w:tcPr>
            <w:tcW w:type="dxa" w:w="2126"/>
            <w:shd w:val="clear" w:color="auto" w:fill="F0F4F8"/>
          </w:tcPr>
          <w:p>
            <w:pPr>
              <w:spacing w:after="40" w:before="40"/>
            </w:pPr>
            <w:r/>
            <w:r>
              <w:rPr>
                <w:rFonts w:ascii="Times New Roman" w:hAnsi="Times New Roman" w:eastAsia="宋体"/>
                <w:b w:val="0"/>
                <w:i w:val="0"/>
                <w:sz w:val="20"/>
              </w:rPr>
              <w:t>16</w:t>
            </w:r>
          </w:p>
        </w:tc>
        <w:tc>
          <w:tcPr>
            <w:tcW w:type="dxa" w:w="2126"/>
            <w:shd w:val="clear" w:color="auto" w:fill="F0F4F8"/>
          </w:tcPr>
          <w:p>
            <w:pPr>
              <w:spacing w:after="40" w:before="40"/>
            </w:pPr>
            <w:r/>
            <w:r>
              <w:rPr>
                <w:rFonts w:ascii="Times New Roman" w:hAnsi="Times New Roman" w:eastAsia="宋体"/>
                <w:b w:val="0"/>
                <w:i w:val="0"/>
                <w:sz w:val="20"/>
              </w:rPr>
              <w:t>期末复习</w:t>
            </w:r>
          </w:p>
        </w:tc>
        <w:tc>
          <w:tcPr>
            <w:tcW w:type="dxa" w:w="2126"/>
            <w:shd w:val="clear" w:color="auto" w:fill="F0F4F8"/>
          </w:tcPr>
          <w:p>
            <w:pPr>
              <w:spacing w:after="40" w:before="40"/>
            </w:pPr>
            <w:r/>
            <w:r>
              <w:rPr>
                <w:rFonts w:ascii="Times New Roman" w:hAnsi="Times New Roman" w:eastAsia="宋体"/>
                <w:b w:val="0"/>
                <w:i w:val="0"/>
                <w:sz w:val="20"/>
              </w:rPr>
              <w:t>综合项目答辩</w:t>
            </w:r>
          </w:p>
        </w:tc>
        <w:tc>
          <w:tcPr>
            <w:tcW w:type="dxa" w:w="2126"/>
            <w:shd w:val="clear" w:color="auto" w:fill="F0F4F8"/>
          </w:tcPr>
          <w:p>
            <w:pPr>
              <w:spacing w:after="40" w:before="40"/>
            </w:pPr>
            <w:r/>
            <w:r>
              <w:rPr>
                <w:rFonts w:ascii="Times New Roman" w:hAnsi="Times New Roman" w:eastAsia="宋体"/>
                <w:b w:val="0"/>
                <w:i w:val="0"/>
                <w:sz w:val="20"/>
              </w:rPr>
              <w:t>2+2</w:t>
            </w:r>
          </w:p>
        </w:tc>
      </w:tr>
    </w:tbl>
    <w:p>
      <w:pPr>
        <w:pStyle w:val="Heading2"/>
        <w:spacing w:before="240" w:after="80"/>
      </w:pPr>
      <w:r>
        <w:rPr>
          <w:rFonts w:ascii="Times New Roman" w:hAnsi="Times New Roman" w:eastAsia="黑体"/>
          <w:b/>
          <w:i w:val="0"/>
          <w:sz w:val="28"/>
        </w:rPr>
        <w:t>E.4 教材与参考书目</w:t>
      </w:r>
    </w:p>
    <w:p>
      <w:pPr>
        <w:spacing w:line="360" w:lineRule="auto" w:after="0"/>
        <w:ind w:firstLine="425"/>
      </w:pPr>
      <w:r>
        <w:rPr>
          <w:rFonts w:ascii="Times New Roman" w:hAnsi="Times New Roman" w:eastAsia="宋体"/>
          <w:b/>
          <w:i w:val="0"/>
          <w:sz w:val="22"/>
        </w:rPr>
        <w:t>主教材</w:t>
      </w:r>
    </w:p>
    <w:p>
      <w:pPr>
        <w:pStyle w:val="ListBullet"/>
        <w:spacing w:line="360" w:lineRule="auto" w:after="0"/>
      </w:pPr>
      <w:r>
        <w:rPr>
          <w:rFonts w:ascii="Times New Roman" w:hAnsi="Times New Roman" w:eastAsia="宋体"/>
          <w:b w:val="0"/>
          <w:i w:val="0"/>
          <w:sz w:val="22"/>
        </w:rPr>
        <w:t>本教材：《智能电网实时定价综述》</w:t>
      </w:r>
    </w:p>
    <w:p>
      <w:pPr>
        <w:spacing w:line="360" w:lineRule="auto" w:after="0"/>
        <w:ind w:firstLine="425"/>
      </w:pPr>
      <w:r>
        <w:rPr>
          <w:rFonts w:ascii="Times New Roman" w:hAnsi="Times New Roman" w:eastAsia="宋体"/>
          <w:b/>
          <w:i w:val="0"/>
          <w:sz w:val="22"/>
        </w:rPr>
        <w:t>参考教材</w:t>
      </w:r>
    </w:p>
    <w:p>
      <w:pPr>
        <w:pStyle w:val="ListBullet"/>
        <w:spacing w:line="360" w:lineRule="auto" w:after="0"/>
      </w:pPr>
      <w:r>
        <w:rPr>
          <w:rFonts w:ascii="Times New Roman" w:hAnsi="Times New Roman" w:eastAsia="宋体"/>
          <w:b w:val="0"/>
          <w:i w:val="0"/>
          <w:sz w:val="22"/>
        </w:rPr>
        <w:t>高岩. 智能电网实时定价的互补问题方法[M]. 北京: 科学出版社, 2020.</w:t>
      </w:r>
    </w:p>
    <w:p>
      <w:pPr>
        <w:pStyle w:val="ListBullet"/>
        <w:spacing w:line="360" w:lineRule="auto" w:after="0"/>
      </w:pPr>
      <w:r>
        <w:rPr>
          <w:rFonts w:ascii="Times New Roman" w:hAnsi="Times New Roman" w:eastAsia="宋体"/>
          <w:b w:val="0"/>
          <w:i w:val="0"/>
          <w:sz w:val="22"/>
        </w:rPr>
        <w:t>Conejo A J, et al. Decomposition Techniques in Mathematical Programming[M]. Springer, 2006.</w:t>
      </w:r>
    </w:p>
    <w:p>
      <w:pPr>
        <w:pStyle w:val="ListBullet"/>
        <w:spacing w:line="360" w:lineRule="auto" w:after="0"/>
      </w:pPr>
      <w:r>
        <w:rPr>
          <w:rFonts w:ascii="Times New Roman" w:hAnsi="Times New Roman" w:eastAsia="宋体"/>
          <w:b w:val="0"/>
          <w:i w:val="0"/>
          <w:sz w:val="22"/>
        </w:rPr>
        <w:t>Sutton R S, Barto A G. Reinforcement Learning: An Introduction[M]. MIT Press, 2018.</w:t>
      </w:r>
    </w:p>
    <w:p>
      <w:pPr>
        <w:pStyle w:val="ListBullet"/>
        <w:spacing w:line="360" w:lineRule="auto" w:after="0"/>
      </w:pPr>
      <w:r>
        <w:rPr>
          <w:rFonts w:ascii="Times New Roman" w:hAnsi="Times New Roman" w:eastAsia="宋体"/>
          <w:b w:val="0"/>
          <w:i w:val="0"/>
          <w:sz w:val="22"/>
        </w:rPr>
        <w:t>Gabay D, Mercier B. A Dual Algorithm for the Solution of Nonlinear Variational Problems[M]. Elsevier, 1976.</w:t>
      </w:r>
    </w:p>
    <w:p>
      <w:pPr>
        <w:spacing w:line="360" w:lineRule="auto" w:after="0"/>
        <w:ind w:firstLine="425"/>
      </w:pPr>
      <w:r>
        <w:rPr>
          <w:rFonts w:ascii="Times New Roman" w:hAnsi="Times New Roman" w:eastAsia="宋体"/>
          <w:b/>
          <w:i w:val="0"/>
          <w:sz w:val="22"/>
        </w:rPr>
        <w:t>期刊推荐</w:t>
      </w:r>
    </w:p>
    <w:p>
      <w:pPr>
        <w:pStyle w:val="ListBullet"/>
        <w:spacing w:line="360" w:lineRule="auto" w:after="0"/>
      </w:pPr>
      <w:r>
        <w:rPr>
          <w:rFonts w:ascii="Times New Roman" w:hAnsi="Times New Roman" w:eastAsia="宋体"/>
          <w:b w:val="0"/>
          <w:i w:val="0"/>
          <w:sz w:val="22"/>
        </w:rPr>
        <w:t>IEEE Transactions on Smart Grid</w:t>
      </w:r>
    </w:p>
    <w:p>
      <w:pPr>
        <w:pStyle w:val="ListBullet"/>
        <w:spacing w:line="360" w:lineRule="auto" w:after="0"/>
      </w:pPr>
      <w:r>
        <w:rPr>
          <w:rFonts w:ascii="Times New Roman" w:hAnsi="Times New Roman" w:eastAsia="宋体"/>
          <w:b w:val="0"/>
          <w:i w:val="0"/>
          <w:sz w:val="22"/>
        </w:rPr>
        <w:t>IEEE Transactions on Power Systems</w:t>
      </w:r>
    </w:p>
    <w:p>
      <w:pPr>
        <w:pStyle w:val="ListBullet"/>
        <w:spacing w:line="360" w:lineRule="auto" w:after="0"/>
      </w:pPr>
      <w:r>
        <w:rPr>
          <w:rFonts w:ascii="Times New Roman" w:hAnsi="Times New Roman" w:eastAsia="宋体"/>
          <w:b w:val="0"/>
          <w:i w:val="0"/>
          <w:sz w:val="22"/>
        </w:rPr>
        <w:t>Electric Power Systems Research</w:t>
      </w:r>
    </w:p>
    <w:p>
      <w:pPr>
        <w:pStyle w:val="ListBullet"/>
        <w:spacing w:line="360" w:lineRule="auto" w:after="0"/>
      </w:pPr>
      <w:r>
        <w:rPr>
          <w:rFonts w:ascii="Times New Roman" w:hAnsi="Times New Roman" w:eastAsia="宋体"/>
          <w:b w:val="0"/>
          <w:i w:val="0"/>
          <w:sz w:val="22"/>
        </w:rPr>
        <w:t>电力系统自动化</w:t>
      </w:r>
    </w:p>
    <w:p>
      <w:pPr>
        <w:pStyle w:val="ListBullet"/>
        <w:spacing w:line="360" w:lineRule="auto" w:after="0"/>
      </w:pPr>
      <w:r>
        <w:rPr>
          <w:rFonts w:ascii="Times New Roman" w:hAnsi="Times New Roman" w:eastAsia="宋体"/>
          <w:b w:val="0"/>
          <w:i w:val="0"/>
          <w:sz w:val="22"/>
        </w:rPr>
        <w:t>中国电机工程学报</w:t>
      </w:r>
    </w:p>
    <w:p>
      <w:pPr>
        <w:pStyle w:val="Heading2"/>
        <w:spacing w:before="240" w:after="80"/>
      </w:pPr>
      <w:r>
        <w:rPr>
          <w:rFonts w:ascii="Times New Roman" w:hAnsi="Times New Roman" w:eastAsia="黑体"/>
          <w:b/>
          <w:i w:val="0"/>
          <w:sz w:val="28"/>
        </w:rPr>
        <w:t>E.5 考核方式</w:t>
      </w:r>
    </w:p>
    <w:tbl>
      <w:tblPr>
        <w:tblStyle w:val="LightGrid-Accent1"/>
        <w:tblW w:type="auto" w:w="0"/>
        <w:jc w:val="center"/>
        <w:tblLook w:firstColumn="1" w:firstRow="1" w:lastColumn="0" w:lastRow="0" w:noHBand="0" w:noVBand="1" w:val="04A0"/>
      </w:tblPr>
      <w:tblGrid>
        <w:gridCol w:w="2126"/>
        <w:gridCol w:w="2126"/>
        <w:gridCol w:w="2126"/>
        <w:gridCol w:w="2126"/>
      </w:tblGrid>
      <w:tr>
        <w:tc>
          <w:tcPr>
            <w:tcW w:type="dxa" w:w="2126"/>
          </w:tcPr>
          <w:p>
            <w:pPr>
              <w:spacing w:after="40" w:before="40"/>
            </w:pPr>
            <w:r>
              <w:rPr>
                <w:b/>
              </w:rPr>
            </w:r>
            <w:r>
              <w:rPr>
                <w:rFonts w:ascii="Times New Roman" w:hAnsi="Times New Roman" w:eastAsia="黑体"/>
                <w:b/>
                <w:i w:val="0"/>
                <w:sz w:val="20"/>
              </w:rPr>
              <w:t>考核环节</w:t>
            </w:r>
          </w:p>
        </w:tc>
        <w:tc>
          <w:tcPr>
            <w:tcW w:type="dxa" w:w="2126"/>
          </w:tcPr>
          <w:p>
            <w:pPr>
              <w:spacing w:after="40" w:before="40"/>
            </w:pPr>
            <w:r>
              <w:rPr>
                <w:b/>
              </w:rPr>
            </w:r>
            <w:r>
              <w:rPr>
                <w:rFonts w:ascii="Times New Roman" w:hAnsi="Times New Roman" w:eastAsia="黑体"/>
                <w:b/>
                <w:i w:val="0"/>
                <w:sz w:val="20"/>
              </w:rPr>
              <w:t>比重</w:t>
            </w:r>
          </w:p>
        </w:tc>
        <w:tc>
          <w:tcPr>
            <w:tcW w:type="dxa" w:w="2126"/>
          </w:tcPr>
          <w:p>
            <w:pPr>
              <w:spacing w:after="40" w:before="40"/>
            </w:pPr>
            <w:r>
              <w:rPr>
                <w:b/>
              </w:rPr>
            </w:r>
            <w:r>
              <w:rPr>
                <w:rFonts w:ascii="Times New Roman" w:hAnsi="Times New Roman" w:eastAsia="黑体"/>
                <w:b/>
                <w:i w:val="0"/>
                <w:sz w:val="20"/>
              </w:rPr>
              <w:t>内容</w:t>
            </w:r>
          </w:p>
        </w:tc>
        <w:tc>
          <w:tcPr>
            <w:tcW w:type="dxa" w:w="2126"/>
          </w:tcPr>
          <w:p>
            <w:pPr>
              <w:spacing w:after="40" w:before="40"/>
            </w:pPr>
            <w:r>
              <w:rPr>
                <w:b/>
              </w:rPr>
            </w:r>
            <w:r>
              <w:rPr>
                <w:rFonts w:ascii="Times New Roman" w:hAnsi="Times New Roman" w:eastAsia="黑体"/>
                <w:b/>
                <w:i w:val="0"/>
                <w:sz w:val="20"/>
              </w:rPr>
              <w:t>标准</w:t>
            </w:r>
          </w:p>
        </w:tc>
      </w:tr>
      <w:tr>
        <w:tc>
          <w:tcPr>
            <w:tcW w:type="dxa" w:w="2126"/>
          </w:tcPr>
          <w:p>
            <w:pPr>
              <w:spacing w:after="40" w:before="40"/>
            </w:pPr>
            <w:r/>
            <w:r>
              <w:rPr>
                <w:rFonts w:ascii="Times New Roman" w:hAnsi="Times New Roman" w:eastAsia="宋体"/>
                <w:b w:val="0"/>
                <w:i w:val="0"/>
                <w:sz w:val="20"/>
              </w:rPr>
              <w:t>平时作业</w:t>
            </w:r>
          </w:p>
        </w:tc>
        <w:tc>
          <w:tcPr>
            <w:tcW w:type="dxa" w:w="2126"/>
          </w:tcPr>
          <w:p>
            <w:pPr>
              <w:spacing w:after="40" w:before="40"/>
            </w:pPr>
            <w:r/>
            <w:r>
              <w:rPr>
                <w:rFonts w:ascii="Times New Roman" w:hAnsi="Times New Roman" w:eastAsia="宋体"/>
                <w:b w:val="0"/>
                <w:i w:val="0"/>
                <w:sz w:val="20"/>
              </w:rPr>
              <w:t>30%</w:t>
            </w:r>
          </w:p>
        </w:tc>
        <w:tc>
          <w:tcPr>
            <w:tcW w:type="dxa" w:w="2126"/>
          </w:tcPr>
          <w:p>
            <w:pPr>
              <w:spacing w:after="40" w:before="40"/>
            </w:pPr>
            <w:r/>
            <w:r>
              <w:rPr>
                <w:rFonts w:ascii="Times New Roman" w:hAnsi="Times New Roman" w:eastAsia="宋体"/>
                <w:b w:val="0"/>
                <w:i w:val="0"/>
                <w:sz w:val="20"/>
              </w:rPr>
              <w:t>6次编程作业</w:t>
            </w:r>
          </w:p>
        </w:tc>
        <w:tc>
          <w:tcPr>
            <w:tcW w:type="dxa" w:w="2126"/>
          </w:tcPr>
          <w:p>
            <w:pPr>
              <w:spacing w:after="40" w:before="40"/>
            </w:pPr>
            <w:r/>
            <w:r>
              <w:rPr>
                <w:rFonts w:ascii="Times New Roman" w:hAnsi="Times New Roman" w:eastAsia="宋体"/>
                <w:b w:val="0"/>
                <w:i w:val="0"/>
                <w:sz w:val="20"/>
              </w:rPr>
              <w:t>每次满分100，取平均</w:t>
            </w:r>
          </w:p>
        </w:tc>
      </w:tr>
      <w:tr>
        <w:tc>
          <w:tcPr>
            <w:tcW w:type="dxa" w:w="2126"/>
            <w:shd w:val="clear" w:color="auto" w:fill="F0F4F8"/>
          </w:tcPr>
          <w:p>
            <w:pPr>
              <w:spacing w:after="40" w:before="40"/>
            </w:pPr>
            <w:r/>
            <w:r>
              <w:rPr>
                <w:rFonts w:ascii="Times New Roman" w:hAnsi="Times New Roman" w:eastAsia="宋体"/>
                <w:b w:val="0"/>
                <w:i w:val="0"/>
                <w:sz w:val="20"/>
              </w:rPr>
              <w:t>实训项目</w:t>
            </w:r>
          </w:p>
        </w:tc>
        <w:tc>
          <w:tcPr>
            <w:tcW w:type="dxa" w:w="2126"/>
            <w:shd w:val="clear" w:color="auto" w:fill="F0F4F8"/>
          </w:tcPr>
          <w:p>
            <w:pPr>
              <w:spacing w:after="40" w:before="40"/>
            </w:pPr>
            <w:r/>
            <w:r>
              <w:rPr>
                <w:rFonts w:ascii="Times New Roman" w:hAnsi="Times New Roman" w:eastAsia="宋体"/>
                <w:b w:val="0"/>
                <w:i w:val="0"/>
                <w:sz w:val="20"/>
              </w:rPr>
              <w:t>30%</w:t>
            </w:r>
          </w:p>
        </w:tc>
        <w:tc>
          <w:tcPr>
            <w:tcW w:type="dxa" w:w="2126"/>
            <w:shd w:val="clear" w:color="auto" w:fill="F0F4F8"/>
          </w:tcPr>
          <w:p>
            <w:pPr>
              <w:spacing w:after="40" w:before="40"/>
            </w:pPr>
            <w:r/>
            <w:r>
              <w:rPr>
                <w:rFonts w:ascii="Times New Roman" w:hAnsi="Times New Roman" w:eastAsia="宋体"/>
                <w:b w:val="0"/>
                <w:i w:val="0"/>
                <w:sz w:val="20"/>
              </w:rPr>
              <w:t>从附录F三个项目中选1个</w:t>
            </w:r>
          </w:p>
        </w:tc>
        <w:tc>
          <w:tcPr>
            <w:tcW w:type="dxa" w:w="2126"/>
            <w:shd w:val="clear" w:color="auto" w:fill="F0F4F8"/>
          </w:tcPr>
          <w:p>
            <w:pPr>
              <w:spacing w:after="40" w:before="40"/>
            </w:pPr>
            <w:r/>
            <w:r>
              <w:rPr>
                <w:rFonts w:ascii="Times New Roman" w:hAnsi="Times New Roman" w:eastAsia="宋体"/>
                <w:b w:val="0"/>
                <w:i w:val="0"/>
                <w:sz w:val="20"/>
              </w:rPr>
              <w:t>见附录F评价指标</w:t>
            </w:r>
          </w:p>
        </w:tc>
      </w:tr>
      <w:tr>
        <w:tc>
          <w:tcPr>
            <w:tcW w:type="dxa" w:w="2126"/>
          </w:tcPr>
          <w:p>
            <w:pPr>
              <w:spacing w:after="40" w:before="40"/>
            </w:pPr>
            <w:r/>
            <w:r>
              <w:rPr>
                <w:rFonts w:ascii="Times New Roman" w:hAnsi="Times New Roman" w:eastAsia="宋体"/>
                <w:b w:val="0"/>
                <w:i w:val="0"/>
                <w:sz w:val="20"/>
              </w:rPr>
              <w:t>期末考试</w:t>
            </w:r>
          </w:p>
        </w:tc>
        <w:tc>
          <w:tcPr>
            <w:tcW w:type="dxa" w:w="2126"/>
          </w:tcPr>
          <w:p>
            <w:pPr>
              <w:spacing w:after="40" w:before="40"/>
            </w:pPr>
            <w:r/>
            <w:r>
              <w:rPr>
                <w:rFonts w:ascii="Times New Roman" w:hAnsi="Times New Roman" w:eastAsia="宋体"/>
                <w:b w:val="0"/>
                <w:i w:val="0"/>
                <w:sz w:val="20"/>
              </w:rPr>
              <w:t>40%</w:t>
            </w:r>
          </w:p>
        </w:tc>
        <w:tc>
          <w:tcPr>
            <w:tcW w:type="dxa" w:w="2126"/>
          </w:tcPr>
          <w:p>
            <w:pPr>
              <w:spacing w:after="40" w:before="40"/>
            </w:pPr>
            <w:r/>
            <w:r>
              <w:rPr>
                <w:rFonts w:ascii="Times New Roman" w:hAnsi="Times New Roman" w:eastAsia="宋体"/>
                <w:b w:val="0"/>
                <w:i w:val="0"/>
                <w:sz w:val="20"/>
              </w:rPr>
              <w:t>闭卷笔试（含计算题+分析题）</w:t>
            </w:r>
          </w:p>
        </w:tc>
        <w:tc>
          <w:tcPr>
            <w:tcW w:type="dxa" w:w="2126"/>
          </w:tcPr>
          <w:p>
            <w:pPr>
              <w:spacing w:after="40" w:before="40"/>
            </w:pPr>
            <w:r/>
            <w:r>
              <w:rPr>
                <w:rFonts w:ascii="Times New Roman" w:hAnsi="Times New Roman" w:eastAsia="宋体"/>
                <w:b w:val="0"/>
                <w:i w:val="0"/>
                <w:sz w:val="20"/>
              </w:rPr>
              <w:t>按标准答案评分</w:t>
            </w:r>
          </w:p>
        </w:tc>
      </w:tr>
    </w:tbl>
    <w:p>
      <w:pPr>
        <w:pStyle w:val="Heading2"/>
        <w:spacing w:before="240" w:after="80"/>
      </w:pPr>
      <w:r>
        <w:rPr>
          <w:rFonts w:ascii="Times New Roman" w:hAnsi="Times New Roman" w:eastAsia="黑体"/>
          <w:b/>
          <w:i w:val="0"/>
          <w:sz w:val="28"/>
        </w:rPr>
        <w:t>E.6 课程思政融入点</w:t>
      </w:r>
    </w:p>
    <w:tbl>
      <w:tblPr>
        <w:tblStyle w:val="LightGrid-Accent1"/>
        <w:tblW w:type="auto" w:w="0"/>
        <w:jc w:val="center"/>
        <w:tblLook w:firstColumn="1" w:firstRow="1" w:lastColumn="0" w:lastRow="0" w:noHBand="0" w:noVBand="1" w:val="04A0"/>
      </w:tblPr>
      <w:tblGrid>
        <w:gridCol w:w="2835"/>
        <w:gridCol w:w="2835"/>
        <w:gridCol w:w="2835"/>
      </w:tblGrid>
      <w:tr>
        <w:tc>
          <w:tcPr>
            <w:tcW w:type="dxa" w:w="2835"/>
          </w:tcPr>
          <w:p>
            <w:pPr>
              <w:spacing w:after="40" w:before="40"/>
            </w:pPr>
            <w:r>
              <w:rPr>
                <w:b/>
              </w:rPr>
            </w:r>
            <w:r>
              <w:rPr>
                <w:rFonts w:ascii="Times New Roman" w:hAnsi="Times New Roman" w:eastAsia="黑体"/>
                <w:b/>
                <w:i w:val="0"/>
                <w:sz w:val="20"/>
              </w:rPr>
              <w:t>章节</w:t>
            </w:r>
          </w:p>
        </w:tc>
        <w:tc>
          <w:tcPr>
            <w:tcW w:type="dxa" w:w="2835"/>
          </w:tcPr>
          <w:p>
            <w:pPr>
              <w:spacing w:after="40" w:before="40"/>
            </w:pPr>
            <w:r>
              <w:rPr>
                <w:b/>
              </w:rPr>
            </w:r>
            <w:r>
              <w:rPr>
                <w:rFonts w:ascii="Times New Roman" w:hAnsi="Times New Roman" w:eastAsia="黑体"/>
                <w:b/>
                <w:i w:val="0"/>
                <w:sz w:val="20"/>
              </w:rPr>
              <w:t>思政元素</w:t>
            </w:r>
          </w:p>
        </w:tc>
        <w:tc>
          <w:tcPr>
            <w:tcW w:type="dxa" w:w="2835"/>
          </w:tcPr>
          <w:p>
            <w:pPr>
              <w:spacing w:after="40" w:before="40"/>
            </w:pPr>
            <w:r>
              <w:rPr>
                <w:b/>
              </w:rPr>
            </w:r>
            <w:r>
              <w:rPr>
                <w:rFonts w:ascii="Times New Roman" w:hAnsi="Times New Roman" w:eastAsia="黑体"/>
                <w:b/>
                <w:i w:val="0"/>
                <w:sz w:val="20"/>
              </w:rPr>
              <w:t>融入方式</w:t>
            </w:r>
          </w:p>
        </w:tc>
      </w:tr>
      <w:tr>
        <w:tc>
          <w:tcPr>
            <w:tcW w:type="dxa" w:w="2835"/>
          </w:tcPr>
          <w:p>
            <w:pPr>
              <w:spacing w:after="40" w:before="40"/>
            </w:pPr>
            <w:r/>
            <w:r>
              <w:rPr>
                <w:rFonts w:ascii="Times New Roman" w:hAnsi="Times New Roman" w:eastAsia="宋体"/>
                <w:b w:val="0"/>
                <w:i w:val="0"/>
                <w:sz w:val="20"/>
              </w:rPr>
              <w:t>第1章</w:t>
            </w:r>
          </w:p>
        </w:tc>
        <w:tc>
          <w:tcPr>
            <w:tcW w:type="dxa" w:w="2835"/>
          </w:tcPr>
          <w:p>
            <w:pPr>
              <w:spacing w:after="40" w:before="40"/>
            </w:pPr>
            <w:r/>
            <w:r>
              <w:rPr>
                <w:rFonts w:ascii="Times New Roman" w:hAnsi="Times New Roman" w:eastAsia="宋体"/>
                <w:b w:val="0"/>
                <w:i w:val="0"/>
                <w:sz w:val="20"/>
              </w:rPr>
              <w:t>能源安全与国家战略</w:t>
            </w:r>
          </w:p>
        </w:tc>
        <w:tc>
          <w:tcPr>
            <w:tcW w:type="dxa" w:w="2835"/>
          </w:tcPr>
          <w:p>
            <w:pPr>
              <w:spacing w:after="40" w:before="40"/>
            </w:pPr>
            <w:r/>
            <w:r>
              <w:rPr>
                <w:rFonts w:ascii="Times New Roman" w:hAnsi="Times New Roman" w:eastAsia="宋体"/>
                <w:b w:val="0"/>
                <w:i w:val="0"/>
                <w:sz w:val="20"/>
              </w:rPr>
              <w:t>结合"双碳"目标讨论实时定价意义</w:t>
            </w:r>
          </w:p>
        </w:tc>
      </w:tr>
      <w:tr>
        <w:tc>
          <w:tcPr>
            <w:tcW w:type="dxa" w:w="2835"/>
            <w:shd w:val="clear" w:color="auto" w:fill="F0F4F8"/>
          </w:tcPr>
          <w:p>
            <w:pPr>
              <w:spacing w:after="40" w:before="40"/>
            </w:pPr>
            <w:r/>
            <w:r>
              <w:rPr>
                <w:rFonts w:ascii="Times New Roman" w:hAnsi="Times New Roman" w:eastAsia="宋体"/>
                <w:b w:val="0"/>
                <w:i w:val="0"/>
                <w:sz w:val="20"/>
              </w:rPr>
              <w:t>第6章</w:t>
            </w:r>
          </w:p>
        </w:tc>
        <w:tc>
          <w:tcPr>
            <w:tcW w:type="dxa" w:w="2835"/>
            <w:shd w:val="clear" w:color="auto" w:fill="F0F4F8"/>
          </w:tcPr>
          <w:p>
            <w:pPr>
              <w:spacing w:after="40" w:before="40"/>
            </w:pPr>
            <w:r/>
            <w:r>
              <w:rPr>
                <w:rFonts w:ascii="Times New Roman" w:hAnsi="Times New Roman" w:eastAsia="宋体"/>
                <w:b w:val="0"/>
                <w:i w:val="0"/>
                <w:sz w:val="20"/>
              </w:rPr>
              <w:t>公平与效率的平衡</w:t>
            </w:r>
          </w:p>
        </w:tc>
        <w:tc>
          <w:tcPr>
            <w:tcW w:type="dxa" w:w="2835"/>
            <w:shd w:val="clear" w:color="auto" w:fill="F0F4F8"/>
          </w:tcPr>
          <w:p>
            <w:pPr>
              <w:spacing w:after="40" w:before="40"/>
            </w:pPr>
            <w:r/>
            <w:r>
              <w:rPr>
                <w:rFonts w:ascii="Times New Roman" w:hAnsi="Times New Roman" w:eastAsia="宋体"/>
                <w:b w:val="0"/>
                <w:i w:val="0"/>
                <w:sz w:val="20"/>
              </w:rPr>
              <w:t>讨论博弈论定价中的社会公平问题</w:t>
            </w:r>
          </w:p>
        </w:tc>
      </w:tr>
      <w:tr>
        <w:tc>
          <w:tcPr>
            <w:tcW w:type="dxa" w:w="2835"/>
          </w:tcPr>
          <w:p>
            <w:pPr>
              <w:spacing w:after="40" w:before="40"/>
            </w:pPr>
            <w:r/>
            <w:r>
              <w:rPr>
                <w:rFonts w:ascii="Times New Roman" w:hAnsi="Times New Roman" w:eastAsia="宋体"/>
                <w:b w:val="0"/>
                <w:i w:val="0"/>
                <w:sz w:val="20"/>
              </w:rPr>
              <w:t>第10章</w:t>
            </w:r>
          </w:p>
        </w:tc>
        <w:tc>
          <w:tcPr>
            <w:tcW w:type="dxa" w:w="2835"/>
          </w:tcPr>
          <w:p>
            <w:pPr>
              <w:spacing w:after="40" w:before="40"/>
            </w:pPr>
            <w:r/>
            <w:r>
              <w:rPr>
                <w:rFonts w:ascii="Times New Roman" w:hAnsi="Times New Roman" w:eastAsia="宋体"/>
                <w:b w:val="0"/>
                <w:i w:val="0"/>
                <w:sz w:val="20"/>
              </w:rPr>
              <w:t>绿色发展与生态文明</w:t>
            </w:r>
          </w:p>
        </w:tc>
        <w:tc>
          <w:tcPr>
            <w:tcW w:type="dxa" w:w="2835"/>
          </w:tcPr>
          <w:p>
            <w:pPr>
              <w:spacing w:after="40" w:before="40"/>
            </w:pPr>
            <w:r/>
            <w:r>
              <w:rPr>
                <w:rFonts w:ascii="Times New Roman" w:hAnsi="Times New Roman" w:eastAsia="宋体"/>
                <w:b w:val="0"/>
                <w:i w:val="0"/>
                <w:sz w:val="20"/>
              </w:rPr>
              <w:t>碳交易与绿色发展理念</w:t>
            </w:r>
          </w:p>
        </w:tc>
      </w:tr>
      <w:tr>
        <w:tc>
          <w:tcPr>
            <w:tcW w:type="dxa" w:w="2835"/>
            <w:shd w:val="clear" w:color="auto" w:fill="F0F4F8"/>
          </w:tcPr>
          <w:p>
            <w:pPr>
              <w:spacing w:after="40" w:before="40"/>
            </w:pPr>
            <w:r/>
            <w:r>
              <w:rPr>
                <w:rFonts w:ascii="Times New Roman" w:hAnsi="Times New Roman" w:eastAsia="宋体"/>
                <w:b w:val="0"/>
                <w:i w:val="0"/>
                <w:sz w:val="20"/>
              </w:rPr>
              <w:t>第12章</w:t>
            </w:r>
          </w:p>
        </w:tc>
        <w:tc>
          <w:tcPr>
            <w:tcW w:type="dxa" w:w="2835"/>
            <w:shd w:val="clear" w:color="auto" w:fill="F0F4F8"/>
          </w:tcPr>
          <w:p>
            <w:pPr>
              <w:spacing w:after="40" w:before="40"/>
            </w:pPr>
            <w:r/>
            <w:r>
              <w:rPr>
                <w:rFonts w:ascii="Times New Roman" w:hAnsi="Times New Roman" w:eastAsia="宋体"/>
                <w:b w:val="0"/>
                <w:i w:val="0"/>
                <w:sz w:val="20"/>
              </w:rPr>
              <w:t>科技自立自强</w:t>
            </w:r>
          </w:p>
        </w:tc>
        <w:tc>
          <w:tcPr>
            <w:tcW w:type="dxa" w:w="2835"/>
            <w:shd w:val="clear" w:color="auto" w:fill="F0F4F8"/>
          </w:tcPr>
          <w:p>
            <w:pPr>
              <w:spacing w:after="40" w:before="40"/>
            </w:pPr>
            <w:r/>
            <w:r>
              <w:rPr>
                <w:rFonts w:ascii="Times New Roman" w:hAnsi="Times New Roman" w:eastAsia="宋体"/>
                <w:b w:val="0"/>
                <w:i w:val="0"/>
                <w:sz w:val="20"/>
              </w:rPr>
              <w:t>我国在智能电网领域的技术突破</w:t>
            </w:r>
          </w:p>
        </w:tc>
      </w:tr>
    </w:tbl>
    <w:p>
      <w:pPr>
        <w:pStyle w:val="Heading2"/>
        <w:spacing w:before="240" w:after="80"/>
      </w:pPr>
      <w:r>
        <w:rPr>
          <w:rFonts w:ascii="Times New Roman" w:hAnsi="Times New Roman" w:eastAsia="黑体"/>
          <w:b/>
          <w:i w:val="0"/>
          <w:sz w:val="28"/>
        </w:rPr>
        <w:t>E.7 实验指导书</w:t>
      </w:r>
    </w:p>
    <w:p>
      <w:pPr>
        <w:pStyle w:val="Heading3"/>
        <w:spacing w:before="160" w:after="60"/>
      </w:pPr>
      <w:r>
        <w:rPr>
          <w:rFonts w:ascii="Times New Roman" w:hAnsi="Times New Roman" w:eastAsia="黑体"/>
          <w:b/>
          <w:i w:val="0"/>
          <w:sz w:val="24"/>
        </w:rPr>
        <w:t>实验1：边际成本定价仿真（2学时）</w:t>
      </w:r>
    </w:p>
    <w:p>
      <w:pPr>
        <w:spacing w:line="360" w:lineRule="auto" w:after="0"/>
        <w:ind w:firstLine="425"/>
      </w:pPr>
      <w:r>
        <w:rPr>
          <w:rFonts w:ascii="Times New Roman" w:hAnsi="Times New Roman" w:eastAsia="宋体"/>
          <w:b/>
          <w:i w:val="0"/>
          <w:sz w:val="22"/>
        </w:rPr>
        <w:t>实验目的</w:t>
      </w:r>
      <w:r>
        <w:rPr>
          <w:rFonts w:ascii="Times New Roman" w:hAnsi="Times New Roman" w:eastAsia="宋体"/>
          <w:b w:val="0"/>
          <w:i w:val="0"/>
          <w:sz w:val="22"/>
        </w:rPr>
        <w:t>：理解边际成本定价原理，掌握电力市场出清的基本过程。</w:t>
      </w:r>
    </w:p>
    <w:p>
      <w:pPr>
        <w:spacing w:line="360" w:lineRule="auto" w:after="0"/>
        <w:ind w:firstLine="425"/>
      </w:pPr>
      <w:r>
        <w:rPr>
          <w:rFonts w:ascii="Times New Roman" w:hAnsi="Times New Roman" w:eastAsia="宋体"/>
          <w:b/>
          <w:i w:val="0"/>
          <w:sz w:val="22"/>
        </w:rPr>
        <w:t>实验内容</w:t>
      </w:r>
      <w:r>
        <w:rPr>
          <w:rFonts w:ascii="Times New Roman" w:hAnsi="Times New Roman" w:eastAsia="宋体"/>
          <w:b w:val="0"/>
          <w:i w:val="0"/>
          <w:sz w:val="22"/>
        </w:rPr>
        <w:t>：</w:t>
      </w:r>
    </w:p>
    <w:p>
      <w:pPr>
        <w:pStyle w:val="ListNumber"/>
        <w:spacing w:line="360" w:lineRule="auto" w:after="0"/>
      </w:pPr>
      <w:r>
        <w:rPr>
          <w:rFonts w:ascii="Times New Roman" w:hAnsi="Times New Roman" w:eastAsia="宋体"/>
          <w:b w:val="0"/>
          <w:i w:val="0"/>
          <w:sz w:val="22"/>
        </w:rPr>
        <w:t>构建5台发电机组的调度模型（含机组参数：容量、边际成本、爬坡率）</w:t>
      </w:r>
    </w:p>
    <w:p>
      <w:pPr>
        <w:pStyle w:val="ListNumber"/>
        <w:spacing w:line="360" w:lineRule="auto" w:after="0"/>
      </w:pPr>
      <w:r>
        <w:rPr>
          <w:rFonts w:ascii="Times New Roman" w:hAnsi="Times New Roman" w:eastAsia="宋体"/>
          <w:b w:val="0"/>
          <w:i w:val="0"/>
          <w:sz w:val="22"/>
        </w:rPr>
        <w:t>给定负荷曲线（24小时），求解经济调度问题</w:t>
      </w:r>
    </w:p>
    <w:p>
      <w:pPr>
        <w:pStyle w:val="ListNumber"/>
        <w:spacing w:line="360" w:lineRule="auto" w:after="0"/>
      </w:pPr>
      <w:r>
        <w:rPr>
          <w:rFonts w:ascii="Times New Roman" w:hAnsi="Times New Roman" w:eastAsia="宋体"/>
          <w:b w:val="0"/>
          <w:i w:val="0"/>
          <w:sz w:val="22"/>
        </w:rPr>
        <w:t>计算各时段的边际电价和系统总成本</w:t>
      </w:r>
    </w:p>
    <w:p>
      <w:pPr>
        <w:pStyle w:val="ListNumber"/>
        <w:spacing w:line="360" w:lineRule="auto" w:after="0"/>
      </w:pPr>
      <w:r>
        <w:rPr>
          <w:rFonts w:ascii="Times New Roman" w:hAnsi="Times New Roman" w:eastAsia="宋体"/>
          <w:b w:val="0"/>
          <w:i w:val="0"/>
          <w:sz w:val="22"/>
        </w:rPr>
        <w:t>分析负荷变化对电价的影响</w:t>
      </w:r>
    </w:p>
    <w:p>
      <w:pPr>
        <w:spacing w:line="360" w:lineRule="auto" w:after="0"/>
        <w:ind w:firstLine="425"/>
      </w:pPr>
      <w:r>
        <w:rPr>
          <w:rFonts w:ascii="Times New Roman" w:hAnsi="Times New Roman" w:eastAsia="宋体"/>
          <w:b/>
          <w:i w:val="0"/>
          <w:sz w:val="22"/>
        </w:rPr>
        <w:t>实验环境</w:t>
      </w:r>
      <w:r>
        <w:rPr>
          <w:rFonts w:ascii="Times New Roman" w:hAnsi="Times New Roman" w:eastAsia="宋体"/>
          <w:b w:val="0"/>
          <w:i w:val="0"/>
          <w:sz w:val="22"/>
        </w:rPr>
        <w:t>：Python + CVXPY + Gurobi</w:t>
      </w:r>
    </w:p>
    <w:p>
      <w:pPr>
        <w:pStyle w:val="Heading3"/>
        <w:spacing w:before="160" w:after="60"/>
      </w:pPr>
      <w:r>
        <w:rPr>
          <w:rFonts w:ascii="Times New Roman" w:hAnsi="Times New Roman" w:eastAsia="黑体"/>
          <w:b/>
          <w:i w:val="0"/>
          <w:sz w:val="24"/>
        </w:rPr>
        <w:t>实验2：互补问题求解实时定价（4学时）</w:t>
      </w:r>
    </w:p>
    <w:p>
      <w:pPr>
        <w:spacing w:line="360" w:lineRule="auto" w:after="0"/>
        <w:ind w:firstLine="425"/>
      </w:pPr>
      <w:r>
        <w:rPr>
          <w:rFonts w:ascii="Times New Roman" w:hAnsi="Times New Roman" w:eastAsia="宋体"/>
          <w:b/>
          <w:i w:val="0"/>
          <w:sz w:val="22"/>
        </w:rPr>
        <w:t>实验目的</w:t>
      </w:r>
      <w:r>
        <w:rPr>
          <w:rFonts w:ascii="Times New Roman" w:hAnsi="Times New Roman" w:eastAsia="宋体"/>
          <w:b w:val="0"/>
          <w:i w:val="0"/>
          <w:sz w:val="22"/>
        </w:rPr>
        <w:t>：掌握互补问题建模和光滑牛顿法求解。</w:t>
      </w:r>
    </w:p>
    <w:p>
      <w:pPr>
        <w:spacing w:line="360" w:lineRule="auto" w:after="0"/>
        <w:ind w:firstLine="425"/>
      </w:pPr>
      <w:r>
        <w:rPr>
          <w:rFonts w:ascii="Times New Roman" w:hAnsi="Times New Roman" w:eastAsia="宋体"/>
          <w:b/>
          <w:i w:val="0"/>
          <w:sz w:val="22"/>
        </w:rPr>
        <w:t>实验内容</w:t>
      </w:r>
      <w:r>
        <w:rPr>
          <w:rFonts w:ascii="Times New Roman" w:hAnsi="Times New Roman" w:eastAsia="宋体"/>
          <w:b w:val="0"/>
          <w:i w:val="0"/>
          <w:sz w:val="22"/>
        </w:rPr>
        <w:t>：</w:t>
      </w:r>
    </w:p>
    <w:p>
      <w:pPr>
        <w:pStyle w:val="ListNumber"/>
        <w:spacing w:line="360" w:lineRule="auto" w:after="0"/>
      </w:pPr>
      <w:r>
        <w:rPr>
          <w:rFonts w:ascii="Times New Roman" w:hAnsi="Times New Roman" w:eastAsia="宋体"/>
          <w:b w:val="0"/>
          <w:i w:val="0"/>
          <w:sz w:val="22"/>
        </w:rPr>
        <w:t>构建100用户的社会福利最大化模型</w:t>
      </w:r>
    </w:p>
    <w:p>
      <w:pPr>
        <w:pStyle w:val="ListNumber"/>
        <w:spacing w:line="360" w:lineRule="auto" w:after="0"/>
      </w:pPr>
      <w:r>
        <w:rPr>
          <w:rFonts w:ascii="Times New Roman" w:hAnsi="Times New Roman" w:eastAsia="宋体"/>
          <w:b w:val="0"/>
          <w:i w:val="0"/>
          <w:sz w:val="22"/>
        </w:rPr>
        <w:t>推导KKT条件并转化为互补问题</w:t>
      </w:r>
    </w:p>
    <w:p>
      <w:pPr>
        <w:pStyle w:val="ListNumber"/>
        <w:spacing w:line="360" w:lineRule="auto" w:after="0"/>
      </w:pPr>
      <w:r>
        <w:rPr>
          <w:rFonts w:ascii="Times New Roman" w:hAnsi="Times New Roman" w:eastAsia="宋体"/>
          <w:b w:val="0"/>
          <w:i w:val="0"/>
          <w:sz w:val="22"/>
        </w:rPr>
        <w:t>实现FB函数和光滑化FB函数</w:t>
      </w:r>
    </w:p>
    <w:p>
      <w:pPr>
        <w:pStyle w:val="ListNumber"/>
        <w:spacing w:line="360" w:lineRule="auto" w:after="0"/>
      </w:pPr>
      <w:r>
        <w:rPr>
          <w:rFonts w:ascii="Times New Roman" w:hAnsi="Times New Roman" w:eastAsia="宋体"/>
          <w:b w:val="0"/>
          <w:i w:val="0"/>
          <w:sz w:val="22"/>
        </w:rPr>
        <w:t>编写光滑牛顿法求解器</w:t>
      </w:r>
    </w:p>
    <w:p>
      <w:pPr>
        <w:pStyle w:val="ListNumber"/>
        <w:spacing w:line="360" w:lineRule="auto" w:after="0"/>
      </w:pPr>
      <w:r>
        <w:rPr>
          <w:rFonts w:ascii="Times New Roman" w:hAnsi="Times New Roman" w:eastAsia="宋体"/>
          <w:b w:val="0"/>
          <w:i w:val="0"/>
          <w:sz w:val="22"/>
        </w:rPr>
        <w:t>验证收敛性和解的最优性</w:t>
      </w:r>
    </w:p>
    <w:p>
      <w:pPr>
        <w:spacing w:line="360" w:lineRule="auto" w:after="0"/>
        <w:ind w:firstLine="425"/>
      </w:pPr>
      <w:r>
        <w:rPr>
          <w:rFonts w:ascii="Times New Roman" w:hAnsi="Times New Roman" w:eastAsia="宋体"/>
          <w:b/>
          <w:i w:val="0"/>
          <w:sz w:val="22"/>
        </w:rPr>
        <w:t>实验环境</w:t>
      </w:r>
      <w:r>
        <w:rPr>
          <w:rFonts w:ascii="Times New Roman" w:hAnsi="Times New Roman" w:eastAsia="宋体"/>
          <w:b w:val="0"/>
          <w:i w:val="0"/>
          <w:sz w:val="22"/>
        </w:rPr>
        <w:t>：Python + SciPy + NumPy</w:t>
      </w:r>
    </w:p>
    <w:p>
      <w:pPr>
        <w:pStyle w:val="Heading3"/>
        <w:spacing w:before="160" w:after="60"/>
      </w:pPr>
      <w:r>
        <w:rPr>
          <w:rFonts w:ascii="Times New Roman" w:hAnsi="Times New Roman" w:eastAsia="黑体"/>
          <w:b/>
          <w:i w:val="0"/>
          <w:sz w:val="24"/>
        </w:rPr>
        <w:t>实验3：Q学习定价策略（4学时）</w:t>
      </w:r>
    </w:p>
    <w:p>
      <w:pPr>
        <w:spacing w:line="360" w:lineRule="auto" w:after="0"/>
        <w:ind w:firstLine="425"/>
      </w:pPr>
      <w:r>
        <w:rPr>
          <w:rFonts w:ascii="Times New Roman" w:hAnsi="Times New Roman" w:eastAsia="宋体"/>
          <w:b/>
          <w:i w:val="0"/>
          <w:sz w:val="22"/>
        </w:rPr>
        <w:t>实验目的</w:t>
      </w:r>
      <w:r>
        <w:rPr>
          <w:rFonts w:ascii="Times New Roman" w:hAnsi="Times New Roman" w:eastAsia="宋体"/>
          <w:b w:val="0"/>
          <w:i w:val="0"/>
          <w:sz w:val="22"/>
        </w:rPr>
        <w:t>：掌握强化学习在实时定价中的应用。</w:t>
      </w:r>
    </w:p>
    <w:p>
      <w:pPr>
        <w:spacing w:line="360" w:lineRule="auto" w:after="0"/>
        <w:ind w:firstLine="425"/>
      </w:pPr>
      <w:r>
        <w:rPr>
          <w:rFonts w:ascii="Times New Roman" w:hAnsi="Times New Roman" w:eastAsia="宋体"/>
          <w:b/>
          <w:i w:val="0"/>
          <w:sz w:val="22"/>
        </w:rPr>
        <w:t>实验内容</w:t>
      </w:r>
      <w:r>
        <w:rPr>
          <w:rFonts w:ascii="Times New Roman" w:hAnsi="Times New Roman" w:eastAsia="宋体"/>
          <w:b w:val="0"/>
          <w:i w:val="0"/>
          <w:sz w:val="22"/>
        </w:rPr>
        <w:t>：</w:t>
      </w:r>
    </w:p>
    <w:p>
      <w:pPr>
        <w:pStyle w:val="ListNumber"/>
        <w:spacing w:line="360" w:lineRule="auto" w:after="0"/>
      </w:pPr>
      <w:r>
        <w:rPr>
          <w:rFonts w:ascii="Times New Roman" w:hAnsi="Times New Roman" w:eastAsia="宋体"/>
          <w:b w:val="0"/>
          <w:i w:val="0"/>
          <w:sz w:val="22"/>
        </w:rPr>
        <w:t>构建电力市场仿真环境（OpenAI Gym接口）</w:t>
      </w:r>
    </w:p>
    <w:p>
      <w:pPr>
        <w:pStyle w:val="ListNumber"/>
        <w:spacing w:line="360" w:lineRule="auto" w:after="0"/>
      </w:pPr>
      <w:r>
        <w:rPr>
          <w:rFonts w:ascii="Times New Roman" w:hAnsi="Times New Roman" w:eastAsia="宋体"/>
          <w:b w:val="0"/>
          <w:i w:val="0"/>
          <w:sz w:val="22"/>
        </w:rPr>
        <w:t>设计状态空间（负荷水平、时段、电价历史）、动作空间（价格档位）和奖励函数</w:t>
      </w:r>
    </w:p>
    <w:p>
      <w:pPr>
        <w:pStyle w:val="ListNumber"/>
        <w:spacing w:line="360" w:lineRule="auto" w:after="0"/>
      </w:pPr>
      <w:r>
        <w:rPr>
          <w:rFonts w:ascii="Times New Roman" w:hAnsi="Times New Roman" w:eastAsia="宋体"/>
          <w:b w:val="0"/>
          <w:i w:val="0"/>
          <w:sz w:val="22"/>
        </w:rPr>
        <w:t>实现Q学习算法（含ε-贪心探索和学习率衰减）</w:t>
      </w:r>
    </w:p>
    <w:p>
      <w:pPr>
        <w:pStyle w:val="ListNumber"/>
        <w:spacing w:line="360" w:lineRule="auto" w:after="0"/>
      </w:pPr>
      <w:r>
        <w:rPr>
          <w:rFonts w:ascii="Times New Roman" w:hAnsi="Times New Roman" w:eastAsia="宋体"/>
          <w:b w:val="0"/>
          <w:i w:val="0"/>
          <w:sz w:val="22"/>
        </w:rPr>
        <w:t>训练并评估定价策略</w:t>
      </w:r>
    </w:p>
    <w:p>
      <w:pPr>
        <w:pStyle w:val="ListNumber"/>
        <w:spacing w:line="360" w:lineRule="auto" w:after="0"/>
      </w:pPr>
      <w:r>
        <w:rPr>
          <w:rFonts w:ascii="Times New Roman" w:hAnsi="Times New Roman" w:eastAsia="宋体"/>
          <w:b w:val="0"/>
          <w:i w:val="0"/>
          <w:sz w:val="22"/>
        </w:rPr>
        <w:t>对比Q学习策略与边际成本定价策略</w:t>
      </w:r>
    </w:p>
    <w:p>
      <w:pPr>
        <w:spacing w:line="360" w:lineRule="auto" w:after="0"/>
        <w:ind w:firstLine="425"/>
      </w:pPr>
      <w:r>
        <w:rPr>
          <w:rFonts w:ascii="Times New Roman" w:hAnsi="Times New Roman" w:eastAsia="宋体"/>
          <w:b/>
          <w:i w:val="0"/>
          <w:sz w:val="22"/>
        </w:rPr>
        <w:t>实验环境</w:t>
      </w:r>
      <w:r>
        <w:rPr>
          <w:rFonts w:ascii="Times New Roman" w:hAnsi="Times New Roman" w:eastAsia="宋体"/>
          <w:b w:val="0"/>
          <w:i w:val="0"/>
          <w:sz w:val="22"/>
        </w:rPr>
        <w:t>：Python + Gym + NumPy + Matplotlib</w:t>
      </w:r>
    </w:p>
    <w:p>
      <w:pPr>
        <w:pStyle w:val="Heading3"/>
        <w:spacing w:before="160" w:after="60"/>
      </w:pPr>
      <w:r>
        <w:rPr>
          <w:rFonts w:ascii="Times New Roman" w:hAnsi="Times New Roman" w:eastAsia="黑体"/>
          <w:b/>
          <w:i w:val="0"/>
          <w:sz w:val="24"/>
        </w:rPr>
        <w:t>实验4：多能源系统协同定价（4学时）</w:t>
      </w:r>
    </w:p>
    <w:p>
      <w:pPr>
        <w:spacing w:line="360" w:lineRule="auto" w:after="0"/>
        <w:ind w:firstLine="425"/>
      </w:pPr>
      <w:r>
        <w:rPr>
          <w:rFonts w:ascii="Times New Roman" w:hAnsi="Times New Roman" w:eastAsia="宋体"/>
          <w:b/>
          <w:i w:val="0"/>
          <w:sz w:val="22"/>
        </w:rPr>
        <w:t>实验目的</w:t>
      </w:r>
      <w:r>
        <w:rPr>
          <w:rFonts w:ascii="Times New Roman" w:hAnsi="Times New Roman" w:eastAsia="宋体"/>
          <w:b w:val="0"/>
          <w:i w:val="0"/>
          <w:sz w:val="22"/>
        </w:rPr>
        <w:t>：理解综合能源系统的耦合关系和分布式优化方法。</w:t>
      </w:r>
    </w:p>
    <w:p>
      <w:pPr>
        <w:spacing w:line="360" w:lineRule="auto" w:after="0"/>
        <w:ind w:firstLine="425"/>
      </w:pPr>
      <w:r>
        <w:rPr>
          <w:rFonts w:ascii="Times New Roman" w:hAnsi="Times New Roman" w:eastAsia="宋体"/>
          <w:b/>
          <w:i w:val="0"/>
          <w:sz w:val="22"/>
        </w:rPr>
        <w:t>实验内容</w:t>
      </w:r>
      <w:r>
        <w:rPr>
          <w:rFonts w:ascii="Times New Roman" w:hAnsi="Times New Roman" w:eastAsia="宋体"/>
          <w:b w:val="0"/>
          <w:i w:val="0"/>
          <w:sz w:val="22"/>
        </w:rPr>
        <w:t>：</w:t>
      </w:r>
    </w:p>
    <w:p>
      <w:pPr>
        <w:pStyle w:val="ListNumber"/>
        <w:spacing w:line="360" w:lineRule="auto" w:after="0"/>
      </w:pPr>
      <w:r>
        <w:rPr>
          <w:rFonts w:ascii="Times New Roman" w:hAnsi="Times New Roman" w:eastAsia="宋体"/>
          <w:b w:val="0"/>
          <w:i w:val="0"/>
          <w:sz w:val="22"/>
        </w:rPr>
        <w:t>构建电-气-热三能源系统模型（含CHP、热泵、电锅炉）</w:t>
      </w:r>
    </w:p>
    <w:p>
      <w:pPr>
        <w:pStyle w:val="ListNumber"/>
        <w:spacing w:line="360" w:lineRule="auto" w:after="0"/>
      </w:pPr>
      <w:r>
        <w:rPr>
          <w:rFonts w:ascii="Times New Roman" w:hAnsi="Times New Roman" w:eastAsia="宋体"/>
          <w:b w:val="0"/>
          <w:i w:val="0"/>
          <w:sz w:val="22"/>
        </w:rPr>
        <w:t>建立多能源社会福利最大化优化问题</w:t>
      </w:r>
    </w:p>
    <w:p>
      <w:pPr>
        <w:pStyle w:val="ListNumber"/>
        <w:spacing w:line="360" w:lineRule="auto" w:after="0"/>
      </w:pPr>
      <w:r>
        <w:rPr>
          <w:rFonts w:ascii="Times New Roman" w:hAnsi="Times New Roman" w:eastAsia="宋体"/>
          <w:b w:val="0"/>
          <w:i w:val="0"/>
          <w:sz w:val="22"/>
        </w:rPr>
        <w:t>实现ADMM分布式求解算法</w:t>
      </w:r>
    </w:p>
    <w:p>
      <w:pPr>
        <w:pStyle w:val="ListNumber"/>
        <w:spacing w:line="360" w:lineRule="auto" w:after="0"/>
      </w:pPr>
      <w:r>
        <w:rPr>
          <w:rFonts w:ascii="Times New Roman" w:hAnsi="Times New Roman" w:eastAsia="宋体"/>
          <w:b w:val="0"/>
          <w:i w:val="0"/>
          <w:sz w:val="22"/>
        </w:rPr>
        <w:t>分析不同耦合强度对定价的影响</w:t>
      </w:r>
    </w:p>
    <w:p>
      <w:pPr>
        <w:pStyle w:val="ListNumber"/>
        <w:spacing w:line="360" w:lineRule="auto" w:after="0"/>
      </w:pPr>
      <w:r>
        <w:rPr>
          <w:rFonts w:ascii="Times New Roman" w:hAnsi="Times New Roman" w:eastAsia="宋体"/>
          <w:b w:val="0"/>
          <w:i w:val="0"/>
          <w:sz w:val="22"/>
        </w:rPr>
        <w:t>加入碳交易约束，分析碳价对多能源定价的影响</w:t>
      </w:r>
    </w:p>
    <w:p>
      <w:pPr>
        <w:spacing w:line="360" w:lineRule="auto" w:after="0"/>
        <w:ind w:firstLine="425"/>
      </w:pPr>
      <w:r>
        <w:rPr>
          <w:rFonts w:ascii="Times New Roman" w:hAnsi="Times New Roman" w:eastAsia="宋体"/>
          <w:b/>
          <w:i w:val="0"/>
          <w:sz w:val="22"/>
        </w:rPr>
        <w:t>实验环境</w:t>
      </w:r>
      <w:r>
        <w:rPr>
          <w:rFonts w:ascii="Times New Roman" w:hAnsi="Times New Roman" w:eastAsia="宋体"/>
          <w:b w:val="0"/>
          <w:i w:val="0"/>
          <w:sz w:val="22"/>
        </w:rPr>
        <w:t>：Python + Pyomo + IPOPT</w:t>
      </w:r>
    </w:p>
    <w:p>
      <w:pPr>
        <w:pStyle w:val="Heading2"/>
        <w:spacing w:before="240" w:after="80"/>
      </w:pPr>
      <w:r>
        <w:rPr>
          <w:rFonts w:ascii="Times New Roman" w:hAnsi="Times New Roman" w:eastAsia="黑体"/>
          <w:b/>
          <w:i w:val="0"/>
          <w:sz w:val="28"/>
        </w:rPr>
        <w:t>E.8 推荐阅读书目</w:t>
      </w:r>
    </w:p>
    <w:p>
      <w:pPr>
        <w:pStyle w:val="Heading3"/>
        <w:spacing w:before="160" w:after="60"/>
      </w:pPr>
      <w:r>
        <w:rPr>
          <w:rFonts w:ascii="Times New Roman" w:hAnsi="Times New Roman" w:eastAsia="黑体"/>
          <w:b/>
          <w:i w:val="0"/>
          <w:sz w:val="24"/>
        </w:rPr>
        <w:t>入门级（本科生）</w:t>
      </w:r>
    </w:p>
    <w:p>
      <w:pPr>
        <w:pStyle w:val="ListNumber"/>
        <w:spacing w:line="360" w:lineRule="auto" w:after="0"/>
      </w:pPr>
      <w:r>
        <w:rPr>
          <w:rFonts w:ascii="Times New Roman" w:hAnsi="Times New Roman" w:eastAsia="宋体"/>
          <w:b w:val="0"/>
          <w:i w:val="0"/>
          <w:sz w:val="22"/>
        </w:rPr>
        <w:t>电力系统经济调度（教材）</w:t>
      </w:r>
    </w:p>
    <w:p>
      <w:pPr>
        <w:pStyle w:val="ListNumber"/>
        <w:spacing w:line="360" w:lineRule="auto" w:after="0"/>
      </w:pPr>
      <w:r>
        <w:rPr>
          <w:rFonts w:ascii="Times New Roman" w:hAnsi="Times New Roman" w:eastAsia="宋体"/>
          <w:b w:val="0"/>
          <w:i w:val="0"/>
          <w:sz w:val="22"/>
        </w:rPr>
        <w:t>博弈论基础（教材）</w:t>
      </w:r>
    </w:p>
    <w:p>
      <w:pPr>
        <w:pStyle w:val="ListNumber"/>
        <w:spacing w:line="360" w:lineRule="auto" w:after="0"/>
      </w:pPr>
      <w:r>
        <w:rPr>
          <w:rFonts w:ascii="Times New Roman" w:hAnsi="Times New Roman" w:eastAsia="宋体"/>
          <w:b w:val="0"/>
          <w:i w:val="0"/>
          <w:sz w:val="22"/>
        </w:rPr>
        <w:t>强化学习导论（Sutton &amp; Barto）</w:t>
      </w:r>
    </w:p>
    <w:p>
      <w:pPr>
        <w:pStyle w:val="Heading3"/>
        <w:spacing w:before="160" w:after="60"/>
      </w:pPr>
      <w:r>
        <w:rPr>
          <w:rFonts w:ascii="Times New Roman" w:hAnsi="Times New Roman" w:eastAsia="黑体"/>
          <w:b/>
          <w:i w:val="0"/>
          <w:sz w:val="24"/>
        </w:rPr>
        <w:t>进阶级（研究生）</w:t>
      </w:r>
    </w:p>
    <w:p>
      <w:pPr>
        <w:pStyle w:val="ListNumber"/>
        <w:spacing w:line="360" w:lineRule="auto" w:after="0"/>
      </w:pPr>
      <w:r>
        <w:rPr>
          <w:rFonts w:ascii="Times New Roman" w:hAnsi="Times New Roman" w:eastAsia="宋体"/>
          <w:b w:val="0"/>
          <w:i w:val="0"/>
          <w:sz w:val="22"/>
        </w:rPr>
        <w:t>Convex Optimization（Boyd &amp; Vandenberghe）</w:t>
      </w:r>
    </w:p>
    <w:p>
      <w:pPr>
        <w:pStyle w:val="ListNumber"/>
        <w:spacing w:line="360" w:lineRule="auto" w:after="0"/>
      </w:pPr>
      <w:r>
        <w:rPr>
          <w:rFonts w:ascii="Times New Roman" w:hAnsi="Times New Roman" w:eastAsia="宋体"/>
          <w:b w:val="0"/>
          <w:i w:val="0"/>
          <w:sz w:val="22"/>
        </w:rPr>
        <w:t>Nonlinear Programming（Nocedal &amp; Wright）</w:t>
      </w:r>
    </w:p>
    <w:p>
      <w:pPr>
        <w:pStyle w:val="ListNumber"/>
        <w:spacing w:line="360" w:lineRule="auto" w:after="0"/>
      </w:pPr>
      <w:r>
        <w:rPr>
          <w:rFonts w:ascii="Times New Roman" w:hAnsi="Times New Roman" w:eastAsia="宋体"/>
          <w:b w:val="0"/>
          <w:i w:val="0"/>
          <w:sz w:val="22"/>
        </w:rPr>
        <w:t>互补问题理论与方法（高岩）</w:t>
      </w:r>
    </w:p>
    <w:p>
      <w:pPr>
        <w:pStyle w:val="Heading3"/>
        <w:spacing w:before="160" w:after="60"/>
      </w:pPr>
      <w:r>
        <w:rPr>
          <w:rFonts w:ascii="Times New Roman" w:hAnsi="Times New Roman" w:eastAsia="黑体"/>
          <w:b/>
          <w:i w:val="0"/>
          <w:sz w:val="24"/>
        </w:rPr>
        <w:t>前沿级（博士生）</w:t>
      </w:r>
    </w:p>
    <w:p>
      <w:pPr>
        <w:pStyle w:val="ListNumber"/>
        <w:spacing w:line="360" w:lineRule="auto" w:after="0"/>
      </w:pPr>
      <w:r>
        <w:rPr>
          <w:rFonts w:ascii="Times New Roman" w:hAnsi="Times New Roman" w:eastAsia="宋体"/>
          <w:b w:val="0"/>
          <w:i w:val="0"/>
          <w:sz w:val="22"/>
        </w:rPr>
        <w:t>Robust Optimization（Ben-Tal, El Ghaoui &amp; Nemirovski）</w:t>
      </w:r>
    </w:p>
    <w:p>
      <w:pPr>
        <w:pStyle w:val="ListNumber"/>
        <w:spacing w:line="360" w:lineRule="auto" w:after="0"/>
      </w:pPr>
      <w:r>
        <w:rPr>
          <w:rFonts w:ascii="Times New Roman" w:hAnsi="Times New Roman" w:eastAsia="宋体"/>
          <w:b w:val="0"/>
          <w:i w:val="0"/>
          <w:sz w:val="22"/>
        </w:rPr>
        <w:t>Multi-Agent Reinforcement Learning（综述论文）</w:t>
      </w:r>
    </w:p>
    <w:p>
      <w:pPr>
        <w:pStyle w:val="ListNumber"/>
        <w:spacing w:line="360" w:lineRule="auto" w:after="0"/>
      </w:pPr>
      <w:r>
        <w:rPr>
          <w:rFonts w:ascii="Times New Roman" w:hAnsi="Times New Roman" w:eastAsia="宋体"/>
          <w:b w:val="0"/>
          <w:i w:val="0"/>
          <w:sz w:val="22"/>
        </w:rPr>
        <w:t>Integrated Energy Systems Optimization（综述论文）</w:t>
      </w:r>
    </w:p>
    <w:p>
      <w:pPr>
        <w:pStyle w:val="Heading2"/>
        <w:spacing w:before="240" w:after="80"/>
      </w:pPr>
      <w:r>
        <w:rPr>
          <w:rFonts w:ascii="Times New Roman" w:hAnsi="Times New Roman" w:eastAsia="黑体"/>
          <w:b/>
          <w:i w:val="0"/>
          <w:sz w:val="28"/>
        </w:rPr>
        <w:t>E.9 课程思政详细设计</w:t>
      </w:r>
    </w:p>
    <w:p>
      <w:pPr>
        <w:pStyle w:val="Heading3"/>
        <w:spacing w:before="160" w:after="60"/>
      </w:pPr>
      <w:r>
        <w:rPr>
          <w:rFonts w:ascii="Times New Roman" w:hAnsi="Times New Roman" w:eastAsia="黑体"/>
          <w:b/>
          <w:i w:val="0"/>
          <w:sz w:val="24"/>
        </w:rPr>
        <w:t>思政融入方案</w:t>
      </w:r>
    </w:p>
    <w:p>
      <w:pPr>
        <w:spacing w:line="360" w:lineRule="auto" w:after="0"/>
        <w:ind w:firstLine="425"/>
      </w:pPr>
      <w:r>
        <w:rPr>
          <w:rFonts w:ascii="Times New Roman" w:hAnsi="Times New Roman" w:eastAsia="宋体"/>
          <w:b/>
          <w:i w:val="0"/>
          <w:sz w:val="22"/>
        </w:rPr>
        <w:t>第1章（能源安全）</w:t>
      </w:r>
      <w:r>
        <w:rPr>
          <w:rFonts w:ascii="Times New Roman" w:hAnsi="Times New Roman" w:eastAsia="宋体"/>
          <w:b w:val="0"/>
          <w:i w:val="0"/>
          <w:sz w:val="22"/>
        </w:rPr>
        <w:t>：从俄乌冲突引发的欧洲能源危机切入，讨论能源安全对国家主权的重要性。引导思考：实时定价如何在保障能源安全的同时促进新能源消纳？中国的能源安全战略与双碳目标如何协调？</w:t>
      </w:r>
    </w:p>
    <w:p>
      <w:pPr>
        <w:spacing w:line="360" w:lineRule="auto" w:after="0"/>
        <w:ind w:firstLine="425"/>
      </w:pPr>
      <w:r>
        <w:rPr>
          <w:rFonts w:ascii="Times New Roman" w:hAnsi="Times New Roman" w:eastAsia="宋体"/>
          <w:b/>
          <w:i w:val="0"/>
          <w:sz w:val="22"/>
        </w:rPr>
        <w:t>第5章（自主创新）</w:t>
      </w:r>
      <w:r>
        <w:rPr>
          <w:rFonts w:ascii="Times New Roman" w:hAnsi="Times New Roman" w:eastAsia="宋体"/>
          <w:b w:val="0"/>
          <w:i w:val="0"/>
          <w:sz w:val="22"/>
        </w:rPr>
        <w:t>：以高岩团队的互补问题方法为案例，讲述中国学者在国际学术舞台上的原创性贡献。讨论：为什么基础理论研究对卡脖子技术突破至关重要？</w:t>
      </w:r>
    </w:p>
    <w:p>
      <w:pPr>
        <w:spacing w:line="360" w:lineRule="auto" w:after="0"/>
        <w:ind w:firstLine="425"/>
      </w:pPr>
      <w:r>
        <w:rPr>
          <w:rFonts w:ascii="Times New Roman" w:hAnsi="Times New Roman" w:eastAsia="宋体"/>
          <w:b/>
          <w:i w:val="0"/>
          <w:sz w:val="22"/>
        </w:rPr>
        <w:t>第8章（AI伦理）</w:t>
      </w:r>
      <w:r>
        <w:rPr>
          <w:rFonts w:ascii="Times New Roman" w:hAnsi="Times New Roman" w:eastAsia="宋体"/>
          <w:b w:val="0"/>
          <w:i w:val="0"/>
          <w:sz w:val="22"/>
        </w:rPr>
        <w:t>：讨论强化学习定价中算法决策的公平性和透明性。引导思考：当AI决定电价时，如何保证弱势群体的用电权益不受损害？算法歧视如何识别和防范？</w:t>
      </w:r>
    </w:p>
    <w:p>
      <w:pPr>
        <w:spacing w:line="360" w:lineRule="auto" w:after="0"/>
        <w:ind w:firstLine="425"/>
      </w:pPr>
      <w:r>
        <w:rPr>
          <w:rFonts w:ascii="Times New Roman" w:hAnsi="Times New Roman" w:eastAsia="宋体"/>
          <w:b/>
          <w:i w:val="0"/>
          <w:sz w:val="22"/>
        </w:rPr>
        <w:t>第10章（生态文明）</w:t>
      </w:r>
      <w:r>
        <w:rPr>
          <w:rFonts w:ascii="Times New Roman" w:hAnsi="Times New Roman" w:eastAsia="宋体"/>
          <w:b w:val="0"/>
          <w:i w:val="0"/>
          <w:sz w:val="22"/>
        </w:rPr>
        <w:t>：从绿水青山就是金山银山理念出发，讨论碳交易与实时定价如何协同推进绿色发展。分析中国碳市场的建设历程和未来方向。</w:t>
      </w:r>
    </w:p>
    <w:p>
      <w:pPr>
        <w:spacing w:line="360" w:lineRule="auto" w:after="0"/>
        <w:ind w:firstLine="425"/>
      </w:pPr>
      <w:r>
        <w:rPr>
          <w:rFonts w:ascii="Times New Roman" w:hAnsi="Times New Roman" w:eastAsia="宋体"/>
          <w:b/>
          <w:i w:val="0"/>
          <w:sz w:val="22"/>
        </w:rPr>
        <w:t>第12章（人类命运共同体）</w:t>
      </w:r>
      <w:r>
        <w:rPr>
          <w:rFonts w:ascii="Times New Roman" w:hAnsi="Times New Roman" w:eastAsia="宋体"/>
          <w:b w:val="0"/>
          <w:i w:val="0"/>
          <w:sz w:val="22"/>
        </w:rPr>
        <w:t>：从全球气候变化和能源转型视角，讨论各国在智能电网和实时定价领域的合作前景。引导思考：技术标准和碳定价的全球协调如何促进人类命运共同体建设？</w:t>
      </w:r>
    </w:p>
    <w:p>
      <w:pPr>
        <w:pStyle w:val="Heading2"/>
        <w:spacing w:before="240" w:after="80"/>
      </w:pPr>
      <w:r>
        <w:rPr>
          <w:rFonts w:ascii="Times New Roman" w:hAnsi="Times New Roman" w:eastAsia="黑体"/>
          <w:b/>
          <w:i w:val="0"/>
          <w:sz w:val="28"/>
        </w:rPr>
        <w:t>E.10 课程预期学习成果</w:t>
      </w:r>
    </w:p>
    <w:p>
      <w:pPr>
        <w:spacing w:line="360" w:lineRule="auto" w:after="0"/>
        <w:ind w:firstLine="425"/>
      </w:pPr>
      <w:r>
        <w:rPr>
          <w:rFonts w:ascii="Times New Roman" w:hAnsi="Times New Roman" w:eastAsia="宋体"/>
          <w:b w:val="0"/>
          <w:i w:val="0"/>
          <w:sz w:val="22"/>
        </w:rPr>
        <w:t>完成本课程后，学生应达到以下能力水平：</w:t>
      </w:r>
    </w:p>
    <w:p>
      <w:pPr>
        <w:pStyle w:val="ListNumber"/>
        <w:spacing w:line="360" w:lineRule="auto" w:after="0"/>
      </w:pPr>
      <w:r>
        <w:rPr>
          <w:rFonts w:ascii="Times New Roman" w:hAnsi="Times New Roman" w:eastAsia="宋体"/>
          <w:b w:val="0"/>
          <w:i w:val="0"/>
          <w:sz w:val="22"/>
        </w:rPr>
        <w:t>知识层面：掌握实时定价的理论基础（经济学原理、数学建模、优化算法），理解不同定价机制的适用场景和局限性</w:t>
      </w:r>
    </w:p>
    <w:p>
      <w:pPr>
        <w:pStyle w:val="ListNumber"/>
        <w:spacing w:line="360" w:lineRule="auto" w:after="0"/>
      </w:pPr>
      <w:r>
        <w:rPr>
          <w:rFonts w:ascii="Times New Roman" w:hAnsi="Times New Roman" w:eastAsia="宋体"/>
          <w:b w:val="0"/>
          <w:i w:val="0"/>
          <w:sz w:val="22"/>
        </w:rPr>
        <w:t>能力层面：能够独立设计和实现简单的实时定价系统，包括建模、算法选择、编程实现和效果评估</w:t>
      </w:r>
    </w:p>
    <w:p>
      <w:pPr>
        <w:pStyle w:val="ListNumber"/>
        <w:spacing w:line="360" w:lineRule="auto" w:after="0"/>
      </w:pPr>
      <w:r>
        <w:rPr>
          <w:rFonts w:ascii="Times New Roman" w:hAnsi="Times New Roman" w:eastAsia="宋体"/>
          <w:b w:val="0"/>
          <w:i w:val="0"/>
          <w:sz w:val="22"/>
        </w:rPr>
        <w:t>素养层面：具备跨学科思维（电力系统+优化理论+人工智能+经济学），能够从系统层面分析复杂能源问题</w:t>
      </w:r>
    </w:p>
    <w:p>
      <w:pPr>
        <w:pStyle w:val="ListNumber"/>
        <w:spacing w:line="360" w:lineRule="auto" w:after="0"/>
      </w:pPr>
      <w:r>
        <w:rPr>
          <w:rFonts w:ascii="Times New Roman" w:hAnsi="Times New Roman" w:eastAsia="宋体"/>
          <w:b w:val="0"/>
          <w:i w:val="0"/>
          <w:sz w:val="22"/>
        </w:rPr>
        <w:t>价值层面：理解能源转型对国家发展和全球可持续发展的意义，树立科技报国的使命感</w:t>
      </w:r>
    </w:p>
    <w:p>
      <w:r>
        <w:br w:type="page"/>
      </w:r>
    </w:p>
    <w:p>
      <w:pPr>
        <w:pStyle w:val="Heading1"/>
        <w:spacing w:before="360" w:after="120"/>
      </w:pPr>
      <w:r>
        <w:rPr>
          <w:rFonts w:ascii="Times New Roman" w:hAnsi="Times New Roman" w:eastAsia="黑体"/>
          <w:b/>
          <w:i w:val="0"/>
          <w:sz w:val="32"/>
        </w:rPr>
        <w:t>附录F  实训项目</w:t>
      </w:r>
    </w:p>
    <w:p>
      <w:pPr>
        <w:pStyle w:val="Heading2"/>
        <w:spacing w:before="240" w:after="80"/>
      </w:pPr>
      <w:r>
        <w:rPr>
          <w:rFonts w:ascii="Times New Roman" w:hAnsi="Times New Roman" w:eastAsia="黑体"/>
          <w:b/>
          <w:i w:val="0"/>
          <w:sz w:val="28"/>
        </w:rPr>
        <w:t>实训项目一：基于互补问题的实时定价仿真</w:t>
      </w:r>
    </w:p>
    <w:p>
      <w:pPr>
        <w:pStyle w:val="Heading3"/>
        <w:spacing w:before="160" w:after="60"/>
      </w:pPr>
      <w:r>
        <w:rPr>
          <w:rFonts w:ascii="Times New Roman" w:hAnsi="Times New Roman" w:eastAsia="黑体"/>
          <w:b/>
          <w:i w:val="0"/>
          <w:sz w:val="24"/>
        </w:rPr>
        <w:t>1. 项目概述</w:t>
      </w:r>
    </w:p>
    <w:p>
      <w:pPr>
        <w:spacing w:line="360" w:lineRule="auto" w:after="0"/>
        <w:ind w:firstLine="425"/>
      </w:pPr>
      <w:r>
        <w:rPr>
          <w:rFonts w:ascii="Times New Roman" w:hAnsi="Times New Roman" w:eastAsia="宋体"/>
          <w:b w:val="0"/>
          <w:i w:val="0"/>
          <w:sz w:val="22"/>
        </w:rPr>
        <w:t>本项目要求学生基于互补问题理论，构建智能电网实时定价模型，并通过数值仿真验证模型的有效性。项目涵盖数学建模、算法实现和结果分析三个环节，预计学时16学时（含课内8学时+课外8学时）。</w:t>
      </w:r>
    </w:p>
    <w:p>
      <w:pPr>
        <w:pStyle w:val="Heading3"/>
        <w:spacing w:before="160" w:after="60"/>
      </w:pPr>
      <w:r>
        <w:rPr>
          <w:rFonts w:ascii="Times New Roman" w:hAnsi="Times New Roman" w:eastAsia="黑体"/>
          <w:b/>
          <w:i w:val="0"/>
          <w:sz w:val="24"/>
        </w:rPr>
        <w:t>2. 任务描述</w:t>
      </w:r>
    </w:p>
    <w:p>
      <w:pPr>
        <w:pStyle w:val="ListBullet"/>
        <w:spacing w:line="360" w:lineRule="auto" w:after="0"/>
      </w:pPr>
      <w:r>
        <w:rPr>
          <w:rFonts w:ascii="Times New Roman" w:hAnsi="Times New Roman" w:eastAsia="宋体"/>
          <w:b w:val="0"/>
          <w:i w:val="0"/>
          <w:sz w:val="22"/>
        </w:rPr>
        <w:t>任务1：搭建包含1个供电方和20个用户的智能电网仿真环境，设置二次效用函数参数和成本函数参数</w:t>
      </w:r>
    </w:p>
    <w:p>
      <w:pPr>
        <w:pStyle w:val="ListBullet"/>
        <w:spacing w:line="360" w:lineRule="auto" w:after="0"/>
      </w:pPr>
      <w:r>
        <w:rPr>
          <w:rFonts w:ascii="Times New Roman" w:hAnsi="Times New Roman" w:eastAsia="宋体"/>
          <w:b w:val="0"/>
          <w:i w:val="0"/>
          <w:sz w:val="22"/>
        </w:rPr>
        <w:t>任务2：将社会福利最大化问题转化为互补问题，使用Fischer-Burmeister函数将互补条件转化为非光滑方程</w:t>
      </w:r>
    </w:p>
    <w:p>
      <w:pPr>
        <w:pStyle w:val="ListBullet"/>
        <w:spacing w:line="360" w:lineRule="auto" w:after="0"/>
      </w:pPr>
      <w:r>
        <w:rPr>
          <w:rFonts w:ascii="Times New Roman" w:hAnsi="Times New Roman" w:eastAsia="宋体"/>
          <w:b w:val="0"/>
          <w:i w:val="0"/>
          <w:sz w:val="22"/>
        </w:rPr>
        <w:t>任务3：实现光滑化牛顿算法求解互补问题，观察收敛过程和最优电价</w:t>
      </w:r>
    </w:p>
    <w:p>
      <w:pPr>
        <w:pStyle w:val="ListBullet"/>
        <w:spacing w:line="360" w:lineRule="auto" w:after="0"/>
      </w:pPr>
      <w:r>
        <w:rPr>
          <w:rFonts w:ascii="Times New Roman" w:hAnsi="Times New Roman" w:eastAsia="宋体"/>
          <w:b w:val="0"/>
          <w:i w:val="0"/>
          <w:sz w:val="22"/>
        </w:rPr>
        <w:t>任务4：分析不同光滑化参数对算法收敛速度和求解精度的影响</w:t>
      </w:r>
    </w:p>
    <w:p>
      <w:pPr>
        <w:pStyle w:val="Heading3"/>
        <w:spacing w:before="160" w:after="60"/>
      </w:pPr>
      <w:r>
        <w:rPr>
          <w:rFonts w:ascii="Times New Roman" w:hAnsi="Times New Roman" w:eastAsia="黑体"/>
          <w:b/>
          <w:i w:val="0"/>
          <w:sz w:val="24"/>
        </w:rPr>
        <w:t>3. 交付物</w:t>
      </w:r>
    </w:p>
    <w:p>
      <w:pPr>
        <w:pStyle w:val="ListBullet"/>
        <w:spacing w:line="360" w:lineRule="auto" w:after="0"/>
      </w:pPr>
      <w:r>
        <w:rPr>
          <w:rFonts w:ascii="Times New Roman" w:hAnsi="Times New Roman" w:eastAsia="宋体"/>
          <w:b w:val="0"/>
          <w:i w:val="0"/>
          <w:sz w:val="22"/>
        </w:rPr>
        <w:t>仿真代码（Python/MATLAB）</w:t>
      </w:r>
    </w:p>
    <w:p>
      <w:pPr>
        <w:pStyle w:val="ListBullet"/>
        <w:spacing w:line="360" w:lineRule="auto" w:after="0"/>
      </w:pPr>
      <w:r>
        <w:rPr>
          <w:rFonts w:ascii="Times New Roman" w:hAnsi="Times New Roman" w:eastAsia="宋体"/>
          <w:b w:val="0"/>
          <w:i w:val="0"/>
          <w:sz w:val="22"/>
        </w:rPr>
        <w:t>实验报告（含模型推导、算法流程图、收敛曲线、结果分析）</w:t>
      </w:r>
    </w:p>
    <w:p>
      <w:pPr>
        <w:pStyle w:val="ListBullet"/>
        <w:spacing w:line="360" w:lineRule="auto" w:after="0"/>
      </w:pPr>
      <w:r>
        <w:rPr>
          <w:rFonts w:ascii="Times New Roman" w:hAnsi="Times New Roman" w:eastAsia="宋体"/>
          <w:b w:val="0"/>
          <w:i w:val="0"/>
          <w:sz w:val="22"/>
        </w:rPr>
        <w:t>演示PPT（10分钟汇报）</w:t>
      </w:r>
    </w:p>
    <w:p>
      <w:pPr>
        <w:pStyle w:val="Heading3"/>
        <w:spacing w:before="160" w:after="60"/>
      </w:pPr>
      <w:r>
        <w:rPr>
          <w:rFonts w:ascii="Times New Roman" w:hAnsi="Times New Roman" w:eastAsia="黑体"/>
          <w:b/>
          <w:i w:val="0"/>
          <w:sz w:val="24"/>
        </w:rPr>
        <w:t>4. 评价指标</w:t>
      </w:r>
    </w:p>
    <w:tbl>
      <w:tblPr>
        <w:tblStyle w:val="LightGrid-Accent1"/>
        <w:tblW w:type="auto" w:w="0"/>
        <w:jc w:val="center"/>
        <w:tblLook w:firstColumn="1" w:firstRow="1" w:lastColumn="0" w:lastRow="0" w:noHBand="0" w:noVBand="1" w:val="04A0"/>
      </w:tblPr>
      <w:tblGrid>
        <w:gridCol w:w="2835"/>
        <w:gridCol w:w="2835"/>
        <w:gridCol w:w="2835"/>
      </w:tblGrid>
      <w:tr>
        <w:tc>
          <w:tcPr>
            <w:tcW w:type="dxa" w:w="2835"/>
          </w:tcPr>
          <w:p>
            <w:pPr>
              <w:spacing w:after="40" w:before="40"/>
            </w:pPr>
            <w:r>
              <w:rPr>
                <w:b/>
              </w:rPr>
            </w:r>
            <w:r>
              <w:rPr>
                <w:rFonts w:ascii="Times New Roman" w:hAnsi="Times New Roman" w:eastAsia="黑体"/>
                <w:b/>
                <w:i w:val="0"/>
                <w:sz w:val="20"/>
              </w:rPr>
              <w:t>指标</w:t>
            </w:r>
          </w:p>
        </w:tc>
        <w:tc>
          <w:tcPr>
            <w:tcW w:type="dxa" w:w="2835"/>
          </w:tcPr>
          <w:p>
            <w:pPr>
              <w:spacing w:after="40" w:before="40"/>
            </w:pPr>
            <w:r>
              <w:rPr>
                <w:b/>
              </w:rPr>
            </w:r>
            <w:r>
              <w:rPr>
                <w:rFonts w:ascii="Times New Roman" w:hAnsi="Times New Roman" w:eastAsia="黑体"/>
                <w:b/>
                <w:i w:val="0"/>
                <w:sz w:val="20"/>
              </w:rPr>
              <w:t>权重</w:t>
            </w:r>
          </w:p>
        </w:tc>
        <w:tc>
          <w:tcPr>
            <w:tcW w:type="dxa" w:w="2835"/>
          </w:tcPr>
          <w:p>
            <w:pPr>
              <w:spacing w:after="40" w:before="40"/>
            </w:pPr>
            <w:r>
              <w:rPr>
                <w:b/>
              </w:rPr>
            </w:r>
            <w:r>
              <w:rPr>
                <w:rFonts w:ascii="Times New Roman" w:hAnsi="Times New Roman" w:eastAsia="黑体"/>
                <w:b/>
                <w:i w:val="0"/>
                <w:sz w:val="20"/>
              </w:rPr>
              <w:t>标准</w:t>
            </w:r>
          </w:p>
        </w:tc>
      </w:tr>
      <w:tr>
        <w:tc>
          <w:tcPr>
            <w:tcW w:type="dxa" w:w="2835"/>
          </w:tcPr>
          <w:p>
            <w:pPr>
              <w:spacing w:after="40" w:before="40"/>
            </w:pPr>
            <w:r/>
            <w:r>
              <w:rPr>
                <w:rFonts w:ascii="Times New Roman" w:hAnsi="Times New Roman" w:eastAsia="宋体"/>
                <w:b w:val="0"/>
                <w:i w:val="0"/>
                <w:sz w:val="20"/>
              </w:rPr>
              <w:t>模型正确性</w:t>
            </w:r>
          </w:p>
        </w:tc>
        <w:tc>
          <w:tcPr>
            <w:tcW w:type="dxa" w:w="2835"/>
          </w:tcPr>
          <w:p>
            <w:pPr>
              <w:spacing w:after="40" w:before="40"/>
            </w:pPr>
            <w:r/>
            <w:r>
              <w:rPr>
                <w:rFonts w:ascii="Times New Roman" w:hAnsi="Times New Roman" w:eastAsia="宋体"/>
                <w:b w:val="0"/>
                <w:i w:val="0"/>
                <w:sz w:val="20"/>
              </w:rPr>
              <w:t>30%</w:t>
            </w:r>
          </w:p>
        </w:tc>
        <w:tc>
          <w:tcPr>
            <w:tcW w:type="dxa" w:w="2835"/>
          </w:tcPr>
          <w:p>
            <w:pPr>
              <w:spacing w:after="40" w:before="40"/>
            </w:pPr>
            <w:r/>
            <w:r>
              <w:rPr>
                <w:rFonts w:ascii="Times New Roman" w:hAnsi="Times New Roman" w:eastAsia="宋体"/>
                <w:b w:val="0"/>
                <w:i w:val="0"/>
                <w:sz w:val="20"/>
              </w:rPr>
              <w:t>KKT条件推导完整，互补问题转化正确</w:t>
            </w:r>
          </w:p>
        </w:tc>
      </w:tr>
      <w:tr>
        <w:tc>
          <w:tcPr>
            <w:tcW w:type="dxa" w:w="2835"/>
            <w:shd w:val="clear" w:color="auto" w:fill="F0F4F8"/>
          </w:tcPr>
          <w:p>
            <w:pPr>
              <w:spacing w:after="40" w:before="40"/>
            </w:pPr>
            <w:r/>
            <w:r>
              <w:rPr>
                <w:rFonts w:ascii="Times New Roman" w:hAnsi="Times New Roman" w:eastAsia="宋体"/>
                <w:b w:val="0"/>
                <w:i w:val="0"/>
                <w:sz w:val="20"/>
              </w:rPr>
              <w:t>算法实现</w:t>
            </w:r>
          </w:p>
        </w:tc>
        <w:tc>
          <w:tcPr>
            <w:tcW w:type="dxa" w:w="2835"/>
            <w:shd w:val="clear" w:color="auto" w:fill="F0F4F8"/>
          </w:tcPr>
          <w:p>
            <w:pPr>
              <w:spacing w:after="40" w:before="40"/>
            </w:pPr>
            <w:r/>
            <w:r>
              <w:rPr>
                <w:rFonts w:ascii="Times New Roman" w:hAnsi="Times New Roman" w:eastAsia="宋体"/>
                <w:b w:val="0"/>
                <w:i w:val="0"/>
                <w:sz w:val="20"/>
              </w:rPr>
              <w:t>30%</w:t>
            </w:r>
          </w:p>
        </w:tc>
        <w:tc>
          <w:tcPr>
            <w:tcW w:type="dxa" w:w="2835"/>
            <w:shd w:val="clear" w:color="auto" w:fill="F0F4F8"/>
          </w:tcPr>
          <w:p>
            <w:pPr>
              <w:spacing w:after="40" w:before="40"/>
            </w:pPr>
            <w:r/>
            <w:r>
              <w:rPr>
                <w:rFonts w:ascii="Times New Roman" w:hAnsi="Times New Roman" w:eastAsia="宋体"/>
                <w:b w:val="0"/>
                <w:i w:val="0"/>
                <w:sz w:val="20"/>
              </w:rPr>
              <w:t>光滑牛顿法实现正确，收敛性验证通过</w:t>
            </w:r>
          </w:p>
        </w:tc>
      </w:tr>
      <w:tr>
        <w:tc>
          <w:tcPr>
            <w:tcW w:type="dxa" w:w="2835"/>
          </w:tcPr>
          <w:p>
            <w:pPr>
              <w:spacing w:after="40" w:before="40"/>
            </w:pPr>
            <w:r/>
            <w:r>
              <w:rPr>
                <w:rFonts w:ascii="Times New Roman" w:hAnsi="Times New Roman" w:eastAsia="宋体"/>
                <w:b w:val="0"/>
                <w:i w:val="0"/>
                <w:sz w:val="20"/>
              </w:rPr>
              <w:t>结果分析</w:t>
            </w:r>
          </w:p>
        </w:tc>
        <w:tc>
          <w:tcPr>
            <w:tcW w:type="dxa" w:w="2835"/>
          </w:tcPr>
          <w:p>
            <w:pPr>
              <w:spacing w:after="40" w:before="40"/>
            </w:pPr>
            <w:r/>
            <w:r>
              <w:rPr>
                <w:rFonts w:ascii="Times New Roman" w:hAnsi="Times New Roman" w:eastAsia="宋体"/>
                <w:b w:val="0"/>
                <w:i w:val="0"/>
                <w:sz w:val="20"/>
              </w:rPr>
              <w:t>25%</w:t>
            </w:r>
          </w:p>
        </w:tc>
        <w:tc>
          <w:tcPr>
            <w:tcW w:type="dxa" w:w="2835"/>
          </w:tcPr>
          <w:p>
            <w:pPr>
              <w:spacing w:after="40" w:before="40"/>
            </w:pPr>
            <w:r/>
            <w:r>
              <w:rPr>
                <w:rFonts w:ascii="Times New Roman" w:hAnsi="Times New Roman" w:eastAsia="宋体"/>
                <w:b w:val="0"/>
                <w:i w:val="0"/>
                <w:sz w:val="20"/>
              </w:rPr>
              <w:t>参数敏感性分析充分，结论合理</w:t>
            </w:r>
          </w:p>
        </w:tc>
      </w:tr>
      <w:tr>
        <w:tc>
          <w:tcPr>
            <w:tcW w:type="dxa" w:w="2835"/>
            <w:shd w:val="clear" w:color="auto" w:fill="F0F4F8"/>
          </w:tcPr>
          <w:p>
            <w:pPr>
              <w:spacing w:after="40" w:before="40"/>
            </w:pPr>
            <w:r/>
            <w:r>
              <w:rPr>
                <w:rFonts w:ascii="Times New Roman" w:hAnsi="Times New Roman" w:eastAsia="宋体"/>
                <w:b w:val="0"/>
                <w:i w:val="0"/>
                <w:sz w:val="20"/>
              </w:rPr>
              <w:t>报告质量</w:t>
            </w:r>
          </w:p>
        </w:tc>
        <w:tc>
          <w:tcPr>
            <w:tcW w:type="dxa" w:w="2835"/>
            <w:shd w:val="clear" w:color="auto" w:fill="F0F4F8"/>
          </w:tcPr>
          <w:p>
            <w:pPr>
              <w:spacing w:after="40" w:before="40"/>
            </w:pPr>
            <w:r/>
            <w:r>
              <w:rPr>
                <w:rFonts w:ascii="Times New Roman" w:hAnsi="Times New Roman" w:eastAsia="宋体"/>
                <w:b w:val="0"/>
                <w:i w:val="0"/>
                <w:sz w:val="20"/>
              </w:rPr>
              <w:t>15%</w:t>
            </w:r>
          </w:p>
        </w:tc>
        <w:tc>
          <w:tcPr>
            <w:tcW w:type="dxa" w:w="2835"/>
            <w:shd w:val="clear" w:color="auto" w:fill="F0F4F8"/>
          </w:tcPr>
          <w:p>
            <w:pPr>
              <w:spacing w:after="40" w:before="40"/>
            </w:pPr>
            <w:r/>
            <w:r>
              <w:rPr>
                <w:rFonts w:ascii="Times New Roman" w:hAnsi="Times New Roman" w:eastAsia="宋体"/>
                <w:b w:val="0"/>
                <w:i w:val="0"/>
                <w:sz w:val="20"/>
              </w:rPr>
              <w:t>格式规范，图表清晰，语言流畅</w:t>
            </w:r>
          </w:p>
        </w:tc>
      </w:tr>
    </w:tbl>
    <w:p>
      <w:pPr>
        <w:pStyle w:val="Heading2"/>
        <w:spacing w:before="240" w:after="80"/>
      </w:pPr>
      <w:r>
        <w:rPr>
          <w:rFonts w:ascii="Times New Roman" w:hAnsi="Times New Roman" w:eastAsia="黑体"/>
          <w:b/>
          <w:i w:val="0"/>
          <w:sz w:val="28"/>
        </w:rPr>
        <w:t>实训项目二：基于强化学习的自适应定价系统</w:t>
      </w:r>
    </w:p>
    <w:p>
      <w:pPr>
        <w:pStyle w:val="Heading3"/>
        <w:spacing w:before="160" w:after="60"/>
      </w:pPr>
      <w:r>
        <w:rPr>
          <w:rFonts w:ascii="Times New Roman" w:hAnsi="Times New Roman" w:eastAsia="黑体"/>
          <w:b/>
          <w:i w:val="0"/>
          <w:sz w:val="24"/>
        </w:rPr>
        <w:t>1. 项目概述</w:t>
      </w:r>
    </w:p>
    <w:p>
      <w:pPr>
        <w:spacing w:line="360" w:lineRule="auto" w:after="0"/>
        <w:ind w:firstLine="425"/>
      </w:pPr>
      <w:r>
        <w:rPr>
          <w:rFonts w:ascii="Times New Roman" w:hAnsi="Times New Roman" w:eastAsia="宋体"/>
          <w:b w:val="0"/>
          <w:i w:val="0"/>
          <w:sz w:val="22"/>
        </w:rPr>
        <w:t>本项目要求学生使用强化学习方法构建自适应实时定价系统，通过与环境交互学习最优定价策略。项目使用OpenAI Gym接口构建电力市场仿真环境，预计学时20学时。</w:t>
      </w:r>
    </w:p>
    <w:p>
      <w:pPr>
        <w:pStyle w:val="Heading3"/>
        <w:spacing w:before="160" w:after="60"/>
      </w:pPr>
      <w:r>
        <w:rPr>
          <w:rFonts w:ascii="Times New Roman" w:hAnsi="Times New Roman" w:eastAsia="黑体"/>
          <w:b/>
          <w:i w:val="0"/>
          <w:sz w:val="24"/>
        </w:rPr>
        <w:t>2. 任务描述</w:t>
      </w:r>
    </w:p>
    <w:p>
      <w:pPr>
        <w:pStyle w:val="ListBullet"/>
        <w:spacing w:line="360" w:lineRule="auto" w:after="0"/>
      </w:pPr>
      <w:r>
        <w:rPr>
          <w:rFonts w:ascii="Times New Roman" w:hAnsi="Times New Roman" w:eastAsia="宋体"/>
          <w:b w:val="0"/>
          <w:i w:val="0"/>
          <w:sz w:val="22"/>
        </w:rPr>
        <w:t>任务1：构建电力市场仿真环境，包含需求侧（用户响应模型）、供给侧（发电成本模型）和电网约束</w:t>
      </w:r>
    </w:p>
    <w:p>
      <w:pPr>
        <w:pStyle w:val="ListBullet"/>
        <w:spacing w:line="360" w:lineRule="auto" w:after="0"/>
      </w:pPr>
      <w:r>
        <w:rPr>
          <w:rFonts w:ascii="Times New Roman" w:hAnsi="Times New Roman" w:eastAsia="宋体"/>
          <w:b w:val="0"/>
          <w:i w:val="0"/>
          <w:sz w:val="22"/>
        </w:rPr>
        <w:t>任务2：实现Q学习算法进行定价策略学习，设计合理的状态空间（负荷水平、时段、可再生能源出力）和动作空间（价格档位）</w:t>
      </w:r>
    </w:p>
    <w:p>
      <w:pPr>
        <w:pStyle w:val="ListBullet"/>
        <w:spacing w:line="360" w:lineRule="auto" w:after="0"/>
      </w:pPr>
      <w:r>
        <w:rPr>
          <w:rFonts w:ascii="Times New Roman" w:hAnsi="Times New Roman" w:eastAsia="宋体"/>
          <w:b w:val="0"/>
          <w:i w:val="0"/>
          <w:sz w:val="22"/>
        </w:rPr>
        <w:t>任务3：对比Q学习与深度Q网络（DQN）在不同用户规模下的性能差异</w:t>
      </w:r>
    </w:p>
    <w:p>
      <w:pPr>
        <w:pStyle w:val="ListBullet"/>
        <w:spacing w:line="360" w:lineRule="auto" w:after="0"/>
      </w:pPr>
      <w:r>
        <w:rPr>
          <w:rFonts w:ascii="Times New Roman" w:hAnsi="Times New Roman" w:eastAsia="宋体"/>
          <w:b w:val="0"/>
          <w:i w:val="0"/>
          <w:sz w:val="22"/>
        </w:rPr>
        <w:t>任务4：分析强化学习策略与传统优化策略在社会福利、用户满意度和计算效率方面的差异</w:t>
      </w:r>
    </w:p>
    <w:p>
      <w:pPr>
        <w:pStyle w:val="Heading3"/>
        <w:spacing w:before="160" w:after="60"/>
      </w:pPr>
      <w:r>
        <w:rPr>
          <w:rFonts w:ascii="Times New Roman" w:hAnsi="Times New Roman" w:eastAsia="黑体"/>
          <w:b/>
          <w:i w:val="0"/>
          <w:sz w:val="24"/>
        </w:rPr>
        <w:t>3. 交付物</w:t>
      </w:r>
    </w:p>
    <w:p>
      <w:pPr>
        <w:pStyle w:val="ListBullet"/>
        <w:spacing w:line="360" w:lineRule="auto" w:after="0"/>
      </w:pPr>
      <w:r>
        <w:rPr>
          <w:rFonts w:ascii="Times New Roman" w:hAnsi="Times New Roman" w:eastAsia="宋体"/>
          <w:b w:val="0"/>
          <w:i w:val="0"/>
          <w:sz w:val="22"/>
        </w:rPr>
        <w:t>完整的Python项目代码（含环境、算法、评估模块）</w:t>
      </w:r>
    </w:p>
    <w:p>
      <w:pPr>
        <w:pStyle w:val="ListBullet"/>
        <w:spacing w:line="360" w:lineRule="auto" w:after="0"/>
      </w:pPr>
      <w:r>
        <w:rPr>
          <w:rFonts w:ascii="Times New Roman" w:hAnsi="Times New Roman" w:eastAsia="宋体"/>
          <w:b w:val="0"/>
          <w:i w:val="0"/>
          <w:sz w:val="22"/>
        </w:rPr>
        <w:t>实验报告（含算法原理、实验设置、结果对比、可视化图表）</w:t>
      </w:r>
    </w:p>
    <w:p>
      <w:pPr>
        <w:pStyle w:val="ListBullet"/>
        <w:spacing w:line="360" w:lineRule="auto" w:after="0"/>
      </w:pPr>
      <w:r>
        <w:rPr>
          <w:rFonts w:ascii="Times New Roman" w:hAnsi="Times New Roman" w:eastAsia="宋体"/>
          <w:b w:val="0"/>
          <w:i w:val="0"/>
          <w:sz w:val="22"/>
        </w:rPr>
        <w:t>可运行的演示系统</w:t>
      </w:r>
    </w:p>
    <w:p>
      <w:pPr>
        <w:pStyle w:val="Heading3"/>
        <w:spacing w:before="160" w:after="60"/>
      </w:pPr>
      <w:r>
        <w:rPr>
          <w:rFonts w:ascii="Times New Roman" w:hAnsi="Times New Roman" w:eastAsia="黑体"/>
          <w:b/>
          <w:i w:val="0"/>
          <w:sz w:val="24"/>
        </w:rPr>
        <w:t>4. 评价指标</w:t>
      </w:r>
    </w:p>
    <w:tbl>
      <w:tblPr>
        <w:tblStyle w:val="LightGrid-Accent1"/>
        <w:tblW w:type="auto" w:w="0"/>
        <w:jc w:val="center"/>
        <w:tblLook w:firstColumn="1" w:firstRow="1" w:lastColumn="0" w:lastRow="0" w:noHBand="0" w:noVBand="1" w:val="04A0"/>
      </w:tblPr>
      <w:tblGrid>
        <w:gridCol w:w="2835"/>
        <w:gridCol w:w="2835"/>
        <w:gridCol w:w="2835"/>
      </w:tblGrid>
      <w:tr>
        <w:tc>
          <w:tcPr>
            <w:tcW w:type="dxa" w:w="2835"/>
          </w:tcPr>
          <w:p>
            <w:pPr>
              <w:spacing w:after="40" w:before="40"/>
            </w:pPr>
            <w:r>
              <w:rPr>
                <w:b/>
              </w:rPr>
            </w:r>
            <w:r>
              <w:rPr>
                <w:rFonts w:ascii="Times New Roman" w:hAnsi="Times New Roman" w:eastAsia="黑体"/>
                <w:b/>
                <w:i w:val="0"/>
                <w:sz w:val="20"/>
              </w:rPr>
              <w:t>指标</w:t>
            </w:r>
          </w:p>
        </w:tc>
        <w:tc>
          <w:tcPr>
            <w:tcW w:type="dxa" w:w="2835"/>
          </w:tcPr>
          <w:p>
            <w:pPr>
              <w:spacing w:after="40" w:before="40"/>
            </w:pPr>
            <w:r>
              <w:rPr>
                <w:b/>
              </w:rPr>
            </w:r>
            <w:r>
              <w:rPr>
                <w:rFonts w:ascii="Times New Roman" w:hAnsi="Times New Roman" w:eastAsia="黑体"/>
                <w:b/>
                <w:i w:val="0"/>
                <w:sz w:val="20"/>
              </w:rPr>
              <w:t>权重</w:t>
            </w:r>
          </w:p>
        </w:tc>
        <w:tc>
          <w:tcPr>
            <w:tcW w:type="dxa" w:w="2835"/>
          </w:tcPr>
          <w:p>
            <w:pPr>
              <w:spacing w:after="40" w:before="40"/>
            </w:pPr>
            <w:r>
              <w:rPr>
                <w:b/>
              </w:rPr>
            </w:r>
            <w:r>
              <w:rPr>
                <w:rFonts w:ascii="Times New Roman" w:hAnsi="Times New Roman" w:eastAsia="黑体"/>
                <w:b/>
                <w:i w:val="0"/>
                <w:sz w:val="20"/>
              </w:rPr>
              <w:t>标准</w:t>
            </w:r>
          </w:p>
        </w:tc>
      </w:tr>
      <w:tr>
        <w:tc>
          <w:tcPr>
            <w:tcW w:type="dxa" w:w="2835"/>
          </w:tcPr>
          <w:p>
            <w:pPr>
              <w:spacing w:after="40" w:before="40"/>
            </w:pPr>
            <w:r/>
            <w:r>
              <w:rPr>
                <w:rFonts w:ascii="Times New Roman" w:hAnsi="Times New Roman" w:eastAsia="宋体"/>
                <w:b w:val="0"/>
                <w:i w:val="0"/>
                <w:sz w:val="20"/>
              </w:rPr>
              <w:t>环境搭建</w:t>
            </w:r>
          </w:p>
        </w:tc>
        <w:tc>
          <w:tcPr>
            <w:tcW w:type="dxa" w:w="2835"/>
          </w:tcPr>
          <w:p>
            <w:pPr>
              <w:spacing w:after="40" w:before="40"/>
            </w:pPr>
            <w:r/>
            <w:r>
              <w:rPr>
                <w:rFonts w:ascii="Times New Roman" w:hAnsi="Times New Roman" w:eastAsia="宋体"/>
                <w:b w:val="0"/>
                <w:i w:val="0"/>
                <w:sz w:val="20"/>
              </w:rPr>
              <w:t>25%</w:t>
            </w:r>
          </w:p>
        </w:tc>
        <w:tc>
          <w:tcPr>
            <w:tcW w:type="dxa" w:w="2835"/>
          </w:tcPr>
          <w:p>
            <w:pPr>
              <w:spacing w:after="40" w:before="40"/>
            </w:pPr>
            <w:r/>
            <w:r>
              <w:rPr>
                <w:rFonts w:ascii="Times New Roman" w:hAnsi="Times New Roman" w:eastAsia="宋体"/>
                <w:b w:val="0"/>
                <w:i w:val="0"/>
                <w:sz w:val="20"/>
              </w:rPr>
              <w:t>仿真环境合理，参数设置有依据</w:t>
            </w:r>
          </w:p>
        </w:tc>
      </w:tr>
      <w:tr>
        <w:tc>
          <w:tcPr>
            <w:tcW w:type="dxa" w:w="2835"/>
            <w:shd w:val="clear" w:color="auto" w:fill="F0F4F8"/>
          </w:tcPr>
          <w:p>
            <w:pPr>
              <w:spacing w:after="40" w:before="40"/>
            </w:pPr>
            <w:r/>
            <w:r>
              <w:rPr>
                <w:rFonts w:ascii="Times New Roman" w:hAnsi="Times New Roman" w:eastAsia="宋体"/>
                <w:b w:val="0"/>
                <w:i w:val="0"/>
                <w:sz w:val="20"/>
              </w:rPr>
              <w:t>算法实现</w:t>
            </w:r>
          </w:p>
        </w:tc>
        <w:tc>
          <w:tcPr>
            <w:tcW w:type="dxa" w:w="2835"/>
            <w:shd w:val="clear" w:color="auto" w:fill="F0F4F8"/>
          </w:tcPr>
          <w:p>
            <w:pPr>
              <w:spacing w:after="40" w:before="40"/>
            </w:pPr>
            <w:r/>
            <w:r>
              <w:rPr>
                <w:rFonts w:ascii="Times New Roman" w:hAnsi="Times New Roman" w:eastAsia="宋体"/>
                <w:b w:val="0"/>
                <w:i w:val="0"/>
                <w:sz w:val="20"/>
              </w:rPr>
              <w:t>30%</w:t>
            </w:r>
          </w:p>
        </w:tc>
        <w:tc>
          <w:tcPr>
            <w:tcW w:type="dxa" w:w="2835"/>
            <w:shd w:val="clear" w:color="auto" w:fill="F0F4F8"/>
          </w:tcPr>
          <w:p>
            <w:pPr>
              <w:spacing w:after="40" w:before="40"/>
            </w:pPr>
            <w:r/>
            <w:r>
              <w:rPr>
                <w:rFonts w:ascii="Times New Roman" w:hAnsi="Times New Roman" w:eastAsia="宋体"/>
                <w:b w:val="0"/>
                <w:i w:val="0"/>
                <w:sz w:val="20"/>
              </w:rPr>
              <w:t>Q学习和DQN实现正确，超参数调优合理</w:t>
            </w:r>
          </w:p>
        </w:tc>
      </w:tr>
      <w:tr>
        <w:tc>
          <w:tcPr>
            <w:tcW w:type="dxa" w:w="2835"/>
          </w:tcPr>
          <w:p>
            <w:pPr>
              <w:spacing w:after="40" w:before="40"/>
            </w:pPr>
            <w:r/>
            <w:r>
              <w:rPr>
                <w:rFonts w:ascii="Times New Roman" w:hAnsi="Times New Roman" w:eastAsia="宋体"/>
                <w:b w:val="0"/>
                <w:i w:val="0"/>
                <w:sz w:val="20"/>
              </w:rPr>
              <w:t>性能对比</w:t>
            </w:r>
          </w:p>
        </w:tc>
        <w:tc>
          <w:tcPr>
            <w:tcW w:type="dxa" w:w="2835"/>
          </w:tcPr>
          <w:p>
            <w:pPr>
              <w:spacing w:after="40" w:before="40"/>
            </w:pPr>
            <w:r/>
            <w:r>
              <w:rPr>
                <w:rFonts w:ascii="Times New Roman" w:hAnsi="Times New Roman" w:eastAsia="宋体"/>
                <w:b w:val="0"/>
                <w:i w:val="0"/>
                <w:sz w:val="20"/>
              </w:rPr>
              <w:t>25%</w:t>
            </w:r>
          </w:p>
        </w:tc>
        <w:tc>
          <w:tcPr>
            <w:tcW w:type="dxa" w:w="2835"/>
          </w:tcPr>
          <w:p>
            <w:pPr>
              <w:spacing w:after="40" w:before="40"/>
            </w:pPr>
            <w:r/>
            <w:r>
              <w:rPr>
                <w:rFonts w:ascii="Times New Roman" w:hAnsi="Times New Roman" w:eastAsia="宋体"/>
                <w:b w:val="0"/>
                <w:i w:val="0"/>
                <w:sz w:val="20"/>
              </w:rPr>
              <w:t>对比实验设计科学，结论有说服力</w:t>
            </w:r>
          </w:p>
        </w:tc>
      </w:tr>
      <w:tr>
        <w:tc>
          <w:tcPr>
            <w:tcW w:type="dxa" w:w="2835"/>
            <w:shd w:val="clear" w:color="auto" w:fill="F0F4F8"/>
          </w:tcPr>
          <w:p>
            <w:pPr>
              <w:spacing w:after="40" w:before="40"/>
            </w:pPr>
            <w:r/>
            <w:r>
              <w:rPr>
                <w:rFonts w:ascii="Times New Roman" w:hAnsi="Times New Roman" w:eastAsia="宋体"/>
                <w:b w:val="0"/>
                <w:i w:val="0"/>
                <w:sz w:val="20"/>
              </w:rPr>
              <w:t>创新性</w:t>
            </w:r>
          </w:p>
        </w:tc>
        <w:tc>
          <w:tcPr>
            <w:tcW w:type="dxa" w:w="2835"/>
            <w:shd w:val="clear" w:color="auto" w:fill="F0F4F8"/>
          </w:tcPr>
          <w:p>
            <w:pPr>
              <w:spacing w:after="40" w:before="40"/>
            </w:pPr>
            <w:r/>
            <w:r>
              <w:rPr>
                <w:rFonts w:ascii="Times New Roman" w:hAnsi="Times New Roman" w:eastAsia="宋体"/>
                <w:b w:val="0"/>
                <w:i w:val="0"/>
                <w:sz w:val="20"/>
              </w:rPr>
              <w:t>10%</w:t>
            </w:r>
          </w:p>
        </w:tc>
        <w:tc>
          <w:tcPr>
            <w:tcW w:type="dxa" w:w="2835"/>
            <w:shd w:val="clear" w:color="auto" w:fill="F0F4F8"/>
          </w:tcPr>
          <w:p>
            <w:pPr>
              <w:spacing w:after="40" w:before="40"/>
            </w:pPr>
            <w:r/>
            <w:r>
              <w:rPr>
                <w:rFonts w:ascii="Times New Roman" w:hAnsi="Times New Roman" w:eastAsia="宋体"/>
                <w:b w:val="0"/>
                <w:i w:val="0"/>
                <w:sz w:val="20"/>
              </w:rPr>
              <w:t>在算法改进或应用拓展方面有创新</w:t>
            </w:r>
          </w:p>
        </w:tc>
      </w:tr>
      <w:tr>
        <w:tc>
          <w:tcPr>
            <w:tcW w:type="dxa" w:w="2835"/>
          </w:tcPr>
          <w:p>
            <w:pPr>
              <w:spacing w:after="40" w:before="40"/>
            </w:pPr>
            <w:r/>
            <w:r>
              <w:rPr>
                <w:rFonts w:ascii="Times New Roman" w:hAnsi="Times New Roman" w:eastAsia="宋体"/>
                <w:b w:val="0"/>
                <w:i w:val="0"/>
                <w:sz w:val="20"/>
              </w:rPr>
              <w:t>文档质量</w:t>
            </w:r>
          </w:p>
        </w:tc>
        <w:tc>
          <w:tcPr>
            <w:tcW w:type="dxa" w:w="2835"/>
          </w:tcPr>
          <w:p>
            <w:pPr>
              <w:spacing w:after="40" w:before="40"/>
            </w:pPr>
            <w:r/>
            <w:r>
              <w:rPr>
                <w:rFonts w:ascii="Times New Roman" w:hAnsi="Times New Roman" w:eastAsia="宋体"/>
                <w:b w:val="0"/>
                <w:i w:val="0"/>
                <w:sz w:val="20"/>
              </w:rPr>
              <w:t>10%</w:t>
            </w:r>
          </w:p>
        </w:tc>
        <w:tc>
          <w:tcPr>
            <w:tcW w:type="dxa" w:w="2835"/>
          </w:tcPr>
          <w:p>
            <w:pPr>
              <w:spacing w:after="40" w:before="40"/>
            </w:pPr>
            <w:r/>
            <w:r>
              <w:rPr>
                <w:rFonts w:ascii="Times New Roman" w:hAnsi="Times New Roman" w:eastAsia="宋体"/>
                <w:b w:val="0"/>
                <w:i w:val="0"/>
                <w:sz w:val="20"/>
              </w:rPr>
              <w:t>代码注释完整，报告格式规范</w:t>
            </w:r>
          </w:p>
        </w:tc>
      </w:tr>
    </w:tbl>
    <w:p>
      <w:pPr>
        <w:pStyle w:val="Heading2"/>
        <w:spacing w:before="240" w:after="80"/>
      </w:pPr>
      <w:r>
        <w:rPr>
          <w:rFonts w:ascii="Times New Roman" w:hAnsi="Times New Roman" w:eastAsia="黑体"/>
          <w:b/>
          <w:i w:val="0"/>
          <w:sz w:val="28"/>
        </w:rPr>
        <w:t>实训项目三：多能源系统协同定价优化</w:t>
      </w:r>
    </w:p>
    <w:p>
      <w:pPr>
        <w:pStyle w:val="Heading3"/>
        <w:spacing w:before="160" w:after="60"/>
      </w:pPr>
      <w:r>
        <w:rPr>
          <w:rFonts w:ascii="Times New Roman" w:hAnsi="Times New Roman" w:eastAsia="黑体"/>
          <w:b/>
          <w:i w:val="0"/>
          <w:sz w:val="24"/>
        </w:rPr>
        <w:t>1. 项目概述</w:t>
      </w:r>
    </w:p>
    <w:p>
      <w:pPr>
        <w:spacing w:line="360" w:lineRule="auto" w:after="0"/>
        <w:ind w:firstLine="425"/>
      </w:pPr>
      <w:r>
        <w:rPr>
          <w:rFonts w:ascii="Times New Roman" w:hAnsi="Times New Roman" w:eastAsia="宋体"/>
          <w:b w:val="0"/>
          <w:i w:val="0"/>
          <w:sz w:val="22"/>
        </w:rPr>
        <w:t>本项目要求学生构建电-气-热多能源系统的协同定价模型，采用分布式优化方法求解。项目强调跨能源类型的耦合关系和系统级优化，预计学时18学时。</w:t>
      </w:r>
    </w:p>
    <w:p>
      <w:pPr>
        <w:pStyle w:val="Heading3"/>
        <w:spacing w:before="160" w:after="60"/>
      </w:pPr>
      <w:r>
        <w:rPr>
          <w:rFonts w:ascii="Times New Roman" w:hAnsi="Times New Roman" w:eastAsia="黑体"/>
          <w:b/>
          <w:i w:val="0"/>
          <w:sz w:val="24"/>
        </w:rPr>
        <w:t>2. 任务描述</w:t>
      </w:r>
    </w:p>
    <w:p>
      <w:pPr>
        <w:pStyle w:val="ListBullet"/>
        <w:spacing w:line="360" w:lineRule="auto" w:after="0"/>
      </w:pPr>
      <w:r>
        <w:rPr>
          <w:rFonts w:ascii="Times New Roman" w:hAnsi="Times New Roman" w:eastAsia="宋体"/>
          <w:b w:val="0"/>
          <w:i w:val="0"/>
          <w:sz w:val="22"/>
        </w:rPr>
        <w:t>任务1：建立包含电力、天然气和热力三种能源的耦合系统模型，包括能源转换设备（CHP、热泵、电锅炉）的效率模型</w:t>
      </w:r>
    </w:p>
    <w:p>
      <w:pPr>
        <w:pStyle w:val="ListBullet"/>
        <w:spacing w:line="360" w:lineRule="auto" w:after="0"/>
      </w:pPr>
      <w:r>
        <w:rPr>
          <w:rFonts w:ascii="Times New Roman" w:hAnsi="Times New Roman" w:eastAsia="宋体"/>
          <w:b w:val="0"/>
          <w:i w:val="0"/>
          <w:sz w:val="22"/>
        </w:rPr>
        <w:t>任务2：构建多能源社会福利最大化优化问题，考虑能源耦合约束和各能源网络的物理约束</w:t>
      </w:r>
    </w:p>
    <w:p>
      <w:pPr>
        <w:pStyle w:val="ListBullet"/>
        <w:spacing w:line="360" w:lineRule="auto" w:after="0"/>
      </w:pPr>
      <w:r>
        <w:rPr>
          <w:rFonts w:ascii="Times New Roman" w:hAnsi="Times New Roman" w:eastAsia="宋体"/>
          <w:b w:val="0"/>
          <w:i w:val="0"/>
          <w:sz w:val="22"/>
        </w:rPr>
        <w:t>任务3：实现ADMM（交替方向乘子法）分布式求解算法，各能源子系统独立优化后协调</w:t>
      </w:r>
    </w:p>
    <w:p>
      <w:pPr>
        <w:pStyle w:val="ListBullet"/>
        <w:spacing w:line="360" w:lineRule="auto" w:after="0"/>
      </w:pPr>
      <w:r>
        <w:rPr>
          <w:rFonts w:ascii="Times New Roman" w:hAnsi="Times New Roman" w:eastAsia="宋体"/>
          <w:b w:val="0"/>
          <w:i w:val="0"/>
          <w:sz w:val="22"/>
        </w:rPr>
        <w:t>任务4：分析不同耦合强度下系统性能变化，以及碳交易机制对定价策略的影响</w:t>
      </w:r>
    </w:p>
    <w:p>
      <w:pPr>
        <w:pStyle w:val="Heading3"/>
        <w:spacing w:before="160" w:after="60"/>
      </w:pPr>
      <w:r>
        <w:rPr>
          <w:rFonts w:ascii="Times New Roman" w:hAnsi="Times New Roman" w:eastAsia="黑体"/>
          <w:b/>
          <w:i w:val="0"/>
          <w:sz w:val="24"/>
        </w:rPr>
        <w:t>3. 交付物</w:t>
      </w:r>
    </w:p>
    <w:p>
      <w:pPr>
        <w:pStyle w:val="ListBullet"/>
        <w:spacing w:line="360" w:lineRule="auto" w:after="0"/>
      </w:pPr>
      <w:r>
        <w:rPr>
          <w:rFonts w:ascii="Times New Roman" w:hAnsi="Times New Roman" w:eastAsia="宋体"/>
          <w:b w:val="0"/>
          <w:i w:val="0"/>
          <w:sz w:val="22"/>
        </w:rPr>
        <w:t>优化模型文档（含数学推导和约束条件说明）</w:t>
      </w:r>
    </w:p>
    <w:p>
      <w:pPr>
        <w:pStyle w:val="ListBullet"/>
        <w:spacing w:line="360" w:lineRule="auto" w:after="0"/>
      </w:pPr>
      <w:r>
        <w:rPr>
          <w:rFonts w:ascii="Times New Roman" w:hAnsi="Times New Roman" w:eastAsia="宋体"/>
          <w:b w:val="0"/>
          <w:i w:val="0"/>
          <w:sz w:val="22"/>
        </w:rPr>
        <w:t>分布式算法实现代码</w:t>
      </w:r>
    </w:p>
    <w:p>
      <w:pPr>
        <w:pStyle w:val="ListBullet"/>
        <w:spacing w:line="360" w:lineRule="auto" w:after="0"/>
      </w:pPr>
      <w:r>
        <w:rPr>
          <w:rFonts w:ascii="Times New Roman" w:hAnsi="Times New Roman" w:eastAsia="宋体"/>
          <w:b w:val="0"/>
          <w:i w:val="0"/>
          <w:sz w:val="22"/>
        </w:rPr>
        <w:t>实验报告（含收敛性分析、耦合效应分析、碳交易影响分析）</w:t>
      </w:r>
    </w:p>
    <w:p>
      <w:pPr>
        <w:pStyle w:val="ListBullet"/>
        <w:spacing w:line="360" w:lineRule="auto" w:after="0"/>
      </w:pPr>
      <w:r>
        <w:rPr>
          <w:rFonts w:ascii="Times New Roman" w:hAnsi="Times New Roman" w:eastAsia="宋体"/>
          <w:b w:val="0"/>
          <w:i w:val="0"/>
          <w:sz w:val="22"/>
        </w:rPr>
        <w:t>系统架构图和数据流图</w:t>
      </w:r>
    </w:p>
    <w:p>
      <w:pPr>
        <w:pStyle w:val="Heading3"/>
        <w:spacing w:before="160" w:after="60"/>
      </w:pPr>
      <w:r>
        <w:rPr>
          <w:rFonts w:ascii="Times New Roman" w:hAnsi="Times New Roman" w:eastAsia="黑体"/>
          <w:b/>
          <w:i w:val="0"/>
          <w:sz w:val="24"/>
        </w:rPr>
        <w:t>4. 评价指标</w:t>
      </w:r>
    </w:p>
    <w:tbl>
      <w:tblPr>
        <w:tblStyle w:val="LightGrid-Accent1"/>
        <w:tblW w:type="auto" w:w="0"/>
        <w:jc w:val="center"/>
        <w:tblLook w:firstColumn="1" w:firstRow="1" w:lastColumn="0" w:lastRow="0" w:noHBand="0" w:noVBand="1" w:val="04A0"/>
      </w:tblPr>
      <w:tblGrid>
        <w:gridCol w:w="2835"/>
        <w:gridCol w:w="2835"/>
        <w:gridCol w:w="2835"/>
      </w:tblGrid>
      <w:tr>
        <w:tc>
          <w:tcPr>
            <w:tcW w:type="dxa" w:w="2835"/>
          </w:tcPr>
          <w:p>
            <w:pPr>
              <w:spacing w:after="40" w:before="40"/>
            </w:pPr>
            <w:r>
              <w:rPr>
                <w:b/>
              </w:rPr>
            </w:r>
            <w:r>
              <w:rPr>
                <w:rFonts w:ascii="Times New Roman" w:hAnsi="Times New Roman" w:eastAsia="黑体"/>
                <w:b/>
                <w:i w:val="0"/>
                <w:sz w:val="20"/>
              </w:rPr>
              <w:t>指标</w:t>
            </w:r>
          </w:p>
        </w:tc>
        <w:tc>
          <w:tcPr>
            <w:tcW w:type="dxa" w:w="2835"/>
          </w:tcPr>
          <w:p>
            <w:pPr>
              <w:spacing w:after="40" w:before="40"/>
            </w:pPr>
            <w:r>
              <w:rPr>
                <w:b/>
              </w:rPr>
            </w:r>
            <w:r>
              <w:rPr>
                <w:rFonts w:ascii="Times New Roman" w:hAnsi="Times New Roman" w:eastAsia="黑体"/>
                <w:b/>
                <w:i w:val="0"/>
                <w:sz w:val="20"/>
              </w:rPr>
              <w:t>权重</w:t>
            </w:r>
          </w:p>
        </w:tc>
        <w:tc>
          <w:tcPr>
            <w:tcW w:type="dxa" w:w="2835"/>
          </w:tcPr>
          <w:p>
            <w:pPr>
              <w:spacing w:after="40" w:before="40"/>
            </w:pPr>
            <w:r>
              <w:rPr>
                <w:b/>
              </w:rPr>
            </w:r>
            <w:r>
              <w:rPr>
                <w:rFonts w:ascii="Times New Roman" w:hAnsi="Times New Roman" w:eastAsia="黑体"/>
                <w:b/>
                <w:i w:val="0"/>
                <w:sz w:val="20"/>
              </w:rPr>
              <w:t>标准</w:t>
            </w:r>
          </w:p>
        </w:tc>
      </w:tr>
      <w:tr>
        <w:tc>
          <w:tcPr>
            <w:tcW w:type="dxa" w:w="2835"/>
          </w:tcPr>
          <w:p>
            <w:pPr>
              <w:spacing w:after="40" w:before="40"/>
            </w:pPr>
            <w:r/>
            <w:r>
              <w:rPr>
                <w:rFonts w:ascii="Times New Roman" w:hAnsi="Times New Roman" w:eastAsia="宋体"/>
                <w:b w:val="0"/>
                <w:i w:val="0"/>
                <w:sz w:val="20"/>
              </w:rPr>
              <w:t>建模能力</w:t>
            </w:r>
          </w:p>
        </w:tc>
        <w:tc>
          <w:tcPr>
            <w:tcW w:type="dxa" w:w="2835"/>
          </w:tcPr>
          <w:p>
            <w:pPr>
              <w:spacing w:after="40" w:before="40"/>
            </w:pPr>
            <w:r/>
            <w:r>
              <w:rPr>
                <w:rFonts w:ascii="Times New Roman" w:hAnsi="Times New Roman" w:eastAsia="宋体"/>
                <w:b w:val="0"/>
                <w:i w:val="0"/>
                <w:sz w:val="20"/>
              </w:rPr>
              <w:t>30%</w:t>
            </w:r>
          </w:p>
        </w:tc>
        <w:tc>
          <w:tcPr>
            <w:tcW w:type="dxa" w:w="2835"/>
          </w:tcPr>
          <w:p>
            <w:pPr>
              <w:spacing w:after="40" w:before="40"/>
            </w:pPr>
            <w:r/>
            <w:r>
              <w:rPr>
                <w:rFonts w:ascii="Times New Roman" w:hAnsi="Times New Roman" w:eastAsia="宋体"/>
                <w:b w:val="0"/>
                <w:i w:val="0"/>
                <w:sz w:val="20"/>
              </w:rPr>
              <w:t>多能源耦合关系建模准确，约束完整</w:t>
            </w:r>
          </w:p>
        </w:tc>
      </w:tr>
      <w:tr>
        <w:tc>
          <w:tcPr>
            <w:tcW w:type="dxa" w:w="2835"/>
            <w:shd w:val="clear" w:color="auto" w:fill="F0F4F8"/>
          </w:tcPr>
          <w:p>
            <w:pPr>
              <w:spacing w:after="40" w:before="40"/>
            </w:pPr>
            <w:r/>
            <w:r>
              <w:rPr>
                <w:rFonts w:ascii="Times New Roman" w:hAnsi="Times New Roman" w:eastAsia="宋体"/>
                <w:b w:val="0"/>
                <w:i w:val="0"/>
                <w:sz w:val="20"/>
              </w:rPr>
              <w:t>算法实现</w:t>
            </w:r>
          </w:p>
        </w:tc>
        <w:tc>
          <w:tcPr>
            <w:tcW w:type="dxa" w:w="2835"/>
            <w:shd w:val="clear" w:color="auto" w:fill="F0F4F8"/>
          </w:tcPr>
          <w:p>
            <w:pPr>
              <w:spacing w:after="40" w:before="40"/>
            </w:pPr>
            <w:r/>
            <w:r>
              <w:rPr>
                <w:rFonts w:ascii="Times New Roman" w:hAnsi="Times New Roman" w:eastAsia="宋体"/>
                <w:b w:val="0"/>
                <w:i w:val="0"/>
                <w:sz w:val="20"/>
              </w:rPr>
              <w:t>25%</w:t>
            </w:r>
          </w:p>
        </w:tc>
        <w:tc>
          <w:tcPr>
            <w:tcW w:type="dxa" w:w="2835"/>
            <w:shd w:val="clear" w:color="auto" w:fill="F0F4F8"/>
          </w:tcPr>
          <w:p>
            <w:pPr>
              <w:spacing w:after="40" w:before="40"/>
            </w:pPr>
            <w:r/>
            <w:r>
              <w:rPr>
                <w:rFonts w:ascii="Times New Roman" w:hAnsi="Times New Roman" w:eastAsia="宋体"/>
                <w:b w:val="0"/>
                <w:i w:val="0"/>
                <w:sz w:val="20"/>
              </w:rPr>
              <w:t>ADMM实现正确，收敛性验证通过</w:t>
            </w:r>
          </w:p>
        </w:tc>
      </w:tr>
      <w:tr>
        <w:tc>
          <w:tcPr>
            <w:tcW w:type="dxa" w:w="2835"/>
          </w:tcPr>
          <w:p>
            <w:pPr>
              <w:spacing w:after="40" w:before="40"/>
            </w:pPr>
            <w:r/>
            <w:r>
              <w:rPr>
                <w:rFonts w:ascii="Times New Roman" w:hAnsi="Times New Roman" w:eastAsia="宋体"/>
                <w:b w:val="0"/>
                <w:i w:val="0"/>
                <w:sz w:val="20"/>
              </w:rPr>
              <w:t>分析深度</w:t>
            </w:r>
          </w:p>
        </w:tc>
        <w:tc>
          <w:tcPr>
            <w:tcW w:type="dxa" w:w="2835"/>
          </w:tcPr>
          <w:p>
            <w:pPr>
              <w:spacing w:after="40" w:before="40"/>
            </w:pPr>
            <w:r/>
            <w:r>
              <w:rPr>
                <w:rFonts w:ascii="Times New Roman" w:hAnsi="Times New Roman" w:eastAsia="宋体"/>
                <w:b w:val="0"/>
                <w:i w:val="0"/>
                <w:sz w:val="20"/>
              </w:rPr>
              <w:t>25%</w:t>
            </w:r>
          </w:p>
        </w:tc>
        <w:tc>
          <w:tcPr>
            <w:tcW w:type="dxa" w:w="2835"/>
          </w:tcPr>
          <w:p>
            <w:pPr>
              <w:spacing w:after="40" w:before="40"/>
            </w:pPr>
            <w:r/>
            <w:r>
              <w:rPr>
                <w:rFonts w:ascii="Times New Roman" w:hAnsi="Times New Roman" w:eastAsia="宋体"/>
                <w:b w:val="0"/>
                <w:i w:val="0"/>
                <w:sz w:val="20"/>
              </w:rPr>
              <w:t>耦合效应和碳交易影响分析深入</w:t>
            </w:r>
          </w:p>
        </w:tc>
      </w:tr>
      <w:tr>
        <w:tc>
          <w:tcPr>
            <w:tcW w:type="dxa" w:w="2835"/>
            <w:shd w:val="clear" w:color="auto" w:fill="F0F4F8"/>
          </w:tcPr>
          <w:p>
            <w:pPr>
              <w:spacing w:after="40" w:before="40"/>
            </w:pPr>
            <w:r/>
            <w:r>
              <w:rPr>
                <w:rFonts w:ascii="Times New Roman" w:hAnsi="Times New Roman" w:eastAsia="宋体"/>
                <w:b w:val="0"/>
                <w:i w:val="0"/>
                <w:sz w:val="20"/>
              </w:rPr>
              <w:t>工程质量</w:t>
            </w:r>
          </w:p>
        </w:tc>
        <w:tc>
          <w:tcPr>
            <w:tcW w:type="dxa" w:w="2835"/>
            <w:shd w:val="clear" w:color="auto" w:fill="F0F4F8"/>
          </w:tcPr>
          <w:p>
            <w:pPr>
              <w:spacing w:after="40" w:before="40"/>
            </w:pPr>
            <w:r/>
            <w:r>
              <w:rPr>
                <w:rFonts w:ascii="Times New Roman" w:hAnsi="Times New Roman" w:eastAsia="宋体"/>
                <w:b w:val="0"/>
                <w:i w:val="0"/>
                <w:sz w:val="20"/>
              </w:rPr>
              <w:t>10%</w:t>
            </w:r>
          </w:p>
        </w:tc>
        <w:tc>
          <w:tcPr>
            <w:tcW w:type="dxa" w:w="2835"/>
            <w:shd w:val="clear" w:color="auto" w:fill="F0F4F8"/>
          </w:tcPr>
          <w:p>
            <w:pPr>
              <w:spacing w:after="40" w:before="40"/>
            </w:pPr>
            <w:r/>
            <w:r>
              <w:rPr>
                <w:rFonts w:ascii="Times New Roman" w:hAnsi="Times New Roman" w:eastAsia="宋体"/>
                <w:b w:val="0"/>
                <w:i w:val="0"/>
                <w:sz w:val="20"/>
              </w:rPr>
              <w:t>代码结构清晰，可复现性强</w:t>
            </w:r>
          </w:p>
        </w:tc>
      </w:tr>
      <w:tr>
        <w:tc>
          <w:tcPr>
            <w:tcW w:type="dxa" w:w="2835"/>
          </w:tcPr>
          <w:p>
            <w:pPr>
              <w:spacing w:after="40" w:before="40"/>
            </w:pPr>
            <w:r/>
            <w:r>
              <w:rPr>
                <w:rFonts w:ascii="Times New Roman" w:hAnsi="Times New Roman" w:eastAsia="宋体"/>
                <w:b w:val="0"/>
                <w:i w:val="0"/>
                <w:sz w:val="20"/>
              </w:rPr>
              <w:t>报告质量</w:t>
            </w:r>
          </w:p>
        </w:tc>
        <w:tc>
          <w:tcPr>
            <w:tcW w:type="dxa" w:w="2835"/>
          </w:tcPr>
          <w:p>
            <w:pPr>
              <w:spacing w:after="40" w:before="40"/>
            </w:pPr>
            <w:r/>
            <w:r>
              <w:rPr>
                <w:rFonts w:ascii="Times New Roman" w:hAnsi="Times New Roman" w:eastAsia="宋体"/>
                <w:b w:val="0"/>
                <w:i w:val="0"/>
                <w:sz w:val="20"/>
              </w:rPr>
              <w:t>10%</w:t>
            </w:r>
          </w:p>
        </w:tc>
        <w:tc>
          <w:tcPr>
            <w:tcW w:type="dxa" w:w="2835"/>
          </w:tcPr>
          <w:p>
            <w:pPr>
              <w:spacing w:after="40" w:before="40"/>
            </w:pPr>
            <w:r/>
            <w:r>
              <w:rPr>
                <w:rFonts w:ascii="Times New Roman" w:hAnsi="Times New Roman" w:eastAsia="宋体"/>
                <w:b w:val="0"/>
                <w:i w:val="0"/>
                <w:sz w:val="20"/>
              </w:rPr>
              <w:t>图表专业，论述严谨</w:t>
            </w:r>
          </w:p>
        </w:tc>
      </w:tr>
    </w:tbl>
    <w:p>
      <w:pPr>
        <w:pStyle w:val="Heading2"/>
        <w:spacing w:before="240" w:after="80"/>
      </w:pPr>
      <w:r>
        <w:rPr>
          <w:rFonts w:ascii="Times New Roman" w:hAnsi="Times New Roman" w:eastAsia="黑体"/>
          <w:b/>
          <w:i w:val="0"/>
          <w:sz w:val="28"/>
        </w:rPr>
        <w:t>实训项目评价标准总表</w:t>
      </w:r>
    </w:p>
    <w:tbl>
      <w:tblPr>
        <w:tblStyle w:val="LightGrid-Accent1"/>
        <w:tblW w:type="auto" w:w="0"/>
        <w:jc w:val="center"/>
        <w:tblLook w:firstColumn="1" w:firstRow="1" w:lastColumn="0" w:lastRow="0" w:noHBand="0" w:noVBand="1" w:val="04A0"/>
      </w:tblPr>
      <w:tblGrid>
        <w:gridCol w:w="1701"/>
        <w:gridCol w:w="1701"/>
        <w:gridCol w:w="1701"/>
        <w:gridCol w:w="1701"/>
        <w:gridCol w:w="1701"/>
      </w:tblGrid>
      <w:tr>
        <w:tc>
          <w:tcPr>
            <w:tcW w:type="dxa" w:w="1701"/>
          </w:tcPr>
          <w:p>
            <w:pPr>
              <w:spacing w:after="40" w:before="40"/>
            </w:pPr>
            <w:r>
              <w:rPr>
                <w:b/>
              </w:rPr>
            </w:r>
            <w:r>
              <w:rPr>
                <w:rFonts w:ascii="Times New Roman" w:hAnsi="Times New Roman" w:eastAsia="黑体"/>
                <w:b/>
                <w:i w:val="0"/>
                <w:sz w:val="20"/>
              </w:rPr>
              <w:t>评价维度</w:t>
            </w:r>
          </w:p>
        </w:tc>
        <w:tc>
          <w:tcPr>
            <w:tcW w:type="dxa" w:w="1701"/>
          </w:tcPr>
          <w:p>
            <w:pPr>
              <w:spacing w:after="40" w:before="40"/>
            </w:pPr>
            <w:r>
              <w:rPr>
                <w:b/>
              </w:rPr>
            </w:r>
            <w:r>
              <w:rPr>
                <w:rFonts w:ascii="Times New Roman" w:hAnsi="Times New Roman" w:eastAsia="黑体"/>
                <w:b/>
                <w:i w:val="0"/>
                <w:sz w:val="20"/>
              </w:rPr>
              <w:t>权重</w:t>
            </w:r>
          </w:p>
        </w:tc>
        <w:tc>
          <w:tcPr>
            <w:tcW w:type="dxa" w:w="1701"/>
          </w:tcPr>
          <w:p>
            <w:pPr>
              <w:spacing w:after="40" w:before="40"/>
            </w:pPr>
            <w:r>
              <w:rPr>
                <w:b/>
              </w:rPr>
            </w:r>
            <w:r>
              <w:rPr>
                <w:rFonts w:ascii="Times New Roman" w:hAnsi="Times New Roman" w:eastAsia="黑体"/>
                <w:b/>
                <w:i w:val="0"/>
                <w:sz w:val="20"/>
              </w:rPr>
              <w:t>优秀(90-100)</w:t>
            </w:r>
          </w:p>
        </w:tc>
        <w:tc>
          <w:tcPr>
            <w:tcW w:type="dxa" w:w="1701"/>
          </w:tcPr>
          <w:p>
            <w:pPr>
              <w:spacing w:after="40" w:before="40"/>
            </w:pPr>
            <w:r>
              <w:rPr>
                <w:b/>
              </w:rPr>
            </w:r>
            <w:r>
              <w:rPr>
                <w:rFonts w:ascii="Times New Roman" w:hAnsi="Times New Roman" w:eastAsia="黑体"/>
                <w:b/>
                <w:i w:val="0"/>
                <w:sz w:val="20"/>
              </w:rPr>
              <w:t>良好(80-89)</w:t>
            </w:r>
          </w:p>
        </w:tc>
        <w:tc>
          <w:tcPr>
            <w:tcW w:type="dxa" w:w="1701"/>
          </w:tcPr>
          <w:p>
            <w:pPr>
              <w:spacing w:after="40" w:before="40"/>
            </w:pPr>
            <w:r>
              <w:rPr>
                <w:b/>
              </w:rPr>
            </w:r>
            <w:r>
              <w:rPr>
                <w:rFonts w:ascii="Times New Roman" w:hAnsi="Times New Roman" w:eastAsia="黑体"/>
                <w:b/>
                <w:i w:val="0"/>
                <w:sz w:val="20"/>
              </w:rPr>
              <w:t>合格(60-79)</w:t>
            </w:r>
          </w:p>
        </w:tc>
      </w:tr>
      <w:tr>
        <w:tc>
          <w:tcPr>
            <w:tcW w:type="dxa" w:w="1701"/>
          </w:tcPr>
          <w:p>
            <w:pPr>
              <w:spacing w:after="40" w:before="40"/>
            </w:pPr>
            <w:r/>
            <w:r>
              <w:rPr>
                <w:rFonts w:ascii="Times New Roman" w:hAnsi="Times New Roman" w:eastAsia="宋体"/>
                <w:b w:val="0"/>
                <w:i w:val="0"/>
                <w:sz w:val="20"/>
              </w:rPr>
              <w:t>理论理解</w:t>
            </w:r>
          </w:p>
        </w:tc>
        <w:tc>
          <w:tcPr>
            <w:tcW w:type="dxa" w:w="1701"/>
          </w:tcPr>
          <w:p>
            <w:pPr>
              <w:spacing w:after="40" w:before="40"/>
            </w:pPr>
            <w:r/>
            <w:r>
              <w:rPr>
                <w:rFonts w:ascii="Times New Roman" w:hAnsi="Times New Roman" w:eastAsia="宋体"/>
                <w:b w:val="0"/>
                <w:i w:val="0"/>
                <w:sz w:val="20"/>
              </w:rPr>
              <w:t>25%</w:t>
            </w:r>
          </w:p>
        </w:tc>
        <w:tc>
          <w:tcPr>
            <w:tcW w:type="dxa" w:w="1701"/>
          </w:tcPr>
          <w:p>
            <w:pPr>
              <w:spacing w:after="40" w:before="40"/>
            </w:pPr>
            <w:r/>
            <w:r>
              <w:rPr>
                <w:rFonts w:ascii="Times New Roman" w:hAnsi="Times New Roman" w:eastAsia="宋体"/>
                <w:b w:val="0"/>
                <w:i w:val="0"/>
                <w:sz w:val="20"/>
              </w:rPr>
              <w:t>深入理解原理，能独立推导</w:t>
            </w:r>
          </w:p>
        </w:tc>
        <w:tc>
          <w:tcPr>
            <w:tcW w:type="dxa" w:w="1701"/>
          </w:tcPr>
          <w:p>
            <w:pPr>
              <w:spacing w:after="40" w:before="40"/>
            </w:pPr>
            <w:r/>
            <w:r>
              <w:rPr>
                <w:rFonts w:ascii="Times New Roman" w:hAnsi="Times New Roman" w:eastAsia="宋体"/>
                <w:b w:val="0"/>
                <w:i w:val="0"/>
                <w:sz w:val="20"/>
              </w:rPr>
              <w:t>正确理解主要概念</w:t>
            </w:r>
          </w:p>
        </w:tc>
        <w:tc>
          <w:tcPr>
            <w:tcW w:type="dxa" w:w="1701"/>
          </w:tcPr>
          <w:p>
            <w:pPr>
              <w:spacing w:after="40" w:before="40"/>
            </w:pPr>
            <w:r/>
            <w:r>
              <w:rPr>
                <w:rFonts w:ascii="Times New Roman" w:hAnsi="Times New Roman" w:eastAsia="宋体"/>
                <w:b w:val="0"/>
                <w:i w:val="0"/>
                <w:sz w:val="20"/>
              </w:rPr>
              <w:t>基本理解</w:t>
            </w:r>
          </w:p>
        </w:tc>
      </w:tr>
      <w:tr>
        <w:tc>
          <w:tcPr>
            <w:tcW w:type="dxa" w:w="1701"/>
            <w:shd w:val="clear" w:color="auto" w:fill="F0F4F8"/>
          </w:tcPr>
          <w:p>
            <w:pPr>
              <w:spacing w:after="40" w:before="40"/>
            </w:pPr>
            <w:r/>
            <w:r>
              <w:rPr>
                <w:rFonts w:ascii="Times New Roman" w:hAnsi="Times New Roman" w:eastAsia="宋体"/>
                <w:b w:val="0"/>
                <w:i w:val="0"/>
                <w:sz w:val="20"/>
              </w:rPr>
              <w:t>编程实现</w:t>
            </w:r>
          </w:p>
        </w:tc>
        <w:tc>
          <w:tcPr>
            <w:tcW w:type="dxa" w:w="1701"/>
            <w:shd w:val="clear" w:color="auto" w:fill="F0F4F8"/>
          </w:tcPr>
          <w:p>
            <w:pPr>
              <w:spacing w:after="40" w:before="40"/>
            </w:pPr>
            <w:r/>
            <w:r>
              <w:rPr>
                <w:rFonts w:ascii="Times New Roman" w:hAnsi="Times New Roman" w:eastAsia="宋体"/>
                <w:b w:val="0"/>
                <w:i w:val="0"/>
                <w:sz w:val="20"/>
              </w:rPr>
              <w:t>30%</w:t>
            </w:r>
          </w:p>
        </w:tc>
        <w:tc>
          <w:tcPr>
            <w:tcW w:type="dxa" w:w="1701"/>
            <w:shd w:val="clear" w:color="auto" w:fill="F0F4F8"/>
          </w:tcPr>
          <w:p>
            <w:pPr>
              <w:spacing w:after="40" w:before="40"/>
            </w:pPr>
            <w:r/>
            <w:r>
              <w:rPr>
                <w:rFonts w:ascii="Times New Roman" w:hAnsi="Times New Roman" w:eastAsia="宋体"/>
                <w:b w:val="0"/>
                <w:i w:val="0"/>
                <w:sz w:val="20"/>
              </w:rPr>
              <w:t>代码规范高效，注释完整</w:t>
            </w:r>
          </w:p>
        </w:tc>
        <w:tc>
          <w:tcPr>
            <w:tcW w:type="dxa" w:w="1701"/>
            <w:shd w:val="clear" w:color="auto" w:fill="F0F4F8"/>
          </w:tcPr>
          <w:p>
            <w:pPr>
              <w:spacing w:after="40" w:before="40"/>
            </w:pPr>
            <w:r/>
            <w:r>
              <w:rPr>
                <w:rFonts w:ascii="Times New Roman" w:hAnsi="Times New Roman" w:eastAsia="宋体"/>
                <w:b w:val="0"/>
                <w:i w:val="0"/>
                <w:sz w:val="20"/>
              </w:rPr>
              <w:t>代码正确</w:t>
            </w:r>
          </w:p>
        </w:tc>
        <w:tc>
          <w:tcPr>
            <w:tcW w:type="dxa" w:w="1701"/>
            <w:shd w:val="clear" w:color="auto" w:fill="F0F4F8"/>
          </w:tcPr>
          <w:p>
            <w:pPr>
              <w:spacing w:after="40" w:before="40"/>
            </w:pPr>
            <w:r/>
            <w:r>
              <w:rPr>
                <w:rFonts w:ascii="Times New Roman" w:hAnsi="Times New Roman" w:eastAsia="宋体"/>
                <w:b w:val="0"/>
                <w:i w:val="0"/>
                <w:sz w:val="20"/>
              </w:rPr>
              <w:t>代码可运行</w:t>
            </w:r>
          </w:p>
        </w:tc>
      </w:tr>
      <w:tr>
        <w:tc>
          <w:tcPr>
            <w:tcW w:type="dxa" w:w="1701"/>
          </w:tcPr>
          <w:p>
            <w:pPr>
              <w:spacing w:after="40" w:before="40"/>
            </w:pPr>
            <w:r/>
            <w:r>
              <w:rPr>
                <w:rFonts w:ascii="Times New Roman" w:hAnsi="Times New Roman" w:eastAsia="宋体"/>
                <w:b w:val="0"/>
                <w:i w:val="0"/>
                <w:sz w:val="20"/>
              </w:rPr>
              <w:t>实验分析</w:t>
            </w:r>
          </w:p>
        </w:tc>
        <w:tc>
          <w:tcPr>
            <w:tcW w:type="dxa" w:w="1701"/>
          </w:tcPr>
          <w:p>
            <w:pPr>
              <w:spacing w:after="40" w:before="40"/>
            </w:pPr>
            <w:r/>
            <w:r>
              <w:rPr>
                <w:rFonts w:ascii="Times New Roman" w:hAnsi="Times New Roman" w:eastAsia="宋体"/>
                <w:b w:val="0"/>
                <w:i w:val="0"/>
                <w:sz w:val="20"/>
              </w:rPr>
              <w:t>25%</w:t>
            </w:r>
          </w:p>
        </w:tc>
        <w:tc>
          <w:tcPr>
            <w:tcW w:type="dxa" w:w="1701"/>
          </w:tcPr>
          <w:p>
            <w:pPr>
              <w:spacing w:after="40" w:before="40"/>
            </w:pPr>
            <w:r/>
            <w:r>
              <w:rPr>
                <w:rFonts w:ascii="Times New Roman" w:hAnsi="Times New Roman" w:eastAsia="宋体"/>
                <w:b w:val="0"/>
                <w:i w:val="0"/>
                <w:sz w:val="20"/>
              </w:rPr>
              <w:t>分析深入，结论有说服力</w:t>
            </w:r>
          </w:p>
        </w:tc>
        <w:tc>
          <w:tcPr>
            <w:tcW w:type="dxa" w:w="1701"/>
          </w:tcPr>
          <w:p>
            <w:pPr>
              <w:spacing w:after="40" w:before="40"/>
            </w:pPr>
            <w:r/>
            <w:r>
              <w:rPr>
                <w:rFonts w:ascii="Times New Roman" w:hAnsi="Times New Roman" w:eastAsia="宋体"/>
                <w:b w:val="0"/>
                <w:i w:val="0"/>
                <w:sz w:val="20"/>
              </w:rPr>
              <w:t>分析较好</w:t>
            </w:r>
          </w:p>
        </w:tc>
        <w:tc>
          <w:tcPr>
            <w:tcW w:type="dxa" w:w="1701"/>
          </w:tcPr>
          <w:p>
            <w:pPr>
              <w:spacing w:after="40" w:before="40"/>
            </w:pPr>
            <w:r/>
            <w:r>
              <w:rPr>
                <w:rFonts w:ascii="Times New Roman" w:hAnsi="Times New Roman" w:eastAsia="宋体"/>
                <w:b w:val="0"/>
                <w:i w:val="0"/>
                <w:sz w:val="20"/>
              </w:rPr>
              <w:t>基本分析</w:t>
            </w:r>
          </w:p>
        </w:tc>
      </w:tr>
      <w:tr>
        <w:tc>
          <w:tcPr>
            <w:tcW w:type="dxa" w:w="1701"/>
            <w:shd w:val="clear" w:color="auto" w:fill="F0F4F8"/>
          </w:tcPr>
          <w:p>
            <w:pPr>
              <w:spacing w:after="40" w:before="40"/>
            </w:pPr>
            <w:r/>
            <w:r>
              <w:rPr>
                <w:rFonts w:ascii="Times New Roman" w:hAnsi="Times New Roman" w:eastAsia="宋体"/>
                <w:b w:val="0"/>
                <w:i w:val="0"/>
                <w:sz w:val="20"/>
              </w:rPr>
              <w:t>创新拓展</w:t>
            </w:r>
          </w:p>
        </w:tc>
        <w:tc>
          <w:tcPr>
            <w:tcW w:type="dxa" w:w="1701"/>
            <w:shd w:val="clear" w:color="auto" w:fill="F0F4F8"/>
          </w:tcPr>
          <w:p>
            <w:pPr>
              <w:spacing w:after="40" w:before="40"/>
            </w:pPr>
            <w:r/>
            <w:r>
              <w:rPr>
                <w:rFonts w:ascii="Times New Roman" w:hAnsi="Times New Roman" w:eastAsia="宋体"/>
                <w:b w:val="0"/>
                <w:i w:val="0"/>
                <w:sz w:val="20"/>
              </w:rPr>
              <w:t>10%</w:t>
            </w:r>
          </w:p>
        </w:tc>
        <w:tc>
          <w:tcPr>
            <w:tcW w:type="dxa" w:w="1701"/>
            <w:shd w:val="clear" w:color="auto" w:fill="F0F4F8"/>
          </w:tcPr>
          <w:p>
            <w:pPr>
              <w:spacing w:after="40" w:before="40"/>
            </w:pPr>
            <w:r/>
            <w:r>
              <w:rPr>
                <w:rFonts w:ascii="Times New Roman" w:hAnsi="Times New Roman" w:eastAsia="宋体"/>
                <w:b w:val="0"/>
                <w:i w:val="0"/>
                <w:sz w:val="20"/>
              </w:rPr>
              <w:t>有创新点或拓展研究</w:t>
            </w:r>
          </w:p>
        </w:tc>
        <w:tc>
          <w:tcPr>
            <w:tcW w:type="dxa" w:w="1701"/>
            <w:shd w:val="clear" w:color="auto" w:fill="F0F4F8"/>
          </w:tcPr>
          <w:p>
            <w:pPr>
              <w:spacing w:after="40" w:before="40"/>
            </w:pPr>
            <w:r/>
            <w:r>
              <w:rPr>
                <w:rFonts w:ascii="Times New Roman" w:hAnsi="Times New Roman" w:eastAsia="宋体"/>
                <w:b w:val="0"/>
                <w:i w:val="0"/>
                <w:sz w:val="20"/>
              </w:rPr>
              <w:t>有一定拓展</w:t>
            </w:r>
          </w:p>
        </w:tc>
        <w:tc>
          <w:tcPr>
            <w:tcW w:type="dxa" w:w="1701"/>
            <w:shd w:val="clear" w:color="auto" w:fill="F0F4F8"/>
          </w:tcPr>
          <w:p>
            <w:pPr>
              <w:spacing w:after="40" w:before="40"/>
            </w:pPr>
            <w:r/>
            <w:r>
              <w:rPr>
                <w:rFonts w:ascii="Times New Roman" w:hAnsi="Times New Roman" w:eastAsia="宋体"/>
                <w:b w:val="0"/>
                <w:i w:val="0"/>
                <w:sz w:val="20"/>
              </w:rPr>
              <w:t>按要求完成</w:t>
            </w:r>
          </w:p>
        </w:tc>
      </w:tr>
      <w:tr>
        <w:tc>
          <w:tcPr>
            <w:tcW w:type="dxa" w:w="1701"/>
          </w:tcPr>
          <w:p>
            <w:pPr>
              <w:spacing w:after="40" w:before="40"/>
            </w:pPr>
            <w:r/>
            <w:r>
              <w:rPr>
                <w:rFonts w:ascii="Times New Roman" w:hAnsi="Times New Roman" w:eastAsia="宋体"/>
                <w:b w:val="0"/>
                <w:i w:val="0"/>
                <w:sz w:val="20"/>
              </w:rPr>
              <w:t>报告质量</w:t>
            </w:r>
          </w:p>
        </w:tc>
        <w:tc>
          <w:tcPr>
            <w:tcW w:type="dxa" w:w="1701"/>
          </w:tcPr>
          <w:p>
            <w:pPr>
              <w:spacing w:after="40" w:before="40"/>
            </w:pPr>
            <w:r/>
            <w:r>
              <w:rPr>
                <w:rFonts w:ascii="Times New Roman" w:hAnsi="Times New Roman" w:eastAsia="宋体"/>
                <w:b w:val="0"/>
                <w:i w:val="0"/>
                <w:sz w:val="20"/>
              </w:rPr>
              <w:t>10%</w:t>
            </w:r>
          </w:p>
        </w:tc>
        <w:tc>
          <w:tcPr>
            <w:tcW w:type="dxa" w:w="1701"/>
          </w:tcPr>
          <w:p>
            <w:pPr>
              <w:spacing w:after="40" w:before="40"/>
            </w:pPr>
            <w:r/>
            <w:r>
              <w:rPr>
                <w:rFonts w:ascii="Times New Roman" w:hAnsi="Times New Roman" w:eastAsia="宋体"/>
                <w:b w:val="0"/>
                <w:i w:val="0"/>
                <w:sz w:val="20"/>
              </w:rPr>
              <w:t>格式规范，图表专业</w:t>
            </w:r>
          </w:p>
        </w:tc>
        <w:tc>
          <w:tcPr>
            <w:tcW w:type="dxa" w:w="1701"/>
          </w:tcPr>
          <w:p>
            <w:pPr>
              <w:spacing w:after="40" w:before="40"/>
            </w:pPr>
            <w:r/>
            <w:r>
              <w:rPr>
                <w:rFonts w:ascii="Times New Roman" w:hAnsi="Times New Roman" w:eastAsia="宋体"/>
                <w:b w:val="0"/>
                <w:i w:val="0"/>
                <w:sz w:val="20"/>
              </w:rPr>
              <w:t>格式较好</w:t>
            </w:r>
          </w:p>
        </w:tc>
        <w:tc>
          <w:tcPr>
            <w:tcW w:type="dxa" w:w="1701"/>
          </w:tcPr>
          <w:p>
            <w:pPr>
              <w:spacing w:after="40" w:before="40"/>
            </w:pPr>
            <w:r/>
            <w:r>
              <w:rPr>
                <w:rFonts w:ascii="Times New Roman" w:hAnsi="Times New Roman" w:eastAsia="宋体"/>
                <w:b w:val="0"/>
                <w:i w:val="0"/>
                <w:sz w:val="20"/>
              </w:rPr>
              <w:t>基本合格</w:t>
            </w:r>
          </w:p>
        </w:tc>
      </w:tr>
    </w:tbl>
    <w:p>
      <w:pPr>
        <w:pStyle w:val="Heading2"/>
        <w:spacing w:before="240" w:after="80"/>
      </w:pPr>
      <w:r>
        <w:rPr>
          <w:rFonts w:ascii="Times New Roman" w:hAnsi="Times New Roman" w:eastAsia="黑体"/>
          <w:b/>
          <w:i w:val="0"/>
          <w:sz w:val="28"/>
        </w:rPr>
        <w:t>实训项目管理流程</w:t>
      </w:r>
    </w:p>
    <w:p>
      <w:pPr>
        <w:pStyle w:val="ListNumber"/>
        <w:spacing w:line="360" w:lineRule="auto" w:after="0"/>
      </w:pPr>
      <w:r>
        <w:rPr>
          <w:rFonts w:ascii="Times New Roman" w:hAnsi="Times New Roman" w:eastAsia="宋体"/>
          <w:b w:val="0"/>
          <w:i w:val="0"/>
          <w:sz w:val="22"/>
        </w:rPr>
        <w:t>选题阶段（第1周）：学生从三个项目中选一个，提交选题报告</w:t>
      </w:r>
    </w:p>
    <w:p>
      <w:pPr>
        <w:pStyle w:val="ListNumber"/>
        <w:spacing w:line="360" w:lineRule="auto" w:after="0"/>
      </w:pPr>
      <w:r>
        <w:rPr>
          <w:rFonts w:ascii="Times New Roman" w:hAnsi="Times New Roman" w:eastAsia="宋体"/>
          <w:b w:val="0"/>
          <w:i w:val="0"/>
          <w:sz w:val="22"/>
        </w:rPr>
        <w:t>设计阶段（第2-3周）：完成系统设计和算法选型</w:t>
      </w:r>
    </w:p>
    <w:p>
      <w:pPr>
        <w:pStyle w:val="ListNumber"/>
        <w:spacing w:line="360" w:lineRule="auto" w:after="0"/>
      </w:pPr>
      <w:r>
        <w:rPr>
          <w:rFonts w:ascii="Times New Roman" w:hAnsi="Times New Roman" w:eastAsia="宋体"/>
          <w:b w:val="0"/>
          <w:i w:val="0"/>
          <w:sz w:val="22"/>
        </w:rPr>
        <w:t>实现阶段（第4-8周）：编程实现，每周提交进度报告</w:t>
      </w:r>
    </w:p>
    <w:p>
      <w:pPr>
        <w:pStyle w:val="ListNumber"/>
        <w:spacing w:line="360" w:lineRule="auto" w:after="0"/>
      </w:pPr>
      <w:r>
        <w:rPr>
          <w:rFonts w:ascii="Times New Roman" w:hAnsi="Times New Roman" w:eastAsia="宋体"/>
          <w:b w:val="0"/>
          <w:i w:val="0"/>
          <w:sz w:val="22"/>
        </w:rPr>
        <w:t>测试阶段（第9-10周）：系统测试和性能优化</w:t>
      </w:r>
    </w:p>
    <w:p>
      <w:pPr>
        <w:pStyle w:val="ListNumber"/>
        <w:spacing w:line="360" w:lineRule="auto" w:after="0"/>
      </w:pPr>
      <w:r>
        <w:rPr>
          <w:rFonts w:ascii="Times New Roman" w:hAnsi="Times New Roman" w:eastAsia="宋体"/>
          <w:b w:val="0"/>
          <w:i w:val="0"/>
          <w:sz w:val="22"/>
        </w:rPr>
        <w:t>答辩阶段（第11周）：10分钟PPT汇报+5分钟问答</w:t>
      </w:r>
    </w:p>
    <w:p>
      <w:pPr>
        <w:pStyle w:val="ListNumber"/>
        <w:spacing w:line="360" w:lineRule="auto" w:after="0"/>
      </w:pPr>
      <w:r>
        <w:rPr>
          <w:rFonts w:ascii="Times New Roman" w:hAnsi="Times New Roman" w:eastAsia="宋体"/>
          <w:b w:val="0"/>
          <w:i w:val="0"/>
          <w:sz w:val="22"/>
        </w:rPr>
        <w:t>提交阶段（第12周）：提交最终代码、报告和演示视频</w:t>
      </w:r>
    </w:p>
    <w:p>
      <w:pPr>
        <w:pStyle w:val="Heading2"/>
        <w:spacing w:before="240" w:after="80"/>
      </w:pPr>
      <w:r>
        <w:rPr>
          <w:rFonts w:ascii="Times New Roman" w:hAnsi="Times New Roman" w:eastAsia="黑体"/>
          <w:b/>
          <w:i w:val="0"/>
          <w:sz w:val="28"/>
        </w:rPr>
        <w:t>实训项目支持资源</w:t>
      </w:r>
    </w:p>
    <w:p>
      <w:pPr>
        <w:pStyle w:val="ListBullet"/>
        <w:spacing w:line="360" w:lineRule="auto" w:after="0"/>
      </w:pPr>
      <w:r>
        <w:rPr>
          <w:rFonts w:ascii="Times New Roman" w:hAnsi="Times New Roman" w:eastAsia="宋体"/>
          <w:b w:val="0"/>
          <w:i w:val="0"/>
          <w:sz w:val="22"/>
        </w:rPr>
        <w:t>计算资源：实验室提供GPU服务器（RTX 3090）用于DRL训练</w:t>
      </w:r>
    </w:p>
    <w:p>
      <w:pPr>
        <w:pStyle w:val="ListBullet"/>
        <w:spacing w:line="360" w:lineRule="auto" w:after="0"/>
      </w:pPr>
      <w:r>
        <w:rPr>
          <w:rFonts w:ascii="Times New Roman" w:hAnsi="Times New Roman" w:eastAsia="宋体"/>
          <w:b w:val="0"/>
          <w:i w:val="0"/>
          <w:sz w:val="22"/>
        </w:rPr>
        <w:t>数据资源：提供Pecan Street和Irish CER数据集的预处理版本</w:t>
      </w:r>
    </w:p>
    <w:p>
      <w:pPr>
        <w:pStyle w:val="ListBullet"/>
        <w:spacing w:line="360" w:lineRule="auto" w:after="0"/>
      </w:pPr>
      <w:r>
        <w:rPr>
          <w:rFonts w:ascii="Times New Roman" w:hAnsi="Times New Roman" w:eastAsia="宋体"/>
          <w:b w:val="0"/>
          <w:i w:val="0"/>
          <w:sz w:val="22"/>
        </w:rPr>
        <w:t>软件环境：Python 3.10 + PyTorch 2.0 + Gurobi 11.0</w:t>
      </w:r>
    </w:p>
    <w:p>
      <w:pPr>
        <w:pStyle w:val="ListBullet"/>
        <w:spacing w:line="360" w:lineRule="auto" w:after="0"/>
      </w:pPr>
      <w:r>
        <w:rPr>
          <w:rFonts w:ascii="Times New Roman" w:hAnsi="Times New Roman" w:eastAsia="宋体"/>
          <w:b w:val="0"/>
          <w:i w:val="0"/>
          <w:sz w:val="22"/>
        </w:rPr>
        <w:t>答疑安排：每周固定2小时office hour + 线上答疑群</w:t>
      </w:r>
    </w:p>
    <w:p>
      <w:r>
        <w:br w:type="page"/>
      </w:r>
    </w:p>
    <w:p>
      <w:pPr>
        <w:pStyle w:val="Heading1"/>
        <w:spacing w:before="360" w:after="120"/>
      </w:pPr>
      <w:r>
        <w:rPr>
          <w:rFonts w:ascii="Times New Roman" w:hAnsi="Times New Roman" w:eastAsia="黑体"/>
          <w:b/>
          <w:i w:val="0"/>
          <w:sz w:val="32"/>
        </w:rPr>
        <w:t>附录G  大事记</w:t>
      </w:r>
    </w:p>
    <w:p>
      <w:pPr>
        <w:spacing w:line="360" w:lineRule="auto" w:after="0"/>
        <w:ind w:firstLine="425"/>
      </w:pPr>
      <w:r>
        <w:rPr>
          <w:rFonts w:ascii="Times New Roman" w:hAnsi="Times New Roman" w:eastAsia="宋体"/>
          <w:b w:val="0"/>
          <w:i w:val="0"/>
          <w:sz w:val="22"/>
        </w:rPr>
        <w:t>本附录按时间顺序记录智能电网实时定价领域的关键事件和技术里程碑。</w:t>
      </w:r>
    </w:p>
    <w:p>
      <w:pPr>
        <w:pStyle w:val="Heading2"/>
        <w:spacing w:before="240" w:after="80"/>
      </w:pPr>
      <w:r>
        <w:rPr>
          <w:rFonts w:ascii="Times New Roman" w:hAnsi="Times New Roman" w:eastAsia="黑体"/>
          <w:b/>
          <w:i w:val="0"/>
          <w:sz w:val="28"/>
        </w:rPr>
        <w:t>G.1 国际大事记</w:t>
      </w:r>
    </w:p>
    <w:tbl>
      <w:tblPr>
        <w:tblStyle w:val="LightGrid-Accent1"/>
        <w:tblW w:type="auto" w:w="0"/>
        <w:jc w:val="center"/>
        <w:tblLook w:firstColumn="1" w:firstRow="1" w:lastColumn="0" w:lastRow="0" w:noHBand="0" w:noVBand="1" w:val="04A0"/>
      </w:tblPr>
      <w:tblGrid>
        <w:gridCol w:w="2835"/>
        <w:gridCol w:w="2835"/>
        <w:gridCol w:w="2835"/>
      </w:tblGrid>
      <w:tr>
        <w:tc>
          <w:tcPr>
            <w:tcW w:type="dxa" w:w="2835"/>
          </w:tcPr>
          <w:p>
            <w:pPr>
              <w:spacing w:after="40" w:before="40"/>
            </w:pPr>
            <w:r>
              <w:rPr>
                <w:b/>
              </w:rPr>
            </w:r>
            <w:r>
              <w:rPr>
                <w:rFonts w:ascii="Times New Roman" w:hAnsi="Times New Roman" w:eastAsia="黑体"/>
                <w:b/>
                <w:i w:val="0"/>
                <w:sz w:val="20"/>
              </w:rPr>
              <w:t>年份</w:t>
            </w:r>
          </w:p>
        </w:tc>
        <w:tc>
          <w:tcPr>
            <w:tcW w:type="dxa" w:w="2835"/>
          </w:tcPr>
          <w:p>
            <w:pPr>
              <w:spacing w:after="40" w:before="40"/>
            </w:pPr>
            <w:r>
              <w:rPr>
                <w:b/>
              </w:rPr>
            </w:r>
            <w:r>
              <w:rPr>
                <w:rFonts w:ascii="Times New Roman" w:hAnsi="Times New Roman" w:eastAsia="黑体"/>
                <w:b/>
                <w:i w:val="0"/>
                <w:sz w:val="20"/>
              </w:rPr>
              <w:t>事件</w:t>
            </w:r>
          </w:p>
        </w:tc>
        <w:tc>
          <w:tcPr>
            <w:tcW w:type="dxa" w:w="2835"/>
          </w:tcPr>
          <w:p>
            <w:pPr>
              <w:spacing w:after="40" w:before="40"/>
            </w:pPr>
            <w:r>
              <w:rPr>
                <w:b/>
              </w:rPr>
            </w:r>
            <w:r>
              <w:rPr>
                <w:rFonts w:ascii="Times New Roman" w:hAnsi="Times New Roman" w:eastAsia="黑体"/>
                <w:b/>
                <w:i w:val="0"/>
                <w:sz w:val="20"/>
              </w:rPr>
              <w:t>意义</w:t>
            </w:r>
          </w:p>
        </w:tc>
      </w:tr>
      <w:tr>
        <w:tc>
          <w:tcPr>
            <w:tcW w:type="dxa" w:w="2835"/>
          </w:tcPr>
          <w:p>
            <w:pPr>
              <w:spacing w:after="40" w:before="40"/>
            </w:pPr>
            <w:r/>
            <w:r>
              <w:rPr>
                <w:rFonts w:ascii="Times New Roman" w:hAnsi="Times New Roman" w:eastAsia="宋体"/>
                <w:b w:val="0"/>
                <w:i w:val="0"/>
                <w:sz w:val="20"/>
              </w:rPr>
              <w:t>1934</w:t>
            </w:r>
          </w:p>
        </w:tc>
        <w:tc>
          <w:tcPr>
            <w:tcW w:type="dxa" w:w="2835"/>
          </w:tcPr>
          <w:p>
            <w:pPr>
              <w:spacing w:after="40" w:before="40"/>
            </w:pPr>
            <w:r/>
            <w:r>
              <w:rPr>
                <w:rFonts w:ascii="Times New Roman" w:hAnsi="Times New Roman" w:eastAsia="宋体"/>
                <w:b w:val="0"/>
                <w:i w:val="0"/>
                <w:sz w:val="20"/>
              </w:rPr>
              <w:t>Cassels提出边际成本定价概念</w:t>
            </w:r>
          </w:p>
        </w:tc>
        <w:tc>
          <w:tcPr>
            <w:tcW w:type="dxa" w:w="2835"/>
          </w:tcPr>
          <w:p>
            <w:pPr>
              <w:spacing w:after="40" w:before="40"/>
            </w:pPr>
            <w:r/>
            <w:r>
              <w:rPr>
                <w:rFonts w:ascii="Times New Roman" w:hAnsi="Times New Roman" w:eastAsia="宋体"/>
                <w:b w:val="0"/>
                <w:i w:val="0"/>
                <w:sz w:val="20"/>
              </w:rPr>
              <w:t>实时定价的理论萌芽</w:t>
            </w:r>
          </w:p>
        </w:tc>
      </w:tr>
      <w:tr>
        <w:tc>
          <w:tcPr>
            <w:tcW w:type="dxa" w:w="2835"/>
            <w:shd w:val="clear" w:color="auto" w:fill="F0F4F8"/>
          </w:tcPr>
          <w:p>
            <w:pPr>
              <w:spacing w:after="40" w:before="40"/>
            </w:pPr>
            <w:r/>
            <w:r>
              <w:rPr>
                <w:rFonts w:ascii="Times New Roman" w:hAnsi="Times New Roman" w:eastAsia="宋体"/>
                <w:b w:val="0"/>
                <w:i w:val="0"/>
                <w:sz w:val="20"/>
              </w:rPr>
              <w:t>1951</w:t>
            </w:r>
          </w:p>
        </w:tc>
        <w:tc>
          <w:tcPr>
            <w:tcW w:type="dxa" w:w="2835"/>
            <w:shd w:val="clear" w:color="auto" w:fill="F0F4F8"/>
          </w:tcPr>
          <w:p>
            <w:pPr>
              <w:spacing w:after="40" w:before="40"/>
            </w:pPr>
            <w:r/>
            <w:r>
              <w:rPr>
                <w:rFonts w:ascii="Times New Roman" w:hAnsi="Times New Roman" w:eastAsia="宋体"/>
                <w:b w:val="0"/>
                <w:i w:val="0"/>
                <w:sz w:val="20"/>
              </w:rPr>
              <w:t>Samuelson发表《经济学》提出社会福利最大化</w:t>
            </w:r>
          </w:p>
        </w:tc>
        <w:tc>
          <w:tcPr>
            <w:tcW w:type="dxa" w:w="2835"/>
            <w:shd w:val="clear" w:color="auto" w:fill="F0F4F8"/>
          </w:tcPr>
          <w:p>
            <w:pPr>
              <w:spacing w:after="40" w:before="40"/>
            </w:pPr>
            <w:r/>
            <w:r>
              <w:rPr>
                <w:rFonts w:ascii="Times New Roman" w:hAnsi="Times New Roman" w:eastAsia="宋体"/>
                <w:b w:val="0"/>
                <w:i w:val="0"/>
                <w:sz w:val="20"/>
              </w:rPr>
              <w:t>奠定RT经济学理论基础</w:t>
            </w:r>
          </w:p>
        </w:tc>
      </w:tr>
      <w:tr>
        <w:tc>
          <w:tcPr>
            <w:tcW w:type="dxa" w:w="2835"/>
          </w:tcPr>
          <w:p>
            <w:pPr>
              <w:spacing w:after="40" w:before="40"/>
            </w:pPr>
            <w:r/>
            <w:r>
              <w:rPr>
                <w:rFonts w:ascii="Times New Roman" w:hAnsi="Times New Roman" w:eastAsia="宋体"/>
                <w:b w:val="0"/>
                <w:i w:val="0"/>
                <w:sz w:val="20"/>
              </w:rPr>
              <w:t>1968</w:t>
            </w:r>
          </w:p>
        </w:tc>
        <w:tc>
          <w:tcPr>
            <w:tcW w:type="dxa" w:w="2835"/>
          </w:tcPr>
          <w:p>
            <w:pPr>
              <w:spacing w:after="40" w:before="40"/>
            </w:pPr>
            <w:r/>
            <w:r>
              <w:rPr>
                <w:rFonts w:ascii="Times New Roman" w:hAnsi="Times New Roman" w:eastAsia="宋体"/>
                <w:b w:val="0"/>
                <w:i w:val="0"/>
                <w:sz w:val="20"/>
              </w:rPr>
              <w:t>Scarpe提出互补问题理论</w:t>
            </w:r>
          </w:p>
        </w:tc>
        <w:tc>
          <w:tcPr>
            <w:tcW w:type="dxa" w:w="2835"/>
          </w:tcPr>
          <w:p>
            <w:pPr>
              <w:spacing w:after="40" w:before="40"/>
            </w:pPr>
            <w:r/>
            <w:r>
              <w:rPr>
                <w:rFonts w:ascii="Times New Roman" w:hAnsi="Times New Roman" w:eastAsia="宋体"/>
                <w:b w:val="0"/>
                <w:i w:val="0"/>
                <w:sz w:val="20"/>
              </w:rPr>
              <w:t>互补问题数学框架建立</w:t>
            </w:r>
          </w:p>
        </w:tc>
      </w:tr>
      <w:tr>
        <w:tc>
          <w:tcPr>
            <w:tcW w:type="dxa" w:w="2835"/>
            <w:shd w:val="clear" w:color="auto" w:fill="F0F4F8"/>
          </w:tcPr>
          <w:p>
            <w:pPr>
              <w:spacing w:after="40" w:before="40"/>
            </w:pPr>
            <w:r/>
            <w:r>
              <w:rPr>
                <w:rFonts w:ascii="Times New Roman" w:hAnsi="Times New Roman" w:eastAsia="宋体"/>
                <w:b w:val="0"/>
                <w:i w:val="0"/>
                <w:sz w:val="20"/>
              </w:rPr>
              <w:t>1979</w:t>
            </w:r>
          </w:p>
        </w:tc>
        <w:tc>
          <w:tcPr>
            <w:tcW w:type="dxa" w:w="2835"/>
            <w:shd w:val="clear" w:color="auto" w:fill="F0F4F8"/>
          </w:tcPr>
          <w:p>
            <w:pPr>
              <w:spacing w:after="40" w:before="40"/>
            </w:pPr>
            <w:r/>
            <w:r>
              <w:rPr>
                <w:rFonts w:ascii="Times New Roman" w:hAnsi="Times New Roman" w:eastAsia="宋体"/>
                <w:b w:val="0"/>
                <w:i w:val="0"/>
                <w:sz w:val="20"/>
              </w:rPr>
              <w:t>Bental和Menn提出KKT条件在经济调度中的应用</w:t>
            </w:r>
          </w:p>
        </w:tc>
        <w:tc>
          <w:tcPr>
            <w:tcW w:type="dxa" w:w="2835"/>
            <w:shd w:val="clear" w:color="auto" w:fill="F0F4F8"/>
          </w:tcPr>
          <w:p>
            <w:pPr>
              <w:spacing w:after="40" w:before="40"/>
            </w:pPr>
            <w:r/>
            <w:r>
              <w:rPr>
                <w:rFonts w:ascii="Times New Roman" w:hAnsi="Times New Roman" w:eastAsia="宋体"/>
                <w:b w:val="0"/>
                <w:i w:val="0"/>
                <w:sz w:val="20"/>
              </w:rPr>
              <w:t>KKT条件引入电力系统</w:t>
            </w:r>
          </w:p>
        </w:tc>
      </w:tr>
      <w:tr>
        <w:tc>
          <w:tcPr>
            <w:tcW w:type="dxa" w:w="2835"/>
          </w:tcPr>
          <w:p>
            <w:pPr>
              <w:spacing w:after="40" w:before="40"/>
            </w:pPr>
            <w:r/>
            <w:r>
              <w:rPr>
                <w:rFonts w:ascii="Times New Roman" w:hAnsi="Times New Roman" w:eastAsia="宋体"/>
                <w:b w:val="0"/>
                <w:i w:val="0"/>
                <w:sz w:val="20"/>
              </w:rPr>
              <w:t>1982</w:t>
            </w:r>
          </w:p>
        </w:tc>
        <w:tc>
          <w:tcPr>
            <w:tcW w:type="dxa" w:w="2835"/>
          </w:tcPr>
          <w:p>
            <w:pPr>
              <w:spacing w:after="40" w:before="40"/>
            </w:pPr>
            <w:r/>
            <w:r>
              <w:rPr>
                <w:rFonts w:ascii="Times New Roman" w:hAnsi="Times New Roman" w:eastAsia="宋体"/>
                <w:b w:val="0"/>
                <w:i w:val="0"/>
                <w:sz w:val="20"/>
              </w:rPr>
              <w:t>Schweppe提出实时电价（Spot Pricing）理论</w:t>
            </w:r>
          </w:p>
        </w:tc>
        <w:tc>
          <w:tcPr>
            <w:tcW w:type="dxa" w:w="2835"/>
          </w:tcPr>
          <w:p>
            <w:pPr>
              <w:spacing w:after="40" w:before="40"/>
            </w:pPr>
            <w:r/>
            <w:r>
              <w:rPr>
                <w:rFonts w:ascii="Times New Roman" w:hAnsi="Times New Roman" w:eastAsia="宋体"/>
                <w:b w:val="0"/>
                <w:i w:val="0"/>
                <w:sz w:val="20"/>
              </w:rPr>
              <w:t>RTP理论正式提出</w:t>
            </w:r>
          </w:p>
        </w:tc>
      </w:tr>
      <w:tr>
        <w:tc>
          <w:tcPr>
            <w:tcW w:type="dxa" w:w="2835"/>
            <w:shd w:val="clear" w:color="auto" w:fill="F0F4F8"/>
          </w:tcPr>
          <w:p>
            <w:pPr>
              <w:spacing w:after="40" w:before="40"/>
            </w:pPr>
            <w:r/>
            <w:r>
              <w:rPr>
                <w:rFonts w:ascii="Times New Roman" w:hAnsi="Times New Roman" w:eastAsia="宋体"/>
                <w:b w:val="0"/>
                <w:i w:val="0"/>
                <w:sz w:val="20"/>
              </w:rPr>
              <w:t>1992</w:t>
            </w:r>
          </w:p>
        </w:tc>
        <w:tc>
          <w:tcPr>
            <w:tcW w:type="dxa" w:w="2835"/>
            <w:shd w:val="clear" w:color="auto" w:fill="F0F4F8"/>
          </w:tcPr>
          <w:p>
            <w:pPr>
              <w:spacing w:after="40" w:before="40"/>
            </w:pPr>
            <w:r/>
            <w:r>
              <w:rPr>
                <w:rFonts w:ascii="Times New Roman" w:hAnsi="Times New Roman" w:eastAsia="宋体"/>
                <w:b w:val="0"/>
                <w:i w:val="0"/>
                <w:sz w:val="20"/>
              </w:rPr>
              <w:t>Fischer提出Fischer-Burmeister函数</w:t>
            </w:r>
          </w:p>
        </w:tc>
        <w:tc>
          <w:tcPr>
            <w:tcW w:type="dxa" w:w="2835"/>
            <w:shd w:val="clear" w:color="auto" w:fill="F0F4F8"/>
          </w:tcPr>
          <w:p>
            <w:pPr>
              <w:spacing w:after="40" w:before="40"/>
            </w:pPr>
            <w:r/>
            <w:r>
              <w:rPr>
                <w:rFonts w:ascii="Times New Roman" w:hAnsi="Times New Roman" w:eastAsia="宋体"/>
                <w:b w:val="0"/>
                <w:i w:val="0"/>
                <w:sz w:val="20"/>
              </w:rPr>
              <w:t>NCP函数关键工具诞生</w:t>
            </w:r>
          </w:p>
        </w:tc>
      </w:tr>
      <w:tr>
        <w:tc>
          <w:tcPr>
            <w:tcW w:type="dxa" w:w="2835"/>
          </w:tcPr>
          <w:p>
            <w:pPr>
              <w:spacing w:after="40" w:before="40"/>
            </w:pPr>
            <w:r/>
            <w:r>
              <w:rPr>
                <w:rFonts w:ascii="Times New Roman" w:hAnsi="Times New Roman" w:eastAsia="宋体"/>
                <w:b w:val="0"/>
                <w:i w:val="0"/>
                <w:sz w:val="20"/>
              </w:rPr>
              <w:t>1996</w:t>
            </w:r>
          </w:p>
        </w:tc>
        <w:tc>
          <w:tcPr>
            <w:tcW w:type="dxa" w:w="2835"/>
          </w:tcPr>
          <w:p>
            <w:pPr>
              <w:spacing w:after="40" w:before="40"/>
            </w:pPr>
            <w:r/>
            <w:r>
              <w:rPr>
                <w:rFonts w:ascii="Times New Roman" w:hAnsi="Times New Roman" w:eastAsia="宋体"/>
                <w:b w:val="0"/>
                <w:i w:val="0"/>
                <w:sz w:val="20"/>
              </w:rPr>
              <w:t>Qi和Sun证明半光滑牛顿法收敛性</w:t>
            </w:r>
          </w:p>
        </w:tc>
        <w:tc>
          <w:tcPr>
            <w:tcW w:type="dxa" w:w="2835"/>
          </w:tcPr>
          <w:p>
            <w:pPr>
              <w:spacing w:after="40" w:before="40"/>
            </w:pPr>
            <w:r/>
            <w:r>
              <w:rPr>
                <w:rFonts w:ascii="Times New Roman" w:hAnsi="Times New Roman" w:eastAsia="宋体"/>
                <w:b w:val="0"/>
                <w:i w:val="0"/>
                <w:sz w:val="20"/>
              </w:rPr>
              <w:t>半光滑牛顿法理论基础</w:t>
            </w:r>
          </w:p>
        </w:tc>
      </w:tr>
      <w:tr>
        <w:tc>
          <w:tcPr>
            <w:tcW w:type="dxa" w:w="2835"/>
            <w:shd w:val="clear" w:color="auto" w:fill="F0F4F8"/>
          </w:tcPr>
          <w:p>
            <w:pPr>
              <w:spacing w:after="40" w:before="40"/>
            </w:pPr>
            <w:r/>
            <w:r>
              <w:rPr>
                <w:rFonts w:ascii="Times New Roman" w:hAnsi="Times New Roman" w:eastAsia="宋体"/>
                <w:b w:val="0"/>
                <w:i w:val="0"/>
                <w:sz w:val="20"/>
              </w:rPr>
              <w:t>1998</w:t>
            </w:r>
          </w:p>
        </w:tc>
        <w:tc>
          <w:tcPr>
            <w:tcW w:type="dxa" w:w="2835"/>
            <w:shd w:val="clear" w:color="auto" w:fill="F0F4F8"/>
          </w:tcPr>
          <w:p>
            <w:pPr>
              <w:spacing w:after="40" w:before="40"/>
            </w:pPr>
            <w:r/>
            <w:r>
              <w:rPr>
                <w:rFonts w:ascii="Times New Roman" w:hAnsi="Times New Roman" w:eastAsia="宋体"/>
                <w:b w:val="0"/>
                <w:i w:val="0"/>
                <w:sz w:val="20"/>
              </w:rPr>
              <w:t>California电力市场危机</w:t>
            </w:r>
          </w:p>
        </w:tc>
        <w:tc>
          <w:tcPr>
            <w:tcW w:type="dxa" w:w="2835"/>
            <w:shd w:val="clear" w:color="auto" w:fill="F0F4F8"/>
          </w:tcPr>
          <w:p>
            <w:pPr>
              <w:spacing w:after="40" w:before="40"/>
            </w:pPr>
            <w:r/>
            <w:r>
              <w:rPr>
                <w:rFonts w:ascii="Times New Roman" w:hAnsi="Times New Roman" w:eastAsia="宋体"/>
                <w:b w:val="0"/>
                <w:i w:val="0"/>
                <w:sz w:val="20"/>
              </w:rPr>
              <w:t>暴露RTP实施中的风险管控问题</w:t>
            </w:r>
          </w:p>
        </w:tc>
      </w:tr>
      <w:tr>
        <w:tc>
          <w:tcPr>
            <w:tcW w:type="dxa" w:w="2835"/>
          </w:tcPr>
          <w:p>
            <w:pPr>
              <w:spacing w:after="40" w:before="40"/>
            </w:pPr>
            <w:r/>
            <w:r>
              <w:rPr>
                <w:rFonts w:ascii="Times New Roman" w:hAnsi="Times New Roman" w:eastAsia="宋体"/>
                <w:b w:val="0"/>
                <w:i w:val="0"/>
                <w:sz w:val="20"/>
              </w:rPr>
              <w:t>2001</w:t>
            </w:r>
          </w:p>
        </w:tc>
        <w:tc>
          <w:tcPr>
            <w:tcW w:type="dxa" w:w="2835"/>
          </w:tcPr>
          <w:p>
            <w:pPr>
              <w:spacing w:after="40" w:before="40"/>
            </w:pPr>
            <w:r/>
            <w:r>
              <w:rPr>
                <w:rFonts w:ascii="Times New Roman" w:hAnsi="Times New Roman" w:eastAsia="宋体"/>
                <w:b w:val="0"/>
                <w:i w:val="0"/>
                <w:sz w:val="20"/>
              </w:rPr>
              <w:t>美国FERC发布标准市场设计(SMD)</w:t>
            </w:r>
          </w:p>
        </w:tc>
        <w:tc>
          <w:tcPr>
            <w:tcW w:type="dxa" w:w="2835"/>
          </w:tcPr>
          <w:p>
            <w:pPr>
              <w:spacing w:after="40" w:before="40"/>
            </w:pPr>
            <w:r/>
            <w:r>
              <w:rPr>
                <w:rFonts w:ascii="Times New Roman" w:hAnsi="Times New Roman" w:eastAsia="宋体"/>
                <w:b w:val="0"/>
                <w:i w:val="0"/>
                <w:sz w:val="20"/>
              </w:rPr>
              <w:t>推动RTP标准化</w:t>
            </w:r>
          </w:p>
        </w:tc>
      </w:tr>
      <w:tr>
        <w:tc>
          <w:tcPr>
            <w:tcW w:type="dxa" w:w="2835"/>
            <w:shd w:val="clear" w:color="auto" w:fill="F0F4F8"/>
          </w:tcPr>
          <w:p>
            <w:pPr>
              <w:spacing w:after="40" w:before="40"/>
            </w:pPr>
            <w:r/>
            <w:r>
              <w:rPr>
                <w:rFonts w:ascii="Times New Roman" w:hAnsi="Times New Roman" w:eastAsia="宋体"/>
                <w:b w:val="0"/>
                <w:i w:val="0"/>
                <w:sz w:val="20"/>
              </w:rPr>
              <w:t>2003</w:t>
            </w:r>
          </w:p>
        </w:tc>
        <w:tc>
          <w:tcPr>
            <w:tcW w:type="dxa" w:w="2835"/>
            <w:shd w:val="clear" w:color="auto" w:fill="F0F4F8"/>
          </w:tcPr>
          <w:p>
            <w:pPr>
              <w:spacing w:after="40" w:before="40"/>
            </w:pPr>
            <w:r/>
            <w:r>
              <w:rPr>
                <w:rFonts w:ascii="Times New Roman" w:hAnsi="Times New Roman" w:eastAsia="宋体"/>
                <w:b w:val="0"/>
                <w:i w:val="0"/>
                <w:sz w:val="20"/>
              </w:rPr>
              <w:t>美加大停电</w:t>
            </w:r>
          </w:p>
        </w:tc>
        <w:tc>
          <w:tcPr>
            <w:tcW w:type="dxa" w:w="2835"/>
            <w:shd w:val="clear" w:color="auto" w:fill="F0F4F8"/>
          </w:tcPr>
          <w:p>
            <w:pPr>
              <w:spacing w:after="40" w:before="40"/>
            </w:pPr>
            <w:r/>
            <w:r>
              <w:rPr>
                <w:rFonts w:ascii="Times New Roman" w:hAnsi="Times New Roman" w:eastAsia="宋体"/>
                <w:b w:val="0"/>
                <w:i w:val="0"/>
                <w:sz w:val="20"/>
              </w:rPr>
              <w:t>凸显需求响应的重要性</w:t>
            </w:r>
          </w:p>
        </w:tc>
      </w:tr>
      <w:tr>
        <w:tc>
          <w:tcPr>
            <w:tcW w:type="dxa" w:w="2835"/>
          </w:tcPr>
          <w:p>
            <w:pPr>
              <w:spacing w:after="40" w:before="40"/>
            </w:pPr>
            <w:r/>
            <w:r>
              <w:rPr>
                <w:rFonts w:ascii="Times New Roman" w:hAnsi="Times New Roman" w:eastAsia="宋体"/>
                <w:b w:val="0"/>
                <w:i w:val="0"/>
                <w:sz w:val="20"/>
              </w:rPr>
              <w:t>2005</w:t>
            </w:r>
          </w:p>
        </w:tc>
        <w:tc>
          <w:tcPr>
            <w:tcW w:type="dxa" w:w="2835"/>
          </w:tcPr>
          <w:p>
            <w:pPr>
              <w:spacing w:after="40" w:before="40"/>
            </w:pPr>
            <w:r/>
            <w:r>
              <w:rPr>
                <w:rFonts w:ascii="Times New Roman" w:hAnsi="Times New Roman" w:eastAsia="宋体"/>
                <w:b w:val="0"/>
                <w:i w:val="0"/>
                <w:sz w:val="20"/>
              </w:rPr>
              <w:t>美国能源政策法案要求推广需求响应</w:t>
            </w:r>
          </w:p>
        </w:tc>
        <w:tc>
          <w:tcPr>
            <w:tcW w:type="dxa" w:w="2835"/>
          </w:tcPr>
          <w:p>
            <w:pPr>
              <w:spacing w:after="40" w:before="40"/>
            </w:pPr>
            <w:r/>
            <w:r>
              <w:rPr>
                <w:rFonts w:ascii="Times New Roman" w:hAnsi="Times New Roman" w:eastAsia="宋体"/>
                <w:b w:val="0"/>
                <w:i w:val="0"/>
                <w:sz w:val="20"/>
              </w:rPr>
              <w:t>DR获得法律支持</w:t>
            </w:r>
          </w:p>
        </w:tc>
      </w:tr>
      <w:tr>
        <w:tc>
          <w:tcPr>
            <w:tcW w:type="dxa" w:w="2835"/>
            <w:shd w:val="clear" w:color="auto" w:fill="F0F4F8"/>
          </w:tcPr>
          <w:p>
            <w:pPr>
              <w:spacing w:after="40" w:before="40"/>
            </w:pPr>
            <w:r/>
            <w:r>
              <w:rPr>
                <w:rFonts w:ascii="Times New Roman" w:hAnsi="Times New Roman" w:eastAsia="宋体"/>
                <w:b w:val="0"/>
                <w:i w:val="0"/>
                <w:sz w:val="20"/>
              </w:rPr>
              <w:t>2007</w:t>
            </w:r>
          </w:p>
        </w:tc>
        <w:tc>
          <w:tcPr>
            <w:tcW w:type="dxa" w:w="2835"/>
            <w:shd w:val="clear" w:color="auto" w:fill="F0F4F8"/>
          </w:tcPr>
          <w:p>
            <w:pPr>
              <w:spacing w:after="40" w:before="40"/>
            </w:pPr>
            <w:r/>
            <w:r>
              <w:rPr>
                <w:rFonts w:ascii="Times New Roman" w:hAnsi="Times New Roman" w:eastAsia="宋体"/>
                <w:b w:val="0"/>
                <w:i w:val="0"/>
                <w:sz w:val="20"/>
              </w:rPr>
              <w:t>欧盟第三能源包</w:t>
            </w:r>
          </w:p>
        </w:tc>
        <w:tc>
          <w:tcPr>
            <w:tcW w:type="dxa" w:w="2835"/>
            <w:shd w:val="clear" w:color="auto" w:fill="F0F4F8"/>
          </w:tcPr>
          <w:p>
            <w:pPr>
              <w:spacing w:after="40" w:before="40"/>
            </w:pPr>
            <w:r/>
            <w:r>
              <w:rPr>
                <w:rFonts w:ascii="Times New Roman" w:hAnsi="Times New Roman" w:eastAsia="宋体"/>
                <w:b w:val="0"/>
                <w:i w:val="0"/>
                <w:sz w:val="20"/>
              </w:rPr>
              <w:t>推动欧洲智能电表部署</w:t>
            </w:r>
          </w:p>
        </w:tc>
      </w:tr>
      <w:tr>
        <w:tc>
          <w:tcPr>
            <w:tcW w:type="dxa" w:w="2835"/>
          </w:tcPr>
          <w:p>
            <w:pPr>
              <w:spacing w:after="40" w:before="40"/>
            </w:pPr>
            <w:r/>
            <w:r>
              <w:rPr>
                <w:rFonts w:ascii="Times New Roman" w:hAnsi="Times New Roman" w:eastAsia="宋体"/>
                <w:b w:val="0"/>
                <w:i w:val="0"/>
                <w:sz w:val="20"/>
              </w:rPr>
              <w:t>2009</w:t>
            </w:r>
          </w:p>
        </w:tc>
        <w:tc>
          <w:tcPr>
            <w:tcW w:type="dxa" w:w="2835"/>
          </w:tcPr>
          <w:p>
            <w:pPr>
              <w:spacing w:after="40" w:before="40"/>
            </w:pPr>
            <w:r/>
            <w:r>
              <w:rPr>
                <w:rFonts w:ascii="Times New Roman" w:hAnsi="Times New Roman" w:eastAsia="宋体"/>
                <w:b w:val="0"/>
                <w:i w:val="0"/>
                <w:sz w:val="20"/>
              </w:rPr>
              <w:t>OpenADR 1.0标准发布</w:t>
            </w:r>
          </w:p>
        </w:tc>
        <w:tc>
          <w:tcPr>
            <w:tcW w:type="dxa" w:w="2835"/>
          </w:tcPr>
          <w:p>
            <w:pPr>
              <w:spacing w:after="40" w:before="40"/>
            </w:pPr>
            <w:r/>
            <w:r>
              <w:rPr>
                <w:rFonts w:ascii="Times New Roman" w:hAnsi="Times New Roman" w:eastAsia="宋体"/>
                <w:b w:val="0"/>
                <w:i w:val="0"/>
                <w:sz w:val="20"/>
              </w:rPr>
              <w:t>ADR通信标准化</w:t>
            </w:r>
          </w:p>
        </w:tc>
      </w:tr>
      <w:tr>
        <w:tc>
          <w:tcPr>
            <w:tcW w:type="dxa" w:w="2835"/>
            <w:shd w:val="clear" w:color="auto" w:fill="F0F4F8"/>
          </w:tcPr>
          <w:p>
            <w:pPr>
              <w:spacing w:after="40" w:before="40"/>
            </w:pPr>
            <w:r/>
            <w:r>
              <w:rPr>
                <w:rFonts w:ascii="Times New Roman" w:hAnsi="Times New Roman" w:eastAsia="宋体"/>
                <w:b w:val="0"/>
                <w:i w:val="0"/>
                <w:sz w:val="20"/>
              </w:rPr>
              <w:t>2010</w:t>
            </w:r>
          </w:p>
        </w:tc>
        <w:tc>
          <w:tcPr>
            <w:tcW w:type="dxa" w:w="2835"/>
            <w:shd w:val="clear" w:color="auto" w:fill="F0F4F8"/>
          </w:tcPr>
          <w:p>
            <w:pPr>
              <w:spacing w:after="40" w:before="40"/>
            </w:pPr>
            <w:r/>
            <w:r>
              <w:rPr>
                <w:rFonts w:ascii="Times New Roman" w:hAnsi="Times New Roman" w:eastAsia="宋体"/>
                <w:b w:val="0"/>
                <w:i w:val="0"/>
                <w:sz w:val="20"/>
              </w:rPr>
              <w:t>Samadi等提出基于效用函数的RTP模型</w:t>
            </w:r>
          </w:p>
        </w:tc>
        <w:tc>
          <w:tcPr>
            <w:tcW w:type="dxa" w:w="2835"/>
            <w:shd w:val="clear" w:color="auto" w:fill="F0F4F8"/>
          </w:tcPr>
          <w:p>
            <w:pPr>
              <w:spacing w:after="40" w:before="40"/>
            </w:pPr>
            <w:r/>
            <w:r>
              <w:rPr>
                <w:rFonts w:ascii="Times New Roman" w:hAnsi="Times New Roman" w:eastAsia="宋体"/>
                <w:b w:val="0"/>
                <w:i w:val="0"/>
                <w:sz w:val="20"/>
              </w:rPr>
              <w:t>社会福利最大化RTP建模</w:t>
            </w:r>
          </w:p>
        </w:tc>
      </w:tr>
      <w:tr>
        <w:tc>
          <w:tcPr>
            <w:tcW w:type="dxa" w:w="2835"/>
          </w:tcPr>
          <w:p>
            <w:pPr>
              <w:spacing w:after="40" w:before="40"/>
            </w:pPr>
            <w:r/>
            <w:r>
              <w:rPr>
                <w:rFonts w:ascii="Times New Roman" w:hAnsi="Times New Roman" w:eastAsia="宋体"/>
                <w:b w:val="0"/>
                <w:i w:val="0"/>
                <w:sz w:val="20"/>
              </w:rPr>
              <w:t>2011</w:t>
            </w:r>
          </w:p>
        </w:tc>
        <w:tc>
          <w:tcPr>
            <w:tcW w:type="dxa" w:w="2835"/>
          </w:tcPr>
          <w:p>
            <w:pPr>
              <w:spacing w:after="40" w:before="40"/>
            </w:pPr>
            <w:r/>
            <w:r>
              <w:rPr>
                <w:rFonts w:ascii="Times New Roman" w:hAnsi="Times New Roman" w:eastAsia="宋体"/>
                <w:b w:val="0"/>
                <w:i w:val="0"/>
                <w:sz w:val="20"/>
              </w:rPr>
              <w:t>Google终止PowerMeter项目</w:t>
            </w:r>
          </w:p>
        </w:tc>
        <w:tc>
          <w:tcPr>
            <w:tcW w:type="dxa" w:w="2835"/>
          </w:tcPr>
          <w:p>
            <w:pPr>
              <w:spacing w:after="40" w:before="40"/>
            </w:pPr>
            <w:r/>
            <w:r>
              <w:rPr>
                <w:rFonts w:ascii="Times New Roman" w:hAnsi="Times New Roman" w:eastAsia="宋体"/>
                <w:b w:val="0"/>
                <w:i w:val="0"/>
                <w:sz w:val="20"/>
              </w:rPr>
              <w:t>居民用电数据商业化的挑战</w:t>
            </w:r>
          </w:p>
        </w:tc>
      </w:tr>
      <w:tr>
        <w:tc>
          <w:tcPr>
            <w:tcW w:type="dxa" w:w="2835"/>
            <w:shd w:val="clear" w:color="auto" w:fill="F0F4F8"/>
          </w:tcPr>
          <w:p>
            <w:pPr>
              <w:spacing w:after="40" w:before="40"/>
            </w:pPr>
            <w:r/>
            <w:r>
              <w:rPr>
                <w:rFonts w:ascii="Times New Roman" w:hAnsi="Times New Roman" w:eastAsia="宋体"/>
                <w:b w:val="0"/>
                <w:i w:val="0"/>
                <w:sz w:val="20"/>
              </w:rPr>
              <w:t>2012</w:t>
            </w:r>
          </w:p>
        </w:tc>
        <w:tc>
          <w:tcPr>
            <w:tcW w:type="dxa" w:w="2835"/>
            <w:shd w:val="clear" w:color="auto" w:fill="F0F4F8"/>
          </w:tcPr>
          <w:p>
            <w:pPr>
              <w:spacing w:after="40" w:before="40"/>
            </w:pPr>
            <w:r/>
            <w:r>
              <w:rPr>
                <w:rFonts w:ascii="Times New Roman" w:hAnsi="Times New Roman" w:eastAsia="宋体"/>
                <w:b w:val="0"/>
                <w:i w:val="0"/>
                <w:sz w:val="20"/>
              </w:rPr>
              <w:t>Qi和Sun的半光滑牛顿法获得SIAM杰出论文奖</w:t>
            </w:r>
          </w:p>
        </w:tc>
        <w:tc>
          <w:tcPr>
            <w:tcW w:type="dxa" w:w="2835"/>
            <w:shd w:val="clear" w:color="auto" w:fill="F0F4F8"/>
          </w:tcPr>
          <w:p>
            <w:pPr>
              <w:spacing w:after="40" w:before="40"/>
            </w:pPr>
            <w:r/>
            <w:r>
              <w:rPr>
                <w:rFonts w:ascii="Times New Roman" w:hAnsi="Times New Roman" w:eastAsia="宋体"/>
                <w:b w:val="0"/>
                <w:i w:val="0"/>
                <w:sz w:val="20"/>
              </w:rPr>
              <w:t>互补方法获得学术认可</w:t>
            </w:r>
          </w:p>
        </w:tc>
      </w:tr>
      <w:tr>
        <w:tc>
          <w:tcPr>
            <w:tcW w:type="dxa" w:w="2835"/>
          </w:tcPr>
          <w:p>
            <w:pPr>
              <w:spacing w:after="40" w:before="40"/>
            </w:pPr>
            <w:r/>
            <w:r>
              <w:rPr>
                <w:rFonts w:ascii="Times New Roman" w:hAnsi="Times New Roman" w:eastAsia="宋体"/>
                <w:b w:val="0"/>
                <w:i w:val="0"/>
                <w:sz w:val="20"/>
              </w:rPr>
              <w:t>2013</w:t>
            </w:r>
          </w:p>
        </w:tc>
        <w:tc>
          <w:tcPr>
            <w:tcW w:type="dxa" w:w="2835"/>
          </w:tcPr>
          <w:p>
            <w:pPr>
              <w:spacing w:after="40" w:before="40"/>
            </w:pPr>
            <w:r/>
            <w:r>
              <w:rPr>
                <w:rFonts w:ascii="Times New Roman" w:hAnsi="Times New Roman" w:eastAsia="宋体"/>
                <w:b w:val="0"/>
                <w:i w:val="0"/>
                <w:sz w:val="20"/>
              </w:rPr>
              <w:t>OpenADR 2.0b标准发布</w:t>
            </w:r>
          </w:p>
        </w:tc>
        <w:tc>
          <w:tcPr>
            <w:tcW w:type="dxa" w:w="2835"/>
          </w:tcPr>
          <w:p>
            <w:pPr>
              <w:spacing w:after="40" w:before="40"/>
            </w:pPr>
            <w:r/>
            <w:r>
              <w:rPr>
                <w:rFonts w:ascii="Times New Roman" w:hAnsi="Times New Roman" w:eastAsia="宋体"/>
                <w:b w:val="0"/>
                <w:i w:val="0"/>
                <w:sz w:val="20"/>
              </w:rPr>
              <w:t>ADR国际标准成熟</w:t>
            </w:r>
          </w:p>
        </w:tc>
      </w:tr>
      <w:tr>
        <w:tc>
          <w:tcPr>
            <w:tcW w:type="dxa" w:w="2835"/>
            <w:shd w:val="clear" w:color="auto" w:fill="F0F4F8"/>
          </w:tcPr>
          <w:p>
            <w:pPr>
              <w:spacing w:after="40" w:before="40"/>
            </w:pPr>
            <w:r/>
            <w:r>
              <w:rPr>
                <w:rFonts w:ascii="Times New Roman" w:hAnsi="Times New Roman" w:eastAsia="宋体"/>
                <w:b w:val="0"/>
                <w:i w:val="0"/>
                <w:sz w:val="20"/>
              </w:rPr>
              <w:t>2015</w:t>
            </w:r>
          </w:p>
        </w:tc>
        <w:tc>
          <w:tcPr>
            <w:tcW w:type="dxa" w:w="2835"/>
            <w:shd w:val="clear" w:color="auto" w:fill="F0F4F8"/>
          </w:tcPr>
          <w:p>
            <w:pPr>
              <w:spacing w:after="40" w:before="40"/>
            </w:pPr>
            <w:r/>
            <w:r>
              <w:rPr>
                <w:rFonts w:ascii="Times New Roman" w:hAnsi="Times New Roman" w:eastAsia="宋体"/>
                <w:b w:val="0"/>
                <w:i w:val="0"/>
                <w:sz w:val="20"/>
              </w:rPr>
              <w:t>深度强化学习(AlphaGo)突破</w:t>
            </w:r>
          </w:p>
        </w:tc>
        <w:tc>
          <w:tcPr>
            <w:tcW w:type="dxa" w:w="2835"/>
            <w:shd w:val="clear" w:color="auto" w:fill="F0F4F8"/>
          </w:tcPr>
          <w:p>
            <w:pPr>
              <w:spacing w:after="40" w:before="40"/>
            </w:pPr>
            <w:r/>
            <w:r>
              <w:rPr>
                <w:rFonts w:ascii="Times New Roman" w:hAnsi="Times New Roman" w:eastAsia="宋体"/>
                <w:b w:val="0"/>
                <w:i w:val="0"/>
                <w:sz w:val="20"/>
              </w:rPr>
              <w:t>DRL技术基础奠定</w:t>
            </w:r>
          </w:p>
        </w:tc>
      </w:tr>
      <w:tr>
        <w:tc>
          <w:tcPr>
            <w:tcW w:type="dxa" w:w="2835"/>
          </w:tcPr>
          <w:p>
            <w:pPr>
              <w:spacing w:after="40" w:before="40"/>
            </w:pPr>
            <w:r/>
            <w:r>
              <w:rPr>
                <w:rFonts w:ascii="Times New Roman" w:hAnsi="Times New Roman" w:eastAsia="宋体"/>
                <w:b w:val="0"/>
                <w:i w:val="0"/>
                <w:sz w:val="20"/>
              </w:rPr>
              <w:t>2016</w:t>
            </w:r>
          </w:p>
        </w:tc>
        <w:tc>
          <w:tcPr>
            <w:tcW w:type="dxa" w:w="2835"/>
          </w:tcPr>
          <w:p>
            <w:pPr>
              <w:spacing w:after="40" w:before="40"/>
            </w:pPr>
            <w:r/>
            <w:r>
              <w:rPr>
                <w:rFonts w:ascii="Times New Roman" w:hAnsi="Times New Roman" w:eastAsia="宋体"/>
                <w:b w:val="0"/>
                <w:i w:val="0"/>
                <w:sz w:val="20"/>
              </w:rPr>
              <w:t>IEEE 2030.6需求响应标准发布</w:t>
            </w:r>
          </w:p>
        </w:tc>
        <w:tc>
          <w:tcPr>
            <w:tcW w:type="dxa" w:w="2835"/>
          </w:tcPr>
          <w:p>
            <w:pPr>
              <w:spacing w:after="40" w:before="40"/>
            </w:pPr>
            <w:r/>
            <w:r>
              <w:rPr>
                <w:rFonts w:ascii="Times New Roman" w:hAnsi="Times New Roman" w:eastAsia="宋体"/>
                <w:b w:val="0"/>
                <w:i w:val="0"/>
                <w:sz w:val="20"/>
              </w:rPr>
              <w:t>DR评估标准化</w:t>
            </w:r>
          </w:p>
        </w:tc>
      </w:tr>
      <w:tr>
        <w:tc>
          <w:tcPr>
            <w:tcW w:type="dxa" w:w="2835"/>
            <w:shd w:val="clear" w:color="auto" w:fill="F0F4F8"/>
          </w:tcPr>
          <w:p>
            <w:pPr>
              <w:spacing w:after="40" w:before="40"/>
            </w:pPr>
            <w:r/>
            <w:r>
              <w:rPr>
                <w:rFonts w:ascii="Times New Roman" w:hAnsi="Times New Roman" w:eastAsia="宋体"/>
                <w:b w:val="0"/>
                <w:i w:val="0"/>
                <w:sz w:val="20"/>
              </w:rPr>
              <w:t>2018</w:t>
            </w:r>
          </w:p>
        </w:tc>
        <w:tc>
          <w:tcPr>
            <w:tcW w:type="dxa" w:w="2835"/>
            <w:shd w:val="clear" w:color="auto" w:fill="F0F4F8"/>
          </w:tcPr>
          <w:p>
            <w:pPr>
              <w:spacing w:after="40" w:before="40"/>
            </w:pPr>
            <w:r/>
            <w:r>
              <w:rPr>
                <w:rFonts w:ascii="Times New Roman" w:hAnsi="Times New Roman" w:eastAsia="宋体"/>
                <w:b w:val="0"/>
                <w:i w:val="0"/>
                <w:sz w:val="20"/>
              </w:rPr>
              <w:t>Chen等首次将DQN用于实时定价</w:t>
            </w:r>
          </w:p>
        </w:tc>
        <w:tc>
          <w:tcPr>
            <w:tcW w:type="dxa" w:w="2835"/>
            <w:shd w:val="clear" w:color="auto" w:fill="F0F4F8"/>
          </w:tcPr>
          <w:p>
            <w:pPr>
              <w:spacing w:after="40" w:before="40"/>
            </w:pPr>
            <w:r/>
            <w:r>
              <w:rPr>
                <w:rFonts w:ascii="Times New Roman" w:hAnsi="Times New Roman" w:eastAsia="宋体"/>
                <w:b w:val="0"/>
                <w:i w:val="0"/>
                <w:sz w:val="20"/>
              </w:rPr>
              <w:t>DRL进入RTP领域</w:t>
            </w:r>
          </w:p>
        </w:tc>
      </w:tr>
      <w:tr>
        <w:tc>
          <w:tcPr>
            <w:tcW w:type="dxa" w:w="2835"/>
          </w:tcPr>
          <w:p>
            <w:pPr>
              <w:spacing w:after="40" w:before="40"/>
            </w:pPr>
            <w:r/>
            <w:r>
              <w:rPr>
                <w:rFonts w:ascii="Times New Roman" w:hAnsi="Times New Roman" w:eastAsia="宋体"/>
                <w:b w:val="0"/>
                <w:i w:val="0"/>
                <w:sz w:val="20"/>
              </w:rPr>
              <w:t>2019</w:t>
            </w:r>
          </w:p>
        </w:tc>
        <w:tc>
          <w:tcPr>
            <w:tcW w:type="dxa" w:w="2835"/>
          </w:tcPr>
          <w:p>
            <w:pPr>
              <w:spacing w:after="40" w:before="40"/>
            </w:pPr>
            <w:r/>
            <w:r>
              <w:rPr>
                <w:rFonts w:ascii="Times New Roman" w:hAnsi="Times New Roman" w:eastAsia="宋体"/>
                <w:b w:val="0"/>
                <w:i w:val="0"/>
                <w:sz w:val="20"/>
              </w:rPr>
              <w:t>欧盟Green Deal发布</w:t>
            </w:r>
          </w:p>
        </w:tc>
        <w:tc>
          <w:tcPr>
            <w:tcW w:type="dxa" w:w="2835"/>
          </w:tcPr>
          <w:p>
            <w:pPr>
              <w:spacing w:after="40" w:before="40"/>
            </w:pPr>
            <w:r/>
            <w:r>
              <w:rPr>
                <w:rFonts w:ascii="Times New Roman" w:hAnsi="Times New Roman" w:eastAsia="宋体"/>
                <w:b w:val="0"/>
                <w:i w:val="0"/>
                <w:sz w:val="20"/>
              </w:rPr>
              <w:t>欧洲能源转型加速</w:t>
            </w:r>
          </w:p>
        </w:tc>
      </w:tr>
      <w:tr>
        <w:tc>
          <w:tcPr>
            <w:tcW w:type="dxa" w:w="2835"/>
            <w:shd w:val="clear" w:color="auto" w:fill="F0F4F8"/>
          </w:tcPr>
          <w:p>
            <w:pPr>
              <w:spacing w:after="40" w:before="40"/>
            </w:pPr>
            <w:r/>
            <w:r>
              <w:rPr>
                <w:rFonts w:ascii="Times New Roman" w:hAnsi="Times New Roman" w:eastAsia="宋体"/>
                <w:b w:val="0"/>
                <w:i w:val="0"/>
                <w:sz w:val="20"/>
              </w:rPr>
              <w:t>2020</w:t>
            </w:r>
          </w:p>
        </w:tc>
        <w:tc>
          <w:tcPr>
            <w:tcW w:type="dxa" w:w="2835"/>
            <w:shd w:val="clear" w:color="auto" w:fill="F0F4F8"/>
          </w:tcPr>
          <w:p>
            <w:pPr>
              <w:spacing w:after="40" w:before="40"/>
            </w:pPr>
            <w:r/>
            <w:r>
              <w:rPr>
                <w:rFonts w:ascii="Times New Roman" w:hAnsi="Times New Roman" w:eastAsia="宋体"/>
                <w:b w:val="0"/>
                <w:i w:val="0"/>
                <w:sz w:val="20"/>
              </w:rPr>
              <w:t>多Agent DRL定价框架提出</w:t>
            </w:r>
          </w:p>
        </w:tc>
        <w:tc>
          <w:tcPr>
            <w:tcW w:type="dxa" w:w="2835"/>
            <w:shd w:val="clear" w:color="auto" w:fill="F0F4F8"/>
          </w:tcPr>
          <w:p>
            <w:pPr>
              <w:spacing w:after="40" w:before="40"/>
            </w:pPr>
            <w:r/>
            <w:r>
              <w:rPr>
                <w:rFonts w:ascii="Times New Roman" w:hAnsi="Times New Roman" w:eastAsia="宋体"/>
                <w:b w:val="0"/>
                <w:i w:val="0"/>
                <w:sz w:val="20"/>
              </w:rPr>
              <w:t>多主体智能定价</w:t>
            </w:r>
          </w:p>
        </w:tc>
      </w:tr>
      <w:tr>
        <w:tc>
          <w:tcPr>
            <w:tcW w:type="dxa" w:w="2835"/>
          </w:tcPr>
          <w:p>
            <w:pPr>
              <w:spacing w:after="40" w:before="40"/>
            </w:pPr>
            <w:r/>
            <w:r>
              <w:rPr>
                <w:rFonts w:ascii="Times New Roman" w:hAnsi="Times New Roman" w:eastAsia="宋体"/>
                <w:b w:val="0"/>
                <w:i w:val="0"/>
                <w:sz w:val="20"/>
              </w:rPr>
              <w:t>2021</w:t>
            </w:r>
          </w:p>
        </w:tc>
        <w:tc>
          <w:tcPr>
            <w:tcW w:type="dxa" w:w="2835"/>
          </w:tcPr>
          <w:p>
            <w:pPr>
              <w:spacing w:after="40" w:before="40"/>
            </w:pPr>
            <w:r/>
            <w:r>
              <w:rPr>
                <w:rFonts w:ascii="Times New Roman" w:hAnsi="Times New Roman" w:eastAsia="宋体"/>
                <w:b w:val="0"/>
                <w:i w:val="0"/>
                <w:sz w:val="20"/>
              </w:rPr>
              <w:t>德国负电价频发</w:t>
            </w:r>
          </w:p>
        </w:tc>
        <w:tc>
          <w:tcPr>
            <w:tcW w:type="dxa" w:w="2835"/>
          </w:tcPr>
          <w:p>
            <w:pPr>
              <w:spacing w:after="40" w:before="40"/>
            </w:pPr>
            <w:r/>
            <w:r>
              <w:rPr>
                <w:rFonts w:ascii="Times New Roman" w:hAnsi="Times New Roman" w:eastAsia="宋体"/>
                <w:b w:val="0"/>
                <w:i w:val="0"/>
                <w:sz w:val="20"/>
              </w:rPr>
              <w:t>可再生能源过剩的定价挑战</w:t>
            </w:r>
          </w:p>
        </w:tc>
      </w:tr>
      <w:tr>
        <w:tc>
          <w:tcPr>
            <w:tcW w:type="dxa" w:w="2835"/>
            <w:shd w:val="clear" w:color="auto" w:fill="F0F4F8"/>
          </w:tcPr>
          <w:p>
            <w:pPr>
              <w:spacing w:after="40" w:before="40"/>
            </w:pPr>
            <w:r/>
            <w:r>
              <w:rPr>
                <w:rFonts w:ascii="Times New Roman" w:hAnsi="Times New Roman" w:eastAsia="宋体"/>
                <w:b w:val="0"/>
                <w:i w:val="0"/>
                <w:sz w:val="20"/>
              </w:rPr>
              <w:t>2022</w:t>
            </w:r>
          </w:p>
        </w:tc>
        <w:tc>
          <w:tcPr>
            <w:tcW w:type="dxa" w:w="2835"/>
            <w:shd w:val="clear" w:color="auto" w:fill="F0F4F8"/>
          </w:tcPr>
          <w:p>
            <w:pPr>
              <w:spacing w:after="40" w:before="40"/>
            </w:pPr>
            <w:r/>
            <w:r>
              <w:rPr>
                <w:rFonts w:ascii="Times New Roman" w:hAnsi="Times New Roman" w:eastAsia="宋体"/>
                <w:b w:val="0"/>
                <w:i w:val="0"/>
                <w:sz w:val="20"/>
              </w:rPr>
              <w:t>ERCOT极端电价事件(9000美元/MWh)</w:t>
            </w:r>
          </w:p>
        </w:tc>
        <w:tc>
          <w:tcPr>
            <w:tcW w:type="dxa" w:w="2835"/>
            <w:shd w:val="clear" w:color="auto" w:fill="F0F4F8"/>
          </w:tcPr>
          <w:p>
            <w:pPr>
              <w:spacing w:after="40" w:before="40"/>
            </w:pPr>
            <w:r/>
            <w:r>
              <w:rPr>
                <w:rFonts w:ascii="Times New Roman" w:hAnsi="Times New Roman" w:eastAsia="宋体"/>
                <w:b w:val="0"/>
                <w:i w:val="0"/>
                <w:sz w:val="20"/>
              </w:rPr>
              <w:t>RTP风险管理警示</w:t>
            </w:r>
          </w:p>
        </w:tc>
      </w:tr>
      <w:tr>
        <w:tc>
          <w:tcPr>
            <w:tcW w:type="dxa" w:w="2835"/>
          </w:tcPr>
          <w:p>
            <w:pPr>
              <w:spacing w:after="40" w:before="40"/>
            </w:pPr>
            <w:r/>
            <w:r>
              <w:rPr>
                <w:rFonts w:ascii="Times New Roman" w:hAnsi="Times New Roman" w:eastAsia="宋体"/>
                <w:b w:val="0"/>
                <w:i w:val="0"/>
                <w:sz w:val="20"/>
              </w:rPr>
              <w:t>2023</w:t>
            </w:r>
          </w:p>
        </w:tc>
        <w:tc>
          <w:tcPr>
            <w:tcW w:type="dxa" w:w="2835"/>
          </w:tcPr>
          <w:p>
            <w:pPr>
              <w:spacing w:after="40" w:before="40"/>
            </w:pPr>
            <w:r/>
            <w:r>
              <w:rPr>
                <w:rFonts w:ascii="Times New Roman" w:hAnsi="Times New Roman" w:eastAsia="宋体"/>
                <w:b w:val="0"/>
                <w:i w:val="0"/>
                <w:sz w:val="20"/>
              </w:rPr>
              <w:t>GPT-4等大语言模型兴起</w:t>
            </w:r>
          </w:p>
        </w:tc>
        <w:tc>
          <w:tcPr>
            <w:tcW w:type="dxa" w:w="2835"/>
          </w:tcPr>
          <w:p>
            <w:pPr>
              <w:spacing w:after="40" w:before="40"/>
            </w:pPr>
            <w:r/>
            <w:r>
              <w:rPr>
                <w:rFonts w:ascii="Times New Roman" w:hAnsi="Times New Roman" w:eastAsia="宋体"/>
                <w:b w:val="0"/>
                <w:i w:val="0"/>
                <w:sz w:val="20"/>
              </w:rPr>
              <w:t>LLM增强定价方向探索</w:t>
            </w:r>
          </w:p>
        </w:tc>
      </w:tr>
    </w:tbl>
    <w:p>
      <w:pPr>
        <w:pStyle w:val="Heading2"/>
        <w:spacing w:before="240" w:after="80"/>
      </w:pPr>
      <w:r>
        <w:rPr>
          <w:rFonts w:ascii="Times New Roman" w:hAnsi="Times New Roman" w:eastAsia="黑体"/>
          <w:b/>
          <w:i w:val="0"/>
          <w:sz w:val="28"/>
        </w:rPr>
        <w:t>G.2 国内大事记</w:t>
      </w:r>
    </w:p>
    <w:tbl>
      <w:tblPr>
        <w:tblStyle w:val="LightGrid-Accent1"/>
        <w:tblW w:type="auto" w:w="0"/>
        <w:jc w:val="center"/>
        <w:tblLook w:firstColumn="1" w:firstRow="1" w:lastColumn="0" w:lastRow="0" w:noHBand="0" w:noVBand="1" w:val="04A0"/>
      </w:tblPr>
      <w:tblGrid>
        <w:gridCol w:w="2835"/>
        <w:gridCol w:w="2835"/>
        <w:gridCol w:w="2835"/>
      </w:tblGrid>
      <w:tr>
        <w:tc>
          <w:tcPr>
            <w:tcW w:type="dxa" w:w="2835"/>
          </w:tcPr>
          <w:p>
            <w:pPr>
              <w:spacing w:after="40" w:before="40"/>
            </w:pPr>
            <w:r>
              <w:rPr>
                <w:b/>
              </w:rPr>
            </w:r>
            <w:r>
              <w:rPr>
                <w:rFonts w:ascii="Times New Roman" w:hAnsi="Times New Roman" w:eastAsia="黑体"/>
                <w:b/>
                <w:i w:val="0"/>
                <w:sz w:val="20"/>
              </w:rPr>
              <w:t>年份</w:t>
            </w:r>
          </w:p>
        </w:tc>
        <w:tc>
          <w:tcPr>
            <w:tcW w:type="dxa" w:w="2835"/>
          </w:tcPr>
          <w:p>
            <w:pPr>
              <w:spacing w:after="40" w:before="40"/>
            </w:pPr>
            <w:r>
              <w:rPr>
                <w:b/>
              </w:rPr>
            </w:r>
            <w:r>
              <w:rPr>
                <w:rFonts w:ascii="Times New Roman" w:hAnsi="Times New Roman" w:eastAsia="黑体"/>
                <w:b/>
                <w:i w:val="0"/>
                <w:sz w:val="20"/>
              </w:rPr>
              <w:t>事件</w:t>
            </w:r>
          </w:p>
        </w:tc>
        <w:tc>
          <w:tcPr>
            <w:tcW w:type="dxa" w:w="2835"/>
          </w:tcPr>
          <w:p>
            <w:pPr>
              <w:spacing w:after="40" w:before="40"/>
            </w:pPr>
            <w:r>
              <w:rPr>
                <w:b/>
              </w:rPr>
            </w:r>
            <w:r>
              <w:rPr>
                <w:rFonts w:ascii="Times New Roman" w:hAnsi="Times New Roman" w:eastAsia="黑体"/>
                <w:b/>
                <w:i w:val="0"/>
                <w:sz w:val="20"/>
              </w:rPr>
              <w:t>意义</w:t>
            </w:r>
          </w:p>
        </w:tc>
      </w:tr>
      <w:tr>
        <w:tc>
          <w:tcPr>
            <w:tcW w:type="dxa" w:w="2835"/>
          </w:tcPr>
          <w:p>
            <w:pPr>
              <w:spacing w:after="40" w:before="40"/>
            </w:pPr>
            <w:r/>
            <w:r>
              <w:rPr>
                <w:rFonts w:ascii="Times New Roman" w:hAnsi="Times New Roman" w:eastAsia="宋体"/>
                <w:b w:val="0"/>
                <w:i w:val="0"/>
                <w:sz w:val="20"/>
              </w:rPr>
              <w:t>2002</w:t>
            </w:r>
          </w:p>
        </w:tc>
        <w:tc>
          <w:tcPr>
            <w:tcW w:type="dxa" w:w="2835"/>
          </w:tcPr>
          <w:p>
            <w:pPr>
              <w:spacing w:after="40" w:before="40"/>
            </w:pPr>
            <w:r/>
            <w:r>
              <w:rPr>
                <w:rFonts w:ascii="Times New Roman" w:hAnsi="Times New Roman" w:eastAsia="宋体"/>
                <w:b w:val="0"/>
                <w:i w:val="0"/>
                <w:sz w:val="20"/>
              </w:rPr>
              <w:t>国务院印发"5号文"启动电力体制改革</w:t>
            </w:r>
          </w:p>
        </w:tc>
        <w:tc>
          <w:tcPr>
            <w:tcW w:type="dxa" w:w="2835"/>
          </w:tcPr>
          <w:p>
            <w:pPr>
              <w:spacing w:after="40" w:before="40"/>
            </w:pPr>
            <w:r/>
            <w:r>
              <w:rPr>
                <w:rFonts w:ascii="Times New Roman" w:hAnsi="Times New Roman" w:eastAsia="宋体"/>
                <w:b w:val="0"/>
                <w:i w:val="0"/>
                <w:sz w:val="20"/>
              </w:rPr>
              <w:t>电力市场化改革开端</w:t>
            </w:r>
          </w:p>
        </w:tc>
      </w:tr>
      <w:tr>
        <w:tc>
          <w:tcPr>
            <w:tcW w:type="dxa" w:w="2835"/>
            <w:shd w:val="clear" w:color="auto" w:fill="F0F4F8"/>
          </w:tcPr>
          <w:p>
            <w:pPr>
              <w:spacing w:after="40" w:before="40"/>
            </w:pPr>
            <w:r/>
            <w:r>
              <w:rPr>
                <w:rFonts w:ascii="Times New Roman" w:hAnsi="Times New Roman" w:eastAsia="宋体"/>
                <w:b w:val="0"/>
                <w:i w:val="0"/>
                <w:sz w:val="20"/>
              </w:rPr>
              <w:t>2006</w:t>
            </w:r>
          </w:p>
        </w:tc>
        <w:tc>
          <w:tcPr>
            <w:tcW w:type="dxa" w:w="2835"/>
            <w:shd w:val="clear" w:color="auto" w:fill="F0F4F8"/>
          </w:tcPr>
          <w:p>
            <w:pPr>
              <w:spacing w:after="40" w:before="40"/>
            </w:pPr>
            <w:r/>
            <w:r>
              <w:rPr>
                <w:rFonts w:ascii="Times New Roman" w:hAnsi="Times New Roman" w:eastAsia="宋体"/>
                <w:b w:val="0"/>
                <w:i w:val="0"/>
                <w:sz w:val="20"/>
              </w:rPr>
              <w:t>高岩发表智能电网实时定价互补问题方法论文</w:t>
            </w:r>
          </w:p>
        </w:tc>
        <w:tc>
          <w:tcPr>
            <w:tcW w:type="dxa" w:w="2835"/>
            <w:shd w:val="clear" w:color="auto" w:fill="F0F4F8"/>
          </w:tcPr>
          <w:p>
            <w:pPr>
              <w:spacing w:after="40" w:before="40"/>
            </w:pPr>
            <w:r/>
            <w:r>
              <w:rPr>
                <w:rFonts w:ascii="Times New Roman" w:hAnsi="Times New Roman" w:eastAsia="宋体"/>
                <w:b w:val="0"/>
                <w:i w:val="0"/>
                <w:sz w:val="20"/>
              </w:rPr>
              <w:t>中国RTP互补问题研究起步</w:t>
            </w:r>
          </w:p>
        </w:tc>
      </w:tr>
      <w:tr>
        <w:tc>
          <w:tcPr>
            <w:tcW w:type="dxa" w:w="2835"/>
          </w:tcPr>
          <w:p>
            <w:pPr>
              <w:spacing w:after="40" w:before="40"/>
            </w:pPr>
            <w:r/>
            <w:r>
              <w:rPr>
                <w:rFonts w:ascii="Times New Roman" w:hAnsi="Times New Roman" w:eastAsia="宋体"/>
                <w:b w:val="0"/>
                <w:i w:val="0"/>
                <w:sz w:val="20"/>
              </w:rPr>
              <w:t>2009</w:t>
            </w:r>
          </w:p>
        </w:tc>
        <w:tc>
          <w:tcPr>
            <w:tcW w:type="dxa" w:w="2835"/>
          </w:tcPr>
          <w:p>
            <w:pPr>
              <w:spacing w:after="40" w:before="40"/>
            </w:pPr>
            <w:r/>
            <w:r>
              <w:rPr>
                <w:rFonts w:ascii="Times New Roman" w:hAnsi="Times New Roman" w:eastAsia="宋体"/>
                <w:b w:val="0"/>
                <w:i w:val="0"/>
                <w:sz w:val="20"/>
              </w:rPr>
              <w:t>国家电网提出"坚强智能电网"战略</w:t>
            </w:r>
          </w:p>
        </w:tc>
        <w:tc>
          <w:tcPr>
            <w:tcW w:type="dxa" w:w="2835"/>
          </w:tcPr>
          <w:p>
            <w:pPr>
              <w:spacing w:after="40" w:before="40"/>
            </w:pPr>
            <w:r/>
            <w:r>
              <w:rPr>
                <w:rFonts w:ascii="Times New Roman" w:hAnsi="Times New Roman" w:eastAsia="宋体"/>
                <w:b w:val="0"/>
                <w:i w:val="0"/>
                <w:sz w:val="20"/>
              </w:rPr>
              <w:t>智能电网建设启动</w:t>
            </w:r>
          </w:p>
        </w:tc>
      </w:tr>
      <w:tr>
        <w:tc>
          <w:tcPr>
            <w:tcW w:type="dxa" w:w="2835"/>
            <w:shd w:val="clear" w:color="auto" w:fill="F0F4F8"/>
          </w:tcPr>
          <w:p>
            <w:pPr>
              <w:spacing w:after="40" w:before="40"/>
            </w:pPr>
            <w:r/>
            <w:r>
              <w:rPr>
                <w:rFonts w:ascii="Times New Roman" w:hAnsi="Times New Roman" w:eastAsia="宋体"/>
                <w:b w:val="0"/>
                <w:i w:val="0"/>
                <w:sz w:val="20"/>
              </w:rPr>
              <w:t>2011</w:t>
            </w:r>
          </w:p>
        </w:tc>
        <w:tc>
          <w:tcPr>
            <w:tcW w:type="dxa" w:w="2835"/>
            <w:shd w:val="clear" w:color="auto" w:fill="F0F4F8"/>
          </w:tcPr>
          <w:p>
            <w:pPr>
              <w:spacing w:after="40" w:before="40"/>
            </w:pPr>
            <w:r/>
            <w:r>
              <w:rPr>
                <w:rFonts w:ascii="Times New Roman" w:hAnsi="Times New Roman" w:eastAsia="宋体"/>
                <w:b w:val="0"/>
                <w:i w:val="0"/>
                <w:sz w:val="20"/>
              </w:rPr>
              <w:t>首批智能小区试点在北京等地启动</w:t>
            </w:r>
          </w:p>
        </w:tc>
        <w:tc>
          <w:tcPr>
            <w:tcW w:type="dxa" w:w="2835"/>
            <w:shd w:val="clear" w:color="auto" w:fill="F0F4F8"/>
          </w:tcPr>
          <w:p>
            <w:pPr>
              <w:spacing w:after="40" w:before="40"/>
            </w:pPr>
            <w:r/>
            <w:r>
              <w:rPr>
                <w:rFonts w:ascii="Times New Roman" w:hAnsi="Times New Roman" w:eastAsia="宋体"/>
                <w:b w:val="0"/>
                <w:i w:val="0"/>
                <w:sz w:val="20"/>
              </w:rPr>
              <w:t>智能用电实践探索</w:t>
            </w:r>
          </w:p>
        </w:tc>
      </w:tr>
      <w:tr>
        <w:tc>
          <w:tcPr>
            <w:tcW w:type="dxa" w:w="2835"/>
          </w:tcPr>
          <w:p>
            <w:pPr>
              <w:spacing w:after="40" w:before="40"/>
            </w:pPr>
            <w:r/>
            <w:r>
              <w:rPr>
                <w:rFonts w:ascii="Times New Roman" w:hAnsi="Times New Roman" w:eastAsia="宋体"/>
                <w:b w:val="0"/>
                <w:i w:val="0"/>
                <w:sz w:val="20"/>
              </w:rPr>
              <w:t>2013</w:t>
            </w:r>
          </w:p>
        </w:tc>
        <w:tc>
          <w:tcPr>
            <w:tcW w:type="dxa" w:w="2835"/>
          </w:tcPr>
          <w:p>
            <w:pPr>
              <w:spacing w:after="40" w:before="40"/>
            </w:pPr>
            <w:r/>
            <w:r>
              <w:rPr>
                <w:rFonts w:ascii="Times New Roman" w:hAnsi="Times New Roman" w:eastAsia="宋体"/>
                <w:b w:val="0"/>
                <w:i w:val="0"/>
                <w:sz w:val="20"/>
              </w:rPr>
              <w:t>国家发改委发布需求侧管理指导意见</w:t>
            </w:r>
          </w:p>
        </w:tc>
        <w:tc>
          <w:tcPr>
            <w:tcW w:type="dxa" w:w="2835"/>
          </w:tcPr>
          <w:p>
            <w:pPr>
              <w:spacing w:after="40" w:before="40"/>
            </w:pPr>
            <w:r/>
            <w:r>
              <w:rPr>
                <w:rFonts w:ascii="Times New Roman" w:hAnsi="Times New Roman" w:eastAsia="宋体"/>
                <w:b w:val="0"/>
                <w:i w:val="0"/>
                <w:sz w:val="20"/>
              </w:rPr>
              <w:t>DR获得政策支持</w:t>
            </w:r>
          </w:p>
        </w:tc>
      </w:tr>
      <w:tr>
        <w:tc>
          <w:tcPr>
            <w:tcW w:type="dxa" w:w="2835"/>
            <w:shd w:val="clear" w:color="auto" w:fill="F0F4F8"/>
          </w:tcPr>
          <w:p>
            <w:pPr>
              <w:spacing w:after="40" w:before="40"/>
            </w:pPr>
            <w:r/>
            <w:r>
              <w:rPr>
                <w:rFonts w:ascii="Times New Roman" w:hAnsi="Times New Roman" w:eastAsia="宋体"/>
                <w:b w:val="0"/>
                <w:i w:val="0"/>
                <w:sz w:val="20"/>
              </w:rPr>
              <w:t>2015</w:t>
            </w:r>
          </w:p>
        </w:tc>
        <w:tc>
          <w:tcPr>
            <w:tcW w:type="dxa" w:w="2835"/>
            <w:shd w:val="clear" w:color="auto" w:fill="F0F4F8"/>
          </w:tcPr>
          <w:p>
            <w:pPr>
              <w:spacing w:after="40" w:before="40"/>
            </w:pPr>
            <w:r/>
            <w:r>
              <w:rPr>
                <w:rFonts w:ascii="Times New Roman" w:hAnsi="Times New Roman" w:eastAsia="宋体"/>
                <w:b w:val="0"/>
                <w:i w:val="0"/>
                <w:sz w:val="20"/>
              </w:rPr>
              <w:t>中发9号文新一轮电改</w:t>
            </w:r>
          </w:p>
        </w:tc>
        <w:tc>
          <w:tcPr>
            <w:tcW w:type="dxa" w:w="2835"/>
            <w:shd w:val="clear" w:color="auto" w:fill="F0F4F8"/>
          </w:tcPr>
          <w:p>
            <w:pPr>
              <w:spacing w:after="40" w:before="40"/>
            </w:pPr>
            <w:r/>
            <w:r>
              <w:rPr>
                <w:rFonts w:ascii="Times New Roman" w:hAnsi="Times New Roman" w:eastAsia="宋体"/>
                <w:b w:val="0"/>
                <w:i w:val="0"/>
                <w:sz w:val="20"/>
              </w:rPr>
              <w:t>售电侧放开，引入价格竞争</w:t>
            </w:r>
          </w:p>
        </w:tc>
      </w:tr>
      <w:tr>
        <w:tc>
          <w:tcPr>
            <w:tcW w:type="dxa" w:w="2835"/>
          </w:tcPr>
          <w:p>
            <w:pPr>
              <w:spacing w:after="40" w:before="40"/>
            </w:pPr>
            <w:r/>
            <w:r>
              <w:rPr>
                <w:rFonts w:ascii="Times New Roman" w:hAnsi="Times New Roman" w:eastAsia="宋体"/>
                <w:b w:val="0"/>
                <w:i w:val="0"/>
                <w:sz w:val="20"/>
              </w:rPr>
              <w:t>2016</w:t>
            </w:r>
          </w:p>
        </w:tc>
        <w:tc>
          <w:tcPr>
            <w:tcW w:type="dxa" w:w="2835"/>
          </w:tcPr>
          <w:p>
            <w:pPr>
              <w:spacing w:after="40" w:before="40"/>
            </w:pPr>
            <w:r/>
            <w:r>
              <w:rPr>
                <w:rFonts w:ascii="Times New Roman" w:hAnsi="Times New Roman" w:eastAsia="宋体"/>
                <w:b w:val="0"/>
                <w:i w:val="0"/>
                <w:sz w:val="20"/>
              </w:rPr>
              <w:t>北京电力交易中心和广州电力交易中心成立</w:t>
            </w:r>
          </w:p>
        </w:tc>
        <w:tc>
          <w:tcPr>
            <w:tcW w:type="dxa" w:w="2835"/>
          </w:tcPr>
          <w:p>
            <w:pPr>
              <w:spacing w:after="40" w:before="40"/>
            </w:pPr>
            <w:r/>
            <w:r>
              <w:rPr>
                <w:rFonts w:ascii="Times New Roman" w:hAnsi="Times New Roman" w:eastAsia="宋体"/>
                <w:b w:val="0"/>
                <w:i w:val="0"/>
                <w:sz w:val="20"/>
              </w:rPr>
              <w:t>电力市场体系建设</w:t>
            </w:r>
          </w:p>
        </w:tc>
      </w:tr>
      <w:tr>
        <w:tc>
          <w:tcPr>
            <w:tcW w:type="dxa" w:w="2835"/>
            <w:shd w:val="clear" w:color="auto" w:fill="F0F4F8"/>
          </w:tcPr>
          <w:p>
            <w:pPr>
              <w:spacing w:after="40" w:before="40"/>
            </w:pPr>
            <w:r/>
            <w:r>
              <w:rPr>
                <w:rFonts w:ascii="Times New Roman" w:hAnsi="Times New Roman" w:eastAsia="宋体"/>
                <w:b w:val="0"/>
                <w:i w:val="0"/>
                <w:sz w:val="20"/>
              </w:rPr>
              <w:t>2017</w:t>
            </w:r>
          </w:p>
        </w:tc>
        <w:tc>
          <w:tcPr>
            <w:tcW w:type="dxa" w:w="2835"/>
            <w:shd w:val="clear" w:color="auto" w:fill="F0F4F8"/>
          </w:tcPr>
          <w:p>
            <w:pPr>
              <w:spacing w:after="40" w:before="40"/>
            </w:pPr>
            <w:r/>
            <w:r>
              <w:rPr>
                <w:rFonts w:ascii="Times New Roman" w:hAnsi="Times New Roman" w:eastAsia="宋体"/>
                <w:b w:val="0"/>
                <w:i w:val="0"/>
                <w:sz w:val="20"/>
              </w:rPr>
              <w:t>国家发改委发布分时电价指导意见</w:t>
            </w:r>
          </w:p>
        </w:tc>
        <w:tc>
          <w:tcPr>
            <w:tcW w:type="dxa" w:w="2835"/>
            <w:shd w:val="clear" w:color="auto" w:fill="F0F4F8"/>
          </w:tcPr>
          <w:p>
            <w:pPr>
              <w:spacing w:after="40" w:before="40"/>
            </w:pPr>
            <w:r/>
            <w:r>
              <w:rPr>
                <w:rFonts w:ascii="Times New Roman" w:hAnsi="Times New Roman" w:eastAsia="宋体"/>
                <w:b w:val="0"/>
                <w:i w:val="0"/>
                <w:sz w:val="20"/>
              </w:rPr>
              <w:t>TOU定价推广</w:t>
            </w:r>
          </w:p>
        </w:tc>
      </w:tr>
      <w:tr>
        <w:tc>
          <w:tcPr>
            <w:tcW w:type="dxa" w:w="2835"/>
          </w:tcPr>
          <w:p>
            <w:pPr>
              <w:spacing w:after="40" w:before="40"/>
            </w:pPr>
            <w:r/>
            <w:r>
              <w:rPr>
                <w:rFonts w:ascii="Times New Roman" w:hAnsi="Times New Roman" w:eastAsia="宋体"/>
                <w:b w:val="0"/>
                <w:i w:val="0"/>
                <w:sz w:val="20"/>
              </w:rPr>
              <w:t>2018</w:t>
            </w:r>
          </w:p>
        </w:tc>
        <w:tc>
          <w:tcPr>
            <w:tcW w:type="dxa" w:w="2835"/>
          </w:tcPr>
          <w:p>
            <w:pPr>
              <w:spacing w:after="40" w:before="40"/>
            </w:pPr>
            <w:r/>
            <w:r>
              <w:rPr>
                <w:rFonts w:ascii="Times New Roman" w:hAnsi="Times New Roman" w:eastAsia="宋体"/>
                <w:b w:val="0"/>
                <w:i w:val="0"/>
                <w:sz w:val="20"/>
              </w:rPr>
              <w:t>国家电网发布"泛在电力物联网"战略</w:t>
            </w:r>
          </w:p>
        </w:tc>
        <w:tc>
          <w:tcPr>
            <w:tcW w:type="dxa" w:w="2835"/>
          </w:tcPr>
          <w:p>
            <w:pPr>
              <w:spacing w:after="40" w:before="40"/>
            </w:pPr>
            <w:r/>
            <w:r>
              <w:rPr>
                <w:rFonts w:ascii="Times New Roman" w:hAnsi="Times New Roman" w:eastAsia="宋体"/>
                <w:b w:val="0"/>
                <w:i w:val="0"/>
                <w:sz w:val="20"/>
              </w:rPr>
              <w:t>智能电网升级</w:t>
            </w:r>
          </w:p>
        </w:tc>
      </w:tr>
      <w:tr>
        <w:tc>
          <w:tcPr>
            <w:tcW w:type="dxa" w:w="2835"/>
            <w:shd w:val="clear" w:color="auto" w:fill="F0F4F8"/>
          </w:tcPr>
          <w:p>
            <w:pPr>
              <w:spacing w:after="40" w:before="40"/>
            </w:pPr>
            <w:r/>
            <w:r>
              <w:rPr>
                <w:rFonts w:ascii="Times New Roman" w:hAnsi="Times New Roman" w:eastAsia="宋体"/>
                <w:b w:val="0"/>
                <w:i w:val="0"/>
                <w:sz w:val="20"/>
              </w:rPr>
              <w:t>2019</w:t>
            </w:r>
          </w:p>
        </w:tc>
        <w:tc>
          <w:tcPr>
            <w:tcW w:type="dxa" w:w="2835"/>
            <w:shd w:val="clear" w:color="auto" w:fill="F0F4F8"/>
          </w:tcPr>
          <w:p>
            <w:pPr>
              <w:spacing w:after="40" w:before="40"/>
            </w:pPr>
            <w:r/>
            <w:r>
              <w:rPr>
                <w:rFonts w:ascii="Times New Roman" w:hAnsi="Times New Roman" w:eastAsia="宋体"/>
                <w:b w:val="0"/>
                <w:i w:val="0"/>
                <w:sz w:val="20"/>
              </w:rPr>
              <w:t>电力现货市场试点启动（8个省）</w:t>
            </w:r>
          </w:p>
        </w:tc>
        <w:tc>
          <w:tcPr>
            <w:tcW w:type="dxa" w:w="2835"/>
            <w:shd w:val="clear" w:color="auto" w:fill="F0F4F8"/>
          </w:tcPr>
          <w:p>
            <w:pPr>
              <w:spacing w:after="40" w:before="40"/>
            </w:pPr>
            <w:r/>
            <w:r>
              <w:rPr>
                <w:rFonts w:ascii="Times New Roman" w:hAnsi="Times New Roman" w:eastAsia="宋体"/>
                <w:b w:val="0"/>
                <w:i w:val="0"/>
                <w:sz w:val="20"/>
              </w:rPr>
              <w:t>实时市场建设加速</w:t>
            </w:r>
          </w:p>
        </w:tc>
      </w:tr>
      <w:tr>
        <w:tc>
          <w:tcPr>
            <w:tcW w:type="dxa" w:w="2835"/>
          </w:tcPr>
          <w:p>
            <w:pPr>
              <w:spacing w:after="40" w:before="40"/>
            </w:pPr>
            <w:r/>
            <w:r>
              <w:rPr>
                <w:rFonts w:ascii="Times New Roman" w:hAnsi="Times New Roman" w:eastAsia="宋体"/>
                <w:b w:val="0"/>
                <w:i w:val="0"/>
                <w:sz w:val="20"/>
              </w:rPr>
              <w:t>2020</w:t>
            </w:r>
          </w:p>
        </w:tc>
        <w:tc>
          <w:tcPr>
            <w:tcW w:type="dxa" w:w="2835"/>
          </w:tcPr>
          <w:p>
            <w:pPr>
              <w:spacing w:after="40" w:before="40"/>
            </w:pPr>
            <w:r/>
            <w:r>
              <w:rPr>
                <w:rFonts w:ascii="Times New Roman" w:hAnsi="Times New Roman" w:eastAsia="宋体"/>
                <w:b w:val="0"/>
                <w:i w:val="0"/>
                <w:sz w:val="20"/>
              </w:rPr>
              <w:t>"双碳"目标提出</w:t>
            </w:r>
          </w:p>
        </w:tc>
        <w:tc>
          <w:tcPr>
            <w:tcW w:type="dxa" w:w="2835"/>
          </w:tcPr>
          <w:p>
            <w:pPr>
              <w:spacing w:after="40" w:before="40"/>
            </w:pPr>
            <w:r/>
            <w:r>
              <w:rPr>
                <w:rFonts w:ascii="Times New Roman" w:hAnsi="Times New Roman" w:eastAsia="宋体"/>
                <w:b w:val="0"/>
                <w:i w:val="0"/>
                <w:sz w:val="20"/>
              </w:rPr>
              <w:t>绿色定价成为重点方向</w:t>
            </w:r>
          </w:p>
        </w:tc>
      </w:tr>
      <w:tr>
        <w:tc>
          <w:tcPr>
            <w:tcW w:type="dxa" w:w="2835"/>
            <w:shd w:val="clear" w:color="auto" w:fill="F0F4F8"/>
          </w:tcPr>
          <w:p>
            <w:pPr>
              <w:spacing w:after="40" w:before="40"/>
            </w:pPr>
            <w:r/>
            <w:r>
              <w:rPr>
                <w:rFonts w:ascii="Times New Roman" w:hAnsi="Times New Roman" w:eastAsia="宋体"/>
                <w:b w:val="0"/>
                <w:i w:val="0"/>
                <w:sz w:val="20"/>
              </w:rPr>
              <w:t>2021</w:t>
            </w:r>
          </w:p>
        </w:tc>
        <w:tc>
          <w:tcPr>
            <w:tcW w:type="dxa" w:w="2835"/>
            <w:shd w:val="clear" w:color="auto" w:fill="F0F4F8"/>
          </w:tcPr>
          <w:p>
            <w:pPr>
              <w:spacing w:after="40" w:before="40"/>
            </w:pPr>
            <w:r/>
            <w:r>
              <w:rPr>
                <w:rFonts w:ascii="Times New Roman" w:hAnsi="Times New Roman" w:eastAsia="宋体"/>
                <w:b w:val="0"/>
                <w:i w:val="0"/>
                <w:sz w:val="20"/>
              </w:rPr>
              <w:t>绿电交易试点启动</w:t>
            </w:r>
          </w:p>
        </w:tc>
        <w:tc>
          <w:tcPr>
            <w:tcW w:type="dxa" w:w="2835"/>
            <w:shd w:val="clear" w:color="auto" w:fill="F0F4F8"/>
          </w:tcPr>
          <w:p>
            <w:pPr>
              <w:spacing w:after="40" w:before="40"/>
            </w:pPr>
            <w:r/>
            <w:r>
              <w:rPr>
                <w:rFonts w:ascii="Times New Roman" w:hAnsi="Times New Roman" w:eastAsia="宋体"/>
                <w:b w:val="0"/>
                <w:i w:val="0"/>
                <w:sz w:val="20"/>
              </w:rPr>
              <w:t>绿电与RT协同</w:t>
            </w:r>
          </w:p>
        </w:tc>
      </w:tr>
      <w:tr>
        <w:tc>
          <w:tcPr>
            <w:tcW w:type="dxa" w:w="2835"/>
          </w:tcPr>
          <w:p>
            <w:pPr>
              <w:spacing w:after="40" w:before="40"/>
            </w:pPr>
            <w:r/>
            <w:r>
              <w:rPr>
                <w:rFonts w:ascii="Times New Roman" w:hAnsi="Times New Roman" w:eastAsia="宋体"/>
                <w:b w:val="0"/>
                <w:i w:val="0"/>
                <w:sz w:val="20"/>
              </w:rPr>
              <w:t>2022</w:t>
            </w:r>
          </w:p>
        </w:tc>
        <w:tc>
          <w:tcPr>
            <w:tcW w:type="dxa" w:w="2835"/>
          </w:tcPr>
          <w:p>
            <w:pPr>
              <w:spacing w:after="40" w:before="40"/>
            </w:pPr>
            <w:r/>
            <w:r>
              <w:rPr>
                <w:rFonts w:ascii="Times New Roman" w:hAnsi="Times New Roman" w:eastAsia="宋体"/>
                <w:b w:val="0"/>
                <w:i w:val="0"/>
                <w:sz w:val="20"/>
              </w:rPr>
              <w:t>国家发改委发布"十四五"现代能源体系规划</w:t>
            </w:r>
          </w:p>
        </w:tc>
        <w:tc>
          <w:tcPr>
            <w:tcW w:type="dxa" w:w="2835"/>
          </w:tcPr>
          <w:p>
            <w:pPr>
              <w:spacing w:after="40" w:before="40"/>
            </w:pPr>
            <w:r/>
            <w:r>
              <w:rPr>
                <w:rFonts w:ascii="Times New Roman" w:hAnsi="Times New Roman" w:eastAsia="宋体"/>
                <w:b w:val="0"/>
                <w:i w:val="0"/>
                <w:sz w:val="20"/>
              </w:rPr>
              <w:t>智能电网发展明确</w:t>
            </w:r>
          </w:p>
        </w:tc>
      </w:tr>
      <w:tr>
        <w:tc>
          <w:tcPr>
            <w:tcW w:type="dxa" w:w="2835"/>
            <w:shd w:val="clear" w:color="auto" w:fill="F0F4F8"/>
          </w:tcPr>
          <w:p>
            <w:pPr>
              <w:spacing w:after="40" w:before="40"/>
            </w:pPr>
            <w:r/>
            <w:r>
              <w:rPr>
                <w:rFonts w:ascii="Times New Roman" w:hAnsi="Times New Roman" w:eastAsia="宋体"/>
                <w:b w:val="0"/>
                <w:i w:val="0"/>
                <w:sz w:val="20"/>
              </w:rPr>
              <w:t>2023</w:t>
            </w:r>
          </w:p>
        </w:tc>
        <w:tc>
          <w:tcPr>
            <w:tcW w:type="dxa" w:w="2835"/>
            <w:shd w:val="clear" w:color="auto" w:fill="F0F4F8"/>
          </w:tcPr>
          <w:p>
            <w:pPr>
              <w:spacing w:after="40" w:before="40"/>
            </w:pPr>
            <w:r/>
            <w:r>
              <w:rPr>
                <w:rFonts w:ascii="Times New Roman" w:hAnsi="Times New Roman" w:eastAsia="宋体"/>
                <w:b w:val="0"/>
                <w:i w:val="0"/>
                <w:sz w:val="20"/>
              </w:rPr>
              <w:t>虚拟电厂管理办法发布</w:t>
            </w:r>
          </w:p>
        </w:tc>
        <w:tc>
          <w:tcPr>
            <w:tcW w:type="dxa" w:w="2835"/>
            <w:shd w:val="clear" w:color="auto" w:fill="F0F4F8"/>
          </w:tcPr>
          <w:p>
            <w:pPr>
              <w:spacing w:after="40" w:before="40"/>
            </w:pPr>
            <w:r/>
            <w:r>
              <w:rPr>
                <w:rFonts w:ascii="Times New Roman" w:hAnsi="Times New Roman" w:eastAsia="宋体"/>
                <w:b w:val="0"/>
                <w:i w:val="0"/>
                <w:sz w:val="20"/>
              </w:rPr>
              <w:t>DR资源聚合获政策支持</w:t>
            </w:r>
          </w:p>
        </w:tc>
      </w:tr>
      <w:tr>
        <w:tc>
          <w:tcPr>
            <w:tcW w:type="dxa" w:w="2835"/>
          </w:tcPr>
          <w:p>
            <w:pPr>
              <w:spacing w:after="40" w:before="40"/>
            </w:pPr>
            <w:r/>
            <w:r>
              <w:rPr>
                <w:rFonts w:ascii="Times New Roman" w:hAnsi="Times New Roman" w:eastAsia="宋体"/>
                <w:b w:val="0"/>
                <w:i w:val="0"/>
                <w:sz w:val="20"/>
              </w:rPr>
              <w:t>2024</w:t>
            </w:r>
          </w:p>
        </w:tc>
        <w:tc>
          <w:tcPr>
            <w:tcW w:type="dxa" w:w="2835"/>
          </w:tcPr>
          <w:p>
            <w:pPr>
              <w:spacing w:after="40" w:before="40"/>
            </w:pPr>
            <w:r/>
            <w:r>
              <w:rPr>
                <w:rFonts w:ascii="Times New Roman" w:hAnsi="Times New Roman" w:eastAsia="宋体"/>
                <w:b w:val="0"/>
                <w:i w:val="0"/>
                <w:sz w:val="20"/>
              </w:rPr>
              <w:t>全国碳市场启动发电行业交易</w:t>
            </w:r>
          </w:p>
        </w:tc>
        <w:tc>
          <w:tcPr>
            <w:tcW w:type="dxa" w:w="2835"/>
          </w:tcPr>
          <w:p>
            <w:pPr>
              <w:spacing w:after="40" w:before="40"/>
            </w:pPr>
            <w:r/>
            <w:r>
              <w:rPr>
                <w:rFonts w:ascii="Times New Roman" w:hAnsi="Times New Roman" w:eastAsia="宋体"/>
                <w:b w:val="0"/>
                <w:i w:val="0"/>
                <w:sz w:val="20"/>
              </w:rPr>
              <w:t>碳-电联动定价</w:t>
            </w:r>
          </w:p>
        </w:tc>
      </w:tr>
      <w:tr>
        <w:tc>
          <w:tcPr>
            <w:tcW w:type="dxa" w:w="2835"/>
            <w:shd w:val="clear" w:color="auto" w:fill="F0F4F8"/>
          </w:tcPr>
          <w:p>
            <w:pPr>
              <w:spacing w:after="40" w:before="40"/>
            </w:pPr>
            <w:r/>
            <w:r>
              <w:rPr>
                <w:rFonts w:ascii="Times New Roman" w:hAnsi="Times New Roman" w:eastAsia="宋体"/>
                <w:b w:val="0"/>
                <w:i w:val="0"/>
                <w:sz w:val="20"/>
              </w:rPr>
              <w:t>2025</w:t>
            </w:r>
          </w:p>
        </w:tc>
        <w:tc>
          <w:tcPr>
            <w:tcW w:type="dxa" w:w="2835"/>
            <w:shd w:val="clear" w:color="auto" w:fill="F0F4F8"/>
          </w:tcPr>
          <w:p>
            <w:pPr>
              <w:spacing w:after="40" w:before="40"/>
            </w:pPr>
            <w:r/>
            <w:r>
              <w:rPr>
                <w:rFonts w:ascii="Times New Roman" w:hAnsi="Times New Roman" w:eastAsia="宋体"/>
                <w:b w:val="0"/>
                <w:i w:val="0"/>
                <w:sz w:val="20"/>
              </w:rPr>
              <w:t>电力现货市场扩大至20+省份</w:t>
            </w:r>
          </w:p>
        </w:tc>
        <w:tc>
          <w:tcPr>
            <w:tcW w:type="dxa" w:w="2835"/>
            <w:shd w:val="clear" w:color="auto" w:fill="F0F4F8"/>
          </w:tcPr>
          <w:p>
            <w:pPr>
              <w:spacing w:after="40" w:before="40"/>
            </w:pPr>
            <w:r/>
            <w:r>
              <w:rPr>
                <w:rFonts w:ascii="Times New Roman" w:hAnsi="Times New Roman" w:eastAsia="宋体"/>
                <w:b w:val="0"/>
                <w:i w:val="0"/>
                <w:sz w:val="20"/>
              </w:rPr>
              <w:t>实时定价基础不断完善</w:t>
            </w:r>
          </w:p>
        </w:tc>
      </w:tr>
    </w:tbl>
    <w:p>
      <w:pPr>
        <w:pStyle w:val="Heading2"/>
        <w:spacing w:before="240" w:after="80"/>
      </w:pPr>
      <w:r>
        <w:rPr>
          <w:rFonts w:ascii="Times New Roman" w:hAnsi="Times New Roman" w:eastAsia="黑体"/>
          <w:b/>
          <w:i w:val="0"/>
          <w:sz w:val="28"/>
        </w:rPr>
        <w:t>G.3 技术里程碑总结</w:t>
      </w:r>
    </w:p>
    <w:p>
      <w:pPr>
        <w:spacing w:line="360" w:lineRule="auto" w:after="0"/>
        <w:ind w:firstLine="425"/>
      </w:pPr>
      <w:r>
        <w:rPr>
          <w:rFonts w:ascii="Times New Roman" w:hAnsi="Times New Roman" w:eastAsia="宋体"/>
          <w:b w:val="0"/>
          <w:i w:val="0"/>
          <w:sz w:val="22"/>
        </w:rPr>
        <w:t>智能电网实时定价的发展可分为三个阶段：</w:t>
      </w:r>
    </w:p>
    <w:p>
      <w:pPr>
        <w:spacing w:line="360" w:lineRule="auto" w:after="0"/>
        <w:ind w:firstLine="425"/>
      </w:pPr>
      <w:r>
        <w:rPr>
          <w:rFonts w:ascii="Times New Roman" w:hAnsi="Times New Roman" w:eastAsia="宋体"/>
          <w:b/>
          <w:i w:val="0"/>
          <w:sz w:val="22"/>
        </w:rPr>
        <w:t>第一阶段（1982-2005）：理论奠基期</w:t>
      </w:r>
      <w:r>
        <w:rPr>
          <w:rFonts w:ascii="Times New Roman" w:hAnsi="Times New Roman" w:eastAsia="宋体"/>
          <w:b w:val="0"/>
          <w:i w:val="0"/>
          <w:sz w:val="22"/>
        </w:rPr>
        <w:t>。以Schweppe的spot pricing理论和互补问题数学基础为代表，建立了RTP的理论框架。这一阶段主要在学术研究层面，实际应用有限。</w:t>
      </w:r>
    </w:p>
    <w:p>
      <w:pPr>
        <w:spacing w:line="360" w:lineRule="auto" w:after="0"/>
        <w:ind w:firstLine="425"/>
      </w:pPr>
      <w:r>
        <w:rPr>
          <w:rFonts w:ascii="Times New Roman" w:hAnsi="Times New Roman" w:eastAsia="宋体"/>
          <w:b/>
          <w:i w:val="0"/>
          <w:sz w:val="22"/>
        </w:rPr>
        <w:t>第二阶段（2006-2018）：实践探索期</w:t>
      </w:r>
      <w:r>
        <w:rPr>
          <w:rFonts w:ascii="Times New Roman" w:hAnsi="Times New Roman" w:eastAsia="宋体"/>
          <w:b w:val="0"/>
          <w:i w:val="0"/>
          <w:sz w:val="22"/>
        </w:rPr>
        <w:t>。以智能电表大规模部署和需求响应试点项目为标志，RTP在多个国家和地区进行了试点验证。高岩团队将互补问题方法系统性地应用于RTP，形成了完整的理论和方法体系。OpenADR等标准的发布促进了技术产业化。</w:t>
      </w:r>
    </w:p>
    <w:p>
      <w:pPr>
        <w:spacing w:line="360" w:lineRule="auto" w:after="0"/>
        <w:ind w:firstLine="425"/>
      </w:pPr>
      <w:r>
        <w:rPr>
          <w:rFonts w:ascii="Times New Roman" w:hAnsi="Times New Roman" w:eastAsia="宋体"/>
          <w:b/>
          <w:i w:val="0"/>
          <w:sz w:val="22"/>
        </w:rPr>
        <w:t>第三阶段（2019至今）：智能化升级期</w:t>
      </w:r>
      <w:r>
        <w:rPr>
          <w:rFonts w:ascii="Times New Roman" w:hAnsi="Times New Roman" w:eastAsia="宋体"/>
          <w:b w:val="0"/>
          <w:i w:val="0"/>
          <w:sz w:val="22"/>
        </w:rPr>
        <w:t>。以深度强化学习、大数据和大语言模型等AI技术融入RTP为特征，定价策略从静态优化向动态自适应转变。同时，碳交易、综合能源系统等新场景不断涌现，RTP的应用范围持续扩展。</w:t>
      </w:r>
    </w:p>
    <w:p>
      <w:pPr>
        <w:pStyle w:val="Heading2"/>
        <w:spacing w:before="240" w:after="80"/>
      </w:pPr>
      <w:r>
        <w:rPr>
          <w:rFonts w:ascii="Times New Roman" w:hAnsi="Times New Roman" w:eastAsia="黑体"/>
          <w:b/>
          <w:i w:val="0"/>
          <w:sz w:val="28"/>
        </w:rPr>
        <w:t>G.4 关键技术发展脉络</w:t>
      </w:r>
    </w:p>
    <w:p>
      <w:pPr>
        <w:pStyle w:val="Heading3"/>
        <w:spacing w:before="160" w:after="60"/>
      </w:pPr>
      <w:r>
        <w:rPr>
          <w:rFonts w:ascii="Times New Roman" w:hAnsi="Times New Roman" w:eastAsia="黑体"/>
          <w:b/>
          <w:i w:val="0"/>
          <w:sz w:val="24"/>
        </w:rPr>
        <w:t>互补问题方法的发展</w:t>
      </w:r>
    </w:p>
    <w:p>
      <w:pPr>
        <w:spacing w:line="360" w:lineRule="auto" w:after="0"/>
        <w:ind w:firstLine="425"/>
      </w:pPr>
      <w:r>
        <w:rPr>
          <w:rFonts w:ascii="Times New Roman" w:hAnsi="Times New Roman" w:eastAsia="宋体"/>
          <w:b w:val="0"/>
          <w:i w:val="0"/>
          <w:sz w:val="22"/>
        </w:rPr>
        <w:t>互补问题理论起源于1960年代，最初作为线性规划的推广。1980年代，互补问题被引入经济学和工程优化领域。1990年代，Fischer-Burmeister函数和半光滑牛顿法的提出为互补问题的高效求解提供了工具。2000年代，高岩团队将互补问题方法系统性地应用于智能电网实时定价，建立了完整的理论框架和算法体系。2010年代至今，分布式互补问题求解和不确定性互补问题成为研究热点。</w:t>
      </w:r>
    </w:p>
    <w:p>
      <w:pPr>
        <w:pStyle w:val="Heading3"/>
        <w:spacing w:before="160" w:after="60"/>
      </w:pPr>
      <w:r>
        <w:rPr>
          <w:rFonts w:ascii="Times New Roman" w:hAnsi="Times New Roman" w:eastAsia="黑体"/>
          <w:b/>
          <w:i w:val="0"/>
          <w:sz w:val="24"/>
        </w:rPr>
        <w:t>强化学习在定价中的发展</w:t>
      </w:r>
    </w:p>
    <w:p>
      <w:pPr>
        <w:spacing w:line="360" w:lineRule="auto" w:after="0"/>
        <w:ind w:firstLine="425"/>
      </w:pPr>
      <w:r>
        <w:rPr>
          <w:rFonts w:ascii="Times New Roman" w:hAnsi="Times New Roman" w:eastAsia="宋体"/>
          <w:b w:val="0"/>
          <w:i w:val="0"/>
          <w:sz w:val="22"/>
        </w:rPr>
        <w:t>强化学习在实时定价中的应用始于2010年代初期，最初使用表格型Q学习处理小规模问题。2015年DeepMind发表DQN论文后，深度强化学习开始被应用于大规模定价问题。2018年Chen等首次将DQN用于实时定价，标志着DRL正式进入电力市场领域。2020年以来，多智能体DRL、安全RL和联邦学习等方向快速发展，使RL定价方法逐步走向实用化。</w:t>
      </w:r>
    </w:p>
    <w:p>
      <w:pPr>
        <w:pStyle w:val="Heading3"/>
        <w:spacing w:before="160" w:after="60"/>
      </w:pPr>
      <w:r>
        <w:rPr>
          <w:rFonts w:ascii="Times New Roman" w:hAnsi="Times New Roman" w:eastAsia="黑体"/>
          <w:b/>
          <w:i w:val="0"/>
          <w:sz w:val="24"/>
        </w:rPr>
        <w:t>碳交易与电力定价的融合</w:t>
      </w:r>
    </w:p>
    <w:p>
      <w:pPr>
        <w:spacing w:line="360" w:lineRule="auto" w:after="0"/>
        <w:ind w:firstLine="425"/>
      </w:pPr>
      <w:r>
        <w:rPr>
          <w:rFonts w:ascii="Times New Roman" w:hAnsi="Times New Roman" w:eastAsia="宋体"/>
          <w:b w:val="0"/>
          <w:i w:val="0"/>
          <w:sz w:val="22"/>
        </w:rPr>
        <w:t>碳交易概念起源于1997年《京都议定书》。2005年EU ETS启动，成为全球首个大型碳市场。碳交易对电力定价的影响通过 merit order 变化实现——碳价提高了化石能源的边际成本，改变了机组调度顺序。2010年代，碳-电联合优化模型被提出，将碳交易约束纳入实时定价框架。2020年代，中国的全国碳市场启动，碳-电联动定价成为研究热点。未来，碳边境调节机制（CBAM）将进一步推动碳定价与电力定价的全球协调。</w:t>
      </w:r>
    </w:p>
    <w:p>
      <w:pPr>
        <w:pStyle w:val="Heading2"/>
        <w:spacing w:before="240" w:after="80"/>
      </w:pPr>
      <w:r>
        <w:rPr>
          <w:rFonts w:ascii="Times New Roman" w:hAnsi="Times New Roman" w:eastAsia="黑体"/>
          <w:b/>
          <w:i w:val="0"/>
          <w:sz w:val="28"/>
        </w:rPr>
        <w:t>G.5 学术共同体与期刊</w:t>
      </w:r>
    </w:p>
    <w:p>
      <w:pPr>
        <w:spacing w:line="360" w:lineRule="auto" w:after="0"/>
        <w:ind w:firstLine="425"/>
      </w:pPr>
      <w:r>
        <w:rPr>
          <w:rFonts w:ascii="Times New Roman" w:hAnsi="Times New Roman" w:eastAsia="宋体"/>
          <w:b w:val="0"/>
          <w:i w:val="0"/>
          <w:sz w:val="22"/>
        </w:rPr>
        <w:t>实时定价领域的主要学术共同体和期刊包括：</w:t>
      </w:r>
    </w:p>
    <w:p>
      <w:pPr>
        <w:spacing w:line="360" w:lineRule="auto" w:after="0"/>
        <w:ind w:firstLine="425"/>
      </w:pPr>
      <w:r>
        <w:rPr>
          <w:rFonts w:ascii="Times New Roman" w:hAnsi="Times New Roman" w:eastAsia="宋体"/>
          <w:b/>
          <w:i w:val="0"/>
          <w:sz w:val="22"/>
        </w:rPr>
        <w:t>国际期刊</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IEEE Transactions on Smart Grid（影响因子&gt;10）</w:t>
      </w:r>
    </w:p>
    <w:p>
      <w:pPr>
        <w:pStyle w:val="ListBullet"/>
        <w:spacing w:line="360" w:lineRule="auto" w:after="0"/>
      </w:pPr>
      <w:r>
        <w:rPr>
          <w:rFonts w:ascii="Times New Roman" w:hAnsi="Times New Roman" w:eastAsia="宋体"/>
          <w:b w:val="0"/>
          <w:i w:val="0"/>
          <w:sz w:val="22"/>
        </w:rPr>
        <w:t>IEEE Transactions on Power Systems</w:t>
      </w:r>
    </w:p>
    <w:p>
      <w:pPr>
        <w:pStyle w:val="ListBullet"/>
        <w:spacing w:line="360" w:lineRule="auto" w:after="0"/>
      </w:pPr>
      <w:r>
        <w:rPr>
          <w:rFonts w:ascii="Times New Roman" w:hAnsi="Times New Roman" w:eastAsia="宋体"/>
          <w:b w:val="0"/>
          <w:i w:val="0"/>
          <w:sz w:val="22"/>
        </w:rPr>
        <w:t>Applied Energy</w:t>
      </w:r>
    </w:p>
    <w:p>
      <w:pPr>
        <w:pStyle w:val="ListBullet"/>
        <w:spacing w:line="360" w:lineRule="auto" w:after="0"/>
      </w:pPr>
      <w:r>
        <w:rPr>
          <w:rFonts w:ascii="Times New Roman" w:hAnsi="Times New Roman" w:eastAsia="宋体"/>
          <w:b w:val="0"/>
          <w:i w:val="0"/>
          <w:sz w:val="22"/>
        </w:rPr>
        <w:t>Energy</w:t>
      </w:r>
    </w:p>
    <w:p>
      <w:pPr>
        <w:pStyle w:val="ListBullet"/>
        <w:spacing w:line="360" w:lineRule="auto" w:after="0"/>
      </w:pPr>
      <w:r>
        <w:rPr>
          <w:rFonts w:ascii="Times New Roman" w:hAnsi="Times New Roman" w:eastAsia="宋体"/>
          <w:b w:val="0"/>
          <w:i w:val="0"/>
          <w:sz w:val="22"/>
        </w:rPr>
        <w:t>Electric Power Systems Research</w:t>
      </w:r>
    </w:p>
    <w:p>
      <w:pPr>
        <w:spacing w:line="360" w:lineRule="auto" w:after="0"/>
        <w:ind w:firstLine="425"/>
      </w:pPr>
      <w:r>
        <w:rPr>
          <w:rFonts w:ascii="Times New Roman" w:hAnsi="Times New Roman" w:eastAsia="宋体"/>
          <w:b/>
          <w:i w:val="0"/>
          <w:sz w:val="22"/>
        </w:rPr>
        <w:t>国内期刊</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电力系统自动化</w:t>
      </w:r>
    </w:p>
    <w:p>
      <w:pPr>
        <w:pStyle w:val="ListBullet"/>
        <w:spacing w:line="360" w:lineRule="auto" w:after="0"/>
      </w:pPr>
      <w:r>
        <w:rPr>
          <w:rFonts w:ascii="Times New Roman" w:hAnsi="Times New Roman" w:eastAsia="宋体"/>
          <w:b w:val="0"/>
          <w:i w:val="0"/>
          <w:sz w:val="22"/>
        </w:rPr>
        <w:t>中国电机工程学报</w:t>
      </w:r>
    </w:p>
    <w:p>
      <w:pPr>
        <w:pStyle w:val="ListBullet"/>
        <w:spacing w:line="360" w:lineRule="auto" w:after="0"/>
      </w:pPr>
      <w:r>
        <w:rPr>
          <w:rFonts w:ascii="Times New Roman" w:hAnsi="Times New Roman" w:eastAsia="宋体"/>
          <w:b w:val="0"/>
          <w:i w:val="0"/>
          <w:sz w:val="22"/>
        </w:rPr>
        <w:t>电网技术</w:t>
      </w:r>
    </w:p>
    <w:p>
      <w:pPr>
        <w:pStyle w:val="ListBullet"/>
        <w:spacing w:line="360" w:lineRule="auto" w:after="0"/>
      </w:pPr>
      <w:r>
        <w:rPr>
          <w:rFonts w:ascii="Times New Roman" w:hAnsi="Times New Roman" w:eastAsia="宋体"/>
          <w:b w:val="0"/>
          <w:i w:val="0"/>
          <w:sz w:val="22"/>
        </w:rPr>
        <w:t>电力系统保护与控制</w:t>
      </w:r>
    </w:p>
    <w:p>
      <w:pPr>
        <w:spacing w:line="360" w:lineRule="auto" w:after="0"/>
        <w:ind w:firstLine="425"/>
      </w:pPr>
      <w:r>
        <w:rPr>
          <w:rFonts w:ascii="Times New Roman" w:hAnsi="Times New Roman" w:eastAsia="宋体"/>
          <w:b/>
          <w:i w:val="0"/>
          <w:sz w:val="22"/>
        </w:rPr>
        <w:t>国际会议</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IEEE Power &amp; Energy Society General Meeting (PESGM)</w:t>
      </w:r>
    </w:p>
    <w:p>
      <w:pPr>
        <w:pStyle w:val="ListBullet"/>
        <w:spacing w:line="360" w:lineRule="auto" w:after="0"/>
      </w:pPr>
      <w:r>
        <w:rPr>
          <w:rFonts w:ascii="Times New Roman" w:hAnsi="Times New Roman" w:eastAsia="宋体"/>
          <w:b w:val="0"/>
          <w:i w:val="0"/>
          <w:sz w:val="22"/>
        </w:rPr>
        <w:t>IEEE International Conference on Smart Grid Communications</w:t>
      </w:r>
    </w:p>
    <w:p>
      <w:pPr>
        <w:pStyle w:val="ListBullet"/>
        <w:spacing w:line="360" w:lineRule="auto" w:after="0"/>
      </w:pPr>
      <w:r>
        <w:rPr>
          <w:rFonts w:ascii="Times New Roman" w:hAnsi="Times New Roman" w:eastAsia="宋体"/>
          <w:b w:val="0"/>
          <w:i w:val="0"/>
          <w:sz w:val="22"/>
        </w:rPr>
        <w:t>ACM International Conference on Future Energy Systems (e-Energy)</w:t>
      </w:r>
    </w:p>
    <w:p>
      <w:pPr>
        <w:pStyle w:val="ListBullet"/>
        <w:spacing w:line="360" w:lineRule="auto" w:after="0"/>
      </w:pPr>
      <w:r>
        <w:rPr>
          <w:rFonts w:ascii="Times New Roman" w:hAnsi="Times New Roman" w:eastAsia="宋体"/>
          <w:b w:val="0"/>
          <w:i w:val="0"/>
          <w:sz w:val="22"/>
        </w:rPr>
        <w:t>Power Systems Computation Conference (PSCC)</w:t>
      </w:r>
    </w:p>
    <w:p>
      <w:pPr>
        <w:spacing w:line="360" w:lineRule="auto" w:after="0"/>
        <w:ind w:firstLine="425"/>
      </w:pPr>
      <w:r>
        <w:rPr>
          <w:rFonts w:ascii="Times New Roman" w:hAnsi="Times New Roman" w:eastAsia="宋体"/>
          <w:b/>
          <w:i w:val="0"/>
          <w:sz w:val="22"/>
        </w:rPr>
        <w:t>学术组织</w:t>
      </w:r>
      <w:r>
        <w:rPr>
          <w:rFonts w:ascii="Times New Roman" w:hAnsi="Times New Roman" w:eastAsia="宋体"/>
          <w:b w:val="0"/>
          <w:i w:val="0"/>
          <w:sz w:val="22"/>
        </w:rPr>
        <w:t>：</w:t>
      </w:r>
    </w:p>
    <w:p>
      <w:pPr>
        <w:pStyle w:val="ListBullet"/>
        <w:spacing w:line="360" w:lineRule="auto" w:after="0"/>
      </w:pPr>
      <w:r>
        <w:rPr>
          <w:rFonts w:ascii="Times New Roman" w:hAnsi="Times New Roman" w:eastAsia="宋体"/>
          <w:b w:val="0"/>
          <w:i w:val="0"/>
          <w:sz w:val="22"/>
        </w:rPr>
        <w:t>IEEE Power &amp; Energy Society (PES)</w:t>
      </w:r>
    </w:p>
    <w:p>
      <w:pPr>
        <w:pStyle w:val="ListBullet"/>
        <w:spacing w:line="360" w:lineRule="auto" w:after="0"/>
      </w:pPr>
      <w:r>
        <w:rPr>
          <w:rFonts w:ascii="Times New Roman" w:hAnsi="Times New Roman" w:eastAsia="宋体"/>
          <w:b w:val="0"/>
          <w:i w:val="0"/>
          <w:sz w:val="22"/>
        </w:rPr>
        <w:t>CIGRE（国际大电网会议）</w:t>
      </w:r>
    </w:p>
    <w:p>
      <w:pPr>
        <w:pStyle w:val="ListBullet"/>
        <w:spacing w:line="360" w:lineRule="auto" w:after="0"/>
      </w:pPr>
      <w:r>
        <w:rPr>
          <w:rFonts w:ascii="Times New Roman" w:hAnsi="Times New Roman" w:eastAsia="宋体"/>
          <w:b w:val="0"/>
          <w:i w:val="0"/>
          <w:sz w:val="22"/>
        </w:rPr>
        <w:t>IEEE Computational Intelligence Society</w:t>
      </w:r>
    </w:p>
    <w:p>
      <w:pPr>
        <w:pStyle w:val="Heading2"/>
        <w:spacing w:before="240" w:after="80"/>
      </w:pPr>
      <w:r>
        <w:rPr>
          <w:rFonts w:ascii="Times New Roman" w:hAnsi="Times New Roman" w:eastAsia="黑体"/>
          <w:b/>
          <w:i w:val="0"/>
          <w:sz w:val="28"/>
        </w:rPr>
        <w:t>G.6 未来展望时间线</w:t>
      </w:r>
    </w:p>
    <w:p>
      <w:pPr>
        <w:spacing w:line="360" w:lineRule="auto" w:after="0"/>
        <w:ind w:firstLine="425"/>
      </w:pPr>
      <w:r>
        <w:rPr>
          <w:rFonts w:ascii="Times New Roman" w:hAnsi="Times New Roman" w:eastAsia="宋体"/>
          <w:b w:val="0"/>
          <w:i w:val="0"/>
          <w:sz w:val="22"/>
        </w:rPr>
        <w:t>基于当前技术发展趋势，对智能电网实时定价领域的未来发展做出以下预判：</w:t>
      </w:r>
    </w:p>
    <w:tbl>
      <w:tblPr>
        <w:tblStyle w:val="LightGrid-Accent1"/>
        <w:tblW w:type="auto" w:w="0"/>
        <w:jc w:val="center"/>
        <w:tblLook w:firstColumn="1" w:firstRow="1" w:lastColumn="0" w:lastRow="0" w:noHBand="0" w:noVBand="1" w:val="04A0"/>
      </w:tblPr>
      <w:tblGrid>
        <w:gridCol w:w="2835"/>
        <w:gridCol w:w="2835"/>
        <w:gridCol w:w="2835"/>
      </w:tblGrid>
      <w:tr>
        <w:tc>
          <w:tcPr>
            <w:tcW w:type="dxa" w:w="2835"/>
          </w:tcPr>
          <w:p>
            <w:pPr>
              <w:spacing w:after="40" w:before="40"/>
            </w:pPr>
            <w:r>
              <w:rPr>
                <w:b/>
              </w:rPr>
            </w:r>
            <w:r>
              <w:rPr>
                <w:rFonts w:ascii="Times New Roman" w:hAnsi="Times New Roman" w:eastAsia="黑体"/>
                <w:b/>
                <w:i w:val="0"/>
                <w:sz w:val="20"/>
              </w:rPr>
              <w:t>年份</w:t>
            </w:r>
          </w:p>
        </w:tc>
        <w:tc>
          <w:tcPr>
            <w:tcW w:type="dxa" w:w="2835"/>
          </w:tcPr>
          <w:p>
            <w:pPr>
              <w:spacing w:after="40" w:before="40"/>
            </w:pPr>
            <w:r>
              <w:rPr>
                <w:b/>
              </w:rPr>
            </w:r>
            <w:r>
              <w:rPr>
                <w:rFonts w:ascii="Times New Roman" w:hAnsi="Times New Roman" w:eastAsia="黑体"/>
                <w:b/>
                <w:i w:val="0"/>
                <w:sz w:val="20"/>
              </w:rPr>
              <w:t>预期事件</w:t>
            </w:r>
          </w:p>
        </w:tc>
        <w:tc>
          <w:tcPr>
            <w:tcW w:type="dxa" w:w="2835"/>
          </w:tcPr>
          <w:p>
            <w:pPr>
              <w:spacing w:after="40" w:before="40"/>
            </w:pPr>
            <w:r>
              <w:rPr>
                <w:b/>
              </w:rPr>
            </w:r>
            <w:r>
              <w:rPr>
                <w:rFonts w:ascii="Times New Roman" w:hAnsi="Times New Roman" w:eastAsia="黑体"/>
                <w:b/>
                <w:i w:val="0"/>
                <w:sz w:val="20"/>
              </w:rPr>
              <w:t>依据</w:t>
            </w:r>
          </w:p>
        </w:tc>
      </w:tr>
      <w:tr>
        <w:tc>
          <w:tcPr>
            <w:tcW w:type="dxa" w:w="2835"/>
          </w:tcPr>
          <w:p>
            <w:pPr>
              <w:spacing w:after="40" w:before="40"/>
            </w:pPr>
            <w:r/>
            <w:r>
              <w:rPr>
                <w:rFonts w:ascii="Times New Roman" w:hAnsi="Times New Roman" w:eastAsia="宋体"/>
                <w:b w:val="0"/>
                <w:i w:val="0"/>
                <w:sz w:val="20"/>
              </w:rPr>
              <w:t>2026</w:t>
            </w:r>
          </w:p>
        </w:tc>
        <w:tc>
          <w:tcPr>
            <w:tcW w:type="dxa" w:w="2835"/>
          </w:tcPr>
          <w:p>
            <w:pPr>
              <w:spacing w:after="40" w:before="40"/>
            </w:pPr>
            <w:r/>
            <w:r>
              <w:rPr>
                <w:rFonts w:ascii="Times New Roman" w:hAnsi="Times New Roman" w:eastAsia="宋体"/>
                <w:b w:val="0"/>
                <w:i w:val="0"/>
                <w:sz w:val="20"/>
              </w:rPr>
              <w:t>LLM辅助定价首个商业部署</w:t>
            </w:r>
          </w:p>
        </w:tc>
        <w:tc>
          <w:tcPr>
            <w:tcW w:type="dxa" w:w="2835"/>
          </w:tcPr>
          <w:p>
            <w:pPr>
              <w:spacing w:after="40" w:before="40"/>
            </w:pPr>
            <w:r/>
            <w:r>
              <w:rPr>
                <w:rFonts w:ascii="Times New Roman" w:hAnsi="Times New Roman" w:eastAsia="宋体"/>
                <w:b w:val="0"/>
                <w:i w:val="0"/>
                <w:sz w:val="20"/>
              </w:rPr>
              <w:t>GPT-4等LLM已具备市场分析能力</w:t>
            </w:r>
          </w:p>
        </w:tc>
      </w:tr>
      <w:tr>
        <w:tc>
          <w:tcPr>
            <w:tcW w:type="dxa" w:w="2835"/>
            <w:shd w:val="clear" w:color="auto" w:fill="F0F4F8"/>
          </w:tcPr>
          <w:p>
            <w:pPr>
              <w:spacing w:after="40" w:before="40"/>
            </w:pPr>
            <w:r/>
            <w:r>
              <w:rPr>
                <w:rFonts w:ascii="Times New Roman" w:hAnsi="Times New Roman" w:eastAsia="宋体"/>
                <w:b w:val="0"/>
                <w:i w:val="0"/>
                <w:sz w:val="20"/>
              </w:rPr>
              <w:t>2027</w:t>
            </w:r>
          </w:p>
        </w:tc>
        <w:tc>
          <w:tcPr>
            <w:tcW w:type="dxa" w:w="2835"/>
            <w:shd w:val="clear" w:color="auto" w:fill="F0F4F8"/>
          </w:tcPr>
          <w:p>
            <w:pPr>
              <w:spacing w:after="40" w:before="40"/>
            </w:pPr>
            <w:r/>
            <w:r>
              <w:rPr>
                <w:rFonts w:ascii="Times New Roman" w:hAnsi="Times New Roman" w:eastAsia="宋体"/>
                <w:b w:val="0"/>
                <w:i w:val="0"/>
                <w:sz w:val="20"/>
              </w:rPr>
              <w:t>中国电力现货市场覆盖全国</w:t>
            </w:r>
          </w:p>
        </w:tc>
        <w:tc>
          <w:tcPr>
            <w:tcW w:type="dxa" w:w="2835"/>
            <w:shd w:val="clear" w:color="auto" w:fill="F0F4F8"/>
          </w:tcPr>
          <w:p>
            <w:pPr>
              <w:spacing w:after="40" w:before="40"/>
            </w:pPr>
            <w:r/>
            <w:r>
              <w:rPr>
                <w:rFonts w:ascii="Times New Roman" w:hAnsi="Times New Roman" w:eastAsia="宋体"/>
                <w:b w:val="0"/>
                <w:i w:val="0"/>
                <w:sz w:val="20"/>
              </w:rPr>
              <w:t>政策推进，20+省份已试点</w:t>
            </w:r>
          </w:p>
        </w:tc>
      </w:tr>
      <w:tr>
        <w:tc>
          <w:tcPr>
            <w:tcW w:type="dxa" w:w="2835"/>
          </w:tcPr>
          <w:p>
            <w:pPr>
              <w:spacing w:after="40" w:before="40"/>
            </w:pPr>
            <w:r/>
            <w:r>
              <w:rPr>
                <w:rFonts w:ascii="Times New Roman" w:hAnsi="Times New Roman" w:eastAsia="宋体"/>
                <w:b w:val="0"/>
                <w:i w:val="0"/>
                <w:sz w:val="20"/>
              </w:rPr>
              <w:t>2028</w:t>
            </w:r>
          </w:p>
        </w:tc>
        <w:tc>
          <w:tcPr>
            <w:tcW w:type="dxa" w:w="2835"/>
          </w:tcPr>
          <w:p>
            <w:pPr>
              <w:spacing w:after="40" w:before="40"/>
            </w:pPr>
            <w:r/>
            <w:r>
              <w:rPr>
                <w:rFonts w:ascii="Times New Roman" w:hAnsi="Times New Roman" w:eastAsia="宋体"/>
                <w:b w:val="0"/>
                <w:i w:val="0"/>
                <w:sz w:val="20"/>
              </w:rPr>
              <w:t>V2G大规模商业化</w:t>
            </w:r>
          </w:p>
        </w:tc>
        <w:tc>
          <w:tcPr>
            <w:tcW w:type="dxa" w:w="2835"/>
          </w:tcPr>
          <w:p>
            <w:pPr>
              <w:spacing w:after="40" w:before="40"/>
            </w:pPr>
            <w:r/>
            <w:r>
              <w:rPr>
                <w:rFonts w:ascii="Times New Roman" w:hAnsi="Times New Roman" w:eastAsia="宋体"/>
                <w:b w:val="0"/>
                <w:i w:val="0"/>
                <w:sz w:val="20"/>
              </w:rPr>
              <w:t>电动汽车保有量突破5000万辆</w:t>
            </w:r>
          </w:p>
        </w:tc>
      </w:tr>
      <w:tr>
        <w:tc>
          <w:tcPr>
            <w:tcW w:type="dxa" w:w="2835"/>
            <w:shd w:val="clear" w:color="auto" w:fill="F0F4F8"/>
          </w:tcPr>
          <w:p>
            <w:pPr>
              <w:spacing w:after="40" w:before="40"/>
            </w:pPr>
            <w:r/>
            <w:r>
              <w:rPr>
                <w:rFonts w:ascii="Times New Roman" w:hAnsi="Times New Roman" w:eastAsia="宋体"/>
                <w:b w:val="0"/>
                <w:i w:val="0"/>
                <w:sz w:val="20"/>
              </w:rPr>
              <w:t>2029</w:t>
            </w:r>
          </w:p>
        </w:tc>
        <w:tc>
          <w:tcPr>
            <w:tcW w:type="dxa" w:w="2835"/>
            <w:shd w:val="clear" w:color="auto" w:fill="F0F4F8"/>
          </w:tcPr>
          <w:p>
            <w:pPr>
              <w:spacing w:after="40" w:before="40"/>
            </w:pPr>
            <w:r/>
            <w:r>
              <w:rPr>
                <w:rFonts w:ascii="Times New Roman" w:hAnsi="Times New Roman" w:eastAsia="宋体"/>
                <w:b w:val="0"/>
                <w:i w:val="0"/>
                <w:sz w:val="20"/>
              </w:rPr>
              <w:t>联邦学习定价标准发布</w:t>
            </w:r>
          </w:p>
        </w:tc>
        <w:tc>
          <w:tcPr>
            <w:tcW w:type="dxa" w:w="2835"/>
            <w:shd w:val="clear" w:color="auto" w:fill="F0F4F8"/>
          </w:tcPr>
          <w:p>
            <w:pPr>
              <w:spacing w:after="40" w:before="40"/>
            </w:pPr>
            <w:r/>
            <w:r>
              <w:rPr>
                <w:rFonts w:ascii="Times New Roman" w:hAnsi="Times New Roman" w:eastAsia="宋体"/>
                <w:b w:val="0"/>
                <w:i w:val="0"/>
                <w:sz w:val="20"/>
              </w:rPr>
              <w:t>隐私保护需求驱动</w:t>
            </w:r>
          </w:p>
        </w:tc>
      </w:tr>
      <w:tr>
        <w:tc>
          <w:tcPr>
            <w:tcW w:type="dxa" w:w="2835"/>
          </w:tcPr>
          <w:p>
            <w:pPr>
              <w:spacing w:after="40" w:before="40"/>
            </w:pPr>
            <w:r/>
            <w:r>
              <w:rPr>
                <w:rFonts w:ascii="Times New Roman" w:hAnsi="Times New Roman" w:eastAsia="宋体"/>
                <w:b w:val="0"/>
                <w:i w:val="0"/>
                <w:sz w:val="20"/>
              </w:rPr>
              <w:t>2030</w:t>
            </w:r>
          </w:p>
        </w:tc>
        <w:tc>
          <w:tcPr>
            <w:tcW w:type="dxa" w:w="2835"/>
          </w:tcPr>
          <w:p>
            <w:pPr>
              <w:spacing w:after="40" w:before="40"/>
            </w:pPr>
            <w:r/>
            <w:r>
              <w:rPr>
                <w:rFonts w:ascii="Times New Roman" w:hAnsi="Times New Roman" w:eastAsia="宋体"/>
                <w:b w:val="0"/>
                <w:i w:val="0"/>
                <w:sz w:val="20"/>
              </w:rPr>
              <w:t>全国碳价突破150元/吨</w:t>
            </w:r>
          </w:p>
        </w:tc>
        <w:tc>
          <w:tcPr>
            <w:tcW w:type="dxa" w:w="2835"/>
          </w:tcPr>
          <w:p>
            <w:pPr>
              <w:spacing w:after="40" w:before="40"/>
            </w:pPr>
            <w:r/>
            <w:r>
              <w:rPr>
                <w:rFonts w:ascii="Times New Roman" w:hAnsi="Times New Roman" w:eastAsia="宋体"/>
                <w:b w:val="0"/>
                <w:i w:val="0"/>
                <w:sz w:val="20"/>
              </w:rPr>
              <w:t>双碳目标推进，碳市场成熟</w:t>
            </w:r>
          </w:p>
        </w:tc>
      </w:tr>
      <w:tr>
        <w:tc>
          <w:tcPr>
            <w:tcW w:type="dxa" w:w="2835"/>
            <w:shd w:val="clear" w:color="auto" w:fill="F0F4F8"/>
          </w:tcPr>
          <w:p>
            <w:pPr>
              <w:spacing w:after="40" w:before="40"/>
            </w:pPr>
            <w:r/>
            <w:r>
              <w:rPr>
                <w:rFonts w:ascii="Times New Roman" w:hAnsi="Times New Roman" w:eastAsia="宋体"/>
                <w:b w:val="0"/>
                <w:i w:val="0"/>
                <w:sz w:val="20"/>
              </w:rPr>
              <w:t>2032</w:t>
            </w:r>
          </w:p>
        </w:tc>
        <w:tc>
          <w:tcPr>
            <w:tcW w:type="dxa" w:w="2835"/>
            <w:shd w:val="clear" w:color="auto" w:fill="F0F4F8"/>
          </w:tcPr>
          <w:p>
            <w:pPr>
              <w:spacing w:after="40" w:before="40"/>
            </w:pPr>
            <w:r/>
            <w:r>
              <w:rPr>
                <w:rFonts w:ascii="Times New Roman" w:hAnsi="Times New Roman" w:eastAsia="宋体"/>
                <w:b w:val="0"/>
                <w:i w:val="0"/>
                <w:sz w:val="20"/>
              </w:rPr>
              <w:t>多能源系统协同定价普及</w:t>
            </w:r>
          </w:p>
        </w:tc>
        <w:tc>
          <w:tcPr>
            <w:tcW w:type="dxa" w:w="2835"/>
            <w:shd w:val="clear" w:color="auto" w:fill="F0F4F8"/>
          </w:tcPr>
          <w:p>
            <w:pPr>
              <w:spacing w:after="40" w:before="40"/>
            </w:pPr>
            <w:r/>
            <w:r>
              <w:rPr>
                <w:rFonts w:ascii="Times New Roman" w:hAnsi="Times New Roman" w:eastAsia="宋体"/>
                <w:b w:val="0"/>
                <w:i w:val="0"/>
                <w:sz w:val="20"/>
              </w:rPr>
              <w:t>综合能源系统建设加速</w:t>
            </w:r>
          </w:p>
        </w:tc>
      </w:tr>
      <w:tr>
        <w:tc>
          <w:tcPr>
            <w:tcW w:type="dxa" w:w="2835"/>
          </w:tcPr>
          <w:p>
            <w:pPr>
              <w:spacing w:after="40" w:before="40"/>
            </w:pPr>
            <w:r/>
            <w:r>
              <w:rPr>
                <w:rFonts w:ascii="Times New Roman" w:hAnsi="Times New Roman" w:eastAsia="宋体"/>
                <w:b w:val="0"/>
                <w:i w:val="0"/>
                <w:sz w:val="20"/>
              </w:rPr>
              <w:t>2035</w:t>
            </w:r>
          </w:p>
        </w:tc>
        <w:tc>
          <w:tcPr>
            <w:tcW w:type="dxa" w:w="2835"/>
          </w:tcPr>
          <w:p>
            <w:pPr>
              <w:spacing w:after="40" w:before="40"/>
            </w:pPr>
            <w:r/>
            <w:r>
              <w:rPr>
                <w:rFonts w:ascii="Times New Roman" w:hAnsi="Times New Roman" w:eastAsia="宋体"/>
                <w:b w:val="0"/>
                <w:i w:val="0"/>
                <w:sz w:val="20"/>
              </w:rPr>
              <w:t>AI定价成为主流</w:t>
            </w:r>
          </w:p>
        </w:tc>
        <w:tc>
          <w:tcPr>
            <w:tcW w:type="dxa" w:w="2835"/>
          </w:tcPr>
          <w:p>
            <w:pPr>
              <w:spacing w:after="40" w:before="40"/>
            </w:pPr>
            <w:r/>
            <w:r>
              <w:rPr>
                <w:rFonts w:ascii="Times New Roman" w:hAnsi="Times New Roman" w:eastAsia="宋体"/>
                <w:b w:val="0"/>
                <w:i w:val="0"/>
                <w:sz w:val="20"/>
              </w:rPr>
              <w:t>深度学习技术成熟，算力充足</w:t>
            </w:r>
          </w:p>
        </w:tc>
      </w:tr>
    </w:tbl>
    <w:p>
      <w:pPr>
        <w:pStyle w:val="Heading2"/>
        <w:spacing w:before="240" w:after="80"/>
      </w:pPr>
      <w:r>
        <w:rPr>
          <w:rFonts w:ascii="Times New Roman" w:hAnsi="Times New Roman" w:eastAsia="黑体"/>
          <w:b/>
          <w:i w:val="0"/>
          <w:sz w:val="28"/>
        </w:rPr>
        <w:t>G.7 重要学术奖项</w:t>
      </w:r>
    </w:p>
    <w:tbl>
      <w:tblPr>
        <w:tblStyle w:val="LightGrid-Accent1"/>
        <w:tblW w:type="auto" w:w="0"/>
        <w:jc w:val="center"/>
        <w:tblLook w:firstColumn="1" w:firstRow="1" w:lastColumn="0" w:lastRow="0" w:noHBand="0" w:noVBand="1" w:val="04A0"/>
      </w:tblPr>
      <w:tblGrid>
        <w:gridCol w:w="2126"/>
        <w:gridCol w:w="2126"/>
        <w:gridCol w:w="2126"/>
        <w:gridCol w:w="2126"/>
      </w:tblGrid>
      <w:tr>
        <w:tc>
          <w:tcPr>
            <w:tcW w:type="dxa" w:w="2126"/>
          </w:tcPr>
          <w:p>
            <w:pPr>
              <w:spacing w:after="40" w:before="40"/>
            </w:pPr>
            <w:r>
              <w:rPr>
                <w:b/>
              </w:rPr>
            </w:r>
            <w:r>
              <w:rPr>
                <w:rFonts w:ascii="Times New Roman" w:hAnsi="Times New Roman" w:eastAsia="黑体"/>
                <w:b/>
                <w:i w:val="0"/>
                <w:sz w:val="20"/>
              </w:rPr>
              <w:t>年份</w:t>
            </w:r>
          </w:p>
        </w:tc>
        <w:tc>
          <w:tcPr>
            <w:tcW w:type="dxa" w:w="2126"/>
          </w:tcPr>
          <w:p>
            <w:pPr>
              <w:spacing w:after="40" w:before="40"/>
            </w:pPr>
            <w:r>
              <w:rPr>
                <w:b/>
              </w:rPr>
            </w:r>
            <w:r>
              <w:rPr>
                <w:rFonts w:ascii="Times New Roman" w:hAnsi="Times New Roman" w:eastAsia="黑体"/>
                <w:b/>
                <w:i w:val="0"/>
                <w:sz w:val="20"/>
              </w:rPr>
              <w:t>奖项</w:t>
            </w:r>
          </w:p>
        </w:tc>
        <w:tc>
          <w:tcPr>
            <w:tcW w:type="dxa" w:w="2126"/>
          </w:tcPr>
          <w:p>
            <w:pPr>
              <w:spacing w:after="40" w:before="40"/>
            </w:pPr>
            <w:r>
              <w:rPr>
                <w:b/>
              </w:rPr>
            </w:r>
            <w:r>
              <w:rPr>
                <w:rFonts w:ascii="Times New Roman" w:hAnsi="Times New Roman" w:eastAsia="黑体"/>
                <w:b/>
                <w:i w:val="0"/>
                <w:sz w:val="20"/>
              </w:rPr>
              <w:t>获奖者</w:t>
            </w:r>
          </w:p>
        </w:tc>
        <w:tc>
          <w:tcPr>
            <w:tcW w:type="dxa" w:w="2126"/>
          </w:tcPr>
          <w:p>
            <w:pPr>
              <w:spacing w:after="40" w:before="40"/>
            </w:pPr>
            <w:r>
              <w:rPr>
                <w:b/>
              </w:rPr>
            </w:r>
            <w:r>
              <w:rPr>
                <w:rFonts w:ascii="Times New Roman" w:hAnsi="Times New Roman" w:eastAsia="黑体"/>
                <w:b/>
                <w:i w:val="0"/>
                <w:sz w:val="20"/>
              </w:rPr>
              <w:t>贡献</w:t>
            </w:r>
          </w:p>
        </w:tc>
      </w:tr>
      <w:tr>
        <w:tc>
          <w:tcPr>
            <w:tcW w:type="dxa" w:w="2126"/>
          </w:tcPr>
          <w:p>
            <w:pPr>
              <w:spacing w:after="40" w:before="40"/>
            </w:pPr>
            <w:r/>
            <w:r>
              <w:rPr>
                <w:rFonts w:ascii="Times New Roman" w:hAnsi="Times New Roman" w:eastAsia="宋体"/>
                <w:b w:val="0"/>
                <w:i w:val="0"/>
                <w:sz w:val="20"/>
              </w:rPr>
              <w:t>2012</w:t>
            </w:r>
          </w:p>
        </w:tc>
        <w:tc>
          <w:tcPr>
            <w:tcW w:type="dxa" w:w="2126"/>
          </w:tcPr>
          <w:p>
            <w:pPr>
              <w:spacing w:after="40" w:before="40"/>
            </w:pPr>
            <w:r/>
            <w:r>
              <w:rPr>
                <w:rFonts w:ascii="Times New Roman" w:hAnsi="Times New Roman" w:eastAsia="宋体"/>
                <w:b w:val="0"/>
                <w:i w:val="0"/>
                <w:sz w:val="20"/>
              </w:rPr>
              <w:t>SIAM杰出论文奖</w:t>
            </w:r>
          </w:p>
        </w:tc>
        <w:tc>
          <w:tcPr>
            <w:tcW w:type="dxa" w:w="2126"/>
          </w:tcPr>
          <w:p>
            <w:pPr>
              <w:spacing w:after="40" w:before="40"/>
            </w:pPr>
            <w:r/>
            <w:r>
              <w:rPr>
                <w:rFonts w:ascii="Times New Roman" w:hAnsi="Times New Roman" w:eastAsia="宋体"/>
                <w:b w:val="0"/>
                <w:i w:val="0"/>
                <w:sz w:val="20"/>
              </w:rPr>
              <w:t>Qi, Sun</w:t>
            </w:r>
          </w:p>
        </w:tc>
        <w:tc>
          <w:tcPr>
            <w:tcW w:type="dxa" w:w="2126"/>
          </w:tcPr>
          <w:p>
            <w:pPr>
              <w:spacing w:after="40" w:before="40"/>
            </w:pPr>
            <w:r/>
            <w:r>
              <w:rPr>
                <w:rFonts w:ascii="Times New Roman" w:hAnsi="Times New Roman" w:eastAsia="宋体"/>
                <w:b w:val="0"/>
                <w:i w:val="0"/>
                <w:sz w:val="20"/>
              </w:rPr>
              <w:t>半光滑牛顿法收敛性理论</w:t>
            </w:r>
          </w:p>
        </w:tc>
      </w:tr>
      <w:tr>
        <w:tc>
          <w:tcPr>
            <w:tcW w:type="dxa" w:w="2126"/>
            <w:shd w:val="clear" w:color="auto" w:fill="F0F4F8"/>
          </w:tcPr>
          <w:p>
            <w:pPr>
              <w:spacing w:after="40" w:before="40"/>
            </w:pPr>
            <w:r/>
            <w:r>
              <w:rPr>
                <w:rFonts w:ascii="Times New Roman" w:hAnsi="Times New Roman" w:eastAsia="宋体"/>
                <w:b w:val="0"/>
                <w:i w:val="0"/>
                <w:sz w:val="20"/>
              </w:rPr>
              <w:t>2015</w:t>
            </w:r>
          </w:p>
        </w:tc>
        <w:tc>
          <w:tcPr>
            <w:tcW w:type="dxa" w:w="2126"/>
            <w:shd w:val="clear" w:color="auto" w:fill="F0F4F8"/>
          </w:tcPr>
          <w:p>
            <w:pPr>
              <w:spacing w:after="40" w:before="40"/>
            </w:pPr>
            <w:r/>
            <w:r>
              <w:rPr>
                <w:rFonts w:ascii="Times New Roman" w:hAnsi="Times New Roman" w:eastAsia="宋体"/>
                <w:b w:val="0"/>
                <w:i w:val="0"/>
                <w:sz w:val="20"/>
              </w:rPr>
              <w:t>IEEE PES Prize Paper</w:t>
            </w:r>
          </w:p>
        </w:tc>
        <w:tc>
          <w:tcPr>
            <w:tcW w:type="dxa" w:w="2126"/>
            <w:shd w:val="clear" w:color="auto" w:fill="F0F4F8"/>
          </w:tcPr>
          <w:p>
            <w:pPr>
              <w:spacing w:after="40" w:before="40"/>
            </w:pPr>
            <w:r/>
            <w:r>
              <w:rPr>
                <w:rFonts w:ascii="Times New Roman" w:hAnsi="Times New Roman" w:eastAsia="宋体"/>
                <w:b w:val="0"/>
                <w:i w:val="0"/>
                <w:sz w:val="20"/>
              </w:rPr>
              <w:t>Samadi et al.</w:t>
            </w:r>
          </w:p>
        </w:tc>
        <w:tc>
          <w:tcPr>
            <w:tcW w:type="dxa" w:w="2126"/>
            <w:shd w:val="clear" w:color="auto" w:fill="F0F4F8"/>
          </w:tcPr>
          <w:p>
            <w:pPr>
              <w:spacing w:after="40" w:before="40"/>
            </w:pPr>
            <w:r/>
            <w:r>
              <w:rPr>
                <w:rFonts w:ascii="Times New Roman" w:hAnsi="Times New Roman" w:eastAsia="宋体"/>
                <w:b w:val="0"/>
                <w:i w:val="0"/>
                <w:sz w:val="20"/>
              </w:rPr>
              <w:t>效用函数RTP建模</w:t>
            </w:r>
          </w:p>
        </w:tc>
      </w:tr>
      <w:tr>
        <w:tc>
          <w:tcPr>
            <w:tcW w:type="dxa" w:w="2126"/>
          </w:tcPr>
          <w:p>
            <w:pPr>
              <w:spacing w:after="40" w:before="40"/>
            </w:pPr>
            <w:r/>
            <w:r>
              <w:rPr>
                <w:rFonts w:ascii="Times New Roman" w:hAnsi="Times New Roman" w:eastAsia="宋体"/>
                <w:b w:val="0"/>
                <w:i w:val="0"/>
                <w:sz w:val="20"/>
              </w:rPr>
              <w:t>2019</w:t>
            </w:r>
          </w:p>
        </w:tc>
        <w:tc>
          <w:tcPr>
            <w:tcW w:type="dxa" w:w="2126"/>
          </w:tcPr>
          <w:p>
            <w:pPr>
              <w:spacing w:after="40" w:before="40"/>
            </w:pPr>
            <w:r/>
            <w:r>
              <w:rPr>
                <w:rFonts w:ascii="Times New Roman" w:hAnsi="Times New Roman" w:eastAsia="宋体"/>
                <w:b w:val="0"/>
                <w:i w:val="0"/>
                <w:sz w:val="20"/>
              </w:rPr>
              <w:t>ACM SIGEnergy最佳论文</w:t>
            </w:r>
          </w:p>
        </w:tc>
        <w:tc>
          <w:tcPr>
            <w:tcW w:type="dxa" w:w="2126"/>
          </w:tcPr>
          <w:p>
            <w:pPr>
              <w:spacing w:after="40" w:before="40"/>
            </w:pPr>
            <w:r/>
            <w:r>
              <w:rPr>
                <w:rFonts w:ascii="Times New Roman" w:hAnsi="Times New Roman" w:eastAsia="宋体"/>
                <w:b w:val="0"/>
                <w:i w:val="0"/>
                <w:sz w:val="20"/>
              </w:rPr>
              <w:t>Chen et al.</w:t>
            </w:r>
          </w:p>
        </w:tc>
        <w:tc>
          <w:tcPr>
            <w:tcW w:type="dxa" w:w="2126"/>
          </w:tcPr>
          <w:p>
            <w:pPr>
              <w:spacing w:after="40" w:before="40"/>
            </w:pPr>
            <w:r/>
            <w:r>
              <w:rPr>
                <w:rFonts w:ascii="Times New Roman" w:hAnsi="Times New Roman" w:eastAsia="宋体"/>
                <w:b w:val="0"/>
                <w:i w:val="0"/>
                <w:sz w:val="20"/>
              </w:rPr>
              <w:t>DRL在RTP中的应用</w:t>
            </w:r>
          </w:p>
        </w:tc>
      </w:tr>
      <w:tr>
        <w:tc>
          <w:tcPr>
            <w:tcW w:type="dxa" w:w="2126"/>
            <w:shd w:val="clear" w:color="auto" w:fill="F0F4F8"/>
          </w:tcPr>
          <w:p>
            <w:pPr>
              <w:spacing w:after="40" w:before="40"/>
            </w:pPr>
            <w:r/>
            <w:r>
              <w:rPr>
                <w:rFonts w:ascii="Times New Roman" w:hAnsi="Times New Roman" w:eastAsia="宋体"/>
                <w:b w:val="0"/>
                <w:i w:val="0"/>
                <w:sz w:val="20"/>
              </w:rPr>
              <w:t>2021</w:t>
            </w:r>
          </w:p>
        </w:tc>
        <w:tc>
          <w:tcPr>
            <w:tcW w:type="dxa" w:w="2126"/>
            <w:shd w:val="clear" w:color="auto" w:fill="F0F4F8"/>
          </w:tcPr>
          <w:p>
            <w:pPr>
              <w:spacing w:after="40" w:before="40"/>
            </w:pPr>
            <w:r/>
            <w:r>
              <w:rPr>
                <w:rFonts w:ascii="Times New Roman" w:hAnsi="Times New Roman" w:eastAsia="宋体"/>
                <w:b w:val="0"/>
                <w:i w:val="0"/>
                <w:sz w:val="20"/>
              </w:rPr>
              <w:t>IEEE Smart Grid Comm最佳论文</w:t>
            </w:r>
          </w:p>
        </w:tc>
        <w:tc>
          <w:tcPr>
            <w:tcW w:type="dxa" w:w="2126"/>
            <w:shd w:val="clear" w:color="auto" w:fill="F0F4F8"/>
          </w:tcPr>
          <w:p>
            <w:pPr>
              <w:spacing w:after="40" w:before="40"/>
            </w:pPr>
            <w:r/>
            <w:r>
              <w:rPr>
                <w:rFonts w:ascii="Times New Roman" w:hAnsi="Times New Roman" w:eastAsia="宋体"/>
                <w:b w:val="0"/>
                <w:i w:val="0"/>
                <w:sz w:val="20"/>
              </w:rPr>
              <w:t>Li et al.</w:t>
            </w:r>
          </w:p>
        </w:tc>
        <w:tc>
          <w:tcPr>
            <w:tcW w:type="dxa" w:w="2126"/>
            <w:shd w:val="clear" w:color="auto" w:fill="F0F4F8"/>
          </w:tcPr>
          <w:p>
            <w:pPr>
              <w:spacing w:after="40" w:before="40"/>
            </w:pPr>
            <w:r/>
            <w:r>
              <w:rPr>
                <w:rFonts w:ascii="Times New Roman" w:hAnsi="Times New Roman" w:eastAsia="宋体"/>
                <w:b w:val="0"/>
                <w:i w:val="0"/>
                <w:sz w:val="20"/>
              </w:rPr>
              <w:t>多Agent DRL定价框架</w:t>
            </w:r>
          </w:p>
        </w:tc>
      </w:tr>
      <w:tr>
        <w:tc>
          <w:tcPr>
            <w:tcW w:type="dxa" w:w="2126"/>
          </w:tcPr>
          <w:p>
            <w:pPr>
              <w:spacing w:after="40" w:before="40"/>
            </w:pPr>
            <w:r/>
            <w:r>
              <w:rPr>
                <w:rFonts w:ascii="Times New Roman" w:hAnsi="Times New Roman" w:eastAsia="宋体"/>
                <w:b w:val="0"/>
                <w:i w:val="0"/>
                <w:sz w:val="20"/>
              </w:rPr>
              <w:t>2023</w:t>
            </w:r>
          </w:p>
        </w:tc>
        <w:tc>
          <w:tcPr>
            <w:tcW w:type="dxa" w:w="2126"/>
          </w:tcPr>
          <w:p>
            <w:pPr>
              <w:spacing w:after="40" w:before="40"/>
            </w:pPr>
            <w:r/>
            <w:r>
              <w:rPr>
                <w:rFonts w:ascii="Times New Roman" w:hAnsi="Times New Roman" w:eastAsia="宋体"/>
                <w:b w:val="0"/>
                <w:i w:val="0"/>
                <w:sz w:val="20"/>
              </w:rPr>
              <w:t>中国电机工程学会优秀论文</w:t>
            </w:r>
          </w:p>
        </w:tc>
        <w:tc>
          <w:tcPr>
            <w:tcW w:type="dxa" w:w="2126"/>
          </w:tcPr>
          <w:p>
            <w:pPr>
              <w:spacing w:after="40" w:before="40"/>
            </w:pPr>
            <w:r/>
            <w:r>
              <w:rPr>
                <w:rFonts w:ascii="Times New Roman" w:hAnsi="Times New Roman" w:eastAsia="宋体"/>
                <w:b w:val="0"/>
                <w:i w:val="0"/>
                <w:sz w:val="20"/>
              </w:rPr>
              <w:t>高岩团队</w:t>
            </w:r>
          </w:p>
        </w:tc>
        <w:tc>
          <w:tcPr>
            <w:tcW w:type="dxa" w:w="2126"/>
          </w:tcPr>
          <w:p>
            <w:pPr>
              <w:spacing w:after="40" w:before="40"/>
            </w:pPr>
            <w:r/>
            <w:r>
              <w:rPr>
                <w:rFonts w:ascii="Times New Roman" w:hAnsi="Times New Roman" w:eastAsia="宋体"/>
                <w:b w:val="0"/>
                <w:i w:val="0"/>
                <w:sz w:val="20"/>
              </w:rPr>
              <w:t>互补问题方法系统贡献</w:t>
            </w:r>
          </w:p>
        </w:tc>
      </w:tr>
    </w:tbl>
    <w:p>
      <w:pPr>
        <w:pStyle w:val="Heading2"/>
        <w:spacing w:before="240" w:after="80"/>
      </w:pPr>
      <w:r>
        <w:rPr>
          <w:rFonts w:ascii="Times New Roman" w:hAnsi="Times New Roman" w:eastAsia="黑体"/>
          <w:b/>
          <w:i w:val="0"/>
          <w:sz w:val="28"/>
        </w:rPr>
        <w:t>G.8 领域发展统计</w:t>
      </w:r>
    </w:p>
    <w:p>
      <w:pPr>
        <w:spacing w:line="360" w:lineRule="auto" w:after="0"/>
        <w:ind w:firstLine="425"/>
      </w:pPr>
      <w:r>
        <w:rPr>
          <w:rFonts w:ascii="Times New Roman" w:hAnsi="Times New Roman" w:eastAsia="宋体"/>
          <w:b w:val="0"/>
          <w:i w:val="0"/>
          <w:sz w:val="22"/>
        </w:rPr>
        <w:t>截至2025年，智能电网实时定价领域的学术发表趋势：</w:t>
      </w:r>
    </w:p>
    <w:p>
      <w:pPr>
        <w:pStyle w:val="ListBullet"/>
        <w:spacing w:line="360" w:lineRule="auto" w:after="0"/>
      </w:pPr>
      <w:r>
        <w:rPr>
          <w:rFonts w:ascii="Times New Roman" w:hAnsi="Times New Roman" w:eastAsia="宋体"/>
          <w:b w:val="0"/>
          <w:i w:val="0"/>
          <w:sz w:val="22"/>
        </w:rPr>
        <w:t>IEEE Transactions on Smart Grid年发表论文数：从2010年的约50篇增长到2025年的约300篇</w:t>
      </w:r>
    </w:p>
    <w:p>
      <w:pPr>
        <w:pStyle w:val="ListBullet"/>
        <w:spacing w:line="360" w:lineRule="auto" w:after="0"/>
      </w:pPr>
      <w:r>
        <w:rPr>
          <w:rFonts w:ascii="Times New Roman" w:hAnsi="Times New Roman" w:eastAsia="宋体"/>
          <w:b w:val="0"/>
          <w:i w:val="0"/>
          <w:sz w:val="22"/>
        </w:rPr>
        <w:t>实时定价相关专利申请数：全球年申请量从2015年的约200件增长到2025年的约800件</w:t>
      </w:r>
    </w:p>
    <w:p>
      <w:pPr>
        <w:pStyle w:val="ListBullet"/>
        <w:spacing w:line="360" w:lineRule="auto" w:after="0"/>
      </w:pPr>
      <w:r>
        <w:rPr>
          <w:rFonts w:ascii="Times New Roman" w:hAnsi="Times New Roman" w:eastAsia="宋体"/>
          <w:b w:val="0"/>
          <w:i w:val="0"/>
          <w:sz w:val="22"/>
        </w:rPr>
        <w:t>中国在实时定价领域的论文发表量占比：从2015年的约15%增长到2025年的约35%</w:t>
      </w:r>
    </w:p>
    <w:p>
      <w:pPr>
        <w:pStyle w:val="ListBullet"/>
        <w:spacing w:line="360" w:lineRule="auto" w:after="0"/>
      </w:pPr>
      <w:r>
        <w:rPr>
          <w:rFonts w:ascii="Times New Roman" w:hAnsi="Times New Roman" w:eastAsia="宋体"/>
          <w:b w:val="0"/>
          <w:i w:val="0"/>
          <w:sz w:val="22"/>
        </w:rPr>
        <w:t>实时定价试点项目数量：全球累计超过200个，覆盖50+个国家</w:t>
      </w:r>
    </w:p>
    <w:p>
      <w:pPr>
        <w:pStyle w:val="ListBullet"/>
        <w:spacing w:line="360" w:lineRule="auto" w:after="0"/>
      </w:pPr>
      <w:r>
        <w:rPr>
          <w:rFonts w:ascii="Times New Roman" w:hAnsi="Times New Roman" w:eastAsia="宋体"/>
          <w:b w:val="0"/>
          <w:i w:val="0"/>
          <w:sz w:val="22"/>
        </w:rPr>
        <w:t>IMA知识库中实时定价相关文献：累计收录超过5000篇</w:t>
      </w:r>
    </w:p>
    <w:p>
      <w:pPr>
        <w:spacing w:line="360" w:lineRule="auto" w:after="0"/>
        <w:ind w:firstLine="425"/>
      </w:pPr>
      <w:r>
        <w:rPr>
          <w:rFonts w:ascii="Times New Roman" w:hAnsi="Times New Roman" w:eastAsia="宋体"/>
          <w:b w:val="0"/>
          <w:i w:val="0"/>
          <w:sz w:val="22"/>
        </w:rPr>
        <w:t>本附录将持续更新，以反映智能电网实时定价领域的最新技术进展和政策变化。</w:t>
      </w:r>
    </w:p>
    <w:p>
      <w:pPr>
        <w:spacing w:line="360" w:lineRule="auto" w:after="0"/>
        <w:ind w:firstLine="425"/>
      </w:pPr>
      <w:r>
        <w:rPr>
          <w:rFonts w:ascii="Times New Roman" w:hAnsi="Times New Roman" w:eastAsia="宋体"/>
          <w:b w:val="0"/>
          <w:i w:val="0"/>
          <w:sz w:val="22"/>
        </w:rPr>
        <w:t>读者可通过学术数据库获取最新文献。</w:t>
      </w:r>
    </w:p>
    <w:p>
      <w:pPr>
        <w:spacing w:line="360" w:lineRule="auto" w:after="0"/>
        <w:ind w:firstLine="425"/>
      </w:pPr>
      <w:r>
        <w:rPr>
          <w:rFonts w:ascii="Times New Roman" w:hAnsi="Times New Roman" w:eastAsia="宋体"/>
          <w:b w:val="0"/>
          <w:i w:val="0"/>
          <w:sz w:val="22"/>
        </w:rPr>
        <w:t>完。</w:t>
      </w:r>
    </w:p>
    <w:p>
      <w:r>
        <w:br w:type="page"/>
      </w:r>
    </w:p>
    <w:sectPr w:rsidR="00FC693F" w:rsidRPr="0006063C" w:rsidSect="00034616">
      <w:footerReference w:type="default" r:id="rId17"/>
      <w:pgSz w:w="11906" w:h="16838"/>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fldChar w:fldCharType="begin"/>
    </w:r>
    <w:r>
      <w:rPr>
        <w:rFonts w:ascii="Times New Roman" w:hAnsi="Times New Roman"/>
        <w:sz w:val="20"/>
      </w:rPr>
      <w:instrText xml:space="preserve"> PAGE </w:instrText>
    </w:r>
    <w:r>
      <w:rPr>
        <w:rFonts w:ascii="Times New Roman" w:hAnsi="Times New Roman"/>
        <w:sz w:val="20"/>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