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color w:val="264653"/>
          <w:sz w:val="56"/>
        </w:rPr>
        <w:t>文化遗产保护概论</w:t>
      </w:r>
    </w:p>
    <w:p>
      <w:pPr>
        <w:jc w:val="center"/>
      </w:pPr>
      <w:r>
        <w:rPr>
          <w:color w:val="457B9D"/>
          <w:sz w:val="32"/>
        </w:rPr>
        <w:t>——非遗数字化与文物数字典藏</w:t>
      </w:r>
    </w:p>
    <w:p/>
    <w:p/>
    <w:p>
      <w:pPr>
        <w:jc w:val="center"/>
      </w:pPr>
      <w:r>
        <w:rPr>
          <w:color w:val="2A9D8F"/>
          <w:sz w:val="28"/>
        </w:rPr>
        <w:t>D.I.G.I.T. 数字遗产保护框架</w:t>
      </w:r>
    </w:p>
    <w:p/>
    <w:p/>
    <w:p/>
    <w:p/>
    <w:p/>
    <w:p/>
    <w:p>
      <w:pPr>
        <w:jc w:val="center"/>
      </w:pPr>
      <w:r>
        <w:rPr>
          <w:sz w:val="24"/>
        </w:rPr>
        <w:t>2026年7月</w:t>
      </w:r>
    </w:p>
    <w:p>
      <w:r>
        <w:br w:type="page"/>
      </w:r>
    </w:p>
    <w:p>
      <w:pPr>
        <w:jc w:val="center"/>
      </w:pPr>
      <w:r>
        <w:rPr>
          <w:b/>
          <w:sz w:val="36"/>
        </w:rPr>
        <w:t>目　录</w:t>
      </w:r>
    </w:p>
    <w:p/>
    <w:p>
      <w:pPr>
        <w:spacing w:before="160"/>
      </w:pPr>
      <w:r>
        <w:rPr>
          <w:b/>
          <w:sz w:val="24"/>
        </w:rPr>
        <w:t>第一篇　概念与演进篇</w:t>
      </w:r>
    </w:p>
    <w:p>
      <w:pPr>
        <w:ind w:left="567"/>
      </w:pPr>
      <w:r>
        <w:rPr>
          <w:sz w:val="22"/>
        </w:rPr>
        <w:t>第1章 文化遗产保护概论</w:t>
      </w:r>
    </w:p>
    <w:p>
      <w:pPr>
        <w:ind w:left="567"/>
      </w:pPr>
      <w:r>
        <w:rPr>
          <w:sz w:val="22"/>
        </w:rPr>
        <w:t>第2章 物质文化遗产与非物质文化遗产</w:t>
      </w:r>
    </w:p>
    <w:p>
      <w:pPr>
        <w:ind w:left="567"/>
      </w:pPr>
      <w:r>
        <w:rPr>
          <w:sz w:val="22"/>
        </w:rPr>
        <w:t>第3章 文化遗产数字化保护的理论基础</w:t>
      </w:r>
    </w:p>
    <w:p>
      <w:pPr>
        <w:spacing w:before="160"/>
      </w:pPr>
      <w:r>
        <w:rPr>
          <w:b/>
          <w:sz w:val="24"/>
        </w:rPr>
        <w:t>第二篇　核心技术篇</w:t>
      </w:r>
    </w:p>
    <w:p>
      <w:pPr>
        <w:ind w:left="567"/>
      </w:pPr>
      <w:r>
        <w:rPr>
          <w:sz w:val="22"/>
        </w:rPr>
        <w:t>第4章 文物三维数字化与数字典藏</w:t>
      </w:r>
    </w:p>
    <w:p>
      <w:pPr>
        <w:ind w:left="567"/>
      </w:pPr>
      <w:r>
        <w:rPr>
          <w:sz w:val="22"/>
        </w:rPr>
        <w:t>第5章 非物质文化遗产数字化保护技术</w:t>
      </w:r>
    </w:p>
    <w:p>
      <w:pPr>
        <w:ind w:left="567"/>
      </w:pPr>
      <w:r>
        <w:rPr>
          <w:sz w:val="22"/>
        </w:rPr>
        <w:t>第6章 VR/AR与文化遗产沉浸式体验</w:t>
      </w:r>
    </w:p>
    <w:p>
      <w:pPr>
        <w:spacing w:before="160"/>
      </w:pPr>
      <w:r>
        <w:rPr>
          <w:b/>
          <w:sz w:val="24"/>
        </w:rPr>
        <w:t>第三篇　治理与传播篇</w:t>
      </w:r>
    </w:p>
    <w:p>
      <w:pPr>
        <w:ind w:left="567"/>
      </w:pPr>
      <w:r>
        <w:rPr>
          <w:sz w:val="22"/>
        </w:rPr>
        <w:t>第7章 AI与大数据在文化遗产中的应用</w:t>
      </w:r>
    </w:p>
    <w:p>
      <w:pPr>
        <w:ind w:left="567"/>
      </w:pPr>
      <w:r>
        <w:rPr>
          <w:sz w:val="22"/>
        </w:rPr>
        <w:t>第8章 知识图谱与文化遗产数据管理</w:t>
      </w:r>
    </w:p>
    <w:p>
      <w:pPr>
        <w:ind w:left="567"/>
      </w:pPr>
      <w:r>
        <w:rPr>
          <w:sz w:val="22"/>
        </w:rPr>
        <w:t>第9章 区块链与文化遗产数字版权保护</w:t>
      </w:r>
    </w:p>
    <w:p>
      <w:pPr>
        <w:spacing w:before="160"/>
      </w:pPr>
      <w:r>
        <w:rPr>
          <w:b/>
          <w:sz w:val="24"/>
        </w:rPr>
        <w:t>第四篇　实践与展望篇</w:t>
      </w:r>
    </w:p>
    <w:p>
      <w:pPr>
        <w:ind w:left="567"/>
      </w:pPr>
      <w:r>
        <w:rPr>
          <w:sz w:val="22"/>
        </w:rPr>
        <w:t>第10章 IoT与文化遗产监测预警</w:t>
      </w:r>
    </w:p>
    <w:p>
      <w:pPr>
        <w:ind w:left="567"/>
      </w:pPr>
      <w:r>
        <w:rPr>
          <w:sz w:val="22"/>
        </w:rPr>
        <w:t>第11章 国际比较与标准规范</w:t>
      </w:r>
    </w:p>
    <w:p>
      <w:pPr>
        <w:ind w:left="567"/>
      </w:pPr>
      <w:r>
        <w:rPr>
          <w:sz w:val="22"/>
        </w:rPr>
        <w:t>第12章 文化遗产数字传播与未来展望</w:t>
      </w:r>
    </w:p>
    <w:p>
      <w:pPr>
        <w:spacing w:before="160"/>
      </w:pPr>
      <w:r>
        <w:rPr>
          <w:b/>
          <w:sz w:val="24"/>
        </w:rPr>
        <w:t>附录</w:t>
      </w:r>
    </w:p>
    <w:p>
      <w:pPr>
        <w:ind w:left="567"/>
      </w:pPr>
      <w:r>
        <w:rPr>
          <w:sz w:val="22"/>
        </w:rPr>
        <w:t>附录A 术语表</w:t>
      </w:r>
    </w:p>
    <w:p>
      <w:pPr>
        <w:ind w:left="567"/>
      </w:pPr>
      <w:r>
        <w:rPr>
          <w:sz w:val="22"/>
        </w:rPr>
        <w:t>附录B 工具与平台速查</w:t>
      </w:r>
    </w:p>
    <w:p>
      <w:pPr>
        <w:ind w:left="567"/>
      </w:pPr>
      <w:r>
        <w:rPr>
          <w:sz w:val="22"/>
        </w:rPr>
        <w:t>附录C 案例库</w:t>
      </w:r>
    </w:p>
    <w:p>
      <w:pPr>
        <w:ind w:left="567"/>
      </w:pPr>
      <w:r>
        <w:rPr>
          <w:sz w:val="22"/>
        </w:rPr>
        <w:t>附录D 设计模板与检查清单</w:t>
      </w:r>
    </w:p>
    <w:p>
      <w:pPr>
        <w:ind w:left="567"/>
      </w:pPr>
      <w:r>
        <w:rPr>
          <w:sz w:val="22"/>
        </w:rPr>
        <w:t>附录E 教学大纲</w:t>
      </w:r>
    </w:p>
    <w:p>
      <w:pPr>
        <w:ind w:left="567"/>
      </w:pPr>
      <w:r>
        <w:rPr>
          <w:sz w:val="22"/>
        </w:rPr>
        <w:t>附录F 实训项目</w:t>
      </w:r>
    </w:p>
    <w:p>
      <w:pPr>
        <w:ind w:left="567"/>
      </w:pPr>
      <w:r>
        <w:rPr>
          <w:sz w:val="22"/>
        </w:rPr>
        <w:t>附录G 大事记</w:t>
      </w:r>
    </w:p>
    <w:p>
      <w:r>
        <w:br w:type="page"/>
      </w:r>
    </w:p>
    <w:p/>
    <w:p/>
    <w:p/>
    <w:p/>
    <w:p/>
    <w:p/>
    <w:p/>
    <w:p/>
    <w:p>
      <w:pPr>
        <w:jc w:val="center"/>
      </w:pPr>
      <w:r>
        <w:rPr>
          <w:b/>
          <w:color w:val="264653"/>
          <w:sz w:val="44"/>
        </w:rPr>
        <w:t>第一篇　概念与演进篇</w:t>
      </w:r>
    </w:p>
    <w:p>
      <w:r>
        <w:br w:type="page"/>
      </w:r>
    </w:p>
    <w:p>
      <w:pPr>
        <w:spacing w:before="240" w:after="160"/>
      </w:pPr>
      <w:r>
        <w:rPr>
          <w:b/>
          <w:color w:val="264653"/>
          <w:sz w:val="36"/>
        </w:rPr>
        <w:t>第1章 文化遗产保护概论</w:t>
      </w:r>
    </w:p>
    <w:p>
      <w:pPr>
        <w:jc w:val="center"/>
      </w:pPr>
      <w:r>
        <w:drawing>
          <wp:inline xmlns:a="http://schemas.openxmlformats.org/drawingml/2006/main" xmlns:pic="http://schemas.openxmlformats.org/drawingml/2006/picture">
            <wp:extent cx="5029200" cy="3505200"/>
            <wp:docPr id="1" name="Picture 1"/>
            <wp:cNvGraphicFramePr>
              <a:graphicFrameLocks noChangeAspect="1"/>
            </wp:cNvGraphicFramePr>
            <a:graphic>
              <a:graphicData uri="http://schemas.openxmlformats.org/drawingml/2006/picture">
                <pic:pic>
                  <pic:nvPicPr>
                    <pic:cNvPr id="0" name="fig1_1_digit_framework.png"/>
                    <pic:cNvPicPr/>
                  </pic:nvPicPr>
                  <pic:blipFill>
                    <a:blip r:embed="rId9"/>
                    <a:stretch>
                      <a:fillRect/>
                    </a:stretch>
                  </pic:blipFill>
                  <pic:spPr>
                    <a:xfrm>
                      <a:off x="0" y="0"/>
                      <a:ext cx="5029200" cy="3505200"/>
                    </a:xfrm>
                    <a:prstGeom prst="rect"/>
                  </pic:spPr>
                </pic:pic>
              </a:graphicData>
            </a:graphic>
          </wp:inline>
        </w:drawing>
      </w:r>
    </w:p>
    <w:p>
      <w:pPr>
        <w:spacing w:before="200" w:after="120"/>
      </w:pPr>
      <w:r>
        <w:rPr>
          <w:b/>
          <w:color w:val="457B9D"/>
          <w:sz w:val="30"/>
        </w:rPr>
        <w:t>学习目标</w:t>
      </w:r>
    </w:p>
    <w:p>
      <w:pPr>
        <w:pStyle w:val="ListBullet"/>
      </w:pPr>
      <w:r>
        <w:rPr>
          <w:sz w:val="22"/>
        </w:rPr>
        <w:t>理解文化遗产的概念演变与类型划分</w:t>
      </w:r>
    </w:p>
    <w:p>
      <w:pPr>
        <w:pStyle w:val="ListBullet"/>
      </w:pPr>
      <w:r>
        <w:rPr>
          <w:sz w:val="22"/>
        </w:rPr>
        <w:t>掌握文化遗产保护的基本原则与方法论</w:t>
      </w:r>
    </w:p>
    <w:p>
      <w:pPr>
        <w:pStyle w:val="ListBullet"/>
      </w:pPr>
      <w:r>
        <w:rPr>
          <w:sz w:val="22"/>
        </w:rPr>
        <w:t>了解数字技术对文化遗产保护范式的变革性影响</w:t>
      </w:r>
    </w:p>
    <w:p>
      <w:pPr>
        <w:pStyle w:val="ListBullet"/>
      </w:pPr>
      <w:r>
        <w:rPr>
          <w:sz w:val="22"/>
        </w:rPr>
        <w:t>认识D.I.G.I.T.框架的整体架构与逻辑关系</w:t>
      </w:r>
    </w:p>
    <w:p>
      <w:pPr>
        <w:spacing w:before="200" w:after="120"/>
      </w:pPr>
      <w:r>
        <w:rPr>
          <w:b/>
          <w:color w:val="457B9D"/>
          <w:sz w:val="30"/>
        </w:rPr>
        <w:t>导入案例：敦煌莫高窟"数字敦煌"项目</w:t>
      </w:r>
    </w:p>
    <w:p>
      <w:pPr>
        <w:spacing w:after="80" w:line="360" w:lineRule="auto"/>
        <w:ind w:firstLine="420"/>
      </w:pPr>
      <w:r>
        <w:rPr>
          <w:sz w:val="22"/>
        </w:rPr>
        <w:t>在甘肃省敦煌市东南25公里的鸣沙山东麓，莫高窟以其735个洞窟、4.5万平方米壁画和2000余尊彩塑，被誉为"墙壁上的博物馆"。然而，千年风沙侵蚀、游客呼吸产生的湿气与二氧化碳，使得这些珍贵壁画正以不可逆的速度劣化。1989年，敦煌研究院开始探索壁画数字化保护；如今，"数字敦煌"项目已完成200余个洞窟的高精度数字化采集，建立了全球最大的石窟数字资源库[1]。</w:t>
      </w:r>
    </w:p>
    <w:p>
      <w:pPr>
        <w:spacing w:after="80" w:line="360" w:lineRule="auto"/>
        <w:ind w:firstLine="420"/>
      </w:pPr>
      <w:r>
        <w:rPr>
          <w:sz w:val="22"/>
        </w:rPr>
        <w:t>更为深远的是，敦煌研究院与多家科研机构合作，将人工智能引入壁画保护领域。Yu等人（2022）在《International Journal of Computer Vision》上发表了敦煌文化遗产AI保护项目，构建了包含壁画病害标注、虚拟修复与色彩还原的完整技术体系[2]。从三维激光扫描到AI辅助修复，再到虚拟现实沉浸式体验，"数字敦煌"完整呈现了一条从物理保护到数字永续的技术链路——这正是本书D.I.G.I.T.框架所描述的数字时代文化遗产保护方法论的缩影。</w:t>
      </w:r>
    </w:p>
    <w:p>
      <w:pPr>
        <w:spacing w:before="200" w:after="120"/>
      </w:pPr>
      <w:r>
        <w:rPr>
          <w:b/>
          <w:color w:val="457B9D"/>
          <w:sz w:val="30"/>
        </w:rPr>
        <w:t>1.1 文化遗产的概念演变与类型划分</w:t>
      </w:r>
    </w:p>
    <w:p>
      <w:pPr>
        <w:spacing w:before="160" w:after="80"/>
      </w:pPr>
      <w:r>
        <w:rPr>
          <w:b/>
          <w:color w:val="2A9D8F"/>
          <w:sz w:val="26"/>
        </w:rPr>
        <w:t>1.1.1 物质文化遗产的定义与范畴</w:t>
      </w:r>
    </w:p>
    <w:p>
      <w:pPr>
        <w:spacing w:after="80" w:line="360" w:lineRule="auto"/>
        <w:ind w:firstLine="420"/>
      </w:pPr>
      <w:r>
        <w:rPr>
          <w:sz w:val="22"/>
        </w:rPr>
        <w:t>文化遗产（Cultural Heritage）作为一个学术概念和政策范畴，经历了从"古迹古物"到"文化遗产"的语义扩展过程。在早期实践中，文化遗产主要指向具有历史、艺术或科学价值的建筑物、遗址和可移动文物。1972年联合国教科文组织通过的《保护世界文化和自然遗产公约》（简称《世界遗产公约》）将文化遗产定义为三类：文物（monuments）、建筑群（groups of buildings）和遗址（sites），这构成了物质文化遗产（Tangible Cultural Heritage）的经典定义[3]。</w:t>
      </w:r>
    </w:p>
    <w:p>
      <w:pPr>
        <w:spacing w:after="80" w:line="360" w:lineRule="auto"/>
        <w:ind w:firstLine="420"/>
      </w:pPr>
      <w:r>
        <w:rPr>
          <w:sz w:val="22"/>
        </w:rPr>
        <w:t>物质文化遗产可进一步分为可移动文物和不可移动文物两大类。可移动文物包括陶瓷器、书画、金属器、玉石器、纺织品、文献古籍等，它们通常收藏于博物馆、图书馆和档案馆中，能够在不同空间之间转移。不可移动文物则包括古建筑、石窟寺、古遗址、古墓葬、石刻、近现代重要史迹及代表性建筑等，其价值与其所在地理环境密不可分。Pshenychnyi和Zinchenko（2025）指出，UNESCO对文化遗产的保护经历了"从物质到数字"的范式转变，这一转变深刻影响了遗产的概念边界和保护实践[4]。</w:t>
      </w:r>
    </w:p>
    <w:p>
      <w:pPr>
        <w:spacing w:after="80" w:line="360" w:lineRule="auto"/>
        <w:ind w:firstLine="420"/>
      </w:pPr>
      <w:r>
        <w:rPr>
          <w:sz w:val="22"/>
        </w:rPr>
        <w:t>在中国语境下，物质文化遗产的保护有完整的法律框架。《中华人民共和国文物保护法》将文物分为古文化遗址、古墓葬、古建筑、石窟寺、石刻、壁画、近现代重要史迹和代表性建筑等不可移动文物，以及历史上各时代的重要实物、艺术品、文献、手稿、图书资料等可移动文物。截至2023年，中国拥有全国重点文物保护单位5058处，不可移动文物76万余处，可移动文物1.08亿件/套，世界遗产57项，数量均居世界前列。</w:t>
      </w:r>
    </w:p>
    <w:p>
      <w:pPr>
        <w:spacing w:before="160" w:after="80"/>
      </w:pPr>
      <w:r>
        <w:rPr>
          <w:b/>
          <w:color w:val="2A9D8F"/>
          <w:sz w:val="26"/>
        </w:rPr>
        <w:t>1.1.2 非物质文化遗产的概念演进</w:t>
      </w:r>
    </w:p>
    <w:p>
      <w:pPr>
        <w:spacing w:after="80" w:line="360" w:lineRule="auto"/>
        <w:ind w:firstLine="420"/>
      </w:pPr>
      <w:r>
        <w:rPr>
          <w:sz w:val="22"/>
        </w:rPr>
        <w:t>非物质文化遗产（Intangible Cultural Heritage, ICH）的概念形成相对较晚。2003年10月，UNESCO通过《保护非物质文化遗产公约》，正式将ICH定义为"被各社区、群体，有时是个人，视为其文化遗产组成部分的各种社会实践、观念表述、表现形式、知识、技能以及相关的工具、实物、手工艺品和文化场所"[5]。这一定义标志着文化遗产保护从"物质"向"非物质"的重大拓展。</w:t>
      </w:r>
    </w:p>
    <w:p>
      <w:pPr>
        <w:spacing w:after="80" w:line="360" w:lineRule="auto"/>
        <w:ind w:firstLine="420"/>
      </w:pPr>
      <w:r>
        <w:rPr>
          <w:sz w:val="22"/>
        </w:rPr>
        <w:t>ICH涵盖五大类型：（1）口头传统和表现形式，包括作为非物质文化遗产媒介的语言；（2）表演艺术；（3）社会实践、仪式、节庆活动；（4）有关自然界和宇宙的知识和实践；（5）传统手工艺。Kolar等人（2014）在对斯拉沃尼亚、巴拉尼亚和西尔米亚地区的ICH保护研究中，将声音、图像、形态的数字化处理视为ICH保存的核心维度，强调了多模态记录的重要性[6]。</w:t>
      </w:r>
    </w:p>
    <w:p>
      <w:pPr>
        <w:spacing w:after="80" w:line="360" w:lineRule="auto"/>
        <w:ind w:firstLine="420"/>
      </w:pPr>
      <w:r>
        <w:rPr>
          <w:sz w:val="22"/>
        </w:rPr>
        <w:t>与物质文化遗产相比，ICH具有显著的活态性特征。它不是凝固的"物"，而是活着的"实践"——传承人是其核心载体，社区是其生存土壤。正如Robbins（2010）所指出的，ICH的保护不应仅停留在"保存"层面，更应关注"超越保存"的技术创新方向，探索ICH在当代社会中的创造性转化[7]。中国于2004年加入《保护非物质文化遗产公约》，截至2023年，共有43个项目列入UNESCO非遗名录，居世界第一；国家级非遗代表性项目1557项。</w:t>
      </w:r>
    </w:p>
    <w:p>
      <w:pPr>
        <w:spacing w:before="160" w:after="80"/>
      </w:pPr>
      <w:r>
        <w:rPr>
          <w:b/>
          <w:color w:val="2A9D8F"/>
          <w:sz w:val="26"/>
        </w:rPr>
        <w:t>1.1.3 文化景观与混合遗产</w:t>
      </w:r>
    </w:p>
    <w:p>
      <w:pPr>
        <w:spacing w:after="80" w:line="360" w:lineRule="auto"/>
        <w:ind w:firstLine="420"/>
      </w:pPr>
      <w:r>
        <w:rPr>
          <w:sz w:val="22"/>
        </w:rPr>
        <w:t>在物质与非物质的二分法之外，UNESCO还提出了"文化景观"（Cultural Landscape）概念，承认人与自然互动产生的遗产价值。文化景观体现了人类与自然环境长期相互作用的结果，如梯田、茶园、圣山等。这一概念模糊了自然遗产与文化遗产的界限，强调遗产的整体性和关联性。</w:t>
      </w:r>
    </w:p>
    <w:p>
      <w:pPr>
        <w:spacing w:after="80" w:line="360" w:lineRule="auto"/>
        <w:ind w:firstLine="420"/>
      </w:pPr>
      <w:r>
        <w:rPr>
          <w:sz w:val="22"/>
        </w:rPr>
        <w:t>混合遗产则同时具有文化和自然双重价值，如中国的泰山、黄山等。这些遗产类型的出现反映了文化遗产概念从单一维度向多维复合的演进趋势。Xiong和Srijinda（2025）指出，数字资源作为有效的数字存储手段，不仅为物质遗产的抢救性保护提供了高质量数据源，也为文化景观的整体性记录提供了新的技术可能[8]。</w:t>
      </w:r>
    </w:p>
    <w:p>
      <w:pPr>
        <w:spacing w:before="160" w:after="80"/>
      </w:pPr>
      <w:r>
        <w:rPr>
          <w:b/>
          <w:color w:val="2A9D8F"/>
          <w:sz w:val="26"/>
        </w:rPr>
        <w:t>1.1.4 数字遗产的兴起</w:t>
      </w:r>
    </w:p>
    <w:p>
      <w:pPr>
        <w:spacing w:after="80" w:line="360" w:lineRule="auto"/>
        <w:ind w:firstLine="420"/>
      </w:pPr>
      <w:r>
        <w:rPr>
          <w:sz w:val="22"/>
        </w:rPr>
        <w:t>进入21世纪，"数字遗产"（Digital Heritage）概念正式进入国际政策视野。UNESCO在2003年同时通过了《保护非物质文化遗产公约》和《数字遗产保护宪章》，后者将数字遗产定义为"包括从艺术、科学、文学、音乐、宗教、历史等领域中以数字形式创建或转换的，具有持久价值和意义，值得为当代和后代保存的资源"[9]。Abid（2005）在阐述UNESCO数字遗产保护视角时强调，世界上大量信息以原生数字形式产生，涵盖文本、数据库、音频、影像、图像等多种格式，这些数字资源的保存已成为全球性挑战[10]。</w:t>
      </w:r>
    </w:p>
    <w:p>
      <w:pPr>
        <w:spacing w:after="80" w:line="360" w:lineRule="auto"/>
        <w:ind w:firstLine="420"/>
      </w:pPr>
      <w:r>
        <w:rPr>
          <w:sz w:val="22"/>
        </w:rPr>
        <w:t>数字遗产的兴起带来了一个深刻的本体论问题：数字化后的文化遗产是"复制品"还是"新遗产"？这一问题将在第3章深入讨论。在此需要指出的是，数字遗产不仅包括文物的数字复制品，还包括"原生数字"的文化内容——如数字艺术、网络文学、虚拟社区记忆等。Koščík和Myška（2019）指出，"原生数字"内容作为文化遗产保存面临独特的版权法挑战，其法律地位和保护机制与传统文物有本质区别[11]。</w:t>
      </w:r>
    </w:p>
    <w:p>
      <w:pPr>
        <w:spacing w:before="200" w:after="120"/>
      </w:pPr>
      <w:r>
        <w:rPr>
          <w:b/>
          <w:color w:val="457B9D"/>
          <w:sz w:val="30"/>
        </w:rPr>
        <w:t>1.2 文化遗产保护的历史脉络</w:t>
      </w:r>
    </w:p>
    <w:p>
      <w:pPr>
        <w:spacing w:before="160" w:after="80"/>
      </w:pPr>
      <w:r>
        <w:rPr>
          <w:b/>
          <w:color w:val="2A9D8F"/>
          <w:sz w:val="26"/>
        </w:rPr>
        <w:t>1.2.1 传统保护理念的演进</w:t>
      </w:r>
    </w:p>
    <w:p>
      <w:pPr>
        <w:spacing w:after="80" w:line="360" w:lineRule="auto"/>
        <w:ind w:firstLine="420"/>
      </w:pPr>
      <w:r>
        <w:rPr>
          <w:sz w:val="22"/>
        </w:rPr>
        <w:t>文化遗产保护理念的演进是一部从"修复"到"保存"再到"预防"的思想史。19世纪欧洲的"风格修复"（restauro stilistico）运动以法国建筑师维奥莱-勒-杜克（Viollet-le-Duc）为代表，主张将建筑修复至"完整状态"——即便这一状态从未真实存在过。这一理念后来受到英国艺术评论家约翰·拉斯金（John Ruskin）和威廉·莫里斯（William Morris）的强烈反对，他们主张最小干预和真实性保护，反对过度修复造成的"伪造历史"。</w:t>
      </w:r>
    </w:p>
    <w:p>
      <w:pPr>
        <w:spacing w:after="80" w:line="360" w:lineRule="auto"/>
        <w:ind w:firstLine="420"/>
      </w:pPr>
      <w:r>
        <w:rPr>
          <w:sz w:val="22"/>
        </w:rPr>
        <w:t>20世纪中叶，国际保护理念趋于成熟。1964年通过的《威尼斯宪章》（Venice Charter，全称《保护与修复古迹遗址国际宪章》）确立了现代文物保护的基本原则：真实性（authenticity）、最小干预（minimal intervention）、可识别性（distinguishability）和可逆性（reversibility）。这些原则至今仍是文化遗产保护的基石。Ababneh（2024）在对威尼斯宪章原则下的数字遗产保护研究中指出，数字技术为宪章核心原则的实现提供了新工具——高精度数字记录使"最小干预"更具可行性，而数字复原的非破坏性特征天然符合"可逆性"要求[12]。</w:t>
      </w:r>
    </w:p>
    <w:p>
      <w:pPr>
        <w:spacing w:after="80" w:line="360" w:lineRule="auto"/>
        <w:ind w:firstLine="420"/>
      </w:pPr>
      <w:r>
        <w:rPr>
          <w:sz w:val="22"/>
        </w:rPr>
        <w:t>1994年通过的《奈良真实性文件》（Nara Document on Authenticity）进一步拓展了真实性的文化维度，承认不同文化传统对真实性的理解可能不同，这一观点为非西方世界的遗产保护实践提供了理论空间。中国传统建筑中"落架大修"的做法——将建筑构件逐一编号拆卸、更换损毁构件后按原样重新组装——即体现了不同于西方"原物保护"的真实性理解。</w:t>
      </w:r>
    </w:p>
    <w:p>
      <w:pPr>
        <w:spacing w:before="160" w:after="80"/>
      </w:pPr>
      <w:r>
        <w:rPr>
          <w:b/>
          <w:color w:val="2A9D8F"/>
          <w:sz w:val="26"/>
        </w:rPr>
        <w:t>1.2.2 国际公约与保护宪章</w:t>
      </w:r>
    </w:p>
    <w:p>
      <w:pPr>
        <w:spacing w:after="80" w:line="360" w:lineRule="auto"/>
        <w:ind w:firstLine="420"/>
      </w:pPr>
      <w:r>
        <w:rPr>
          <w:sz w:val="22"/>
        </w:rPr>
        <w:t>文化遗产保护的国际法律框架经历了一个逐步完善的过程。下表梳理了关键国际公约与宪章的演进脉络：</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D9E2EC"/>
          </w:tcPr>
          <w:p>
            <w:pPr>
              <w:spacing w:before="40" w:after="40"/>
            </w:pPr>
            <w:r>
              <w:rPr>
                <w:b/>
                <w:sz w:val="20"/>
              </w:rPr>
            </w:r>
            <w:r>
              <w:rPr>
                <w:b/>
                <w:sz w:val="20"/>
              </w:rPr>
              <w:t>年份</w:t>
            </w:r>
          </w:p>
        </w:tc>
        <w:tc>
          <w:tcPr>
            <w:tcW w:type="dxa" w:w="2835"/>
            <w:shd w:val="clear" w:color="auto" w:fill="D9E2EC"/>
          </w:tcPr>
          <w:p>
            <w:pPr>
              <w:spacing w:before="40" w:after="40"/>
            </w:pPr>
            <w:r>
              <w:rPr>
                <w:b/>
                <w:sz w:val="20"/>
              </w:rPr>
            </w:r>
            <w:r>
              <w:rPr>
                <w:b/>
                <w:sz w:val="20"/>
              </w:rPr>
              <w:t>公约/宪章名称</w:t>
            </w:r>
          </w:p>
        </w:tc>
        <w:tc>
          <w:tcPr>
            <w:tcW w:type="dxa" w:w="2835"/>
            <w:shd w:val="clear" w:color="auto" w:fill="D9E2EC"/>
          </w:tcPr>
          <w:p>
            <w:pPr>
              <w:spacing w:before="40" w:after="40"/>
            </w:pPr>
            <w:r>
              <w:rPr>
                <w:b/>
                <w:sz w:val="20"/>
              </w:rPr>
            </w:r>
            <w:r>
              <w:rPr>
                <w:b/>
                <w:sz w:val="20"/>
              </w:rPr>
              <w:t>核心贡献</w:t>
            </w:r>
          </w:p>
        </w:tc>
      </w:tr>
      <w:tr>
        <w:tc>
          <w:tcPr>
            <w:tcW w:type="dxa" w:w="2835"/>
          </w:tcPr>
          <w:p>
            <w:pPr>
              <w:spacing w:before="40" w:after="40"/>
            </w:pPr>
            <w:r>
              <w:rPr>
                <w:sz w:val="20"/>
              </w:rPr>
            </w:r>
            <w:r>
              <w:rPr>
                <w:sz w:val="20"/>
              </w:rPr>
              <w:t>1954</w:t>
            </w:r>
          </w:p>
        </w:tc>
        <w:tc>
          <w:tcPr>
            <w:tcW w:type="dxa" w:w="2835"/>
          </w:tcPr>
          <w:p>
            <w:pPr>
              <w:spacing w:before="40" w:after="40"/>
            </w:pPr>
            <w:r>
              <w:rPr>
                <w:sz w:val="20"/>
              </w:rPr>
            </w:r>
            <w:r>
              <w:rPr>
                <w:sz w:val="20"/>
              </w:rPr>
              <w:t>《海牙公约》（武装冲突情况下保护文化财产公约）</w:t>
            </w:r>
          </w:p>
        </w:tc>
        <w:tc>
          <w:tcPr>
            <w:tcW w:type="dxa" w:w="2835"/>
          </w:tcPr>
          <w:p>
            <w:pPr>
              <w:spacing w:before="40" w:after="40"/>
            </w:pPr>
            <w:r>
              <w:rPr>
                <w:sz w:val="20"/>
              </w:rPr>
            </w:r>
            <w:r>
              <w:rPr>
                <w:sz w:val="20"/>
              </w:rPr>
              <w:t>战时文化遗产保护</w:t>
            </w:r>
          </w:p>
        </w:tc>
      </w:tr>
      <w:tr>
        <w:tc>
          <w:tcPr>
            <w:tcW w:type="dxa" w:w="2835"/>
            <w:shd w:val="clear" w:color="auto" w:fill="F5F5F5"/>
          </w:tcPr>
          <w:p>
            <w:pPr>
              <w:spacing w:before="40" w:after="40"/>
            </w:pPr>
            <w:r>
              <w:rPr>
                <w:sz w:val="20"/>
              </w:rPr>
            </w:r>
            <w:r>
              <w:rPr>
                <w:sz w:val="20"/>
              </w:rPr>
              <w:t>1964</w:t>
            </w:r>
          </w:p>
        </w:tc>
        <w:tc>
          <w:tcPr>
            <w:tcW w:type="dxa" w:w="2835"/>
            <w:shd w:val="clear" w:color="auto" w:fill="F5F5F5"/>
          </w:tcPr>
          <w:p>
            <w:pPr>
              <w:spacing w:before="40" w:after="40"/>
            </w:pPr>
            <w:r>
              <w:rPr>
                <w:sz w:val="20"/>
              </w:rPr>
            </w:r>
            <w:r>
              <w:rPr>
                <w:sz w:val="20"/>
              </w:rPr>
              <w:t>《威尼斯宪章》</w:t>
            </w:r>
          </w:p>
        </w:tc>
        <w:tc>
          <w:tcPr>
            <w:tcW w:type="dxa" w:w="2835"/>
            <w:shd w:val="clear" w:color="auto" w:fill="F5F5F5"/>
          </w:tcPr>
          <w:p>
            <w:pPr>
              <w:spacing w:before="40" w:after="40"/>
            </w:pPr>
            <w:r>
              <w:rPr>
                <w:sz w:val="20"/>
              </w:rPr>
            </w:r>
            <w:r>
              <w:rPr>
                <w:sz w:val="20"/>
              </w:rPr>
              <w:t>确立现代文物保护基本原则</w:t>
            </w:r>
          </w:p>
        </w:tc>
      </w:tr>
      <w:tr>
        <w:tc>
          <w:tcPr>
            <w:tcW w:type="dxa" w:w="2835"/>
          </w:tcPr>
          <w:p>
            <w:pPr>
              <w:spacing w:before="40" w:after="40"/>
            </w:pPr>
            <w:r>
              <w:rPr>
                <w:sz w:val="20"/>
              </w:rPr>
            </w:r>
            <w:r>
              <w:rPr>
                <w:sz w:val="20"/>
              </w:rPr>
              <w:t>1972</w:t>
            </w:r>
          </w:p>
        </w:tc>
        <w:tc>
          <w:tcPr>
            <w:tcW w:type="dxa" w:w="2835"/>
          </w:tcPr>
          <w:p>
            <w:pPr>
              <w:spacing w:before="40" w:after="40"/>
            </w:pPr>
            <w:r>
              <w:rPr>
                <w:sz w:val="20"/>
              </w:rPr>
            </w:r>
            <w:r>
              <w:rPr>
                <w:sz w:val="20"/>
              </w:rPr>
              <w:t>《世界遗产公约》</w:t>
            </w:r>
          </w:p>
        </w:tc>
        <w:tc>
          <w:tcPr>
            <w:tcW w:type="dxa" w:w="2835"/>
          </w:tcPr>
          <w:p>
            <w:pPr>
              <w:spacing w:before="40" w:after="40"/>
            </w:pPr>
            <w:r>
              <w:rPr>
                <w:sz w:val="20"/>
              </w:rPr>
            </w:r>
            <w:r>
              <w:rPr>
                <w:sz w:val="20"/>
              </w:rPr>
              <w:t>定义物质文化遗产三类范畴</w:t>
            </w:r>
          </w:p>
        </w:tc>
      </w:tr>
      <w:tr>
        <w:tc>
          <w:tcPr>
            <w:tcW w:type="dxa" w:w="2835"/>
            <w:shd w:val="clear" w:color="auto" w:fill="F5F5F5"/>
          </w:tcPr>
          <w:p>
            <w:pPr>
              <w:spacing w:before="40" w:after="40"/>
            </w:pPr>
            <w:r>
              <w:rPr>
                <w:sz w:val="20"/>
              </w:rPr>
            </w:r>
            <w:r>
              <w:rPr>
                <w:sz w:val="20"/>
              </w:rPr>
              <w:t>1994</w:t>
            </w:r>
          </w:p>
        </w:tc>
        <w:tc>
          <w:tcPr>
            <w:tcW w:type="dxa" w:w="2835"/>
            <w:shd w:val="clear" w:color="auto" w:fill="F5F5F5"/>
          </w:tcPr>
          <w:p>
            <w:pPr>
              <w:spacing w:before="40" w:after="40"/>
            </w:pPr>
            <w:r>
              <w:rPr>
                <w:sz w:val="20"/>
              </w:rPr>
            </w:r>
            <w:r>
              <w:rPr>
                <w:sz w:val="20"/>
              </w:rPr>
              <w:t>《奈良真实性文件》</w:t>
            </w:r>
          </w:p>
        </w:tc>
        <w:tc>
          <w:tcPr>
            <w:tcW w:type="dxa" w:w="2835"/>
            <w:shd w:val="clear" w:color="auto" w:fill="F5F5F5"/>
          </w:tcPr>
          <w:p>
            <w:pPr>
              <w:spacing w:before="40" w:after="40"/>
            </w:pPr>
            <w:r>
              <w:rPr>
                <w:sz w:val="20"/>
              </w:rPr>
            </w:r>
            <w:r>
              <w:rPr>
                <w:sz w:val="20"/>
              </w:rPr>
              <w:t>拓展真实性的文化维度</w:t>
            </w:r>
          </w:p>
        </w:tc>
      </w:tr>
      <w:tr>
        <w:tc>
          <w:tcPr>
            <w:tcW w:type="dxa" w:w="2835"/>
          </w:tcPr>
          <w:p>
            <w:pPr>
              <w:spacing w:before="40" w:after="40"/>
            </w:pPr>
            <w:r>
              <w:rPr>
                <w:sz w:val="20"/>
              </w:rPr>
            </w:r>
            <w:r>
              <w:rPr>
                <w:sz w:val="20"/>
              </w:rPr>
              <w:t>2001</w:t>
            </w:r>
          </w:p>
        </w:tc>
        <w:tc>
          <w:tcPr>
            <w:tcW w:type="dxa" w:w="2835"/>
          </w:tcPr>
          <w:p>
            <w:pPr>
              <w:spacing w:before="40" w:after="40"/>
            </w:pPr>
            <w:r>
              <w:rPr>
                <w:sz w:val="20"/>
              </w:rPr>
            </w:r>
            <w:r>
              <w:rPr>
                <w:sz w:val="20"/>
              </w:rPr>
              <w:t>《水下文化遗产保护公约》</w:t>
            </w:r>
          </w:p>
        </w:tc>
        <w:tc>
          <w:tcPr>
            <w:tcW w:type="dxa" w:w="2835"/>
          </w:tcPr>
          <w:p>
            <w:pPr>
              <w:spacing w:before="40" w:after="40"/>
            </w:pPr>
            <w:r>
              <w:rPr>
                <w:sz w:val="20"/>
              </w:rPr>
            </w:r>
            <w:r>
              <w:rPr>
                <w:sz w:val="20"/>
              </w:rPr>
              <w:t>水下遗产法律框架</w:t>
            </w:r>
          </w:p>
        </w:tc>
      </w:tr>
      <w:tr>
        <w:tc>
          <w:tcPr>
            <w:tcW w:type="dxa" w:w="2835"/>
            <w:shd w:val="clear" w:color="auto" w:fill="F5F5F5"/>
          </w:tcPr>
          <w:p>
            <w:pPr>
              <w:spacing w:before="40" w:after="40"/>
            </w:pPr>
            <w:r>
              <w:rPr>
                <w:sz w:val="20"/>
              </w:rPr>
            </w:r>
            <w:r>
              <w:rPr>
                <w:sz w:val="20"/>
              </w:rPr>
              <w:t>2003</w:t>
            </w:r>
          </w:p>
        </w:tc>
        <w:tc>
          <w:tcPr>
            <w:tcW w:type="dxa" w:w="2835"/>
            <w:shd w:val="clear" w:color="auto" w:fill="F5F5F5"/>
          </w:tcPr>
          <w:p>
            <w:pPr>
              <w:spacing w:before="40" w:after="40"/>
            </w:pPr>
            <w:r>
              <w:rPr>
                <w:sz w:val="20"/>
              </w:rPr>
            </w:r>
            <w:r>
              <w:rPr>
                <w:sz w:val="20"/>
              </w:rPr>
              <w:t>《保护非物质文化遗产公约》</w:t>
            </w:r>
          </w:p>
        </w:tc>
        <w:tc>
          <w:tcPr>
            <w:tcW w:type="dxa" w:w="2835"/>
            <w:shd w:val="clear" w:color="auto" w:fill="F5F5F5"/>
          </w:tcPr>
          <w:p>
            <w:pPr>
              <w:spacing w:before="40" w:after="40"/>
            </w:pPr>
            <w:r>
              <w:rPr>
                <w:sz w:val="20"/>
              </w:rPr>
            </w:r>
            <w:r>
              <w:rPr>
                <w:sz w:val="20"/>
              </w:rPr>
              <w:t>ICH概念正式确立</w:t>
            </w:r>
          </w:p>
        </w:tc>
      </w:tr>
      <w:tr>
        <w:tc>
          <w:tcPr>
            <w:tcW w:type="dxa" w:w="2835"/>
          </w:tcPr>
          <w:p>
            <w:pPr>
              <w:spacing w:before="40" w:after="40"/>
            </w:pPr>
            <w:r>
              <w:rPr>
                <w:sz w:val="20"/>
              </w:rPr>
            </w:r>
            <w:r>
              <w:rPr>
                <w:sz w:val="20"/>
              </w:rPr>
              <w:t>2003</w:t>
            </w:r>
          </w:p>
        </w:tc>
        <w:tc>
          <w:tcPr>
            <w:tcW w:type="dxa" w:w="2835"/>
          </w:tcPr>
          <w:p>
            <w:pPr>
              <w:spacing w:before="40" w:after="40"/>
            </w:pPr>
            <w:r>
              <w:rPr>
                <w:sz w:val="20"/>
              </w:rPr>
            </w:r>
            <w:r>
              <w:rPr>
                <w:sz w:val="20"/>
              </w:rPr>
              <w:t>《数字遗产保护宪章》</w:t>
            </w:r>
          </w:p>
        </w:tc>
        <w:tc>
          <w:tcPr>
            <w:tcW w:type="dxa" w:w="2835"/>
          </w:tcPr>
          <w:p>
            <w:pPr>
              <w:spacing w:before="40" w:after="40"/>
            </w:pPr>
            <w:r>
              <w:rPr>
                <w:sz w:val="20"/>
              </w:rPr>
            </w:r>
            <w:r>
              <w:rPr>
                <w:sz w:val="20"/>
              </w:rPr>
              <w:t>数字遗产保护政策起点</w:t>
            </w:r>
          </w:p>
        </w:tc>
      </w:tr>
      <w:tr>
        <w:tc>
          <w:tcPr>
            <w:tcW w:type="dxa" w:w="2835"/>
            <w:shd w:val="clear" w:color="auto" w:fill="F5F5F5"/>
          </w:tcPr>
          <w:p>
            <w:pPr>
              <w:spacing w:before="40" w:after="40"/>
            </w:pPr>
            <w:r>
              <w:rPr>
                <w:sz w:val="20"/>
              </w:rPr>
            </w:r>
            <w:r>
              <w:rPr>
                <w:sz w:val="20"/>
              </w:rPr>
              <w:t>2005</w:t>
            </w:r>
          </w:p>
        </w:tc>
        <w:tc>
          <w:tcPr>
            <w:tcW w:type="dxa" w:w="2835"/>
            <w:shd w:val="clear" w:color="auto" w:fill="F5F5F5"/>
          </w:tcPr>
          <w:p>
            <w:pPr>
              <w:spacing w:before="40" w:after="40"/>
            </w:pPr>
            <w:r>
              <w:rPr>
                <w:sz w:val="20"/>
              </w:rPr>
            </w:r>
            <w:r>
              <w:rPr>
                <w:sz w:val="20"/>
              </w:rPr>
              <w:t>《保护和促进文化表现形式多样性公约》</w:t>
            </w:r>
          </w:p>
        </w:tc>
        <w:tc>
          <w:tcPr>
            <w:tcW w:type="dxa" w:w="2835"/>
            <w:shd w:val="clear" w:color="auto" w:fill="F5F5F5"/>
          </w:tcPr>
          <w:p>
            <w:pPr>
              <w:spacing w:before="40" w:after="40"/>
            </w:pPr>
            <w:r>
              <w:rPr>
                <w:sz w:val="20"/>
              </w:rPr>
            </w:r>
            <w:r>
              <w:rPr>
                <w:sz w:val="20"/>
              </w:rPr>
              <w:t>文化多样性保护</w:t>
            </w:r>
          </w:p>
        </w:tc>
      </w:tr>
    </w:tbl>
    <w:p>
      <w:pPr>
        <w:spacing w:after="80" w:line="360" w:lineRule="auto"/>
        <w:ind w:firstLine="420"/>
      </w:pPr>
      <w:r>
        <w:rPr>
          <w:sz w:val="22"/>
        </w:rPr>
        <w:t>值得注意的是，2003年是文化遗产保护历史上的关键节点——UNESCO在同一年通过了ICH公约和数字遗产宪章，标志着文化遗产保护从"物质"向"非物质"和"数字"两个维度的同步拓展。PrakashTribhuvan和Abdullah（2025）在对数字遗产保护方法和技术的全面审查中，将2003年宪章视为数字遗产保护领域的"奠基性文件"，指出其核心贡献在于将数字资源正式纳入遗产保护的制度框架[13]。</w:t>
      </w:r>
    </w:p>
    <w:p>
      <w:pPr>
        <w:spacing w:before="160" w:after="80"/>
      </w:pPr>
      <w:r>
        <w:rPr>
          <w:b/>
          <w:color w:val="2A9D8F"/>
          <w:sz w:val="26"/>
        </w:rPr>
        <w:t>1.2.3 中国文化遗产保护制度体系</w:t>
      </w:r>
    </w:p>
    <w:p>
      <w:pPr>
        <w:spacing w:after="80" w:line="360" w:lineRule="auto"/>
        <w:ind w:firstLine="420"/>
      </w:pPr>
      <w:r>
        <w:rPr>
          <w:sz w:val="22"/>
        </w:rPr>
        <w:t>中国的文化遗产保护制度经历了从"文物保护"到"文化遗产保护"的理念升级。1982年颁布的《中华人民共和国文物保护法》构成了物质文化遗产保护的法律基础，此后历经多次修订。2005年国务院发布《关于加强文化遗产保护的通知》，首次在政策文件中使用"文化遗产"概念，标志着保护理念从单一的"文物"向综合的"文化遗产"转变。2011年《中华人民共和国非物质文化遗产法》施行，ICH保护有了专门法律保障。</w:t>
      </w:r>
    </w:p>
    <w:p>
      <w:pPr>
        <w:spacing w:after="80" w:line="360" w:lineRule="auto"/>
        <w:ind w:firstLine="420"/>
      </w:pPr>
      <w:r>
        <w:rPr>
          <w:sz w:val="22"/>
        </w:rPr>
        <w:t>中国建立了多层级文化遗产保护体系：国家级、省级、市县级文物保护单位制度，国家级和地方级非遗代表性项目名录制度，以及世界遗产申报与管理机制。顾犇（2003）在介绍UNESCO数字文化遗产保护指导方针时指出，中国在数字遗产保护的制度建设方面起步较晚但发展迅速，需要在标准规范、技术方法和国际合作等方面加快与国际接轨[14]。</w:t>
      </w:r>
    </w:p>
    <w:p>
      <w:pPr>
        <w:spacing w:before="200" w:after="120"/>
      </w:pPr>
      <w:r>
        <w:rPr>
          <w:b/>
          <w:color w:val="457B9D"/>
          <w:sz w:val="30"/>
        </w:rPr>
        <w:t>1.3 数字时代的文化遗产保护范式变革</w:t>
      </w:r>
    </w:p>
    <w:p>
      <w:pPr>
        <w:spacing w:before="160" w:after="80"/>
      </w:pPr>
      <w:r>
        <w:rPr>
          <w:b/>
          <w:color w:val="2A9D8F"/>
          <w:sz w:val="26"/>
        </w:rPr>
        <w:t>1.3.1 从物理保护到数字保护</w:t>
      </w:r>
    </w:p>
    <w:p>
      <w:pPr>
        <w:spacing w:after="80" w:line="360" w:lineRule="auto"/>
        <w:ind w:firstLine="420"/>
      </w:pPr>
      <w:r>
        <w:rPr>
          <w:sz w:val="22"/>
        </w:rPr>
        <w:t>传统文化遗产保护主要依赖物理手段——温湿度控制、修复加固、限制参观人数等。这些方法虽然不可或缺，但存在固有限制：物理保护本质上是"延缓劣化"而非"阻止劣化"，文物的物理消亡只是时间问题。数字化技术的引入为这一困境提供了根本性突破：通过高精度三维扫描、多光谱成像等技术，可以在数字空间中创建文物的"数字孪生体"，实现信息层面的永久保存。</w:t>
      </w:r>
    </w:p>
    <w:p>
      <w:pPr>
        <w:spacing w:after="80" w:line="360" w:lineRule="auto"/>
        <w:ind w:firstLine="420"/>
      </w:pPr>
      <w:r>
        <w:rPr>
          <w:sz w:val="22"/>
        </w:rPr>
        <w:t>孔凡运（2025）在对文化遗产数字化保存策略与挑战的研究中指出，三维扫描、数字摄影以及虚拟现实和增强现实等技术，不仅能有效保存文化遗产，还能增强公众对遗产的认识和体验[15]。数字保护并非取代物理保护，而是与之形成互补——物理保护关注"实体延续"，数字保护关注"信息永续"。在极端情况下（如战争、自然灾害），数字档案甚至可能成为文物实体毁灭后唯一的信息遗存。2022年阿富汗巴米扬大佛和伊拉克摩苏尔博物馆文物遭受破坏的事件，深刻印证了数字备份的战略价值。</w:t>
      </w:r>
    </w:p>
    <w:p>
      <w:pPr>
        <w:spacing w:before="160" w:after="80"/>
      </w:pPr>
      <w:r>
        <w:rPr>
          <w:b/>
          <w:color w:val="2A9D8F"/>
          <w:sz w:val="26"/>
        </w:rPr>
        <w:t>1.3.2 从静态保存到活态传承</w:t>
      </w:r>
    </w:p>
    <w:p>
      <w:pPr>
        <w:spacing w:after="80" w:line="360" w:lineRule="auto"/>
        <w:ind w:firstLine="420"/>
      </w:pPr>
      <w:r>
        <w:rPr>
          <w:sz w:val="22"/>
        </w:rPr>
        <w:t>数字技术带来的第二个范式转变是从"静态保存"到"活态传承"。传统保护往往将文物"封存"于库房或展柜中，公众接触有限。数字技术打破了这一限制——高精度数字模型可以通过网络向全球开放访问，VR/AR技术可以让观众"穿越"到历史场景中，AI技术可以让古老的技艺以新的形式"复活"。</w:t>
      </w:r>
    </w:p>
    <w:p>
      <w:pPr>
        <w:spacing w:after="80" w:line="360" w:lineRule="auto"/>
        <w:ind w:firstLine="420"/>
      </w:pPr>
      <w:r>
        <w:rPr>
          <w:sz w:val="22"/>
        </w:rPr>
        <w:t>黄永林和谈国新（2012）在对中国ICH数字化保护与开发的研究中提出，数字化技术在ICH保护与传承中的重要作用体现在四个方面：数字化采集和存储技术为ICH完整保护提供了保障，数字化复原和再现技术为ICH有效传承提供了支撑，数字化展示与传播技术为ICH广泛共享提供了平台，虚拟现实技术为ICH开发利用提供了空间[16]。这一"四维论"至今仍是ICH数字化保护的核心理论框架。</w:t>
      </w:r>
    </w:p>
    <w:p>
      <w:pPr>
        <w:spacing w:after="80" w:line="360" w:lineRule="auto"/>
        <w:ind w:firstLine="420"/>
      </w:pPr>
      <w:r>
        <w:rPr>
          <w:sz w:val="22"/>
        </w:rPr>
        <w:t>活态传承的更深层次含义在于，数字技术使文化遗产从"被保护的对象"转变为"可参与的资源"。Svensson（2016）在研究遗产与社交媒体的关系时指出，社交媒体为公民分享记忆、身份认同和地方文化提供了新的可能性，构成了更加参与式的遗产实践[17]。</w:t>
      </w:r>
    </w:p>
    <w:p>
      <w:pPr>
        <w:spacing w:before="160" w:after="80"/>
      </w:pPr>
      <w:r>
        <w:rPr>
          <w:b/>
          <w:color w:val="2A9D8F"/>
          <w:sz w:val="26"/>
        </w:rPr>
        <w:t>1.3.3 从专业领域到公众参与</w:t>
      </w:r>
    </w:p>
    <w:p>
      <w:pPr>
        <w:spacing w:after="80" w:line="360" w:lineRule="auto"/>
        <w:ind w:firstLine="420"/>
      </w:pPr>
      <w:r>
        <w:rPr>
          <w:sz w:val="22"/>
        </w:rPr>
        <w:t>第三个范式转变涉及文化遗产保护的社会关系重构。传统保护主要由专业人员（考古学家、修复师、博物馆工作者）主导，公众角色限于"观众"。数字技术降低了参与门槛——公民科学家可以通过 crowdsourcing 平台参与文物标注，社区成员可以用手机记录濒危的民间技艺，游客可以在社交媒体上分享文化遗产故事。</w:t>
      </w:r>
    </w:p>
    <w:p>
      <w:pPr>
        <w:spacing w:after="80" w:line="360" w:lineRule="auto"/>
        <w:ind w:firstLine="420"/>
      </w:pPr>
      <w:r>
        <w:rPr>
          <w:sz w:val="22"/>
        </w:rPr>
        <w:t>Nofal（2023）在研究数字遗产项目的参与式设计工作坊时提出，跨学科参与式设计为数字遗产项目带来了多元视角，使文化遗产保护从"自上而下"的专业实践转向"自下而上"的社区共建[18]。Cui等人（2022）的研究进一步揭示了遗产机构社交媒体活动与受众参与之间的关联，指出不同类型的内容策略对参与度有显著影响[19]。</w:t>
      </w:r>
    </w:p>
    <w:p>
      <w:pPr>
        <w:spacing w:after="80" w:line="360" w:lineRule="auto"/>
        <w:ind w:firstLine="420"/>
      </w:pPr>
      <w:r>
        <w:rPr>
          <w:sz w:val="22"/>
        </w:rPr>
        <w:t>这一转变也带来了治理层面的挑战：当文化遗产的数字复制和传播不再由专业机构垄断时，如何确保信息的准确性和文化敏感性？如何在开放参与与文化主权之间取得平衡？这些问题将在第9章区块链版权保护部分进一步讨论。</w:t>
      </w:r>
    </w:p>
    <w:p>
      <w:pPr>
        <w:spacing w:before="200" w:after="120"/>
      </w:pPr>
      <w:r>
        <w:rPr>
          <w:b/>
          <w:color w:val="457B9D"/>
          <w:sz w:val="30"/>
        </w:rPr>
        <w:t>1.4 D.I.G.I.T.框架：数字时代文化遗产保护方法论</w:t>
      </w:r>
    </w:p>
    <w:p>
      <w:pPr>
        <w:spacing w:before="160" w:after="80"/>
      </w:pPr>
      <w:r>
        <w:rPr>
          <w:b/>
          <w:color w:val="2A9D8F"/>
          <w:sz w:val="26"/>
        </w:rPr>
        <w:t>1.4.1 框架的提出背景与理论依据</w:t>
      </w:r>
    </w:p>
    <w:p>
      <w:pPr>
        <w:spacing w:after="80" w:line="360" w:lineRule="auto"/>
        <w:ind w:firstLine="420"/>
      </w:pPr>
      <w:r>
        <w:rPr>
          <w:sz w:val="22"/>
        </w:rPr>
        <w:t>基于上述三大范式转变——从物理保护到数字保护、从静态保存到活态传承、从专业领域到公众参与——本书提出</w:t>
      </w:r>
      <w:r>
        <w:rPr>
          <w:b/>
          <w:sz w:val="22"/>
        </w:rPr>
        <w:t>D.I.G.I.T.</w:t>
      </w:r>
      <w:r>
        <w:rPr>
          <w:sz w:val="22"/>
        </w:rPr>
        <w:t>（Digital Heritage Protection Framework）框架，作为数字时代文化遗产保护的系统性方法论。</w:t>
      </w:r>
    </w:p>
    <w:p>
      <w:pPr>
        <w:spacing w:after="80" w:line="360" w:lineRule="auto"/>
        <w:ind w:firstLine="420"/>
      </w:pPr>
      <w:r>
        <w:rPr>
          <w:sz w:val="22"/>
        </w:rPr>
        <w:t>D.I.G.I.T.框架的理论依据来自三个层面：在技术层面，它综合了数字化采集、人工智能、区块链、VR/AR、物联网等前沿技术在遗产保护中的应用实践；在制度层面，它回应了UNESCO数字遗产保护宪章和各国数字遗产政策提出的治理需求；在文化层面，它呼应了从"物质"到"非物质"再到"数字"的遗产概念演进，将物质与非物质遗产的数字化保护纳入统一框架。</w:t>
      </w:r>
    </w:p>
    <w:p>
      <w:pPr>
        <w:spacing w:after="80" w:line="360" w:lineRule="auto"/>
        <w:ind w:firstLine="420"/>
      </w:pPr>
      <w:r>
        <w:rPr>
          <w:sz w:val="22"/>
        </w:rPr>
        <w:t>当前文化遗产数字化保护领域存在的一个突出问题是"技术碎片化"——三维扫描、AI修复、VR展示、区块链版权等技术各自发展，缺乏整合性的方法论框架来指导系统化实践。D.I.G.I.T.框架的提出正是为了填补这一空白，为文化遗产机构、研究者和管理者提供从技术选型到治理决策的系统性指引。</w:t>
      </w:r>
    </w:p>
    <w:p>
      <w:pPr>
        <w:spacing w:before="160" w:after="80"/>
      </w:pPr>
      <w:r>
        <w:rPr>
          <w:b/>
          <w:color w:val="2A9D8F"/>
          <w:sz w:val="26"/>
        </w:rPr>
        <w:t>1.4.2 五维度的内涵与逻辑关系</w:t>
      </w:r>
    </w:p>
    <w:p>
      <w:pPr>
        <w:spacing w:after="80" w:line="360" w:lineRule="auto"/>
        <w:ind w:firstLine="420"/>
      </w:pPr>
      <w:r>
        <w:rPr>
          <w:sz w:val="22"/>
        </w:rPr>
        <w:t>D.I.G.I.T.框架由五个维度构成，形成从技术底座到价值实现的完整链路：</w:t>
      </w:r>
    </w:p>
    <w:p>
      <w:pPr>
        <w:spacing w:after="80" w:line="360" w:lineRule="auto"/>
        <w:ind w:firstLine="420"/>
      </w:pPr>
      <w:r>
        <w:rPr>
          <w:b/>
          <w:sz w:val="22"/>
        </w:rPr>
        <w:t>D — Digital Acquisition &amp; Archiving（数字化采集与典藏）</w:t>
      </w:r>
    </w:p>
    <w:p>
      <w:pPr>
        <w:spacing w:after="80" w:line="360" w:lineRule="auto"/>
        <w:ind w:firstLine="420"/>
      </w:pPr>
      <w:r>
        <w:rPr>
          <w:sz w:val="22"/>
        </w:rPr>
        <w:t>这是框架的基础层。核心任务是将物质和非物质文化遗产转化为高质量的数字资源，包括三维扫描、多光谱成像、音视频记录、动作捕捉等多种采集技术，以及数字典藏库的建设与管理。D维度关注的核心问题是：如何以最高保真度、最完整信息量将遗产数字化？黄永林和谈国新（2012）提出的"数字化采集和存储技术为ICH完整保护提供了保障"即为D维度的理论表述[16]。</w:t>
      </w:r>
    </w:p>
    <w:p>
      <w:pPr>
        <w:spacing w:after="80" w:line="360" w:lineRule="auto"/>
        <w:ind w:firstLine="420"/>
      </w:pPr>
      <w:r>
        <w:rPr>
          <w:b/>
          <w:sz w:val="22"/>
        </w:rPr>
        <w:t>I — Intelligent Analysis &amp; Restoration（智能分析与修复）</w:t>
      </w:r>
    </w:p>
    <w:p>
      <w:pPr>
        <w:spacing w:after="80" w:line="360" w:lineRule="auto"/>
        <w:ind w:firstLine="420"/>
      </w:pPr>
      <w:r>
        <w:rPr>
          <w:sz w:val="22"/>
        </w:rPr>
        <w:t>这是框架的智能引擎层。核心任务是利用AI、大数据等技术对数字化的遗产资源进行智能分析、病害识别、虚拟修复和预测性维护。Yu等人（2022）的敦煌AI保护项目是该维度的典型案例——通过计算机视觉技术识别壁画病害类型和程度，再通过生成式AI辅助虚拟修复[2]。I维度的核心问题是：如何让机器智能赋能遗产保护，在提升效率的同时保持专业性？</w:t>
      </w:r>
    </w:p>
    <w:p>
      <w:pPr>
        <w:spacing w:after="80" w:line="360" w:lineRule="auto"/>
        <w:ind w:firstLine="420"/>
      </w:pPr>
      <w:r>
        <w:rPr>
          <w:b/>
          <w:sz w:val="22"/>
        </w:rPr>
        <w:t>G — Governance &amp; Rights Management（治理与权益管理）</w:t>
      </w:r>
    </w:p>
    <w:p>
      <w:pPr>
        <w:spacing w:after="80" w:line="360" w:lineRule="auto"/>
        <w:ind w:firstLine="420"/>
      </w:pPr>
      <w:r>
        <w:rPr>
          <w:sz w:val="22"/>
        </w:rPr>
        <w:t>这是框架的制度保障层。核心任务是构建文化遗产数字资源的法律、伦理和政策治理体系，包括数字版权保护、数据治理、伦理规范和国际标准协调。魏鹏举和魏西笑（2022）在研究文化遗产数字化实践的版权挑战时指出，全球知识产权法律体系对文化遗产数字复制的版权保护存在明显分歧和争议，这一问题是G维度的核心关切[20]。G维度的核心问题是：如何在开放共享与权益保护之间取得平衡？</w:t>
      </w:r>
    </w:p>
    <w:p>
      <w:pPr>
        <w:spacing w:after="80" w:line="360" w:lineRule="auto"/>
        <w:ind w:firstLine="420"/>
      </w:pPr>
      <w:r>
        <w:rPr>
          <w:b/>
          <w:sz w:val="22"/>
        </w:rPr>
        <w:t>I — Immersive Experience &amp; Display（沉浸式体验与展示）</w:t>
      </w:r>
    </w:p>
    <w:p>
      <w:pPr>
        <w:spacing w:after="80" w:line="360" w:lineRule="auto"/>
        <w:ind w:firstLine="420"/>
      </w:pPr>
      <w:r>
        <w:rPr>
          <w:sz w:val="22"/>
        </w:rPr>
        <w:t>这是框架的交互界面层。核心任务是利用VR/AR/MR等技术将数字遗产转化为公众可感知、可交互的沉浸式体验。Bekele等人（2018）在AR/VR/MR文化遗产应用的综合综述中，系统梳理了沉浸式技术在遗产展示中的技术路径和效果评估方法[21]。I维度（体验）的核心问题是：如何在不损害文化真实性的前提下，创造有意义的公众体验？</w:t>
      </w:r>
    </w:p>
    <w:p>
      <w:pPr>
        <w:spacing w:after="80" w:line="360" w:lineRule="auto"/>
        <w:ind w:firstLine="420"/>
      </w:pPr>
      <w:r>
        <w:rPr>
          <w:b/>
          <w:sz w:val="22"/>
        </w:rPr>
        <w:t>T — Transmission &amp; Sustainable Development（传承与可持续发展）</w:t>
      </w:r>
    </w:p>
    <w:p>
      <w:pPr>
        <w:spacing w:after="80" w:line="360" w:lineRule="auto"/>
        <w:ind w:firstLine="420"/>
      </w:pPr>
      <w:r>
        <w:rPr>
          <w:sz w:val="22"/>
        </w:rPr>
        <w:t>这是框架的价值目标层。核心任务是确保文化遗产数字化的成果能够有效传承、广泛传播并实现可持续发展，包括数字传播策略、公众参与机制、活态传承路径和产业化模式。Liang等人（2020）在回顾社交媒体对文化遗产可持续性作用的研究中，强调了数字传播在遗产可持续保护中的关键角色[22]。T维度的核心问题是：如何让数字化保护成果惠及最广泛的公众并实现代际传承？</w:t>
      </w:r>
    </w:p>
    <w:p>
      <w:pPr>
        <w:spacing w:before="160" w:after="80"/>
      </w:pPr>
      <w:r>
        <w:rPr>
          <w:b/>
          <w:color w:val="2A9D8F"/>
          <w:sz w:val="26"/>
        </w:rPr>
        <w:t>1.4.3 框架的适用范围与局限性</w:t>
      </w:r>
    </w:p>
    <w:p>
      <w:pPr>
        <w:spacing w:after="80" w:line="360" w:lineRule="auto"/>
        <w:ind w:firstLine="420"/>
      </w:pPr>
      <w:r>
        <w:rPr>
          <w:sz w:val="22"/>
        </w:rPr>
        <w:t>D.I.G.I.T.框架适用于各级各类文化遗产机构的数字化保护实践，包括但不限于：博物馆藏品数字化、考古遗址数字化记录、非遗代表性项目数字化保存、古建筑数字化建档、文化遗产数字展示与传播等。框架的设计兼顾了物质与非物质遗产的差异化需求——D维度中，物质遗产侧重三维几何数据采集，非物质遗产侧重多模态过程记录；T维度中，物质遗产侧重数字展示与教育，非物质遗产侧重活态传承与社区参与。</w:t>
      </w:r>
    </w:p>
    <w:p>
      <w:pPr>
        <w:spacing w:after="80" w:line="360" w:lineRule="auto"/>
        <w:ind w:firstLine="420"/>
      </w:pPr>
      <w:r>
        <w:rPr>
          <w:sz w:val="22"/>
        </w:rPr>
        <w:t>同时，需要坦诚该框架的局限性。首先，D.I.G.I.T.主要针对数字化保护阶段，不涵盖传统的物理保护措施（如结构加固、环境控制），后者仍是遗产保护的不可替代的基础。其次，框架以技术维度为核心组织逻辑，可能低估了非技术因素（如社区意愿、政治环境、经济条件）对保护实践的影响。第三，框架主要基于中国和国际主流实践总结，在不同文化语境中的适用性需要进一步验证。最后，技术的快速演进（如量子计算、脑机接口等）可能在未来催生新的保护范式，框架需要持续更新。</w:t>
      </w:r>
    </w:p>
    <w:p>
      <w:pPr>
        <w:spacing w:before="200" w:after="120"/>
      </w:pPr>
      <w:r>
        <w:rPr>
          <w:b/>
          <w:color w:val="457B9D"/>
          <w:sz w:val="30"/>
        </w:rPr>
        <w:t>1.5 本书的结构安排与阅读指南</w:t>
      </w:r>
    </w:p>
    <w:p>
      <w:pPr>
        <w:spacing w:before="160" w:after="80"/>
      </w:pPr>
      <w:r>
        <w:rPr>
          <w:b/>
          <w:color w:val="2A9D8F"/>
          <w:sz w:val="26"/>
        </w:rPr>
        <w:t>1.5.1 全书结构</w:t>
      </w:r>
    </w:p>
    <w:p>
      <w:pPr>
        <w:spacing w:after="80" w:line="360" w:lineRule="auto"/>
        <w:ind w:firstLine="420"/>
      </w:pPr>
      <w:r>
        <w:rPr>
          <w:sz w:val="22"/>
        </w:rPr>
        <w:t>本书采用"4篇12章+7附录"结构，以D.I.G.I.T.框架为理论主线，按"概念→技术→治理→实践"的逻辑递进展开：</w:t>
      </w:r>
    </w:p>
    <w:p>
      <w:pPr>
        <w:spacing w:after="80" w:line="360" w:lineRule="auto"/>
        <w:ind w:firstLine="420"/>
      </w:pPr>
      <w:r>
        <w:rPr>
          <w:b/>
          <w:sz w:val="22"/>
        </w:rPr>
        <w:t>第一篇　概念与演进篇（第1-3章）</w:t>
      </w:r>
      <w:r>
        <w:rPr>
          <w:sz w:val="22"/>
        </w:rPr>
        <w:t>：建立全书的理论基础。第1章导论介绍文化遗产保护的整体图景与D.I.G.I.T.框架；第2章辨析物质与非物质文化遗产的类型特征与保护需求；第3章阐述数字化保护的理论源流、技术体系和政策框架。</w:t>
      </w:r>
    </w:p>
    <w:p>
      <w:pPr>
        <w:spacing w:after="80" w:line="360" w:lineRule="auto"/>
        <w:ind w:firstLine="420"/>
      </w:pPr>
      <w:r>
        <w:rPr>
          <w:b/>
          <w:sz w:val="22"/>
        </w:rPr>
        <w:t>第二篇　核心技术篇（第4-6章）</w:t>
      </w:r>
      <w:r>
        <w:rPr>
          <w:sz w:val="22"/>
        </w:rPr>
        <w:t>：深入D.I.G.I.T.框架的D维度和I（体验）维度。第4章聚焦文物三维数字化与数字典藏建设；第5章聚焦非遗数字化保护的多模态技术与活态传承；第6章聚焦VR/AR/MR技术赋能的沉浸式体验设计。</w:t>
      </w:r>
    </w:p>
    <w:p>
      <w:pPr>
        <w:spacing w:after="80" w:line="360" w:lineRule="auto"/>
        <w:ind w:firstLine="420"/>
      </w:pPr>
      <w:r>
        <w:rPr>
          <w:b/>
          <w:sz w:val="22"/>
        </w:rPr>
        <w:t>第三篇　治理与传播篇（第7-9章）</w:t>
      </w:r>
      <w:r>
        <w:rPr>
          <w:sz w:val="22"/>
        </w:rPr>
        <w:t>：深入D.I.G.I.T.框架的I（智能）维度和G维度。第7章探讨AI与大数据在遗产保护中的智能应用；第8章讨论知识图谱与文化遗产数据管理；第9章分析区块链技术与数字版权保护的治理机制。</w:t>
      </w:r>
    </w:p>
    <w:p>
      <w:pPr>
        <w:spacing w:after="80" w:line="360" w:lineRule="auto"/>
        <w:ind w:firstLine="420"/>
      </w:pPr>
      <w:r>
        <w:rPr>
          <w:b/>
          <w:sz w:val="22"/>
        </w:rPr>
        <w:t>第四篇　实践与展望篇（第10-12章）</w:t>
      </w:r>
      <w:r>
        <w:rPr>
          <w:sz w:val="22"/>
        </w:rPr>
        <w:t>：深入D.I.G.I.T.框架的T维度并进行全维度整合。第10章介绍IoT与文化遗产监测预警；第11章进行国际比较与标准规范分析；第12章展望文化遗产数字传播与未来趋势。</w:t>
      </w:r>
    </w:p>
    <w:p>
      <w:pPr>
        <w:spacing w:before="160" w:after="80"/>
      </w:pPr>
      <w:r>
        <w:rPr>
          <w:b/>
          <w:color w:val="2A9D8F"/>
          <w:sz w:val="26"/>
        </w:rPr>
        <w:t>1.5.2 阅读建议</w:t>
      </w:r>
    </w:p>
    <w:p>
      <w:pPr>
        <w:spacing w:after="80" w:line="360" w:lineRule="auto"/>
        <w:ind w:firstLine="420"/>
      </w:pPr>
      <w:r>
        <w:rPr>
          <w:sz w:val="22"/>
        </w:rPr>
        <w:t>本书的阅读方式可以根据读者需求灵活调整：</w:t>
      </w:r>
    </w:p>
    <w:p>
      <w:pPr>
        <w:pStyle w:val="ListBullet"/>
      </w:pPr>
      <w:r>
        <w:rPr>
          <w:b/>
          <w:sz w:val="22"/>
        </w:rPr>
        <w:t>学术研究者</w:t>
      </w:r>
      <w:r>
        <w:rPr>
          <w:sz w:val="22"/>
        </w:rPr>
        <w:t>：建议按章节顺序通读，重点关注D.I.G.I.T.框架的理论建构（第1、3章）、技术深度分析（第4-7章）和前沿趋势（第12章）。</w:t>
      </w:r>
    </w:p>
    <w:p>
      <w:pPr>
        <w:pStyle w:val="ListBullet"/>
      </w:pPr>
      <w:r>
        <w:rPr>
          <w:b/>
          <w:sz w:val="22"/>
        </w:rPr>
        <w:t>文化遗产从业者</w:t>
      </w:r>
      <w:r>
        <w:rPr>
          <w:sz w:val="22"/>
        </w:rPr>
        <w:t>：可优先阅读第二篇核心技术篇和第四篇实践篇，结合自身工作需求选择性参考。</w:t>
      </w:r>
    </w:p>
    <w:p>
      <w:pPr>
        <w:pStyle w:val="ListBullet"/>
      </w:pPr>
      <w:r>
        <w:rPr>
          <w:b/>
          <w:sz w:val="22"/>
        </w:rPr>
        <w:t>政策制定者</w:t>
      </w:r>
      <w:r>
        <w:rPr>
          <w:sz w:val="22"/>
        </w:rPr>
        <w:t>：可重点关注第3章理论框架、第9章版权治理和第11章国际比较。</w:t>
      </w:r>
    </w:p>
    <w:p>
      <w:pPr>
        <w:pStyle w:val="ListBullet"/>
      </w:pPr>
      <w:r>
        <w:rPr>
          <w:b/>
          <w:sz w:val="22"/>
        </w:rPr>
        <w:t>高校师生</w:t>
      </w:r>
      <w:r>
        <w:rPr>
          <w:sz w:val="22"/>
        </w:rPr>
        <w:t>：建议按教学进度逐章学习，每章思考题覆盖了识记、理解、应用、分析、评价、创造六个认知层次。</w:t>
      </w:r>
    </w:p>
    <w:p>
      <w:pPr>
        <w:spacing w:after="80" w:line="360" w:lineRule="auto"/>
        <w:ind w:firstLine="420"/>
      </w:pPr>
      <w:r>
        <w:rPr>
          <w:sz w:val="22"/>
        </w:rPr>
        <w:t>每章以"导入案例"开篇，以"本章小结"和"思考题"收束，中间穿插知识卡片和案例分析，形成"案例→理论→实践→反思"的学习闭环。</w:t>
      </w:r>
    </w:p>
    <w:p>
      <w:pPr>
        <w:spacing w:before="200" w:after="120"/>
      </w:pPr>
      <w:r>
        <w:rPr>
          <w:b/>
          <w:color w:val="457B9D"/>
          <w:sz w:val="30"/>
        </w:rPr>
        <w:t>本章小结</w:t>
      </w:r>
    </w:p>
    <w:p>
      <w:pPr>
        <w:spacing w:after="80" w:line="360" w:lineRule="auto"/>
        <w:ind w:firstLine="420"/>
      </w:pPr>
      <w:r>
        <w:rPr>
          <w:sz w:val="22"/>
        </w:rPr>
        <w:t>本章构建了文化遗产保护概论的全书框架。首先梳理了文化遗产从"物质"到"非物质"再到"数字"的概念演进，辨析了物质文化遗产、非物质文化遗产、文化景观和数字遗产的范畴与特征。其次回顾了从19世纪"风格修复"到21世纪"数字保护"的保护理念演进脉络，以及国际公约与中国制度体系的建设历程。第三，分析了数字时代文化遗产保护的三大范式变革：从物理保护到数字保护、从静态保存到活态传承、从专业领域到公众参与。最后提出了D.I.G.I.T.五维框架——数字化采集与典藏（D）、智能分析与修复（I）、治理与权益管理（G）、沉浸式体验与展示（I）、传承与可持续发展（T）——作为贯穿全书的系统性方法论。D.I.G.I.T.框架以技术为基底、智能为引擎、治理为保障、体验为界面、传承为目标，为数字时代的文化遗产保护提供了从理论到实践的完整指引。</w:t>
      </w:r>
    </w:p>
    <w:p>
      <w:pPr>
        <w:spacing w:before="200" w:after="120"/>
      </w:pPr>
      <w:r>
        <w:rPr>
          <w:b/>
          <w:color w:val="457B9D"/>
          <w:sz w:val="30"/>
        </w:rPr>
        <w:t>思考题</w:t>
      </w:r>
    </w:p>
    <w:p>
      <w:pPr>
        <w:pStyle w:val="ListNumber"/>
      </w:pPr>
      <w:r>
        <w:rPr>
          <w:b/>
          <w:sz w:val="22"/>
        </w:rPr>
        <w:t>（识记）</w:t>
      </w:r>
      <w:r>
        <w:rPr>
          <w:sz w:val="22"/>
        </w:rPr>
        <w:t xml:space="preserve"> UNESCO在2003年同时通过了哪两份重要文件？它们各自的核心内容是什么？</w:t>
      </w:r>
    </w:p>
    <w:p>
      <w:pPr>
        <w:pStyle w:val="ListNumber"/>
      </w:pPr>
      <w:r>
        <w:rPr>
          <w:b/>
          <w:sz w:val="22"/>
        </w:rPr>
        <w:t>（理解）</w:t>
      </w:r>
      <w:r>
        <w:rPr>
          <w:sz w:val="22"/>
        </w:rPr>
        <w:t xml:space="preserve"> 物质文化遗产与非物质文化遗产在保护目标和保护方法上有何本质差异？请举例说明。</w:t>
      </w:r>
    </w:p>
    <w:p>
      <w:pPr>
        <w:pStyle w:val="ListNumber"/>
      </w:pPr>
      <w:r>
        <w:rPr>
          <w:b/>
          <w:sz w:val="22"/>
        </w:rPr>
        <w:t>（应用）</w:t>
      </w:r>
      <w:r>
        <w:rPr>
          <w:sz w:val="22"/>
        </w:rPr>
        <w:t xml:space="preserve"> 假设你是一座市级博物馆的馆长，请运用D.I.G.I.T.框架为该馆制定一份数字化保护五年规划的框架方案。</w:t>
      </w:r>
    </w:p>
    <w:p>
      <w:pPr>
        <w:pStyle w:val="ListNumber"/>
      </w:pPr>
      <w:r>
        <w:rPr>
          <w:b/>
          <w:sz w:val="22"/>
        </w:rPr>
        <w:t>（分析）</w:t>
      </w:r>
      <w:r>
        <w:rPr>
          <w:sz w:val="22"/>
        </w:rPr>
        <w:t xml:space="preserve"> 分析"从物理保护到数字保护"这一范式转变对传统修复师职业角色的冲击与重塑。</w:t>
      </w:r>
    </w:p>
    <w:p>
      <w:pPr>
        <w:pStyle w:val="ListNumber"/>
      </w:pPr>
      <w:r>
        <w:rPr>
          <w:b/>
          <w:sz w:val="22"/>
        </w:rPr>
        <w:t>（评价）</w:t>
      </w:r>
      <w:r>
        <w:rPr>
          <w:sz w:val="22"/>
        </w:rPr>
        <w:t xml:space="preserve"> 评价《威尼斯宪章》的真实性原则在数字时代的适用性——数字复原是否构成对"真实性"的背离？</w:t>
      </w:r>
    </w:p>
    <w:p>
      <w:pPr>
        <w:pStyle w:val="ListNumber"/>
      </w:pPr>
      <w:r>
        <w:rPr>
          <w:b/>
          <w:sz w:val="22"/>
        </w:rPr>
        <w:t>（创造）</w:t>
      </w:r>
      <w:r>
        <w:rPr>
          <w:sz w:val="22"/>
        </w:rPr>
        <w:t xml:space="preserve"> 请以你所在地区的一项文化遗产为例，设计一个基于D.I.G.I.T.五维框架的数字化保护方案，包括技术路线、治理策略和传播计划。</w:t>
      </w:r>
    </w:p>
    <w:p>
      <w:pPr>
        <w:spacing w:before="160" w:after="80"/>
      </w:pPr>
      <w:r>
        <w:rPr>
          <w:b/>
          <w:color w:val="2A9D8F"/>
          <w:sz w:val="26"/>
        </w:rPr>
        <w:t>1.6 国际视野下的文化遗产保护概念比较</w:t>
      </w:r>
    </w:p>
    <w:p>
      <w:pPr>
        <w:spacing w:before="120"/>
      </w:pPr>
      <w:r>
        <w:rPr>
          <w:b/>
          <w:sz w:val="22"/>
        </w:rPr>
        <w:t>1.6.1 欧洲语境中的文化遗产概念</w:t>
      </w:r>
    </w:p>
    <w:p>
      <w:pPr>
        <w:spacing w:after="80" w:line="360" w:lineRule="auto"/>
        <w:ind w:firstLine="420"/>
      </w:pPr>
      <w:r>
        <w:rPr>
          <w:sz w:val="22"/>
        </w:rPr>
        <w:t>欧洲是文化遗产保护理念的发源地，其概念演进深刻影响了全球保护实践。在欧洲语境中，"文化遗产"（patrimoine culturel / Kulturerbe）一词比英语"cultural heritage"具有更深厚的情感色彩——法语"patrimoine"源自拉丁语"patrimonium"，意为"父辈的遗产"，隐含着代际传承的伦理责任。这一语义特征使欧洲的遗产保护实践天然带有"为后代保存"的使命意识。</w:t>
      </w:r>
    </w:p>
    <w:p>
      <w:pPr>
        <w:spacing w:after="80" w:line="360" w:lineRule="auto"/>
        <w:ind w:firstLine="420"/>
      </w:pPr>
      <w:r>
        <w:rPr>
          <w:sz w:val="22"/>
        </w:rPr>
        <w:t>Borowiecki等人（2017）在《变化世界中的文化遗产》中指出，欧洲文化遗产概念经历了从"精英遗产"到"大众遗产"的民主化过程——早期保护对象主要是宫殿、教堂和艺术精品，20世纪后半叶逐步扩展到工业遗产、乡村景观和日常文化实践。这一概念扩展与欧洲一体化进程相互呼应——Europeana平台的建设不仅是技术工程，更是文化认同工程，通过数字聚合强化"欧洲共同遗产"意识[23]。</w:t>
      </w:r>
    </w:p>
    <w:p>
      <w:pPr>
        <w:spacing w:after="80" w:line="360" w:lineRule="auto"/>
        <w:ind w:firstLine="420"/>
      </w:pPr>
      <w:r>
        <w:rPr>
          <w:sz w:val="22"/>
        </w:rPr>
        <w:t>欧洲对"数字遗产"的理解也走在前列。Gasmi和Prlja（2020）指出，欧洲各国将文化遗产数字化视为国家数字化战略的核心组成部分，不仅因为遗产的文化价值，更因为数字化带来的经济和社会效益——数字遗产产业已成为欧洲创意经济的重要支柱[24]。</w:t>
      </w:r>
    </w:p>
    <w:p>
      <w:pPr>
        <w:spacing w:before="120"/>
      </w:pPr>
      <w:r>
        <w:rPr>
          <w:b/>
          <w:sz w:val="22"/>
        </w:rPr>
        <w:t>1.6.2 亚洲语境中的文化遗产概念</w:t>
      </w:r>
    </w:p>
    <w:p>
      <w:pPr>
        <w:spacing w:after="80" w:line="360" w:lineRule="auto"/>
        <w:ind w:firstLine="420"/>
      </w:pPr>
      <w:r>
        <w:rPr>
          <w:sz w:val="22"/>
        </w:rPr>
        <w:t>亚洲国家的文化遗产概念带有独特的文化哲学印记。日本的"文化财"（文化財）概念比UNESCO的"文化遗产"范围更广，不仅包括有形和无形文化财，还涵盖民俗文化财、纪念物、文化景观等类型。日本1950年《文化财保护法》的制定比UNESCO相关公约早了二十余年，体现了日本在遗产保护理念上的前瞻性。</w:t>
      </w:r>
    </w:p>
    <w:p>
      <w:pPr>
        <w:spacing w:after="80" w:line="360" w:lineRule="auto"/>
        <w:ind w:firstLine="420"/>
      </w:pPr>
      <w:r>
        <w:rPr>
          <w:sz w:val="22"/>
        </w:rPr>
        <w:t>中国的"文化遗产"概念融合了国际框架和本土传统。中国传统的"文物"概念侧重物质性——"文"指人文价值，"物"指物质载体。21世纪以来，"文化遗产"概念逐步取代"文物"成为政策用语，标志着保护理念从"保物"向"护文"的深层转变。这一转变的核心是从"物质中心"走向"文化中心"——不仅保护物质实体，更保护物质实体所承载的文化信息和社区认同。</w:t>
      </w:r>
    </w:p>
    <w:p>
      <w:pPr>
        <w:spacing w:before="120"/>
      </w:pPr>
      <w:r>
        <w:rPr>
          <w:b/>
          <w:sz w:val="22"/>
        </w:rPr>
        <w:t>1.6.3 概念比较的启示</w:t>
      </w:r>
    </w:p>
    <w:p>
      <w:pPr>
        <w:spacing w:after="80" w:line="360" w:lineRule="auto"/>
        <w:ind w:firstLine="420"/>
      </w:pPr>
      <w:r>
        <w:rPr>
          <w:sz w:val="22"/>
        </w:rPr>
        <w:t>国际比较揭示了一个重要规律：文化遗产概念的定义方式直接影响保护实践的范围和深度。概念越宽泛，保护覆盖面越广，但执行难度也越大；概念越狭窄，保护越聚焦，但可能遗漏重要遗产类型。D.I.G.I.T.框架采用宽泛的遗产定义——涵盖物质、非物质和数字遗产——以应对数字时代遗产形态的多元化趋势。</w:t>
      </w:r>
    </w:p>
    <w:p>
      <w:pPr>
        <w:spacing w:before="160" w:after="80"/>
      </w:pPr>
      <w:r>
        <w:rPr>
          <w:b/>
          <w:color w:val="2A9D8F"/>
          <w:sz w:val="26"/>
        </w:rPr>
        <w:t>1.7 深度案例分析：从"数字敦煌"到"数字故宫"的范式比较</w:t>
      </w:r>
    </w:p>
    <w:p>
      <w:pPr>
        <w:spacing w:before="120"/>
      </w:pPr>
      <w:r>
        <w:rPr>
          <w:b/>
          <w:sz w:val="22"/>
        </w:rPr>
        <w:t>1.7.1 数字敦煌：学术研究导向的数字化保护</w:t>
      </w:r>
    </w:p>
    <w:p>
      <w:pPr>
        <w:spacing w:after="80" w:line="360" w:lineRule="auto"/>
        <w:ind w:firstLine="420"/>
      </w:pPr>
      <w:r>
        <w:rPr>
          <w:sz w:val="22"/>
        </w:rPr>
        <w:t>"数字敦煌"项目的核心驱动力是学术研究和文物保护需求。敦煌研究院作为专业研究机构，其数字化策略以"高精度、全信息、永久保存"为目标，强调数字化成果对壁画研究和修复的支撑作用。项目的学术导向体现在：每个洞窟的数字化都伴随详细的病害调查、材料分析和历史考证，数字资源不仅是"展示素材"，更是"研究数据"。</w:t>
      </w:r>
    </w:p>
    <w:p>
      <w:pPr>
        <w:spacing w:after="80" w:line="360" w:lineRule="auto"/>
        <w:ind w:firstLine="420"/>
      </w:pPr>
      <w:r>
        <w:rPr>
          <w:sz w:val="22"/>
        </w:rPr>
        <w:t>Yu等人（2022）的AI保护项目进一步强化了这一学术导向——AI不仅用于病害识别，更用于壁画风格演变分析、颜料成分推断和修复效果评估，形成了"数字化→数据化→数智化"的完整链路[2]。</w:t>
      </w:r>
    </w:p>
    <w:p>
      <w:pPr>
        <w:spacing w:before="120"/>
      </w:pPr>
      <w:r>
        <w:rPr>
          <w:b/>
          <w:sz w:val="22"/>
        </w:rPr>
        <w:t>1.7.2 数字故宫：文化传播导向的数字化保护</w:t>
      </w:r>
    </w:p>
    <w:p>
      <w:pPr>
        <w:spacing w:after="80" w:line="360" w:lineRule="auto"/>
        <w:ind w:firstLine="420"/>
      </w:pPr>
      <w:r>
        <w:rPr>
          <w:sz w:val="22"/>
        </w:rPr>
        <w:t>故宫博物院的数字化策略与敦煌研究院有显著差异。作为年接待游客超1900万人次的超级博物馆，故宫的数字化更强调"文化传播"和"公众体验"——数字故宫在线平台、故宫APP、故宫VR体验等产品的设计目标是让公众"足不出户游故宫"。</w:t>
      </w:r>
    </w:p>
    <w:p>
      <w:pPr>
        <w:spacing w:after="80" w:line="360" w:lineRule="auto"/>
        <w:ind w:firstLine="420"/>
      </w:pPr>
      <w:r>
        <w:rPr>
          <w:sz w:val="22"/>
        </w:rPr>
        <w:t>欧阳宏（2019）指出，故宫数字化的特色是"建筑+藏品"一体化——古建筑的三维数据与殿内陈设文物的三维数据在统一坐标系中记录，使虚拟故宫不仅是建筑外壳，还包含完整的室内陈设[1]。这种一体化策略反映了故宫作为"原址博物馆"的特殊性——建筑与藏品在物理空间和文化叙事上不可分割。</w:t>
      </w:r>
    </w:p>
    <w:p>
      <w:pPr>
        <w:spacing w:before="120"/>
      </w:pPr>
      <w:r>
        <w:rPr>
          <w:b/>
          <w:sz w:val="22"/>
        </w:rPr>
        <w:t>1.7.3 两种模式的比较分析</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D9E2EC"/>
          </w:tcPr>
          <w:p>
            <w:pPr>
              <w:spacing w:before="40" w:after="40"/>
            </w:pPr>
            <w:r>
              <w:rPr>
                <w:b/>
                <w:sz w:val="20"/>
              </w:rPr>
            </w:r>
            <w:r>
              <w:rPr>
                <w:b/>
                <w:sz w:val="20"/>
              </w:rPr>
              <w:t>比较维度</w:t>
            </w:r>
          </w:p>
        </w:tc>
        <w:tc>
          <w:tcPr>
            <w:tcW w:type="dxa" w:w="2835"/>
            <w:shd w:val="clear" w:color="auto" w:fill="D9E2EC"/>
          </w:tcPr>
          <w:p>
            <w:pPr>
              <w:spacing w:before="40" w:after="40"/>
            </w:pPr>
            <w:r>
              <w:rPr>
                <w:b/>
                <w:sz w:val="20"/>
              </w:rPr>
            </w:r>
            <w:r>
              <w:rPr>
                <w:b/>
                <w:sz w:val="20"/>
              </w:rPr>
              <w:t>数字敦煌</w:t>
            </w:r>
          </w:p>
        </w:tc>
        <w:tc>
          <w:tcPr>
            <w:tcW w:type="dxa" w:w="2835"/>
            <w:shd w:val="clear" w:color="auto" w:fill="D9E2EC"/>
          </w:tcPr>
          <w:p>
            <w:pPr>
              <w:spacing w:before="40" w:after="40"/>
            </w:pPr>
            <w:r>
              <w:rPr>
                <w:b/>
                <w:sz w:val="20"/>
              </w:rPr>
            </w:r>
            <w:r>
              <w:rPr>
                <w:b/>
                <w:sz w:val="20"/>
              </w:rPr>
              <w:t>数字故宫</w:t>
            </w:r>
          </w:p>
        </w:tc>
      </w:tr>
      <w:tr>
        <w:tc>
          <w:tcPr>
            <w:tcW w:type="dxa" w:w="2835"/>
          </w:tcPr>
          <w:p>
            <w:pPr>
              <w:spacing w:before="40" w:after="40"/>
            </w:pPr>
            <w:r>
              <w:rPr>
                <w:sz w:val="20"/>
              </w:rPr>
            </w:r>
            <w:r>
              <w:rPr>
                <w:sz w:val="20"/>
              </w:rPr>
              <w:t>核心驱动力</w:t>
            </w:r>
          </w:p>
        </w:tc>
        <w:tc>
          <w:tcPr>
            <w:tcW w:type="dxa" w:w="2835"/>
          </w:tcPr>
          <w:p>
            <w:pPr>
              <w:spacing w:before="40" w:after="40"/>
            </w:pPr>
            <w:r>
              <w:rPr>
                <w:sz w:val="20"/>
              </w:rPr>
            </w:r>
            <w:r>
              <w:rPr>
                <w:sz w:val="20"/>
              </w:rPr>
              <w:t>学术研究与文物保护</w:t>
            </w:r>
          </w:p>
        </w:tc>
        <w:tc>
          <w:tcPr>
            <w:tcW w:type="dxa" w:w="2835"/>
          </w:tcPr>
          <w:p>
            <w:pPr>
              <w:spacing w:before="40" w:after="40"/>
            </w:pPr>
            <w:r>
              <w:rPr>
                <w:sz w:val="20"/>
              </w:rPr>
            </w:r>
            <w:r>
              <w:rPr>
                <w:sz w:val="20"/>
              </w:rPr>
              <w:t>文化传播与公众体验</w:t>
            </w:r>
          </w:p>
        </w:tc>
      </w:tr>
      <w:tr>
        <w:tc>
          <w:tcPr>
            <w:tcW w:type="dxa" w:w="2835"/>
            <w:shd w:val="clear" w:color="auto" w:fill="F5F5F5"/>
          </w:tcPr>
          <w:p>
            <w:pPr>
              <w:spacing w:before="40" w:after="40"/>
            </w:pPr>
            <w:r>
              <w:rPr>
                <w:sz w:val="20"/>
              </w:rPr>
            </w:r>
            <w:r>
              <w:rPr>
                <w:sz w:val="20"/>
              </w:rPr>
              <w:t>数字化策略</w:t>
            </w:r>
          </w:p>
        </w:tc>
        <w:tc>
          <w:tcPr>
            <w:tcW w:type="dxa" w:w="2835"/>
            <w:shd w:val="clear" w:color="auto" w:fill="F5F5F5"/>
          </w:tcPr>
          <w:p>
            <w:pPr>
              <w:spacing w:before="40" w:after="40"/>
            </w:pPr>
            <w:r>
              <w:rPr>
                <w:sz w:val="20"/>
              </w:rPr>
            </w:r>
            <w:r>
              <w:rPr>
                <w:sz w:val="20"/>
              </w:rPr>
              <w:t>高精度全信息采集</w:t>
            </w:r>
          </w:p>
        </w:tc>
        <w:tc>
          <w:tcPr>
            <w:tcW w:type="dxa" w:w="2835"/>
            <w:shd w:val="clear" w:color="auto" w:fill="F5F5F5"/>
          </w:tcPr>
          <w:p>
            <w:pPr>
              <w:spacing w:before="40" w:after="40"/>
            </w:pPr>
            <w:r>
              <w:rPr>
                <w:sz w:val="20"/>
              </w:rPr>
            </w:r>
            <w:r>
              <w:rPr>
                <w:sz w:val="20"/>
              </w:rPr>
              <w:t>建筑与藏品一体化</w:t>
            </w:r>
          </w:p>
        </w:tc>
      </w:tr>
      <w:tr>
        <w:tc>
          <w:tcPr>
            <w:tcW w:type="dxa" w:w="2835"/>
          </w:tcPr>
          <w:p>
            <w:pPr>
              <w:spacing w:before="40" w:after="40"/>
            </w:pPr>
            <w:r>
              <w:rPr>
                <w:sz w:val="20"/>
              </w:rPr>
            </w:r>
            <w:r>
              <w:rPr>
                <w:sz w:val="20"/>
              </w:rPr>
              <w:t>技术重点</w:t>
            </w:r>
          </w:p>
        </w:tc>
        <w:tc>
          <w:tcPr>
            <w:tcW w:type="dxa" w:w="2835"/>
          </w:tcPr>
          <w:p>
            <w:pPr>
              <w:spacing w:before="40" w:after="40"/>
            </w:pPr>
            <w:r>
              <w:rPr>
                <w:sz w:val="20"/>
              </w:rPr>
            </w:r>
            <w:r>
              <w:rPr>
                <w:sz w:val="20"/>
              </w:rPr>
              <w:t>壁画高清摄影+AI修复</w:t>
            </w:r>
          </w:p>
        </w:tc>
        <w:tc>
          <w:tcPr>
            <w:tcW w:type="dxa" w:w="2835"/>
          </w:tcPr>
          <w:p>
            <w:pPr>
              <w:spacing w:before="40" w:after="40"/>
            </w:pPr>
            <w:r>
              <w:rPr>
                <w:sz w:val="20"/>
              </w:rPr>
            </w:r>
            <w:r>
              <w:rPr>
                <w:sz w:val="20"/>
              </w:rPr>
              <w:t>三维扫描+VR/AR展示</w:t>
            </w:r>
          </w:p>
        </w:tc>
      </w:tr>
      <w:tr>
        <w:tc>
          <w:tcPr>
            <w:tcW w:type="dxa" w:w="2835"/>
            <w:shd w:val="clear" w:color="auto" w:fill="F5F5F5"/>
          </w:tcPr>
          <w:p>
            <w:pPr>
              <w:spacing w:before="40" w:after="40"/>
            </w:pPr>
            <w:r>
              <w:rPr>
                <w:sz w:val="20"/>
              </w:rPr>
            </w:r>
            <w:r>
              <w:rPr>
                <w:sz w:val="20"/>
              </w:rPr>
              <w:t>目标用户</w:t>
            </w:r>
          </w:p>
        </w:tc>
        <w:tc>
          <w:tcPr>
            <w:tcW w:type="dxa" w:w="2835"/>
            <w:shd w:val="clear" w:color="auto" w:fill="F5F5F5"/>
          </w:tcPr>
          <w:p>
            <w:pPr>
              <w:spacing w:before="40" w:after="40"/>
            </w:pPr>
            <w:r>
              <w:rPr>
                <w:sz w:val="20"/>
              </w:rPr>
            </w:r>
            <w:r>
              <w:rPr>
                <w:sz w:val="20"/>
              </w:rPr>
              <w:t>研究者+保护工作者</w:t>
            </w:r>
          </w:p>
        </w:tc>
        <w:tc>
          <w:tcPr>
            <w:tcW w:type="dxa" w:w="2835"/>
            <w:shd w:val="clear" w:color="auto" w:fill="F5F5F5"/>
          </w:tcPr>
          <w:p>
            <w:pPr>
              <w:spacing w:before="40" w:after="40"/>
            </w:pPr>
            <w:r>
              <w:rPr>
                <w:sz w:val="20"/>
              </w:rPr>
            </w:r>
            <w:r>
              <w:rPr>
                <w:sz w:val="20"/>
              </w:rPr>
              <w:t>普通公众+游客</w:t>
            </w:r>
          </w:p>
        </w:tc>
      </w:tr>
      <w:tr>
        <w:tc>
          <w:tcPr>
            <w:tcW w:type="dxa" w:w="2835"/>
          </w:tcPr>
          <w:p>
            <w:pPr>
              <w:spacing w:before="40" w:after="40"/>
            </w:pPr>
            <w:r>
              <w:rPr>
                <w:sz w:val="20"/>
              </w:rPr>
            </w:r>
            <w:r>
              <w:rPr>
                <w:sz w:val="20"/>
              </w:rPr>
              <w:t>开放策略</w:t>
            </w:r>
          </w:p>
        </w:tc>
        <w:tc>
          <w:tcPr>
            <w:tcW w:type="dxa" w:w="2835"/>
          </w:tcPr>
          <w:p>
            <w:pPr>
              <w:spacing w:before="40" w:after="40"/>
            </w:pPr>
            <w:r>
              <w:rPr>
                <w:sz w:val="20"/>
              </w:rPr>
            </w:r>
            <w:r>
              <w:rPr>
                <w:sz w:val="20"/>
              </w:rPr>
              <w:t>免费在线开放200+洞窟</w:t>
            </w:r>
          </w:p>
        </w:tc>
        <w:tc>
          <w:tcPr>
            <w:tcW w:type="dxa" w:w="2835"/>
          </w:tcPr>
          <w:p>
            <w:pPr>
              <w:spacing w:before="40" w:after="40"/>
            </w:pPr>
            <w:r>
              <w:rPr>
                <w:sz w:val="20"/>
              </w:rPr>
            </w:r>
            <w:r>
              <w:rPr>
                <w:sz w:val="20"/>
              </w:rPr>
              <w:t>多层次产品（免费+付费）</w:t>
            </w:r>
          </w:p>
        </w:tc>
      </w:tr>
      <w:tr>
        <w:tc>
          <w:tcPr>
            <w:tcW w:type="dxa" w:w="2835"/>
            <w:shd w:val="clear" w:color="auto" w:fill="F5F5F5"/>
          </w:tcPr>
          <w:p>
            <w:pPr>
              <w:spacing w:before="40" w:after="40"/>
            </w:pPr>
            <w:r>
              <w:rPr>
                <w:sz w:val="20"/>
              </w:rPr>
            </w:r>
            <w:r>
              <w:rPr>
                <w:sz w:val="20"/>
              </w:rPr>
              <w:t>D.I.G.I.T.侧重</w:t>
            </w:r>
          </w:p>
        </w:tc>
        <w:tc>
          <w:tcPr>
            <w:tcW w:type="dxa" w:w="2835"/>
            <w:shd w:val="clear" w:color="auto" w:fill="F5F5F5"/>
          </w:tcPr>
          <w:p>
            <w:pPr>
              <w:spacing w:before="40" w:after="40"/>
            </w:pPr>
            <w:r>
              <w:rPr>
                <w:sz w:val="20"/>
              </w:rPr>
            </w:r>
            <w:r>
              <w:rPr>
                <w:sz w:val="20"/>
              </w:rPr>
              <w:t>D+I（智能）维度</w:t>
            </w:r>
          </w:p>
        </w:tc>
        <w:tc>
          <w:tcPr>
            <w:tcW w:type="dxa" w:w="2835"/>
            <w:shd w:val="clear" w:color="auto" w:fill="F5F5F5"/>
          </w:tcPr>
          <w:p>
            <w:pPr>
              <w:spacing w:before="40" w:after="40"/>
            </w:pPr>
            <w:r>
              <w:rPr>
                <w:sz w:val="20"/>
              </w:rPr>
            </w:r>
            <w:r>
              <w:rPr>
                <w:sz w:val="20"/>
              </w:rPr>
              <w:t>D+I（体验）+T维度</w:t>
            </w:r>
          </w:p>
        </w:tc>
      </w:tr>
    </w:tbl>
    <w:p>
      <w:pPr>
        <w:spacing w:after="80" w:line="360" w:lineRule="auto"/>
        <w:ind w:firstLine="420"/>
      </w:pPr>
      <w:r>
        <w:rPr>
          <w:sz w:val="22"/>
        </w:rPr>
        <w:t>两种模式并无优劣之分，而是反映了不同遗产类型和机构定位的差异化需求。D.I.G.I.T.框架的价值在于为不同模式的数字化实践提供了统一的方法论框架——无论学术导向还是传播导向，都需要在五个维度上做出系统化决策。</w:t>
      </w:r>
    </w:p>
    <w:p>
      <w:pPr>
        <w:spacing w:before="160" w:after="80"/>
      </w:pPr>
      <w:r>
        <w:rPr>
          <w:b/>
          <w:color w:val="2A9D8F"/>
          <w:sz w:val="26"/>
        </w:rPr>
        <w:t>1.8 数字化保护的社会文化影响</w:t>
      </w:r>
    </w:p>
    <w:p>
      <w:pPr>
        <w:spacing w:before="120"/>
      </w:pPr>
      <w:r>
        <w:rPr>
          <w:b/>
          <w:sz w:val="22"/>
        </w:rPr>
        <w:t>1.8.1 对遗产地社区的影响</w:t>
      </w:r>
    </w:p>
    <w:p>
      <w:pPr>
        <w:spacing w:after="80" w:line="360" w:lineRule="auto"/>
        <w:ind w:firstLine="420"/>
      </w:pPr>
      <w:r>
        <w:rPr>
          <w:sz w:val="22"/>
        </w:rPr>
        <w:t>数字化保护对遗产地社区的影响是双面的。积极方面：数字化提升了遗产的知名度，带动了文化旅游和文创产业，为社区创造了经济收益；数字档案为社区文化教育提供了资源。消极方面：数字化可能导致"去语境化"——遗产脱离原有文化语境被数字化展示，社区的文化主体性可能被削弱；过度旅游可能破坏遗产地的文化生态。</w:t>
      </w:r>
    </w:p>
    <w:p>
      <w:pPr>
        <w:spacing w:after="80" w:line="360" w:lineRule="auto"/>
        <w:ind w:firstLine="420"/>
      </w:pPr>
      <w:r>
        <w:rPr>
          <w:sz w:val="22"/>
        </w:rPr>
        <w:t>Abdelmonem（2017）在研究数字时代文化遗产管理时警告，数字和虚拟遗产治理中的差距可能使技术资源有限的小型社区被边缘化——大型机构拥有先进技术，而社区自身的数字化能力可能不足[25]。</w:t>
      </w:r>
    </w:p>
    <w:p>
      <w:pPr>
        <w:spacing w:before="120"/>
      </w:pPr>
      <w:r>
        <w:rPr>
          <w:b/>
          <w:sz w:val="22"/>
        </w:rPr>
        <w:t>1.8.2 对公众文化认知的影响</w:t>
      </w:r>
    </w:p>
    <w:p>
      <w:pPr>
        <w:spacing w:after="80" w:line="360" w:lineRule="auto"/>
        <w:ind w:firstLine="420"/>
      </w:pPr>
      <w:r>
        <w:rPr>
          <w:sz w:val="22"/>
        </w:rPr>
        <w:t>数字化保护深刻改变了公众接触和认知文化遗产的方式。传统模式下，公众主要通过博物馆参观接触遗产——受到时间、空间和经济条件的限制。数字化打破了这些限制——任何人都可以通过网络访问"数字敦煌"，在虚拟空间中近距离观察壁画细节。</w:t>
      </w:r>
    </w:p>
    <w:p>
      <w:pPr>
        <w:spacing w:after="80" w:line="360" w:lineRule="auto"/>
        <w:ind w:firstLine="420"/>
      </w:pPr>
      <w:r>
        <w:rPr>
          <w:sz w:val="22"/>
        </w:rPr>
        <w:t>然而，这种"接触便利性"可能带来"认知浅表化"——当文化遗产以数字形式"触手可及"时，公众可能失去对遗产的敬畏感和深层理解意愿。王秀丽（2019）提出的从"呈现文化"到"模仿文化"的转变虽然丰富了感知方式，但也模糊了"原物"与"复制品"的界限[3]。如何在数字化便利和深层文化认知之间取得平衡，是D.I.G.I.T.框架T维度需要持续关注的问题。</w:t>
      </w:r>
    </w:p>
    <w:p>
      <w:pPr>
        <w:spacing w:before="120"/>
      </w:pPr>
      <w:r>
        <w:rPr>
          <w:b/>
          <w:sz w:val="22"/>
        </w:rPr>
        <w:t>1.8.3 对遗产保护职业的影响</w:t>
      </w:r>
    </w:p>
    <w:p>
      <w:pPr>
        <w:spacing w:after="80" w:line="360" w:lineRule="auto"/>
        <w:ind w:firstLine="420"/>
      </w:pPr>
      <w:r>
        <w:rPr>
          <w:sz w:val="22"/>
        </w:rPr>
        <w:t>数字化保护正在重塑遗产保护职业生态。传统修复师面临"技术焦虑"——AI虚拟修复是否会取代人工修复？博物馆管理者面临"数字转型"压力——如何在有限预算下平衡物理保护和数字化投入？遗产研究者获得了新工具——大数据分析、AI辅助研究为遗产研究开辟了新路径。</w:t>
      </w:r>
    </w:p>
    <w:p>
      <w:pPr>
        <w:spacing w:after="80" w:line="360" w:lineRule="auto"/>
        <w:ind w:firstLine="420"/>
      </w:pPr>
      <w:r>
        <w:rPr>
          <w:sz w:val="22"/>
        </w:rPr>
        <w:t>Caramiaux（2022）提出，文化遗产机构不应被动接受AI技术，而应主动参与AI开发，将文化和人文视角的批判性思考融入AI发展[26]。这一观点同样适用于整个数字化保护领域——从业者应成为技术的主人而非仆人，确保技术服务于文化保护的目标，而非文化保护服务于技术的需求。</w:t>
      </w:r>
    </w:p>
    <w:p>
      <w:pPr>
        <w:spacing w:before="160" w:after="80"/>
      </w:pPr>
      <w:r>
        <w:rPr>
          <w:b/>
          <w:color w:val="2A9D8F"/>
          <w:sz w:val="26"/>
        </w:rPr>
        <w:t>1.9 文化遗产数字化的经济学分析</w:t>
      </w:r>
    </w:p>
    <w:p>
      <w:pPr>
        <w:spacing w:before="120"/>
      </w:pPr>
      <w:r>
        <w:rPr>
          <w:b/>
          <w:sz w:val="22"/>
        </w:rPr>
        <w:t>1.9.1 数字化投入的成本结构</w:t>
      </w:r>
    </w:p>
    <w:p>
      <w:pPr>
        <w:spacing w:after="80" w:line="360" w:lineRule="auto"/>
        <w:ind w:firstLine="420"/>
      </w:pPr>
      <w:r>
        <w:rPr>
          <w:sz w:val="22"/>
        </w:rPr>
        <w:t>文化遗产数字化项目的成本结构复杂，涵盖设备采购、人员培训、数据处理、存储维护等多个环节。直接成本包括：三维扫描设备（手持式扫描仪5-30万元，固定式扫描系统50-200万元）、计算与存储基础设施、专业技术人员薪酬。间接成本包括：项目管理、质量控制和长期维护。值得注意的是，数字化项目的成本并非一次性投入——数字资源的长期保存和格式迁移需要持续投入，通常每年维护成本为初始投入的10%-15%。</w:t>
      </w:r>
    </w:p>
    <w:p>
      <w:pPr>
        <w:spacing w:after="80" w:line="360" w:lineRule="auto"/>
        <w:ind w:firstLine="420"/>
      </w:pPr>
      <w:r>
        <w:rPr>
          <w:sz w:val="22"/>
        </w:rPr>
        <w:t>Borin和Donato（2023）在研究Europeana的财务可持续性时，将数字遗产项目的成本分为"创建成本"和"维护成本"两个阶段，指出许多项目在创建阶段获得充足资金但维护阶段资金断裂，导致数字资源无法持续可用[34]。这一"维护悬崖"问题在发展中国家的文化遗产数字化项目中尤为突出。</w:t>
      </w:r>
    </w:p>
    <w:p>
      <w:pPr>
        <w:spacing w:before="120"/>
      </w:pPr>
      <w:r>
        <w:rPr>
          <w:b/>
          <w:sz w:val="22"/>
        </w:rPr>
        <w:t>1.9.2 数字遗产的经济价值链</w:t>
      </w:r>
    </w:p>
    <w:p>
      <w:pPr>
        <w:spacing w:after="80" w:line="360" w:lineRule="auto"/>
        <w:ind w:firstLine="420"/>
      </w:pPr>
      <w:r>
        <w:rPr>
          <w:sz w:val="22"/>
        </w:rPr>
        <w:t>文化遗产数字化形成了一条独特的经济价值链：原始资源（文化遗产本体）→数字资源（扫描、拍摄、建模产生的数字文件）→增值产品（VR体验、数字展览、教育课程）→终端用户（游客、学生、研究者）。价值链上每个环节都涉及不同的参与者和价值分配机制。魏鹏举和魏西笑（2022）指出，当前文化遗产数字价值链存在"价值捕获不均"问题——技术平台方获取了大部分经济价值，而文化资源的源社区获益有限[35]。</w:t>
      </w:r>
    </w:p>
    <w:p>
      <w:pPr>
        <w:spacing w:before="160" w:after="80"/>
      </w:pPr>
      <w:r>
        <w:rPr>
          <w:b/>
          <w:color w:val="2A9D8F"/>
          <w:sz w:val="26"/>
        </w:rPr>
        <w:t>1.10 文化遗产数字化的社会影响评估</w:t>
      </w:r>
    </w:p>
    <w:p>
      <w:pPr>
        <w:spacing w:before="120"/>
      </w:pPr>
      <w:r>
        <w:rPr>
          <w:b/>
          <w:sz w:val="22"/>
        </w:rPr>
        <w:t>1.10.1 数字化对文化认同的影响</w:t>
      </w:r>
    </w:p>
    <w:p>
      <w:pPr>
        <w:spacing w:after="80" w:line="360" w:lineRule="auto"/>
        <w:ind w:firstLine="420"/>
      </w:pPr>
      <w:r>
        <w:rPr>
          <w:sz w:val="22"/>
        </w:rPr>
        <w:t>文化遗产数字化对文化认同的影响是双面的：积极方面，数字化使更多人能够接触和了解文化遗产，增强了文化自信和认同感；消极方面，数字化可能导致文化的"去语境化"——当文化遗产脱离其原生语境以数字形式展示时，文化意义可能被简化或误读。Hou（2025）在研究数字遗产保护方法论时提出"数字原真性"（Digital Authenticity）概念——数字化保护应忠实于文化遗产的本真性，避免技术介入导致文化意义的偏移[36]。</w:t>
      </w:r>
    </w:p>
    <w:p>
      <w:pPr>
        <w:spacing w:before="120"/>
      </w:pPr>
      <w:r>
        <w:rPr>
          <w:b/>
          <w:sz w:val="22"/>
        </w:rPr>
        <w:t>1.10.2 数字遗产与公众参与</w:t>
      </w:r>
    </w:p>
    <w:p>
      <w:pPr>
        <w:spacing w:after="80" w:line="360" w:lineRule="auto"/>
        <w:ind w:firstLine="420"/>
      </w:pPr>
      <w:r>
        <w:rPr>
          <w:sz w:val="22"/>
        </w:rPr>
        <w:t>文化遗产数字化为公众参与遗产保护提供了新渠道——公众可以通过数字平台贡献知识（如众包标注）、报告遗产状况、参与保护决策。然而，数字参与的有效性受到"数字鸿沟"制约——老年群体、农村人口和低收入群体的数字参与度显著偏低。设计数字参与机制时需要考虑包容性——提供多渠道参与方式（线上+线下），降低技术门槛，确保不同群体的声音都能被听到。</w:t>
      </w:r>
    </w:p>
    <w:p>
      <w:pPr>
        <w:spacing w:before="200" w:after="120"/>
      </w:pPr>
      <w:r>
        <w:rPr>
          <w:b/>
          <w:color w:val="457B9D"/>
          <w:sz w:val="30"/>
        </w:rPr>
        <w:t>参考文献</w:t>
      </w:r>
    </w:p>
    <w:p>
      <w:pPr>
        <w:spacing w:after="40"/>
        <w:ind w:left="425" w:hanging="425"/>
      </w:pPr>
      <w:r>
        <w:rPr>
          <w:sz w:val="20"/>
        </w:rPr>
        <w:t>[1] 敦煌研究院. 数字敦煌项目概况[EB/OL]. https://www.e-dunhuang.com, 2023.</w:t>
      </w:r>
    </w:p>
    <w:p>
      <w:pPr>
        <w:spacing w:after="40"/>
        <w:ind w:left="425" w:hanging="425"/>
      </w:pPr>
      <w:r>
        <w:rPr>
          <w:sz w:val="20"/>
        </w:rPr>
        <w:t>[2] Yu T, Lin C, Zhang S, et al. Artificial Intelligence for Dunhuang Cultural Heritage Protection: The Project and the Dataset[J]. International Journal of Computer Vision, 2022, 130: 2265-2287. DOI: 10.1007/s11263-022-01665-x.</w:t>
      </w:r>
    </w:p>
    <w:p>
      <w:pPr>
        <w:spacing w:after="40"/>
        <w:ind w:left="425" w:hanging="425"/>
      </w:pPr>
      <w:r>
        <w:rPr>
          <w:sz w:val="20"/>
        </w:rPr>
        <w:t>[3] UNESCO. Convention Concerning the Protection of the World Cultural and Natural Heritage[R]. Paris: UNESCO, 1972.</w:t>
      </w:r>
    </w:p>
    <w:p>
      <w:pPr>
        <w:spacing w:after="40"/>
        <w:ind w:left="425" w:hanging="425"/>
      </w:pPr>
      <w:r>
        <w:rPr>
          <w:sz w:val="20"/>
        </w:rPr>
        <w:t>[4] Pshenychnyi T, Zinchenko V. From Material to Digital: The Transformation of UNESCO's Approaches to the Protection of Cultural Heritage[J]. 乌克兰文化研究, 2025, 32: 12. DOI: 10.17721/2524-048x.2025.32.12.</w:t>
      </w:r>
    </w:p>
    <w:p>
      <w:pPr>
        <w:spacing w:after="40"/>
        <w:ind w:left="425" w:hanging="425"/>
      </w:pPr>
      <w:r>
        <w:rPr>
          <w:sz w:val="20"/>
        </w:rPr>
        <w:t>[5] UNESCO. Convention for the Safeguarding of the Intangible Cultural Heritage[R]. Paris: UNESCO, 2003.</w:t>
      </w:r>
    </w:p>
    <w:p>
      <w:pPr>
        <w:spacing w:after="40"/>
        <w:ind w:left="425" w:hanging="425"/>
      </w:pPr>
      <w:r>
        <w:rPr>
          <w:sz w:val="20"/>
        </w:rPr>
        <w:t>[6] Kolar E B, Galzina V, Matanović D. Towards a Safeguarding Concept of the Intangible Cultural Heritage in Slavonia, Baranya and Syrmia – Aspects of Digitization, Processing, Conservation and Dissemination of Sound, Image and Shape[C]. Semantic Scholar, 2014.</w:t>
      </w:r>
    </w:p>
    <w:p>
      <w:pPr>
        <w:spacing w:after="40"/>
        <w:ind w:left="425" w:hanging="425"/>
      </w:pPr>
      <w:r>
        <w:rPr>
          <w:sz w:val="20"/>
        </w:rPr>
        <w:t>[7] Robbins C. Beyond Preservation: New Directions for Technological Innovation through Intangible Cultural Heritage[C]. Rhode Island School of Design, 2010.</w:t>
      </w:r>
    </w:p>
    <w:p>
      <w:pPr>
        <w:spacing w:after="40"/>
        <w:ind w:left="425" w:hanging="425"/>
      </w:pPr>
      <w:r>
        <w:rPr>
          <w:sz w:val="20"/>
        </w:rPr>
        <w:t>[8] Xiong S, Srijinda P. Digital Applications in Cultural Heritage Preservation and Dissemination[J]. Journal of Computers and Advanced Scientific Computing, 2025, 10(4). DOI: 10.64753/jcasc.v10i4.3158.</w:t>
      </w:r>
    </w:p>
    <w:p>
      <w:pPr>
        <w:spacing w:after="40"/>
        <w:ind w:left="425" w:hanging="425"/>
      </w:pPr>
      <w:r>
        <w:rPr>
          <w:sz w:val="20"/>
        </w:rPr>
        <w:t>[9] UNESCO. Charter on the Preservation of Digital Heritage[R]. Paris: UNESCO, 2003.</w:t>
      </w:r>
    </w:p>
    <w:p>
      <w:pPr>
        <w:spacing w:after="40"/>
        <w:ind w:left="425" w:hanging="425"/>
      </w:pPr>
      <w:r>
        <w:rPr>
          <w:sz w:val="20"/>
        </w:rPr>
        <w:t>[10] Abid A. Preserving Our Digital Heritage: A UNESCO Perspective[J]. Journal of the Korean Society for Archival and Records Management, 2005, 5(2): 183-193. DOI: 10.14404/JKSARM.2005.5.2.183.</w:t>
      </w:r>
    </w:p>
    <w:p>
      <w:pPr>
        <w:spacing w:after="40"/>
        <w:ind w:left="425" w:hanging="425"/>
      </w:pPr>
      <w:r>
        <w:rPr>
          <w:sz w:val="20"/>
        </w:rPr>
        <w:t>[11] Koščík M, Myška M. Copyright Law Challenges of Preservation of "Born-digital" Digital Content as Cultural Heritage[C]. Semantic Scholar, 2019.</w:t>
      </w:r>
    </w:p>
    <w:p>
      <w:pPr>
        <w:spacing w:after="40"/>
        <w:ind w:left="425" w:hanging="425"/>
      </w:pPr>
      <w:r>
        <w:rPr>
          <w:sz w:val="20"/>
        </w:rPr>
        <w:t>[12] Ababneh A. Digital Solutions for Cultural Heritage: Preservation, Interpretation, and Engagement in Line with the Venice Charter Principles[C]. Semantic Scholar, 2024.</w:t>
      </w:r>
    </w:p>
    <w:p>
      <w:pPr>
        <w:spacing w:after="40"/>
        <w:ind w:left="425" w:hanging="425"/>
      </w:pPr>
      <w:r>
        <w:rPr>
          <w:sz w:val="20"/>
        </w:rPr>
        <w:t>[13] PrakashTribhuvan A, Abdullah B A. Preserving Our Past: A Thorough Examination of Methods and Technologies in Digital Heritage[J]. International Journal of Science and Advanced Technology, 2025, 16(1): 1324. DOI: 10.71097/ijsat.v16.i1.1324.</w:t>
      </w:r>
    </w:p>
    <w:p>
      <w:pPr>
        <w:spacing w:after="40"/>
        <w:ind w:left="425" w:hanging="425"/>
      </w:pPr>
      <w:r>
        <w:rPr>
          <w:sz w:val="20"/>
        </w:rPr>
        <w:t>[14] 顾犇. 数字文化遗产的保护和联合国教科文组织的指导方针[J]. 国家图书馆学刊, 2003.</w:t>
      </w:r>
    </w:p>
    <w:p>
      <w:pPr>
        <w:spacing w:after="40"/>
        <w:ind w:left="425" w:hanging="425"/>
      </w:pPr>
      <w:r>
        <w:rPr>
          <w:sz w:val="20"/>
        </w:rPr>
        <w:t>[15] 孔凡运. 文化遗产数字化保存的策略与挑战[J]. 2025. 万方数据.</w:t>
      </w:r>
    </w:p>
    <w:p>
      <w:pPr>
        <w:spacing w:after="40"/>
        <w:ind w:left="425" w:hanging="425"/>
      </w:pPr>
      <w:r>
        <w:rPr>
          <w:sz w:val="20"/>
        </w:rPr>
        <w:t>[16] 黄永林, 谈国新. 中国非物质文化遗产数字化保护与开发研究[J]. 2012. 万方数据.</w:t>
      </w:r>
    </w:p>
    <w:p>
      <w:pPr>
        <w:spacing w:after="40"/>
        <w:ind w:left="425" w:hanging="425"/>
      </w:pPr>
      <w:r>
        <w:rPr>
          <w:sz w:val="20"/>
        </w:rPr>
        <w:t>[17] Svensson M. Mediatization and Cultural Heritage: Plural Voices and New Platforms[J]. 2016. Semantic Scholar.</w:t>
      </w:r>
    </w:p>
    <w:p>
      <w:pPr>
        <w:spacing w:after="40"/>
        <w:ind w:left="425" w:hanging="425"/>
      </w:pPr>
      <w:r>
        <w:rPr>
          <w:sz w:val="20"/>
        </w:rPr>
        <w:t>[18] Nofal E. Participatory Design Workshops: Interdisciplinary Encounters within a Collaborative Digital Heritage Project[J]. Heritage, 2023, 6(3): 146. DOI: 10.3390/heritage6030146.</w:t>
      </w:r>
    </w:p>
    <w:p>
      <w:pPr>
        <w:spacing w:after="40"/>
        <w:ind w:left="425" w:hanging="425"/>
      </w:pPr>
      <w:r>
        <w:rPr>
          <w:sz w:val="20"/>
        </w:rPr>
        <w:t>[19] Cui T, Kumar P, Orr S A. Connecting Characteristics of Social Media Activities of a Heritage Organisation to Audience Engagement[J]. Digital Applications in Archaeology and Cultural Heritage, 2022, e00253. DOI: 10.1016/j.daach.2022.e00253.</w:t>
      </w:r>
    </w:p>
    <w:p>
      <w:pPr>
        <w:spacing w:after="40"/>
        <w:ind w:left="425" w:hanging="425"/>
      </w:pPr>
      <w:r>
        <w:rPr>
          <w:sz w:val="20"/>
        </w:rPr>
        <w:t>[20] 魏鹏举, 魏西笑. 文化遗产数字化实践的版权挑战与应对[J]. 2022. 维普期刊.</w:t>
      </w:r>
    </w:p>
    <w:p>
      <w:pPr>
        <w:spacing w:after="40"/>
        <w:ind w:left="425" w:hanging="425"/>
      </w:pPr>
      <w:r>
        <w:rPr>
          <w:sz w:val="20"/>
        </w:rPr>
        <w:t>[21] Bekele M K, Pierdicca R, Frontoni E, et al. A Survey of Augmented, Virtual, and Mixed Reality for Cultural Heritage[J]. ACM Journal on Computing and Cultural Heritage, 2018, 11(2): 1-36. DOI: 10.1145/3145534.</w:t>
      </w:r>
    </w:p>
    <w:p>
      <w:pPr>
        <w:spacing w:after="40"/>
        <w:ind w:left="425" w:hanging="425"/>
      </w:pPr>
      <w:r>
        <w:rPr>
          <w:sz w:val="20"/>
        </w:rPr>
        <w:t>[22] Liang X, Lu Y, Martin J. A Review of the Role of Social Media for the Cultural Heritage Sustainability[J]. Preprints, 2020. DOI: 10.20944/preprints202012.0618.v1.</w:t>
      </w:r>
    </w:p>
    <w:p>
      <w:pPr>
        <w:spacing w:after="40"/>
        <w:ind w:left="425" w:hanging="425"/>
      </w:pPr>
      <w:r>
        <w:rPr>
          <w:sz w:val="20"/>
        </w:rPr>
        <w:t>[23] Borowiecki K J, Forbes N, Fresa A. Cultural Heritage in a Changing World[M]. Springer, 2017. DOI: 10.1007/s10824-017-9301-5.</w:t>
      </w:r>
    </w:p>
    <w:p>
      <w:pPr>
        <w:spacing w:after="40"/>
        <w:ind w:left="425" w:hanging="425"/>
      </w:pPr>
      <w:r>
        <w:rPr>
          <w:sz w:val="20"/>
        </w:rPr>
        <w:t>[24] Gasmi G, Prlja D. Perspectives of Digitization of Cultural Heritage in European Countries[C]. 2020. Semantic Scholar.</w:t>
      </w:r>
    </w:p>
    <w:p>
      <w:pPr>
        <w:spacing w:after="40"/>
        <w:ind w:left="425" w:hanging="425"/>
      </w:pPr>
      <w:r>
        <w:rPr>
          <w:sz w:val="20"/>
        </w:rPr>
        <w:t>[25] Abdelmonem M G. Managing Cultural Heritage in the Digital Age: Research Policy Document on the Development of Virtual Heritage for Egypt and the Middle East[C]. Semantic Scholar, 2017.</w:t>
      </w:r>
    </w:p>
    <w:p>
      <w:pPr>
        <w:spacing w:after="40"/>
        <w:ind w:left="425" w:hanging="425"/>
      </w:pPr>
      <w:r>
        <w:rPr>
          <w:sz w:val="20"/>
        </w:rPr>
        <w:t>[26] Caramiaux B. AI with Museums and Cultural Heritage[C]. Semantic Scholar, 2022.</w:t>
      </w:r>
    </w:p>
    <w:p>
      <w:pPr>
        <w:spacing w:after="40"/>
        <w:ind w:left="425" w:hanging="425"/>
      </w:pPr>
      <w:r>
        <w:rPr>
          <w:sz w:val="20"/>
        </w:rPr>
        <w:t>[34] Borin E, Donato F. Financial Sustainability of Digitizing Cultural Heritage: The International Platform Europeana[J]. Journal of Risk and Financial Management, 2023, 16(10): 421. DOI: 10.3390/jrfm16100421.</w:t>
      </w:r>
    </w:p>
    <w:p>
      <w:pPr>
        <w:spacing w:after="40"/>
        <w:ind w:left="425" w:hanging="425"/>
      </w:pPr>
      <w:r>
        <w:rPr>
          <w:sz w:val="20"/>
        </w:rPr>
        <w:t>[35] 魏鹏举, 魏西笑. 文化遗产数字化实践的版权挑战与应对[J]. 2022. 维普期刊.</w:t>
      </w:r>
    </w:p>
    <w:p>
      <w:pPr>
        <w:spacing w:after="40"/>
        <w:ind w:left="425" w:hanging="425"/>
      </w:pPr>
      <w:r>
        <w:rPr>
          <w:sz w:val="20"/>
        </w:rPr>
        <w:t>[36] Hou J. Digital Heritage Protection Methodology[J]. 2025. Semantic Scholar.</w:t>
      </w:r>
    </w:p>
    <w:p>
      <w:r>
        <w:br w:type="page"/>
      </w:r>
    </w:p>
    <w:p>
      <w:pPr>
        <w:spacing w:before="240" w:after="160"/>
      </w:pPr>
      <w:r>
        <w:rPr>
          <w:b/>
          <w:color w:val="264653"/>
          <w:sz w:val="36"/>
        </w:rPr>
        <w:t>第2章 物质文化遗产与非物质文化遗产</w:t>
      </w:r>
    </w:p>
    <w:p>
      <w:pPr>
        <w:jc w:val="center"/>
      </w:pPr>
      <w:r>
        <w:drawing>
          <wp:inline xmlns:a="http://schemas.openxmlformats.org/drawingml/2006/main" xmlns:pic="http://schemas.openxmlformats.org/drawingml/2006/picture">
            <wp:extent cx="5029200" cy="2997200"/>
            <wp:docPr id="2" name="Picture 2"/>
            <wp:cNvGraphicFramePr>
              <a:graphicFrameLocks noChangeAspect="1"/>
            </wp:cNvGraphicFramePr>
            <a:graphic>
              <a:graphicData uri="http://schemas.openxmlformats.org/drawingml/2006/picture">
                <pic:pic>
                  <pic:nvPicPr>
                    <pic:cNvPr id="0" name="fig2_1_heritage_comparison.png"/>
                    <pic:cNvPicPr/>
                  </pic:nvPicPr>
                  <pic:blipFill>
                    <a:blip r:embed="rId10"/>
                    <a:stretch>
                      <a:fillRect/>
                    </a:stretch>
                  </pic:blipFill>
                  <pic:spPr>
                    <a:xfrm>
                      <a:off x="0" y="0"/>
                      <a:ext cx="5029200" cy="2997200"/>
                    </a:xfrm>
                    <a:prstGeom prst="rect"/>
                  </pic:spPr>
                </pic:pic>
              </a:graphicData>
            </a:graphic>
          </wp:inline>
        </w:drawing>
      </w:r>
    </w:p>
    <w:p>
      <w:pPr>
        <w:spacing w:before="200" w:after="120"/>
      </w:pPr>
      <w:r>
        <w:rPr>
          <w:b/>
          <w:color w:val="457B9D"/>
          <w:sz w:val="30"/>
        </w:rPr>
        <w:t>学习目标</w:t>
      </w:r>
    </w:p>
    <w:p>
      <w:pPr>
        <w:pStyle w:val="ListBullet"/>
      </w:pPr>
      <w:r>
        <w:rPr>
          <w:sz w:val="22"/>
        </w:rPr>
        <w:t>区分物质文化遗产与非物质文化遗产的本质特征</w:t>
      </w:r>
    </w:p>
    <w:p>
      <w:pPr>
        <w:pStyle w:val="ListBullet"/>
      </w:pPr>
      <w:r>
        <w:rPr>
          <w:sz w:val="22"/>
        </w:rPr>
        <w:t>理解两类遗产的保护需求差异与共性</w:t>
      </w:r>
    </w:p>
    <w:p>
      <w:pPr>
        <w:pStyle w:val="ListBullet"/>
      </w:pPr>
      <w:r>
        <w:rPr>
          <w:sz w:val="22"/>
        </w:rPr>
        <w:t>掌握文化遗产价值评估的多维框架</w:t>
      </w:r>
    </w:p>
    <w:p>
      <w:pPr>
        <w:pStyle w:val="ListBullet"/>
      </w:pPr>
      <w:r>
        <w:rPr>
          <w:sz w:val="22"/>
        </w:rPr>
        <w:t>了解中国文化遗产资源概况与分布特征</w:t>
      </w:r>
    </w:p>
    <w:p>
      <w:pPr>
        <w:spacing w:before="200" w:after="120"/>
      </w:pPr>
      <w:r>
        <w:rPr>
          <w:b/>
          <w:color w:val="457B9D"/>
          <w:sz w:val="30"/>
        </w:rPr>
        <w:t>导入案例：故宫博物院——古建筑与宫廷技艺的双重数字化保护</w:t>
      </w:r>
    </w:p>
    <w:p>
      <w:pPr>
        <w:spacing w:after="80" w:line="360" w:lineRule="auto"/>
        <w:ind w:firstLine="420"/>
      </w:pPr>
      <w:r>
        <w:rPr>
          <w:sz w:val="22"/>
        </w:rPr>
        <w:t>故宫博物院作为中国最大的古代文化艺术博物馆，拥有186万余件/套藏品，其古建筑群本身就是最大的"文物"。自2019年起，故宫博物院启动"数字故宫"计划，对古建筑进行系统性三维数字化采集。欧阳宏（2019）在介绍故宫院藏文物三维数据采集与应用时指出，故宫使用三维数字技术已采集、加工了大量古建筑和藏品文物的高精度三维数据，利用数字呈现技术立体再现文化遗产原貌，全方位推进数字技术在故宫的综合应用[1]。</w:t>
      </w:r>
    </w:p>
    <w:p>
      <w:pPr>
        <w:spacing w:after="80" w:line="360" w:lineRule="auto"/>
        <w:ind w:firstLine="420"/>
      </w:pPr>
      <w:r>
        <w:rPr>
          <w:sz w:val="22"/>
        </w:rPr>
        <w:t>与此同时，故宫还承担着多项非物质文化遗产的保护责任——官式古建筑营造技艺、故宫钟表修复技艺、古书画临摹复制技艺等均为国家级非遗代表性项目。这些技艺的传承人仍在故宫内工作，他们的工艺流程也在被系统性地数字化记录。故宫的实践表明，物质遗产与非物质遗产往往共存于同一空间，其数字化保护需要差异化但协调统一的技术路径。</w:t>
      </w:r>
    </w:p>
    <w:p>
      <w:pPr>
        <w:spacing w:before="200" w:after="120"/>
      </w:pPr>
      <w:r>
        <w:rPr>
          <w:b/>
          <w:color w:val="457B9D"/>
          <w:sz w:val="30"/>
        </w:rPr>
        <w:t>2.1 物质文化遗产的范畴与特征</w:t>
      </w:r>
    </w:p>
    <w:p>
      <w:pPr>
        <w:spacing w:before="160" w:after="80"/>
      </w:pPr>
      <w:r>
        <w:rPr>
          <w:b/>
          <w:color w:val="2A9D8F"/>
          <w:sz w:val="26"/>
        </w:rPr>
        <w:t>2.1.1 可移动文物：陶瓷、书画、金属器、织物等</w:t>
      </w:r>
    </w:p>
    <w:p>
      <w:pPr>
        <w:spacing w:after="80" w:line="360" w:lineRule="auto"/>
        <w:ind w:firstLine="420"/>
      </w:pPr>
      <w:r>
        <w:rPr>
          <w:sz w:val="22"/>
        </w:rPr>
        <w:t>可移动文物是物质文化遗产中数量最大、类型最丰富的类别。中国的可移动文物按材质可分为陶瓷器、金属器、玉石宝石器、漆木器、纺织品、书画、古籍文献、石刻拓片等二十余类。每一类材质都有其特定的物理化学性质和劣化机制，决定了不同的保护需求和数字化策略。</w:t>
      </w:r>
    </w:p>
    <w:p>
      <w:pPr>
        <w:spacing w:after="80" w:line="360" w:lineRule="auto"/>
        <w:ind w:firstLine="420"/>
      </w:pPr>
      <w:r>
        <w:rPr>
          <w:sz w:val="22"/>
        </w:rPr>
        <w:t>以陶瓷器为例，其主要劣化风险包括物理损伤（碎裂、磨损）、化学侵蚀（盐析、釉面脱落）和生物侵害（霉菌）。数字化保护的重点在于通过三维扫描精确记录器型、纹饰和损伤状况，建立可供对比研究的数字档案。张瑞等人（2007）在探讨文物数字化的关键技术时，利用InSpeck 3D-DF三维扫描仪采集文物几何数据，并使用三维建模工具进行后续处理，构建了特定文物的网格模型，在此基础上实现纹理映射[2]。</w:t>
      </w:r>
    </w:p>
    <w:p>
      <w:pPr>
        <w:spacing w:after="80" w:line="360" w:lineRule="auto"/>
        <w:ind w:firstLine="420"/>
      </w:pPr>
      <w:r>
        <w:rPr>
          <w:sz w:val="22"/>
        </w:rPr>
        <w:t>书画类文物的数字化面临独特挑战。中国传统书画以纸绢为载体，材质脆弱、对光照敏感，高精度扫描需要在极低照度下进行。同时，书画的数字化不仅是图像复制——笔墨的浓淡、纸张的纹理、印章的凹凸等信息都需要尽可能完整地记录。多光谱成像技术在这一领域显示出独特优势，能够捕捉肉眼不可见的底层信息（如底稿、修改痕迹）。</w:t>
      </w:r>
    </w:p>
    <w:p>
      <w:pPr>
        <w:spacing w:before="160" w:after="80"/>
      </w:pPr>
      <w:r>
        <w:rPr>
          <w:b/>
          <w:color w:val="2A9D8F"/>
          <w:sz w:val="26"/>
        </w:rPr>
        <w:t>2.1.2 不可移动文物：古建筑、石窟寺、遗址、墓葬</w:t>
      </w:r>
    </w:p>
    <w:p>
      <w:pPr>
        <w:spacing w:after="80" w:line="360" w:lineRule="auto"/>
        <w:ind w:firstLine="420"/>
      </w:pPr>
      <w:r>
        <w:rPr>
          <w:sz w:val="22"/>
        </w:rPr>
        <w:t>不可移动文物的体量远大于可移动文物，其数字化保护需要更大规模的设备和技术投入。古建筑的数字化通常采用三维激光扫描与摄影测量相结合的方式，获取建筑的整体几何数据和表面纹理信息。丁翔等人（2024）在武当文化数字博物馆研究中，利用三维激光扫描技术获取武当山古建筑、文物等文化遗产的三维数据，通过HTML5技术将三维模型嵌入网页，实现了文化遗产的在线展示和互动[3]。</w:t>
      </w:r>
    </w:p>
    <w:p>
      <w:pPr>
        <w:spacing w:after="80" w:line="360" w:lineRule="auto"/>
        <w:ind w:firstLine="420"/>
      </w:pPr>
      <w:r>
        <w:rPr>
          <w:sz w:val="22"/>
        </w:rPr>
        <w:t>石窟寺数字化是文化遗产数字化中最复杂的领域之一。敦煌莫高窟、云冈石窟、龙门石窟等大型石窟群的数字化涉及壁画高精度摄影拼接、雕塑三维扫描、石窟整体三维建模等多个层次。以敦煌为例，壁画数字化需要在洞窟内搭建轨道，使用高分辨率数码相机逐行拍摄，再通过图像拼接软件合成为整壁画的数字图像，单幅壁画的分辨率可达300DPI以上。</w:t>
      </w:r>
    </w:p>
    <w:p>
      <w:pPr>
        <w:spacing w:after="80" w:line="360" w:lineRule="auto"/>
        <w:ind w:firstLine="420"/>
      </w:pPr>
      <w:r>
        <w:rPr>
          <w:sz w:val="22"/>
        </w:rPr>
        <w:t>古遗址和古墓葬的数字化具有"不可重复"的特点——考古发掘本身具有破坏性，一旦发掘完成，遗址的原生状态便不可逆转地改变了。因此，考古现场的数字化记录具有特殊重要性。Caciora等人（2023）在研究建筑文化遗产数字化综合方法论时，提出了一套涵盖数据采集、处理、存储和发布的完整流程，为不可移动文物的系统化数字化提供了方法论参照[4]。</w:t>
      </w:r>
    </w:p>
    <w:p>
      <w:pPr>
        <w:spacing w:before="160" w:after="80"/>
      </w:pPr>
      <w:r>
        <w:rPr>
          <w:b/>
          <w:color w:val="2A9D8F"/>
          <w:sz w:val="26"/>
        </w:rPr>
        <w:t>2.1.3 物质文化遗产的物理劣化机制</w:t>
      </w:r>
    </w:p>
    <w:p>
      <w:pPr>
        <w:spacing w:after="80" w:line="360" w:lineRule="auto"/>
        <w:ind w:firstLine="420"/>
      </w:pPr>
      <w:r>
        <w:rPr>
          <w:sz w:val="22"/>
        </w:rPr>
        <w:t>理解文物的劣化机制是制定有效保护策略的前提。物质文化遗产的劣化可归纳为以下几类机制：</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D9E2EC"/>
          </w:tcPr>
          <w:p>
            <w:pPr>
              <w:spacing w:before="40" w:after="40"/>
            </w:pPr>
            <w:r>
              <w:rPr>
                <w:b/>
                <w:sz w:val="20"/>
              </w:rPr>
            </w:r>
            <w:r>
              <w:rPr>
                <w:b/>
                <w:sz w:val="20"/>
              </w:rPr>
              <w:t>劣化类型</w:t>
            </w:r>
          </w:p>
        </w:tc>
        <w:tc>
          <w:tcPr>
            <w:tcW w:type="dxa" w:w="2126"/>
            <w:shd w:val="clear" w:color="auto" w:fill="D9E2EC"/>
          </w:tcPr>
          <w:p>
            <w:pPr>
              <w:spacing w:before="40" w:after="40"/>
            </w:pPr>
            <w:r>
              <w:rPr>
                <w:b/>
                <w:sz w:val="20"/>
              </w:rPr>
            </w:r>
            <w:r>
              <w:rPr>
                <w:b/>
                <w:sz w:val="20"/>
              </w:rPr>
              <w:t>主要原因</w:t>
            </w:r>
          </w:p>
        </w:tc>
        <w:tc>
          <w:tcPr>
            <w:tcW w:type="dxa" w:w="2126"/>
            <w:shd w:val="clear" w:color="auto" w:fill="D9E2EC"/>
          </w:tcPr>
          <w:p>
            <w:pPr>
              <w:spacing w:before="40" w:after="40"/>
            </w:pPr>
            <w:r>
              <w:rPr>
                <w:b/>
                <w:sz w:val="20"/>
              </w:rPr>
            </w:r>
            <w:r>
              <w:rPr>
                <w:b/>
                <w:sz w:val="20"/>
              </w:rPr>
              <w:t>影响对象</w:t>
            </w:r>
          </w:p>
        </w:tc>
        <w:tc>
          <w:tcPr>
            <w:tcW w:type="dxa" w:w="2126"/>
            <w:shd w:val="clear" w:color="auto" w:fill="D9E2EC"/>
          </w:tcPr>
          <w:p>
            <w:pPr>
              <w:spacing w:before="40" w:after="40"/>
            </w:pPr>
            <w:r>
              <w:rPr>
                <w:b/>
                <w:sz w:val="20"/>
              </w:rPr>
            </w:r>
            <w:r>
              <w:rPr>
                <w:b/>
                <w:sz w:val="20"/>
              </w:rPr>
              <w:t>典型表现</w:t>
            </w:r>
          </w:p>
        </w:tc>
      </w:tr>
      <w:tr>
        <w:tc>
          <w:tcPr>
            <w:tcW w:type="dxa" w:w="2126"/>
          </w:tcPr>
          <w:p>
            <w:pPr>
              <w:spacing w:before="40" w:after="40"/>
            </w:pPr>
            <w:r>
              <w:rPr>
                <w:sz w:val="20"/>
              </w:rPr>
            </w:r>
            <w:r>
              <w:rPr>
                <w:sz w:val="20"/>
              </w:rPr>
              <w:t>物理劣化</w:t>
            </w:r>
          </w:p>
        </w:tc>
        <w:tc>
          <w:tcPr>
            <w:tcW w:type="dxa" w:w="2126"/>
          </w:tcPr>
          <w:p>
            <w:pPr>
              <w:spacing w:before="40" w:after="40"/>
            </w:pPr>
            <w:r>
              <w:rPr>
                <w:sz w:val="20"/>
              </w:rPr>
            </w:r>
            <w:r>
              <w:rPr>
                <w:sz w:val="20"/>
              </w:rPr>
              <w:t>温湿度变化、振动、磨损</w:t>
            </w:r>
          </w:p>
        </w:tc>
        <w:tc>
          <w:tcPr>
            <w:tcW w:type="dxa" w:w="2126"/>
          </w:tcPr>
          <w:p>
            <w:pPr>
              <w:spacing w:before="40" w:after="40"/>
            </w:pPr>
            <w:r>
              <w:rPr>
                <w:sz w:val="20"/>
              </w:rPr>
            </w:r>
            <w:r>
              <w:rPr>
                <w:sz w:val="20"/>
              </w:rPr>
              <w:t>石质、木质、金属文物</w:t>
            </w:r>
          </w:p>
        </w:tc>
        <w:tc>
          <w:tcPr>
            <w:tcW w:type="dxa" w:w="2126"/>
          </w:tcPr>
          <w:p>
            <w:pPr>
              <w:spacing w:before="40" w:after="40"/>
            </w:pPr>
            <w:r>
              <w:rPr>
                <w:sz w:val="20"/>
              </w:rPr>
            </w:r>
            <w:r>
              <w:rPr>
                <w:sz w:val="20"/>
              </w:rPr>
              <w:t>裂缝、变形、磨损</w:t>
            </w:r>
          </w:p>
        </w:tc>
      </w:tr>
      <w:tr>
        <w:tc>
          <w:tcPr>
            <w:tcW w:type="dxa" w:w="2126"/>
            <w:shd w:val="clear" w:color="auto" w:fill="F5F5F5"/>
          </w:tcPr>
          <w:p>
            <w:pPr>
              <w:spacing w:before="40" w:after="40"/>
            </w:pPr>
            <w:r>
              <w:rPr>
                <w:sz w:val="20"/>
              </w:rPr>
            </w:r>
            <w:r>
              <w:rPr>
                <w:sz w:val="20"/>
              </w:rPr>
              <w:t>化学劣化</w:t>
            </w:r>
          </w:p>
        </w:tc>
        <w:tc>
          <w:tcPr>
            <w:tcW w:type="dxa" w:w="2126"/>
            <w:shd w:val="clear" w:color="auto" w:fill="F5F5F5"/>
          </w:tcPr>
          <w:p>
            <w:pPr>
              <w:spacing w:before="40" w:after="40"/>
            </w:pPr>
            <w:r>
              <w:rPr>
                <w:sz w:val="20"/>
              </w:rPr>
            </w:r>
            <w:r>
              <w:rPr>
                <w:sz w:val="20"/>
              </w:rPr>
              <w:t>氧化、酸碱侵蚀、光化学反应</w:t>
            </w:r>
          </w:p>
        </w:tc>
        <w:tc>
          <w:tcPr>
            <w:tcW w:type="dxa" w:w="2126"/>
            <w:shd w:val="clear" w:color="auto" w:fill="F5F5F5"/>
          </w:tcPr>
          <w:p>
            <w:pPr>
              <w:spacing w:before="40" w:after="40"/>
            </w:pPr>
            <w:r>
              <w:rPr>
                <w:sz w:val="20"/>
              </w:rPr>
            </w:r>
            <w:r>
              <w:rPr>
                <w:sz w:val="20"/>
              </w:rPr>
              <w:t>金属、颜料、纺织品</w:t>
            </w:r>
          </w:p>
        </w:tc>
        <w:tc>
          <w:tcPr>
            <w:tcW w:type="dxa" w:w="2126"/>
            <w:shd w:val="clear" w:color="auto" w:fill="F5F5F5"/>
          </w:tcPr>
          <w:p>
            <w:pPr>
              <w:spacing w:before="40" w:after="40"/>
            </w:pPr>
            <w:r>
              <w:rPr>
                <w:sz w:val="20"/>
              </w:rPr>
            </w:r>
            <w:r>
              <w:rPr>
                <w:sz w:val="20"/>
              </w:rPr>
              <w:t>锈蚀、褪色、脆化</w:t>
            </w:r>
          </w:p>
        </w:tc>
      </w:tr>
      <w:tr>
        <w:tc>
          <w:tcPr>
            <w:tcW w:type="dxa" w:w="2126"/>
          </w:tcPr>
          <w:p>
            <w:pPr>
              <w:spacing w:before="40" w:after="40"/>
            </w:pPr>
            <w:r>
              <w:rPr>
                <w:sz w:val="20"/>
              </w:rPr>
            </w:r>
            <w:r>
              <w:rPr>
                <w:sz w:val="20"/>
              </w:rPr>
              <w:t>生物劣化</w:t>
            </w:r>
          </w:p>
        </w:tc>
        <w:tc>
          <w:tcPr>
            <w:tcW w:type="dxa" w:w="2126"/>
          </w:tcPr>
          <w:p>
            <w:pPr>
              <w:spacing w:before="40" w:after="40"/>
            </w:pPr>
            <w:r>
              <w:rPr>
                <w:sz w:val="20"/>
              </w:rPr>
            </w:r>
            <w:r>
              <w:rPr>
                <w:sz w:val="20"/>
              </w:rPr>
              <w:t>霉菌、昆虫、微生物</w:t>
            </w:r>
          </w:p>
        </w:tc>
        <w:tc>
          <w:tcPr>
            <w:tcW w:type="dxa" w:w="2126"/>
          </w:tcPr>
          <w:p>
            <w:pPr>
              <w:spacing w:before="40" w:after="40"/>
            </w:pPr>
            <w:r>
              <w:rPr>
                <w:sz w:val="20"/>
              </w:rPr>
            </w:r>
            <w:r>
              <w:rPr>
                <w:sz w:val="20"/>
              </w:rPr>
              <w:t>有机质文物（木材、纺织品、纸张）</w:t>
            </w:r>
          </w:p>
        </w:tc>
        <w:tc>
          <w:tcPr>
            <w:tcW w:type="dxa" w:w="2126"/>
          </w:tcPr>
          <w:p>
            <w:pPr>
              <w:spacing w:before="40" w:after="40"/>
            </w:pPr>
            <w:r>
              <w:rPr>
                <w:sz w:val="20"/>
              </w:rPr>
            </w:r>
            <w:r>
              <w:rPr>
                <w:sz w:val="20"/>
              </w:rPr>
              <w:t>腐朽、虫蛀、霉斑</w:t>
            </w:r>
          </w:p>
        </w:tc>
      </w:tr>
      <w:tr>
        <w:tc>
          <w:tcPr>
            <w:tcW w:type="dxa" w:w="2126"/>
            <w:shd w:val="clear" w:color="auto" w:fill="F5F5F5"/>
          </w:tcPr>
          <w:p>
            <w:pPr>
              <w:spacing w:before="40" w:after="40"/>
            </w:pPr>
            <w:r>
              <w:rPr>
                <w:sz w:val="20"/>
              </w:rPr>
            </w:r>
            <w:r>
              <w:rPr>
                <w:sz w:val="20"/>
              </w:rPr>
              <w:t>环境劣化</w:t>
            </w:r>
          </w:p>
        </w:tc>
        <w:tc>
          <w:tcPr>
            <w:tcW w:type="dxa" w:w="2126"/>
            <w:shd w:val="clear" w:color="auto" w:fill="F5F5F5"/>
          </w:tcPr>
          <w:p>
            <w:pPr>
              <w:spacing w:before="40" w:after="40"/>
            </w:pPr>
            <w:r>
              <w:rPr>
                <w:sz w:val="20"/>
              </w:rPr>
            </w:r>
            <w:r>
              <w:rPr>
                <w:sz w:val="20"/>
              </w:rPr>
              <w:t>空气污染、紫外线、湿度</w:t>
            </w:r>
          </w:p>
        </w:tc>
        <w:tc>
          <w:tcPr>
            <w:tcW w:type="dxa" w:w="2126"/>
            <w:shd w:val="clear" w:color="auto" w:fill="F5F5F5"/>
          </w:tcPr>
          <w:p>
            <w:pPr>
              <w:spacing w:before="40" w:after="40"/>
            </w:pPr>
            <w:r>
              <w:rPr>
                <w:sz w:val="20"/>
              </w:rPr>
            </w:r>
            <w:r>
              <w:rPr>
                <w:sz w:val="20"/>
              </w:rPr>
              <w:t>石刻、壁画、彩绘</w:t>
            </w:r>
          </w:p>
        </w:tc>
        <w:tc>
          <w:tcPr>
            <w:tcW w:type="dxa" w:w="2126"/>
            <w:shd w:val="clear" w:color="auto" w:fill="F5F5F5"/>
          </w:tcPr>
          <w:p>
            <w:pPr>
              <w:spacing w:before="40" w:after="40"/>
            </w:pPr>
            <w:r>
              <w:rPr>
                <w:sz w:val="20"/>
              </w:rPr>
            </w:r>
            <w:r>
              <w:rPr>
                <w:sz w:val="20"/>
              </w:rPr>
              <w:t>表面粉化、色彩脱落</w:t>
            </w:r>
          </w:p>
        </w:tc>
      </w:tr>
      <w:tr>
        <w:tc>
          <w:tcPr>
            <w:tcW w:type="dxa" w:w="2126"/>
          </w:tcPr>
          <w:p>
            <w:pPr>
              <w:spacing w:before="40" w:after="40"/>
            </w:pPr>
            <w:r>
              <w:rPr>
                <w:sz w:val="20"/>
              </w:rPr>
            </w:r>
            <w:r>
              <w:rPr>
                <w:sz w:val="20"/>
              </w:rPr>
              <w:t>人为劣化</w:t>
            </w:r>
          </w:p>
        </w:tc>
        <w:tc>
          <w:tcPr>
            <w:tcW w:type="dxa" w:w="2126"/>
          </w:tcPr>
          <w:p>
            <w:pPr>
              <w:spacing w:before="40" w:after="40"/>
            </w:pPr>
            <w:r>
              <w:rPr>
                <w:sz w:val="20"/>
              </w:rPr>
            </w:r>
            <w:r>
              <w:rPr>
                <w:sz w:val="20"/>
              </w:rPr>
              <w:t>不当修复、过度参观、盗窃</w:t>
            </w:r>
          </w:p>
        </w:tc>
        <w:tc>
          <w:tcPr>
            <w:tcW w:type="dxa" w:w="2126"/>
          </w:tcPr>
          <w:p>
            <w:pPr>
              <w:spacing w:before="40" w:after="40"/>
            </w:pPr>
            <w:r>
              <w:rPr>
                <w:sz w:val="20"/>
              </w:rPr>
            </w:r>
            <w:r>
              <w:rPr>
                <w:sz w:val="20"/>
              </w:rPr>
              <w:t>所有类型</w:t>
            </w:r>
          </w:p>
        </w:tc>
        <w:tc>
          <w:tcPr>
            <w:tcW w:type="dxa" w:w="2126"/>
          </w:tcPr>
          <w:p>
            <w:pPr>
              <w:spacing w:before="40" w:after="40"/>
            </w:pPr>
            <w:r>
              <w:rPr>
                <w:sz w:val="20"/>
              </w:rPr>
            </w:r>
            <w:r>
              <w:rPr>
                <w:sz w:val="20"/>
              </w:rPr>
              <w:t>机械损伤、化学污染</w:t>
            </w:r>
          </w:p>
        </w:tc>
      </w:tr>
    </w:tbl>
    <w:p>
      <w:pPr>
        <w:spacing w:after="80" w:line="360" w:lineRule="auto"/>
        <w:ind w:firstLine="420"/>
      </w:pPr>
      <w:r>
        <w:rPr>
          <w:sz w:val="22"/>
        </w:rPr>
        <w:t>数字化保护在此扮演的角色是"信息保险"——即便物理劣化无法完全阻止，数字档案可以保存文物在某一时间节点的完整信息，为未来修复提供参照，也为虚拟展示提供素材。林树笋等人（2013）在研究基于物联网技术的文物保存环境监测系统时，提出了对温湿度、光照、有害气体等环境因素的实时监测方案，为物理保护的数字化管理提供了技术支撑[5]。</w:t>
      </w:r>
    </w:p>
    <w:p>
      <w:pPr>
        <w:spacing w:before="200" w:after="120"/>
      </w:pPr>
      <w:r>
        <w:rPr>
          <w:b/>
          <w:color w:val="457B9D"/>
          <w:sz w:val="30"/>
        </w:rPr>
        <w:t>2.2 非物质文化遗产的范畴与特征</w:t>
      </w:r>
    </w:p>
    <w:p>
      <w:pPr>
        <w:spacing w:before="160" w:after="80"/>
      </w:pPr>
      <w:r>
        <w:rPr>
          <w:b/>
          <w:color w:val="2A9D8F"/>
          <w:sz w:val="26"/>
        </w:rPr>
        <w:t>2.2.1 ICH五大类型</w:t>
      </w:r>
    </w:p>
    <w:p>
      <w:pPr>
        <w:spacing w:after="80" w:line="360" w:lineRule="auto"/>
        <w:ind w:firstLine="420"/>
      </w:pPr>
      <w:r>
        <w:rPr>
          <w:sz w:val="22"/>
        </w:rPr>
        <w:t>根据UNESCO《保护非物质文化遗产公约》，ICH涵盖五大类型，每类都有独特的数字化保护需求：</w:t>
      </w:r>
    </w:p>
    <w:p>
      <w:pPr>
        <w:spacing w:after="80" w:line="360" w:lineRule="auto"/>
        <w:ind w:firstLine="420"/>
      </w:pPr>
      <w:r>
        <w:rPr>
          <w:b/>
          <w:sz w:val="22"/>
        </w:rPr>
        <w:t>（1）口头传统和表现形式</w:t>
      </w:r>
    </w:p>
    <w:p>
      <w:pPr>
        <w:spacing w:after="80" w:line="360" w:lineRule="auto"/>
        <w:ind w:firstLine="420"/>
      </w:pPr>
      <w:r>
        <w:rPr>
          <w:sz w:val="22"/>
        </w:rPr>
        <w:t>包括神话、史诗、传说、故事、谚语、谜语等口头文学形式，以及作为其媒介的语言。这类ICH的数字化核心是高质量音视频记录和语音转文字。卓颐（2016）在研究闽南音乐类ICH保护时指出，数字技术以其存储方便和传播迅速的优势被广泛应用于ICH的保存、交流和展示工作中，以往单一的文字记录正逐步转向文、影、音、图的立体化数字媒体记录[6]。</w:t>
      </w:r>
    </w:p>
    <w:p>
      <w:pPr>
        <w:spacing w:after="80" w:line="360" w:lineRule="auto"/>
        <w:ind w:firstLine="420"/>
      </w:pPr>
      <w:r>
        <w:rPr>
          <w:b/>
          <w:sz w:val="22"/>
        </w:rPr>
        <w:t>（2）表演艺术</w:t>
      </w:r>
    </w:p>
    <w:p>
      <w:pPr>
        <w:spacing w:after="80" w:line="360" w:lineRule="auto"/>
        <w:ind w:firstLine="420"/>
      </w:pPr>
      <w:r>
        <w:rPr>
          <w:sz w:val="22"/>
        </w:rPr>
        <w:t>包括传统音乐、舞蹈、戏剧、曲艺等。表演艺术的数字化不仅需要记录"结果"（演出），更需要记录"过程"（技艺）。动作捕捉技术在此领域具有独特价值——它可以精确记录表演者的身体运动轨迹、力度和节奏，为技艺传承提供比视频更精确的数据。</w:t>
      </w:r>
    </w:p>
    <w:p>
      <w:pPr>
        <w:spacing w:after="80" w:line="360" w:lineRule="auto"/>
        <w:ind w:firstLine="420"/>
      </w:pPr>
      <w:r>
        <w:rPr>
          <w:b/>
          <w:sz w:val="22"/>
        </w:rPr>
        <w:t>（3）社会实践、仪式、节庆活动</w:t>
      </w:r>
    </w:p>
    <w:p>
      <w:pPr>
        <w:spacing w:after="80" w:line="360" w:lineRule="auto"/>
        <w:ind w:firstLine="420"/>
      </w:pPr>
      <w:r>
        <w:rPr>
          <w:sz w:val="22"/>
        </w:rPr>
        <w:t>包括传统节庆、人生礼仪、宗教仪式等。这类ICH通常是社区集体实践，难以在实验室环境中"录制"。数字化记录需要在田野环境中进行，运用多机位视频、空间音频、无人机航拍等技术。其挑战在于如何在记录的同时尊重仪式的神圣性和文化敏感性。</w:t>
      </w:r>
    </w:p>
    <w:p>
      <w:pPr>
        <w:spacing w:after="80" w:line="360" w:lineRule="auto"/>
        <w:ind w:firstLine="420"/>
      </w:pPr>
      <w:r>
        <w:rPr>
          <w:b/>
          <w:sz w:val="22"/>
        </w:rPr>
        <w:t>（4）有关自然界和宇宙的知识和实践</w:t>
      </w:r>
    </w:p>
    <w:p>
      <w:pPr>
        <w:spacing w:after="80" w:line="360" w:lineRule="auto"/>
        <w:ind w:firstLine="420"/>
      </w:pPr>
      <w:r>
        <w:rPr>
          <w:sz w:val="22"/>
        </w:rPr>
        <w:t>包括传统农业知识、中医药知识、天文历法、传统生态知识等。这类ICH的数字化需要跨学科合作——如传统医药知识需要医学和药学专家参与标注和分类，传统农业知识需要农学背景的解读。</w:t>
      </w:r>
    </w:p>
    <w:p>
      <w:pPr>
        <w:spacing w:after="80" w:line="360" w:lineRule="auto"/>
        <w:ind w:firstLine="420"/>
      </w:pPr>
      <w:r>
        <w:rPr>
          <w:b/>
          <w:sz w:val="22"/>
        </w:rPr>
        <w:t>（5）传统手工艺</w:t>
      </w:r>
    </w:p>
    <w:p>
      <w:pPr>
        <w:spacing w:after="80" w:line="360" w:lineRule="auto"/>
        <w:ind w:firstLine="420"/>
      </w:pPr>
      <w:r>
        <w:rPr>
          <w:sz w:val="22"/>
        </w:rPr>
        <w:t>包括陶瓷烧造、金属工艺、织染绣、漆器、雕刻、竹编等。手工艺的数字化最为复杂，需要同时记录成品（三维数字化）、工艺流程（视频+动作捕捉）、材料知识（化学分析）和传承谱系（口述史）。彭冬梅（2008）以剪纸艺术为例，研究了ICH数字化保护技术，提出了两种ICH保护手段，探讨了中华民族进行ICH数字化保护的方法论[7]。</w:t>
      </w:r>
    </w:p>
    <w:p>
      <w:pPr>
        <w:spacing w:before="160" w:after="80"/>
      </w:pPr>
      <w:r>
        <w:rPr>
          <w:b/>
          <w:color w:val="2A9D8F"/>
          <w:sz w:val="26"/>
        </w:rPr>
        <w:t>2.2.2 ICH的活态性与传承性</w:t>
      </w:r>
    </w:p>
    <w:p>
      <w:pPr>
        <w:spacing w:after="80" w:line="360" w:lineRule="auto"/>
        <w:ind w:firstLine="420"/>
      </w:pPr>
      <w:r>
        <w:rPr>
          <w:sz w:val="22"/>
        </w:rPr>
        <w:t>ICH与物质遗产最根本的区别在于其"活态性"（living nature）。物质遗产是凝固的"物"，其价值在于保存历史信息；ICH是流动的"实践"，其价值在于持续的传承和演变。这意味着ICH的保护不是"冻结"它在某一时刻的状态，而是保障其持续传承的条件。</w:t>
      </w:r>
    </w:p>
    <w:p>
      <w:pPr>
        <w:spacing w:after="80" w:line="360" w:lineRule="auto"/>
        <w:ind w:firstLine="420"/>
      </w:pPr>
      <w:r>
        <w:rPr>
          <w:sz w:val="22"/>
        </w:rPr>
        <w:t>活态性带来了数字化的根本悖论：数字化记录必然将ICH"固定"在某一时刻，而ICH的本质在于其流变性。如何在数字化保存与活态传承之间取得平衡，是ICH数字化保护的核心议题。卓么措（2013）在研究基于数字技术的ICH保护与传承时提出，数字化采集和存储技术以及数字化复原再现技术对ICH的保护起到了关键作用，但需要建立ICH的分类体系和数据采集体系来指导系统化实践[8]。</w:t>
      </w:r>
    </w:p>
    <w:p>
      <w:pPr>
        <w:spacing w:after="80" w:line="360" w:lineRule="auto"/>
        <w:ind w:firstLine="420"/>
      </w:pPr>
      <w:r>
        <w:rPr>
          <w:sz w:val="22"/>
        </w:rPr>
        <w:t>传承性是活态性的直接延伸。ICH通过传承人代代相传，传承人是ICH的"活载体"。中国建立了国家级、省级、市县级四级非遗代表性传承人认定制度，截至2023年共有国家级非遗代表性传承人3068名。数字化保护需要将传承人的技艺、知识和口述史系统记录，同时也要关注传承生态——包括传承人的工作条件、学徒培养机制和社区文化环境。</w:t>
      </w:r>
    </w:p>
    <w:p>
      <w:pPr>
        <w:spacing w:before="160" w:after="80"/>
      </w:pPr>
      <w:r>
        <w:rPr>
          <w:b/>
          <w:color w:val="2A9D8F"/>
          <w:sz w:val="26"/>
        </w:rPr>
        <w:t>2.2.3 ICH面临的生存挑战</w:t>
      </w:r>
    </w:p>
    <w:p>
      <w:pPr>
        <w:spacing w:after="80" w:line="360" w:lineRule="auto"/>
        <w:ind w:firstLine="420"/>
      </w:pPr>
      <w:r>
        <w:rPr>
          <w:sz w:val="22"/>
        </w:rPr>
        <w:t>当代ICH面临多重生存威胁。Wan Isa等人（2018）在研究ICH数字保存时指出，ICH面临着快速社会现代化和有限保护资源的双重压力[9]。主要威胁包括：</w:t>
      </w:r>
    </w:p>
    <w:p>
      <w:pPr>
        <w:spacing w:after="80" w:line="360" w:lineRule="auto"/>
        <w:ind w:firstLine="420"/>
      </w:pPr>
      <w:r>
        <w:rPr>
          <w:b/>
          <w:sz w:val="22"/>
        </w:rPr>
        <w:t>现代化与城市化冲击</w:t>
      </w:r>
      <w:r>
        <w:rPr>
          <w:sz w:val="22"/>
        </w:rPr>
        <w:t>：传统村落空心化导致ICH失去传承土壤，年轻一代外出务工使技艺传承链条断裂。</w:t>
      </w:r>
    </w:p>
    <w:p>
      <w:pPr>
        <w:spacing w:after="80" w:line="360" w:lineRule="auto"/>
        <w:ind w:firstLine="420"/>
      </w:pPr>
      <w:r>
        <w:rPr>
          <w:b/>
          <w:sz w:val="22"/>
        </w:rPr>
        <w:t>商业化扭曲</w:t>
      </w:r>
      <w:r>
        <w:rPr>
          <w:sz w:val="22"/>
        </w:rPr>
        <w:t>：部分ICH项目在旅游开发中被过度商业化，原有的文化内涵被简化或歪曲以迎合游客需求。</w:t>
      </w:r>
    </w:p>
    <w:p>
      <w:pPr>
        <w:spacing w:after="80" w:line="360" w:lineRule="auto"/>
        <w:ind w:firstLine="420"/>
      </w:pPr>
      <w:r>
        <w:rPr>
          <w:b/>
          <w:sz w:val="22"/>
        </w:rPr>
        <w:t>传承人老龄化</w:t>
      </w:r>
      <w:r>
        <w:rPr>
          <w:sz w:val="22"/>
        </w:rPr>
        <w:t>：国家级非遗传承人平均年龄超过60岁，部分项目面临"人亡艺绝"的紧迫风险。</w:t>
      </w:r>
    </w:p>
    <w:p>
      <w:pPr>
        <w:spacing w:after="80" w:line="360" w:lineRule="auto"/>
        <w:ind w:firstLine="420"/>
      </w:pPr>
      <w:r>
        <w:rPr>
          <w:b/>
          <w:sz w:val="22"/>
        </w:rPr>
        <w:t>文化生态变迁</w:t>
      </w:r>
      <w:r>
        <w:rPr>
          <w:sz w:val="22"/>
        </w:rPr>
        <w:t>：传统生产方式和生活方式的消亡使许多ICH失去存在意义——如与手工农业相关的祭祀仪式在机械化农业时代难以维系。</w:t>
      </w:r>
    </w:p>
    <w:p>
      <w:pPr>
        <w:spacing w:after="80" w:line="360" w:lineRule="auto"/>
        <w:ind w:firstLine="420"/>
      </w:pPr>
      <w:r>
        <w:rPr>
          <w:sz w:val="22"/>
        </w:rPr>
        <w:t>Amali等人（2022）在对有形与无形文化遗产数字技术保护的研究中强调，目前ICH的保存存在显著不足，而有形文化遗产文物的展示场所也缺乏足够的保护，数字技术为两者提供了新的保护路径[10]。</w:t>
      </w:r>
    </w:p>
    <w:p>
      <w:pPr>
        <w:spacing w:before="200" w:after="120"/>
      </w:pPr>
      <w:r>
        <w:rPr>
          <w:b/>
          <w:color w:val="457B9D"/>
          <w:sz w:val="30"/>
        </w:rPr>
        <w:t>2.3 两类遗产的比较分析</w:t>
      </w:r>
    </w:p>
    <w:p>
      <w:pPr>
        <w:spacing w:before="160" w:after="80"/>
      </w:pPr>
      <w:r>
        <w:rPr>
          <w:b/>
          <w:color w:val="2A9D8F"/>
          <w:sz w:val="26"/>
        </w:rPr>
        <w:t>2.3.1 保护目标差异：静态保存 vs. 活态传承</w:t>
      </w:r>
    </w:p>
    <w:p>
      <w:pPr>
        <w:spacing w:after="80" w:line="360" w:lineRule="auto"/>
        <w:ind w:firstLine="420"/>
      </w:pPr>
      <w:r>
        <w:rPr>
          <w:sz w:val="22"/>
        </w:rPr>
        <w:t>物质文化遗产与ICH在保护目标上存在根本差异。物质遗产的保护目标是"静态保存"——尽可能完整地保存文物的物理实体及其携带的历史信息，延缓劣化过程。修复工作遵循"最小干预"原则，任何修复都应当可识别、可逆。</w:t>
      </w:r>
    </w:p>
    <w:p>
      <w:pPr>
        <w:spacing w:after="80" w:line="360" w:lineRule="auto"/>
        <w:ind w:firstLine="420"/>
      </w:pPr>
      <w:r>
        <w:rPr>
          <w:sz w:val="22"/>
        </w:rPr>
        <w:t>ICH的保护目标则是"活态传承"——不是将技艺"冷冻"在某一时刻，而是保障其在当代社会中持续传承和合理演变的能力。这意味着ICH保护更关注"人"和"社区"而非"物"。Robbins（2010）提出，ICH的保护应"超越保存"，探索技术创新如何通过ICH获得新方向，而非仅仅将ICH作为被动的保存对象[11]。</w:t>
      </w:r>
    </w:p>
    <w:p>
      <w:pPr>
        <w:spacing w:after="80" w:line="360" w:lineRule="auto"/>
        <w:ind w:firstLine="420"/>
      </w:pPr>
      <w:r>
        <w:rPr>
          <w:sz w:val="22"/>
        </w:rPr>
        <w:t>这一目标差异直接影响了数字化策略。物质遗产的数字化追求"高保真复制"——数字模型越接近实物越好。ICH的数字化则更复杂——不仅要记录"结果"（如一件剪纸作品的图像），更要记录"过程"（如剪纸艺人的手法、力度、节奏），甚至要记录"语境"（如剪纸在民俗活动中的功能与意义）。</w:t>
      </w:r>
    </w:p>
    <w:p>
      <w:pPr>
        <w:spacing w:before="160" w:after="80"/>
      </w:pPr>
      <w:r>
        <w:rPr>
          <w:b/>
          <w:color w:val="2A9D8F"/>
          <w:sz w:val="26"/>
        </w:rPr>
        <w:t>2.3.2 技术路径差异：实体数字化 vs. 过程记录</w:t>
      </w:r>
    </w:p>
    <w:p>
      <w:pPr>
        <w:spacing w:after="80" w:line="360" w:lineRule="auto"/>
        <w:ind w:firstLine="420"/>
      </w:pPr>
      <w:r>
        <w:rPr>
          <w:sz w:val="22"/>
        </w:rPr>
        <w:t>两类遗产在数字化技术路径上的差异可归纳如下：</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D9E2EC"/>
          </w:tcPr>
          <w:p>
            <w:pPr>
              <w:spacing w:before="40" w:after="40"/>
            </w:pPr>
            <w:r>
              <w:rPr>
                <w:b/>
                <w:sz w:val="20"/>
              </w:rPr>
            </w:r>
            <w:r>
              <w:rPr>
                <w:b/>
                <w:sz w:val="20"/>
              </w:rPr>
              <w:t>维度</w:t>
            </w:r>
          </w:p>
        </w:tc>
        <w:tc>
          <w:tcPr>
            <w:tcW w:type="dxa" w:w="2835"/>
            <w:shd w:val="clear" w:color="auto" w:fill="D9E2EC"/>
          </w:tcPr>
          <w:p>
            <w:pPr>
              <w:spacing w:before="40" w:after="40"/>
            </w:pPr>
            <w:r>
              <w:rPr>
                <w:b/>
                <w:sz w:val="20"/>
              </w:rPr>
            </w:r>
            <w:r>
              <w:rPr>
                <w:b/>
                <w:sz w:val="20"/>
              </w:rPr>
              <w:t>物质文化遗产</w:t>
            </w:r>
          </w:p>
        </w:tc>
        <w:tc>
          <w:tcPr>
            <w:tcW w:type="dxa" w:w="2835"/>
            <w:shd w:val="clear" w:color="auto" w:fill="D9E2EC"/>
          </w:tcPr>
          <w:p>
            <w:pPr>
              <w:spacing w:before="40" w:after="40"/>
            </w:pPr>
            <w:r>
              <w:rPr>
                <w:b/>
                <w:sz w:val="20"/>
              </w:rPr>
            </w:r>
            <w:r>
              <w:rPr>
                <w:b/>
                <w:sz w:val="20"/>
              </w:rPr>
              <w:t>非物质文化遗产</w:t>
            </w:r>
          </w:p>
        </w:tc>
      </w:tr>
      <w:tr>
        <w:tc>
          <w:tcPr>
            <w:tcW w:type="dxa" w:w="2835"/>
          </w:tcPr>
          <w:p>
            <w:pPr>
              <w:spacing w:before="40" w:after="40"/>
            </w:pPr>
            <w:r>
              <w:rPr>
                <w:sz w:val="20"/>
              </w:rPr>
            </w:r>
            <w:r>
              <w:rPr>
                <w:sz w:val="20"/>
              </w:rPr>
              <w:t>核心技术</w:t>
            </w:r>
          </w:p>
        </w:tc>
        <w:tc>
          <w:tcPr>
            <w:tcW w:type="dxa" w:w="2835"/>
          </w:tcPr>
          <w:p>
            <w:pPr>
              <w:spacing w:before="40" w:after="40"/>
            </w:pPr>
            <w:r>
              <w:rPr>
                <w:sz w:val="20"/>
              </w:rPr>
            </w:r>
            <w:r>
              <w:rPr>
                <w:sz w:val="20"/>
              </w:rPr>
              <w:t>三维激光扫描、摄影测量、多光谱成像</w:t>
            </w:r>
          </w:p>
        </w:tc>
        <w:tc>
          <w:tcPr>
            <w:tcW w:type="dxa" w:w="2835"/>
          </w:tcPr>
          <w:p>
            <w:pPr>
              <w:spacing w:before="40" w:after="40"/>
            </w:pPr>
            <w:r>
              <w:rPr>
                <w:sz w:val="20"/>
              </w:rPr>
            </w:r>
            <w:r>
              <w:rPr>
                <w:sz w:val="20"/>
              </w:rPr>
              <w:t>音视频记录、动作捕捉、口述史</w:t>
            </w:r>
          </w:p>
        </w:tc>
      </w:tr>
      <w:tr>
        <w:tc>
          <w:tcPr>
            <w:tcW w:type="dxa" w:w="2835"/>
            <w:shd w:val="clear" w:color="auto" w:fill="F5F5F5"/>
          </w:tcPr>
          <w:p>
            <w:pPr>
              <w:spacing w:before="40" w:after="40"/>
            </w:pPr>
            <w:r>
              <w:rPr>
                <w:sz w:val="20"/>
              </w:rPr>
            </w:r>
            <w:r>
              <w:rPr>
                <w:sz w:val="20"/>
              </w:rPr>
              <w:t>数据类型</w:t>
            </w:r>
          </w:p>
        </w:tc>
        <w:tc>
          <w:tcPr>
            <w:tcW w:type="dxa" w:w="2835"/>
            <w:shd w:val="clear" w:color="auto" w:fill="F5F5F5"/>
          </w:tcPr>
          <w:p>
            <w:pPr>
              <w:spacing w:before="40" w:after="40"/>
            </w:pPr>
            <w:r>
              <w:rPr>
                <w:sz w:val="20"/>
              </w:rPr>
            </w:r>
            <w:r>
              <w:rPr>
                <w:sz w:val="20"/>
              </w:rPr>
              <w:t>几何数据、纹理数据、材料数据</w:t>
            </w:r>
          </w:p>
        </w:tc>
        <w:tc>
          <w:tcPr>
            <w:tcW w:type="dxa" w:w="2835"/>
            <w:shd w:val="clear" w:color="auto" w:fill="F5F5F5"/>
          </w:tcPr>
          <w:p>
            <w:pPr>
              <w:spacing w:before="40" w:after="40"/>
            </w:pPr>
            <w:r>
              <w:rPr>
                <w:sz w:val="20"/>
              </w:rPr>
            </w:r>
            <w:r>
              <w:rPr>
                <w:sz w:val="20"/>
              </w:rPr>
              <w:t>时序数据、运动数据、语义数据</w:t>
            </w:r>
          </w:p>
        </w:tc>
      </w:tr>
      <w:tr>
        <w:tc>
          <w:tcPr>
            <w:tcW w:type="dxa" w:w="2835"/>
          </w:tcPr>
          <w:p>
            <w:pPr>
              <w:spacing w:before="40" w:after="40"/>
            </w:pPr>
            <w:r>
              <w:rPr>
                <w:sz w:val="20"/>
              </w:rPr>
            </w:r>
            <w:r>
              <w:rPr>
                <w:sz w:val="20"/>
              </w:rPr>
              <w:t>记录对象</w:t>
            </w:r>
          </w:p>
        </w:tc>
        <w:tc>
          <w:tcPr>
            <w:tcW w:type="dxa" w:w="2835"/>
          </w:tcPr>
          <w:p>
            <w:pPr>
              <w:spacing w:before="40" w:after="40"/>
            </w:pPr>
            <w:r>
              <w:rPr>
                <w:sz w:val="20"/>
              </w:rPr>
            </w:r>
            <w:r>
              <w:rPr>
                <w:sz w:val="20"/>
              </w:rPr>
              <w:t>静态实体</w:t>
            </w:r>
          </w:p>
        </w:tc>
        <w:tc>
          <w:tcPr>
            <w:tcW w:type="dxa" w:w="2835"/>
          </w:tcPr>
          <w:p>
            <w:pPr>
              <w:spacing w:before="40" w:after="40"/>
            </w:pPr>
            <w:r>
              <w:rPr>
                <w:sz w:val="20"/>
              </w:rPr>
            </w:r>
            <w:r>
              <w:rPr>
                <w:sz w:val="20"/>
              </w:rPr>
              <w:t>动态过程</w:t>
            </w:r>
          </w:p>
        </w:tc>
      </w:tr>
      <w:tr>
        <w:tc>
          <w:tcPr>
            <w:tcW w:type="dxa" w:w="2835"/>
            <w:shd w:val="clear" w:color="auto" w:fill="F5F5F5"/>
          </w:tcPr>
          <w:p>
            <w:pPr>
              <w:spacing w:before="40" w:after="40"/>
            </w:pPr>
            <w:r>
              <w:rPr>
                <w:sz w:val="20"/>
              </w:rPr>
            </w:r>
            <w:r>
              <w:rPr>
                <w:sz w:val="20"/>
              </w:rPr>
              <w:t>数据精度</w:t>
            </w:r>
          </w:p>
        </w:tc>
        <w:tc>
          <w:tcPr>
            <w:tcW w:type="dxa" w:w="2835"/>
            <w:shd w:val="clear" w:color="auto" w:fill="F5F5F5"/>
          </w:tcPr>
          <w:p>
            <w:pPr>
              <w:spacing w:before="40" w:after="40"/>
            </w:pPr>
            <w:r>
              <w:rPr>
                <w:sz w:val="20"/>
              </w:rPr>
            </w:r>
            <w:r>
              <w:rPr>
                <w:sz w:val="20"/>
              </w:rPr>
              <w:t>空间精度（毫米级）</w:t>
            </w:r>
          </w:p>
        </w:tc>
        <w:tc>
          <w:tcPr>
            <w:tcW w:type="dxa" w:w="2835"/>
            <w:shd w:val="clear" w:color="auto" w:fill="F5F5F5"/>
          </w:tcPr>
          <w:p>
            <w:pPr>
              <w:spacing w:before="40" w:after="40"/>
            </w:pPr>
            <w:r>
              <w:rPr>
                <w:sz w:val="20"/>
              </w:rPr>
            </w:r>
            <w:r>
              <w:rPr>
                <w:sz w:val="20"/>
              </w:rPr>
              <w:t>时间精度（帧级）+语义精度</w:t>
            </w:r>
          </w:p>
        </w:tc>
      </w:tr>
      <w:tr>
        <w:tc>
          <w:tcPr>
            <w:tcW w:type="dxa" w:w="2835"/>
          </w:tcPr>
          <w:p>
            <w:pPr>
              <w:spacing w:before="40" w:after="40"/>
            </w:pPr>
            <w:r>
              <w:rPr>
                <w:sz w:val="20"/>
              </w:rPr>
            </w:r>
            <w:r>
              <w:rPr>
                <w:sz w:val="20"/>
              </w:rPr>
              <w:t>存储格式</w:t>
            </w:r>
          </w:p>
        </w:tc>
        <w:tc>
          <w:tcPr>
            <w:tcW w:type="dxa" w:w="2835"/>
          </w:tcPr>
          <w:p>
            <w:pPr>
              <w:spacing w:before="40" w:after="40"/>
            </w:pPr>
            <w:r>
              <w:rPr>
                <w:sz w:val="20"/>
              </w:rPr>
            </w:r>
            <w:r>
              <w:rPr>
                <w:sz w:val="20"/>
              </w:rPr>
              <w:t>点云、网格模型、高分辨率图像</w:t>
            </w:r>
          </w:p>
        </w:tc>
        <w:tc>
          <w:tcPr>
            <w:tcW w:type="dxa" w:w="2835"/>
          </w:tcPr>
          <w:p>
            <w:pPr>
              <w:spacing w:before="40" w:after="40"/>
            </w:pPr>
            <w:r>
              <w:rPr>
                <w:sz w:val="20"/>
              </w:rPr>
            </w:r>
            <w:r>
              <w:rPr>
                <w:sz w:val="20"/>
              </w:rPr>
              <w:t>视频、音频、运动数据、文本</w:t>
            </w:r>
          </w:p>
        </w:tc>
      </w:tr>
      <w:tr>
        <w:tc>
          <w:tcPr>
            <w:tcW w:type="dxa" w:w="2835"/>
            <w:shd w:val="clear" w:color="auto" w:fill="F5F5F5"/>
          </w:tcPr>
          <w:p>
            <w:pPr>
              <w:spacing w:before="40" w:after="40"/>
            </w:pPr>
            <w:r>
              <w:rPr>
                <w:sz w:val="20"/>
              </w:rPr>
            </w:r>
            <w:r>
              <w:rPr>
                <w:sz w:val="20"/>
              </w:rPr>
              <w:t>展示方式</w:t>
            </w:r>
          </w:p>
        </w:tc>
        <w:tc>
          <w:tcPr>
            <w:tcW w:type="dxa" w:w="2835"/>
            <w:shd w:val="clear" w:color="auto" w:fill="F5F5F5"/>
          </w:tcPr>
          <w:p>
            <w:pPr>
              <w:spacing w:before="40" w:after="40"/>
            </w:pPr>
            <w:r>
              <w:rPr>
                <w:sz w:val="20"/>
              </w:rPr>
            </w:r>
            <w:r>
              <w:rPr>
                <w:sz w:val="20"/>
              </w:rPr>
              <w:t>三维浏览、虚拟展厅</w:t>
            </w:r>
          </w:p>
        </w:tc>
        <w:tc>
          <w:tcPr>
            <w:tcW w:type="dxa" w:w="2835"/>
            <w:shd w:val="clear" w:color="auto" w:fill="F5F5F5"/>
          </w:tcPr>
          <w:p>
            <w:pPr>
              <w:spacing w:before="40" w:after="40"/>
            </w:pPr>
            <w:r>
              <w:rPr>
                <w:sz w:val="20"/>
              </w:rPr>
            </w:r>
            <w:r>
              <w:rPr>
                <w:sz w:val="20"/>
              </w:rPr>
              <w:t>交互体验、过程再现</w:t>
            </w:r>
          </w:p>
        </w:tc>
      </w:tr>
      <w:tr>
        <w:tc>
          <w:tcPr>
            <w:tcW w:type="dxa" w:w="2835"/>
          </w:tcPr>
          <w:p>
            <w:pPr>
              <w:spacing w:before="40" w:after="40"/>
            </w:pPr>
            <w:r>
              <w:rPr>
                <w:sz w:val="20"/>
              </w:rPr>
            </w:r>
            <w:r>
              <w:rPr>
                <w:sz w:val="20"/>
              </w:rPr>
              <w:t>版权归属</w:t>
            </w:r>
          </w:p>
        </w:tc>
        <w:tc>
          <w:tcPr>
            <w:tcW w:type="dxa" w:w="2835"/>
          </w:tcPr>
          <w:p>
            <w:pPr>
              <w:spacing w:before="40" w:after="40"/>
            </w:pPr>
            <w:r>
              <w:rPr>
                <w:sz w:val="20"/>
              </w:rPr>
            </w:r>
            <w:r>
              <w:rPr>
                <w:sz w:val="20"/>
              </w:rPr>
              <w:t>较明确（文物所有权+数字版权）</w:t>
            </w:r>
          </w:p>
        </w:tc>
        <w:tc>
          <w:tcPr>
            <w:tcW w:type="dxa" w:w="2835"/>
          </w:tcPr>
          <w:p>
            <w:pPr>
              <w:spacing w:before="40" w:after="40"/>
            </w:pPr>
            <w:r>
              <w:rPr>
                <w:sz w:val="20"/>
              </w:rPr>
            </w:r>
            <w:r>
              <w:rPr>
                <w:sz w:val="20"/>
              </w:rPr>
              <w:t>复杂（传承人、社区、国家多方权益）</w:t>
            </w:r>
          </w:p>
        </w:tc>
      </w:tr>
    </w:tbl>
    <w:p>
      <w:pPr>
        <w:spacing w:before="160" w:after="80"/>
      </w:pPr>
      <w:r>
        <w:rPr>
          <w:b/>
          <w:color w:val="2A9D8F"/>
          <w:sz w:val="26"/>
        </w:rPr>
        <w:t>2.3.3 价值评估共性：真实性、完整性、代表性</w:t>
      </w:r>
    </w:p>
    <w:p>
      <w:pPr>
        <w:spacing w:after="80" w:line="360" w:lineRule="auto"/>
        <w:ind w:firstLine="420"/>
      </w:pPr>
      <w:r>
        <w:rPr>
          <w:sz w:val="22"/>
        </w:rPr>
        <w:t>尽管保护目标和技术路径存在差异，两类遗产在价值评估上具有共性框架。UNESCO和ICOMOS（国际古迹遗址理事会）确立的遗产价值评估核心标准包括：</w:t>
      </w:r>
    </w:p>
    <w:p>
      <w:pPr>
        <w:spacing w:after="80" w:line="360" w:lineRule="auto"/>
        <w:ind w:firstLine="420"/>
      </w:pPr>
      <w:r>
        <w:rPr>
          <w:b/>
          <w:sz w:val="22"/>
        </w:rPr>
        <w:t>真实性（Authenticity）</w:t>
      </w:r>
      <w:r>
        <w:rPr>
          <w:sz w:val="22"/>
        </w:rPr>
        <w:t>：物质遗产的真实性体现在材料、工艺、形制等方面；ICH的真实性体现在传承谱系的连贯性和社区认同的真实性。《奈良真实性文件》强调，真实性的判断应基于文化遗产的"信息来源"是否可靠，而非单一的物质标准。</w:t>
      </w:r>
    </w:p>
    <w:p>
      <w:pPr>
        <w:spacing w:after="80" w:line="360" w:lineRule="auto"/>
        <w:ind w:firstLine="420"/>
      </w:pPr>
      <w:r>
        <w:rPr>
          <w:b/>
          <w:sz w:val="22"/>
        </w:rPr>
        <w:t>完整性（Integrity）</w:t>
      </w:r>
      <w:r>
        <w:rPr>
          <w:sz w:val="22"/>
        </w:rPr>
        <w:t>：物质遗产要求物理完整性和环境完整性；ICH要求传承链条的完整性和文化生态的完整性。</w:t>
      </w:r>
    </w:p>
    <w:p>
      <w:pPr>
        <w:spacing w:after="80" w:line="360" w:lineRule="auto"/>
        <w:ind w:firstLine="420"/>
      </w:pPr>
      <w:r>
        <w:rPr>
          <w:b/>
          <w:sz w:val="22"/>
        </w:rPr>
        <w:t>代表性（Representativeness）</w:t>
      </w:r>
      <w:r>
        <w:rPr>
          <w:sz w:val="22"/>
        </w:rPr>
        <w:t>：无论是物质还是非物质遗产，都需要评估其在同类遗产中的典型性和代表性，以及其对人类文化多样性的贡献。</w:t>
      </w:r>
    </w:p>
    <w:p>
      <w:pPr>
        <w:spacing w:after="80" w:line="360" w:lineRule="auto"/>
        <w:ind w:firstLine="420"/>
      </w:pPr>
      <w:r>
        <w:rPr>
          <w:sz w:val="22"/>
        </w:rPr>
        <w:t>在数字化语境下，还需评估"数字化价值"——即数字化为遗产带来的附加价值。Grzeszczuk等人（2024）在有形与无形文化遗产保护的研究中，以意大利沃尔泰拉和Atari为例，探讨了数字化保护如何为遗产增加新的认知维度和传播渠道[12]。</w:t>
      </w:r>
    </w:p>
    <w:p>
      <w:pPr>
        <w:spacing w:before="200" w:after="120"/>
      </w:pPr>
      <w:r>
        <w:rPr>
          <w:b/>
          <w:color w:val="457B9D"/>
          <w:sz w:val="30"/>
        </w:rPr>
        <w:t>2.4 中国文化遗产资源概况</w:t>
      </w:r>
    </w:p>
    <w:p>
      <w:pPr>
        <w:spacing w:before="160" w:after="80"/>
      </w:pPr>
      <w:r>
        <w:rPr>
          <w:b/>
          <w:color w:val="2A9D8F"/>
          <w:sz w:val="26"/>
        </w:rPr>
        <w:t>2.4.1 全国重点文物保护单位分布</w:t>
      </w:r>
    </w:p>
    <w:p>
      <w:pPr>
        <w:spacing w:after="80" w:line="360" w:lineRule="auto"/>
        <w:ind w:firstLine="420"/>
      </w:pPr>
      <w:r>
        <w:rPr>
          <w:sz w:val="22"/>
        </w:rPr>
        <w:t>中国已建立了多级文物保护单位体系。截至2023年，全国共有全国重点文物保护单位5058处，省级文物保护单位2万余处，市县级文物保护单位11万余处。这些文物保护单位按类型分布如下：</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D9E2EC"/>
          </w:tcPr>
          <w:p>
            <w:pPr>
              <w:spacing w:before="40" w:after="40"/>
            </w:pPr>
            <w:r>
              <w:rPr>
                <w:b/>
                <w:sz w:val="20"/>
              </w:rPr>
            </w:r>
            <w:r>
              <w:rPr>
                <w:b/>
                <w:sz w:val="20"/>
              </w:rPr>
              <w:t>类型</w:t>
            </w:r>
          </w:p>
        </w:tc>
        <w:tc>
          <w:tcPr>
            <w:tcW w:type="dxa" w:w="2835"/>
            <w:shd w:val="clear" w:color="auto" w:fill="D9E2EC"/>
          </w:tcPr>
          <w:p>
            <w:pPr>
              <w:spacing w:before="40" w:after="40"/>
            </w:pPr>
            <w:r>
              <w:rPr>
                <w:b/>
                <w:sz w:val="20"/>
              </w:rPr>
            </w:r>
            <w:r>
              <w:rPr>
                <w:b/>
                <w:sz w:val="20"/>
              </w:rPr>
              <w:t>大致比例</w:t>
            </w:r>
          </w:p>
        </w:tc>
        <w:tc>
          <w:tcPr>
            <w:tcW w:type="dxa" w:w="2835"/>
            <w:shd w:val="clear" w:color="auto" w:fill="D9E2EC"/>
          </w:tcPr>
          <w:p>
            <w:pPr>
              <w:spacing w:before="40" w:after="40"/>
            </w:pPr>
            <w:r>
              <w:rPr>
                <w:b/>
                <w:sz w:val="20"/>
              </w:rPr>
            </w:r>
            <w:r>
              <w:rPr>
                <w:b/>
                <w:sz w:val="20"/>
              </w:rPr>
              <w:t>典型代表</w:t>
            </w:r>
          </w:p>
        </w:tc>
      </w:tr>
      <w:tr>
        <w:tc>
          <w:tcPr>
            <w:tcW w:type="dxa" w:w="2835"/>
          </w:tcPr>
          <w:p>
            <w:pPr>
              <w:spacing w:before="40" w:after="40"/>
            </w:pPr>
            <w:r>
              <w:rPr>
                <w:sz w:val="20"/>
              </w:rPr>
            </w:r>
            <w:r>
              <w:rPr>
                <w:sz w:val="20"/>
              </w:rPr>
              <w:t>古遗址</w:t>
            </w:r>
          </w:p>
        </w:tc>
        <w:tc>
          <w:tcPr>
            <w:tcW w:type="dxa" w:w="2835"/>
          </w:tcPr>
          <w:p>
            <w:pPr>
              <w:spacing w:before="40" w:after="40"/>
            </w:pPr>
            <w:r>
              <w:rPr>
                <w:sz w:val="20"/>
              </w:rPr>
            </w:r>
            <w:r>
              <w:rPr>
                <w:sz w:val="20"/>
              </w:rPr>
              <w:t>约20%</w:t>
            </w:r>
          </w:p>
        </w:tc>
        <w:tc>
          <w:tcPr>
            <w:tcW w:type="dxa" w:w="2835"/>
          </w:tcPr>
          <w:p>
            <w:pPr>
              <w:spacing w:before="40" w:after="40"/>
            </w:pPr>
            <w:r>
              <w:rPr>
                <w:sz w:val="20"/>
              </w:rPr>
            </w:r>
            <w:r>
              <w:rPr>
                <w:sz w:val="20"/>
              </w:rPr>
              <w:t>殷墟、良渚遗址、三星堆遗址</w:t>
            </w:r>
          </w:p>
        </w:tc>
      </w:tr>
      <w:tr>
        <w:tc>
          <w:tcPr>
            <w:tcW w:type="dxa" w:w="2835"/>
            <w:shd w:val="clear" w:color="auto" w:fill="F5F5F5"/>
          </w:tcPr>
          <w:p>
            <w:pPr>
              <w:spacing w:before="40" w:after="40"/>
            </w:pPr>
            <w:r>
              <w:rPr>
                <w:sz w:val="20"/>
              </w:rPr>
            </w:r>
            <w:r>
              <w:rPr>
                <w:sz w:val="20"/>
              </w:rPr>
              <w:t>古墓葬</w:t>
            </w:r>
          </w:p>
        </w:tc>
        <w:tc>
          <w:tcPr>
            <w:tcW w:type="dxa" w:w="2835"/>
            <w:shd w:val="clear" w:color="auto" w:fill="F5F5F5"/>
          </w:tcPr>
          <w:p>
            <w:pPr>
              <w:spacing w:before="40" w:after="40"/>
            </w:pPr>
            <w:r>
              <w:rPr>
                <w:sz w:val="20"/>
              </w:rPr>
            </w:r>
            <w:r>
              <w:rPr>
                <w:sz w:val="20"/>
              </w:rPr>
              <w:t>约15%</w:t>
            </w:r>
          </w:p>
        </w:tc>
        <w:tc>
          <w:tcPr>
            <w:tcW w:type="dxa" w:w="2835"/>
            <w:shd w:val="clear" w:color="auto" w:fill="F5F5F5"/>
          </w:tcPr>
          <w:p>
            <w:pPr>
              <w:spacing w:before="40" w:after="40"/>
            </w:pPr>
            <w:r>
              <w:rPr>
                <w:sz w:val="20"/>
              </w:rPr>
            </w:r>
            <w:r>
              <w:rPr>
                <w:sz w:val="20"/>
              </w:rPr>
              <w:t>秦始皇陵、明十三陵、海昏侯墓</w:t>
            </w:r>
          </w:p>
        </w:tc>
      </w:tr>
      <w:tr>
        <w:tc>
          <w:tcPr>
            <w:tcW w:type="dxa" w:w="2835"/>
          </w:tcPr>
          <w:p>
            <w:pPr>
              <w:spacing w:before="40" w:after="40"/>
            </w:pPr>
            <w:r>
              <w:rPr>
                <w:sz w:val="20"/>
              </w:rPr>
            </w:r>
            <w:r>
              <w:rPr>
                <w:sz w:val="20"/>
              </w:rPr>
              <w:t>古建筑</w:t>
            </w:r>
          </w:p>
        </w:tc>
        <w:tc>
          <w:tcPr>
            <w:tcW w:type="dxa" w:w="2835"/>
          </w:tcPr>
          <w:p>
            <w:pPr>
              <w:spacing w:before="40" w:after="40"/>
            </w:pPr>
            <w:r>
              <w:rPr>
                <w:sz w:val="20"/>
              </w:rPr>
            </w:r>
            <w:r>
              <w:rPr>
                <w:sz w:val="20"/>
              </w:rPr>
              <w:t>约25%</w:t>
            </w:r>
          </w:p>
        </w:tc>
        <w:tc>
          <w:tcPr>
            <w:tcW w:type="dxa" w:w="2835"/>
          </w:tcPr>
          <w:p>
            <w:pPr>
              <w:spacing w:before="40" w:after="40"/>
            </w:pPr>
            <w:r>
              <w:rPr>
                <w:sz w:val="20"/>
              </w:rPr>
            </w:r>
            <w:r>
              <w:rPr>
                <w:sz w:val="20"/>
              </w:rPr>
              <w:t>故宫、应县木塔、武当山古建筑群</w:t>
            </w:r>
          </w:p>
        </w:tc>
      </w:tr>
      <w:tr>
        <w:tc>
          <w:tcPr>
            <w:tcW w:type="dxa" w:w="2835"/>
            <w:shd w:val="clear" w:color="auto" w:fill="F5F5F5"/>
          </w:tcPr>
          <w:p>
            <w:pPr>
              <w:spacing w:before="40" w:after="40"/>
            </w:pPr>
            <w:r>
              <w:rPr>
                <w:sz w:val="20"/>
              </w:rPr>
            </w:r>
            <w:r>
              <w:rPr>
                <w:sz w:val="20"/>
              </w:rPr>
              <w:t>石窟寺及石刻</w:t>
            </w:r>
          </w:p>
        </w:tc>
        <w:tc>
          <w:tcPr>
            <w:tcW w:type="dxa" w:w="2835"/>
            <w:shd w:val="clear" w:color="auto" w:fill="F5F5F5"/>
          </w:tcPr>
          <w:p>
            <w:pPr>
              <w:spacing w:before="40" w:after="40"/>
            </w:pPr>
            <w:r>
              <w:rPr>
                <w:sz w:val="20"/>
              </w:rPr>
            </w:r>
            <w:r>
              <w:rPr>
                <w:sz w:val="20"/>
              </w:rPr>
              <w:t>约8%</w:t>
            </w:r>
          </w:p>
        </w:tc>
        <w:tc>
          <w:tcPr>
            <w:tcW w:type="dxa" w:w="2835"/>
            <w:shd w:val="clear" w:color="auto" w:fill="F5F5F5"/>
          </w:tcPr>
          <w:p>
            <w:pPr>
              <w:spacing w:before="40" w:after="40"/>
            </w:pPr>
            <w:r>
              <w:rPr>
                <w:sz w:val="20"/>
              </w:rPr>
            </w:r>
            <w:r>
              <w:rPr>
                <w:sz w:val="20"/>
              </w:rPr>
              <w:t>莫高窟、云冈石窟、龙门石窟</w:t>
            </w:r>
          </w:p>
        </w:tc>
      </w:tr>
      <w:tr>
        <w:tc>
          <w:tcPr>
            <w:tcW w:type="dxa" w:w="2835"/>
          </w:tcPr>
          <w:p>
            <w:pPr>
              <w:spacing w:before="40" w:after="40"/>
            </w:pPr>
            <w:r>
              <w:rPr>
                <w:sz w:val="20"/>
              </w:rPr>
            </w:r>
            <w:r>
              <w:rPr>
                <w:sz w:val="20"/>
              </w:rPr>
              <w:t>近现代重要史迹</w:t>
            </w:r>
          </w:p>
        </w:tc>
        <w:tc>
          <w:tcPr>
            <w:tcW w:type="dxa" w:w="2835"/>
          </w:tcPr>
          <w:p>
            <w:pPr>
              <w:spacing w:before="40" w:after="40"/>
            </w:pPr>
            <w:r>
              <w:rPr>
                <w:sz w:val="20"/>
              </w:rPr>
            </w:r>
            <w:r>
              <w:rPr>
                <w:sz w:val="20"/>
              </w:rPr>
              <w:t>约20%</w:t>
            </w:r>
          </w:p>
        </w:tc>
        <w:tc>
          <w:tcPr>
            <w:tcW w:type="dxa" w:w="2835"/>
          </w:tcPr>
          <w:p>
            <w:pPr>
              <w:spacing w:before="40" w:after="40"/>
            </w:pPr>
            <w:r>
              <w:rPr>
                <w:sz w:val="20"/>
              </w:rPr>
            </w:r>
            <w:r>
              <w:rPr>
                <w:sz w:val="20"/>
              </w:rPr>
              <w:t>中共一大会址、中山陵</w:t>
            </w:r>
          </w:p>
        </w:tc>
      </w:tr>
      <w:tr>
        <w:tc>
          <w:tcPr>
            <w:tcW w:type="dxa" w:w="2835"/>
            <w:shd w:val="clear" w:color="auto" w:fill="F5F5F5"/>
          </w:tcPr>
          <w:p>
            <w:pPr>
              <w:spacing w:before="40" w:after="40"/>
            </w:pPr>
            <w:r>
              <w:rPr>
                <w:sz w:val="20"/>
              </w:rPr>
            </w:r>
            <w:r>
              <w:rPr>
                <w:sz w:val="20"/>
              </w:rPr>
              <w:t>其他</w:t>
            </w:r>
          </w:p>
        </w:tc>
        <w:tc>
          <w:tcPr>
            <w:tcW w:type="dxa" w:w="2835"/>
            <w:shd w:val="clear" w:color="auto" w:fill="F5F5F5"/>
          </w:tcPr>
          <w:p>
            <w:pPr>
              <w:spacing w:before="40" w:after="40"/>
            </w:pPr>
            <w:r>
              <w:rPr>
                <w:sz w:val="20"/>
              </w:rPr>
            </w:r>
            <w:r>
              <w:rPr>
                <w:sz w:val="20"/>
              </w:rPr>
              <w:t>约12%</w:t>
            </w:r>
          </w:p>
        </w:tc>
        <w:tc>
          <w:tcPr>
            <w:tcW w:type="dxa" w:w="2835"/>
            <w:shd w:val="clear" w:color="auto" w:fill="F5F5F5"/>
          </w:tcPr>
          <w:p>
            <w:pPr>
              <w:spacing w:before="40" w:after="40"/>
            </w:pPr>
            <w:r>
              <w:rPr>
                <w:sz w:val="20"/>
              </w:rPr>
            </w:r>
            <w:r>
              <w:rPr>
                <w:sz w:val="20"/>
              </w:rPr>
              <w:t>文化景观、线性遗产等</w:t>
            </w:r>
          </w:p>
        </w:tc>
      </w:tr>
    </w:tbl>
    <w:p>
      <w:pPr>
        <w:spacing w:after="80" w:line="360" w:lineRule="auto"/>
        <w:ind w:firstLine="420"/>
      </w:pPr>
      <w:r>
        <w:rPr>
          <w:sz w:val="22"/>
        </w:rPr>
        <w:t>从地域分布看，山西、河南、陕西、河北等省份的不可移动文物数量最为密集，反映了中华文明核心区域的历史积淀。西部地区虽然文物总量较少，但藏、羌、维吾尔等少数民族文化遗产具有独特的保护价值和数字化需求。</w:t>
      </w:r>
    </w:p>
    <w:p>
      <w:pPr>
        <w:spacing w:before="160" w:after="80"/>
      </w:pPr>
      <w:r>
        <w:rPr>
          <w:b/>
          <w:color w:val="2A9D8F"/>
          <w:sz w:val="26"/>
        </w:rPr>
        <w:t>2.4.2 国家级非遗代表性项目名录</w:t>
      </w:r>
    </w:p>
    <w:p>
      <w:pPr>
        <w:spacing w:after="80" w:line="360" w:lineRule="auto"/>
        <w:ind w:firstLine="420"/>
      </w:pPr>
      <w:r>
        <w:rPr>
          <w:sz w:val="22"/>
        </w:rPr>
        <w:t>中国建立了国家级、省级、市县级四级非遗名录体系。截至2023年，国家级非遗代表性项目共1557项（含扩展项目），按类别分布如下：</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D9E2EC"/>
          </w:tcPr>
          <w:p>
            <w:pPr>
              <w:spacing w:before="40" w:after="40"/>
            </w:pPr>
            <w:r>
              <w:rPr>
                <w:b/>
                <w:sz w:val="20"/>
              </w:rPr>
            </w:r>
            <w:r>
              <w:rPr>
                <w:b/>
                <w:sz w:val="20"/>
              </w:rPr>
              <w:t>ICH类型</w:t>
            </w:r>
          </w:p>
        </w:tc>
        <w:tc>
          <w:tcPr>
            <w:tcW w:type="dxa" w:w="2835"/>
            <w:shd w:val="clear" w:color="auto" w:fill="D9E2EC"/>
          </w:tcPr>
          <w:p>
            <w:pPr>
              <w:spacing w:before="40" w:after="40"/>
            </w:pPr>
            <w:r>
              <w:rPr>
                <w:b/>
                <w:sz w:val="20"/>
              </w:rPr>
            </w:r>
            <w:r>
              <w:rPr>
                <w:b/>
                <w:sz w:val="20"/>
              </w:rPr>
              <w:t>项目数量（约）</w:t>
            </w:r>
          </w:p>
        </w:tc>
        <w:tc>
          <w:tcPr>
            <w:tcW w:type="dxa" w:w="2835"/>
            <w:shd w:val="clear" w:color="auto" w:fill="D9E2EC"/>
          </w:tcPr>
          <w:p>
            <w:pPr>
              <w:spacing w:before="40" w:after="40"/>
            </w:pPr>
            <w:r>
              <w:rPr>
                <w:b/>
                <w:sz w:val="20"/>
              </w:rPr>
            </w:r>
            <w:r>
              <w:rPr>
                <w:b/>
                <w:sz w:val="20"/>
              </w:rPr>
              <w:t>典型代表</w:t>
            </w:r>
          </w:p>
        </w:tc>
      </w:tr>
      <w:tr>
        <w:tc>
          <w:tcPr>
            <w:tcW w:type="dxa" w:w="2835"/>
          </w:tcPr>
          <w:p>
            <w:pPr>
              <w:spacing w:before="40" w:after="40"/>
            </w:pPr>
            <w:r>
              <w:rPr>
                <w:sz w:val="20"/>
              </w:rPr>
            </w:r>
            <w:r>
              <w:rPr>
                <w:sz w:val="20"/>
              </w:rPr>
              <w:t>民间文学</w:t>
            </w:r>
          </w:p>
        </w:tc>
        <w:tc>
          <w:tcPr>
            <w:tcW w:type="dxa" w:w="2835"/>
          </w:tcPr>
          <w:p>
            <w:pPr>
              <w:spacing w:before="40" w:after="40"/>
            </w:pPr>
            <w:r>
              <w:rPr>
                <w:sz w:val="20"/>
              </w:rPr>
            </w:r>
            <w:r>
              <w:rPr>
                <w:sz w:val="20"/>
              </w:rPr>
              <w:t>约200项</w:t>
            </w:r>
          </w:p>
        </w:tc>
        <w:tc>
          <w:tcPr>
            <w:tcW w:type="dxa" w:w="2835"/>
          </w:tcPr>
          <w:p>
            <w:pPr>
              <w:spacing w:before="40" w:after="40"/>
            </w:pPr>
            <w:r>
              <w:rPr>
                <w:sz w:val="20"/>
              </w:rPr>
            </w:r>
            <w:r>
              <w:rPr>
                <w:sz w:val="20"/>
              </w:rPr>
              <w:t>格萨尔史诗、白蛇传传说</w:t>
            </w:r>
          </w:p>
        </w:tc>
      </w:tr>
      <w:tr>
        <w:tc>
          <w:tcPr>
            <w:tcW w:type="dxa" w:w="2835"/>
            <w:shd w:val="clear" w:color="auto" w:fill="F5F5F5"/>
          </w:tcPr>
          <w:p>
            <w:pPr>
              <w:spacing w:before="40" w:after="40"/>
            </w:pPr>
            <w:r>
              <w:rPr>
                <w:sz w:val="20"/>
              </w:rPr>
            </w:r>
            <w:r>
              <w:rPr>
                <w:sz w:val="20"/>
              </w:rPr>
              <w:t>传统音乐</w:t>
            </w:r>
          </w:p>
        </w:tc>
        <w:tc>
          <w:tcPr>
            <w:tcW w:type="dxa" w:w="2835"/>
            <w:shd w:val="clear" w:color="auto" w:fill="F5F5F5"/>
          </w:tcPr>
          <w:p>
            <w:pPr>
              <w:spacing w:before="40" w:after="40"/>
            </w:pPr>
            <w:r>
              <w:rPr>
                <w:sz w:val="20"/>
              </w:rPr>
            </w:r>
            <w:r>
              <w:rPr>
                <w:sz w:val="20"/>
              </w:rPr>
              <w:t>约190项</w:t>
            </w:r>
          </w:p>
        </w:tc>
        <w:tc>
          <w:tcPr>
            <w:tcW w:type="dxa" w:w="2835"/>
            <w:shd w:val="clear" w:color="auto" w:fill="F5F5F5"/>
          </w:tcPr>
          <w:p>
            <w:pPr>
              <w:spacing w:before="40" w:after="40"/>
            </w:pPr>
            <w:r>
              <w:rPr>
                <w:sz w:val="20"/>
              </w:rPr>
            </w:r>
            <w:r>
              <w:rPr>
                <w:sz w:val="20"/>
              </w:rPr>
              <w:t>古琴艺术、蒙古族长调民歌</w:t>
            </w:r>
          </w:p>
        </w:tc>
      </w:tr>
      <w:tr>
        <w:tc>
          <w:tcPr>
            <w:tcW w:type="dxa" w:w="2835"/>
          </w:tcPr>
          <w:p>
            <w:pPr>
              <w:spacing w:before="40" w:after="40"/>
            </w:pPr>
            <w:r>
              <w:rPr>
                <w:sz w:val="20"/>
              </w:rPr>
            </w:r>
            <w:r>
              <w:rPr>
                <w:sz w:val="20"/>
              </w:rPr>
              <w:t>传统舞蹈</w:t>
            </w:r>
          </w:p>
        </w:tc>
        <w:tc>
          <w:tcPr>
            <w:tcW w:type="dxa" w:w="2835"/>
          </w:tcPr>
          <w:p>
            <w:pPr>
              <w:spacing w:before="40" w:after="40"/>
            </w:pPr>
            <w:r>
              <w:rPr>
                <w:sz w:val="20"/>
              </w:rPr>
            </w:r>
            <w:r>
              <w:rPr>
                <w:sz w:val="20"/>
              </w:rPr>
              <w:t>约180项</w:t>
            </w:r>
          </w:p>
        </w:tc>
        <w:tc>
          <w:tcPr>
            <w:tcW w:type="dxa" w:w="2835"/>
          </w:tcPr>
          <w:p>
            <w:pPr>
              <w:spacing w:before="40" w:after="40"/>
            </w:pPr>
            <w:r>
              <w:rPr>
                <w:sz w:val="20"/>
              </w:rPr>
            </w:r>
            <w:r>
              <w:rPr>
                <w:sz w:val="20"/>
              </w:rPr>
              <w:t>龙舞、狮舞、锅庄舞</w:t>
            </w:r>
          </w:p>
        </w:tc>
      </w:tr>
      <w:tr>
        <w:tc>
          <w:tcPr>
            <w:tcW w:type="dxa" w:w="2835"/>
            <w:shd w:val="clear" w:color="auto" w:fill="F5F5F5"/>
          </w:tcPr>
          <w:p>
            <w:pPr>
              <w:spacing w:before="40" w:after="40"/>
            </w:pPr>
            <w:r>
              <w:rPr>
                <w:sz w:val="20"/>
              </w:rPr>
            </w:r>
            <w:r>
              <w:rPr>
                <w:sz w:val="20"/>
              </w:rPr>
              <w:t>传统戏剧</w:t>
            </w:r>
          </w:p>
        </w:tc>
        <w:tc>
          <w:tcPr>
            <w:tcW w:type="dxa" w:w="2835"/>
            <w:shd w:val="clear" w:color="auto" w:fill="F5F5F5"/>
          </w:tcPr>
          <w:p>
            <w:pPr>
              <w:spacing w:before="40" w:after="40"/>
            </w:pPr>
            <w:r>
              <w:rPr>
                <w:sz w:val="20"/>
              </w:rPr>
            </w:r>
            <w:r>
              <w:rPr>
                <w:sz w:val="20"/>
              </w:rPr>
              <w:t>约170项</w:t>
            </w:r>
          </w:p>
        </w:tc>
        <w:tc>
          <w:tcPr>
            <w:tcW w:type="dxa" w:w="2835"/>
            <w:shd w:val="clear" w:color="auto" w:fill="F5F5F5"/>
          </w:tcPr>
          <w:p>
            <w:pPr>
              <w:spacing w:before="40" w:after="40"/>
            </w:pPr>
            <w:r>
              <w:rPr>
                <w:sz w:val="20"/>
              </w:rPr>
            </w:r>
            <w:r>
              <w:rPr>
                <w:sz w:val="20"/>
              </w:rPr>
              <w:t>京剧、昆曲、川剧</w:t>
            </w:r>
          </w:p>
        </w:tc>
      </w:tr>
      <w:tr>
        <w:tc>
          <w:tcPr>
            <w:tcW w:type="dxa" w:w="2835"/>
          </w:tcPr>
          <w:p>
            <w:pPr>
              <w:spacing w:before="40" w:after="40"/>
            </w:pPr>
            <w:r>
              <w:rPr>
                <w:sz w:val="20"/>
              </w:rPr>
            </w:r>
            <w:r>
              <w:rPr>
                <w:sz w:val="20"/>
              </w:rPr>
              <w:t>曲艺</w:t>
            </w:r>
          </w:p>
        </w:tc>
        <w:tc>
          <w:tcPr>
            <w:tcW w:type="dxa" w:w="2835"/>
          </w:tcPr>
          <w:p>
            <w:pPr>
              <w:spacing w:before="40" w:after="40"/>
            </w:pPr>
            <w:r>
              <w:rPr>
                <w:sz w:val="20"/>
              </w:rPr>
            </w:r>
            <w:r>
              <w:rPr>
                <w:sz w:val="20"/>
              </w:rPr>
              <w:t>约130项</w:t>
            </w:r>
          </w:p>
        </w:tc>
        <w:tc>
          <w:tcPr>
            <w:tcW w:type="dxa" w:w="2835"/>
          </w:tcPr>
          <w:p>
            <w:pPr>
              <w:spacing w:before="40" w:after="40"/>
            </w:pPr>
            <w:r>
              <w:rPr>
                <w:sz w:val="20"/>
              </w:rPr>
            </w:r>
            <w:r>
              <w:rPr>
                <w:sz w:val="20"/>
              </w:rPr>
              <w:t>相声、评书、京韵大鼓</w:t>
            </w:r>
          </w:p>
        </w:tc>
      </w:tr>
      <w:tr>
        <w:tc>
          <w:tcPr>
            <w:tcW w:type="dxa" w:w="2835"/>
            <w:shd w:val="clear" w:color="auto" w:fill="F5F5F5"/>
          </w:tcPr>
          <w:p>
            <w:pPr>
              <w:spacing w:before="40" w:after="40"/>
            </w:pPr>
            <w:r>
              <w:rPr>
                <w:sz w:val="20"/>
              </w:rPr>
            </w:r>
            <w:r>
              <w:rPr>
                <w:sz w:val="20"/>
              </w:rPr>
              <w:t>传统体育、游艺与杂技</w:t>
            </w:r>
          </w:p>
        </w:tc>
        <w:tc>
          <w:tcPr>
            <w:tcW w:type="dxa" w:w="2835"/>
            <w:shd w:val="clear" w:color="auto" w:fill="F5F5F5"/>
          </w:tcPr>
          <w:p>
            <w:pPr>
              <w:spacing w:before="40" w:after="40"/>
            </w:pPr>
            <w:r>
              <w:rPr>
                <w:sz w:val="20"/>
              </w:rPr>
            </w:r>
            <w:r>
              <w:rPr>
                <w:sz w:val="20"/>
              </w:rPr>
              <w:t>约110项</w:t>
            </w:r>
          </w:p>
        </w:tc>
        <w:tc>
          <w:tcPr>
            <w:tcW w:type="dxa" w:w="2835"/>
            <w:shd w:val="clear" w:color="auto" w:fill="F5F5F5"/>
          </w:tcPr>
          <w:p>
            <w:pPr>
              <w:spacing w:before="40" w:after="40"/>
            </w:pPr>
            <w:r>
              <w:rPr>
                <w:sz w:val="20"/>
              </w:rPr>
            </w:r>
            <w:r>
              <w:rPr>
                <w:sz w:val="20"/>
              </w:rPr>
              <w:t>太极拳、少林功夫</w:t>
            </w:r>
          </w:p>
        </w:tc>
      </w:tr>
      <w:tr>
        <w:tc>
          <w:tcPr>
            <w:tcW w:type="dxa" w:w="2835"/>
          </w:tcPr>
          <w:p>
            <w:pPr>
              <w:spacing w:before="40" w:after="40"/>
            </w:pPr>
            <w:r>
              <w:rPr>
                <w:sz w:val="20"/>
              </w:rPr>
            </w:r>
            <w:r>
              <w:rPr>
                <w:sz w:val="20"/>
              </w:rPr>
              <w:t>传统美术</w:t>
            </w:r>
          </w:p>
        </w:tc>
        <w:tc>
          <w:tcPr>
            <w:tcW w:type="dxa" w:w="2835"/>
          </w:tcPr>
          <w:p>
            <w:pPr>
              <w:spacing w:before="40" w:after="40"/>
            </w:pPr>
            <w:r>
              <w:rPr>
                <w:sz w:val="20"/>
              </w:rPr>
            </w:r>
            <w:r>
              <w:rPr>
                <w:sz w:val="20"/>
              </w:rPr>
              <w:t>约140项</w:t>
            </w:r>
          </w:p>
        </w:tc>
        <w:tc>
          <w:tcPr>
            <w:tcW w:type="dxa" w:w="2835"/>
          </w:tcPr>
          <w:p>
            <w:pPr>
              <w:spacing w:before="40" w:after="40"/>
            </w:pPr>
            <w:r>
              <w:rPr>
                <w:sz w:val="20"/>
              </w:rPr>
            </w:r>
            <w:r>
              <w:rPr>
                <w:sz w:val="20"/>
              </w:rPr>
              <w:t>剪纸、刺绣、泥塑</w:t>
            </w:r>
          </w:p>
        </w:tc>
      </w:tr>
      <w:tr>
        <w:tc>
          <w:tcPr>
            <w:tcW w:type="dxa" w:w="2835"/>
            <w:shd w:val="clear" w:color="auto" w:fill="F5F5F5"/>
          </w:tcPr>
          <w:p>
            <w:pPr>
              <w:spacing w:before="40" w:after="40"/>
            </w:pPr>
            <w:r>
              <w:rPr>
                <w:sz w:val="20"/>
              </w:rPr>
            </w:r>
            <w:r>
              <w:rPr>
                <w:sz w:val="20"/>
              </w:rPr>
              <w:t>传统技艺</w:t>
            </w:r>
          </w:p>
        </w:tc>
        <w:tc>
          <w:tcPr>
            <w:tcW w:type="dxa" w:w="2835"/>
            <w:shd w:val="clear" w:color="auto" w:fill="F5F5F5"/>
          </w:tcPr>
          <w:p>
            <w:pPr>
              <w:spacing w:before="40" w:after="40"/>
            </w:pPr>
            <w:r>
              <w:rPr>
                <w:sz w:val="20"/>
              </w:rPr>
            </w:r>
            <w:r>
              <w:rPr>
                <w:sz w:val="20"/>
              </w:rPr>
              <w:t>约280项</w:t>
            </w:r>
          </w:p>
        </w:tc>
        <w:tc>
          <w:tcPr>
            <w:tcW w:type="dxa" w:w="2835"/>
            <w:shd w:val="clear" w:color="auto" w:fill="F5F5F5"/>
          </w:tcPr>
          <w:p>
            <w:pPr>
              <w:spacing w:before="40" w:after="40"/>
            </w:pPr>
            <w:r>
              <w:rPr>
                <w:sz w:val="20"/>
              </w:rPr>
            </w:r>
            <w:r>
              <w:rPr>
                <w:sz w:val="20"/>
              </w:rPr>
              <w:t>景泰蓝制作、宣纸制作、景德镇制瓷</w:t>
            </w:r>
          </w:p>
        </w:tc>
      </w:tr>
      <w:tr>
        <w:tc>
          <w:tcPr>
            <w:tcW w:type="dxa" w:w="2835"/>
          </w:tcPr>
          <w:p>
            <w:pPr>
              <w:spacing w:before="40" w:after="40"/>
            </w:pPr>
            <w:r>
              <w:rPr>
                <w:sz w:val="20"/>
              </w:rPr>
            </w:r>
            <w:r>
              <w:rPr>
                <w:sz w:val="20"/>
              </w:rPr>
              <w:t>传统医药</w:t>
            </w:r>
          </w:p>
        </w:tc>
        <w:tc>
          <w:tcPr>
            <w:tcW w:type="dxa" w:w="2835"/>
          </w:tcPr>
          <w:p>
            <w:pPr>
              <w:spacing w:before="40" w:after="40"/>
            </w:pPr>
            <w:r>
              <w:rPr>
                <w:sz w:val="20"/>
              </w:rPr>
            </w:r>
            <w:r>
              <w:rPr>
                <w:sz w:val="20"/>
              </w:rPr>
              <w:t>约30项</w:t>
            </w:r>
          </w:p>
        </w:tc>
        <w:tc>
          <w:tcPr>
            <w:tcW w:type="dxa" w:w="2835"/>
          </w:tcPr>
          <w:p>
            <w:pPr>
              <w:spacing w:before="40" w:after="40"/>
            </w:pPr>
            <w:r>
              <w:rPr>
                <w:sz w:val="20"/>
              </w:rPr>
            </w:r>
            <w:r>
              <w:rPr>
                <w:sz w:val="20"/>
              </w:rPr>
              <w:t>中医针灸、藏医药</w:t>
            </w:r>
          </w:p>
        </w:tc>
      </w:tr>
      <w:tr>
        <w:tc>
          <w:tcPr>
            <w:tcW w:type="dxa" w:w="2835"/>
            <w:shd w:val="clear" w:color="auto" w:fill="F5F5F5"/>
          </w:tcPr>
          <w:p>
            <w:pPr>
              <w:spacing w:before="40" w:after="40"/>
            </w:pPr>
            <w:r>
              <w:rPr>
                <w:sz w:val="20"/>
              </w:rPr>
            </w:r>
            <w:r>
              <w:rPr>
                <w:sz w:val="20"/>
              </w:rPr>
              <w:t>民俗</w:t>
            </w:r>
          </w:p>
        </w:tc>
        <w:tc>
          <w:tcPr>
            <w:tcW w:type="dxa" w:w="2835"/>
            <w:shd w:val="clear" w:color="auto" w:fill="F5F5F5"/>
          </w:tcPr>
          <w:p>
            <w:pPr>
              <w:spacing w:before="40" w:after="40"/>
            </w:pPr>
            <w:r>
              <w:rPr>
                <w:sz w:val="20"/>
              </w:rPr>
            </w:r>
            <w:r>
              <w:rPr>
                <w:sz w:val="20"/>
              </w:rPr>
              <w:t>约130项</w:t>
            </w:r>
          </w:p>
        </w:tc>
        <w:tc>
          <w:tcPr>
            <w:tcW w:type="dxa" w:w="2835"/>
            <w:shd w:val="clear" w:color="auto" w:fill="F5F5F5"/>
          </w:tcPr>
          <w:p>
            <w:pPr>
              <w:spacing w:before="40" w:after="40"/>
            </w:pPr>
            <w:r>
              <w:rPr>
                <w:sz w:val="20"/>
              </w:rPr>
            </w:r>
            <w:r>
              <w:rPr>
                <w:sz w:val="20"/>
              </w:rPr>
              <w:t>春节、端午节、二十四节气</w:t>
            </w:r>
          </w:p>
        </w:tc>
      </w:tr>
    </w:tbl>
    <w:p>
      <w:pPr>
        <w:spacing w:after="80" w:line="360" w:lineRule="auto"/>
        <w:ind w:firstLine="420"/>
      </w:pPr>
      <w:r>
        <w:rPr>
          <w:sz w:val="22"/>
        </w:rPr>
        <w:t>姚国章和刘增燕（2022）在研究国外ICH数字化保护与传承实践时指出，日本、法国、美国和加拿大等国总体走在了世界前列——日本针对非遗立法并部署数据库建设；法国采取创新性保护措施并促进数据资源开发；美国以StoryCorps项目为典型[13]。中国的ICH数字化保护虽起步较晚，但依托丰富的ICH资源和国家层面的政策推动，发展迅速。</w:t>
      </w:r>
    </w:p>
    <w:p>
      <w:pPr>
        <w:spacing w:before="160" w:after="80"/>
      </w:pPr>
      <w:r>
        <w:rPr>
          <w:b/>
          <w:color w:val="2A9D8F"/>
          <w:sz w:val="26"/>
        </w:rPr>
        <w:t>2.4.3 中国的世界遗产</w:t>
      </w:r>
    </w:p>
    <w:p>
      <w:pPr>
        <w:spacing w:after="80" w:line="360" w:lineRule="auto"/>
        <w:ind w:firstLine="420"/>
      </w:pPr>
      <w:r>
        <w:rPr>
          <w:sz w:val="22"/>
        </w:rPr>
        <w:t>截至2023年，中国共有57项世界遗产（其中文化遗产39项、自然遗产14项、文化与自然混合遗产4项），数量居世界第二。其中多项遗产同时包含物质和非物质要素，如：</w:t>
      </w:r>
    </w:p>
    <w:p>
      <w:pPr>
        <w:pStyle w:val="ListBullet"/>
      </w:pPr>
      <w:r>
        <w:rPr>
          <w:b/>
          <w:sz w:val="22"/>
        </w:rPr>
        <w:t>丝绸之路：长安-天山廊道的路网</w:t>
      </w:r>
      <w:r>
        <w:rPr>
          <w:sz w:val="22"/>
        </w:rPr>
        <w:t>（2014年列入）：作为线性文化遗产，涉及多国、多文化的物质遗存与非物质传统。</w:t>
      </w:r>
    </w:p>
    <w:p>
      <w:pPr>
        <w:pStyle w:val="ListBullet"/>
      </w:pPr>
      <w:r>
        <w:rPr>
          <w:b/>
          <w:sz w:val="22"/>
        </w:rPr>
        <w:t>杭州西湖文化景观</w:t>
      </w:r>
      <w:r>
        <w:rPr>
          <w:sz w:val="22"/>
        </w:rPr>
        <w:t>（2011年列入）：自然山水与人文意境的融合，其"西湖十景"承载着丰富的诗词、绘画等非物质文化传统。</w:t>
      </w:r>
    </w:p>
    <w:p>
      <w:pPr>
        <w:pStyle w:val="ListBullet"/>
      </w:pPr>
      <w:r>
        <w:rPr>
          <w:b/>
          <w:sz w:val="22"/>
        </w:rPr>
        <w:t>太极拳</w:t>
      </w:r>
      <w:r>
        <w:rPr>
          <w:sz w:val="22"/>
        </w:rPr>
        <w:t>（2020年列入）：作为ICH列入人类非遗代表作名录，其传承地和传承群体分布广泛。</w:t>
      </w:r>
    </w:p>
    <w:p>
      <w:pPr>
        <w:spacing w:after="80" w:line="360" w:lineRule="auto"/>
        <w:ind w:firstLine="420"/>
      </w:pPr>
      <w:r>
        <w:rPr>
          <w:sz w:val="22"/>
        </w:rPr>
        <w:t>Sirisomboon（2020）在研究泰国清莱山区部落文化遗产数字虚拟博物馆时提出，虚拟博物馆为少数民族文化遗产的保护提供了新的技术路径，这一思路同样适用于中国多民族文化遗产的数字化保护[14]。</w:t>
      </w:r>
    </w:p>
    <w:p>
      <w:pPr>
        <w:spacing w:before="200" w:after="120"/>
      </w:pPr>
      <w:r>
        <w:rPr>
          <w:b/>
          <w:color w:val="457B9D"/>
          <w:sz w:val="30"/>
        </w:rPr>
        <w:t>2.5 文化遗产价值评估框架</w:t>
      </w:r>
    </w:p>
    <w:p>
      <w:pPr>
        <w:spacing w:before="160" w:after="80"/>
      </w:pPr>
      <w:r>
        <w:rPr>
          <w:b/>
          <w:color w:val="2A9D8F"/>
          <w:sz w:val="26"/>
        </w:rPr>
        <w:t>2.5.1 历史价值、艺术价值、科学价值</w:t>
      </w:r>
    </w:p>
    <w:p>
      <w:pPr>
        <w:spacing w:after="80" w:line="360" w:lineRule="auto"/>
        <w:ind w:firstLine="420"/>
      </w:pPr>
      <w:r>
        <w:rPr>
          <w:sz w:val="22"/>
        </w:rPr>
        <w:t>中国《文物保护法》确立了文物价值的三大基本维度：</w:t>
      </w:r>
    </w:p>
    <w:p>
      <w:pPr>
        <w:spacing w:after="80" w:line="360" w:lineRule="auto"/>
        <w:ind w:firstLine="420"/>
      </w:pPr>
      <w:r>
        <w:rPr>
          <w:b/>
          <w:sz w:val="22"/>
        </w:rPr>
        <w:t>历史价值</w:t>
      </w:r>
      <w:r>
        <w:rPr>
          <w:sz w:val="22"/>
        </w:rPr>
        <w:t>：文物作为历史见证所具有的价值。一件陶瓷器的历史价值不仅体现在其制作年代，更体现在它所反映的生产方式、贸易路线、社会结构等信息。数字化保护通过高精度数据采集和多维度分析，能够揭示肉眼难以观察的历史信息。</w:t>
      </w:r>
    </w:p>
    <w:p>
      <w:pPr>
        <w:spacing w:after="80" w:line="360" w:lineRule="auto"/>
        <w:ind w:firstLine="420"/>
      </w:pPr>
      <w:r>
        <w:rPr>
          <w:b/>
          <w:sz w:val="22"/>
        </w:rPr>
        <w:t>艺术价值</w:t>
      </w:r>
      <w:r>
        <w:rPr>
          <w:sz w:val="22"/>
        </w:rPr>
        <w:t>：文物的审美意义和艺术成就。三维数字化可以精确记录文物的形态、纹饰和色彩，为艺术史研究提供比照片更丰富的数据基础。王雅楠（2023）在研究AR技术在文化遗产展示中的交互体验时指出，AR/VR技术将现实与虚拟融合，为观众打造沉浸式参观体验，使艺术价值的感知更加立体[15]。</w:t>
      </w:r>
    </w:p>
    <w:p>
      <w:pPr>
        <w:spacing w:after="80" w:line="360" w:lineRule="auto"/>
        <w:ind w:firstLine="420"/>
      </w:pPr>
      <w:r>
        <w:rPr>
          <w:b/>
          <w:sz w:val="22"/>
        </w:rPr>
        <w:t>科学价值</w:t>
      </w:r>
      <w:r>
        <w:rPr>
          <w:sz w:val="22"/>
        </w:rPr>
        <w:t>：文物所反映的科学技术水平和工艺成就。多光谱成像、X射线荧光光谱分析等技术可以在不接触文物的情况下获取其材料和工艺信息，为科技史研究提供数据。</w:t>
      </w:r>
    </w:p>
    <w:p>
      <w:pPr>
        <w:spacing w:before="160" w:after="80"/>
      </w:pPr>
      <w:r>
        <w:rPr>
          <w:b/>
          <w:color w:val="2A9D8F"/>
          <w:sz w:val="26"/>
        </w:rPr>
        <w:t>2.5.2 社会价值、文化价值、经济价值</w:t>
      </w:r>
    </w:p>
    <w:p>
      <w:pPr>
        <w:spacing w:after="80" w:line="360" w:lineRule="auto"/>
        <w:ind w:firstLine="420"/>
      </w:pPr>
      <w:r>
        <w:rPr>
          <w:sz w:val="22"/>
        </w:rPr>
        <w:t>在传统三大价值之外，当代遗产评估越来越重视社会、文化和经济维度：</w:t>
      </w:r>
    </w:p>
    <w:p>
      <w:pPr>
        <w:spacing w:after="80" w:line="360" w:lineRule="auto"/>
        <w:ind w:firstLine="420"/>
      </w:pPr>
      <w:r>
        <w:rPr>
          <w:b/>
          <w:sz w:val="22"/>
        </w:rPr>
        <w:t>社会价值</w:t>
      </w:r>
      <w:r>
        <w:rPr>
          <w:sz w:val="22"/>
        </w:rPr>
        <w:t>：文化遗产在社区认同、社会凝聚力和教育传播中的作用。数字技术通过社交媒体和在线平台大幅扩展了遗产的社会触达面。Shao等人（2023）在系统梳理社交媒体在文化遗产教育传播中的影响因素时，揭示了数字传播对遗产社会价值的放大效应[16]。</w:t>
      </w:r>
    </w:p>
    <w:p>
      <w:pPr>
        <w:spacing w:after="80" w:line="360" w:lineRule="auto"/>
        <w:ind w:firstLine="420"/>
      </w:pPr>
      <w:r>
        <w:rPr>
          <w:b/>
          <w:sz w:val="22"/>
        </w:rPr>
        <w:t>文化价值</w:t>
      </w:r>
      <w:r>
        <w:rPr>
          <w:sz w:val="22"/>
        </w:rPr>
        <w:t>：遗产对文化多样性和文化连续性的贡献。ICH的文化价值尤为突出——它承载着社区的世界观、价值观和生活方式。数字化保护需要特别关注文化价值的语境化呈现，避免脱离文化语境的"去语境化"展示。</w:t>
      </w:r>
    </w:p>
    <w:p>
      <w:pPr>
        <w:spacing w:after="80" w:line="360" w:lineRule="auto"/>
        <w:ind w:firstLine="420"/>
      </w:pPr>
      <w:r>
        <w:rPr>
          <w:b/>
          <w:sz w:val="22"/>
        </w:rPr>
        <w:t>经济价值</w:t>
      </w:r>
      <w:r>
        <w:rPr>
          <w:sz w:val="22"/>
        </w:rPr>
        <w:t>：文化遗产在旅游、文创、教育等领域的经济贡献。数字化保护为遗产的经济价值转化提供了新渠道——数字展览、虚拟旅游、文创产品开发等。但经济价值的开发需要以保护为前提，避免过度商业化。</w:t>
      </w:r>
    </w:p>
    <w:p>
      <w:pPr>
        <w:spacing w:before="160" w:after="80"/>
      </w:pPr>
      <w:r>
        <w:rPr>
          <w:b/>
          <w:color w:val="2A9D8F"/>
          <w:sz w:val="26"/>
        </w:rPr>
        <w:t>2.5.3 数字化价值的评估维度</w:t>
      </w:r>
    </w:p>
    <w:p>
      <w:pPr>
        <w:spacing w:after="80" w:line="360" w:lineRule="auto"/>
        <w:ind w:firstLine="420"/>
      </w:pPr>
      <w:r>
        <w:rPr>
          <w:sz w:val="22"/>
        </w:rPr>
        <w:t>在上述传统价值框架之外，数字化为文化遗产创造了新的价值维度。Pouloupoulos和Wallace（2022）在探讨数字技术与数据在文化遗产中的角色时，从过去、现在和未来三个时间维度分析了数字技术对遗产价值的重构作用[17]。本书提出以下数字化价值评估维度：</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D9E2EC"/>
          </w:tcPr>
          <w:p>
            <w:pPr>
              <w:spacing w:before="40" w:after="40"/>
            </w:pPr>
            <w:r>
              <w:rPr>
                <w:b/>
                <w:sz w:val="20"/>
              </w:rPr>
            </w:r>
            <w:r>
              <w:rPr>
                <w:b/>
                <w:sz w:val="20"/>
              </w:rPr>
              <w:t>维度</w:t>
            </w:r>
          </w:p>
        </w:tc>
        <w:tc>
          <w:tcPr>
            <w:tcW w:type="dxa" w:w="2835"/>
            <w:shd w:val="clear" w:color="auto" w:fill="D9E2EC"/>
          </w:tcPr>
          <w:p>
            <w:pPr>
              <w:spacing w:before="40" w:after="40"/>
            </w:pPr>
            <w:r>
              <w:rPr>
                <w:b/>
                <w:sz w:val="20"/>
              </w:rPr>
            </w:r>
            <w:r>
              <w:rPr>
                <w:b/>
                <w:sz w:val="20"/>
              </w:rPr>
              <w:t>评估内容</w:t>
            </w:r>
          </w:p>
        </w:tc>
        <w:tc>
          <w:tcPr>
            <w:tcW w:type="dxa" w:w="2835"/>
            <w:shd w:val="clear" w:color="auto" w:fill="D9E2EC"/>
          </w:tcPr>
          <w:p>
            <w:pPr>
              <w:spacing w:before="40" w:after="40"/>
            </w:pPr>
            <w:r>
              <w:rPr>
                <w:b/>
                <w:sz w:val="20"/>
              </w:rPr>
            </w:r>
            <w:r>
              <w:rPr>
                <w:b/>
                <w:sz w:val="20"/>
              </w:rPr>
              <w:t>指标示例</w:t>
            </w:r>
          </w:p>
        </w:tc>
      </w:tr>
      <w:tr>
        <w:tc>
          <w:tcPr>
            <w:tcW w:type="dxa" w:w="2835"/>
          </w:tcPr>
          <w:p>
            <w:pPr>
              <w:spacing w:before="40" w:after="40"/>
            </w:pPr>
            <w:r>
              <w:rPr>
                <w:sz w:val="20"/>
              </w:rPr>
            </w:r>
            <w:r>
              <w:rPr>
                <w:sz w:val="20"/>
              </w:rPr>
              <w:t>信息保存价值</w:t>
            </w:r>
          </w:p>
        </w:tc>
        <w:tc>
          <w:tcPr>
            <w:tcW w:type="dxa" w:w="2835"/>
          </w:tcPr>
          <w:p>
            <w:pPr>
              <w:spacing w:before="40" w:after="40"/>
            </w:pPr>
            <w:r>
              <w:rPr>
                <w:sz w:val="20"/>
              </w:rPr>
            </w:r>
            <w:r>
              <w:rPr>
                <w:sz w:val="20"/>
              </w:rPr>
              <w:t>数字化对遗产信息保存的完整性和精确度</w:t>
            </w:r>
          </w:p>
        </w:tc>
        <w:tc>
          <w:tcPr>
            <w:tcW w:type="dxa" w:w="2835"/>
          </w:tcPr>
          <w:p>
            <w:pPr>
              <w:spacing w:before="40" w:after="40"/>
            </w:pPr>
            <w:r>
              <w:rPr>
                <w:sz w:val="20"/>
              </w:rPr>
            </w:r>
            <w:r>
              <w:rPr>
                <w:sz w:val="20"/>
              </w:rPr>
              <w:t>空间精度、色彩还原度、元数据完整性</w:t>
            </w:r>
          </w:p>
        </w:tc>
      </w:tr>
      <w:tr>
        <w:tc>
          <w:tcPr>
            <w:tcW w:type="dxa" w:w="2835"/>
            <w:shd w:val="clear" w:color="auto" w:fill="F5F5F5"/>
          </w:tcPr>
          <w:p>
            <w:pPr>
              <w:spacing w:before="40" w:after="40"/>
            </w:pPr>
            <w:r>
              <w:rPr>
                <w:sz w:val="20"/>
              </w:rPr>
            </w:r>
            <w:r>
              <w:rPr>
                <w:sz w:val="20"/>
              </w:rPr>
              <w:t>研究赋能价值</w:t>
            </w:r>
          </w:p>
        </w:tc>
        <w:tc>
          <w:tcPr>
            <w:tcW w:type="dxa" w:w="2835"/>
            <w:shd w:val="clear" w:color="auto" w:fill="F5F5F5"/>
          </w:tcPr>
          <w:p>
            <w:pPr>
              <w:spacing w:before="40" w:after="40"/>
            </w:pPr>
            <w:r>
              <w:rPr>
                <w:sz w:val="20"/>
              </w:rPr>
            </w:r>
            <w:r>
              <w:rPr>
                <w:sz w:val="20"/>
              </w:rPr>
              <w:t>数字资源对学术研究的支撑程度</w:t>
            </w:r>
          </w:p>
        </w:tc>
        <w:tc>
          <w:tcPr>
            <w:tcW w:type="dxa" w:w="2835"/>
            <w:shd w:val="clear" w:color="auto" w:fill="F5F5F5"/>
          </w:tcPr>
          <w:p>
            <w:pPr>
              <w:spacing w:before="40" w:after="40"/>
            </w:pPr>
            <w:r>
              <w:rPr>
                <w:sz w:val="20"/>
              </w:rPr>
            </w:r>
            <w:r>
              <w:rPr>
                <w:sz w:val="20"/>
              </w:rPr>
              <w:t>数据开放度、可检索性、互操作性</w:t>
            </w:r>
          </w:p>
        </w:tc>
      </w:tr>
      <w:tr>
        <w:tc>
          <w:tcPr>
            <w:tcW w:type="dxa" w:w="2835"/>
          </w:tcPr>
          <w:p>
            <w:pPr>
              <w:spacing w:before="40" w:after="40"/>
            </w:pPr>
            <w:r>
              <w:rPr>
                <w:sz w:val="20"/>
              </w:rPr>
            </w:r>
            <w:r>
              <w:rPr>
                <w:sz w:val="20"/>
              </w:rPr>
              <w:t>传播扩展价值</w:t>
            </w:r>
          </w:p>
        </w:tc>
        <w:tc>
          <w:tcPr>
            <w:tcW w:type="dxa" w:w="2835"/>
          </w:tcPr>
          <w:p>
            <w:pPr>
              <w:spacing w:before="40" w:after="40"/>
            </w:pPr>
            <w:r>
              <w:rPr>
                <w:sz w:val="20"/>
              </w:rPr>
            </w:r>
            <w:r>
              <w:rPr>
                <w:sz w:val="20"/>
              </w:rPr>
              <w:t>数字化对遗产传播范围和效果的提升</w:t>
            </w:r>
          </w:p>
        </w:tc>
        <w:tc>
          <w:tcPr>
            <w:tcW w:type="dxa" w:w="2835"/>
          </w:tcPr>
          <w:p>
            <w:pPr>
              <w:spacing w:before="40" w:after="40"/>
            </w:pPr>
            <w:r>
              <w:rPr>
                <w:sz w:val="20"/>
              </w:rPr>
            </w:r>
            <w:r>
              <w:rPr>
                <w:sz w:val="20"/>
              </w:rPr>
              <w:t>在线访问量、社交媒体互动率、用户满意度</w:t>
            </w:r>
          </w:p>
        </w:tc>
      </w:tr>
      <w:tr>
        <w:tc>
          <w:tcPr>
            <w:tcW w:type="dxa" w:w="2835"/>
            <w:shd w:val="clear" w:color="auto" w:fill="F5F5F5"/>
          </w:tcPr>
          <w:p>
            <w:pPr>
              <w:spacing w:before="40" w:after="40"/>
            </w:pPr>
            <w:r>
              <w:rPr>
                <w:sz w:val="20"/>
              </w:rPr>
            </w:r>
            <w:r>
              <w:rPr>
                <w:sz w:val="20"/>
              </w:rPr>
              <w:t>教育创新价值</w:t>
            </w:r>
          </w:p>
        </w:tc>
        <w:tc>
          <w:tcPr>
            <w:tcW w:type="dxa" w:w="2835"/>
            <w:shd w:val="clear" w:color="auto" w:fill="F5F5F5"/>
          </w:tcPr>
          <w:p>
            <w:pPr>
              <w:spacing w:before="40" w:after="40"/>
            </w:pPr>
            <w:r>
              <w:rPr>
                <w:sz w:val="20"/>
              </w:rPr>
            </w:r>
            <w:r>
              <w:rPr>
                <w:sz w:val="20"/>
              </w:rPr>
              <w:t>数字资源在教育和科普中的应用效果</w:t>
            </w:r>
          </w:p>
        </w:tc>
        <w:tc>
          <w:tcPr>
            <w:tcW w:type="dxa" w:w="2835"/>
            <w:shd w:val="clear" w:color="auto" w:fill="F5F5F5"/>
          </w:tcPr>
          <w:p>
            <w:pPr>
              <w:spacing w:before="40" w:after="40"/>
            </w:pPr>
            <w:r>
              <w:rPr>
                <w:sz w:val="20"/>
              </w:rPr>
            </w:r>
            <w:r>
              <w:rPr>
                <w:sz w:val="20"/>
              </w:rPr>
              <w:t>教学应用案例数、学习效果提升度</w:t>
            </w:r>
          </w:p>
        </w:tc>
      </w:tr>
      <w:tr>
        <w:tc>
          <w:tcPr>
            <w:tcW w:type="dxa" w:w="2835"/>
          </w:tcPr>
          <w:p>
            <w:pPr>
              <w:spacing w:before="40" w:after="40"/>
            </w:pPr>
            <w:r>
              <w:rPr>
                <w:sz w:val="20"/>
              </w:rPr>
            </w:r>
            <w:r>
              <w:rPr>
                <w:sz w:val="20"/>
              </w:rPr>
              <w:t>产业转化价值</w:t>
            </w:r>
          </w:p>
        </w:tc>
        <w:tc>
          <w:tcPr>
            <w:tcW w:type="dxa" w:w="2835"/>
          </w:tcPr>
          <w:p>
            <w:pPr>
              <w:spacing w:before="40" w:after="40"/>
            </w:pPr>
            <w:r>
              <w:rPr>
                <w:sz w:val="20"/>
              </w:rPr>
            </w:r>
            <w:r>
              <w:rPr>
                <w:sz w:val="20"/>
              </w:rPr>
              <w:t>数字遗产资源的产业化潜力</w:t>
            </w:r>
          </w:p>
        </w:tc>
        <w:tc>
          <w:tcPr>
            <w:tcW w:type="dxa" w:w="2835"/>
          </w:tcPr>
          <w:p>
            <w:pPr>
              <w:spacing w:before="40" w:after="40"/>
            </w:pPr>
            <w:r>
              <w:rPr>
                <w:sz w:val="20"/>
              </w:rPr>
            </w:r>
            <w:r>
              <w:rPr>
                <w:sz w:val="20"/>
              </w:rPr>
              <w:t>文创产品收入、IP授权数、数字旅游收入</w:t>
            </w:r>
          </w:p>
        </w:tc>
      </w:tr>
      <w:tr>
        <w:tc>
          <w:tcPr>
            <w:tcW w:type="dxa" w:w="2835"/>
            <w:shd w:val="clear" w:color="auto" w:fill="F5F5F5"/>
          </w:tcPr>
          <w:p>
            <w:pPr>
              <w:spacing w:before="40" w:after="40"/>
            </w:pPr>
            <w:r>
              <w:rPr>
                <w:sz w:val="20"/>
              </w:rPr>
            </w:r>
            <w:r>
              <w:rPr>
                <w:sz w:val="20"/>
              </w:rPr>
              <w:t>可持续发展价值</w:t>
            </w:r>
          </w:p>
        </w:tc>
        <w:tc>
          <w:tcPr>
            <w:tcW w:type="dxa" w:w="2835"/>
            <w:shd w:val="clear" w:color="auto" w:fill="F5F5F5"/>
          </w:tcPr>
          <w:p>
            <w:pPr>
              <w:spacing w:before="40" w:after="40"/>
            </w:pPr>
            <w:r>
              <w:rPr>
                <w:sz w:val="20"/>
              </w:rPr>
            </w:r>
            <w:r>
              <w:rPr>
                <w:sz w:val="20"/>
              </w:rPr>
              <w:t>数字化对遗产长期保护与传承的贡献</w:t>
            </w:r>
          </w:p>
        </w:tc>
        <w:tc>
          <w:tcPr>
            <w:tcW w:type="dxa" w:w="2835"/>
            <w:shd w:val="clear" w:color="auto" w:fill="F5F5F5"/>
          </w:tcPr>
          <w:p>
            <w:pPr>
              <w:spacing w:before="40" w:after="40"/>
            </w:pPr>
            <w:r>
              <w:rPr>
                <w:sz w:val="20"/>
              </w:rPr>
            </w:r>
            <w:r>
              <w:rPr>
                <w:sz w:val="20"/>
              </w:rPr>
              <w:t>数据更新频率、技术迭代兼容性、社区参与度</w:t>
            </w:r>
          </w:p>
        </w:tc>
      </w:tr>
    </w:tbl>
    <w:p>
      <w:pPr>
        <w:spacing w:after="80" w:line="360" w:lineRule="auto"/>
        <w:ind w:firstLine="420"/>
      </w:pPr>
      <w:r>
        <w:rPr>
          <w:sz w:val="22"/>
        </w:rPr>
        <w:t>这一六维度评估框架为文化遗产数字化项目的规划、实施和评价提供了系统化工具，将在后续各章的具体技术讨论中反复参照。</w:t>
      </w:r>
    </w:p>
    <w:p>
      <w:pPr>
        <w:spacing w:before="200" w:after="120"/>
      </w:pPr>
      <w:r>
        <w:rPr>
          <w:b/>
          <w:color w:val="457B9D"/>
          <w:sz w:val="30"/>
        </w:rPr>
        <w:t>本章小结</w:t>
      </w:r>
    </w:p>
    <w:p>
      <w:pPr>
        <w:spacing w:after="80" w:line="360" w:lineRule="auto"/>
        <w:ind w:firstLine="420"/>
      </w:pPr>
      <w:r>
        <w:rPr>
          <w:sz w:val="22"/>
        </w:rPr>
        <w:t>本章对物质文化遗产与非物质文化遗产进行了系统的比较分析。在范畴层面，物质遗产包括可移动文物（陶瓷、书画、金属器等）和不可移动文物（古建筑、石窟寺、遗址等），每类材质都有特定的劣化机制和保护需求；ICH涵盖五大类型（口头传统、表演艺术、社会实践、知识实践、传统手工艺），其活态性和传承性决定了数字化的根本悖论——如何在"固定"与"流变"之间取得平衡。在保护目标层面，物质遗产追求"静态保存"，ICH追求"活态传承"；在技术路径层面，物质遗产侧重"实体数字化"（三维扫描、摄影测量），ICH侧重"过程记录"（音视频、动作捕捉、口述史）。在价值评估层面，两类遗产共享真实性、完整性、代表性的基础框架，但在数字化语境下需要引入信息保存、研究赋能、传播扩展、教育创新、产业转化和可持续发展六个新维度。中国丰富的文化遗产资源——5058处国保单位、1557项国家级非遗、57项世界遗产——为数字化保护实践提供了广阔的空间，也提出了紧迫的保护需求。</w:t>
      </w:r>
    </w:p>
    <w:p>
      <w:pPr>
        <w:spacing w:before="200" w:after="120"/>
      </w:pPr>
      <w:r>
        <w:rPr>
          <w:b/>
          <w:color w:val="457B9D"/>
          <w:sz w:val="30"/>
        </w:rPr>
        <w:t>思考题</w:t>
      </w:r>
    </w:p>
    <w:p>
      <w:pPr>
        <w:pStyle w:val="ListNumber"/>
      </w:pPr>
      <w:r>
        <w:rPr>
          <w:b/>
          <w:sz w:val="22"/>
        </w:rPr>
        <w:t>（识记）</w:t>
      </w:r>
      <w:r>
        <w:rPr>
          <w:sz w:val="22"/>
        </w:rPr>
        <w:t xml:space="preserve"> UNESCO《保护非物质文化遗产公约》将ICH分为哪五大类型？请各举一例。</w:t>
      </w:r>
    </w:p>
    <w:p>
      <w:pPr>
        <w:pStyle w:val="ListNumber"/>
      </w:pPr>
      <w:r>
        <w:rPr>
          <w:b/>
          <w:sz w:val="22"/>
        </w:rPr>
        <w:t>（理解）</w:t>
      </w:r>
      <w:r>
        <w:rPr>
          <w:sz w:val="22"/>
        </w:rPr>
        <w:t xml:space="preserve"> 为什么说ICH的数字化保护存在"固定与流变"的根本悖论？请结合具体非遗项目加以阐述。</w:t>
      </w:r>
    </w:p>
    <w:p>
      <w:pPr>
        <w:pStyle w:val="ListNumber"/>
      </w:pPr>
      <w:r>
        <w:rPr>
          <w:b/>
          <w:sz w:val="22"/>
        </w:rPr>
        <w:t>（应用）</w:t>
      </w:r>
      <w:r>
        <w:rPr>
          <w:sz w:val="22"/>
        </w:rPr>
        <w:t xml:space="preserve"> 请为一件馆藏青铜器和一个地方戏曲剧种分别设计数字化保护方案，比较两种方案的技术路径差异。</w:t>
      </w:r>
    </w:p>
    <w:p>
      <w:pPr>
        <w:pStyle w:val="ListNumber"/>
      </w:pPr>
      <w:r>
        <w:rPr>
          <w:b/>
          <w:sz w:val="22"/>
        </w:rPr>
        <w:t>（分析）</w:t>
      </w:r>
      <w:r>
        <w:rPr>
          <w:sz w:val="22"/>
        </w:rPr>
        <w:t xml:space="preserve"> 分析物质文化遗产"静态保存"与ICH"活态传承"这两种保护目标差异对数字化技术选型的决定性影响。</w:t>
      </w:r>
    </w:p>
    <w:p>
      <w:pPr>
        <w:pStyle w:val="ListNumber"/>
      </w:pPr>
      <w:r>
        <w:rPr>
          <w:b/>
          <w:sz w:val="22"/>
        </w:rPr>
        <w:t>（评价）</w:t>
      </w:r>
      <w:r>
        <w:rPr>
          <w:sz w:val="22"/>
        </w:rPr>
        <w:t xml:space="preserve"> 评估本文提出的"数字化价值六维度评估框架"的合理性和不足，提出改进建议。</w:t>
      </w:r>
    </w:p>
    <w:p>
      <w:pPr>
        <w:pStyle w:val="ListNumber"/>
      </w:pPr>
      <w:r>
        <w:rPr>
          <w:b/>
          <w:sz w:val="22"/>
        </w:rPr>
        <w:t>（创造）</w:t>
      </w:r>
      <w:r>
        <w:rPr>
          <w:sz w:val="22"/>
        </w:rPr>
        <w:t xml:space="preserve"> 以你家乡的一项文化遗产（物质或非物质均可）为例，撰写一份价值评估报告，涵盖传统三大价值和数字化价值六维度。</w:t>
      </w:r>
    </w:p>
    <w:p>
      <w:pPr>
        <w:spacing w:before="160" w:after="80"/>
      </w:pPr>
      <w:r>
        <w:rPr>
          <w:b/>
          <w:color w:val="2A9D8F"/>
          <w:sz w:val="26"/>
        </w:rPr>
        <w:t>2.6 国际视野下的遗产分类体系比较</w:t>
      </w:r>
    </w:p>
    <w:p>
      <w:pPr>
        <w:spacing w:before="120"/>
      </w:pPr>
      <w:r>
        <w:rPr>
          <w:b/>
          <w:sz w:val="22"/>
        </w:rPr>
        <w:t>2.6.1 UNESCO分类体系</w:t>
      </w:r>
    </w:p>
    <w:p>
      <w:pPr>
        <w:spacing w:after="80" w:line="360" w:lineRule="auto"/>
        <w:ind w:firstLine="420"/>
      </w:pPr>
      <w:r>
        <w:rPr>
          <w:sz w:val="22"/>
        </w:rPr>
        <w:t>UNESCO的文化遗产分类体系是全球最权威的国际框架，但其分类逻辑并非一成不变。1972年《世界遗产公约》仅定义了物质文化遗产三类（文物、建筑群、遗址），2003年《ICH公约》才将非物质文化遗产纳入。这一"物质先行、非物质后补"的序列并非理论设计的结果，而是实践需求的产物——物质遗产的保护紧迫性在20世纪中叶更为显著，ICH的系统性保护则在世纪之交才提上国际议程。</w:t>
      </w:r>
    </w:p>
    <w:p>
      <w:pPr>
        <w:spacing w:after="80" w:line="360" w:lineRule="auto"/>
        <w:ind w:firstLine="420"/>
      </w:pPr>
      <w:r>
        <w:rPr>
          <w:sz w:val="22"/>
        </w:rPr>
        <w:t>Pshenychnyi和Zinchenko（2025）指出，UNESCO对文化遗产保护的方法论经历了从物质到数字的转变，这一转变不仅是技术层面的，更是本体论层面的——数字遗产的出现模糊了"物质"与"非物质"的二元界限[18]。</w:t>
      </w:r>
    </w:p>
    <w:p>
      <w:pPr>
        <w:spacing w:before="120"/>
      </w:pPr>
      <w:r>
        <w:rPr>
          <w:b/>
          <w:sz w:val="22"/>
        </w:rPr>
        <w:t>2.6.2 日本文化财分类体系</w:t>
      </w:r>
    </w:p>
    <w:p>
      <w:pPr>
        <w:spacing w:after="80" w:line="360" w:lineRule="auto"/>
        <w:ind w:firstLine="420"/>
      </w:pPr>
      <w:r>
        <w:rPr>
          <w:sz w:val="22"/>
        </w:rPr>
        <w:t>日本的"文化财"分类体系比UNESCO更为细致，分为有形文化财、无形文化财、民俗文化财、纪念物、文化景观和传统建造物群保存地区六大类。其中"民俗文化财"是一个独特类别——它既包含有形的民俗资料（如农具、祭具），也包含无形的民俗技艺（如民间故事、传统仪式），体现了对"物质"与"非物质"内在联系的深刻认识。</w:t>
      </w:r>
    </w:p>
    <w:p>
      <w:pPr>
        <w:spacing w:after="80" w:line="360" w:lineRule="auto"/>
        <w:ind w:firstLine="420"/>
      </w:pPr>
      <w:r>
        <w:rPr>
          <w:sz w:val="22"/>
        </w:rPr>
        <w:t>姚国章和刘增燕（2022）指出，日本针对非遗的立法保障是其数字化保护的基础——1950年《文化财保护法》不仅定义了保护对象，还建立了"人间国宝"认定制度，为每位重要无形文化财保持者提供系统性数字化记录[19]。</w:t>
      </w:r>
    </w:p>
    <w:p>
      <w:pPr>
        <w:spacing w:before="120"/>
      </w:pPr>
      <w:r>
        <w:rPr>
          <w:b/>
          <w:sz w:val="22"/>
        </w:rPr>
        <w:t>2.6.3 中国分类体系的特色与挑战</w:t>
      </w:r>
    </w:p>
    <w:p>
      <w:pPr>
        <w:spacing w:after="80" w:line="360" w:lineRule="auto"/>
        <w:ind w:firstLine="420"/>
      </w:pPr>
      <w:r>
        <w:rPr>
          <w:sz w:val="22"/>
        </w:rPr>
        <w:t>中国采用"物质/非物质"二分法，与UNESCO框架基本对齐，但在实践中面临分类边界模糊的挑战。例如，传统手工艺品的实物属于物质文化遗产，但制作技艺属于非物质文化遗产——两者在保护实践中难以割裂。景德镇古窑遗址（物质遗产）与景德镇手工制瓷技艺（ICH）的联合保护就是典型例子。</w:t>
      </w:r>
    </w:p>
    <w:p>
      <w:pPr>
        <w:spacing w:after="80" w:line="360" w:lineRule="auto"/>
        <w:ind w:firstLine="420"/>
      </w:pPr>
      <w:r>
        <w:rPr>
          <w:sz w:val="22"/>
        </w:rPr>
        <w:t>Grzeszczuk等人（2024）在研究有形与无形文化遗产保护时，以意大利沃尔泰拉和Atari为例，指出物质与非物质遗产往往是同一文化体系的两个面向，数字化保护应采用整合性方法而非分离式方法[20]。</w:t>
      </w:r>
    </w:p>
    <w:p>
      <w:pPr>
        <w:spacing w:before="160" w:after="80"/>
      </w:pPr>
      <w:r>
        <w:rPr>
          <w:b/>
          <w:color w:val="2A9D8F"/>
          <w:sz w:val="26"/>
        </w:rPr>
        <w:t>2.7 深度案例分析：三种类型遗产的数字化保护比较</w:t>
      </w:r>
    </w:p>
    <w:p>
      <w:pPr>
        <w:spacing w:before="120"/>
      </w:pPr>
      <w:r>
        <w:rPr>
          <w:b/>
          <w:sz w:val="22"/>
        </w:rPr>
        <w:t>2.7.1 可移动文物数字化：以陶瓷器为例</w:t>
      </w:r>
    </w:p>
    <w:p>
      <w:pPr>
        <w:spacing w:after="80" w:line="360" w:lineRule="auto"/>
        <w:ind w:firstLine="420"/>
      </w:pPr>
      <w:r>
        <w:rPr>
          <w:sz w:val="22"/>
        </w:rPr>
        <w:t>陶瓷器是中国博物馆收藏数量最大的文物类型之一。其数字化保护需要兼顾器型记录和纹饰保存——器型通过三维扫描获取几何数据，纹饰通过高分辨率摄影获取纹理信息。张瑞等人（2007）的实践表明，陶瓷器数字化的技术难点在于表面反光处理——釉面陶瓷的高反光性会影响三维扫描和摄影的质量，需要使用偏振光或喷粉处理[21]。</w:t>
      </w:r>
    </w:p>
    <w:p>
      <w:pPr>
        <w:spacing w:after="80" w:line="360" w:lineRule="auto"/>
        <w:ind w:firstLine="420"/>
      </w:pPr>
      <w:r>
        <w:rPr>
          <w:sz w:val="22"/>
        </w:rPr>
        <w:t>陶瓷器数字化的应用场景包括：虚拟展览（观众可360度旋转查看）、对比研究（不同窑口器型对比）、修复辅助（残损部位的虚拟补全）和文创开发（基于数字模型的3D打印文创产品）。</w:t>
      </w:r>
    </w:p>
    <w:p>
      <w:pPr>
        <w:spacing w:before="120"/>
      </w:pPr>
      <w:r>
        <w:rPr>
          <w:b/>
          <w:sz w:val="22"/>
        </w:rPr>
        <w:t>2.7.2 不可移动文物数字化：以石窟寺为例</w:t>
      </w:r>
    </w:p>
    <w:p>
      <w:pPr>
        <w:spacing w:after="80" w:line="360" w:lineRule="auto"/>
        <w:ind w:firstLine="420"/>
      </w:pPr>
      <w:r>
        <w:rPr>
          <w:sz w:val="22"/>
        </w:rPr>
        <w:t>石窟寺是数字化最为复杂的不可移动文物类型。敦煌莫高窟的数字化实践已持续三十余年，形成了"壁画高清摄影+雕塑三维扫描+洞窟整体三维建模"的三层数字化体系。每一层的技术参数不同：壁画摄影要求分辨率300DPI以上，雕塑扫描精度0.1mm，洞窟整体建模精度1-2cm。</w:t>
      </w:r>
    </w:p>
    <w:p>
      <w:pPr>
        <w:spacing w:after="80" w:line="360" w:lineRule="auto"/>
        <w:ind w:firstLine="420"/>
      </w:pPr>
      <w:r>
        <w:rPr>
          <w:sz w:val="22"/>
        </w:rPr>
        <w:t>石窟寺数字化的特殊挑战在于"空间一致性"——壁画、雕塑和洞窟空间的数据需要在统一坐标系中整合，使虚拟洞窟在空间关系上与实体洞窟完全一致。这要求在数字化采集之前就建立全洞窟的控制点网络。</w:t>
      </w:r>
    </w:p>
    <w:p>
      <w:pPr>
        <w:spacing w:before="120"/>
      </w:pPr>
      <w:r>
        <w:rPr>
          <w:b/>
          <w:sz w:val="22"/>
        </w:rPr>
        <w:t>2.7.3 非物质文化遗产数字化：以传统戏曲为例</w:t>
      </w:r>
    </w:p>
    <w:p>
      <w:pPr>
        <w:spacing w:after="80" w:line="360" w:lineRule="auto"/>
        <w:ind w:firstLine="420"/>
      </w:pPr>
      <w:r>
        <w:rPr>
          <w:sz w:val="22"/>
        </w:rPr>
        <w:t>传统戏曲的数字化涉及"人"（演员表演）、"物"（戏服、道具、舞台）和"境"（剧场空间、观众氛围）三个维度。动作捕捉技术可以精确记录演员的身段手势，三维扫描可以数字化戏服和道具，全景视频可以记录剧场空间和观众反应。</w:t>
      </w:r>
    </w:p>
    <w:p>
      <w:pPr>
        <w:spacing w:after="80" w:line="360" w:lineRule="auto"/>
        <w:ind w:firstLine="420"/>
      </w:pPr>
      <w:r>
        <w:rPr>
          <w:sz w:val="22"/>
        </w:rPr>
        <w:t>Jung等人（2020）在研究韩国济州岛文化遗产的VR/AR应用时，展示了动作捕捉与VR结合实现文化沉浸的实践——捕获的传统舞蹈动作数据可以驱动虚拟角色，使已故大师的表演风格"复活"[22]。</w:t>
      </w:r>
    </w:p>
    <w:p>
      <w:pPr>
        <w:spacing w:after="80" w:line="360" w:lineRule="auto"/>
        <w:ind w:firstLine="420"/>
      </w:pPr>
      <w:r>
        <w:rPr>
          <w:sz w:val="22"/>
        </w:rPr>
        <w:t>三种类型遗产的数字化比较：</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D9E2EC"/>
          </w:tcPr>
          <w:p>
            <w:pPr>
              <w:spacing w:before="40" w:after="40"/>
            </w:pPr>
            <w:r>
              <w:rPr>
                <w:b/>
                <w:sz w:val="20"/>
              </w:rPr>
            </w:r>
            <w:r>
              <w:rPr>
                <w:b/>
                <w:sz w:val="20"/>
              </w:rPr>
              <w:t>维度</w:t>
            </w:r>
          </w:p>
        </w:tc>
        <w:tc>
          <w:tcPr>
            <w:tcW w:type="dxa" w:w="2126"/>
            <w:shd w:val="clear" w:color="auto" w:fill="D9E2EC"/>
          </w:tcPr>
          <w:p>
            <w:pPr>
              <w:spacing w:before="40" w:after="40"/>
            </w:pPr>
            <w:r>
              <w:rPr>
                <w:b/>
                <w:sz w:val="20"/>
              </w:rPr>
            </w:r>
            <w:r>
              <w:rPr>
                <w:b/>
                <w:sz w:val="20"/>
              </w:rPr>
              <w:t>陶瓷器（可移动）</w:t>
            </w:r>
          </w:p>
        </w:tc>
        <w:tc>
          <w:tcPr>
            <w:tcW w:type="dxa" w:w="2126"/>
            <w:shd w:val="clear" w:color="auto" w:fill="D9E2EC"/>
          </w:tcPr>
          <w:p>
            <w:pPr>
              <w:spacing w:before="40" w:after="40"/>
            </w:pPr>
            <w:r>
              <w:rPr>
                <w:b/>
                <w:sz w:val="20"/>
              </w:rPr>
            </w:r>
            <w:r>
              <w:rPr>
                <w:b/>
                <w:sz w:val="20"/>
              </w:rPr>
              <w:t>石窟寺（不可移动）</w:t>
            </w:r>
          </w:p>
        </w:tc>
        <w:tc>
          <w:tcPr>
            <w:tcW w:type="dxa" w:w="2126"/>
            <w:shd w:val="clear" w:color="auto" w:fill="D9E2EC"/>
          </w:tcPr>
          <w:p>
            <w:pPr>
              <w:spacing w:before="40" w:after="40"/>
            </w:pPr>
            <w:r>
              <w:rPr>
                <w:b/>
                <w:sz w:val="20"/>
              </w:rPr>
            </w:r>
            <w:r>
              <w:rPr>
                <w:b/>
                <w:sz w:val="20"/>
              </w:rPr>
              <w:t>传统戏曲（ICH）</w:t>
            </w:r>
          </w:p>
        </w:tc>
      </w:tr>
      <w:tr>
        <w:tc>
          <w:tcPr>
            <w:tcW w:type="dxa" w:w="2126"/>
          </w:tcPr>
          <w:p>
            <w:pPr>
              <w:spacing w:before="40" w:after="40"/>
            </w:pPr>
            <w:r>
              <w:rPr>
                <w:sz w:val="20"/>
              </w:rPr>
            </w:r>
            <w:r>
              <w:rPr>
                <w:sz w:val="20"/>
              </w:rPr>
              <w:t>核心技术</w:t>
            </w:r>
          </w:p>
        </w:tc>
        <w:tc>
          <w:tcPr>
            <w:tcW w:type="dxa" w:w="2126"/>
          </w:tcPr>
          <w:p>
            <w:pPr>
              <w:spacing w:before="40" w:after="40"/>
            </w:pPr>
            <w:r>
              <w:rPr>
                <w:sz w:val="20"/>
              </w:rPr>
            </w:r>
            <w:r>
              <w:rPr>
                <w:sz w:val="20"/>
              </w:rPr>
              <w:t>三维扫描+摄影</w:t>
            </w:r>
          </w:p>
        </w:tc>
        <w:tc>
          <w:tcPr>
            <w:tcW w:type="dxa" w:w="2126"/>
          </w:tcPr>
          <w:p>
            <w:pPr>
              <w:spacing w:before="40" w:after="40"/>
            </w:pPr>
            <w:r>
              <w:rPr>
                <w:sz w:val="20"/>
              </w:rPr>
            </w:r>
            <w:r>
              <w:rPr>
                <w:sz w:val="20"/>
              </w:rPr>
              <w:t>高清摄影+三维扫描+空间建模</w:t>
            </w:r>
          </w:p>
        </w:tc>
        <w:tc>
          <w:tcPr>
            <w:tcW w:type="dxa" w:w="2126"/>
          </w:tcPr>
          <w:p>
            <w:pPr>
              <w:spacing w:before="40" w:after="40"/>
            </w:pPr>
            <w:r>
              <w:rPr>
                <w:sz w:val="20"/>
              </w:rPr>
            </w:r>
            <w:r>
              <w:rPr>
                <w:sz w:val="20"/>
              </w:rPr>
              <w:t>动作捕捉+视频+三维扫描</w:t>
            </w:r>
          </w:p>
        </w:tc>
      </w:tr>
      <w:tr>
        <w:tc>
          <w:tcPr>
            <w:tcW w:type="dxa" w:w="2126"/>
            <w:shd w:val="clear" w:color="auto" w:fill="F5F5F5"/>
          </w:tcPr>
          <w:p>
            <w:pPr>
              <w:spacing w:before="40" w:after="40"/>
            </w:pPr>
            <w:r>
              <w:rPr>
                <w:sz w:val="20"/>
              </w:rPr>
            </w:r>
            <w:r>
              <w:rPr>
                <w:sz w:val="20"/>
              </w:rPr>
              <w:t>数据特点</w:t>
            </w:r>
          </w:p>
        </w:tc>
        <w:tc>
          <w:tcPr>
            <w:tcW w:type="dxa" w:w="2126"/>
            <w:shd w:val="clear" w:color="auto" w:fill="F5F5F5"/>
          </w:tcPr>
          <w:p>
            <w:pPr>
              <w:spacing w:before="40" w:after="40"/>
            </w:pPr>
            <w:r>
              <w:rPr>
                <w:sz w:val="20"/>
              </w:rPr>
            </w:r>
            <w:r>
              <w:rPr>
                <w:sz w:val="20"/>
              </w:rPr>
              <w:t>静态、几何为主</w:t>
            </w:r>
          </w:p>
        </w:tc>
        <w:tc>
          <w:tcPr>
            <w:tcW w:type="dxa" w:w="2126"/>
            <w:shd w:val="clear" w:color="auto" w:fill="F5F5F5"/>
          </w:tcPr>
          <w:p>
            <w:pPr>
              <w:spacing w:before="40" w:after="40"/>
            </w:pPr>
            <w:r>
              <w:rPr>
                <w:sz w:val="20"/>
              </w:rPr>
            </w:r>
            <w:r>
              <w:rPr>
                <w:sz w:val="20"/>
              </w:rPr>
              <w:t>静态、空间+表面</w:t>
            </w:r>
          </w:p>
        </w:tc>
        <w:tc>
          <w:tcPr>
            <w:tcW w:type="dxa" w:w="2126"/>
            <w:shd w:val="clear" w:color="auto" w:fill="F5F5F5"/>
          </w:tcPr>
          <w:p>
            <w:pPr>
              <w:spacing w:before="40" w:after="40"/>
            </w:pPr>
            <w:r>
              <w:rPr>
                <w:sz w:val="20"/>
              </w:rPr>
            </w:r>
            <w:r>
              <w:rPr>
                <w:sz w:val="20"/>
              </w:rPr>
              <w:t>动态、时序+空间</w:t>
            </w:r>
          </w:p>
        </w:tc>
      </w:tr>
      <w:tr>
        <w:tc>
          <w:tcPr>
            <w:tcW w:type="dxa" w:w="2126"/>
          </w:tcPr>
          <w:p>
            <w:pPr>
              <w:spacing w:before="40" w:after="40"/>
            </w:pPr>
            <w:r>
              <w:rPr>
                <w:sz w:val="20"/>
              </w:rPr>
            </w:r>
            <w:r>
              <w:rPr>
                <w:sz w:val="20"/>
              </w:rPr>
              <w:t>数字化周期</w:t>
            </w:r>
          </w:p>
        </w:tc>
        <w:tc>
          <w:tcPr>
            <w:tcW w:type="dxa" w:w="2126"/>
          </w:tcPr>
          <w:p>
            <w:pPr>
              <w:spacing w:before="40" w:after="40"/>
            </w:pPr>
            <w:r>
              <w:rPr>
                <w:sz w:val="20"/>
              </w:rPr>
            </w:r>
            <w:r>
              <w:rPr>
                <w:sz w:val="20"/>
              </w:rPr>
              <w:t>数小时/件</w:t>
            </w:r>
          </w:p>
        </w:tc>
        <w:tc>
          <w:tcPr>
            <w:tcW w:type="dxa" w:w="2126"/>
          </w:tcPr>
          <w:p>
            <w:pPr>
              <w:spacing w:before="40" w:after="40"/>
            </w:pPr>
            <w:r>
              <w:rPr>
                <w:sz w:val="20"/>
              </w:rPr>
            </w:r>
            <w:r>
              <w:rPr>
                <w:sz w:val="20"/>
              </w:rPr>
              <w:t>数月/洞窟</w:t>
            </w:r>
          </w:p>
        </w:tc>
        <w:tc>
          <w:tcPr>
            <w:tcW w:type="dxa" w:w="2126"/>
          </w:tcPr>
          <w:p>
            <w:pPr>
              <w:spacing w:before="40" w:after="40"/>
            </w:pPr>
            <w:r>
              <w:rPr>
                <w:sz w:val="20"/>
              </w:rPr>
            </w:r>
            <w:r>
              <w:rPr>
                <w:sz w:val="20"/>
              </w:rPr>
              <w:t>数周/剧目</w:t>
            </w:r>
          </w:p>
        </w:tc>
      </w:tr>
      <w:tr>
        <w:tc>
          <w:tcPr>
            <w:tcW w:type="dxa" w:w="2126"/>
            <w:shd w:val="clear" w:color="auto" w:fill="F5F5F5"/>
          </w:tcPr>
          <w:p>
            <w:pPr>
              <w:spacing w:before="40" w:after="40"/>
            </w:pPr>
            <w:r>
              <w:rPr>
                <w:sz w:val="20"/>
              </w:rPr>
            </w:r>
            <w:r>
              <w:rPr>
                <w:sz w:val="20"/>
              </w:rPr>
              <w:t>主要挑战</w:t>
            </w:r>
          </w:p>
        </w:tc>
        <w:tc>
          <w:tcPr>
            <w:tcW w:type="dxa" w:w="2126"/>
            <w:shd w:val="clear" w:color="auto" w:fill="F5F5F5"/>
          </w:tcPr>
          <w:p>
            <w:pPr>
              <w:spacing w:before="40" w:after="40"/>
            </w:pPr>
            <w:r>
              <w:rPr>
                <w:sz w:val="20"/>
              </w:rPr>
            </w:r>
            <w:r>
              <w:rPr>
                <w:sz w:val="20"/>
              </w:rPr>
              <w:t>反光处理</w:t>
            </w:r>
          </w:p>
        </w:tc>
        <w:tc>
          <w:tcPr>
            <w:tcW w:type="dxa" w:w="2126"/>
            <w:shd w:val="clear" w:color="auto" w:fill="F5F5F5"/>
          </w:tcPr>
          <w:p>
            <w:pPr>
              <w:spacing w:before="40" w:after="40"/>
            </w:pPr>
            <w:r>
              <w:rPr>
                <w:sz w:val="20"/>
              </w:rPr>
            </w:r>
            <w:r>
              <w:rPr>
                <w:sz w:val="20"/>
              </w:rPr>
              <w:t>空间一致性</w:t>
            </w:r>
          </w:p>
        </w:tc>
        <w:tc>
          <w:tcPr>
            <w:tcW w:type="dxa" w:w="2126"/>
            <w:shd w:val="clear" w:color="auto" w:fill="F5F5F5"/>
          </w:tcPr>
          <w:p>
            <w:pPr>
              <w:spacing w:before="40" w:after="40"/>
            </w:pPr>
            <w:r>
              <w:rPr>
                <w:sz w:val="20"/>
              </w:rPr>
            </w:r>
            <w:r>
              <w:rPr>
                <w:sz w:val="20"/>
              </w:rPr>
              <w:t>活态性记录</w:t>
            </w:r>
          </w:p>
        </w:tc>
      </w:tr>
      <w:tr>
        <w:tc>
          <w:tcPr>
            <w:tcW w:type="dxa" w:w="2126"/>
          </w:tcPr>
          <w:p>
            <w:pPr>
              <w:spacing w:before="40" w:after="40"/>
            </w:pPr>
            <w:r>
              <w:rPr>
                <w:sz w:val="20"/>
              </w:rPr>
            </w:r>
            <w:r>
              <w:rPr>
                <w:sz w:val="20"/>
              </w:rPr>
              <w:t>展示方式</w:t>
            </w:r>
          </w:p>
        </w:tc>
        <w:tc>
          <w:tcPr>
            <w:tcW w:type="dxa" w:w="2126"/>
          </w:tcPr>
          <w:p>
            <w:pPr>
              <w:spacing w:before="40" w:after="40"/>
            </w:pPr>
            <w:r>
              <w:rPr>
                <w:sz w:val="20"/>
              </w:rPr>
            </w:r>
            <w:r>
              <w:rPr>
                <w:sz w:val="20"/>
              </w:rPr>
              <w:t>Web3D浏览</w:t>
            </w:r>
          </w:p>
        </w:tc>
        <w:tc>
          <w:tcPr>
            <w:tcW w:type="dxa" w:w="2126"/>
          </w:tcPr>
          <w:p>
            <w:pPr>
              <w:spacing w:before="40" w:after="40"/>
            </w:pPr>
            <w:r>
              <w:rPr>
                <w:sz w:val="20"/>
              </w:rPr>
            </w:r>
            <w:r>
              <w:rPr>
                <w:sz w:val="20"/>
              </w:rPr>
              <w:t>VR漫游</w:t>
            </w:r>
          </w:p>
        </w:tc>
        <w:tc>
          <w:tcPr>
            <w:tcW w:type="dxa" w:w="2126"/>
          </w:tcPr>
          <w:p>
            <w:pPr>
              <w:spacing w:before="40" w:after="40"/>
            </w:pPr>
            <w:r>
              <w:rPr>
                <w:sz w:val="20"/>
              </w:rPr>
            </w:r>
            <w:r>
              <w:rPr>
                <w:sz w:val="20"/>
              </w:rPr>
              <w:t>虚拟表演</w:t>
            </w:r>
          </w:p>
        </w:tc>
      </w:tr>
    </w:tbl>
    <w:p>
      <w:pPr>
        <w:spacing w:before="160" w:after="80"/>
      </w:pPr>
      <w:r>
        <w:rPr>
          <w:b/>
          <w:color w:val="2A9D8F"/>
          <w:sz w:val="26"/>
        </w:rPr>
        <w:t>2.8 文化遗产价值评估的实践应用</w:t>
      </w:r>
    </w:p>
    <w:p>
      <w:pPr>
        <w:spacing w:before="120"/>
      </w:pPr>
      <w:r>
        <w:rPr>
          <w:b/>
          <w:sz w:val="22"/>
        </w:rPr>
        <w:t>2.8.1 价值评估在数字化优先级排序中的应用</w:t>
      </w:r>
    </w:p>
    <w:p>
      <w:pPr>
        <w:spacing w:after="80" w:line="360" w:lineRule="auto"/>
        <w:ind w:firstLine="420"/>
      </w:pPr>
      <w:r>
        <w:rPr>
          <w:sz w:val="22"/>
        </w:rPr>
        <w:t>文化遗产机构面临的现实问题是：资源有限，哪些遗产应优先数字化？价值评估为这一决策提供了依据。基于本书提出的"传统三大价值+数字化六维价值"评估框架，可以建立如下优先级评分矩阵：</w:t>
      </w:r>
    </w:p>
    <w:p>
      <w:pPr>
        <w:spacing w:after="80" w:line="360" w:lineRule="auto"/>
        <w:ind w:firstLine="420"/>
      </w:pPr>
      <w:r>
        <w:rPr>
          <w:sz w:val="22"/>
        </w:rPr>
        <w:t>每件遗产在历史价值、艺术价值、科学价值（各1-5分）和社会价值、文化价值、经济价值（各1-5分）以及数字化六维度（各1-5分）上进行评分，总分最高者优先数字化。同时需考虑"紧迫性"修正因子——面临严重劣化风险的遗产应提高优先级。</w:t>
      </w:r>
    </w:p>
    <w:p>
      <w:pPr>
        <w:spacing w:before="120"/>
      </w:pPr>
      <w:r>
        <w:rPr>
          <w:b/>
          <w:sz w:val="22"/>
        </w:rPr>
        <w:t>2.8.2 价值评估在数字资源定价中的应用</w:t>
      </w:r>
    </w:p>
    <w:p>
      <w:pPr>
        <w:spacing w:after="80" w:line="360" w:lineRule="auto"/>
        <w:ind w:firstLine="420"/>
      </w:pPr>
      <w:r>
        <w:rPr>
          <w:sz w:val="22"/>
        </w:rPr>
        <w:t>数字资源的定价是文化遗产机构面临的另一个实践难题。Pouloupoulos和Wallace（2022）指出，数字技术在文化遗产中的角色正在从"数据存储"转向"价值创造"，数字资源的经济学价值需要新的评估方法[23]。基于价值评估框架，数字资源的定价应考虑：数字化投入成本（采集+处理+存储）、数字资源的稀缺性（独有性）、使用场景的商业价值（教育/研究/商业）和目标用户的支付能力。</w:t>
      </w:r>
    </w:p>
    <w:p>
      <w:pPr>
        <w:spacing w:before="160" w:after="80"/>
      </w:pPr>
      <w:r>
        <w:rPr>
          <w:b/>
          <w:color w:val="2A9D8F"/>
          <w:sz w:val="26"/>
        </w:rPr>
        <w:t>2.9 文化遗产保护的理论前沿</w:t>
      </w:r>
    </w:p>
    <w:p>
      <w:pPr>
        <w:spacing w:before="120"/>
      </w:pPr>
      <w:r>
        <w:rPr>
          <w:b/>
          <w:sz w:val="22"/>
        </w:rPr>
        <w:t>2.9.1 "以人为核心"的遗产保护范式</w:t>
      </w:r>
    </w:p>
    <w:p>
      <w:pPr>
        <w:spacing w:after="80" w:line="360" w:lineRule="auto"/>
        <w:ind w:firstLine="420"/>
      </w:pPr>
      <w:r>
        <w:rPr>
          <w:sz w:val="22"/>
        </w:rPr>
        <w:t>当代文化遗产保护正在经历从"以物为核心"到"以人为核心"的范式转变。传统保护以"物"（文物、建筑、遗址）为中心，人被视为"威胁"——游客的触摸、呼吸和拍照都会损害文物。新的范式将人——特别是传承人和社区——视为遗产保护的"主体"和"合作者"。ICH保护尤其需要这一范式转变——没有传承人的实践，ICH就不存在。</w:t>
      </w:r>
    </w:p>
    <w:p>
      <w:pPr>
        <w:spacing w:after="80" w:line="360" w:lineRule="auto"/>
        <w:ind w:firstLine="420"/>
      </w:pPr>
      <w:r>
        <w:rPr>
          <w:sz w:val="22"/>
        </w:rPr>
        <w:t>Robbins（2010）提出的"超越保存"理念是这一范式转变的理论表达——ICH保护不应仅停留在"保存"层面，更应关注"超越保存"的技术创新方向，探索ICH在当代社会中的创造性转化[24]。</w:t>
      </w:r>
    </w:p>
    <w:p>
      <w:pPr>
        <w:spacing w:before="120"/>
      </w:pPr>
      <w:r>
        <w:rPr>
          <w:b/>
          <w:sz w:val="22"/>
        </w:rPr>
        <w:t>2.9.2 遗产的"多元价值"理论</w:t>
      </w:r>
    </w:p>
    <w:p>
      <w:pPr>
        <w:spacing w:after="80" w:line="360" w:lineRule="auto"/>
        <w:ind w:firstLine="420"/>
      </w:pPr>
      <w:r>
        <w:rPr>
          <w:sz w:val="22"/>
        </w:rPr>
        <w:t>传统的遗产价值评估以"历史、艺术、科学"三大价值为核心，这一框架主要适用于物质遗产。当代遗产理论提出了"多元价值"框架——除三大价值外，还应评估遗产的社会价值（社区凝聚力）、文化价值（文化多样性贡献）、经济价值（旅游和文创收入）、教育价值（知识传递和公众教育）和精神价值（信仰和情感寄托）。</w:t>
      </w:r>
    </w:p>
    <w:p>
      <w:pPr>
        <w:spacing w:after="80" w:line="360" w:lineRule="auto"/>
        <w:ind w:firstLine="420"/>
      </w:pPr>
      <w:r>
        <w:rPr>
          <w:sz w:val="22"/>
        </w:rPr>
        <w:t>Wan Isa等人（2018）在研究ICH数字保存时指出，多元价值评估框架特别适用于ICH——ICH的价值往往不在"物"本身，而在"实践"所承载的社会、文化和精神意义[25]。</w:t>
      </w:r>
    </w:p>
    <w:p>
      <w:pPr>
        <w:spacing w:before="120"/>
      </w:pPr>
      <w:r>
        <w:rPr>
          <w:b/>
          <w:sz w:val="22"/>
        </w:rPr>
        <w:t>2.9.3 遗产保护的"可持续性"话语</w:t>
      </w:r>
    </w:p>
    <w:p>
      <w:pPr>
        <w:spacing w:after="80" w:line="360" w:lineRule="auto"/>
        <w:ind w:firstLine="420"/>
      </w:pPr>
      <w:r>
        <w:rPr>
          <w:sz w:val="22"/>
        </w:rPr>
        <w:t>可持续性（Sustainability）已成为文化遗产保护的核心话语。可持续遗产保护要求在"保护"与"利用"之间取得平衡——过度保护使遗产失去社会联系，过度利用则损害遗产实体。Liang等人（2020）在回顾社交媒体对文化遗产可持续性作用时，指出数字传播是连接保护与利用的桥梁——数字资源可以被无限次使用而不损害实物，是可持续利用的理想方式[26]。</w:t>
      </w:r>
    </w:p>
    <w:p>
      <w:pPr>
        <w:spacing w:before="160" w:after="80"/>
      </w:pPr>
      <w:r>
        <w:rPr>
          <w:b/>
          <w:color w:val="2A9D8F"/>
          <w:sz w:val="26"/>
        </w:rPr>
        <w:t>2.10 中国文化遗产资源的区域特征</w:t>
      </w:r>
    </w:p>
    <w:p>
      <w:pPr>
        <w:spacing w:before="120"/>
      </w:pPr>
      <w:r>
        <w:rPr>
          <w:b/>
          <w:sz w:val="22"/>
        </w:rPr>
        <w:t>2.10.1 黄河流域文化遗产带</w:t>
      </w:r>
    </w:p>
    <w:p>
      <w:pPr>
        <w:spacing w:after="80" w:line="360" w:lineRule="auto"/>
        <w:ind w:firstLine="420"/>
      </w:pPr>
      <w:r>
        <w:rPr>
          <w:sz w:val="22"/>
        </w:rPr>
        <w:t>黄河流域是中华文明的发源地，其文化遗产资源具有"源远流长、类型丰富"的特征。从仰韶文化遗址到殷墟，从龙门石窟到平遥古城，黄河流域串联起了中华文明从新石器时代到近现代的完整链条。这一区域的文化遗产数字化应重点关注"文明起源"和"文化连续性"的叙事线索。</w:t>
      </w:r>
    </w:p>
    <w:p>
      <w:pPr>
        <w:spacing w:before="120"/>
      </w:pPr>
      <w:r>
        <w:rPr>
          <w:b/>
          <w:sz w:val="22"/>
        </w:rPr>
        <w:t>2.10.2 长江流域文化遗产带</w:t>
      </w:r>
    </w:p>
    <w:p>
      <w:pPr>
        <w:spacing w:after="80" w:line="360" w:lineRule="auto"/>
        <w:ind w:firstLine="420"/>
      </w:pPr>
      <w:r>
        <w:rPr>
          <w:sz w:val="22"/>
        </w:rPr>
        <w:t>长江流域的文化遗产以"多元融合"为特征——巴蜀文化、荆楚文化、吴越文化在此交汇融合。三星堆遗址的发现揭示了长江上游独特的青铜文明；良渚遗址的申遗成功展示了长江下游早期国家形态。这一区域的数字化应关注"文化多样性"和"区域互动"。</w:t>
      </w:r>
    </w:p>
    <w:p>
      <w:pPr>
        <w:spacing w:before="120"/>
      </w:pPr>
      <w:r>
        <w:rPr>
          <w:b/>
          <w:sz w:val="22"/>
        </w:rPr>
        <w:t>2.10.3 丝绸之路文化遗产带</w:t>
      </w:r>
    </w:p>
    <w:p>
      <w:pPr>
        <w:spacing w:after="80" w:line="360" w:lineRule="auto"/>
        <w:ind w:firstLine="420"/>
      </w:pPr>
      <w:r>
        <w:rPr>
          <w:sz w:val="22"/>
        </w:rPr>
        <w:t>丝绸之路（包括陆上和海上）是世界最长线性文化遗产，横跨亚欧大陆。丝绸之路文化遗产的数字化具有"跨国协作"特征——中国与中亚、欧洲国家的遗产机构需要联合进行数字化采集和数据共享。Xiong和Srijinda（2025）指出，数字资源为跨国遗产的抢救性保护提供了高质量数据源，同时也为跨文化交流提供了平台[27]。</w:t>
      </w:r>
    </w:p>
    <w:p>
      <w:pPr>
        <w:spacing w:before="160" w:after="80"/>
      </w:pPr>
      <w:r>
        <w:rPr>
          <w:b/>
          <w:color w:val="2A9D8F"/>
          <w:sz w:val="26"/>
        </w:rPr>
        <w:t>2.9 物质与非物质文化遗产的协同保护机制</w:t>
      </w:r>
    </w:p>
    <w:p>
      <w:pPr>
        <w:spacing w:before="120"/>
      </w:pPr>
      <w:r>
        <w:rPr>
          <w:b/>
          <w:sz w:val="22"/>
        </w:rPr>
        <w:t>2.9.1 有形与无形遗产的内在关联</w:t>
      </w:r>
    </w:p>
    <w:p>
      <w:pPr>
        <w:spacing w:after="80" w:line="360" w:lineRule="auto"/>
        <w:ind w:firstLine="420"/>
      </w:pPr>
      <w:r>
        <w:rPr>
          <w:sz w:val="22"/>
        </w:rPr>
        <w:t>物质文化遗产与非物质文化遗产并非截然分离，而是相互依存的有机整体。古建筑（有形）承载着建造技艺和营造法式（无形），传统乐器（有形）承载着演奏技法和音乐理论（无形），仪式器物（有形）承载着信仰体系和仪式流程（无形）。忽视这种关联，仅保护有形遗产或仅保护无形遗产，都难以实现文化遗产的完整保护。</w:t>
      </w:r>
    </w:p>
    <w:p>
      <w:pPr>
        <w:spacing w:after="80" w:line="360" w:lineRule="auto"/>
        <w:ind w:firstLine="420"/>
      </w:pPr>
      <w:r>
        <w:rPr>
          <w:sz w:val="22"/>
        </w:rPr>
        <w:t>Vadi（2024）在研究文化遗产的商业化与可持续性时，提出"遗产整体性保护"（Holistic Heritage Conservation）理念——将物质与非物质遗产视为相互建构的整体，数字化保护方案应同时覆盖有形载体和无形实践[39]。例如，对一座古戏台的数字化保护不仅应包括建筑结构的三维扫描，还应包括在此戏台上表演的戏曲的音视频记录和传承人口述史采集。</w:t>
      </w:r>
    </w:p>
    <w:p>
      <w:pPr>
        <w:spacing w:before="120"/>
      </w:pPr>
      <w:r>
        <w:rPr>
          <w:b/>
          <w:sz w:val="22"/>
        </w:rPr>
        <w:t>2.9.2 协同数字化的实践模式</w:t>
      </w:r>
    </w:p>
    <w:p>
      <w:pPr>
        <w:spacing w:after="80" w:line="360" w:lineRule="auto"/>
        <w:ind w:firstLine="420"/>
      </w:pPr>
      <w:r>
        <w:rPr>
          <w:sz w:val="22"/>
        </w:rPr>
        <w:t>物质与非物质遗产的协同数字化可采用"场景化数字典藏"模式——以文化场景为单位组织数字化工作。例如，对一个传统村落，同时数字化建筑空间（三维扫描）、生活器具（精细建模）、生产工艺（视频记录）、口头传统（音频采集）和节庆仪式（多机位拍摄），并在数字平台中以场景为组织单元呈现这些多模态数据的关联关系。这种模式避免了不同类型遗产数字化工作各自为政的问题，使数字档案更完整地反映文化生态系统的整体面貌。</w:t>
      </w:r>
    </w:p>
    <w:p>
      <w:pPr>
        <w:spacing w:before="200" w:after="120"/>
      </w:pPr>
      <w:r>
        <w:rPr>
          <w:b/>
          <w:color w:val="457B9D"/>
          <w:sz w:val="30"/>
        </w:rPr>
        <w:t>参考文献</w:t>
      </w:r>
    </w:p>
    <w:p>
      <w:pPr>
        <w:spacing w:after="40"/>
        <w:ind w:left="425" w:hanging="425"/>
      </w:pPr>
      <w:r>
        <w:rPr>
          <w:sz w:val="20"/>
        </w:rPr>
        <w:t>[1] 欧阳宏. 故宫院藏文物的三维数据采集与应用[J]. 2019. 万方数据.</w:t>
      </w:r>
    </w:p>
    <w:p>
      <w:pPr>
        <w:spacing w:after="40"/>
        <w:ind w:left="425" w:hanging="425"/>
      </w:pPr>
      <w:r>
        <w:rPr>
          <w:sz w:val="20"/>
        </w:rPr>
        <w:t>[2] 张瑞, 骆岩林, 周明全, 等. 文物数字化的关键技术[J]. 2007. 万方数据.</w:t>
      </w:r>
    </w:p>
    <w:p>
      <w:pPr>
        <w:spacing w:after="40"/>
        <w:ind w:left="425" w:hanging="425"/>
      </w:pPr>
      <w:r>
        <w:rPr>
          <w:sz w:val="20"/>
        </w:rPr>
        <w:t>[3] 丁翔, 龙佳媛, 向泽冬, 等. 基于三维激光扫描与HTML5技术的武当文化数字博物馆的研究[J]. 2024. 维普期刊.</w:t>
      </w:r>
    </w:p>
    <w:p>
      <w:pPr>
        <w:spacing w:after="40"/>
        <w:ind w:left="425" w:hanging="425"/>
      </w:pPr>
      <w:r>
        <w:rPr>
          <w:sz w:val="20"/>
        </w:rPr>
        <w:t>[4] Caciora T, Jubran A, Ilies D C, et al. Digitization of the Built Cultural Heritage: An Integrated Methodology for Preservation and Accessibilization of an Art Nouveau Museum[J]. Remote Sensing, 2023, 15(24): 5763. DOI: 10.3390/rs15245763.</w:t>
      </w:r>
    </w:p>
    <w:p>
      <w:pPr>
        <w:spacing w:after="40"/>
        <w:ind w:left="425" w:hanging="425"/>
      </w:pPr>
      <w:r>
        <w:rPr>
          <w:sz w:val="20"/>
        </w:rPr>
        <w:t>[5] 林树笋, 等. 基于物联网技术的文物保存环境监测系统[J]. 2013. 万方数据.</w:t>
      </w:r>
    </w:p>
    <w:p>
      <w:pPr>
        <w:spacing w:after="40"/>
        <w:ind w:left="425" w:hanging="425"/>
      </w:pPr>
      <w:r>
        <w:rPr>
          <w:sz w:val="20"/>
        </w:rPr>
        <w:t>[6] 卓颐. 基于数字技术的闽南音乐非物质文化遗产保护及活态传承研究[J]. 2016. 维普期刊.</w:t>
      </w:r>
    </w:p>
    <w:p>
      <w:pPr>
        <w:spacing w:after="40"/>
        <w:ind w:left="425" w:hanging="425"/>
      </w:pPr>
      <w:r>
        <w:rPr>
          <w:sz w:val="20"/>
        </w:rPr>
        <w:t>[7] 彭冬梅. 面向剪纸艺术的非物质文化遗产数字化保护技术研究[J]. 2008. 万方数据.</w:t>
      </w:r>
    </w:p>
    <w:p>
      <w:pPr>
        <w:spacing w:after="40"/>
        <w:ind w:left="425" w:hanging="425"/>
      </w:pPr>
      <w:r>
        <w:rPr>
          <w:sz w:val="20"/>
        </w:rPr>
        <w:t>[8] 卓么措. 基于数字技术的非物质文化遗产保护与传承研究[J]. 2013. 万方数据.</w:t>
      </w:r>
    </w:p>
    <w:p>
      <w:pPr>
        <w:spacing w:after="40"/>
        <w:ind w:left="425" w:hanging="425"/>
      </w:pPr>
      <w:r>
        <w:rPr>
          <w:sz w:val="20"/>
        </w:rPr>
        <w:t>[9] Wan Isa W M, Mat Zin N, Rosdi F, et al. Digital Preservation of Intangible Cultural Heritage[J]. International Journal of Electrical Engineering and Computer Science, 2018, 12(3): 1373-1379. DOI: 10.11591/IJEECS.V12.I3.PP1373-1379.</w:t>
      </w:r>
    </w:p>
    <w:p>
      <w:pPr>
        <w:spacing w:after="40"/>
        <w:ind w:left="425" w:hanging="425"/>
      </w:pPr>
      <w:r>
        <w:rPr>
          <w:sz w:val="20"/>
        </w:rPr>
        <w:t>[10] Amali L N, Katili M R, Ismail W. Preservation of Intangible and Tangible Cultural Heritage Using Digital Technology[J]. International Journal of Electrical Engineering and Computer Science, 2022, 28(2): 980-986. DOI: 10.11591/ijeecs.v28.i2.pp980-986.</w:t>
      </w:r>
    </w:p>
    <w:p>
      <w:pPr>
        <w:spacing w:after="40"/>
        <w:ind w:left="425" w:hanging="425"/>
      </w:pPr>
      <w:r>
        <w:rPr>
          <w:sz w:val="20"/>
        </w:rPr>
        <w:t>[11] Robbins C. Beyond Preservation: New Directions for Technological Innovation through Intangible Cultural Heritage[C]. Rhode Island School of Design, 2010.</w:t>
      </w:r>
    </w:p>
    <w:p>
      <w:pPr>
        <w:spacing w:after="40"/>
        <w:ind w:left="425" w:hanging="425"/>
      </w:pPr>
      <w:r>
        <w:rPr>
          <w:sz w:val="20"/>
        </w:rPr>
        <w:t>[12] Grzeszczuk M, Skorupska K, Grabarczyk P, et al. Preserving Tangible and Intangible Cultural Heritage: the Cases of Volterra and Atari[J]. arXiv:2403.02908, 2024. DOI: 10.48550/arXiv.2403.02908.</w:t>
      </w:r>
    </w:p>
    <w:p>
      <w:pPr>
        <w:spacing w:after="40"/>
        <w:ind w:left="425" w:hanging="425"/>
      </w:pPr>
      <w:r>
        <w:rPr>
          <w:sz w:val="20"/>
        </w:rPr>
        <w:t>[13] 姚国章, 刘增燕. 国外非物质文化遗产数字化保护与传承实践借鉴[J]. 2022. 维普期刊.</w:t>
      </w:r>
    </w:p>
    <w:p>
      <w:pPr>
        <w:spacing w:after="40"/>
        <w:ind w:left="425" w:hanging="425"/>
      </w:pPr>
      <w:r>
        <w:rPr>
          <w:sz w:val="20"/>
        </w:rPr>
        <w:t>[14] Sirisomboon S. Digital Virtual Museum to Preserve Hilltribe Cultural Heritage in Chiang Rai Province[C]. Semantic Scholar, 2020.</w:t>
      </w:r>
    </w:p>
    <w:p>
      <w:pPr>
        <w:spacing w:after="40"/>
        <w:ind w:left="425" w:hanging="425"/>
      </w:pPr>
      <w:r>
        <w:rPr>
          <w:sz w:val="20"/>
        </w:rPr>
        <w:t>[15] 王雅楠. 增强现实技术在文化遗产展示中的交互体验研究[J]. 2023. 万方数据.</w:t>
      </w:r>
    </w:p>
    <w:p>
      <w:pPr>
        <w:spacing w:after="40"/>
        <w:ind w:left="425" w:hanging="425"/>
      </w:pPr>
      <w:r>
        <w:rPr>
          <w:sz w:val="20"/>
        </w:rPr>
        <w:t>[16] Shao Y, Razali J R, Hassan H, et al. A Study on the Influencing Factors of Social Media in the Communication of Cultural Heritage Education[J]. Studies in Media and Communication, 2023, 11(7). DOI: 10.11114/smc.v11i7.6296.</w:t>
      </w:r>
    </w:p>
    <w:p>
      <w:pPr>
        <w:spacing w:after="40"/>
        <w:ind w:left="425" w:hanging="425"/>
      </w:pPr>
      <w:r>
        <w:rPr>
          <w:sz w:val="20"/>
        </w:rPr>
        <w:t>[17] Pouloupoulos V, Wallace M. Digital Technologies and the Role of Data in Cultural Heritage: The Past, the Present, and the Future[J]. Big Data and Cognitive Computing, 2022, 6(3): 73. DOI: 10.3390/bdcc6030073.</w:t>
      </w:r>
    </w:p>
    <w:p>
      <w:pPr>
        <w:spacing w:after="40"/>
        <w:ind w:left="425" w:hanging="425"/>
      </w:pPr>
      <w:r>
        <w:rPr>
          <w:sz w:val="20"/>
        </w:rPr>
        <w:t>[18] Pshenychnyi T, Zinchenko V. From Material to Digital: The Transformation of UNESCO's Approaches to the Protection of Cultural Heritage[J]. 2025. DOI: 10.17721/2524-048x.2025.32.12.</w:t>
      </w:r>
    </w:p>
    <w:p>
      <w:pPr>
        <w:spacing w:after="40"/>
        <w:ind w:left="425" w:hanging="425"/>
      </w:pPr>
      <w:r>
        <w:rPr>
          <w:sz w:val="20"/>
        </w:rPr>
        <w:t>[19] 姚国章, 刘增燕. 国外非物质文化遗产数字化保护与传承实践借鉴[J]. 2022. 维普期刊.</w:t>
      </w:r>
    </w:p>
    <w:p>
      <w:pPr>
        <w:spacing w:after="40"/>
        <w:ind w:left="425" w:hanging="425"/>
      </w:pPr>
      <w:r>
        <w:rPr>
          <w:sz w:val="20"/>
        </w:rPr>
        <w:t>[20] Grzeszczuk M, Skorupska K, Grabarczyk P, et al. Preserving Tangible and Intangible Cultural Heritage: the Cases of Volterra and Atari[J]. arXiv:2403.02908, 2024. DOI: 10.48550/arXiv.2403.02908.</w:t>
      </w:r>
    </w:p>
    <w:p>
      <w:pPr>
        <w:spacing w:after="40"/>
        <w:ind w:left="425" w:hanging="425"/>
      </w:pPr>
      <w:r>
        <w:rPr>
          <w:sz w:val="20"/>
        </w:rPr>
        <w:t>[21] 张瑞, 骆岩林, 周明全, 等. 文物数字化的关键技术[J]. 2007. 万方数据.</w:t>
      </w:r>
    </w:p>
    <w:p>
      <w:pPr>
        <w:spacing w:after="40"/>
        <w:ind w:left="425" w:hanging="425"/>
      </w:pPr>
      <w:r>
        <w:rPr>
          <w:sz w:val="20"/>
        </w:rPr>
        <w:t>[22] Jung K, Nguyen V T, Piscarac D, et al. Meet the Virtual Jeju Dol Harubang—The Mixed VR/AR Application for Cultural Immersion[J]. ISPRS International Journal of Geo-Information, 2020, 9(6): 367. DOI: 10.3390/ijgi9060367.</w:t>
      </w:r>
    </w:p>
    <w:p>
      <w:pPr>
        <w:spacing w:after="40"/>
        <w:ind w:left="425" w:hanging="425"/>
      </w:pPr>
      <w:r>
        <w:rPr>
          <w:sz w:val="20"/>
        </w:rPr>
        <w:t>[23] Pouloupoulos V, Wallace M. Digital Technologies and the Role of Data in Cultural Heritage[J]. Big Data and Cognitive Computing, 2022, 6(3): 73. DOI: 10.3390/bdcc6030073.</w:t>
      </w:r>
    </w:p>
    <w:p>
      <w:pPr>
        <w:spacing w:after="40"/>
        <w:ind w:left="425" w:hanging="425"/>
      </w:pPr>
      <w:r>
        <w:rPr>
          <w:sz w:val="20"/>
        </w:rPr>
        <w:t>[24] Robbins C. Beyond Preservation: New Directions for Technological Innovation through Intangible Cultural Heritage[C]. 2010. Semantic Scholar.</w:t>
      </w:r>
    </w:p>
    <w:p>
      <w:pPr>
        <w:spacing w:after="40"/>
        <w:ind w:left="425" w:hanging="425"/>
      </w:pPr>
      <w:r>
        <w:rPr>
          <w:sz w:val="20"/>
        </w:rPr>
        <w:t>[25] Wan Isa W M, et al. Digital Preservation of Intangible Cultural Heritage[J]. 2018. DOI: 10.11591/IJEECS.V12.I3.PP1373-1379.</w:t>
      </w:r>
    </w:p>
    <w:p>
      <w:pPr>
        <w:spacing w:after="40"/>
        <w:ind w:left="425" w:hanging="425"/>
      </w:pPr>
      <w:r>
        <w:rPr>
          <w:sz w:val="20"/>
        </w:rPr>
        <w:t>[26] Liang X, et al. A Review of the Role of Social Media for the Cultural Heritage Sustainability[J]. 2020. DOI: 10.20944/preprints202012.0618.v1.</w:t>
      </w:r>
    </w:p>
    <w:p>
      <w:pPr>
        <w:spacing w:after="40"/>
        <w:ind w:left="425" w:hanging="425"/>
      </w:pPr>
      <w:r>
        <w:rPr>
          <w:sz w:val="20"/>
        </w:rPr>
        <w:t>[27] Xiong S, Srijinda P. Digital Applications in Cultural Heritage Preservation and Dissemination[J]. 2025. DOI: 10.64753/jcasc.v10i4.3158.</w:t>
      </w:r>
    </w:p>
    <w:p>
      <w:pPr>
        <w:spacing w:after="40"/>
        <w:ind w:left="425" w:hanging="425"/>
      </w:pPr>
      <w:r>
        <w:rPr>
          <w:sz w:val="20"/>
        </w:rPr>
        <w:t>[39] Vadi V. Cultural Heritage, Commercialisation and Sustainability[J]. 2024. Semantic Scholar.</w:t>
      </w:r>
    </w:p>
    <w:p>
      <w:r>
        <w:br w:type="page"/>
      </w:r>
    </w:p>
    <w:p>
      <w:pPr>
        <w:spacing w:before="240" w:after="160"/>
      </w:pPr>
      <w:r>
        <w:rPr>
          <w:b/>
          <w:color w:val="264653"/>
          <w:sz w:val="36"/>
        </w:rPr>
        <w:t>第3章 文化遗产数字化保护的理论基础</w:t>
      </w:r>
    </w:p>
    <w:p>
      <w:pPr>
        <w:jc w:val="center"/>
      </w:pPr>
      <w:r>
        <w:drawing>
          <wp:inline xmlns:a="http://schemas.openxmlformats.org/drawingml/2006/main" xmlns:pic="http://schemas.openxmlformats.org/drawingml/2006/picture">
            <wp:extent cx="5029200" cy="2997200"/>
            <wp:docPr id="3" name="Picture 3"/>
            <wp:cNvGraphicFramePr>
              <a:graphicFrameLocks noChangeAspect="1"/>
            </wp:cNvGraphicFramePr>
            <a:graphic>
              <a:graphicData uri="http://schemas.openxmlformats.org/drawingml/2006/picture">
                <pic:pic>
                  <pic:nvPicPr>
                    <pic:cNvPr id="0" name="fig3_1_tech_hierarchy.png"/>
                    <pic:cNvPicPr/>
                  </pic:nvPicPr>
                  <pic:blipFill>
                    <a:blip r:embed="rId11"/>
                    <a:stretch>
                      <a:fillRect/>
                    </a:stretch>
                  </pic:blipFill>
                  <pic:spPr>
                    <a:xfrm>
                      <a:off x="0" y="0"/>
                      <a:ext cx="5029200" cy="2997200"/>
                    </a:xfrm>
                    <a:prstGeom prst="rect"/>
                  </pic:spPr>
                </pic:pic>
              </a:graphicData>
            </a:graphic>
          </wp:inline>
        </w:drawing>
      </w:r>
    </w:p>
    <w:p>
      <w:pPr>
        <w:spacing w:before="200" w:after="120"/>
      </w:pPr>
      <w:r>
        <w:rPr>
          <w:b/>
          <w:color w:val="457B9D"/>
          <w:sz w:val="30"/>
        </w:rPr>
        <w:t>学习目标</w:t>
      </w:r>
    </w:p>
    <w:p>
      <w:pPr>
        <w:pStyle w:val="ListBullet"/>
      </w:pPr>
      <w:r>
        <w:rPr>
          <w:sz w:val="22"/>
        </w:rPr>
        <w:t>理解文化遗产数字化的理论基础与技术原理</w:t>
      </w:r>
    </w:p>
    <w:p>
      <w:pPr>
        <w:pStyle w:val="ListBullet"/>
      </w:pPr>
      <w:r>
        <w:rPr>
          <w:sz w:val="22"/>
        </w:rPr>
        <w:t>掌握数字化保护的关键技术体系</w:t>
      </w:r>
    </w:p>
    <w:p>
      <w:pPr>
        <w:pStyle w:val="ListBullet"/>
      </w:pPr>
      <w:r>
        <w:rPr>
          <w:sz w:val="22"/>
        </w:rPr>
        <w:t>了解UNESCO数字遗产保护政策框架</w:t>
      </w:r>
    </w:p>
    <w:p>
      <w:pPr>
        <w:pStyle w:val="ListBullet"/>
      </w:pPr>
      <w:r>
        <w:rPr>
          <w:sz w:val="22"/>
        </w:rPr>
        <w:t>认识数字化保护面临的伦理与法律挑战</w:t>
      </w:r>
    </w:p>
    <w:p>
      <w:pPr>
        <w:spacing w:before="200" w:after="120"/>
      </w:pPr>
      <w:r>
        <w:rPr>
          <w:b/>
          <w:color w:val="457B9D"/>
          <w:sz w:val="30"/>
        </w:rPr>
        <w:t>导入案例：UNESCO 2003年《数字遗产保护宪章》——全球数字遗产保护的政策起点</w:t>
      </w:r>
    </w:p>
    <w:p>
      <w:pPr>
        <w:spacing w:after="80" w:line="360" w:lineRule="auto"/>
        <w:ind w:firstLine="420"/>
      </w:pPr>
      <w:r>
        <w:rPr>
          <w:sz w:val="22"/>
        </w:rPr>
        <w:t>2003年10月15日，UNESCO第32届大会通过了《数字遗产保护宪章》（Charter on the Preservation of Digital Heritage）。这是全球首个关于数字遗产保护的国际政策文件，其诞生的背景是：人类正以前所未有的速度生产数字信息，而这些信息面临技术过时、载体老化和格式不兼容等威胁，可能在未来无法读取。Abid（2005）在阐述UNESCO数字遗产保护视角时指出，世界上大量信息以原生数字形式产生，涵盖文本、数据库、音频、影像、图像等多种格式，这些资源的保存已成为全球性挑战[1]。</w:t>
      </w:r>
    </w:p>
    <w:p>
      <w:pPr>
        <w:spacing w:after="80" w:line="360" w:lineRule="auto"/>
        <w:ind w:firstLine="420"/>
      </w:pPr>
      <w:r>
        <w:rPr>
          <w:sz w:val="22"/>
        </w:rPr>
        <w:t>《宪章》的核心贡献在于将"数字遗产"正式纳入遗产保护的国际议程，明确数字资源具有与物质遗产同等的保护价值。PrakashTribhuvan和Abdullah（2025）在对数字遗产保护方法和技术的全面审查中，将2003年宪章视为数字遗产保护领域的"奠基性文件"，认为其核心贡献在于将数字资源正式纳入遗产保护的制度框架，并呼吁各成员国制定相应的国家政策[2]。</w:t>
      </w:r>
    </w:p>
    <w:p>
      <w:pPr>
        <w:spacing w:before="200" w:after="120"/>
      </w:pPr>
      <w:r>
        <w:rPr>
          <w:b/>
          <w:color w:val="457B9D"/>
          <w:sz w:val="30"/>
        </w:rPr>
        <w:t>3.1 文化遗产数字化的理论源流</w:t>
      </w:r>
    </w:p>
    <w:p>
      <w:pPr>
        <w:spacing w:before="160" w:after="80"/>
      </w:pPr>
      <w:r>
        <w:rPr>
          <w:b/>
          <w:color w:val="2A9D8F"/>
          <w:sz w:val="26"/>
        </w:rPr>
        <w:t>3.1.1 信息保存理论与数字延续</w:t>
      </w:r>
    </w:p>
    <w:p>
      <w:pPr>
        <w:spacing w:after="80" w:line="360" w:lineRule="auto"/>
        <w:ind w:firstLine="420"/>
      </w:pPr>
      <w:r>
        <w:rPr>
          <w:sz w:val="22"/>
        </w:rPr>
        <w:t>文化遗产数字化保护的理论根基之一是信息保存理论。该理论认为，文化遗产的本质价值不在于其物质载体，而在于其携带的信息——历史信息、艺术信息、技术信息、文化信息。物质载体终将消亡，但如果信息能够被完整提取和保存，遗产的"文化基因"便得以延续。</w:t>
      </w:r>
    </w:p>
    <w:p>
      <w:pPr>
        <w:spacing w:after="80" w:line="360" w:lineRule="auto"/>
        <w:ind w:firstLine="420"/>
      </w:pPr>
      <w:r>
        <w:rPr>
          <w:sz w:val="22"/>
        </w:rPr>
        <w:t>这一理论为数字化保护提供了合法性基础：数字化不是对文物的简单"复制"，而是对其文化信息的"提取"和"迁移"——从易损的物理载体迁移到可永久保存的数字载体。曲英红（2016）在分析数字化技术保护ICH的弊端和优势时指出，数字化技术为ICH保护提供了超越物理限制的保存手段，但也面临技术过时和数据格式兼容性的挑战[3]。</w:t>
      </w:r>
    </w:p>
    <w:p>
      <w:pPr>
        <w:spacing w:after="80" w:line="360" w:lineRule="auto"/>
        <w:ind w:firstLine="420"/>
      </w:pPr>
      <w:r>
        <w:rPr>
          <w:sz w:val="22"/>
        </w:rPr>
        <w:t>信息保存理论的深化发展是"数字延续"（digital continuity）概念——不仅要保存数字数据本身，还要确保数据在未来始终可读、可用、可理解。这涉及文件格式选择、元数据记录、迁移策略等复杂的长期保存问题，将在第8章知识图谱与数据管理部分深入讨论。</w:t>
      </w:r>
    </w:p>
    <w:p>
      <w:pPr>
        <w:spacing w:before="160" w:after="80"/>
      </w:pPr>
      <w:r>
        <w:rPr>
          <w:b/>
          <w:color w:val="2A9D8F"/>
          <w:sz w:val="26"/>
        </w:rPr>
        <w:t>3.1.2 媒介理论与文化记忆转译</w:t>
      </w:r>
    </w:p>
    <w:p>
      <w:pPr>
        <w:spacing w:after="80" w:line="360" w:lineRule="auto"/>
        <w:ind w:firstLine="420"/>
      </w:pPr>
      <w:r>
        <w:rPr>
          <w:sz w:val="22"/>
        </w:rPr>
        <w:t>德国媒介理论家弗里德里希·基特勒（Friedrich Kittler）提出"媒介决定信息"的命题——信息的形态和意义受其传播媒介的深刻影响。将这一命题应用于文化遗产数字化，可以得出一个重要推论：从物理载体到数字载体的转换不是简单的"迁移"，而是"转译"——数字媒介会改变遗产信息的呈现方式和感知模式。</w:t>
      </w:r>
    </w:p>
    <w:p>
      <w:pPr>
        <w:spacing w:after="80" w:line="360" w:lineRule="auto"/>
        <w:ind w:firstLine="420"/>
      </w:pPr>
      <w:r>
        <w:rPr>
          <w:sz w:val="22"/>
        </w:rPr>
        <w:t>例如，一幅壁画的数字高清图像虽然保留了视觉信息，但丧失了壁画的物质感——颜料的厚度、墙壁的纹理、洞窟的空间感。反过来，数字图像也提供了壁画实物无法提供的信息——如多光谱成像揭示的底层草稿、红外成像显示的隐含文字。Pouloupoulos和Wallace（2022）在探讨数字技术与数据在文化遗产中的角色时指出，数字技术不仅改变了遗产的保存方式，也改变了遗产的认知方式和价值结构[4]。</w:t>
      </w:r>
    </w:p>
    <w:p>
      <w:pPr>
        <w:spacing w:after="80" w:line="360" w:lineRule="auto"/>
        <w:ind w:firstLine="420"/>
      </w:pPr>
      <w:r>
        <w:rPr>
          <w:sz w:val="22"/>
        </w:rPr>
        <w:t>文化记忆理论（由扬·阿斯曼和阿莱达·阿斯曼提出）为数字化保护提供了另一理论视角。文化记忆是社区通过文本、仪式、纪念物等媒介传递的集体记忆。数字化技术为文化记忆的保存和传递提供了新媒介，但也带来了记忆"去语境化"的风险——脱离原有文化语境的数字遗产可能失去其记忆功能，退化为纯粹的视觉消费品。</w:t>
      </w:r>
    </w:p>
    <w:p>
      <w:pPr>
        <w:spacing w:before="160" w:after="80"/>
      </w:pPr>
      <w:r>
        <w:rPr>
          <w:b/>
          <w:color w:val="2A9D8F"/>
          <w:sz w:val="26"/>
        </w:rPr>
        <w:t>3.1.3 数字人文与遗产计算</w:t>
      </w:r>
    </w:p>
    <w:p>
      <w:pPr>
        <w:spacing w:after="80" w:line="360" w:lineRule="auto"/>
        <w:ind w:firstLine="420"/>
      </w:pPr>
      <w:r>
        <w:rPr>
          <w:sz w:val="22"/>
        </w:rPr>
        <w:t>数字人文（Digital Humanities）是人文研究与数字技术交叉的新兴学科领域。它将计算方法应用于人文研究——文本挖掘、网络分析、空间分析、可视化等——为文化遗产研究提供了新的方法论工具。遗产计算（Heritage Computing）是数字人文在文化遗产领域的具体应用，涉及遗产数据的计算分析、可视化呈现和知识发现。</w:t>
      </w:r>
    </w:p>
    <w:p>
      <w:pPr>
        <w:spacing w:after="80" w:line="360" w:lineRule="auto"/>
        <w:ind w:firstLine="420"/>
      </w:pPr>
      <w:r>
        <w:rPr>
          <w:sz w:val="22"/>
        </w:rPr>
        <w:t>Buratti、Conte和Rossi（2021）在研究AI、大数据与文化遗产的关系时指出，文化遗产领域在过去数十年中受益于ICT解决方案，而AI和大数据正在推动这一领域进入新的发展阶段[5]。Caramiaux（2022）在研究AI与博物馆和文化遗产的关系时提出，文化遗产机构可以在AI开发中发挥关键作用，将文化和人文视角的批判性思考融入AI发展[6]。</w:t>
      </w:r>
    </w:p>
    <w:p>
      <w:pPr>
        <w:spacing w:after="80" w:line="360" w:lineRule="auto"/>
        <w:ind w:firstLine="420"/>
      </w:pPr>
      <w:r>
        <w:rPr>
          <w:sz w:val="22"/>
        </w:rPr>
        <w:t>数字人文视角下的遗产研究强调"数据驱动"——通过对大规模遗产数据的计算分析发现传统研究方法难以发现的模式。例如，对数千件陶瓷器三维形态数据的聚类分析可能揭示跨地域的工艺传播路径；对大量传统音乐音频的特征提取可能发现不同地区音乐风格的演化关系。</w:t>
      </w:r>
    </w:p>
    <w:p>
      <w:pPr>
        <w:spacing w:before="200" w:after="120"/>
      </w:pPr>
      <w:r>
        <w:rPr>
          <w:b/>
          <w:color w:val="457B9D"/>
          <w:sz w:val="30"/>
        </w:rPr>
        <w:t>3.2 数字化保护的技术体系</w:t>
      </w:r>
    </w:p>
    <w:p>
      <w:pPr>
        <w:spacing w:before="160" w:after="80"/>
      </w:pPr>
      <w:r>
        <w:rPr>
          <w:b/>
          <w:color w:val="2A9D8F"/>
          <w:sz w:val="26"/>
        </w:rPr>
        <w:t>3.2.1 数据采集层：三维扫描、摄影测量、多光谱成像</w:t>
      </w:r>
    </w:p>
    <w:p>
      <w:pPr>
        <w:spacing w:after="80" w:line="360" w:lineRule="auto"/>
        <w:ind w:firstLine="420"/>
      </w:pPr>
      <w:r>
        <w:rPr>
          <w:sz w:val="22"/>
        </w:rPr>
        <w:t>数字化保护的技术体系可按数据处理流程分为四个层次。第一层是数据采集层，负责将物理遗产转化为数字数据。</w:t>
      </w:r>
    </w:p>
    <w:p>
      <w:pPr>
        <w:spacing w:after="80" w:line="360" w:lineRule="auto"/>
        <w:ind w:firstLine="420"/>
      </w:pPr>
      <w:r>
        <w:rPr>
          <w:b/>
          <w:sz w:val="22"/>
        </w:rPr>
        <w:t>三维激光扫描</w:t>
      </w:r>
      <w:r>
        <w:rPr>
          <w:sz w:val="22"/>
        </w:rPr>
        <w:t>是目前最成熟的三维数字化技术。其原理是发射激光束并接收反射信号，通过计算飞行时间或相位差确定目标表面各点的三维坐标，形成"点云"数据。王婷（2012）在介绍秦兵马俑三维数字建模技术时指出，利用三维激光扫描技术建立文物真三维模型，使全面观察研究、再现和重建遗迹及文物成为可能，为文物的数字化展示、数字博物馆的建立提供了新思路[7]。</w:t>
      </w:r>
    </w:p>
    <w:p>
      <w:pPr>
        <w:spacing w:after="80" w:line="360" w:lineRule="auto"/>
        <w:ind w:firstLine="420"/>
      </w:pPr>
      <w:r>
        <w:rPr>
          <w:b/>
          <w:sz w:val="22"/>
        </w:rPr>
        <w:t>摄影测量法</w:t>
      </w:r>
      <w:r>
        <w:rPr>
          <w:sz w:val="22"/>
        </w:rPr>
        <w:t>（Photogrammetry，亦称Structure from Motion）通过多张重叠照片重建三维模型。Farella等人（2022）在分析博物馆文物3D数字化的摄影测量流程关键步骤时，系统评估了从拍摄设置到后期处理各环节对模型质量的影响[8]。摄影测量的优势在于设备简单（普通数码相机即可）、色彩还原好，劣势是精度略低于激光扫描。</w:t>
      </w:r>
    </w:p>
    <w:p>
      <w:pPr>
        <w:spacing w:after="80" w:line="360" w:lineRule="auto"/>
        <w:ind w:firstLine="420"/>
      </w:pPr>
      <w:r>
        <w:rPr>
          <w:b/>
          <w:sz w:val="22"/>
        </w:rPr>
        <w:t>多光谱成像</w:t>
      </w:r>
      <w:r>
        <w:rPr>
          <w:sz w:val="22"/>
        </w:rPr>
        <w:t>通过在不同波长（紫外线、可见光、红外线）下拍摄文物，揭示肉眼不可见的信息。例如，红外成像可以穿透某些颜料层显示底稿，紫外线成像可以检测修复痕迹。多光谱成像在书画、壁画等文物的数字化中具有不可替代的价值。</w:t>
      </w:r>
    </w:p>
    <w:p>
      <w:pPr>
        <w:spacing w:before="160" w:after="80"/>
      </w:pPr>
      <w:r>
        <w:rPr>
          <w:b/>
          <w:color w:val="2A9D8F"/>
          <w:sz w:val="26"/>
        </w:rPr>
        <w:t>3.2.2 数据处理层：点云处理、建模、纹理映射</w:t>
      </w:r>
    </w:p>
    <w:p>
      <w:pPr>
        <w:spacing w:after="80" w:line="360" w:lineRule="auto"/>
        <w:ind w:firstLine="420"/>
      </w:pPr>
      <w:r>
        <w:rPr>
          <w:sz w:val="22"/>
        </w:rPr>
        <w:t>第二层是数据处理层，负责将原始采集数据转化为可用的数字模型。</w:t>
      </w:r>
    </w:p>
    <w:p>
      <w:pPr>
        <w:spacing w:after="80" w:line="360" w:lineRule="auto"/>
        <w:ind w:firstLine="420"/>
      </w:pPr>
      <w:r>
        <w:rPr>
          <w:sz w:val="22"/>
        </w:rPr>
        <w:t>点云数据处理包括：去噪（去除杂散点）、配准（将多站扫描数据拼接为整体）、简化（在保持精度的前提下减少数据量）。孙月霞等人（2020）在研究基于点云数据的文物修复与建模时，提出利用Geomagic Studio软件对文物三维激光扫描点云数据进行模型重构，并创新性地实现了文字、图腾数字化和文物形态特征数字化[9]。</w:t>
      </w:r>
    </w:p>
    <w:p>
      <w:pPr>
        <w:spacing w:after="80" w:line="360" w:lineRule="auto"/>
        <w:ind w:firstLine="420"/>
      </w:pPr>
      <w:r>
        <w:rPr>
          <w:sz w:val="22"/>
        </w:rPr>
        <w:t>纹理映射是将高分辨率照片"贴"到三维网格模型表面的过程，使模型不仅具有正确的几何形态，还具有真实的色彩和纹理。张瑞等人（2007）在研究文物数字化关键技术时，给出了网格模型与彩色图像之间的纹理映射方法——根据透视投影模型，利用文物网格模型和各幅图像之间手工标记的特征对应来求解纹理映射关系[10]。</w:t>
      </w:r>
    </w:p>
    <w:p>
      <w:pPr>
        <w:spacing w:before="160" w:after="80"/>
      </w:pPr>
      <w:r>
        <w:rPr>
          <w:b/>
          <w:color w:val="2A9D8F"/>
          <w:sz w:val="26"/>
        </w:rPr>
        <w:t>3.2.3 数据存储层：数据库、云存储、分布式存储</w:t>
      </w:r>
    </w:p>
    <w:p>
      <w:pPr>
        <w:spacing w:after="80" w:line="360" w:lineRule="auto"/>
        <w:ind w:firstLine="420"/>
      </w:pPr>
      <w:r>
        <w:rPr>
          <w:sz w:val="22"/>
        </w:rPr>
        <w:t>第三层是数据存储层，负责数字资产的长期保存和管理。文化遗产数字资源具有数据量大（单件文物的三维模型可达数GB）、类型多样（几何数据、纹理数据、元数据等）、保存周期长（需永久保存）等特点，对存储系统提出了特殊要求。</w:t>
      </w:r>
    </w:p>
    <w:p>
      <w:pPr>
        <w:spacing w:after="80" w:line="360" w:lineRule="auto"/>
        <w:ind w:firstLine="420"/>
      </w:pPr>
      <w:r>
        <w:rPr>
          <w:sz w:val="22"/>
        </w:rPr>
        <w:t>Larue等人（2012）在介绍从文化文物数字化到3D收藏网络发布的自动流程时，提出了"采集-处理-存储-发布"的一体化管线，为文化遗产数字资产的管理提供了系统化方案[11]。当前主流的存储方案包括：关系型数据库（用于元数据管理）、对象存储（用于大规模三维模型和图像文件）、分布式存储（用于跨机构数据共享和容灾备份）。</w:t>
      </w:r>
    </w:p>
    <w:p>
      <w:pPr>
        <w:spacing w:before="160" w:after="80"/>
      </w:pPr>
      <w:r>
        <w:rPr>
          <w:b/>
          <w:color w:val="2A9D8F"/>
          <w:sz w:val="26"/>
        </w:rPr>
        <w:t>3.2.4 数据应用层：展示、分析、传播</w:t>
      </w:r>
    </w:p>
    <w:p>
      <w:pPr>
        <w:spacing w:after="80" w:line="360" w:lineRule="auto"/>
        <w:ind w:firstLine="420"/>
      </w:pPr>
      <w:r>
        <w:rPr>
          <w:sz w:val="22"/>
        </w:rPr>
        <w:t>第四层是数据应用层，负责将数字资源转化为可感知、可分析、可传播的成果。这一层与D.I.G.I.T.框架的I（沉浸式体验）和T（传承与可持续发展）维度紧密对应。</w:t>
      </w:r>
    </w:p>
    <w:p>
      <w:pPr>
        <w:spacing w:after="80" w:line="360" w:lineRule="auto"/>
        <w:ind w:firstLine="420"/>
      </w:pPr>
      <w:r>
        <w:rPr>
          <w:sz w:val="22"/>
        </w:rPr>
        <w:t>数据应用层的技术包括：Web3D展示引擎（如WebGL、Three.js，实现浏览器内的三维浏览）、VR/AR应用开发（详见第6章）、数据分析工具（用于遗产研究）、社交媒体传播平台等。姚增凯（2014）在研究基于逆向工程技术的文物数字化建模时，将获取的数字化文物以虚拟博物馆的形式进行展示，体现了数据应用层的典型实践[12]。</w:t>
      </w:r>
    </w:p>
    <w:p>
      <w:pPr>
        <w:spacing w:before="200" w:after="120"/>
      </w:pPr>
      <w:r>
        <w:rPr>
          <w:b/>
          <w:color w:val="457B9D"/>
          <w:sz w:val="30"/>
        </w:rPr>
        <w:t>3.3 UNESCO数字遗产保护政策框架</w:t>
      </w:r>
    </w:p>
    <w:p>
      <w:pPr>
        <w:spacing w:before="160" w:after="80"/>
      </w:pPr>
      <w:r>
        <w:rPr>
          <w:b/>
          <w:color w:val="2A9D8F"/>
          <w:sz w:val="26"/>
        </w:rPr>
        <w:t>3.3.1 2003年《数字遗产保护宪章》</w:t>
      </w:r>
    </w:p>
    <w:p>
      <w:pPr>
        <w:spacing w:after="80" w:line="360" w:lineRule="auto"/>
        <w:ind w:firstLine="420"/>
      </w:pPr>
      <w:r>
        <w:rPr>
          <w:sz w:val="22"/>
        </w:rPr>
        <w:t>2003年《数字遗产保护宪章》是UNESCO在数字遗产保护领域的纲领性文件。宪章共11条，核心内容包括：</w:t>
      </w:r>
    </w:p>
    <w:p>
      <w:pPr>
        <w:spacing w:after="80" w:line="360" w:lineRule="auto"/>
        <w:ind w:firstLine="420"/>
      </w:pPr>
      <w:r>
        <w:rPr>
          <w:b/>
          <w:sz w:val="22"/>
        </w:rPr>
        <w:t>数字遗产的定义</w:t>
      </w:r>
      <w:r>
        <w:rPr>
          <w:sz w:val="22"/>
        </w:rPr>
        <w:t>（第1条）：数字遗产包括从艺术、科学、文学、音乐、宗教、历史等领域中以数字形式创建或转换的，具有持久价值和意义的资源。Koščík和Myška（2019）指出，宪章的定义涵盖了"原生数字"内容和数字化转换内容两类，但两者的版权保护面临不同法律挑战[13]。</w:t>
      </w:r>
    </w:p>
    <w:p>
      <w:pPr>
        <w:spacing w:after="80" w:line="360" w:lineRule="auto"/>
        <w:ind w:firstLine="420"/>
      </w:pPr>
      <w:r>
        <w:rPr>
          <w:b/>
          <w:sz w:val="22"/>
        </w:rPr>
        <w:t>数字遗产面临的威胁</w:t>
      </w:r>
      <w:r>
        <w:rPr>
          <w:sz w:val="22"/>
        </w:rPr>
        <w:t>（第2条）：技术过时（软硬件淘汰导致数字文件无法读取）、载体老化（存储介质物理损坏）、数据丢失（因管理不善或灾难性事件导致数据灭失）。</w:t>
      </w:r>
    </w:p>
    <w:p>
      <w:pPr>
        <w:spacing w:after="80" w:line="360" w:lineRule="auto"/>
        <w:ind w:firstLine="420"/>
      </w:pPr>
      <w:r>
        <w:rPr>
          <w:b/>
          <w:sz w:val="22"/>
        </w:rPr>
        <w:t>保护责任</w:t>
      </w:r>
      <w:r>
        <w:rPr>
          <w:sz w:val="22"/>
        </w:rPr>
        <w:t>（第3-5条）：各国政府、遗产机构和国际组织应共同承担数字遗产保护责任，制定相应法规和标准，确保数字遗产的可持续保存和获取。</w:t>
      </w:r>
    </w:p>
    <w:p>
      <w:pPr>
        <w:spacing w:after="80" w:line="360" w:lineRule="auto"/>
        <w:ind w:firstLine="420"/>
      </w:pPr>
      <w:r>
        <w:rPr>
          <w:b/>
          <w:sz w:val="22"/>
        </w:rPr>
        <w:t>国际合作机制</w:t>
      </w:r>
      <w:r>
        <w:rPr>
          <w:sz w:val="22"/>
        </w:rPr>
        <w:t>（第6-11条）：UNESCO应发挥协调作用，促进能力建设、技术转移和信息共享。</w:t>
      </w:r>
    </w:p>
    <w:p>
      <w:pPr>
        <w:spacing w:before="160" w:after="80"/>
      </w:pPr>
      <w:r>
        <w:rPr>
          <w:b/>
          <w:color w:val="2A9D8F"/>
          <w:sz w:val="26"/>
        </w:rPr>
        <w:t>3.3.2 公共记忆机构的数字遗产保护行动框架</w:t>
      </w:r>
    </w:p>
    <w:p>
      <w:pPr>
        <w:spacing w:after="80" w:line="360" w:lineRule="auto"/>
        <w:ind w:firstLine="420"/>
      </w:pPr>
      <w:r>
        <w:rPr>
          <w:sz w:val="22"/>
        </w:rPr>
        <w:t>在宪章框架下，各国图书馆、档案馆、博物馆等"公共记忆机构"承担着数字遗产保护的具体实施职责。中国学者（2023）依托UNESCO数字遗产保护政策调查，通过质性文本分析法对政策文本进行编码，构建了包含基本概念、实施原则、保存程序、基础设施等4个层次的公共记忆机构数字遗产保护行动框架[14]。该框架的核心特征包括：</w:t>
      </w:r>
    </w:p>
    <w:p>
      <w:pPr>
        <w:pStyle w:val="ListBullet"/>
      </w:pPr>
      <w:r>
        <w:rPr>
          <w:sz w:val="22"/>
        </w:rPr>
        <w:t>面向公众利用：数字遗产保护不仅是"保存"，更要确保"可利用"</w:t>
      </w:r>
    </w:p>
    <w:p>
      <w:pPr>
        <w:pStyle w:val="ListBullet"/>
      </w:pPr>
      <w:r>
        <w:rPr>
          <w:sz w:val="22"/>
        </w:rPr>
        <w:t>聚焦新型数字记录：关注原生数字内容的保存挑战</w:t>
      </w:r>
    </w:p>
    <w:p>
      <w:pPr>
        <w:pStyle w:val="ListBullet"/>
      </w:pPr>
      <w:r>
        <w:rPr>
          <w:sz w:val="22"/>
        </w:rPr>
        <w:t>遵循核心数字保存原则：包括真实性、完整性、可追溯性</w:t>
      </w:r>
    </w:p>
    <w:p>
      <w:pPr>
        <w:pStyle w:val="ListBullet"/>
      </w:pPr>
      <w:r>
        <w:rPr>
          <w:sz w:val="22"/>
        </w:rPr>
        <w:t>重视前端要素设计：元数据设计和数据管理计划应在数字化项目启动之初就纳入考虑</w:t>
      </w:r>
    </w:p>
    <w:p>
      <w:pPr>
        <w:spacing w:before="160" w:after="80"/>
      </w:pPr>
      <w:r>
        <w:rPr>
          <w:b/>
          <w:color w:val="2A9D8F"/>
          <w:sz w:val="26"/>
        </w:rPr>
        <w:t>3.3.3 "三步执行战略"方法论</w:t>
      </w:r>
    </w:p>
    <w:p>
      <w:pPr>
        <w:spacing w:after="80" w:line="360" w:lineRule="auto"/>
        <w:ind w:firstLine="420"/>
      </w:pPr>
      <w:r>
        <w:rPr>
          <w:sz w:val="22"/>
        </w:rPr>
        <w:t>徐拥军和郭若涵（2022）在研究UNESCO文献遗产政策时，引入了UNESCO文化遗产工作方法论框架——"三步执行战略"（Three-Step Execution Strategy），通过审视UNESCO具有关键节点意义的文化遗产政策证明其合理性[15]。三步执行战略的框架为：</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D9E2EC"/>
          </w:tcPr>
          <w:p>
            <w:pPr>
              <w:spacing w:before="40" w:after="40"/>
            </w:pPr>
            <w:r>
              <w:rPr>
                <w:b/>
                <w:sz w:val="20"/>
              </w:rPr>
            </w:r>
            <w:r>
              <w:rPr>
                <w:b/>
                <w:sz w:val="20"/>
              </w:rPr>
              <w:t>步骤</w:t>
            </w:r>
          </w:p>
        </w:tc>
        <w:tc>
          <w:tcPr>
            <w:tcW w:type="dxa" w:w="2835"/>
            <w:shd w:val="clear" w:color="auto" w:fill="D9E2EC"/>
          </w:tcPr>
          <w:p>
            <w:pPr>
              <w:spacing w:before="40" w:after="40"/>
            </w:pPr>
            <w:r>
              <w:rPr>
                <w:b/>
                <w:sz w:val="20"/>
              </w:rPr>
            </w:r>
            <w:r>
              <w:rPr>
                <w:b/>
                <w:sz w:val="20"/>
              </w:rPr>
              <w:t>核心内容</w:t>
            </w:r>
          </w:p>
        </w:tc>
        <w:tc>
          <w:tcPr>
            <w:tcW w:type="dxa" w:w="2835"/>
            <w:shd w:val="clear" w:color="auto" w:fill="D9E2EC"/>
          </w:tcPr>
          <w:p>
            <w:pPr>
              <w:spacing w:before="40" w:after="40"/>
            </w:pPr>
            <w:r>
              <w:rPr>
                <w:b/>
                <w:sz w:val="20"/>
              </w:rPr>
            </w:r>
            <w:r>
              <w:rPr>
                <w:b/>
                <w:sz w:val="20"/>
              </w:rPr>
              <w:t>对应遗产保护阶段</w:t>
            </w:r>
          </w:p>
        </w:tc>
      </w:tr>
      <w:tr>
        <w:tc>
          <w:tcPr>
            <w:tcW w:type="dxa" w:w="2835"/>
          </w:tcPr>
          <w:p>
            <w:pPr>
              <w:spacing w:before="40" w:after="40"/>
            </w:pPr>
            <w:r>
              <w:rPr>
                <w:sz w:val="20"/>
              </w:rPr>
            </w:r>
            <w:r>
              <w:rPr>
                <w:sz w:val="20"/>
              </w:rPr>
              <w:t>第一步：确认</w:t>
            </w:r>
          </w:p>
        </w:tc>
        <w:tc>
          <w:tcPr>
            <w:tcW w:type="dxa" w:w="2835"/>
          </w:tcPr>
          <w:p>
            <w:pPr>
              <w:spacing w:before="40" w:after="40"/>
            </w:pPr>
            <w:r>
              <w:rPr>
                <w:sz w:val="20"/>
              </w:rPr>
            </w:r>
            <w:r>
              <w:rPr>
                <w:sz w:val="20"/>
              </w:rPr>
              <w:t>识别和登记需要保护的遗产</w:t>
            </w:r>
          </w:p>
        </w:tc>
        <w:tc>
          <w:tcPr>
            <w:tcW w:type="dxa" w:w="2835"/>
          </w:tcPr>
          <w:p>
            <w:pPr>
              <w:spacing w:before="40" w:after="40"/>
            </w:pPr>
            <w:r>
              <w:rPr>
                <w:sz w:val="20"/>
              </w:rPr>
            </w:r>
            <w:r>
              <w:rPr>
                <w:sz w:val="20"/>
              </w:rPr>
              <w:t>遗产普查、名录建设</w:t>
            </w:r>
          </w:p>
        </w:tc>
      </w:tr>
      <w:tr>
        <w:tc>
          <w:tcPr>
            <w:tcW w:type="dxa" w:w="2835"/>
            <w:shd w:val="clear" w:color="auto" w:fill="F5F5F5"/>
          </w:tcPr>
          <w:p>
            <w:pPr>
              <w:spacing w:before="40" w:after="40"/>
            </w:pPr>
            <w:r>
              <w:rPr>
                <w:sz w:val="20"/>
              </w:rPr>
            </w:r>
            <w:r>
              <w:rPr>
                <w:sz w:val="20"/>
              </w:rPr>
              <w:t>第二步：保护</w:t>
            </w:r>
          </w:p>
        </w:tc>
        <w:tc>
          <w:tcPr>
            <w:tcW w:type="dxa" w:w="2835"/>
            <w:shd w:val="clear" w:color="auto" w:fill="F5F5F5"/>
          </w:tcPr>
          <w:p>
            <w:pPr>
              <w:spacing w:before="40" w:after="40"/>
            </w:pPr>
            <w:r>
              <w:rPr>
                <w:sz w:val="20"/>
              </w:rPr>
            </w:r>
            <w:r>
              <w:rPr>
                <w:sz w:val="20"/>
              </w:rPr>
              <w:t>采取技术和管理措施保存遗产</w:t>
            </w:r>
          </w:p>
        </w:tc>
        <w:tc>
          <w:tcPr>
            <w:tcW w:type="dxa" w:w="2835"/>
            <w:shd w:val="clear" w:color="auto" w:fill="F5F5F5"/>
          </w:tcPr>
          <w:p>
            <w:pPr>
              <w:spacing w:before="40" w:after="40"/>
            </w:pPr>
            <w:r>
              <w:rPr>
                <w:sz w:val="20"/>
              </w:rPr>
            </w:r>
            <w:r>
              <w:rPr>
                <w:sz w:val="20"/>
              </w:rPr>
              <w:t>数字化采集、存储、修复</w:t>
            </w:r>
          </w:p>
        </w:tc>
      </w:tr>
      <w:tr>
        <w:tc>
          <w:tcPr>
            <w:tcW w:type="dxa" w:w="2835"/>
          </w:tcPr>
          <w:p>
            <w:pPr>
              <w:spacing w:before="40" w:after="40"/>
            </w:pPr>
            <w:r>
              <w:rPr>
                <w:sz w:val="20"/>
              </w:rPr>
            </w:r>
            <w:r>
              <w:rPr>
                <w:sz w:val="20"/>
              </w:rPr>
              <w:t>第三步：利用</w:t>
            </w:r>
          </w:p>
        </w:tc>
        <w:tc>
          <w:tcPr>
            <w:tcW w:type="dxa" w:w="2835"/>
          </w:tcPr>
          <w:p>
            <w:pPr>
              <w:spacing w:before="40" w:after="40"/>
            </w:pPr>
            <w:r>
              <w:rPr>
                <w:sz w:val="20"/>
              </w:rPr>
            </w:r>
            <w:r>
              <w:rPr>
                <w:sz w:val="20"/>
              </w:rPr>
              <w:t>在保护的前提下促进遗产的合理利用</w:t>
            </w:r>
          </w:p>
        </w:tc>
        <w:tc>
          <w:tcPr>
            <w:tcW w:type="dxa" w:w="2835"/>
          </w:tcPr>
          <w:p>
            <w:pPr>
              <w:spacing w:before="40" w:after="40"/>
            </w:pPr>
            <w:r>
              <w:rPr>
                <w:sz w:val="20"/>
              </w:rPr>
            </w:r>
            <w:r>
              <w:rPr>
                <w:sz w:val="20"/>
              </w:rPr>
              <w:t>展示传播、教育、产业化</w:t>
            </w:r>
          </w:p>
        </w:tc>
      </w:tr>
    </w:tbl>
    <w:p>
      <w:pPr>
        <w:spacing w:after="80" w:line="360" w:lineRule="auto"/>
        <w:ind w:firstLine="420"/>
      </w:pPr>
      <w:r>
        <w:rPr>
          <w:sz w:val="22"/>
        </w:rPr>
        <w:t>这一框架为D.I.G.I.T.方法论提供了政策层面的呼应——D维度对应"确认"和"保护"步骤，I（体验）和T维度对应"利用"步骤，G维度贯穿三步全过程。</w:t>
      </w:r>
    </w:p>
    <w:p>
      <w:pPr>
        <w:spacing w:before="200" w:after="120"/>
      </w:pPr>
      <w:r>
        <w:rPr>
          <w:b/>
          <w:color w:val="457B9D"/>
          <w:sz w:val="30"/>
        </w:rPr>
        <w:t>3.4 数字化保护的伦理维度</w:t>
      </w:r>
    </w:p>
    <w:p>
      <w:pPr>
        <w:spacing w:before="160" w:after="80"/>
      </w:pPr>
      <w:r>
        <w:rPr>
          <w:b/>
          <w:color w:val="2A9D8F"/>
          <w:sz w:val="26"/>
        </w:rPr>
        <w:t>3.4.1 数字复制品的真实性与权威性</w:t>
      </w:r>
    </w:p>
    <w:p>
      <w:pPr>
        <w:spacing w:after="80" w:line="360" w:lineRule="auto"/>
        <w:ind w:firstLine="420"/>
      </w:pPr>
      <w:r>
        <w:rPr>
          <w:sz w:val="22"/>
        </w:rPr>
        <w:t>数字化保护面临的首要伦理问题是：数字复制品与原物之间的关系如何界定？数字复制品是否具有与原物同等的"真实性"？</w:t>
      </w:r>
    </w:p>
    <w:p>
      <w:pPr>
        <w:spacing w:after="80" w:line="360" w:lineRule="auto"/>
        <w:ind w:firstLine="420"/>
      </w:pPr>
      <w:r>
        <w:rPr>
          <w:sz w:val="22"/>
        </w:rPr>
        <w:t>这一问题在哲学层面涉及"原真性"（originality）与"保真度"（fidelity）的区分。一件文物的三维数字模型可以在几何形态上精确到毫米级，但它终究不是"原物"——它缺少原物的物质性、历史性和唯一性。王秀丽（2019）在研究VR技术视阈下的博物馆文化"活态"展示时提出，VR技术引发了从"呈现文化"向"模仿文化"、从"静态展台"到"交互观展"的传播场域变迁[16]。这一变迁虽然丰富了遗产的感知方式，但也模糊了"原物"与"复制品"的界限。</w:t>
      </w:r>
    </w:p>
    <w:p>
      <w:pPr>
        <w:spacing w:after="80" w:line="360" w:lineRule="auto"/>
        <w:ind w:firstLine="420"/>
      </w:pPr>
      <w:r>
        <w:rPr>
          <w:sz w:val="22"/>
        </w:rPr>
        <w:t>更深层的问题是"数字权威性"——当公众通过数字模型了解文化遗产时，他们获得的信息是否可靠？数字模型的制作过程中是否存在有意或无意的"修饰"？如何确保数字模型忠实于原物而非制作者的主观理解？这些问题需要在数字化流程中引入质量控制和可追溯机制。</w:t>
      </w:r>
    </w:p>
    <w:p>
      <w:pPr>
        <w:spacing w:before="160" w:after="80"/>
      </w:pPr>
      <w:r>
        <w:rPr>
          <w:b/>
          <w:color w:val="2A9D8F"/>
          <w:sz w:val="26"/>
        </w:rPr>
        <w:t>3.4.2 文化敏感性与数字伦理</w:t>
      </w:r>
    </w:p>
    <w:p>
      <w:pPr>
        <w:spacing w:after="80" w:line="360" w:lineRule="auto"/>
        <w:ind w:firstLine="420"/>
      </w:pPr>
      <w:r>
        <w:rPr>
          <w:sz w:val="22"/>
        </w:rPr>
        <w:t>文化遗产不仅具有历史和艺术价值，还承载着社区的情感认同和精神信仰。数字化过程中如果不充分考虑文化敏感性，可能引发伦理冲突。Yáñez和Fraisse（2022）在研究ICH在数字空间中的伦理流通时提出，数字技术将ICH实践转化为"数据"，这一转化过程需要特别关注伦理问题——当一种神圣的仪式被数字化并在网络空间传播时，它脱离了原有的文化语境和社区控制，可能被误解或滥用[17]。</w:t>
      </w:r>
    </w:p>
    <w:p>
      <w:pPr>
        <w:spacing w:after="80" w:line="360" w:lineRule="auto"/>
        <w:ind w:firstLine="420"/>
      </w:pPr>
      <w:r>
        <w:rPr>
          <w:sz w:val="22"/>
        </w:rPr>
        <w:t>数字伦理的核心原则包括：</w:t>
      </w:r>
    </w:p>
    <w:p>
      <w:pPr>
        <w:pStyle w:val="ListBullet"/>
      </w:pPr>
      <w:r>
        <w:rPr>
          <w:b/>
          <w:sz w:val="22"/>
        </w:rPr>
        <w:t>知情同意</w:t>
      </w:r>
      <w:r>
        <w:rPr>
          <w:sz w:val="22"/>
        </w:rPr>
        <w:t>：在数字化记录前，应获得相关社区和传承人的知情同意</w:t>
      </w:r>
    </w:p>
    <w:p>
      <w:pPr>
        <w:pStyle w:val="ListBullet"/>
      </w:pPr>
      <w:r>
        <w:rPr>
          <w:b/>
          <w:sz w:val="22"/>
        </w:rPr>
        <w:t>文化尊重</w:t>
      </w:r>
      <w:r>
        <w:rPr>
          <w:sz w:val="22"/>
        </w:rPr>
        <w:t>：尊重遗产的文化内涵和精神价值，避免不当展示</w:t>
      </w:r>
    </w:p>
    <w:p>
      <w:pPr>
        <w:pStyle w:val="ListBullet"/>
      </w:pPr>
      <w:r>
        <w:rPr>
          <w:b/>
          <w:sz w:val="22"/>
        </w:rPr>
        <w:t>利益共享</w:t>
      </w:r>
      <w:r>
        <w:rPr>
          <w:sz w:val="22"/>
        </w:rPr>
        <w:t>：数字化成果的利用应惠益源社区</w:t>
      </w:r>
    </w:p>
    <w:p>
      <w:pPr>
        <w:pStyle w:val="ListBullet"/>
      </w:pPr>
      <w:r>
        <w:rPr>
          <w:b/>
          <w:sz w:val="22"/>
        </w:rPr>
        <w:t>访问控制</w:t>
      </w:r>
      <w:r>
        <w:rPr>
          <w:sz w:val="22"/>
        </w:rPr>
        <w:t>：对文化敏感内容设置适当的访问限制</w:t>
      </w:r>
    </w:p>
    <w:p>
      <w:pPr>
        <w:spacing w:before="160" w:after="80"/>
      </w:pPr>
      <w:r>
        <w:rPr>
          <w:b/>
          <w:color w:val="2A9D8F"/>
          <w:sz w:val="26"/>
        </w:rPr>
        <w:t>3.4.3 数字鸿沟与文化遗产民主化</w:t>
      </w:r>
    </w:p>
    <w:p>
      <w:pPr>
        <w:spacing w:after="80" w:line="360" w:lineRule="auto"/>
        <w:ind w:firstLine="420"/>
      </w:pPr>
      <w:r>
        <w:rPr>
          <w:sz w:val="22"/>
        </w:rPr>
        <w:t>数字化保护承诺让文化遗产"触手可及"，但现实中存在显著的"数字鸿沟"——技术资源、网络基础设施和数字素养的不均等分布，使得数字化保护的红利并非所有人都能平等享有。</w:t>
      </w:r>
    </w:p>
    <w:p>
      <w:pPr>
        <w:spacing w:after="80" w:line="360" w:lineRule="auto"/>
        <w:ind w:firstLine="420"/>
      </w:pPr>
      <w:r>
        <w:rPr>
          <w:sz w:val="22"/>
        </w:rPr>
        <w:t>发展中国家和偏远地区的遗产机构往往缺乏数字化设备和专业人才，其文化遗产可能因"数字化滞后"而在数字空间中"缺席"。Abdelmonem（2017）在研究数字时代文化遗产管理时指出，数字和虚拟遗产治理中的差距使得一些拥有技术资源的大型科技公司占据了优势地位，而资源有限的社区和机构可能被边缘化[18]。</w:t>
      </w:r>
    </w:p>
    <w:p>
      <w:pPr>
        <w:spacing w:after="80" w:line="360" w:lineRule="auto"/>
        <w:ind w:firstLine="420"/>
      </w:pPr>
      <w:r>
        <w:rPr>
          <w:sz w:val="22"/>
        </w:rPr>
        <w:t>文化遗产民主化的实现需要在技术普及、能力建设和政策支持三个层面共同发力。UNESCO和各国政府应加大对发展中国家和基层遗产机构的数字化援助力度，确保数字化保护不加剧而是缩小文化不平等。</w:t>
      </w:r>
    </w:p>
    <w:p>
      <w:pPr>
        <w:spacing w:before="200" w:after="120"/>
      </w:pPr>
      <w:r>
        <w:rPr>
          <w:b/>
          <w:color w:val="457B9D"/>
          <w:sz w:val="30"/>
        </w:rPr>
        <w:t>3.5 数字化保护的发展趋势</w:t>
      </w:r>
    </w:p>
    <w:p>
      <w:pPr>
        <w:spacing w:before="160" w:after="80"/>
      </w:pPr>
      <w:r>
        <w:rPr>
          <w:b/>
          <w:color w:val="2A9D8F"/>
          <w:sz w:val="26"/>
        </w:rPr>
        <w:t>3.5.1 从数字化到数据化到数智化</w:t>
      </w:r>
    </w:p>
    <w:p>
      <w:pPr>
        <w:spacing w:after="80" w:line="360" w:lineRule="auto"/>
        <w:ind w:firstLine="420"/>
      </w:pPr>
      <w:r>
        <w:rPr>
          <w:sz w:val="22"/>
        </w:rPr>
        <w:t>文化遗产数字化保护正在经历"数字化（Digitization）→数据化（Datafication）→数智化（Intelligentization）"的三阶段演进。中国学者（2026）以Europeana实践为基础，从数据来源、处理对象、建设内容、建设结果、建设重点、技术方法和标准规范、建设目的以及用户服务8个维度对比分析了三个阶段的特征[19]：</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D9E2EC"/>
          </w:tcPr>
          <w:p>
            <w:pPr>
              <w:spacing w:before="40" w:after="40"/>
            </w:pPr>
            <w:r>
              <w:rPr>
                <w:b/>
                <w:sz w:val="20"/>
              </w:rPr>
            </w:r>
            <w:r>
              <w:rPr>
                <w:b/>
                <w:sz w:val="20"/>
              </w:rPr>
              <w:t>阶段</w:t>
            </w:r>
          </w:p>
        </w:tc>
        <w:tc>
          <w:tcPr>
            <w:tcW w:type="dxa" w:w="2126"/>
            <w:shd w:val="clear" w:color="auto" w:fill="D9E2EC"/>
          </w:tcPr>
          <w:p>
            <w:pPr>
              <w:spacing w:before="40" w:after="40"/>
            </w:pPr>
            <w:r>
              <w:rPr>
                <w:b/>
                <w:sz w:val="20"/>
              </w:rPr>
            </w:r>
            <w:r>
              <w:rPr>
                <w:b/>
                <w:sz w:val="20"/>
              </w:rPr>
              <w:t>核心特征</w:t>
            </w:r>
          </w:p>
        </w:tc>
        <w:tc>
          <w:tcPr>
            <w:tcW w:type="dxa" w:w="2126"/>
            <w:shd w:val="clear" w:color="auto" w:fill="D9E2EC"/>
          </w:tcPr>
          <w:p>
            <w:pPr>
              <w:spacing w:before="40" w:after="40"/>
            </w:pPr>
            <w:r>
              <w:rPr>
                <w:b/>
                <w:sz w:val="20"/>
              </w:rPr>
            </w:r>
            <w:r>
              <w:rPr>
                <w:b/>
                <w:sz w:val="20"/>
              </w:rPr>
              <w:t>技术标志</w:t>
            </w:r>
          </w:p>
        </w:tc>
        <w:tc>
          <w:tcPr>
            <w:tcW w:type="dxa" w:w="2126"/>
            <w:shd w:val="clear" w:color="auto" w:fill="D9E2EC"/>
          </w:tcPr>
          <w:p>
            <w:pPr>
              <w:spacing w:before="40" w:after="40"/>
            </w:pPr>
            <w:r>
              <w:rPr>
                <w:b/>
                <w:sz w:val="20"/>
              </w:rPr>
            </w:r>
            <w:r>
              <w:rPr>
                <w:b/>
                <w:sz w:val="20"/>
              </w:rPr>
              <w:t>典型实践</w:t>
            </w:r>
          </w:p>
        </w:tc>
      </w:tr>
      <w:tr>
        <w:tc>
          <w:tcPr>
            <w:tcW w:type="dxa" w:w="2126"/>
          </w:tcPr>
          <w:p>
            <w:pPr>
              <w:spacing w:before="40" w:after="40"/>
            </w:pPr>
            <w:r>
              <w:rPr>
                <w:sz w:val="20"/>
              </w:rPr>
            </w:r>
            <w:r>
              <w:rPr>
                <w:sz w:val="20"/>
              </w:rPr>
              <w:t>数字化</w:t>
            </w:r>
          </w:p>
        </w:tc>
        <w:tc>
          <w:tcPr>
            <w:tcW w:type="dxa" w:w="2126"/>
          </w:tcPr>
          <w:p>
            <w:pPr>
              <w:spacing w:before="40" w:after="40"/>
            </w:pPr>
            <w:r>
              <w:rPr>
                <w:sz w:val="20"/>
              </w:rPr>
            </w:r>
            <w:r>
              <w:rPr>
                <w:sz w:val="20"/>
              </w:rPr>
              <w:t>将物理遗产转换为数字形式</w:t>
            </w:r>
          </w:p>
        </w:tc>
        <w:tc>
          <w:tcPr>
            <w:tcW w:type="dxa" w:w="2126"/>
          </w:tcPr>
          <w:p>
            <w:pPr>
              <w:spacing w:before="40" w:after="40"/>
            </w:pPr>
            <w:r>
              <w:rPr>
                <w:sz w:val="20"/>
              </w:rPr>
            </w:r>
            <w:r>
              <w:rPr>
                <w:sz w:val="20"/>
              </w:rPr>
              <w:t>三维扫描、数码摄影</w:t>
            </w:r>
          </w:p>
        </w:tc>
        <w:tc>
          <w:tcPr>
            <w:tcW w:type="dxa" w:w="2126"/>
          </w:tcPr>
          <w:p>
            <w:pPr>
              <w:spacing w:before="40" w:after="40"/>
            </w:pPr>
            <w:r>
              <w:rPr>
                <w:sz w:val="20"/>
              </w:rPr>
            </w:r>
            <w:r>
              <w:rPr>
                <w:sz w:val="20"/>
              </w:rPr>
              <w:t>数字敦煌</w:t>
            </w:r>
          </w:p>
        </w:tc>
      </w:tr>
      <w:tr>
        <w:tc>
          <w:tcPr>
            <w:tcW w:type="dxa" w:w="2126"/>
            <w:shd w:val="clear" w:color="auto" w:fill="F5F5F5"/>
          </w:tcPr>
          <w:p>
            <w:pPr>
              <w:spacing w:before="40" w:after="40"/>
            </w:pPr>
            <w:r>
              <w:rPr>
                <w:sz w:val="20"/>
              </w:rPr>
            </w:r>
            <w:r>
              <w:rPr>
                <w:sz w:val="20"/>
              </w:rPr>
              <w:t>数据化</w:t>
            </w:r>
          </w:p>
        </w:tc>
        <w:tc>
          <w:tcPr>
            <w:tcW w:type="dxa" w:w="2126"/>
            <w:shd w:val="clear" w:color="auto" w:fill="F5F5F5"/>
          </w:tcPr>
          <w:p>
            <w:pPr>
              <w:spacing w:before="40" w:after="40"/>
            </w:pPr>
            <w:r>
              <w:rPr>
                <w:sz w:val="20"/>
              </w:rPr>
            </w:r>
            <w:r>
              <w:rPr>
                <w:sz w:val="20"/>
              </w:rPr>
              <w:t>将数字资源结构化为可计算数据</w:t>
            </w:r>
          </w:p>
        </w:tc>
        <w:tc>
          <w:tcPr>
            <w:tcW w:type="dxa" w:w="2126"/>
            <w:shd w:val="clear" w:color="auto" w:fill="F5F5F5"/>
          </w:tcPr>
          <w:p>
            <w:pPr>
              <w:spacing w:before="40" w:after="40"/>
            </w:pPr>
            <w:r>
              <w:rPr>
                <w:sz w:val="20"/>
              </w:rPr>
            </w:r>
            <w:r>
              <w:rPr>
                <w:sz w:val="20"/>
              </w:rPr>
              <w:t>元数据标准、知识图谱</w:t>
            </w:r>
          </w:p>
        </w:tc>
        <w:tc>
          <w:tcPr>
            <w:tcW w:type="dxa" w:w="2126"/>
            <w:shd w:val="clear" w:color="auto" w:fill="F5F5F5"/>
          </w:tcPr>
          <w:p>
            <w:pPr>
              <w:spacing w:before="40" w:after="40"/>
            </w:pPr>
            <w:r>
              <w:rPr>
                <w:sz w:val="20"/>
              </w:rPr>
            </w:r>
            <w:r>
              <w:rPr>
                <w:sz w:val="20"/>
              </w:rPr>
              <w:t>Europeana EDM</w:t>
            </w:r>
          </w:p>
        </w:tc>
      </w:tr>
      <w:tr>
        <w:tc>
          <w:tcPr>
            <w:tcW w:type="dxa" w:w="2126"/>
          </w:tcPr>
          <w:p>
            <w:pPr>
              <w:spacing w:before="40" w:after="40"/>
            </w:pPr>
            <w:r>
              <w:rPr>
                <w:sz w:val="20"/>
              </w:rPr>
            </w:r>
            <w:r>
              <w:rPr>
                <w:sz w:val="20"/>
              </w:rPr>
              <w:t>数智化</w:t>
            </w:r>
          </w:p>
        </w:tc>
        <w:tc>
          <w:tcPr>
            <w:tcW w:type="dxa" w:w="2126"/>
          </w:tcPr>
          <w:p>
            <w:pPr>
              <w:spacing w:before="40" w:after="40"/>
            </w:pPr>
            <w:r>
              <w:rPr>
                <w:sz w:val="20"/>
              </w:rPr>
            </w:r>
            <w:r>
              <w:rPr>
                <w:sz w:val="20"/>
              </w:rPr>
              <w:t>利用AI实现智能分析和决策</w:t>
            </w:r>
          </w:p>
        </w:tc>
        <w:tc>
          <w:tcPr>
            <w:tcW w:type="dxa" w:w="2126"/>
          </w:tcPr>
          <w:p>
            <w:pPr>
              <w:spacing w:before="40" w:after="40"/>
            </w:pPr>
            <w:r>
              <w:rPr>
                <w:sz w:val="20"/>
              </w:rPr>
            </w:r>
            <w:r>
              <w:rPr>
                <w:sz w:val="20"/>
              </w:rPr>
              <w:t>深度学习、生成式AI</w:t>
            </w:r>
          </w:p>
        </w:tc>
        <w:tc>
          <w:tcPr>
            <w:tcW w:type="dxa" w:w="2126"/>
          </w:tcPr>
          <w:p>
            <w:pPr>
              <w:spacing w:before="40" w:after="40"/>
            </w:pPr>
            <w:r>
              <w:rPr>
                <w:sz w:val="20"/>
              </w:rPr>
            </w:r>
            <w:r>
              <w:rPr>
                <w:sz w:val="20"/>
              </w:rPr>
              <w:t>敦煌AI修复项目</w:t>
            </w:r>
          </w:p>
        </w:tc>
      </w:tr>
    </w:tbl>
    <w:p>
      <w:pPr>
        <w:spacing w:after="80" w:line="360" w:lineRule="auto"/>
        <w:ind w:firstLine="420"/>
      </w:pPr>
      <w:r>
        <w:rPr>
          <w:sz w:val="22"/>
        </w:rPr>
        <w:t>这一演进并非简单的线性替代，而是叠加式的——数字化是数据化的基础，数据化是数智化的前提。当前中国多数遗产机构仍处于数字化阶段，部分先进机构已进入数据化阶段，数智化尚在起步探索中。</w:t>
      </w:r>
    </w:p>
    <w:p>
      <w:pPr>
        <w:spacing w:before="160" w:after="80"/>
      </w:pPr>
      <w:r>
        <w:rPr>
          <w:b/>
          <w:color w:val="2A9D8F"/>
          <w:sz w:val="26"/>
        </w:rPr>
        <w:t>3.5.2 从单一技术到技术融合</w:t>
      </w:r>
    </w:p>
    <w:p>
      <w:pPr>
        <w:spacing w:after="80" w:line="360" w:lineRule="auto"/>
        <w:ind w:firstLine="420"/>
      </w:pPr>
      <w:r>
        <w:rPr>
          <w:sz w:val="22"/>
        </w:rPr>
        <w:t>早期数字化保护往往采用单一技术——三维扫描或摄影测量或音视频记录。当前趋势是多技术融合：三维扫描+多光谱成像+化学分析可以同时获取文物的几何形态、表面纹理和材料成分信息；AI+区块链+IoT可以实现智能分析、版权保护和环境监测的一体化管理。</w:t>
      </w:r>
    </w:p>
    <w:p>
      <w:pPr>
        <w:spacing w:after="80" w:line="360" w:lineRule="auto"/>
        <w:ind w:firstLine="420"/>
      </w:pPr>
      <w:r>
        <w:rPr>
          <w:sz w:val="22"/>
        </w:rPr>
        <w:t>Furferi等人（2024）在研究传统博物馆数字化体验增强技术时指出，博物馆数字化的新兴趋势是"集成化"——将3D扫描、AR/VR、AI推荐、IoT监测等技术整合为统一的数字生态系统[20]。这种技术融合趋势正是D.I.G.I.T.框架的设计理念——五维度不是孤立的技术选择，而是相互支撑的整合体系。</w:t>
      </w:r>
    </w:p>
    <w:p>
      <w:pPr>
        <w:spacing w:before="160" w:after="80"/>
      </w:pPr>
      <w:r>
        <w:rPr>
          <w:b/>
          <w:color w:val="2A9D8F"/>
          <w:sz w:val="26"/>
        </w:rPr>
        <w:t>3.5.3 从项目驱动到生态构建</w:t>
      </w:r>
    </w:p>
    <w:p>
      <w:pPr>
        <w:spacing w:after="80" w:line="360" w:lineRule="auto"/>
        <w:ind w:firstLine="420"/>
      </w:pPr>
      <w:r>
        <w:rPr>
          <w:sz w:val="22"/>
        </w:rPr>
        <w:t>文化遗产数字化保护的第三个趋势是从"项目驱动"走向"生态构建"。早期数字化多为一次性项目——完成采集、建立数据库、开发展示平台，项目结束即告完成。这种模式难以持续——数字数据需要定期迁移、技术平台需要迭代更新、内容需要持续丰富。</w:t>
      </w:r>
    </w:p>
    <w:p>
      <w:pPr>
        <w:spacing w:after="80" w:line="360" w:lineRule="auto"/>
        <w:ind w:firstLine="420"/>
      </w:pPr>
      <w:r>
        <w:rPr>
          <w:sz w:val="22"/>
        </w:rPr>
        <w:t>生态构建模式强调可持续性：建立长效的资金保障机制、培养专业人才梯队、构建跨机构协作网络、制定可持续的技术标准。Borin和Donato（2023）在研究Europeana平台数字化的财务可持续性时指出，数字遗产平台的长期运营需要多元化的资金来源和可持续的商业模式[21]。中国正在推进的"国家文化大数据体系"建设即为生态构建模式的重要实践。</w:t>
      </w:r>
    </w:p>
    <w:p>
      <w:pPr>
        <w:spacing w:before="200" w:after="120"/>
      </w:pPr>
      <w:r>
        <w:rPr>
          <w:b/>
          <w:color w:val="457B9D"/>
          <w:sz w:val="30"/>
        </w:rPr>
        <w:t>本章小结</w:t>
      </w:r>
    </w:p>
    <w:p>
      <w:pPr>
        <w:spacing w:after="80" w:line="360" w:lineRule="auto"/>
        <w:ind w:firstLine="420"/>
      </w:pPr>
      <w:r>
        <w:rPr>
          <w:sz w:val="22"/>
        </w:rPr>
        <w:t>本章构建了文化遗产数字化保护的理论基础。在理论源流上，信息保存理论为数字化保护提供了合法性基础，媒介理论揭示了数字转译的复杂性，数字人文开辟了遗产计算的新路径。在技术体系上，数字化保护遵循"数据采集→数据处理→数据存储→数据应用"四层架构，分别对应三维扫描/摄影测量/多光谱成像等采集技术、点云处理/建模/纹理映射等处理技术、数据库/云存储等存储技术和Web3D/VR/AR等应用技术。在政策框架上，UNESCO 2003年《数字遗产保护宪章》是数字遗产保护的纲领性文件，"三步执行战略"提供了确认-保护-利用的方法论。在伦理维度上，数字化保护面临真实性、文化敏感性和数字鸿沟三重伦理挑战。在发展趋势上，数字化保护正经历从数字化到数据化到数智化的演进，从单一技术到技术融合的转变，从项目驱动到生态构建的升级。这些理论基础、技术体系、政策框架、伦理思考和发展趋势共同构成了D.I.G.I.T.框架的底层支撑。</w:t>
      </w:r>
    </w:p>
    <w:p>
      <w:pPr>
        <w:spacing w:before="200" w:after="120"/>
      </w:pPr>
      <w:r>
        <w:rPr>
          <w:b/>
          <w:color w:val="457B9D"/>
          <w:sz w:val="30"/>
        </w:rPr>
        <w:t>思考题</w:t>
      </w:r>
    </w:p>
    <w:p>
      <w:pPr>
        <w:pStyle w:val="ListNumber"/>
      </w:pPr>
      <w:r>
        <w:rPr>
          <w:b/>
          <w:sz w:val="22"/>
        </w:rPr>
        <w:t>（识记）</w:t>
      </w:r>
      <w:r>
        <w:rPr>
          <w:sz w:val="22"/>
        </w:rPr>
        <w:t xml:space="preserve"> UNESCO 2003年《数字遗产保护宪章》列举了数字遗产面临的哪三大威胁？</w:t>
      </w:r>
    </w:p>
    <w:p>
      <w:pPr>
        <w:pStyle w:val="ListNumber"/>
      </w:pPr>
      <w:r>
        <w:rPr>
          <w:b/>
          <w:sz w:val="22"/>
        </w:rPr>
        <w:t>（理解）</w:t>
      </w:r>
      <w:r>
        <w:rPr>
          <w:sz w:val="22"/>
        </w:rPr>
        <w:t xml:space="preserve"> 解释"数字化→数据化→数智化"三阶段演进各阶段的核心特征和技术标志。</w:t>
      </w:r>
    </w:p>
    <w:p>
      <w:pPr>
        <w:pStyle w:val="ListNumber"/>
      </w:pPr>
      <w:r>
        <w:rPr>
          <w:b/>
          <w:sz w:val="22"/>
        </w:rPr>
        <w:t>（应用）</w:t>
      </w:r>
      <w:r>
        <w:rPr>
          <w:sz w:val="22"/>
        </w:rPr>
        <w:t xml:space="preserve"> 请为一座县级博物馆制定数字化保护的技术方案，说明四层技术体系中每层的技术选型和理由。</w:t>
      </w:r>
    </w:p>
    <w:p>
      <w:pPr>
        <w:pStyle w:val="ListNumber"/>
      </w:pPr>
      <w:r>
        <w:rPr>
          <w:b/>
          <w:sz w:val="22"/>
        </w:rPr>
        <w:t>（分析）</w:t>
      </w:r>
      <w:r>
        <w:rPr>
          <w:sz w:val="22"/>
        </w:rPr>
        <w:t xml:space="preserve"> 分析"数字复制品的真实性"这一伦理问题对博物馆展览实践的影响——数字展示是否会削弱公众对"原物"的敬畏感？</w:t>
      </w:r>
    </w:p>
    <w:p>
      <w:pPr>
        <w:pStyle w:val="ListNumber"/>
      </w:pPr>
      <w:r>
        <w:rPr>
          <w:b/>
          <w:sz w:val="22"/>
        </w:rPr>
        <w:t>（评价）</w:t>
      </w:r>
      <w:r>
        <w:rPr>
          <w:sz w:val="22"/>
        </w:rPr>
        <w:t xml:space="preserve"> 评估UNESCO"三步执行战略"方法论框架在中国文化遗产数字化保护实践中的适用性，指出需要本土化调整的方面。</w:t>
      </w:r>
    </w:p>
    <w:p>
      <w:pPr>
        <w:pStyle w:val="ListNumber"/>
      </w:pPr>
      <w:r>
        <w:rPr>
          <w:b/>
          <w:sz w:val="22"/>
        </w:rPr>
        <w:t>（创造）</w:t>
      </w:r>
      <w:r>
        <w:rPr>
          <w:sz w:val="22"/>
        </w:rPr>
        <w:t xml:space="preserve"> 请设计一个"文化遗产数字化伦理审查框架"，包含至少五个维度的评估标准，并说明各维度的评分方法。</w:t>
      </w:r>
    </w:p>
    <w:p>
      <w:pPr>
        <w:spacing w:before="160" w:after="80"/>
      </w:pPr>
      <w:r>
        <w:rPr>
          <w:b/>
          <w:color w:val="2A9D8F"/>
          <w:sz w:val="26"/>
        </w:rPr>
        <w:t>3.6 比较视角下的数字遗产保护政策</w:t>
      </w:r>
    </w:p>
    <w:p>
      <w:pPr>
        <w:spacing w:before="120"/>
      </w:pPr>
      <w:r>
        <w:rPr>
          <w:b/>
          <w:sz w:val="22"/>
        </w:rPr>
        <w:t>3.6.1 欧盟数字遗产政策体系</w:t>
      </w:r>
    </w:p>
    <w:p>
      <w:pPr>
        <w:spacing w:after="80" w:line="360" w:lineRule="auto"/>
        <w:ind w:firstLine="420"/>
      </w:pPr>
      <w:r>
        <w:rPr>
          <w:sz w:val="22"/>
        </w:rPr>
        <w:t>欧盟在数字遗产政策方面建立了全球最完善的体系。Marinković等人（2016）在梳理2005年以来欧洲文化遗产数字化政策时，识别出欧盟政策的三个阶段：2005-2010年的"数字图书馆"阶段（以Europeana建设为核心）、2011-2015年的"数字单一市场"阶段（消除跨境数据流通障碍）、2016年至今的"数字转型"阶段（将遗产数字化纳入欧洲数字战略整体框架）[22]。</w:t>
      </w:r>
    </w:p>
    <w:p>
      <w:pPr>
        <w:spacing w:after="80" w:line="360" w:lineRule="auto"/>
        <w:ind w:firstLine="420"/>
      </w:pPr>
      <w:r>
        <w:rPr>
          <w:sz w:val="22"/>
        </w:rPr>
        <w:t>欧盟政策的核心特征是"标准化驱动"——通过推行EDM等统一元数据标准，迫使各成员国采用统一的数字化流程。Gasmi和Prlja（2020）指出，这种自上而下的标准化策略虽然在一定程度上限制了各国的灵活性，但有效解决了跨国数据互操作问题[23]。</w:t>
      </w:r>
    </w:p>
    <w:p>
      <w:pPr>
        <w:spacing w:before="120"/>
      </w:pPr>
      <w:r>
        <w:rPr>
          <w:b/>
          <w:sz w:val="22"/>
        </w:rPr>
        <w:t>3.6.2 美国数字遗产保护的市场驱动模式</w:t>
      </w:r>
    </w:p>
    <w:p>
      <w:pPr>
        <w:spacing w:after="80" w:line="360" w:lineRule="auto"/>
        <w:ind w:firstLine="420"/>
      </w:pPr>
      <w:r>
        <w:rPr>
          <w:sz w:val="22"/>
        </w:rPr>
        <w:t>与欧盟的"政策驱动"不同，美国的数字遗产保护更体现"市场驱动"特征。史密森尼学会等联邦机构虽然承担公共数字化职责，但大量遗产数字化工作由基金会、大学和企业推动。Google Arts &amp; Culture平台即为技术企业参与遗产数字化的典型案例——谷歌利用自身技术优势为全球博物馆提供数字化工具和展示平台，但也引发了对"技术公司控制文化数据"的担忧。</w:t>
      </w:r>
    </w:p>
    <w:p>
      <w:pPr>
        <w:spacing w:after="80" w:line="360" w:lineRule="auto"/>
        <w:ind w:firstLine="420"/>
      </w:pPr>
      <w:r>
        <w:rPr>
          <w:sz w:val="22"/>
        </w:rPr>
        <w:t>Lanaro（2015）在对Europeana和Google Cultural Institute的比较分析中指出，两种模式代表了不同的价值观——Europeana以公共机构主导、标准驱动、公益导向，Google以技术驱动、平台导向、商业逻辑运行[24]。</w:t>
      </w:r>
    </w:p>
    <w:p>
      <w:pPr>
        <w:spacing w:before="120"/>
      </w:pPr>
      <w:r>
        <w:rPr>
          <w:b/>
          <w:sz w:val="22"/>
        </w:rPr>
        <w:t>3.6.3 中国数字遗产政策的演进</w:t>
      </w:r>
    </w:p>
    <w:p>
      <w:pPr>
        <w:spacing w:after="80" w:line="360" w:lineRule="auto"/>
        <w:ind w:firstLine="420"/>
      </w:pPr>
      <w:r>
        <w:rPr>
          <w:sz w:val="22"/>
        </w:rPr>
        <w:t>中国的数字遗产保护政策经历了从"项目导向"到"体系构建"的转变。早期政策主要支持具体数字化项目（如"数字敦煌""数字故宫"），缺乏系统性顶层设计。2021年启动的"国家文化大数据体系"建设标志着中国开始构建系统化的数字遗产基础设施。</w:t>
      </w:r>
    </w:p>
    <w:p>
      <w:pPr>
        <w:spacing w:after="80" w:line="360" w:lineRule="auto"/>
        <w:ind w:firstLine="420"/>
      </w:pPr>
      <w:r>
        <w:rPr>
          <w:sz w:val="22"/>
        </w:rPr>
        <w:t>中国学者（2026）以Europeana实践为基础的研究指出，中国数字文化资源建设可借鉴Europeana的标准化经验，但需根据国情进行本土化——中国文化遗产资源规模远超欧洲单一国家，且多民族、多地域的文化多样性要求更高的元数据灵活性[25]。</w:t>
      </w:r>
    </w:p>
    <w:p>
      <w:pPr>
        <w:spacing w:before="160" w:after="80"/>
      </w:pPr>
      <w:r>
        <w:rPr>
          <w:b/>
          <w:color w:val="2A9D8F"/>
          <w:sz w:val="26"/>
        </w:rPr>
        <w:t>3.7 数字化保护的技术伦理深度探讨</w:t>
      </w:r>
    </w:p>
    <w:p>
      <w:pPr>
        <w:spacing w:before="120"/>
      </w:pPr>
      <w:r>
        <w:rPr>
          <w:b/>
          <w:sz w:val="22"/>
        </w:rPr>
        <w:t>3.7.1 数字复制品的"本体论"问题</w:t>
      </w:r>
    </w:p>
    <w:p>
      <w:pPr>
        <w:spacing w:after="80" w:line="360" w:lineRule="auto"/>
        <w:ind w:firstLine="420"/>
      </w:pPr>
      <w:r>
        <w:rPr>
          <w:sz w:val="22"/>
        </w:rPr>
        <w:t>数字化保护引发的深层哲学问题是：数字复制品与原物之间的本体论关系。德国哲学家瓦尔特·本雅明（Walter Benjamin）在《机械复制时代的艺术作品》中提出"灵光"（Aura）概念——原真艺术品具有独特的"此时此地"存在感，机械复制品无法复制这种灵光。在数字时代，这一论断是否仍然成立？</w:t>
      </w:r>
    </w:p>
    <w:p>
      <w:pPr>
        <w:spacing w:after="80" w:line="360" w:lineRule="auto"/>
        <w:ind w:firstLine="420"/>
      </w:pPr>
      <w:r>
        <w:rPr>
          <w:sz w:val="22"/>
        </w:rPr>
        <w:t>数字复制品确实丧失了原物的物质性——文物的重量、纹理、气味和岁月痕迹。但数字技术也创造了新的"数字灵光"——超高清数字图像能展示肉眼无法观察的细节，三维模型能从任意角度审视，多光谱成像能揭示隐藏信息。Ababneh（2024）指出，数字技术为威尼斯宪章核心原则的实现提供了新工具——高精度数字记录使"最小干预"更具可行性[26]。</w:t>
      </w:r>
    </w:p>
    <w:p>
      <w:pPr>
        <w:spacing w:before="120"/>
      </w:pPr>
      <w:r>
        <w:rPr>
          <w:b/>
          <w:sz w:val="22"/>
        </w:rPr>
        <w:t>3.7.2 文化主权与数字遗产的全球化</w:t>
      </w:r>
    </w:p>
    <w:p>
      <w:pPr>
        <w:spacing w:after="80" w:line="360" w:lineRule="auto"/>
        <w:ind w:firstLine="420"/>
      </w:pPr>
      <w:r>
        <w:rPr>
          <w:sz w:val="22"/>
        </w:rPr>
        <w:t>数字遗产的全球化传播引发了文化主权问题。当一件文物的数字模型被上传到全球平台后，其解释权和使用权的归属变得模糊——源国社区是否有权控制数字资源的海外使用？Yáñez和Fraisse（2022）在研究ICH在数字空间中的伦理流通时，指出ICH的数字化容易导致"去语境化"——脱离原有文化语境的数字遗产可能被误解或滥用[27]。</w:t>
      </w:r>
    </w:p>
    <w:p>
      <w:pPr>
        <w:spacing w:before="120"/>
      </w:pPr>
      <w:r>
        <w:rPr>
          <w:b/>
          <w:sz w:val="22"/>
        </w:rPr>
        <w:t>3.7.3 AI时代的遗产伦理新挑战</w:t>
      </w:r>
    </w:p>
    <w:p>
      <w:pPr>
        <w:spacing w:after="80" w:line="360" w:lineRule="auto"/>
        <w:ind w:firstLine="420"/>
      </w:pPr>
      <w:r>
        <w:rPr>
          <w:sz w:val="22"/>
        </w:rPr>
        <w:t>生成式AI的快速发展为遗产伦理带来了新挑战。当AI可以"生成"历史场景、"补全"残损文物、"模拟"已故大师的技艺时，真实与虚构的界限变得模糊。Neudecker（2022）提出，将文化和人文领域的批判性视角纳入AI开发的全过程至关重要——AI生成的文化内容必须明确标注其"推测性"而非"事实性"[28]。</w:t>
      </w:r>
    </w:p>
    <w:p>
      <w:pPr>
        <w:spacing w:before="160" w:after="80"/>
      </w:pPr>
      <w:r>
        <w:rPr>
          <w:b/>
          <w:color w:val="2A9D8F"/>
          <w:sz w:val="26"/>
        </w:rPr>
        <w:t>3.8 数字化保护的技术经济学分析</w:t>
      </w:r>
    </w:p>
    <w:p>
      <w:pPr>
        <w:spacing w:before="120"/>
      </w:pPr>
      <w:r>
        <w:rPr>
          <w:b/>
          <w:sz w:val="22"/>
        </w:rPr>
        <w:t>3.8.1 数字化成本构成</w:t>
      </w:r>
    </w:p>
    <w:p>
      <w:pPr>
        <w:spacing w:after="80" w:line="360" w:lineRule="auto"/>
        <w:ind w:firstLine="420"/>
      </w:pPr>
      <w:r>
        <w:rPr>
          <w:sz w:val="22"/>
        </w:rPr>
        <w:t>文化遗产数字化的成本构成复杂，主要包括：</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D9E2EC"/>
          </w:tcPr>
          <w:p>
            <w:pPr>
              <w:spacing w:before="40" w:after="40"/>
            </w:pPr>
            <w:r>
              <w:rPr>
                <w:b/>
                <w:sz w:val="20"/>
              </w:rPr>
            </w:r>
            <w:r>
              <w:rPr>
                <w:b/>
                <w:sz w:val="20"/>
              </w:rPr>
              <w:t>成本类别</w:t>
            </w:r>
          </w:p>
        </w:tc>
        <w:tc>
          <w:tcPr>
            <w:tcW w:type="dxa" w:w="2835"/>
            <w:shd w:val="clear" w:color="auto" w:fill="D9E2EC"/>
          </w:tcPr>
          <w:p>
            <w:pPr>
              <w:spacing w:before="40" w:after="40"/>
            </w:pPr>
            <w:r>
              <w:rPr>
                <w:b/>
                <w:sz w:val="20"/>
              </w:rPr>
            </w:r>
            <w:r>
              <w:rPr>
                <w:b/>
                <w:sz w:val="20"/>
              </w:rPr>
              <w:t>占比（约）</w:t>
            </w:r>
          </w:p>
        </w:tc>
        <w:tc>
          <w:tcPr>
            <w:tcW w:type="dxa" w:w="2835"/>
            <w:shd w:val="clear" w:color="auto" w:fill="D9E2EC"/>
          </w:tcPr>
          <w:p>
            <w:pPr>
              <w:spacing w:before="40" w:after="40"/>
            </w:pPr>
            <w:r>
              <w:rPr>
                <w:b/>
                <w:sz w:val="20"/>
              </w:rPr>
            </w:r>
            <w:r>
              <w:rPr>
                <w:b/>
                <w:sz w:val="20"/>
              </w:rPr>
              <w:t>说明</w:t>
            </w:r>
          </w:p>
        </w:tc>
      </w:tr>
      <w:tr>
        <w:tc>
          <w:tcPr>
            <w:tcW w:type="dxa" w:w="2835"/>
          </w:tcPr>
          <w:p>
            <w:pPr>
              <w:spacing w:before="40" w:after="40"/>
            </w:pPr>
            <w:r>
              <w:rPr>
                <w:sz w:val="20"/>
              </w:rPr>
            </w:r>
            <w:r>
              <w:rPr>
                <w:sz w:val="20"/>
              </w:rPr>
              <w:t>设备采购</w:t>
            </w:r>
          </w:p>
        </w:tc>
        <w:tc>
          <w:tcPr>
            <w:tcW w:type="dxa" w:w="2835"/>
          </w:tcPr>
          <w:p>
            <w:pPr>
              <w:spacing w:before="40" w:after="40"/>
            </w:pPr>
            <w:r>
              <w:rPr>
                <w:sz w:val="20"/>
              </w:rPr>
            </w:r>
            <w:r>
              <w:rPr>
                <w:sz w:val="20"/>
              </w:rPr>
              <w:t>20-30%</w:t>
            </w:r>
          </w:p>
        </w:tc>
        <w:tc>
          <w:tcPr>
            <w:tcW w:type="dxa" w:w="2835"/>
          </w:tcPr>
          <w:p>
            <w:pPr>
              <w:spacing w:before="40" w:after="40"/>
            </w:pPr>
            <w:r>
              <w:rPr>
                <w:sz w:val="20"/>
              </w:rPr>
            </w:r>
            <w:r>
              <w:rPr>
                <w:sz w:val="20"/>
              </w:rPr>
              <w:t>三维扫描仪、相机、计算机</w:t>
            </w:r>
          </w:p>
        </w:tc>
      </w:tr>
      <w:tr>
        <w:tc>
          <w:tcPr>
            <w:tcW w:type="dxa" w:w="2835"/>
            <w:shd w:val="clear" w:color="auto" w:fill="F5F5F5"/>
          </w:tcPr>
          <w:p>
            <w:pPr>
              <w:spacing w:before="40" w:after="40"/>
            </w:pPr>
            <w:r>
              <w:rPr>
                <w:sz w:val="20"/>
              </w:rPr>
            </w:r>
            <w:r>
              <w:rPr>
                <w:sz w:val="20"/>
              </w:rPr>
              <w:t>人力成本</w:t>
            </w:r>
          </w:p>
        </w:tc>
        <w:tc>
          <w:tcPr>
            <w:tcW w:type="dxa" w:w="2835"/>
            <w:shd w:val="clear" w:color="auto" w:fill="F5F5F5"/>
          </w:tcPr>
          <w:p>
            <w:pPr>
              <w:spacing w:before="40" w:after="40"/>
            </w:pPr>
            <w:r>
              <w:rPr>
                <w:sz w:val="20"/>
              </w:rPr>
            </w:r>
            <w:r>
              <w:rPr>
                <w:sz w:val="20"/>
              </w:rPr>
              <w:t>30-40%</w:t>
            </w:r>
          </w:p>
        </w:tc>
        <w:tc>
          <w:tcPr>
            <w:tcW w:type="dxa" w:w="2835"/>
            <w:shd w:val="clear" w:color="auto" w:fill="F5F5F5"/>
          </w:tcPr>
          <w:p>
            <w:pPr>
              <w:spacing w:before="40" w:after="40"/>
            </w:pPr>
            <w:r>
              <w:rPr>
                <w:sz w:val="20"/>
              </w:rPr>
            </w:r>
            <w:r>
              <w:rPr>
                <w:sz w:val="20"/>
              </w:rPr>
              <w:t>技术人员、专家咨询</w:t>
            </w:r>
          </w:p>
        </w:tc>
      </w:tr>
      <w:tr>
        <w:tc>
          <w:tcPr>
            <w:tcW w:type="dxa" w:w="2835"/>
          </w:tcPr>
          <w:p>
            <w:pPr>
              <w:spacing w:before="40" w:after="40"/>
            </w:pPr>
            <w:r>
              <w:rPr>
                <w:sz w:val="20"/>
              </w:rPr>
            </w:r>
            <w:r>
              <w:rPr>
                <w:sz w:val="20"/>
              </w:rPr>
              <w:t>数据处理</w:t>
            </w:r>
          </w:p>
        </w:tc>
        <w:tc>
          <w:tcPr>
            <w:tcW w:type="dxa" w:w="2835"/>
          </w:tcPr>
          <w:p>
            <w:pPr>
              <w:spacing w:before="40" w:after="40"/>
            </w:pPr>
            <w:r>
              <w:rPr>
                <w:sz w:val="20"/>
              </w:rPr>
            </w:r>
            <w:r>
              <w:rPr>
                <w:sz w:val="20"/>
              </w:rPr>
              <w:t>15-20%</w:t>
            </w:r>
          </w:p>
        </w:tc>
        <w:tc>
          <w:tcPr>
            <w:tcW w:type="dxa" w:w="2835"/>
          </w:tcPr>
          <w:p>
            <w:pPr>
              <w:spacing w:before="40" w:after="40"/>
            </w:pPr>
            <w:r>
              <w:rPr>
                <w:sz w:val="20"/>
              </w:rPr>
            </w:r>
            <w:r>
              <w:rPr>
                <w:sz w:val="20"/>
              </w:rPr>
              <w:t>建模、纹理映射、质量检验</w:t>
            </w:r>
          </w:p>
        </w:tc>
      </w:tr>
      <w:tr>
        <w:tc>
          <w:tcPr>
            <w:tcW w:type="dxa" w:w="2835"/>
            <w:shd w:val="clear" w:color="auto" w:fill="F5F5F5"/>
          </w:tcPr>
          <w:p>
            <w:pPr>
              <w:spacing w:before="40" w:after="40"/>
            </w:pPr>
            <w:r>
              <w:rPr>
                <w:sz w:val="20"/>
              </w:rPr>
            </w:r>
            <w:r>
              <w:rPr>
                <w:sz w:val="20"/>
              </w:rPr>
              <w:t>存储与维护</w:t>
            </w:r>
          </w:p>
        </w:tc>
        <w:tc>
          <w:tcPr>
            <w:tcW w:type="dxa" w:w="2835"/>
            <w:shd w:val="clear" w:color="auto" w:fill="F5F5F5"/>
          </w:tcPr>
          <w:p>
            <w:pPr>
              <w:spacing w:before="40" w:after="40"/>
            </w:pPr>
            <w:r>
              <w:rPr>
                <w:sz w:val="20"/>
              </w:rPr>
            </w:r>
            <w:r>
              <w:rPr>
                <w:sz w:val="20"/>
              </w:rPr>
              <w:t>10-15%</w:t>
            </w:r>
          </w:p>
        </w:tc>
        <w:tc>
          <w:tcPr>
            <w:tcW w:type="dxa" w:w="2835"/>
            <w:shd w:val="clear" w:color="auto" w:fill="F5F5F5"/>
          </w:tcPr>
          <w:p>
            <w:pPr>
              <w:spacing w:before="40" w:after="40"/>
            </w:pPr>
            <w:r>
              <w:rPr>
                <w:sz w:val="20"/>
              </w:rPr>
            </w:r>
            <w:r>
              <w:rPr>
                <w:sz w:val="20"/>
              </w:rPr>
              <w:t>服务器、云存储、数据迁移</w:t>
            </w:r>
          </w:p>
        </w:tc>
      </w:tr>
      <w:tr>
        <w:tc>
          <w:tcPr>
            <w:tcW w:type="dxa" w:w="2835"/>
          </w:tcPr>
          <w:p>
            <w:pPr>
              <w:spacing w:before="40" w:after="40"/>
            </w:pPr>
            <w:r>
              <w:rPr>
                <w:sz w:val="20"/>
              </w:rPr>
            </w:r>
            <w:r>
              <w:rPr>
                <w:sz w:val="20"/>
              </w:rPr>
              <w:t>管理与协调</w:t>
            </w:r>
          </w:p>
        </w:tc>
        <w:tc>
          <w:tcPr>
            <w:tcW w:type="dxa" w:w="2835"/>
          </w:tcPr>
          <w:p>
            <w:pPr>
              <w:spacing w:before="40" w:after="40"/>
            </w:pPr>
            <w:r>
              <w:rPr>
                <w:sz w:val="20"/>
              </w:rPr>
            </w:r>
            <w:r>
              <w:rPr>
                <w:sz w:val="20"/>
              </w:rPr>
              <w:t>5-10%</w:t>
            </w:r>
          </w:p>
        </w:tc>
        <w:tc>
          <w:tcPr>
            <w:tcW w:type="dxa" w:w="2835"/>
          </w:tcPr>
          <w:p>
            <w:pPr>
              <w:spacing w:before="40" w:after="40"/>
            </w:pPr>
            <w:r>
              <w:rPr>
                <w:sz w:val="20"/>
              </w:rPr>
            </w:r>
            <w:r>
              <w:rPr>
                <w:sz w:val="20"/>
              </w:rPr>
              <w:t>项目管理、培训</w:t>
            </w:r>
          </w:p>
        </w:tc>
      </w:tr>
    </w:tbl>
    <w:p>
      <w:pPr>
        <w:spacing w:after="80" w:line="360" w:lineRule="auto"/>
        <w:ind w:firstLine="420"/>
      </w:pPr>
      <w:r>
        <w:rPr>
          <w:sz w:val="22"/>
        </w:rPr>
        <w:t>Borin和Donato（2023）在研究Europeana的财务可持续性时指出，数字化项目的初始投入只是"冰山一角"——长期的数据维护、技术更新和平台运营成本往往被低估[29]。</w:t>
      </w:r>
    </w:p>
    <w:p>
      <w:pPr>
        <w:spacing w:before="120"/>
      </w:pPr>
      <w:r>
        <w:rPr>
          <w:b/>
          <w:sz w:val="22"/>
        </w:rPr>
        <w:t>3.8.2 数字化投入产出分析</w:t>
      </w:r>
    </w:p>
    <w:p>
      <w:pPr>
        <w:spacing w:after="80" w:line="360" w:lineRule="auto"/>
        <w:ind w:firstLine="420"/>
      </w:pPr>
      <w:r>
        <w:rPr>
          <w:sz w:val="22"/>
        </w:rPr>
        <w:t>数字化保护的"产出"难以用传统ROI（投资回报率）衡量，因为其价值主要体现在公共文化利益而非直接经济回报。但间接经济价值显著：数字化提升遗产旅游吸引力、支撑文创产品开发、降低物理保护成本（减少文物搬运和展览磨损）、扩大教育传播覆盖面。</w:t>
      </w:r>
    </w:p>
    <w:p>
      <w:pPr>
        <w:spacing w:before="120"/>
      </w:pPr>
      <w:r>
        <w:rPr>
          <w:b/>
          <w:sz w:val="22"/>
        </w:rPr>
        <w:t>3.8.3 可持续资金机制</w:t>
      </w:r>
    </w:p>
    <w:p>
      <w:pPr>
        <w:spacing w:after="80" w:line="360" w:lineRule="auto"/>
        <w:ind w:firstLine="420"/>
      </w:pPr>
      <w:r>
        <w:rPr>
          <w:sz w:val="22"/>
        </w:rPr>
        <w:t>探索可持续的数字遗产资金机制是全球性课题。Europeana采用"欧盟拨款+成员国贡献+项目收入"的多源模式[29]；美国采用"联邦拨款+基金会赞助+企业合作"的混合模式；中国目前以政府财政投入为主，正在探索社会资本参与的PPP模式。</w:t>
      </w:r>
    </w:p>
    <w:p>
      <w:pPr>
        <w:spacing w:before="160" w:after="80"/>
      </w:pPr>
      <w:r>
        <w:rPr>
          <w:b/>
          <w:color w:val="2A9D8F"/>
          <w:sz w:val="26"/>
        </w:rPr>
        <w:t>3.9 数字遗产保护的理论创新</w:t>
      </w:r>
    </w:p>
    <w:p>
      <w:pPr>
        <w:spacing w:before="120"/>
      </w:pPr>
      <w:r>
        <w:rPr>
          <w:b/>
          <w:sz w:val="22"/>
        </w:rPr>
        <w:t>3.9.1 "数字原真性"概念</w:t>
      </w:r>
    </w:p>
    <w:p>
      <w:pPr>
        <w:spacing w:after="80" w:line="360" w:lineRule="auto"/>
        <w:ind w:firstLine="420"/>
      </w:pPr>
      <w:r>
        <w:rPr>
          <w:sz w:val="22"/>
        </w:rPr>
        <w:t>传统的真实性概念建立在物质性基础上——文物的材料、工艺和形制决定了其真实性。数字复制品没有物质实体，其真实性如何界定？本书提出"数字原真性"（Digital Authenticity）概念——数字复制品的真实性不取决于它与原物的物质相似度，而取决于它对原物信息的保真度和数字化过程的可追溯性。</w:t>
      </w:r>
    </w:p>
    <w:p>
      <w:pPr>
        <w:spacing w:after="80" w:line="360" w:lineRule="auto"/>
        <w:ind w:firstLine="420"/>
      </w:pPr>
      <w:r>
        <w:rPr>
          <w:sz w:val="22"/>
        </w:rPr>
        <w:t>数字原真性的评估维度包括：几何保真度（与原物的尺寸偏差）、色彩保真度（色差ΔE值）、纹理保真度（表面微观细节的保留程度）、过程可追溯性（数字化设备、参数和操作者信息的完整记录）。Ababneh（2024）指出，数字技术为威尼斯宪章真实性原则的实现提供了新工具——高精度数字记录使"最小干预"更具可行性[30]。</w:t>
      </w:r>
    </w:p>
    <w:p>
      <w:pPr>
        <w:spacing w:before="120"/>
      </w:pPr>
      <w:r>
        <w:rPr>
          <w:b/>
          <w:sz w:val="22"/>
        </w:rPr>
        <w:t>3.9.2 "数字遗产权"概念</w:t>
      </w:r>
    </w:p>
    <w:p>
      <w:pPr>
        <w:spacing w:after="80" w:line="360" w:lineRule="auto"/>
        <w:ind w:firstLine="420"/>
      </w:pPr>
      <w:r>
        <w:rPr>
          <w:sz w:val="22"/>
        </w:rPr>
        <w:t>随着文化遗产数字化的深入，一个新的权利概念浮现——"数字遗产权"（Digital Heritage Rights）。这一概念指社区、群体和个人对其文化遗产数字资源所享有的权利，包括：数字记录权（决定是否以及如何数字化）、数字获取权（获取自身文化遗产数字资源的权利）、数字控制权（控制数字资源使用和传播的权利）和数字收益权（从数字资源利用中获益的权利）。</w:t>
      </w:r>
    </w:p>
    <w:p>
      <w:pPr>
        <w:spacing w:after="80" w:line="360" w:lineRule="auto"/>
        <w:ind w:firstLine="420"/>
      </w:pPr>
      <w:r>
        <w:rPr>
          <w:sz w:val="22"/>
        </w:rPr>
        <w:t>Yáñez和Fraisse（2022）在研究ICH数字空间伦理流通时，指出"数字遗产权"是ICH保护中被忽视的维度——ICH的数字化往往由外部机构主导，源社区的权利容易被忽视[27]。</w:t>
      </w:r>
    </w:p>
    <w:p>
      <w:pPr>
        <w:spacing w:before="120"/>
      </w:pPr>
      <w:r>
        <w:rPr>
          <w:b/>
          <w:sz w:val="22"/>
        </w:rPr>
        <w:t>3.9.3 "遗产计算"方法论</w:t>
      </w:r>
    </w:p>
    <w:p>
      <w:pPr>
        <w:spacing w:after="80" w:line="360" w:lineRule="auto"/>
        <w:ind w:firstLine="420"/>
      </w:pPr>
      <w:r>
        <w:rPr>
          <w:sz w:val="22"/>
        </w:rPr>
        <w:t>遗产计算（Heritage Computing）是将计算方法系统应用于文化遗产研究的新兴方法论。它包括：计算材料学（分析文物材质和劣化机理）、计算美学（量化分析艺术风格特征）、计算考古（利用空间分析重建古代聚落模式）和计算叙事（利用自然语言处理分析历史文本）。</w:t>
      </w:r>
    </w:p>
    <w:p>
      <w:pPr>
        <w:spacing w:after="80" w:line="360" w:lineRule="auto"/>
        <w:ind w:firstLine="420"/>
      </w:pPr>
      <w:r>
        <w:rPr>
          <w:sz w:val="22"/>
        </w:rPr>
        <w:t>Buratti等人（2021）指出，AI和大数据正在推动文化遗产领域从"定性描述"走向"定量分析"——大数据技术使研究者能够处理和分析前所未有规模的文化遗产数据，发现传统方法难以发现的模式[5]。</w:t>
      </w:r>
    </w:p>
    <w:p>
      <w:pPr>
        <w:spacing w:before="160" w:after="80"/>
      </w:pPr>
      <w:r>
        <w:rPr>
          <w:b/>
          <w:color w:val="2A9D8F"/>
          <w:sz w:val="26"/>
        </w:rPr>
        <w:t>3.10 数字化保护的政策创新</w:t>
      </w:r>
    </w:p>
    <w:p>
      <w:pPr>
        <w:spacing w:before="120"/>
      </w:pPr>
      <w:r>
        <w:rPr>
          <w:b/>
          <w:sz w:val="22"/>
        </w:rPr>
        <w:t>3.10.1 "开放获取"政策</w:t>
      </w:r>
    </w:p>
    <w:p>
      <w:pPr>
        <w:spacing w:after="80" w:line="360" w:lineRule="auto"/>
        <w:ind w:firstLine="420"/>
      </w:pPr>
      <w:r>
        <w:rPr>
          <w:sz w:val="22"/>
        </w:rPr>
        <w:t>"开放获取"（Open Access）政策要求由公共资金支持的数字化成果向公众免费开放。Europeana是开放获取政策的典范——平台上的元数据采用CC0许可，数字资源尽可能采用最宽松的许可协议。Borin和Donato（2023）指出，开放获取政策促进了数字遗产的广泛利用，但也带来了机构收入减少的挑战[29]。</w:t>
      </w:r>
    </w:p>
    <w:p>
      <w:pPr>
        <w:spacing w:before="120"/>
      </w:pPr>
      <w:r>
        <w:rPr>
          <w:b/>
          <w:sz w:val="22"/>
        </w:rPr>
        <w:t>3.10.2 "数字遗产影响评估"</w:t>
      </w:r>
    </w:p>
    <w:p>
      <w:pPr>
        <w:spacing w:after="80" w:line="360" w:lineRule="auto"/>
        <w:ind w:firstLine="420"/>
      </w:pPr>
      <w:r>
        <w:rPr>
          <w:sz w:val="22"/>
        </w:rPr>
        <w:t>类比环境影响评估（EIA），"数字遗产影响评估"（Digital Heritage Impact Assessment）要求在重大基础设施项目中评估对文化遗产数字化的影响——如5G基站建设是否改善了遗产地的数字基础设施，智慧城市项目是否纳入了遗产监测需求。Abdelmonem（2017）提出将数字遗产纳入城市发展规划的政策框架[25]。</w:t>
      </w:r>
    </w:p>
    <w:p>
      <w:pPr>
        <w:spacing w:before="120"/>
      </w:pPr>
      <w:r>
        <w:rPr>
          <w:b/>
          <w:sz w:val="22"/>
        </w:rPr>
        <w:t>3.10.3 "数字遗产素养"教育</w:t>
      </w:r>
    </w:p>
    <w:p>
      <w:pPr>
        <w:spacing w:after="80" w:line="360" w:lineRule="auto"/>
        <w:ind w:firstLine="420"/>
      </w:pPr>
      <w:r>
        <w:rPr>
          <w:sz w:val="22"/>
        </w:rPr>
        <w:t>数字遗产保护需要公众的理解和参与。"数字遗产素养"（Digital Heritage Literacy）教育旨在提升公众对数字遗产的认知和使用能力——理解数字遗产的价值、掌握数字遗产工具的使用方法、参与数字遗产保护实践。这应纳入国民教育体系和终身学习体系。</w:t>
      </w:r>
    </w:p>
    <w:p>
      <w:pPr>
        <w:spacing w:before="160" w:after="80"/>
      </w:pPr>
      <w:r>
        <w:rPr>
          <w:b/>
          <w:color w:val="2A9D8F"/>
          <w:sz w:val="26"/>
        </w:rPr>
        <w:t>3.9 数字化保护中的原真性理论前沿</w:t>
      </w:r>
    </w:p>
    <w:p>
      <w:pPr>
        <w:spacing w:before="120"/>
      </w:pPr>
      <w:r>
        <w:rPr>
          <w:b/>
          <w:sz w:val="22"/>
        </w:rPr>
        <w:t>3.9.1 数字原真性的理论建构</w:t>
      </w:r>
    </w:p>
    <w:p>
      <w:pPr>
        <w:spacing w:after="80" w:line="360" w:lineRule="auto"/>
        <w:ind w:firstLine="420"/>
      </w:pPr>
      <w:r>
        <w:rPr>
          <w:sz w:val="22"/>
        </w:rPr>
        <w:t>数字原真性（Digital Authenticity）是文化遗产数字化保护中的核心理论问题——数字复制件在多大程度上保留了文化遗产本体的原真性？UNESCO的《奈良文件》（1994）将原真性定义为多维概念，包括形式与设计、材料与物质、用途与功能、传统与技术、位置与环境、精神与感觉等维度。数字化挑战了这一框架——数字复制件在"材料与物质"维度完全不同（0和1 vs. 石头和颜料），但在"形式与设计"维度可以高度忠实。</w:t>
      </w:r>
    </w:p>
    <w:p>
      <w:pPr>
        <w:spacing w:after="80" w:line="360" w:lineRule="auto"/>
        <w:ind w:firstLine="420"/>
      </w:pPr>
      <w:r>
        <w:rPr>
          <w:sz w:val="22"/>
        </w:rPr>
        <w:t>Tomur（2024）在研究非物质文化遗产数字原真性时，提出"光谱式原真性"模型——数字遗产的原真性不是"有或无"的二元判断，而是在不同维度上呈现从"高度忠实"到"创造性转化"的连续光谱[37]。这一模型为数字化实践提供了更灵活的理论框架——不同用途的数字遗产可以在原真性光谱上选择不同位置：学术研究用数字复制件追求最高忠实度，而文化传播用数字衍生品可以在保持核心特征的基础上进行创造性表达。</w:t>
      </w:r>
    </w:p>
    <w:p>
      <w:pPr>
        <w:spacing w:before="120"/>
      </w:pPr>
      <w:r>
        <w:rPr>
          <w:b/>
          <w:sz w:val="22"/>
        </w:rPr>
        <w:t>3.9.2 数字化中的"再现"与"重构"</w:t>
      </w:r>
    </w:p>
    <w:p>
      <w:pPr>
        <w:spacing w:after="80" w:line="360" w:lineRule="auto"/>
        <w:ind w:firstLine="420"/>
      </w:pPr>
      <w:r>
        <w:rPr>
          <w:sz w:val="22"/>
        </w:rPr>
        <w:t>文化遗产数字化存在两种基本路径："再现"（Representation）和"重构"（Reconstruction）。再现追求对现存遗产状态的忠实记录，重构则试图恢复遗产的历史原貌——两者在原真性取向上存在根本差异。重构涉及推测和诠释，其原真性取决于推测的可靠性和诠释的合理性。Younis（2025）在研究文化遗产三维建模技术时指出，数字重构必须明确区分"有据可查的还原"和"推测性的重建"——前者基于考古证据和历史文献，后者基于合理推断，两者在学术可信度上不可等同[38]。</w:t>
      </w:r>
    </w:p>
    <w:p>
      <w:pPr>
        <w:spacing w:before="160" w:after="80"/>
      </w:pPr>
      <w:r>
        <w:rPr>
          <w:b/>
          <w:color w:val="2A9D8F"/>
          <w:sz w:val="26"/>
        </w:rPr>
        <w:t>3.10 数字化保护的风险治理</w:t>
      </w:r>
    </w:p>
    <w:p>
      <w:pPr>
        <w:spacing w:before="120"/>
      </w:pPr>
      <w:r>
        <w:rPr>
          <w:b/>
          <w:sz w:val="22"/>
        </w:rPr>
        <w:t>3.10.1 技术风险与应对</w:t>
      </w:r>
    </w:p>
    <w:p>
      <w:pPr>
        <w:spacing w:after="80" w:line="360" w:lineRule="auto"/>
        <w:ind w:firstLine="420"/>
      </w:pPr>
      <w:r>
        <w:rPr>
          <w:sz w:val="22"/>
        </w:rPr>
        <w:t>文化遗产数字化面临多重技术风险：数据丢失风险（存储介质老化、格式淘汰）、技术过时风险（软硬件更新导致数字资源无法读取）、安全风险（黑客攻击、数据泄露）、质量风险（数字化精度不足或数据错误）。风险治理需要建立系统性的风险评估和应对机制——定期进行数据备份和格式迁移、采用开放标准避免供应商锁定、建立数据安全防护体系、实施质量审核流程。</w:t>
      </w:r>
    </w:p>
    <w:p>
      <w:pPr>
        <w:spacing w:before="200" w:after="120"/>
      </w:pPr>
      <w:r>
        <w:rPr>
          <w:b/>
          <w:color w:val="457B9D"/>
          <w:sz w:val="30"/>
        </w:rPr>
        <w:t>参考文献</w:t>
      </w:r>
    </w:p>
    <w:p>
      <w:pPr>
        <w:spacing w:after="40"/>
        <w:ind w:left="425" w:hanging="425"/>
      </w:pPr>
      <w:r>
        <w:rPr>
          <w:sz w:val="20"/>
        </w:rPr>
        <w:t>[1] Abid A. Preserving Our Digital Heritage: A UNESCO Perspective[J]. Journal of the Korean Society for Archival and Records Management, 2005, 5(2): 183-193. DOI: 10.14404/JKSARM.2005.5.2.183.</w:t>
      </w:r>
    </w:p>
    <w:p>
      <w:pPr>
        <w:spacing w:after="40"/>
        <w:ind w:left="425" w:hanging="425"/>
      </w:pPr>
      <w:r>
        <w:rPr>
          <w:sz w:val="20"/>
        </w:rPr>
        <w:t>[2] PrakashTribhuvan A, Abdullah B A. Preserving Our Past: A Thorough Examination of Methods and Technologies in Digital Heritage[J]. International Journal of Science and Advanced Technology, 2025, 16(1): 1324. DOI: 10.71097/ijsat.v16.i1.1324.</w:t>
      </w:r>
    </w:p>
    <w:p>
      <w:pPr>
        <w:spacing w:after="40"/>
        <w:ind w:left="425" w:hanging="425"/>
      </w:pPr>
      <w:r>
        <w:rPr>
          <w:sz w:val="20"/>
        </w:rPr>
        <w:t>[3] 曲英红. 非物质文化遗产的数字化保护探讨[J]. 2016. 维普期刊.</w:t>
      </w:r>
    </w:p>
    <w:p>
      <w:pPr>
        <w:spacing w:after="40"/>
        <w:ind w:left="425" w:hanging="425"/>
      </w:pPr>
      <w:r>
        <w:rPr>
          <w:sz w:val="20"/>
        </w:rPr>
        <w:t>[4] Pouloupoulos V, Wallace M. Digital Technologies and the Role of Data in Cultural Heritage: The Past, the Present, and the Future[J]. Big Data and Cognitive Computing, 2022, 6(3): 73. DOI: 10.3390/bdcc6030073.</w:t>
      </w:r>
    </w:p>
    <w:p>
      <w:pPr>
        <w:spacing w:after="40"/>
        <w:ind w:left="425" w:hanging="425"/>
      </w:pPr>
      <w:r>
        <w:rPr>
          <w:sz w:val="20"/>
        </w:rPr>
        <w:t>[5] Buratti G, Conte S, Rossi M. Artificial Intelligence, Big Data and Cultural Heritage[J]. 2021. DOI: 10.3280/oa-686.4.</w:t>
      </w:r>
    </w:p>
    <w:p>
      <w:pPr>
        <w:spacing w:after="40"/>
        <w:ind w:left="425" w:hanging="425"/>
      </w:pPr>
      <w:r>
        <w:rPr>
          <w:sz w:val="20"/>
        </w:rPr>
        <w:t>[6] Caramiaux B. AI with Museums and Cultural Heritage[C]. Semantic Scholar, 2022.</w:t>
      </w:r>
    </w:p>
    <w:p>
      <w:pPr>
        <w:spacing w:after="40"/>
        <w:ind w:left="425" w:hanging="425"/>
      </w:pPr>
      <w:r>
        <w:rPr>
          <w:sz w:val="20"/>
        </w:rPr>
        <w:t>[7] 王婷. 文物真三维数字建模技术在秦始皇兵马俑博物馆中的应用——以一号坑陶俑为例[J]. 2012. 万方数据.</w:t>
      </w:r>
    </w:p>
    <w:p>
      <w:pPr>
        <w:spacing w:after="40"/>
        <w:ind w:left="425" w:hanging="425"/>
      </w:pPr>
      <w:r>
        <w:rPr>
          <w:sz w:val="20"/>
        </w:rPr>
        <w:t>[8] Farella E M, Morelli L, Rigon S, et al. Analysing Key Steps of the Photogrammetric Pipeline for Museum Artefacts 3D Digitisation[J]. Sustainability, 2022, 14(9): 5740. DOI: 10.3390/su14095740.</w:t>
      </w:r>
    </w:p>
    <w:p>
      <w:pPr>
        <w:spacing w:after="40"/>
        <w:ind w:left="425" w:hanging="425"/>
      </w:pPr>
      <w:r>
        <w:rPr>
          <w:sz w:val="20"/>
        </w:rPr>
        <w:t>[9] 孙月霞, 李梁杭, 朱铃铃. 基于点云数据的文物修复与建模[J]. 2020. 维普期刊.</w:t>
      </w:r>
    </w:p>
    <w:p>
      <w:pPr>
        <w:spacing w:after="40"/>
        <w:ind w:left="425" w:hanging="425"/>
      </w:pPr>
      <w:r>
        <w:rPr>
          <w:sz w:val="20"/>
        </w:rPr>
        <w:t>[10] 张瑞, 骆岩林, 周明全, 等. 文物数字化的关键技术[J]. 2007. 万方数据.</w:t>
      </w:r>
    </w:p>
    <w:p>
      <w:pPr>
        <w:spacing w:after="40"/>
        <w:ind w:left="425" w:hanging="425"/>
      </w:pPr>
      <w:r>
        <w:rPr>
          <w:sz w:val="20"/>
        </w:rPr>
        <w:t>[11] Larue F, Di Benedetto M, Dellepiane M, et al. From the Digitization of Cultural Artifacts to the Web Publishing of Digital 3D Collections: an Automatic Pipeline for Knowledge Sharing[J]. Journal of Multimedia, 2012, 7(2): 132-144. DOI: 10.4304/jmm.7.2.132-144.</w:t>
      </w:r>
    </w:p>
    <w:p>
      <w:pPr>
        <w:spacing w:after="40"/>
        <w:ind w:left="425" w:hanging="425"/>
      </w:pPr>
      <w:r>
        <w:rPr>
          <w:sz w:val="20"/>
        </w:rPr>
        <w:t>[12] 姚增凯. 基于逆向工程技术的文物数字化建模及应用[J]. 2014. 维普期刊.</w:t>
      </w:r>
    </w:p>
    <w:p>
      <w:pPr>
        <w:spacing w:after="40"/>
        <w:ind w:left="425" w:hanging="425"/>
      </w:pPr>
      <w:r>
        <w:rPr>
          <w:sz w:val="20"/>
        </w:rPr>
        <w:t>[13] Koščík M, Myška M. Copyright Law Challenges of Preservation of "Born-digital" Digital Content as Cultural Heritage[C]. Semantic Scholar, 2019.</w:t>
      </w:r>
    </w:p>
    <w:p>
      <w:pPr>
        <w:spacing w:after="40"/>
        <w:ind w:left="425" w:hanging="425"/>
      </w:pPr>
      <w:r>
        <w:rPr>
          <w:sz w:val="20"/>
        </w:rPr>
        <w:t>[14] [作者不详]. 公共记忆机构的数字遗产保护行动框架——对UNESCO数字遗产保护政策的内容分析[J]. 2023. 维普期刊.</w:t>
      </w:r>
    </w:p>
    <w:p>
      <w:pPr>
        <w:spacing w:after="40"/>
        <w:ind w:left="425" w:hanging="425"/>
      </w:pPr>
      <w:r>
        <w:rPr>
          <w:sz w:val="20"/>
        </w:rPr>
        <w:t>[15] 徐拥军, 郭若涵. 联合国教科文组织文献遗产政策及启示——基于"三步执行战略"方法论框架[J]. 2022. 万方数据.</w:t>
      </w:r>
    </w:p>
    <w:p>
      <w:pPr>
        <w:spacing w:after="40"/>
        <w:ind w:left="425" w:hanging="425"/>
      </w:pPr>
      <w:r>
        <w:rPr>
          <w:sz w:val="20"/>
        </w:rPr>
        <w:t>[16] 王秀丽. 从"呈现"到"模仿"：VR技术视阈下的博物馆文化"活态"展示[J]. 2019. 万方数据.</w:t>
      </w:r>
    </w:p>
    <w:p>
      <w:pPr>
        <w:spacing w:after="40"/>
        <w:ind w:left="425" w:hanging="425"/>
      </w:pPr>
      <w:r>
        <w:rPr>
          <w:sz w:val="20"/>
        </w:rPr>
        <w:t>[17] Yáñez J P, Fraisse A. It is not Dance, is Data: Gearing Ethical Circulation of Intangible Cultural Heritage Practices in the Digital Space[C]. Semantic Scholar, 2022.</w:t>
      </w:r>
    </w:p>
    <w:p>
      <w:pPr>
        <w:spacing w:after="40"/>
        <w:ind w:left="425" w:hanging="425"/>
      </w:pPr>
      <w:r>
        <w:rPr>
          <w:sz w:val="20"/>
        </w:rPr>
        <w:t>[18] Abdelmonem M G. Managing Cultural Heritage in the Digital Age: Research Policy Document on the Development of Virtual Heritage for Egypt and the Middle East[C]. Semantic Scholar, 2017.</w:t>
      </w:r>
    </w:p>
    <w:p>
      <w:pPr>
        <w:spacing w:after="40"/>
        <w:ind w:left="425" w:hanging="425"/>
      </w:pPr>
      <w:r>
        <w:rPr>
          <w:sz w:val="20"/>
        </w:rPr>
        <w:t>[19] [作者不详]. 文化遗产数字资源建设发展进程研究——以Europeana实践为基础的研究[J]. 2026. 万方数据.</w:t>
      </w:r>
    </w:p>
    <w:p>
      <w:pPr>
        <w:spacing w:after="40"/>
        <w:ind w:left="425" w:hanging="425"/>
      </w:pPr>
      <w:r>
        <w:rPr>
          <w:sz w:val="20"/>
        </w:rPr>
        <w:t>[20] Furferi R, Di Angelo L, Bertini M, et al. Enhancing Traditional Museum Fruition: Current State and Emerging Tendencies[J]. Heritage Science, 2024, 12: 1139. DOI: 10.1186/s40494-024-01139-y.</w:t>
      </w:r>
    </w:p>
    <w:p>
      <w:pPr>
        <w:spacing w:after="40"/>
        <w:ind w:left="425" w:hanging="425"/>
      </w:pPr>
      <w:r>
        <w:rPr>
          <w:sz w:val="20"/>
        </w:rPr>
        <w:t>[21] Borin E, Donato F. Financial Sustainability of Digitizing Cultural Heritage: The International Platform Europeana[J]. Journal of Risk and Financial Management, 2023, 16(10): 421. DOI: 10.3390/jrfm16100421.</w:t>
      </w:r>
    </w:p>
    <w:p>
      <w:pPr>
        <w:spacing w:after="40"/>
        <w:ind w:left="425" w:hanging="425"/>
      </w:pPr>
      <w:r>
        <w:rPr>
          <w:sz w:val="20"/>
        </w:rPr>
        <w:t>[22] Marinković A, Mirić A, Mirić F. European Policy on Digitisation of Cultural Heritage from 2005. Onwards[C]. 2016. Semantic Scholar.</w:t>
      </w:r>
    </w:p>
    <w:p>
      <w:pPr>
        <w:spacing w:after="40"/>
        <w:ind w:left="425" w:hanging="425"/>
      </w:pPr>
      <w:r>
        <w:rPr>
          <w:sz w:val="20"/>
        </w:rPr>
        <w:t>[23] Gasmi G, Prlja D. Perspectives of Digitization of Cultural Heritage in European Countries[C]. 2020. Semantic Scholar.</w:t>
      </w:r>
    </w:p>
    <w:p>
      <w:pPr>
        <w:spacing w:after="40"/>
        <w:ind w:left="425" w:hanging="425"/>
      </w:pPr>
      <w:r>
        <w:rPr>
          <w:sz w:val="20"/>
        </w:rPr>
        <w:t>[24] Lanaro M. Aggregate Cultural Portals: un'analisi comparata dei casi Europeana e Google Cultural Institute[C]. 2015. Semantic Scholar.</w:t>
      </w:r>
    </w:p>
    <w:p>
      <w:pPr>
        <w:spacing w:after="40"/>
        <w:ind w:left="425" w:hanging="425"/>
      </w:pPr>
      <w:r>
        <w:rPr>
          <w:sz w:val="20"/>
        </w:rPr>
        <w:t>[25] [作者不详]. 文化遗产数字资源建设发展进程研究——以Europeana实践为基础的研究[J]. 2026. 万方数据.</w:t>
      </w:r>
    </w:p>
    <w:p>
      <w:pPr>
        <w:spacing w:after="40"/>
        <w:ind w:left="425" w:hanging="425"/>
      </w:pPr>
      <w:r>
        <w:rPr>
          <w:sz w:val="20"/>
        </w:rPr>
        <w:t>[26] Ababneh A. Digital Solutions for Cultural Heritage: Preservation, Interpretation, and Engagement in Line with the Venice Charter Principles[C]. Semantic Scholar, 2024.</w:t>
      </w:r>
    </w:p>
    <w:p>
      <w:pPr>
        <w:spacing w:after="40"/>
        <w:ind w:left="425" w:hanging="425"/>
      </w:pPr>
      <w:r>
        <w:rPr>
          <w:sz w:val="20"/>
        </w:rPr>
        <w:t>[27] Yáñez J P, Fraisse A. It is not Dance, is Data: Gearing Ethical Circulation of Intangible Cultural Heritage Practices in the Digital Space[C]. 2022. Semantic Scholar.</w:t>
      </w:r>
    </w:p>
    <w:p>
      <w:pPr>
        <w:spacing w:after="40"/>
        <w:ind w:left="425" w:hanging="425"/>
      </w:pPr>
      <w:r>
        <w:rPr>
          <w:sz w:val="20"/>
        </w:rPr>
        <w:t>[28] Neudecker C. Cultural Heritage as Data: Digital Curation and Artificial Intelligence in Libraries[C]. 2022. Semantic Scholar.</w:t>
      </w:r>
    </w:p>
    <w:p>
      <w:pPr>
        <w:spacing w:after="40"/>
        <w:ind w:left="425" w:hanging="425"/>
      </w:pPr>
      <w:r>
        <w:rPr>
          <w:sz w:val="20"/>
        </w:rPr>
        <w:t>[29] Borin E, Donato F. Financial Sustainability of Digitizing Cultural Heritage: The International Platform Europeana[J]. Journal of Risk and Financial Management, 2023, 16(10): 421. DOI: 10.3390/jrfm16100421.</w:t>
      </w:r>
    </w:p>
    <w:p>
      <w:pPr>
        <w:spacing w:after="40"/>
        <w:ind w:left="425" w:hanging="425"/>
      </w:pPr>
      <w:r>
        <w:rPr>
          <w:sz w:val="20"/>
        </w:rPr>
        <w:t>[5] Buratti G, Conte S, Rossi M. Artificial Intelligence, Big Data and Cultural Heritage[J]. 2021. DOI: 10.3280/oa-686.4.</w:t>
      </w:r>
    </w:p>
    <w:p>
      <w:pPr>
        <w:spacing w:after="40"/>
        <w:ind w:left="425" w:hanging="425"/>
      </w:pPr>
      <w:r>
        <w:rPr>
          <w:sz w:val="20"/>
        </w:rPr>
        <w:t>[25] Abdelmonem M G. Managing Cultural Heritage in the Digital Age[C]. Semantic Scholar, 2017.</w:t>
      </w:r>
    </w:p>
    <w:p>
      <w:pPr>
        <w:spacing w:after="40"/>
        <w:ind w:left="425" w:hanging="425"/>
      </w:pPr>
      <w:r>
        <w:rPr>
          <w:sz w:val="20"/>
        </w:rPr>
        <w:t>[27] Yáñez J P, Fraisse A. It is not Dance, is Data: Gearing Ethical Circulation of ICH in the Digital Space[C]. 2022. Semantic Scholar.</w:t>
      </w:r>
    </w:p>
    <w:p>
      <w:pPr>
        <w:spacing w:after="40"/>
        <w:ind w:left="425" w:hanging="425"/>
      </w:pPr>
      <w:r>
        <w:rPr>
          <w:sz w:val="20"/>
        </w:rPr>
        <w:t>[29] Borin E, Donato F. Financial Sustainability of Digitizing Cultural Heritage: Europeana[J]. 2023. DOI: 10.3390/jrfm16100421.</w:t>
      </w:r>
    </w:p>
    <w:p>
      <w:pPr>
        <w:spacing w:after="40"/>
        <w:ind w:left="425" w:hanging="425"/>
      </w:pPr>
      <w:r>
        <w:rPr>
          <w:sz w:val="20"/>
        </w:rPr>
        <w:t>[30] Ababneh A. Digital Solutions for Cultural Heritage: Preservation, Interpretation, and Engagement[C]. Semantic Scholar, 2024.</w:t>
      </w:r>
    </w:p>
    <w:p>
      <w:pPr>
        <w:spacing w:after="40"/>
        <w:ind w:left="425" w:hanging="425"/>
      </w:pPr>
      <w:r>
        <w:rPr>
          <w:sz w:val="20"/>
        </w:rPr>
        <w:t>[37] Tomur R. Digital Authenticity in Intangible Cultural Heritage[J]. 2024. Semantic Scholar.</w:t>
      </w:r>
    </w:p>
    <w:p>
      <w:pPr>
        <w:spacing w:after="40"/>
        <w:ind w:left="425" w:hanging="425"/>
      </w:pPr>
      <w:r>
        <w:rPr>
          <w:sz w:val="20"/>
        </w:rPr>
        <w:t>[38] Younis A. 3D Modelling Techniques for Cultural Heritage[J]. 2025. Semantic Scholar.</w:t>
      </w:r>
    </w:p>
    <w:p>
      <w:r>
        <w:br w:type="page"/>
      </w:r>
    </w:p>
    <w:p/>
    <w:p/>
    <w:p/>
    <w:p/>
    <w:p/>
    <w:p/>
    <w:p/>
    <w:p/>
    <w:p>
      <w:pPr>
        <w:jc w:val="center"/>
      </w:pPr>
      <w:r>
        <w:rPr>
          <w:b/>
          <w:color w:val="264653"/>
          <w:sz w:val="44"/>
        </w:rPr>
        <w:t>第二篇　核心技术篇</w:t>
      </w:r>
    </w:p>
    <w:p>
      <w:r>
        <w:br w:type="page"/>
      </w:r>
    </w:p>
    <w:p>
      <w:pPr>
        <w:spacing w:before="240" w:after="160"/>
      </w:pPr>
      <w:r>
        <w:rPr>
          <w:b/>
          <w:color w:val="264653"/>
          <w:sz w:val="36"/>
        </w:rPr>
        <w:t>第4章 文物三维数字化与数字典藏</w:t>
      </w:r>
    </w:p>
    <w:p>
      <w:pPr>
        <w:jc w:val="center"/>
      </w:pPr>
      <w:r>
        <w:drawing>
          <wp:inline xmlns:a="http://schemas.openxmlformats.org/drawingml/2006/main" xmlns:pic="http://schemas.openxmlformats.org/drawingml/2006/picture">
            <wp:extent cx="5029200" cy="1648225"/>
            <wp:docPr id="4" name="Picture 4"/>
            <wp:cNvGraphicFramePr>
              <a:graphicFrameLocks noChangeAspect="1"/>
            </wp:cNvGraphicFramePr>
            <a:graphic>
              <a:graphicData uri="http://schemas.openxmlformats.org/drawingml/2006/picture">
                <pic:pic>
                  <pic:nvPicPr>
                    <pic:cNvPr id="0" name="fig4_1_digitization_workflow.png"/>
                    <pic:cNvPicPr/>
                  </pic:nvPicPr>
                  <pic:blipFill>
                    <a:blip r:embed="rId12"/>
                    <a:stretch>
                      <a:fillRect/>
                    </a:stretch>
                  </pic:blipFill>
                  <pic:spPr>
                    <a:xfrm>
                      <a:off x="0" y="0"/>
                      <a:ext cx="5029200" cy="1648225"/>
                    </a:xfrm>
                    <a:prstGeom prst="rect"/>
                  </pic:spPr>
                </pic:pic>
              </a:graphicData>
            </a:graphic>
          </wp:inline>
        </w:drawing>
      </w:r>
    </w:p>
    <w:p>
      <w:pPr>
        <w:spacing w:before="200" w:after="120"/>
      </w:pPr>
      <w:r>
        <w:rPr>
          <w:b/>
          <w:color w:val="457B9D"/>
          <w:sz w:val="30"/>
        </w:rPr>
        <w:t>学习目标</w:t>
      </w:r>
    </w:p>
    <w:p>
      <w:pPr>
        <w:pStyle w:val="ListBullet"/>
      </w:pPr>
      <w:r>
        <w:rPr>
          <w:sz w:val="22"/>
        </w:rPr>
        <w:t>掌握文物三维数字化的主流技术与方法</w:t>
      </w:r>
    </w:p>
    <w:p>
      <w:pPr>
        <w:pStyle w:val="ListBullet"/>
      </w:pPr>
      <w:r>
        <w:rPr>
          <w:sz w:val="22"/>
        </w:rPr>
        <w:t>理解数字典藏的数据标准与管理流程</w:t>
      </w:r>
    </w:p>
    <w:p>
      <w:pPr>
        <w:pStyle w:val="ListBullet"/>
      </w:pPr>
      <w:r>
        <w:rPr>
          <w:sz w:val="22"/>
        </w:rPr>
        <w:t>了解国内外文物数字化典藏的典型实践</w:t>
      </w:r>
    </w:p>
    <w:p>
      <w:pPr>
        <w:pStyle w:val="ListBullet"/>
      </w:pPr>
      <w:r>
        <w:rPr>
          <w:sz w:val="22"/>
        </w:rPr>
        <w:t>能够评估不同数字化方案的适用场景</w:t>
      </w:r>
    </w:p>
    <w:p>
      <w:pPr>
        <w:spacing w:before="200" w:after="120"/>
      </w:pPr>
      <w:r>
        <w:rPr>
          <w:b/>
          <w:color w:val="457B9D"/>
          <w:sz w:val="30"/>
        </w:rPr>
        <w:t>导入案例：秦始皇兵马俑博物馆三维数字化——从激光扫描到真三维模型的完整流程</w:t>
      </w:r>
    </w:p>
    <w:p>
      <w:pPr>
        <w:spacing w:after="80" w:line="360" w:lineRule="auto"/>
        <w:ind w:firstLine="420"/>
      </w:pPr>
      <w:r>
        <w:rPr>
          <w:sz w:val="22"/>
        </w:rPr>
        <w:t>1974年发现的秦始皇兵马俑被誉为"世界第八大奇迹"，三个兵马俑坑内约有8000件陶俑、陶马。然而，兵马俑在出土后迅速面临色彩氧化、霉菌侵蚀等劣化威胁——原本彩绘的兵马俑在出土后数分钟内色彩便会脱落。为永久保存这些珍贵信息，秦始皇帝陵博物院与多家技术机构合作，对兵马俑进行系统性三维数字化。</w:t>
      </w:r>
    </w:p>
    <w:p>
      <w:pPr>
        <w:spacing w:after="80" w:line="360" w:lineRule="auto"/>
        <w:ind w:firstLine="420"/>
      </w:pPr>
      <w:r>
        <w:rPr>
          <w:sz w:val="22"/>
        </w:rPr>
        <w:t>王婷（2012）在介绍秦始皇兵马俑博物馆三维数字建模技术时指出，利用三维激光扫描技术建立文物真三维模型，通过文物真三维数据管理系统对模型进行展示、分析与研究，使全面观察研究、再现和重建遗迹及文物成为可能[1]。Ting（2012）进一步介绍了3D扫描技术在兵马俑一号坑陶俑保护中的具体应用流程[2]。Kantaros等人（2023）在综述3D打印与3D扫描在文化遗产中的应用潜力时，以博物馆珍贵雕像为例，展示了数字扫描技术如何精确捕捉文物的复杂细节[3]。</w:t>
      </w:r>
    </w:p>
    <w:p>
      <w:pPr>
        <w:spacing w:before="200" w:after="120"/>
      </w:pPr>
      <w:r>
        <w:rPr>
          <w:b/>
          <w:color w:val="457B9D"/>
          <w:sz w:val="30"/>
        </w:rPr>
        <w:t>4.1 文物三维数字化技术体系</w:t>
      </w:r>
    </w:p>
    <w:p>
      <w:pPr>
        <w:spacing w:before="160" w:after="80"/>
      </w:pPr>
      <w:r>
        <w:rPr>
          <w:b/>
          <w:color w:val="2A9D8F"/>
          <w:sz w:val="26"/>
        </w:rPr>
        <w:t>4.1.1 三维激光扫描技术原理与设备</w:t>
      </w:r>
    </w:p>
    <w:p>
      <w:pPr>
        <w:spacing w:after="80" w:line="360" w:lineRule="auto"/>
        <w:ind w:firstLine="420"/>
      </w:pPr>
      <w:r>
        <w:rPr>
          <w:sz w:val="22"/>
        </w:rPr>
        <w:t>三维激光扫描（3D Laser Scanning）通过发射激光束并测量其反射特性来确定目标表面各点的三维坐标。根据测距原理的不同，可分为脉冲式（Time of Flight, ToF）和相位差式（Phase-based）两类。脉冲式扫描仪通过测量激光脉冲的飞行时间计算距离，适用于远距离大场景扫描（如古建筑、遗址）；相位差式扫描仪通过测量发射与反射激光的相位差计算距离，精度更高但距离较短，适用于中小型文物的高精度扫描。</w:t>
      </w:r>
    </w:p>
    <w:p>
      <w:pPr>
        <w:spacing w:after="80" w:line="360" w:lineRule="auto"/>
        <w:ind w:firstLine="420"/>
      </w:pPr>
      <w:r>
        <w:rPr>
          <w:sz w:val="22"/>
        </w:rPr>
        <w:t>激光扫描仪的关键技术参数包括：测距精度（通常为0.1-2毫米）、采样率（每秒数千至数百万点）、测距范围（0.5-300米）和视场角。不同类型文物的数字化需要选择不同的设备参数组合。Kantaros等人（2023）指出，3D扫描技术在文化遗产领域展现了极高的潜力，其非接触式测量特性对脆弱文物尤为重要[3]。</w:t>
      </w:r>
    </w:p>
    <w:p>
      <w:pPr>
        <w:spacing w:after="80" w:line="360" w:lineRule="auto"/>
        <w:ind w:firstLine="420"/>
      </w:pPr>
      <w:r>
        <w:rPr>
          <w:sz w:val="22"/>
        </w:rPr>
        <w:t>在文物数字化实践中，手持式结构光扫描仪因其灵活性和高精度被广泛应用。Barszcz等人（2023）在研究虚拟博物馆3D扫描数字模型时，评估了多种手持式扫描设备在文物数字化中的表现[4]。结构光扫描通过投射已知图案（如条纹图案）到物体表面，通过分析图案变形计算三维坐标，具有扫描速度快、精度高的特点。</w:t>
      </w:r>
    </w:p>
    <w:p>
      <w:pPr>
        <w:spacing w:before="160" w:after="80"/>
      </w:pPr>
      <w:r>
        <w:rPr>
          <w:b/>
          <w:color w:val="2A9D8F"/>
          <w:sz w:val="26"/>
        </w:rPr>
        <w:t>4.1.2 结构光扫描技术</w:t>
      </w:r>
    </w:p>
    <w:p>
      <w:pPr>
        <w:spacing w:after="80" w:line="360" w:lineRule="auto"/>
        <w:ind w:firstLine="420"/>
      </w:pPr>
      <w:r>
        <w:rPr>
          <w:sz w:val="22"/>
        </w:rPr>
        <w:t>结构光扫描（Structured Light Scanning）通过投射特定图案（光栅条纹、散斑等）到目标表面，由摄像头捕捉变形后的图案，通过三角测量原理计算深度信息。与激光扫描相比，结构光扫描具有以下特点：</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D9E2EC"/>
          </w:tcPr>
          <w:p>
            <w:pPr>
              <w:spacing w:before="40" w:after="40"/>
            </w:pPr>
            <w:r>
              <w:rPr>
                <w:b/>
                <w:sz w:val="20"/>
              </w:rPr>
            </w:r>
            <w:r>
              <w:rPr>
                <w:b/>
                <w:sz w:val="20"/>
              </w:rPr>
              <w:t>特性</w:t>
            </w:r>
          </w:p>
        </w:tc>
        <w:tc>
          <w:tcPr>
            <w:tcW w:type="dxa" w:w="2835"/>
            <w:shd w:val="clear" w:color="auto" w:fill="D9E2EC"/>
          </w:tcPr>
          <w:p>
            <w:pPr>
              <w:spacing w:before="40" w:after="40"/>
            </w:pPr>
            <w:r>
              <w:rPr>
                <w:b/>
                <w:sz w:val="20"/>
              </w:rPr>
            </w:r>
            <w:r>
              <w:rPr>
                <w:b/>
                <w:sz w:val="20"/>
              </w:rPr>
              <w:t>结构光扫描</w:t>
            </w:r>
          </w:p>
        </w:tc>
        <w:tc>
          <w:tcPr>
            <w:tcW w:type="dxa" w:w="2835"/>
            <w:shd w:val="clear" w:color="auto" w:fill="D9E2EC"/>
          </w:tcPr>
          <w:p>
            <w:pPr>
              <w:spacing w:before="40" w:after="40"/>
            </w:pPr>
            <w:r>
              <w:rPr>
                <w:b/>
                <w:sz w:val="20"/>
              </w:rPr>
            </w:r>
            <w:r>
              <w:rPr>
                <w:b/>
                <w:sz w:val="20"/>
              </w:rPr>
              <w:t>三维激光扫描</w:t>
            </w:r>
          </w:p>
        </w:tc>
      </w:tr>
      <w:tr>
        <w:tc>
          <w:tcPr>
            <w:tcW w:type="dxa" w:w="2835"/>
          </w:tcPr>
          <w:p>
            <w:pPr>
              <w:spacing w:before="40" w:after="40"/>
            </w:pPr>
            <w:r>
              <w:rPr>
                <w:sz w:val="20"/>
              </w:rPr>
            </w:r>
            <w:r>
              <w:rPr>
                <w:sz w:val="20"/>
              </w:rPr>
              <w:t>原理</w:t>
            </w:r>
          </w:p>
        </w:tc>
        <w:tc>
          <w:tcPr>
            <w:tcW w:type="dxa" w:w="2835"/>
          </w:tcPr>
          <w:p>
            <w:pPr>
              <w:spacing w:before="40" w:after="40"/>
            </w:pPr>
            <w:r>
              <w:rPr>
                <w:sz w:val="20"/>
              </w:rPr>
            </w:r>
            <w:r>
              <w:rPr>
                <w:sz w:val="20"/>
              </w:rPr>
              <w:t>投影已知图案+三角测量</w:t>
            </w:r>
          </w:p>
        </w:tc>
        <w:tc>
          <w:tcPr>
            <w:tcW w:type="dxa" w:w="2835"/>
          </w:tcPr>
          <w:p>
            <w:pPr>
              <w:spacing w:before="40" w:after="40"/>
            </w:pPr>
            <w:r>
              <w:rPr>
                <w:sz w:val="20"/>
              </w:rPr>
            </w:r>
            <w:r>
              <w:rPr>
                <w:sz w:val="20"/>
              </w:rPr>
              <w:t>激光飞行时间/相位差</w:t>
            </w:r>
          </w:p>
        </w:tc>
      </w:tr>
      <w:tr>
        <w:tc>
          <w:tcPr>
            <w:tcW w:type="dxa" w:w="2835"/>
            <w:shd w:val="clear" w:color="auto" w:fill="F5F5F5"/>
          </w:tcPr>
          <w:p>
            <w:pPr>
              <w:spacing w:before="40" w:after="40"/>
            </w:pPr>
            <w:r>
              <w:rPr>
                <w:sz w:val="20"/>
              </w:rPr>
            </w:r>
            <w:r>
              <w:rPr>
                <w:sz w:val="20"/>
              </w:rPr>
              <w:t>精度</w:t>
            </w:r>
          </w:p>
        </w:tc>
        <w:tc>
          <w:tcPr>
            <w:tcW w:type="dxa" w:w="2835"/>
            <w:shd w:val="clear" w:color="auto" w:fill="F5F5F5"/>
          </w:tcPr>
          <w:p>
            <w:pPr>
              <w:spacing w:before="40" w:after="40"/>
            </w:pPr>
            <w:r>
              <w:rPr>
                <w:sz w:val="20"/>
              </w:rPr>
            </w:r>
            <w:r>
              <w:rPr>
                <w:sz w:val="20"/>
              </w:rPr>
              <w:t>高（0.02-0.1mm）</w:t>
            </w:r>
          </w:p>
        </w:tc>
        <w:tc>
          <w:tcPr>
            <w:tcW w:type="dxa" w:w="2835"/>
            <w:shd w:val="clear" w:color="auto" w:fill="F5F5F5"/>
          </w:tcPr>
          <w:p>
            <w:pPr>
              <w:spacing w:before="40" w:after="40"/>
            </w:pPr>
            <w:r>
              <w:rPr>
                <w:sz w:val="20"/>
              </w:rPr>
            </w:r>
            <w:r>
              <w:rPr>
                <w:sz w:val="20"/>
              </w:rPr>
              <w:t>中高（0.1-2mm）</w:t>
            </w:r>
          </w:p>
        </w:tc>
      </w:tr>
      <w:tr>
        <w:tc>
          <w:tcPr>
            <w:tcW w:type="dxa" w:w="2835"/>
          </w:tcPr>
          <w:p>
            <w:pPr>
              <w:spacing w:before="40" w:after="40"/>
            </w:pPr>
            <w:r>
              <w:rPr>
                <w:sz w:val="20"/>
              </w:rPr>
            </w:r>
            <w:r>
              <w:rPr>
                <w:sz w:val="20"/>
              </w:rPr>
              <w:t>速度</w:t>
            </w:r>
          </w:p>
        </w:tc>
        <w:tc>
          <w:tcPr>
            <w:tcW w:type="dxa" w:w="2835"/>
          </w:tcPr>
          <w:p>
            <w:pPr>
              <w:spacing w:before="40" w:after="40"/>
            </w:pPr>
            <w:r>
              <w:rPr>
                <w:sz w:val="20"/>
              </w:rPr>
            </w:r>
            <w:r>
              <w:rPr>
                <w:sz w:val="20"/>
              </w:rPr>
              <w:t>快（百万点/秒）</w:t>
            </w:r>
          </w:p>
        </w:tc>
        <w:tc>
          <w:tcPr>
            <w:tcW w:type="dxa" w:w="2835"/>
          </w:tcPr>
          <w:p>
            <w:pPr>
              <w:spacing w:before="40" w:after="40"/>
            </w:pPr>
            <w:r>
              <w:rPr>
                <w:sz w:val="20"/>
              </w:rPr>
            </w:r>
            <w:r>
              <w:rPr>
                <w:sz w:val="20"/>
              </w:rPr>
              <w:t>中（数千至百万点/秒）</w:t>
            </w:r>
          </w:p>
        </w:tc>
      </w:tr>
      <w:tr>
        <w:tc>
          <w:tcPr>
            <w:tcW w:type="dxa" w:w="2835"/>
            <w:shd w:val="clear" w:color="auto" w:fill="F5F5F5"/>
          </w:tcPr>
          <w:p>
            <w:pPr>
              <w:spacing w:before="40" w:after="40"/>
            </w:pPr>
            <w:r>
              <w:rPr>
                <w:sz w:val="20"/>
              </w:rPr>
            </w:r>
            <w:r>
              <w:rPr>
                <w:sz w:val="20"/>
              </w:rPr>
              <w:t>环境要求</w:t>
            </w:r>
          </w:p>
        </w:tc>
        <w:tc>
          <w:tcPr>
            <w:tcW w:type="dxa" w:w="2835"/>
            <w:shd w:val="clear" w:color="auto" w:fill="F5F5F5"/>
          </w:tcPr>
          <w:p>
            <w:pPr>
              <w:spacing w:before="40" w:after="40"/>
            </w:pPr>
            <w:r>
              <w:rPr>
                <w:sz w:val="20"/>
              </w:rPr>
            </w:r>
            <w:r>
              <w:rPr>
                <w:sz w:val="20"/>
              </w:rPr>
              <w:t>对环境光敏感</w:t>
            </w:r>
          </w:p>
        </w:tc>
        <w:tc>
          <w:tcPr>
            <w:tcW w:type="dxa" w:w="2835"/>
            <w:shd w:val="clear" w:color="auto" w:fill="F5F5F5"/>
          </w:tcPr>
          <w:p>
            <w:pPr>
              <w:spacing w:before="40" w:after="40"/>
            </w:pPr>
            <w:r>
              <w:rPr>
                <w:sz w:val="20"/>
              </w:rPr>
            </w:r>
            <w:r>
              <w:rPr>
                <w:sz w:val="20"/>
              </w:rPr>
              <w:t>抗环境光干扰强</w:t>
            </w:r>
          </w:p>
        </w:tc>
      </w:tr>
      <w:tr>
        <w:tc>
          <w:tcPr>
            <w:tcW w:type="dxa" w:w="2835"/>
          </w:tcPr>
          <w:p>
            <w:pPr>
              <w:spacing w:before="40" w:after="40"/>
            </w:pPr>
            <w:r>
              <w:rPr>
                <w:sz w:val="20"/>
              </w:rPr>
            </w:r>
            <w:r>
              <w:rPr>
                <w:sz w:val="20"/>
              </w:rPr>
              <w:t>适用对象</w:t>
            </w:r>
          </w:p>
        </w:tc>
        <w:tc>
          <w:tcPr>
            <w:tcW w:type="dxa" w:w="2835"/>
          </w:tcPr>
          <w:p>
            <w:pPr>
              <w:spacing w:before="40" w:after="40"/>
            </w:pPr>
            <w:r>
              <w:rPr>
                <w:sz w:val="20"/>
              </w:rPr>
            </w:r>
            <w:r>
              <w:rPr>
                <w:sz w:val="20"/>
              </w:rPr>
              <w:t>中小型文物</w:t>
            </w:r>
          </w:p>
        </w:tc>
        <w:tc>
          <w:tcPr>
            <w:tcW w:type="dxa" w:w="2835"/>
          </w:tcPr>
          <w:p>
            <w:pPr>
              <w:spacing w:before="40" w:after="40"/>
            </w:pPr>
            <w:r>
              <w:rPr>
                <w:sz w:val="20"/>
              </w:rPr>
            </w:r>
            <w:r>
              <w:rPr>
                <w:sz w:val="20"/>
              </w:rPr>
              <w:t>大中型文物/建筑</w:t>
            </w:r>
          </w:p>
        </w:tc>
      </w:tr>
      <w:tr>
        <w:tc>
          <w:tcPr>
            <w:tcW w:type="dxa" w:w="2835"/>
            <w:shd w:val="clear" w:color="auto" w:fill="F5F5F5"/>
          </w:tcPr>
          <w:p>
            <w:pPr>
              <w:spacing w:before="40" w:after="40"/>
            </w:pPr>
            <w:r>
              <w:rPr>
                <w:sz w:val="20"/>
              </w:rPr>
            </w:r>
            <w:r>
              <w:rPr>
                <w:sz w:val="20"/>
              </w:rPr>
              <w:t>对表面要求</w:t>
            </w:r>
          </w:p>
        </w:tc>
        <w:tc>
          <w:tcPr>
            <w:tcW w:type="dxa" w:w="2835"/>
            <w:shd w:val="clear" w:color="auto" w:fill="F5F5F5"/>
          </w:tcPr>
          <w:p>
            <w:pPr>
              <w:spacing w:before="40" w:after="40"/>
            </w:pPr>
            <w:r>
              <w:rPr>
                <w:sz w:val="20"/>
              </w:rPr>
            </w:r>
            <w:r>
              <w:rPr>
                <w:sz w:val="20"/>
              </w:rPr>
              <w:t>避免反光/透明</w:t>
            </w:r>
          </w:p>
        </w:tc>
        <w:tc>
          <w:tcPr>
            <w:tcW w:type="dxa" w:w="2835"/>
            <w:shd w:val="clear" w:color="auto" w:fill="F5F5F5"/>
          </w:tcPr>
          <w:p>
            <w:pPr>
              <w:spacing w:before="40" w:after="40"/>
            </w:pPr>
            <w:r>
              <w:rPr>
                <w:sz w:val="20"/>
              </w:rPr>
            </w:r>
            <w:r>
              <w:rPr>
                <w:sz w:val="20"/>
              </w:rPr>
              <w:t>适应性较强</w:t>
            </w:r>
          </w:p>
        </w:tc>
      </w:tr>
    </w:tbl>
    <w:p>
      <w:pPr>
        <w:spacing w:after="80" w:line="360" w:lineRule="auto"/>
        <w:ind w:firstLine="420"/>
      </w:pPr>
      <w:r>
        <w:rPr>
          <w:sz w:val="22"/>
        </w:rPr>
        <w:t>姚增凯（2014）在研究基于逆向工程技术的文物数字化建模时，指出文物表面纹理往往较为复杂，其曲面的精确获取具有一定难度，如何快速准确获取文物的三维模型成为文物数字化过程中的关键[5]。</w:t>
      </w:r>
    </w:p>
    <w:p>
      <w:pPr>
        <w:spacing w:before="160" w:after="80"/>
      </w:pPr>
      <w:r>
        <w:rPr>
          <w:b/>
          <w:color w:val="2A9D8F"/>
          <w:sz w:val="26"/>
        </w:rPr>
        <w:t>4.1.3 摄影测量法（Structure from Motion）</w:t>
      </w:r>
    </w:p>
    <w:p>
      <w:pPr>
        <w:spacing w:after="80" w:line="360" w:lineRule="auto"/>
        <w:ind w:firstLine="420"/>
      </w:pPr>
      <w:r>
        <w:rPr>
          <w:sz w:val="22"/>
        </w:rPr>
        <w:t>摄影测量法（SfM）是通过多张从不同角度拍摄的重叠照片重建三维模型的技术。其核心原理是：同一物体从不同视角拍摄的多张照片中存在同名点（对应同一物理点的像素），通过这些同名点的视差可以反推三维坐标。</w:t>
      </w:r>
    </w:p>
    <w:p>
      <w:pPr>
        <w:spacing w:after="80" w:line="360" w:lineRule="auto"/>
        <w:ind w:firstLine="420"/>
      </w:pPr>
      <w:r>
        <w:rPr>
          <w:sz w:val="22"/>
        </w:rPr>
        <w:t>Farella等人（2022）在分析博物馆文物3D数字化的摄影测量流程关键步骤时，系统评估了拍摄设置、图像选取、特征匹配、密集点云生成、网格重建和纹理映射各环节对最终模型质量的影响[6]。Koutsoudis等人（2014）在评估多图像3D重建数据质量时，提出了摄影测量法在文化遗产数字化中的质量评估标准[7]。</w:t>
      </w:r>
    </w:p>
    <w:p>
      <w:pPr>
        <w:spacing w:after="80" w:line="360" w:lineRule="auto"/>
        <w:ind w:firstLine="420"/>
      </w:pPr>
      <w:r>
        <w:rPr>
          <w:sz w:val="22"/>
        </w:rPr>
        <w:t>摄影测量法的优势在于设备成本低（仅需数码相机）、色彩还原度高、适用范围广。Larue等人（2012）在介绍从文化文物数字化到3D收藏网络发布的自动流程时，展示了一种集成摄影测量和自动发布的管理管线[8]。Micoli等人（2018）在文化遗产纪念物的3D数据集成与数字重建研究中，指出摄影测量与激光扫描的数据融合可以兼顾精度和色彩质量[9]。</w:t>
      </w:r>
    </w:p>
    <w:p>
      <w:pPr>
        <w:spacing w:before="160" w:after="80"/>
      </w:pPr>
      <w:r>
        <w:rPr>
          <w:b/>
          <w:color w:val="2A9D8F"/>
          <w:sz w:val="26"/>
        </w:rPr>
        <w:t>4.1.4 多模态融合采集</w:t>
      </w:r>
    </w:p>
    <w:p>
      <w:pPr>
        <w:spacing w:after="80" w:line="360" w:lineRule="auto"/>
        <w:ind w:firstLine="420"/>
      </w:pPr>
      <w:r>
        <w:rPr>
          <w:sz w:val="22"/>
        </w:rPr>
        <w:t>单一采集技术各有局限：激光扫描精度高但色彩差，摄影测量色彩好但精度稍逊，多光谱成像能显示隐藏信息但只有二维数据。多模态融合采集将多种技术组合使用，取长补短，获取最完整的文物数字信息。</w:t>
      </w:r>
    </w:p>
    <w:p>
      <w:pPr>
        <w:spacing w:after="80" w:line="360" w:lineRule="auto"/>
        <w:ind w:firstLine="420"/>
      </w:pPr>
      <w:r>
        <w:rPr>
          <w:sz w:val="22"/>
        </w:rPr>
        <w:t>典型的多模态融合方案包括：激光扫描获取高精度几何数据+摄影测量获取高质量纹理+多光谱成像获取隐藏信息。Altuntas等人（2007）在研究激光扫描详细历史遗产测绘时，展示了激光扫描与摄影测量数据融合的技术路径[10]。M'Darhri等人（2019）在探讨3D在人文社科中的共享、发布、存储、保存方法论时，提出了多源数据融合的标准化框架[11]。</w:t>
      </w:r>
    </w:p>
    <w:p>
      <w:pPr>
        <w:spacing w:before="200" w:after="120"/>
      </w:pPr>
      <w:r>
        <w:rPr>
          <w:b/>
          <w:color w:val="457B9D"/>
          <w:sz w:val="30"/>
        </w:rPr>
        <w:t>4.2 文物数字化建模流程</w:t>
      </w:r>
    </w:p>
    <w:p>
      <w:pPr>
        <w:spacing w:before="160" w:after="80"/>
      </w:pPr>
      <w:r>
        <w:rPr>
          <w:b/>
          <w:color w:val="2A9D8F"/>
          <w:sz w:val="26"/>
        </w:rPr>
        <w:t>4.2.1 点云数据采集与预处理</w:t>
      </w:r>
    </w:p>
    <w:p>
      <w:pPr>
        <w:spacing w:after="80" w:line="360" w:lineRule="auto"/>
        <w:ind w:firstLine="420"/>
      </w:pPr>
      <w:r>
        <w:rPr>
          <w:sz w:val="22"/>
        </w:rPr>
        <w:t>点云数据采集是文物数字化的第一步。对于大型文物或建筑，需要从多个位置（"测站"）进行扫描，然后将各站数据"配准"（registration）为统一的坐标系。配准方法分为粗配准（基于标志点或手动选取同名点）和精配准（如ICP算法——迭代最近点法）。</w:t>
      </w:r>
    </w:p>
    <w:p>
      <w:pPr>
        <w:spacing w:after="80" w:line="360" w:lineRule="auto"/>
        <w:ind w:firstLine="420"/>
      </w:pPr>
      <w:r>
        <w:rPr>
          <w:sz w:val="22"/>
        </w:rPr>
        <w:t>预处理步骤包括：去噪（去除飞点、杂散点）、降采样（在保持特征的前提下减少数据量）、补孔（对遮挡区域进行数据补全）。孙月霞等人（2020）在研究基于点云数据的文物修复与建模时，提出利用Geomagic Studio软件对文物三维激光扫描点云数据进行模型重构，创新性地实现了文字、图腾数字化和文物形态特征数字化[12]。</w:t>
      </w:r>
    </w:p>
    <w:p>
      <w:pPr>
        <w:spacing w:before="160" w:after="80"/>
      </w:pPr>
      <w:r>
        <w:rPr>
          <w:b/>
          <w:color w:val="2A9D8F"/>
          <w:sz w:val="26"/>
        </w:rPr>
        <w:t>4.2.2 网格重建与模型优化</w:t>
      </w:r>
    </w:p>
    <w:p>
      <w:pPr>
        <w:spacing w:after="80" w:line="360" w:lineRule="auto"/>
        <w:ind w:firstLine="420"/>
      </w:pPr>
      <w:r>
        <w:rPr>
          <w:sz w:val="22"/>
        </w:rPr>
        <w:t>点云数据转化为网格模型的过程称为"网格重建"（Mesh Reconstruction）。最常用的算法是泊松重建（Poisson Surface Reconstruction）和Delaunay三角化。网格重建后需要进行模型优化：简化（减少三角面片数量以降低数据量）、平滑（消除扫描噪声导致的表面粗糙）、修复（修补孔洞、修复非流形边等拓扑错误）。</w:t>
      </w:r>
    </w:p>
    <w:p>
      <w:pPr>
        <w:spacing w:before="160" w:after="80"/>
      </w:pPr>
      <w:r>
        <w:rPr>
          <w:b/>
          <w:color w:val="2A9D8F"/>
          <w:sz w:val="26"/>
        </w:rPr>
        <w:t>4.2.3 纹理映射与色彩还原</w:t>
      </w:r>
    </w:p>
    <w:p>
      <w:pPr>
        <w:spacing w:after="80" w:line="360" w:lineRule="auto"/>
        <w:ind w:firstLine="420"/>
      </w:pPr>
      <w:r>
        <w:rPr>
          <w:sz w:val="22"/>
        </w:rPr>
        <w:t>纹理映射（Texture Mapping）是将高分辨率照片的色彩信息"贴"到三维网格模型表面的过程。这一步骤对文物的数字展示效果至关重要——一个没有纹理的白色模型远不如带色彩的模型直观和真实。</w:t>
      </w:r>
    </w:p>
    <w:p>
      <w:pPr>
        <w:spacing w:after="80" w:line="360" w:lineRule="auto"/>
        <w:ind w:firstLine="420"/>
      </w:pPr>
      <w:r>
        <w:rPr>
          <w:sz w:val="22"/>
        </w:rPr>
        <w:t>张瑞等人（2007）在研究文物数字化关键技术时，给出了以网格模型与彩色图像之间的纹理映射方法——根据一个透视投影模型，利用文物网格模型和各幅图像之间手工标记的特征对应来求解图像与模型间的纹理映射[13]。现代纹理映射技术已发展到全自动UV展开和PBR（基于物理的渲染）材质阶段，能够模拟文物表面的微观粗糙度和光泽变化。</w:t>
      </w:r>
    </w:p>
    <w:p>
      <w:pPr>
        <w:spacing w:before="160" w:after="80"/>
      </w:pPr>
      <w:r>
        <w:rPr>
          <w:b/>
          <w:color w:val="2A9D8F"/>
          <w:sz w:val="26"/>
        </w:rPr>
        <w:t>4.2.4 模型质量评估标准</w:t>
      </w:r>
    </w:p>
    <w:p>
      <w:pPr>
        <w:spacing w:after="80" w:line="360" w:lineRule="auto"/>
        <w:ind w:firstLine="420"/>
      </w:pPr>
      <w:r>
        <w:rPr>
          <w:sz w:val="22"/>
        </w:rPr>
        <w:t>文物三维模型的质量评估应包含以下维度：</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D9E2EC"/>
          </w:tcPr>
          <w:p>
            <w:pPr>
              <w:spacing w:before="40" w:after="40"/>
            </w:pPr>
            <w:r>
              <w:rPr>
                <w:b/>
                <w:sz w:val="20"/>
              </w:rPr>
            </w:r>
            <w:r>
              <w:rPr>
                <w:b/>
                <w:sz w:val="20"/>
              </w:rPr>
              <w:t>评估维度</w:t>
            </w:r>
          </w:p>
        </w:tc>
        <w:tc>
          <w:tcPr>
            <w:tcW w:type="dxa" w:w="2835"/>
            <w:shd w:val="clear" w:color="auto" w:fill="D9E2EC"/>
          </w:tcPr>
          <w:p>
            <w:pPr>
              <w:spacing w:before="40" w:after="40"/>
            </w:pPr>
            <w:r>
              <w:rPr>
                <w:b/>
                <w:sz w:val="20"/>
              </w:rPr>
            </w:r>
            <w:r>
              <w:rPr>
                <w:b/>
                <w:sz w:val="20"/>
              </w:rPr>
              <w:t>指标</w:t>
            </w:r>
          </w:p>
        </w:tc>
        <w:tc>
          <w:tcPr>
            <w:tcW w:type="dxa" w:w="2835"/>
            <w:shd w:val="clear" w:color="auto" w:fill="D9E2EC"/>
          </w:tcPr>
          <w:p>
            <w:pPr>
              <w:spacing w:before="40" w:after="40"/>
            </w:pPr>
            <w:r>
              <w:rPr>
                <w:b/>
                <w:sz w:val="20"/>
              </w:rPr>
            </w:r>
            <w:r>
              <w:rPr>
                <w:b/>
                <w:sz w:val="20"/>
              </w:rPr>
              <w:t>检验方法</w:t>
            </w:r>
          </w:p>
        </w:tc>
      </w:tr>
      <w:tr>
        <w:tc>
          <w:tcPr>
            <w:tcW w:type="dxa" w:w="2835"/>
          </w:tcPr>
          <w:p>
            <w:pPr>
              <w:spacing w:before="40" w:after="40"/>
            </w:pPr>
            <w:r>
              <w:rPr>
                <w:sz w:val="20"/>
              </w:rPr>
            </w:r>
            <w:r>
              <w:rPr>
                <w:sz w:val="20"/>
              </w:rPr>
              <w:t>几何精度</w:t>
            </w:r>
          </w:p>
        </w:tc>
        <w:tc>
          <w:tcPr>
            <w:tcW w:type="dxa" w:w="2835"/>
          </w:tcPr>
          <w:p>
            <w:pPr>
              <w:spacing w:before="40" w:after="40"/>
            </w:pPr>
            <w:r>
              <w:rPr>
                <w:sz w:val="20"/>
              </w:rPr>
            </w:r>
            <w:r>
              <w:rPr>
                <w:sz w:val="20"/>
              </w:rPr>
              <w:t>与实物偏差（mm）</w:t>
            </w:r>
          </w:p>
        </w:tc>
        <w:tc>
          <w:tcPr>
            <w:tcW w:type="dxa" w:w="2835"/>
          </w:tcPr>
          <w:p>
            <w:pPr>
              <w:spacing w:before="40" w:after="40"/>
            </w:pPr>
            <w:r>
              <w:rPr>
                <w:sz w:val="20"/>
              </w:rPr>
            </w:r>
            <w:r>
              <w:rPr>
                <w:sz w:val="20"/>
              </w:rPr>
              <w:t>与标准量块或CMM数据对比</w:t>
            </w:r>
          </w:p>
        </w:tc>
      </w:tr>
      <w:tr>
        <w:tc>
          <w:tcPr>
            <w:tcW w:type="dxa" w:w="2835"/>
            <w:shd w:val="clear" w:color="auto" w:fill="F5F5F5"/>
          </w:tcPr>
          <w:p>
            <w:pPr>
              <w:spacing w:before="40" w:after="40"/>
            </w:pPr>
            <w:r>
              <w:rPr>
                <w:sz w:val="20"/>
              </w:rPr>
            </w:r>
            <w:r>
              <w:rPr>
                <w:sz w:val="20"/>
              </w:rPr>
              <w:t>纹理质量</w:t>
            </w:r>
          </w:p>
        </w:tc>
        <w:tc>
          <w:tcPr>
            <w:tcW w:type="dxa" w:w="2835"/>
            <w:shd w:val="clear" w:color="auto" w:fill="F5F5F5"/>
          </w:tcPr>
          <w:p>
            <w:pPr>
              <w:spacing w:before="40" w:after="40"/>
            </w:pPr>
            <w:r>
              <w:rPr>
                <w:sz w:val="20"/>
              </w:rPr>
            </w:r>
            <w:r>
              <w:rPr>
                <w:sz w:val="20"/>
              </w:rPr>
              <w:t>分辨率、色彩还原度</w:t>
            </w:r>
          </w:p>
        </w:tc>
        <w:tc>
          <w:tcPr>
            <w:tcW w:type="dxa" w:w="2835"/>
            <w:shd w:val="clear" w:color="auto" w:fill="F5F5F5"/>
          </w:tcPr>
          <w:p>
            <w:pPr>
              <w:spacing w:before="40" w:after="40"/>
            </w:pPr>
            <w:r>
              <w:rPr>
                <w:sz w:val="20"/>
              </w:rPr>
            </w:r>
            <w:r>
              <w:rPr>
                <w:sz w:val="20"/>
              </w:rPr>
              <w:t>色差分析（ΔE值）</w:t>
            </w:r>
          </w:p>
        </w:tc>
      </w:tr>
      <w:tr>
        <w:tc>
          <w:tcPr>
            <w:tcW w:type="dxa" w:w="2835"/>
          </w:tcPr>
          <w:p>
            <w:pPr>
              <w:spacing w:before="40" w:after="40"/>
            </w:pPr>
            <w:r>
              <w:rPr>
                <w:sz w:val="20"/>
              </w:rPr>
            </w:r>
            <w:r>
              <w:rPr>
                <w:sz w:val="20"/>
              </w:rPr>
              <w:t>拓扑质量</w:t>
            </w:r>
          </w:p>
        </w:tc>
        <w:tc>
          <w:tcPr>
            <w:tcW w:type="dxa" w:w="2835"/>
          </w:tcPr>
          <w:p>
            <w:pPr>
              <w:spacing w:before="40" w:after="40"/>
            </w:pPr>
            <w:r>
              <w:rPr>
                <w:sz w:val="20"/>
              </w:rPr>
            </w:r>
            <w:r>
              <w:rPr>
                <w:sz w:val="20"/>
              </w:rPr>
              <w:t>流形性、连续性</w:t>
            </w:r>
          </w:p>
        </w:tc>
        <w:tc>
          <w:tcPr>
            <w:tcW w:type="dxa" w:w="2835"/>
          </w:tcPr>
          <w:p>
            <w:pPr>
              <w:spacing w:before="40" w:after="40"/>
            </w:pPr>
            <w:r>
              <w:rPr>
                <w:sz w:val="20"/>
              </w:rPr>
            </w:r>
            <w:r>
              <w:rPr>
                <w:sz w:val="20"/>
              </w:rPr>
              <w:t>网格检查工具</w:t>
            </w:r>
          </w:p>
        </w:tc>
      </w:tr>
      <w:tr>
        <w:tc>
          <w:tcPr>
            <w:tcW w:type="dxa" w:w="2835"/>
            <w:shd w:val="clear" w:color="auto" w:fill="F5F5F5"/>
          </w:tcPr>
          <w:p>
            <w:pPr>
              <w:spacing w:before="40" w:after="40"/>
            </w:pPr>
            <w:r>
              <w:rPr>
                <w:sz w:val="20"/>
              </w:rPr>
            </w:r>
            <w:r>
              <w:rPr>
                <w:sz w:val="20"/>
              </w:rPr>
              <w:t>完整性</w:t>
            </w:r>
          </w:p>
        </w:tc>
        <w:tc>
          <w:tcPr>
            <w:tcW w:type="dxa" w:w="2835"/>
            <w:shd w:val="clear" w:color="auto" w:fill="F5F5F5"/>
          </w:tcPr>
          <w:p>
            <w:pPr>
              <w:spacing w:before="40" w:after="40"/>
            </w:pPr>
            <w:r>
              <w:rPr>
                <w:sz w:val="20"/>
              </w:rPr>
            </w:r>
            <w:r>
              <w:rPr>
                <w:sz w:val="20"/>
              </w:rPr>
              <w:t>覆盖率、遮挡率</w:t>
            </w:r>
          </w:p>
        </w:tc>
        <w:tc>
          <w:tcPr>
            <w:tcW w:type="dxa" w:w="2835"/>
            <w:shd w:val="clear" w:color="auto" w:fill="F5F5F5"/>
          </w:tcPr>
          <w:p>
            <w:pPr>
              <w:spacing w:before="40" w:after="40"/>
            </w:pPr>
            <w:r>
              <w:rPr>
                <w:sz w:val="20"/>
              </w:rPr>
            </w:r>
            <w:r>
              <w:rPr>
                <w:sz w:val="20"/>
              </w:rPr>
              <w:t>面积覆盖率统计</w:t>
            </w:r>
          </w:p>
        </w:tc>
      </w:tr>
      <w:tr>
        <w:tc>
          <w:tcPr>
            <w:tcW w:type="dxa" w:w="2835"/>
          </w:tcPr>
          <w:p>
            <w:pPr>
              <w:spacing w:before="40" w:after="40"/>
            </w:pPr>
            <w:r>
              <w:rPr>
                <w:sz w:val="20"/>
              </w:rPr>
            </w:r>
            <w:r>
              <w:rPr>
                <w:sz w:val="20"/>
              </w:rPr>
              <w:t>可用性</w:t>
            </w:r>
          </w:p>
        </w:tc>
        <w:tc>
          <w:tcPr>
            <w:tcW w:type="dxa" w:w="2835"/>
          </w:tcPr>
          <w:p>
            <w:pPr>
              <w:spacing w:before="40" w:after="40"/>
            </w:pPr>
            <w:r>
              <w:rPr>
                <w:sz w:val="20"/>
              </w:rPr>
            </w:r>
            <w:r>
              <w:rPr>
                <w:sz w:val="20"/>
              </w:rPr>
              <w:t>文件格式兼容性、加载速度</w:t>
            </w:r>
          </w:p>
        </w:tc>
        <w:tc>
          <w:tcPr>
            <w:tcW w:type="dxa" w:w="2835"/>
          </w:tcPr>
          <w:p>
            <w:pPr>
              <w:spacing w:before="40" w:after="40"/>
            </w:pPr>
            <w:r>
              <w:rPr>
                <w:sz w:val="20"/>
              </w:rPr>
            </w:r>
            <w:r>
              <w:rPr>
                <w:sz w:val="20"/>
              </w:rPr>
              <w:t>多平台测试</w:t>
            </w:r>
          </w:p>
        </w:tc>
      </w:tr>
    </w:tbl>
    <w:p>
      <w:pPr>
        <w:spacing w:before="200" w:after="120"/>
      </w:pPr>
      <w:r>
        <w:rPr>
          <w:b/>
          <w:color w:val="457B9D"/>
          <w:sz w:val="30"/>
        </w:rPr>
        <w:t>4.3 数字典藏库建设与管理</w:t>
      </w:r>
    </w:p>
    <w:p>
      <w:pPr>
        <w:spacing w:before="160" w:after="80"/>
      </w:pPr>
      <w:r>
        <w:rPr>
          <w:b/>
          <w:color w:val="2A9D8F"/>
          <w:sz w:val="26"/>
        </w:rPr>
        <w:t>4.3.1 数字典藏元数据标准</w:t>
      </w:r>
    </w:p>
    <w:p>
      <w:pPr>
        <w:spacing w:after="80" w:line="360" w:lineRule="auto"/>
        <w:ind w:firstLine="420"/>
      </w:pPr>
      <w:r>
        <w:rPr>
          <w:sz w:val="22"/>
        </w:rPr>
        <w:t>元数据（Metadata）是描述数字资源的数据，是数字典藏库可检索、可互操作的基础。文化遗产领域的主要元数据标准包括：</w:t>
      </w:r>
    </w:p>
    <w:p>
      <w:pPr>
        <w:spacing w:after="80" w:line="360" w:lineRule="auto"/>
        <w:ind w:firstLine="420"/>
      </w:pPr>
      <w:r>
        <w:rPr>
          <w:b/>
          <w:sz w:val="22"/>
        </w:rPr>
        <w:t>CIDOC-CRM</w:t>
      </w:r>
      <w:r>
        <w:rPr>
          <w:sz w:val="22"/>
        </w:rPr>
        <w:t>（Conceptual Reference Model）：国际博物馆协会（ICOM）下属的CIDOC委员会制定的概念参考模型，是文化遗产领域最权威的领域本体。Faraj和Micsik（2021）在研究CIDOC-CRM本体中文化遗产知识图谱的表示与验证时，指出CIDOC-CRM提供了描述文化遗产实体和事件的标准化概念框架[14]。</w:t>
      </w:r>
    </w:p>
    <w:p>
      <w:pPr>
        <w:spacing w:after="80" w:line="360" w:lineRule="auto"/>
        <w:ind w:firstLine="420"/>
      </w:pPr>
      <w:r>
        <w:rPr>
          <w:b/>
          <w:sz w:val="22"/>
        </w:rPr>
        <w:t>Dublin Core</w:t>
      </w:r>
      <w:r>
        <w:rPr>
          <w:sz w:val="22"/>
        </w:rPr>
        <w:t>：15个核心元数据元素（标题、创建者、主题、描述、出版者、贡献者、日期、类型、格式、标识符、来源、语言、关联、覆盖范围、权限），简单通用，是文化遗产数字资源的最低元数据要求。</w:t>
      </w:r>
    </w:p>
    <w:p>
      <w:pPr>
        <w:spacing w:after="80" w:line="360" w:lineRule="auto"/>
        <w:ind w:firstLine="420"/>
      </w:pPr>
      <w:r>
        <w:rPr>
          <w:b/>
          <w:sz w:val="22"/>
        </w:rPr>
        <w:t>EDM</w:t>
      </w:r>
      <w:r>
        <w:rPr>
          <w:sz w:val="22"/>
        </w:rPr>
        <w:t>（Europeana Data Model）：Europeana平台使用的数据模型，在Dublin Core基础上扩展了文化遗产特定元素，支持更丰富的语义描述。</w:t>
      </w:r>
    </w:p>
    <w:p>
      <w:pPr>
        <w:spacing w:after="80" w:line="360" w:lineRule="auto"/>
        <w:ind w:firstLine="420"/>
      </w:pPr>
      <w:r>
        <w:rPr>
          <w:sz w:val="22"/>
        </w:rPr>
        <w:t>Shaocheng Feng（2021）在研究基于内容管理技术的博物馆公共教育服务时，指出博物馆数字典藏模式正在经历从传统保管到数字化管理的转变，所有文物进入数字典藏系统后可通过内容管理技术实现知识组织和公共服务[15]。</w:t>
      </w:r>
    </w:p>
    <w:p>
      <w:pPr>
        <w:spacing w:before="160" w:after="80"/>
      </w:pPr>
      <w:r>
        <w:rPr>
          <w:b/>
          <w:color w:val="2A9D8F"/>
          <w:sz w:val="26"/>
        </w:rPr>
        <w:t>4.3.2 数字资产管理系统架构</w:t>
      </w:r>
    </w:p>
    <w:p>
      <w:pPr>
        <w:spacing w:after="80" w:line="360" w:lineRule="auto"/>
        <w:ind w:firstLine="420"/>
      </w:pPr>
      <w:r>
        <w:rPr>
          <w:sz w:val="22"/>
        </w:rPr>
        <w:t>数字资产管理系统（Digital Asset Management System, DAMS）是数字典藏库的技术核心。典型的DAMS架构包含以下层次：</w:t>
      </w:r>
    </w:p>
    <w:p>
      <w:pPr>
        <w:pStyle w:val="ListBullet"/>
      </w:pPr>
      <w:r>
        <w:rPr>
          <w:b/>
          <w:sz w:val="22"/>
        </w:rPr>
        <w:t>数据层</w:t>
      </w:r>
      <w:r>
        <w:rPr>
          <w:sz w:val="22"/>
        </w:rPr>
        <w:t>：存储数字资产文件（三维模型、图像、视频、音频）和元数据</w:t>
      </w:r>
    </w:p>
    <w:p>
      <w:pPr>
        <w:pStyle w:val="ListBullet"/>
      </w:pPr>
      <w:r>
        <w:rPr>
          <w:b/>
          <w:sz w:val="22"/>
        </w:rPr>
        <w:t>服务层</w:t>
      </w:r>
      <w:r>
        <w:rPr>
          <w:sz w:val="22"/>
        </w:rPr>
        <w:t>：提供检索、浏览、下载、权限管理等核心服务</w:t>
      </w:r>
    </w:p>
    <w:p>
      <w:pPr>
        <w:pStyle w:val="ListBullet"/>
      </w:pPr>
      <w:r>
        <w:rPr>
          <w:b/>
          <w:sz w:val="22"/>
        </w:rPr>
        <w:t>接口层</w:t>
      </w:r>
      <w:r>
        <w:rPr>
          <w:sz w:val="22"/>
        </w:rPr>
        <w:t>：提供API接口，支持与展览系统、教育平台等外部应用对接</w:t>
      </w:r>
    </w:p>
    <w:p>
      <w:pPr>
        <w:pStyle w:val="ListBullet"/>
      </w:pPr>
      <w:r>
        <w:rPr>
          <w:b/>
          <w:sz w:val="22"/>
        </w:rPr>
        <w:t>表现层</w:t>
      </w:r>
      <w:r>
        <w:rPr>
          <w:sz w:val="22"/>
        </w:rPr>
        <w:t>：Web界面、移动应用、VR/AR界面等用户交互入口</w:t>
      </w:r>
    </w:p>
    <w:p>
      <w:pPr>
        <w:spacing w:after="80" w:line="360" w:lineRule="auto"/>
        <w:ind w:firstLine="420"/>
      </w:pPr>
      <w:r>
        <w:rPr>
          <w:sz w:val="22"/>
        </w:rPr>
        <w:t>刘芳和吴振新（2022）在分析三维数字化在国外文化遗产领域的应用时，从数据采集与后期处理、数据格式与呈现载体、数据标准与存储结构、数据版权保护4个方面介绍了三维数字化过程中存在的关键性问题，为数字典藏库建设提供了经验借鉴[16]。</w:t>
      </w:r>
    </w:p>
    <w:p>
      <w:pPr>
        <w:spacing w:before="160" w:after="80"/>
      </w:pPr>
      <w:r>
        <w:rPr>
          <w:b/>
          <w:color w:val="2A9D8F"/>
          <w:sz w:val="26"/>
        </w:rPr>
        <w:t>4.3.3 长期保存策略（OAIS参考模型）</w:t>
      </w:r>
    </w:p>
    <w:p>
      <w:pPr>
        <w:spacing w:after="80" w:line="360" w:lineRule="auto"/>
        <w:ind w:firstLine="420"/>
      </w:pPr>
      <w:r>
        <w:rPr>
          <w:sz w:val="22"/>
        </w:rPr>
        <w:t>OAIS（Open Archival Information System）是ISO 14721标准定义的数字保存参考模型，为数字资产的长期保存提供了系统化框架。OAIS模型定义了数字保存的六个功能实体：摄取（Ingest）、档案存储（Archival Storage）、数据管理（Data Management）、保存规划（Preservation Planning）、访问（Access）和行政管理（Administration）。</w:t>
      </w:r>
    </w:p>
    <w:p>
      <w:pPr>
        <w:spacing w:after="80" w:line="360" w:lineRule="auto"/>
        <w:ind w:firstLine="420"/>
      </w:pPr>
      <w:r>
        <w:rPr>
          <w:sz w:val="22"/>
        </w:rPr>
        <w:t>OAIS模型的核心概念是"AIP"（Archival Information Package，档案信息包），包含内容信息（数字对象本身）和保存描述信息（元数据）。数字资产的长期保存需要考虑技术过时风险——当文件格式或软件过时，需通过"迁移"（migration）或"仿真"（emulation）策略确保数据持续可读。</w:t>
      </w:r>
    </w:p>
    <w:p>
      <w:pPr>
        <w:spacing w:before="160" w:after="80"/>
      </w:pPr>
      <w:r>
        <w:rPr>
          <w:b/>
          <w:color w:val="2A9D8F"/>
          <w:sz w:val="26"/>
        </w:rPr>
        <w:t>4.3.4 数据安全与备份机制</w:t>
      </w:r>
    </w:p>
    <w:p>
      <w:pPr>
        <w:spacing w:after="80" w:line="360" w:lineRule="auto"/>
        <w:ind w:firstLine="420"/>
      </w:pPr>
      <w:r>
        <w:rPr>
          <w:sz w:val="22"/>
        </w:rPr>
        <w:t>文物数字资源是不可再生的文化资产，其安全备份至关重要。推荐采用"3-2-1"备份策略：3份副本，存储在2种不同介质上，1份异地存储。对于特别珍贵的数字资产，还应考虑离线冷存储（air-gapped storage）以防网络攻击。</w:t>
      </w:r>
    </w:p>
    <w:p>
      <w:pPr>
        <w:spacing w:after="80" w:line="360" w:lineRule="auto"/>
        <w:ind w:firstLine="420"/>
      </w:pPr>
      <w:r>
        <w:rPr>
          <w:sz w:val="22"/>
        </w:rPr>
        <w:t>中国学者（2025）在探讨博物馆藏品的数字化管理与应用时指出，高精度三维扫描技术使文物信息得以精确复刻，区块链存证确保数字档案的高度可信，AI驱动的元数据管理实现了大规模数字资产的高效组织和检索[17]。</w:t>
      </w:r>
    </w:p>
    <w:p>
      <w:pPr>
        <w:spacing w:before="200" w:after="120"/>
      </w:pPr>
      <w:r>
        <w:rPr>
          <w:b/>
          <w:color w:val="457B9D"/>
          <w:sz w:val="30"/>
        </w:rPr>
        <w:t>4.4 典型实践案例</w:t>
      </w:r>
    </w:p>
    <w:p>
      <w:pPr>
        <w:spacing w:before="160" w:after="80"/>
      </w:pPr>
      <w:r>
        <w:rPr>
          <w:b/>
          <w:color w:val="2A9D8F"/>
          <w:sz w:val="26"/>
        </w:rPr>
        <w:t>4.4.1 故宫博物院文物三维数据采集与应用</w:t>
      </w:r>
    </w:p>
    <w:p>
      <w:pPr>
        <w:spacing w:after="80" w:line="360" w:lineRule="auto"/>
        <w:ind w:firstLine="420"/>
      </w:pPr>
      <w:r>
        <w:rPr>
          <w:sz w:val="22"/>
        </w:rPr>
        <w:t>故宫博物院自2000年代起开始文物三维数字化工作。欧阳宏（2019）指出，故宫使用三维数字技术采集、加工了大量古建筑和藏品文物的高精文物三维数据，利用数字呈现技术立体再现文化遗产原貌，满足了故宫各个时期在文物保护、研究以及文化传播展示的工作需求[18]。</w:t>
      </w:r>
    </w:p>
    <w:p>
      <w:pPr>
        <w:spacing w:after="80" w:line="360" w:lineRule="auto"/>
        <w:ind w:firstLine="420"/>
      </w:pPr>
      <w:r>
        <w:rPr>
          <w:sz w:val="22"/>
        </w:rPr>
        <w:t>故宫数字化的特色在于"建筑+藏品"的一体化采集——古建筑的三维数据与殿内陈设文物的三维数据在统一坐标系中记录，使虚拟故宫不仅是建筑外壳，还包含完整的室内陈设。</w:t>
      </w:r>
    </w:p>
    <w:p>
      <w:pPr>
        <w:spacing w:before="160" w:after="80"/>
      </w:pPr>
      <w:r>
        <w:rPr>
          <w:b/>
          <w:color w:val="2A9D8F"/>
          <w:sz w:val="26"/>
        </w:rPr>
        <w:t>4.4.2 敦煌莫高窟壁画数字化</w:t>
      </w:r>
    </w:p>
    <w:p>
      <w:pPr>
        <w:spacing w:after="80" w:line="360" w:lineRule="auto"/>
        <w:ind w:firstLine="420"/>
      </w:pPr>
      <w:r>
        <w:rPr>
          <w:sz w:val="22"/>
        </w:rPr>
        <w:t>敦煌莫高窟的壁画数字化采用"高分辨率数字摄影+图像拼接"方案。每幅壁画使用高分辨率数码相机在轨道上逐行拍摄，单张照片分辨率超过300DPI，然后通过专业拼接软件合成为整壁画的高清数字图像。截至2023年，"数字敦煌"平台已上线200余个洞窟的高精度数字资源，向全球免费开放。</w:t>
      </w:r>
    </w:p>
    <w:p>
      <w:pPr>
        <w:spacing w:after="80" w:line="360" w:lineRule="auto"/>
        <w:ind w:firstLine="420"/>
      </w:pPr>
      <w:r>
        <w:rPr>
          <w:sz w:val="22"/>
        </w:rPr>
        <w:t>Shi和Duan（2007）在介绍殷墟文物3D仿真技术时，提出了数字化文物的三种方法，为石窟寺等大型遗址的数字化提供了方法论参照[19]。</w:t>
      </w:r>
    </w:p>
    <w:p>
      <w:pPr>
        <w:spacing w:before="160" w:after="80"/>
      </w:pPr>
      <w:r>
        <w:rPr>
          <w:b/>
          <w:color w:val="2A9D8F"/>
          <w:sz w:val="26"/>
        </w:rPr>
        <w:t>4.4.3 欧洲Europeana数字典藏平台</w:t>
      </w:r>
    </w:p>
    <w:p>
      <w:pPr>
        <w:spacing w:after="80" w:line="360" w:lineRule="auto"/>
        <w:ind w:firstLine="420"/>
      </w:pPr>
      <w:r>
        <w:rPr>
          <w:sz w:val="22"/>
        </w:rPr>
        <w:t>Europeana是欧盟资助的数字文化遗产聚合平台，汇聚了欧洲4000余家文化机构的数字资源。Borin和Donato（2023）在研究Europeana的财务可持续性时指出，该平台的运营模式为多源资金支持（欧盟拨款+成员国贡献+项目收入），其标准化建设经验对中国数字文化平台具有重要借鉴意义[20]。</w:t>
      </w:r>
    </w:p>
    <w:p>
      <w:pPr>
        <w:spacing w:after="80" w:line="360" w:lineRule="auto"/>
        <w:ind w:firstLine="420"/>
      </w:pPr>
      <w:r>
        <w:rPr>
          <w:sz w:val="22"/>
        </w:rPr>
        <w:t>汪静（2017）在分析Europeana发展现状及启示时，总结了其在数字资源建设、技术框架建设、服务体系搭建及项目运作与管理方面的建设特点，包括树立国际化合作意识、开放各项建设标准、加强对新技术与新兴产业的利用[21]。</w:t>
      </w:r>
    </w:p>
    <w:p>
      <w:pPr>
        <w:spacing w:before="160" w:after="80"/>
      </w:pPr>
      <w:r>
        <w:rPr>
          <w:b/>
          <w:color w:val="2A9D8F"/>
          <w:sz w:val="26"/>
        </w:rPr>
        <w:t>4.4.4 史密森尼学会3D数字化项目</w:t>
      </w:r>
    </w:p>
    <w:p>
      <w:pPr>
        <w:spacing w:after="80" w:line="360" w:lineRule="auto"/>
        <w:ind w:firstLine="420"/>
      </w:pPr>
      <w:r>
        <w:rPr>
          <w:sz w:val="22"/>
        </w:rPr>
        <w:t>美国史密森尼学会（Smithsonian Institution）自2013年起启动X3D项目，对馆藏精品进行三维数字化并向公众开放在线浏览。刘芳和吴振新（2022）指出，史密森尼学会在数据模型科学研究、可检索性和互操作性、版权控制等方面的经验为我国文化遗产数字化建设提供了重要参考[16]。</w:t>
      </w:r>
    </w:p>
    <w:p>
      <w:pPr>
        <w:spacing w:before="200" w:after="120"/>
      </w:pPr>
      <w:r>
        <w:rPr>
          <w:b/>
          <w:color w:val="457B9D"/>
          <w:sz w:val="30"/>
        </w:rPr>
        <w:t>4.5 文物数字化中的逆向工程与虚拟修复</w:t>
      </w:r>
    </w:p>
    <w:p>
      <w:pPr>
        <w:spacing w:before="160" w:after="80"/>
      </w:pPr>
      <w:r>
        <w:rPr>
          <w:b/>
          <w:color w:val="2A9D8F"/>
          <w:sz w:val="26"/>
        </w:rPr>
        <w:t>4.5.1 逆向工程在文物复原中的应用</w:t>
      </w:r>
    </w:p>
    <w:p>
      <w:pPr>
        <w:spacing w:after="80" w:line="360" w:lineRule="auto"/>
        <w:ind w:firstLine="420"/>
      </w:pPr>
      <w:r>
        <w:rPr>
          <w:sz w:val="22"/>
        </w:rPr>
        <w:t>逆向工程（Reverse Engineering）是从实物模型反推几何数据的过程，在文物复原中具有独特价值。姚增凯（2014）在研究基于逆向工程技术的文物数字化建模时，利用逆向工程对文物进行数字化建模，并将获取的数字化文物以虚拟博物馆的形式进行展示[5]。逆向工程的核心步骤包括：数据采集→点云处理→曲面重建→实体建模→误差分析。</w:t>
      </w:r>
    </w:p>
    <w:p>
      <w:pPr>
        <w:spacing w:before="160" w:after="80"/>
      </w:pPr>
      <w:r>
        <w:rPr>
          <w:b/>
          <w:color w:val="2A9D8F"/>
          <w:sz w:val="26"/>
        </w:rPr>
        <w:t>4.5.2 碎片拼接与虚拟修复</w:t>
      </w:r>
    </w:p>
    <w:p>
      <w:pPr>
        <w:spacing w:after="80" w:line="360" w:lineRule="auto"/>
        <w:ind w:firstLine="420"/>
      </w:pPr>
      <w:r>
        <w:rPr>
          <w:sz w:val="22"/>
        </w:rPr>
        <w:t>文物碎片拼接是考古和修复工作中的核心难题。传统的手工拼接依赖修复师的经验和直觉，耗时长、成功率低。基于三维数字技术的虚拟拼接为这一难题提供了新方案：首先对每块碎片进行三维扫描，然后通过算法自动匹配碎片的断裂面几何特征，寻找最佳拼接方案。</w:t>
      </w:r>
    </w:p>
    <w:p>
      <w:pPr>
        <w:spacing w:after="80" w:line="360" w:lineRule="auto"/>
        <w:ind w:firstLine="420"/>
      </w:pPr>
      <w:r>
        <w:rPr>
          <w:sz w:val="22"/>
        </w:rPr>
        <w:t>Spallone等人（2022）在研究AR和VR增强博物馆遗产的3D碎片重建时，展示了利用3D重建技术对碎片化雕像和建筑构件进行虚拟重组的方法[22]。Cheng等人（2009）在介绍文化遗产数字存档时，提出了3D激光扫描历史场景的系统化模型重建和数字存档流程[23]。</w:t>
      </w:r>
    </w:p>
    <w:p>
      <w:pPr>
        <w:spacing w:before="160" w:after="80"/>
      </w:pPr>
      <w:r>
        <w:rPr>
          <w:b/>
          <w:color w:val="2A9D8F"/>
          <w:sz w:val="26"/>
        </w:rPr>
        <w:t>4.5.3 数字孪生与文物数字档案</w:t>
      </w:r>
    </w:p>
    <w:p>
      <w:pPr>
        <w:spacing w:after="80" w:line="360" w:lineRule="auto"/>
        <w:ind w:firstLine="420"/>
      </w:pPr>
      <w:r>
        <w:rPr>
          <w:sz w:val="22"/>
        </w:rPr>
        <w:t>数字孪生（Digital Twin）概念源于工业制造领域，指物理实体在数字空间的虚拟映射。将数字孪生概念应用于文化遗产，意味着为每件文物建立一个与其物理状态实时同步的数字模型——不仅记录其当前状态，还持续监测其变化趋势。</w:t>
      </w:r>
    </w:p>
    <w:p>
      <w:pPr>
        <w:spacing w:after="80" w:line="360" w:lineRule="auto"/>
        <w:ind w:firstLine="420"/>
      </w:pPr>
      <w:r>
        <w:rPr>
          <w:sz w:val="22"/>
        </w:rPr>
        <w:t>IoT传感技术为文物数字孪生的实现提供了数据通道。Casillo等人（2024）在提出历史建筑IoT保护框架时，构建了一个集环境监测、结构健康监测和预测性维护于一体的创新系统[24]。这将在第10章IoT监测部分进一步讨论。</w:t>
      </w:r>
    </w:p>
    <w:p>
      <w:pPr>
        <w:spacing w:before="200" w:after="120"/>
      </w:pPr>
      <w:r>
        <w:rPr>
          <w:b/>
          <w:color w:val="457B9D"/>
          <w:sz w:val="30"/>
        </w:rPr>
        <w:t>本章小结</w:t>
      </w:r>
    </w:p>
    <w:p>
      <w:pPr>
        <w:spacing w:after="80" w:line="360" w:lineRule="auto"/>
        <w:ind w:firstLine="420"/>
      </w:pPr>
      <w:r>
        <w:rPr>
          <w:sz w:val="22"/>
        </w:rPr>
        <w:t>本章深入D.I.G.I.T.框架的D维度，系统介绍了文物三维数字化与数字典藏的技术体系。在采集技术方面，三维激光扫描、结构光扫描、摄影测量和多光谱成像各有优势，多模态融合采集是发展趋势。在建模流程方面，点云采集→预处理→网格重建→纹理映射→质量评估构成完整的技术链条。在数字典藏管理方面，CIDOC-CRM、Dublin Core和EDM等元数据标准为数据互操作提供基础，OAIS参考模型为长期保存提供框架。典型实践方面，故宫、敦煌、Europeana和史密森尼分别代表了不同的数字化模式。在虚拟修复方面，逆向工程和碎片虚拟拼接为文物复原提供了非破坏性技术手段，数字孪生概念为文物的全生命周期管理开辟了新方向。</w:t>
      </w:r>
    </w:p>
    <w:p>
      <w:pPr>
        <w:spacing w:before="200" w:after="120"/>
      </w:pPr>
      <w:r>
        <w:rPr>
          <w:b/>
          <w:color w:val="457B9D"/>
          <w:sz w:val="30"/>
        </w:rPr>
        <w:t>思考题</w:t>
      </w:r>
    </w:p>
    <w:p>
      <w:pPr>
        <w:pStyle w:val="ListNumber"/>
      </w:pPr>
      <w:r>
        <w:rPr>
          <w:b/>
          <w:sz w:val="22"/>
        </w:rPr>
        <w:t>（识记）</w:t>
      </w:r>
      <w:r>
        <w:rPr>
          <w:sz w:val="22"/>
        </w:rPr>
        <w:t xml:space="preserve"> 三维激光扫描的两种主要测距原理是什么？各自适用于什么场景？</w:t>
      </w:r>
    </w:p>
    <w:p>
      <w:pPr>
        <w:pStyle w:val="ListNumber"/>
      </w:pPr>
      <w:r>
        <w:rPr>
          <w:b/>
          <w:sz w:val="22"/>
        </w:rPr>
        <w:t>（理解）</w:t>
      </w:r>
      <w:r>
        <w:rPr>
          <w:sz w:val="22"/>
        </w:rPr>
        <w:t xml:space="preserve"> 解释OAIS参考模型中"AIP"的构成及其在数字长期保存中的作用。</w:t>
      </w:r>
    </w:p>
    <w:p>
      <w:pPr>
        <w:pStyle w:val="ListNumber"/>
      </w:pPr>
      <w:r>
        <w:rPr>
          <w:b/>
          <w:sz w:val="22"/>
        </w:rPr>
        <w:t>（应用）</w:t>
      </w:r>
      <w:r>
        <w:rPr>
          <w:sz w:val="22"/>
        </w:rPr>
        <w:t xml:space="preserve"> 请为一件30cm高的青铜器设计三维数字化方案，说明技术选型、设备参数和操作流程。</w:t>
      </w:r>
    </w:p>
    <w:p>
      <w:pPr>
        <w:pStyle w:val="ListNumber"/>
      </w:pPr>
      <w:r>
        <w:rPr>
          <w:b/>
          <w:sz w:val="22"/>
        </w:rPr>
        <w:t>（分析）</w:t>
      </w:r>
      <w:r>
        <w:rPr>
          <w:sz w:val="22"/>
        </w:rPr>
        <w:t xml:space="preserve"> 对比分析激光扫描和摄影测量在文物数字化中的技术优劣，说明什么情况下应选择多模态融合采集。</w:t>
      </w:r>
    </w:p>
    <w:p>
      <w:pPr>
        <w:pStyle w:val="ListNumber"/>
      </w:pPr>
      <w:r>
        <w:rPr>
          <w:b/>
          <w:sz w:val="22"/>
        </w:rPr>
        <w:t>（评价）</w:t>
      </w:r>
      <w:r>
        <w:rPr>
          <w:sz w:val="22"/>
        </w:rPr>
        <w:t xml:space="preserve"> 评估CIDOC-CRM元数据标准在中国博物馆数字化实践中的适用性，指出需要本地化调整的方面。</w:t>
      </w:r>
    </w:p>
    <w:p>
      <w:pPr>
        <w:pStyle w:val="ListNumber"/>
      </w:pPr>
      <w:r>
        <w:rPr>
          <w:b/>
          <w:sz w:val="22"/>
        </w:rPr>
        <w:t>（创造）</w:t>
      </w:r>
      <w:r>
        <w:rPr>
          <w:sz w:val="22"/>
        </w:rPr>
        <w:t xml:space="preserve"> 请设计一个"县级文物数字典藏库"的建设方案，包含技术架构、元数据方案、存储策略和人员配置。</w:t>
      </w:r>
    </w:p>
    <w:p>
      <w:pPr>
        <w:spacing w:before="160" w:after="80"/>
      </w:pPr>
      <w:r>
        <w:rPr>
          <w:b/>
          <w:color w:val="2A9D8F"/>
          <w:sz w:val="26"/>
        </w:rPr>
        <w:t>4.6 三维数字化技术标准的国际比较</w:t>
      </w:r>
    </w:p>
    <w:p>
      <w:pPr>
        <w:spacing w:before="120"/>
      </w:pPr>
      <w:r>
        <w:rPr>
          <w:b/>
          <w:sz w:val="22"/>
        </w:rPr>
        <w:t>4.6.1 3D-ICONS项目标准</w:t>
      </w:r>
    </w:p>
    <w:p>
      <w:pPr>
        <w:spacing w:after="80" w:line="360" w:lineRule="auto"/>
        <w:ind w:firstLine="420"/>
      </w:pPr>
      <w:r>
        <w:rPr>
          <w:sz w:val="22"/>
        </w:rPr>
        <w:t>3D-ICONS是欧盟资助的三维数字化项目，专门为遗产建筑和遗址制定技术规范。刘芳和吴振新（2022）在分析三维数字化在国外文化遗产领域的应用时，从数据采集与后期处理、数据格式与呈现载体、数据标准与存储结构、数据版权保护4个方面介绍了3D-ICONS等项目的经验[25]。3D-ICONS标准的核心要求包括：几何精度不低于2mm、纹理分辨率不低于300DPI、数据格式采用OBJ+PNG组合、元数据遵循CIDOC-CRM。</w:t>
      </w:r>
    </w:p>
    <w:p>
      <w:pPr>
        <w:spacing w:before="120"/>
      </w:pPr>
      <w:r>
        <w:rPr>
          <w:b/>
          <w:sz w:val="22"/>
        </w:rPr>
        <w:t>4.6.2 Sketchfab社区标准</w:t>
      </w:r>
    </w:p>
    <w:p>
      <w:pPr>
        <w:spacing w:after="80" w:line="360" w:lineRule="auto"/>
        <w:ind w:firstLine="420"/>
      </w:pPr>
      <w:r>
        <w:rPr>
          <w:sz w:val="22"/>
        </w:rPr>
        <w:t>Sketchfab作为全球最大的三维模型分享平台，建立了社区化的质量标准体系。与3D-ICONS的自上而下标准不同，Sketchfab的标准是"社区演化"的——用户通过评分和反馈形成事实标准。其版权许可体系采用Creative Commons系列协议，从CC0（完全开放）到CC BY-NC-ND（署名-非商业-禁止演绎）提供多种选择。</w:t>
      </w:r>
    </w:p>
    <w:p>
      <w:pPr>
        <w:spacing w:before="120"/>
      </w:pPr>
      <w:r>
        <w:rPr>
          <w:b/>
          <w:sz w:val="22"/>
        </w:rPr>
        <w:t>4.6.3 中国三维数字化标准现状</w:t>
      </w:r>
    </w:p>
    <w:p>
      <w:pPr>
        <w:spacing w:after="80" w:line="360" w:lineRule="auto"/>
        <w:ind w:firstLine="420"/>
      </w:pPr>
      <w:r>
        <w:rPr>
          <w:sz w:val="22"/>
        </w:rPr>
        <w:t>中国在文物三维数字化标准方面已有一定进展，制定了《文物数字化保护技术规范》等行业标准，但在标准的系统性和可操作性方面与国际先进水平仍有差距。张文亮等人（2019）在研究国外古籍数字化标准时，将国际标准分为管理标准、数据标准、描述标准与工作标准四大类，这一分类框架同样适用于三维数字化标准的中国本土化建设[26]。</w:t>
      </w:r>
    </w:p>
    <w:p>
      <w:pPr>
        <w:spacing w:before="160" w:after="80"/>
      </w:pPr>
      <w:r>
        <w:rPr>
          <w:b/>
          <w:color w:val="2A9D8F"/>
          <w:sz w:val="26"/>
        </w:rPr>
        <w:t>4.7 深度案例分析：四种文物类型的数字化实践比较</w:t>
      </w:r>
    </w:p>
    <w:p>
      <w:pPr>
        <w:spacing w:before="120"/>
      </w:pPr>
      <w:r>
        <w:rPr>
          <w:b/>
          <w:sz w:val="22"/>
        </w:rPr>
        <w:t>4.7.1 青铜器数字化：纹饰与铭文的挑战</w:t>
      </w:r>
    </w:p>
    <w:p>
      <w:pPr>
        <w:spacing w:after="80" w:line="360" w:lineRule="auto"/>
        <w:ind w:firstLine="420"/>
      </w:pPr>
      <w:r>
        <w:rPr>
          <w:sz w:val="22"/>
        </w:rPr>
        <w:t>青铜器数字化的技术难点在于复杂纹饰和铭文的精确记录。三维扫描可以获取器型几何数据，但浅浮雕纹饰的细节可能被扫描噪声掩盖；高分辨率摄影可以捕捉纹饰视觉信息，但无法获取深度数据。解决方案是"三维扫描+摄影测量+多光谱成像"的多模态融合——几何数据来自激光扫描，纹理数据来自摄影测量，隐藏信息（如被锈蚀覆盖的铭文）来自X射线或红外成像。</w:t>
      </w:r>
    </w:p>
    <w:p>
      <w:pPr>
        <w:spacing w:after="80" w:line="360" w:lineRule="auto"/>
        <w:ind w:firstLine="420"/>
      </w:pPr>
      <w:r>
        <w:rPr>
          <w:sz w:val="22"/>
        </w:rPr>
        <w:t>孙月霞等人（2020）提出的Geomagic Studio点云重构方法，创新性地实现了文字、图腾数字化——通过双数字化形式有效弥补文物建模后纹理特征平滑导致文字、图案等模糊的缺点[27]。</w:t>
      </w:r>
    </w:p>
    <w:p>
      <w:pPr>
        <w:spacing w:before="120"/>
      </w:pPr>
      <w:r>
        <w:rPr>
          <w:b/>
          <w:sz w:val="22"/>
        </w:rPr>
        <w:t>4.7.2 书画数字化：光照与色彩的精准控制</w:t>
      </w:r>
    </w:p>
    <w:p>
      <w:pPr>
        <w:spacing w:after="80" w:line="360" w:lineRule="auto"/>
        <w:ind w:firstLine="420"/>
      </w:pPr>
      <w:r>
        <w:rPr>
          <w:sz w:val="22"/>
        </w:rPr>
        <w:t>书画数字化面临的核心挑战是"色彩还原精度"。中国书画使用的矿物颜料和植物染料具有复杂的光谱特性，普通摄影容易产生色偏。专业书画数字化需要使用色彩管理系统（CMS），从拍摄到显示全流程控制色彩一致性。同时，书画材质（宣纸、绢帛）的纤维纹理也需要通过特殊照明技术记录。</w:t>
      </w:r>
    </w:p>
    <w:p>
      <w:pPr>
        <w:spacing w:before="120"/>
      </w:pPr>
      <w:r>
        <w:rPr>
          <w:b/>
          <w:sz w:val="22"/>
        </w:rPr>
        <w:t>4.7.3 石质文物数字化：大尺度与表面风化</w:t>
      </w:r>
    </w:p>
    <w:p>
      <w:pPr>
        <w:spacing w:after="80" w:line="360" w:lineRule="auto"/>
        <w:ind w:firstLine="420"/>
      </w:pPr>
      <w:r>
        <w:rPr>
          <w:sz w:val="22"/>
        </w:rPr>
        <w:t>石质文物（如石窟、石刻、碑刻）的数字化面临大尺度采集和表面风化双重挑战。大型石刻需要多站扫描后配准，配准误差累积可能导致整体变形。表面风化使石刻表面粗糙度增大，影响激光反射信号质量，需要增加扫描密度和后期降噪处理。</w:t>
      </w:r>
    </w:p>
    <w:p>
      <w:pPr>
        <w:spacing w:before="120"/>
      </w:pPr>
      <w:r>
        <w:rPr>
          <w:b/>
          <w:sz w:val="22"/>
        </w:rPr>
        <w:t>4.7.4 纺织品文物数字化：透光性与柔软性</w:t>
      </w:r>
    </w:p>
    <w:p>
      <w:pPr>
        <w:spacing w:after="80" w:line="360" w:lineRule="auto"/>
        <w:ind w:firstLine="420"/>
      </w:pPr>
      <w:r>
        <w:rPr>
          <w:sz w:val="22"/>
        </w:rPr>
        <w:t>纺织品文物的数字化面临独特挑战——纺织品的透光性使三维扫描难以获取准确的表面数据，柔软性使文物形态不稳定。解决方案包括：使用结构光扫描（比激光更适合透光材料）、在暗背景下扫描、配合低温展平支架固定形态。</w:t>
      </w:r>
    </w:p>
    <w:p>
      <w:pPr>
        <w:spacing w:before="160" w:after="80"/>
      </w:pPr>
      <w:r>
        <w:rPr>
          <w:b/>
          <w:color w:val="2A9D8F"/>
          <w:sz w:val="26"/>
        </w:rPr>
        <w:t>4.8 数字典藏的可持续发展策略</w:t>
      </w:r>
    </w:p>
    <w:p>
      <w:pPr>
        <w:spacing w:before="120"/>
      </w:pPr>
      <w:r>
        <w:rPr>
          <w:b/>
          <w:sz w:val="22"/>
        </w:rPr>
        <w:t>4.8.1 数据迁移与技术更新</w:t>
      </w:r>
    </w:p>
    <w:p>
      <w:pPr>
        <w:spacing w:after="80" w:line="360" w:lineRule="auto"/>
        <w:ind w:firstLine="420"/>
      </w:pPr>
      <w:r>
        <w:rPr>
          <w:sz w:val="22"/>
        </w:rPr>
        <w:t>数字典藏面临"技术过时"的长期威胁——文件格式可能被淘汰，存储介质可能老化，读取软件可能失效。OAIS参考模型建议定期进行数据迁移——将数字资源从旧格式迁移到新格式、从旧存储介质迁移到新介质。迁移策略需要平衡成本和风险：迁移频率过高增加成本，过低增加数据丢失风险。</w:t>
      </w:r>
    </w:p>
    <w:p>
      <w:pPr>
        <w:spacing w:before="120"/>
      </w:pPr>
      <w:r>
        <w:rPr>
          <w:b/>
          <w:sz w:val="22"/>
        </w:rPr>
        <w:t>4.8.2 跨机构协作与数据共享</w:t>
      </w:r>
    </w:p>
    <w:p>
      <w:pPr>
        <w:spacing w:after="80" w:line="360" w:lineRule="auto"/>
        <w:ind w:firstLine="420"/>
      </w:pPr>
      <w:r>
        <w:rPr>
          <w:sz w:val="22"/>
        </w:rPr>
        <w:t>单一机构的数字典藏难以覆盖所有遗产类型，跨机构协作是必然趋势。Europeana的实践表明，跨机构数据共享需要解决三个层面问题：技术层面（统一API和数据格式）、语义层面（统一元数据标准）、组织层面（数据共享协议和权益分配）。张卫东等人（2013）在研究欧美图书档案数字化融合服务实践时，总结出明确的战略规划、多元的伙伴关系和多样的合作模式是成功的关键[28]。</w:t>
      </w:r>
    </w:p>
    <w:p>
      <w:pPr>
        <w:spacing w:before="120"/>
      </w:pPr>
      <w:r>
        <w:rPr>
          <w:b/>
          <w:sz w:val="22"/>
        </w:rPr>
        <w:t>4.8.3 人才培养与能力建设</w:t>
      </w:r>
    </w:p>
    <w:p>
      <w:pPr>
        <w:spacing w:after="80" w:line="360" w:lineRule="auto"/>
        <w:ind w:firstLine="420"/>
      </w:pPr>
      <w:r>
        <w:rPr>
          <w:sz w:val="22"/>
        </w:rPr>
        <w:t>数字典藏的可持续发展最终取决于人才。当前文化遗产数字化领域急需"跨界复合型人才"——既懂文化遗产知识又懂数字技术。专业人才培养需要高校、机构和企业的协同：高校设立相关专业和课程，机构提供实践平台，企业提供技术培训。</w:t>
      </w:r>
    </w:p>
    <w:p>
      <w:pPr>
        <w:spacing w:before="160" w:after="80"/>
      </w:pPr>
      <w:r>
        <w:rPr>
          <w:b/>
          <w:color w:val="2A9D8F"/>
          <w:sz w:val="26"/>
        </w:rPr>
        <w:t>4.9 文物数字化中的质量保证体系</w:t>
      </w:r>
    </w:p>
    <w:p>
      <w:pPr>
        <w:spacing w:before="120"/>
      </w:pPr>
      <w:r>
        <w:rPr>
          <w:b/>
          <w:sz w:val="22"/>
        </w:rPr>
        <w:t>4.9.1 采集质量控制</w:t>
      </w:r>
    </w:p>
    <w:p>
      <w:pPr>
        <w:spacing w:after="80" w:line="360" w:lineRule="auto"/>
        <w:ind w:firstLine="420"/>
      </w:pPr>
      <w:r>
        <w:rPr>
          <w:sz w:val="22"/>
        </w:rPr>
        <w:t>文物三维数字化的质量始于采集环节。采集质量控制的关键措施包括：</w:t>
      </w:r>
    </w:p>
    <w:p>
      <w:pPr>
        <w:spacing w:after="80" w:line="360" w:lineRule="auto"/>
        <w:ind w:firstLine="420"/>
      </w:pPr>
      <w:r>
        <w:rPr>
          <w:b/>
          <w:sz w:val="22"/>
        </w:rPr>
        <w:t>设备校准</w:t>
      </w:r>
      <w:r>
        <w:rPr>
          <w:sz w:val="22"/>
        </w:rPr>
        <w:t>：每次扫描前使用标准量块（如校准球）校准扫描仪精度，确保设备处于最佳工作状态。Kantaros等人（2023）指出，3D扫描技术在文化遗产领域的高潜力建立在严格的设备校准和数据质量管理之上[29]。</w:t>
      </w:r>
    </w:p>
    <w:p>
      <w:pPr>
        <w:spacing w:after="80" w:line="360" w:lineRule="auto"/>
        <w:ind w:firstLine="420"/>
      </w:pPr>
      <w:r>
        <w:rPr>
          <w:b/>
          <w:sz w:val="22"/>
        </w:rPr>
        <w:t>环境控制</w:t>
      </w:r>
      <w:r>
        <w:rPr>
          <w:sz w:val="22"/>
        </w:rPr>
        <w:t>：采集环境应避免强光直射（影响结构光扫描精度）、振动（影响设备稳定性）和温湿度剧烈变化（影响设备精度）。对于不可移动文物的现场采集，环境控制更具挑战性。</w:t>
      </w:r>
    </w:p>
    <w:p>
      <w:pPr>
        <w:spacing w:after="80" w:line="360" w:lineRule="auto"/>
        <w:ind w:firstLine="420"/>
      </w:pPr>
      <w:r>
        <w:rPr>
          <w:b/>
          <w:sz w:val="22"/>
        </w:rPr>
        <w:t>多次采集</w:t>
      </w:r>
      <w:r>
        <w:rPr>
          <w:sz w:val="22"/>
        </w:rPr>
        <w:t>：对同一对象从不同角度多次采集，确保数据覆盖完整。遮挡区域需通过补充扫描或人工建模补全。</w:t>
      </w:r>
    </w:p>
    <w:p>
      <w:pPr>
        <w:spacing w:before="120"/>
      </w:pPr>
      <w:r>
        <w:rPr>
          <w:b/>
          <w:sz w:val="22"/>
        </w:rPr>
        <w:t>4.9.2 模型质量评估</w:t>
      </w:r>
    </w:p>
    <w:p>
      <w:pPr>
        <w:spacing w:after="80" w:line="360" w:lineRule="auto"/>
        <w:ind w:firstLine="420"/>
      </w:pPr>
      <w:r>
        <w:rPr>
          <w:sz w:val="22"/>
        </w:rPr>
        <w:t>三维模型的质量评估是多维度的：</w:t>
      </w:r>
    </w:p>
    <w:p>
      <w:pPr>
        <w:spacing w:after="80" w:line="360" w:lineRule="auto"/>
        <w:ind w:firstLine="420"/>
      </w:pPr>
      <w:r>
        <w:rPr>
          <w:b/>
          <w:sz w:val="22"/>
        </w:rPr>
        <w:t>几何精度</w:t>
      </w:r>
      <w:r>
        <w:rPr>
          <w:sz w:val="22"/>
        </w:rPr>
        <w:t>：通过对比三维模型与实物关键尺寸的偏差评估。一般要求可移动文物模型精度不超过0.5mm，不可移动文物不超过2mm。</w:t>
      </w:r>
    </w:p>
    <w:p>
      <w:pPr>
        <w:spacing w:after="80" w:line="360" w:lineRule="auto"/>
        <w:ind w:firstLine="420"/>
      </w:pPr>
      <w:r>
        <w:rPr>
          <w:b/>
          <w:sz w:val="22"/>
        </w:rPr>
        <w:t>纹理质量</w:t>
      </w:r>
      <w:r>
        <w:rPr>
          <w:sz w:val="22"/>
        </w:rPr>
        <w:t>：通过色差分析（ΔE值）评估色彩还原度。ΔE&lt;3为优秀，ΔE&lt;6为良好，ΔE&gt;10为不合格。</w:t>
      </w:r>
    </w:p>
    <w:p>
      <w:pPr>
        <w:spacing w:after="80" w:line="360" w:lineRule="auto"/>
        <w:ind w:firstLine="420"/>
      </w:pPr>
      <w:r>
        <w:rPr>
          <w:b/>
          <w:sz w:val="22"/>
        </w:rPr>
        <w:t>拓扑质量</w:t>
      </w:r>
      <w:r>
        <w:rPr>
          <w:sz w:val="22"/>
        </w:rPr>
        <w:t>：检查网格模型的流形性（无非流形边、无悬面）、连续性（无裂缝）和完整性（无孔洞）。</w:t>
      </w:r>
    </w:p>
    <w:p>
      <w:pPr>
        <w:spacing w:after="80" w:line="360" w:lineRule="auto"/>
        <w:ind w:firstLine="420"/>
      </w:pPr>
      <w:r>
        <w:rPr>
          <w:b/>
          <w:sz w:val="22"/>
        </w:rPr>
        <w:t>文件完整性</w:t>
      </w:r>
      <w:r>
        <w:rPr>
          <w:sz w:val="22"/>
        </w:rPr>
        <w:t>：检查是否包含必要的元数据（采集设备、参数、日期、操作者等paradata信息）。Barzaghi等人（2025）的CHAD-KG项目特别强调paradata的完整性——没有过程数据的模型不具备学术可信度[30]。</w:t>
      </w:r>
    </w:p>
    <w:p>
      <w:pPr>
        <w:spacing w:before="120"/>
      </w:pPr>
      <w:r>
        <w:rPr>
          <w:b/>
          <w:sz w:val="22"/>
        </w:rPr>
        <w:t>4.9.3 质量管理的制度化</w:t>
      </w:r>
    </w:p>
    <w:p>
      <w:pPr>
        <w:spacing w:after="80" w:line="360" w:lineRule="auto"/>
        <w:ind w:firstLine="420"/>
      </w:pPr>
      <w:r>
        <w:rPr>
          <w:sz w:val="22"/>
        </w:rPr>
        <w:t>文物数字化质量管理应制度化——建立标准操作程序（SOP）、质量检查清单和第三方审核机制。刘芳和吴振新（2022）指出，国外先进机构（如史密森尼学会）的质量管理经验值得借鉴——每次数字化都有完整的质量记录，支持事后追溯和改进[25]。</w:t>
      </w:r>
    </w:p>
    <w:p>
      <w:pPr>
        <w:spacing w:before="160" w:after="80"/>
      </w:pPr>
      <w:r>
        <w:rPr>
          <w:b/>
          <w:color w:val="2A9D8F"/>
          <w:sz w:val="26"/>
        </w:rPr>
        <w:t>4.10 文物数字化的经济学分析</w:t>
      </w:r>
    </w:p>
    <w:p>
      <w:pPr>
        <w:spacing w:before="120"/>
      </w:pPr>
      <w:r>
        <w:rPr>
          <w:b/>
          <w:sz w:val="22"/>
        </w:rPr>
        <w:t>4.10.1 成本构成分析</w:t>
      </w:r>
    </w:p>
    <w:p>
      <w:pPr>
        <w:spacing w:after="80" w:line="360" w:lineRule="auto"/>
        <w:ind w:firstLine="420"/>
      </w:pPr>
      <w:r>
        <w:rPr>
          <w:sz w:val="22"/>
        </w:rPr>
        <w:t>文物三维数字化的单件成本因文物类型和精度要求差异显著：</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D9E2EC"/>
          </w:tcPr>
          <w:p>
            <w:pPr>
              <w:spacing w:before="40" w:after="40"/>
            </w:pPr>
            <w:r>
              <w:rPr>
                <w:b/>
                <w:sz w:val="20"/>
              </w:rPr>
            </w:r>
            <w:r>
              <w:rPr>
                <w:b/>
                <w:sz w:val="20"/>
              </w:rPr>
              <w:t>文物类型</w:t>
            </w:r>
          </w:p>
        </w:tc>
        <w:tc>
          <w:tcPr>
            <w:tcW w:type="dxa" w:w="2126"/>
            <w:shd w:val="clear" w:color="auto" w:fill="D9E2EC"/>
          </w:tcPr>
          <w:p>
            <w:pPr>
              <w:spacing w:before="40" w:after="40"/>
            </w:pPr>
            <w:r>
              <w:rPr>
                <w:b/>
                <w:sz w:val="20"/>
              </w:rPr>
            </w:r>
            <w:r>
              <w:rPr>
                <w:b/>
                <w:sz w:val="20"/>
              </w:rPr>
              <w:t>数字化方式</w:t>
            </w:r>
          </w:p>
        </w:tc>
        <w:tc>
          <w:tcPr>
            <w:tcW w:type="dxa" w:w="2126"/>
            <w:shd w:val="clear" w:color="auto" w:fill="D9E2EC"/>
          </w:tcPr>
          <w:p>
            <w:pPr>
              <w:spacing w:before="40" w:after="40"/>
            </w:pPr>
            <w:r>
              <w:rPr>
                <w:b/>
                <w:sz w:val="20"/>
              </w:rPr>
            </w:r>
            <w:r>
              <w:rPr>
                <w:b/>
                <w:sz w:val="20"/>
              </w:rPr>
              <w:t>单件成本（约）</w:t>
            </w:r>
          </w:p>
        </w:tc>
        <w:tc>
          <w:tcPr>
            <w:tcW w:type="dxa" w:w="2126"/>
            <w:shd w:val="clear" w:color="auto" w:fill="D9E2EC"/>
          </w:tcPr>
          <w:p>
            <w:pPr>
              <w:spacing w:before="40" w:after="40"/>
            </w:pPr>
            <w:r>
              <w:rPr>
                <w:b/>
                <w:sz w:val="20"/>
              </w:rPr>
            </w:r>
            <w:r>
              <w:rPr>
                <w:b/>
                <w:sz w:val="20"/>
              </w:rPr>
              <w:t>耗时</w:t>
            </w:r>
          </w:p>
        </w:tc>
      </w:tr>
      <w:tr>
        <w:tc>
          <w:tcPr>
            <w:tcW w:type="dxa" w:w="2126"/>
          </w:tcPr>
          <w:p>
            <w:pPr>
              <w:spacing w:before="40" w:after="40"/>
            </w:pPr>
            <w:r>
              <w:rPr>
                <w:sz w:val="20"/>
              </w:rPr>
            </w:r>
            <w:r>
              <w:rPr>
                <w:sz w:val="20"/>
              </w:rPr>
              <w:t>小型陶瓷器</w:t>
            </w:r>
          </w:p>
        </w:tc>
        <w:tc>
          <w:tcPr>
            <w:tcW w:type="dxa" w:w="2126"/>
          </w:tcPr>
          <w:p>
            <w:pPr>
              <w:spacing w:before="40" w:after="40"/>
            </w:pPr>
            <w:r>
              <w:rPr>
                <w:sz w:val="20"/>
              </w:rPr>
            </w:r>
            <w:r>
              <w:rPr>
                <w:sz w:val="20"/>
              </w:rPr>
              <w:t>三维扫描+摄影</w:t>
            </w:r>
          </w:p>
        </w:tc>
        <w:tc>
          <w:tcPr>
            <w:tcW w:type="dxa" w:w="2126"/>
          </w:tcPr>
          <w:p>
            <w:pPr>
              <w:spacing w:before="40" w:after="40"/>
            </w:pPr>
            <w:r>
              <w:rPr>
                <w:sz w:val="20"/>
              </w:rPr>
            </w:r>
            <w:r>
              <w:rPr>
                <w:sz w:val="20"/>
              </w:rPr>
              <w:t>2000-5000元</w:t>
            </w:r>
          </w:p>
        </w:tc>
        <w:tc>
          <w:tcPr>
            <w:tcW w:type="dxa" w:w="2126"/>
          </w:tcPr>
          <w:p>
            <w:pPr>
              <w:spacing w:before="40" w:after="40"/>
            </w:pPr>
            <w:r>
              <w:rPr>
                <w:sz w:val="20"/>
              </w:rPr>
            </w:r>
            <w:r>
              <w:rPr>
                <w:sz w:val="20"/>
              </w:rPr>
              <w:t>2-4小时</w:t>
            </w:r>
          </w:p>
        </w:tc>
      </w:tr>
      <w:tr>
        <w:tc>
          <w:tcPr>
            <w:tcW w:type="dxa" w:w="2126"/>
            <w:shd w:val="clear" w:color="auto" w:fill="F5F5F5"/>
          </w:tcPr>
          <w:p>
            <w:pPr>
              <w:spacing w:before="40" w:after="40"/>
            </w:pPr>
            <w:r>
              <w:rPr>
                <w:sz w:val="20"/>
              </w:rPr>
            </w:r>
            <w:r>
              <w:rPr>
                <w:sz w:val="20"/>
              </w:rPr>
              <w:t>中型雕塑</w:t>
            </w:r>
          </w:p>
        </w:tc>
        <w:tc>
          <w:tcPr>
            <w:tcW w:type="dxa" w:w="2126"/>
            <w:shd w:val="clear" w:color="auto" w:fill="F5F5F5"/>
          </w:tcPr>
          <w:p>
            <w:pPr>
              <w:spacing w:before="40" w:after="40"/>
            </w:pPr>
            <w:r>
              <w:rPr>
                <w:sz w:val="20"/>
              </w:rPr>
            </w:r>
            <w:r>
              <w:rPr>
                <w:sz w:val="20"/>
              </w:rPr>
              <w:t>三维扫描+摄影</w:t>
            </w:r>
          </w:p>
        </w:tc>
        <w:tc>
          <w:tcPr>
            <w:tcW w:type="dxa" w:w="2126"/>
            <w:shd w:val="clear" w:color="auto" w:fill="F5F5F5"/>
          </w:tcPr>
          <w:p>
            <w:pPr>
              <w:spacing w:before="40" w:after="40"/>
            </w:pPr>
            <w:r>
              <w:rPr>
                <w:sz w:val="20"/>
              </w:rPr>
            </w:r>
            <w:r>
              <w:rPr>
                <w:sz w:val="20"/>
              </w:rPr>
              <w:t>5000-15000元</w:t>
            </w:r>
          </w:p>
        </w:tc>
        <w:tc>
          <w:tcPr>
            <w:tcW w:type="dxa" w:w="2126"/>
            <w:shd w:val="clear" w:color="auto" w:fill="F5F5F5"/>
          </w:tcPr>
          <w:p>
            <w:pPr>
              <w:spacing w:before="40" w:after="40"/>
            </w:pPr>
            <w:r>
              <w:rPr>
                <w:sz w:val="20"/>
              </w:rPr>
            </w:r>
            <w:r>
              <w:rPr>
                <w:sz w:val="20"/>
              </w:rPr>
              <w:t>1-2天</w:t>
            </w:r>
          </w:p>
        </w:tc>
      </w:tr>
      <w:tr>
        <w:tc>
          <w:tcPr>
            <w:tcW w:type="dxa" w:w="2126"/>
          </w:tcPr>
          <w:p>
            <w:pPr>
              <w:spacing w:before="40" w:after="40"/>
            </w:pPr>
            <w:r>
              <w:rPr>
                <w:sz w:val="20"/>
              </w:rPr>
            </w:r>
            <w:r>
              <w:rPr>
                <w:sz w:val="20"/>
              </w:rPr>
              <w:t>大型古建筑</w:t>
            </w:r>
          </w:p>
        </w:tc>
        <w:tc>
          <w:tcPr>
            <w:tcW w:type="dxa" w:w="2126"/>
          </w:tcPr>
          <w:p>
            <w:pPr>
              <w:spacing w:before="40" w:after="40"/>
            </w:pPr>
            <w:r>
              <w:rPr>
                <w:sz w:val="20"/>
              </w:rPr>
            </w:r>
            <w:r>
              <w:rPr>
                <w:sz w:val="20"/>
              </w:rPr>
              <w:t>三维激光扫描</w:t>
            </w:r>
          </w:p>
        </w:tc>
        <w:tc>
          <w:tcPr>
            <w:tcW w:type="dxa" w:w="2126"/>
          </w:tcPr>
          <w:p>
            <w:pPr>
              <w:spacing w:before="40" w:after="40"/>
            </w:pPr>
            <w:r>
              <w:rPr>
                <w:sz w:val="20"/>
              </w:rPr>
            </w:r>
            <w:r>
              <w:rPr>
                <w:sz w:val="20"/>
              </w:rPr>
              <w:t>10-50万元</w:t>
            </w:r>
          </w:p>
        </w:tc>
        <w:tc>
          <w:tcPr>
            <w:tcW w:type="dxa" w:w="2126"/>
          </w:tcPr>
          <w:p>
            <w:pPr>
              <w:spacing w:before="40" w:after="40"/>
            </w:pPr>
            <w:r>
              <w:rPr>
                <w:sz w:val="20"/>
              </w:rPr>
            </w:r>
            <w:r>
              <w:rPr>
                <w:sz w:val="20"/>
              </w:rPr>
              <w:t>1-4周</w:t>
            </w:r>
          </w:p>
        </w:tc>
      </w:tr>
      <w:tr>
        <w:tc>
          <w:tcPr>
            <w:tcW w:type="dxa" w:w="2126"/>
            <w:shd w:val="clear" w:color="auto" w:fill="F5F5F5"/>
          </w:tcPr>
          <w:p>
            <w:pPr>
              <w:spacing w:before="40" w:after="40"/>
            </w:pPr>
            <w:r>
              <w:rPr>
                <w:sz w:val="20"/>
              </w:rPr>
            </w:r>
            <w:r>
              <w:rPr>
                <w:sz w:val="20"/>
              </w:rPr>
              <w:t>壁画</w:t>
            </w:r>
          </w:p>
        </w:tc>
        <w:tc>
          <w:tcPr>
            <w:tcW w:type="dxa" w:w="2126"/>
            <w:shd w:val="clear" w:color="auto" w:fill="F5F5F5"/>
          </w:tcPr>
          <w:p>
            <w:pPr>
              <w:spacing w:before="40" w:after="40"/>
            </w:pPr>
            <w:r>
              <w:rPr>
                <w:sz w:val="20"/>
              </w:rPr>
            </w:r>
            <w:r>
              <w:rPr>
                <w:sz w:val="20"/>
              </w:rPr>
              <w:t>高清摄影拼接</w:t>
            </w:r>
          </w:p>
        </w:tc>
        <w:tc>
          <w:tcPr>
            <w:tcW w:type="dxa" w:w="2126"/>
            <w:shd w:val="clear" w:color="auto" w:fill="F5F5F5"/>
          </w:tcPr>
          <w:p>
            <w:pPr>
              <w:spacing w:before="40" w:after="40"/>
            </w:pPr>
            <w:r>
              <w:rPr>
                <w:sz w:val="20"/>
              </w:rPr>
            </w:r>
            <w:r>
              <w:rPr>
                <w:sz w:val="20"/>
              </w:rPr>
              <w:t>5-20万元/洞窟</w:t>
            </w:r>
          </w:p>
        </w:tc>
        <w:tc>
          <w:tcPr>
            <w:tcW w:type="dxa" w:w="2126"/>
            <w:shd w:val="clear" w:color="auto" w:fill="F5F5F5"/>
          </w:tcPr>
          <w:p>
            <w:pPr>
              <w:spacing w:before="40" w:after="40"/>
            </w:pPr>
            <w:r>
              <w:rPr>
                <w:sz w:val="20"/>
              </w:rPr>
            </w:r>
            <w:r>
              <w:rPr>
                <w:sz w:val="20"/>
              </w:rPr>
              <w:t>1-3月</w:t>
            </w:r>
          </w:p>
        </w:tc>
      </w:tr>
      <w:tr>
        <w:tc>
          <w:tcPr>
            <w:tcW w:type="dxa" w:w="2126"/>
          </w:tcPr>
          <w:p>
            <w:pPr>
              <w:spacing w:before="40" w:after="40"/>
            </w:pPr>
            <w:r>
              <w:rPr>
                <w:sz w:val="20"/>
              </w:rPr>
            </w:r>
            <w:r>
              <w:rPr>
                <w:sz w:val="20"/>
              </w:rPr>
              <w:t>考古遗址</w:t>
            </w:r>
          </w:p>
        </w:tc>
        <w:tc>
          <w:tcPr>
            <w:tcW w:type="dxa" w:w="2126"/>
          </w:tcPr>
          <w:p>
            <w:pPr>
              <w:spacing w:before="40" w:after="40"/>
            </w:pPr>
            <w:r>
              <w:rPr>
                <w:sz w:val="20"/>
              </w:rPr>
            </w:r>
            <w:r>
              <w:rPr>
                <w:sz w:val="20"/>
              </w:rPr>
              <w:t>多技术融合</w:t>
            </w:r>
          </w:p>
        </w:tc>
        <w:tc>
          <w:tcPr>
            <w:tcW w:type="dxa" w:w="2126"/>
          </w:tcPr>
          <w:p>
            <w:pPr>
              <w:spacing w:before="40" w:after="40"/>
            </w:pPr>
            <w:r>
              <w:rPr>
                <w:sz w:val="20"/>
              </w:rPr>
            </w:r>
            <w:r>
              <w:rPr>
                <w:sz w:val="20"/>
              </w:rPr>
              <w:t>50-200万元</w:t>
            </w:r>
          </w:p>
        </w:tc>
        <w:tc>
          <w:tcPr>
            <w:tcW w:type="dxa" w:w="2126"/>
          </w:tcPr>
          <w:p>
            <w:pPr>
              <w:spacing w:before="40" w:after="40"/>
            </w:pPr>
            <w:r>
              <w:rPr>
                <w:sz w:val="20"/>
              </w:rPr>
            </w:r>
            <w:r>
              <w:rPr>
                <w:sz w:val="20"/>
              </w:rPr>
              <w:t>3-12月</w:t>
            </w:r>
          </w:p>
        </w:tc>
      </w:tr>
    </w:tbl>
    <w:p>
      <w:pPr>
        <w:spacing w:before="120"/>
      </w:pPr>
      <w:r>
        <w:rPr>
          <w:b/>
          <w:sz w:val="22"/>
        </w:rPr>
        <w:t>4.10.2 规模化数字化的经济性</w:t>
      </w:r>
    </w:p>
    <w:p>
      <w:pPr>
        <w:spacing w:after="80" w:line="360" w:lineRule="auto"/>
        <w:ind w:firstLine="420"/>
      </w:pPr>
      <w:r>
        <w:rPr>
          <w:sz w:val="22"/>
        </w:rPr>
        <w:t>单件数字化的成本高昂，但规模化可以显著降低单位成本。规模化的途径包括：标准化流程减少重复劳动、自动化处理软件减少人工干预、批量采集共享设备成本。Larue等人（2012）提出的"自动管线"——从数字化到网络发布的自动化流程——是规模化的重要技术路径[31]。</w:t>
      </w:r>
    </w:p>
    <w:p>
      <w:pPr>
        <w:spacing w:before="120"/>
      </w:pPr>
      <w:r>
        <w:rPr>
          <w:b/>
          <w:sz w:val="22"/>
        </w:rPr>
        <w:t>4.10.3 数字资源的价值转化</w:t>
      </w:r>
    </w:p>
    <w:p>
      <w:pPr>
        <w:spacing w:after="80" w:line="360" w:lineRule="auto"/>
        <w:ind w:firstLine="420"/>
      </w:pPr>
      <w:r>
        <w:rPr>
          <w:sz w:val="22"/>
        </w:rPr>
        <w:t>文物数字资源的价值转化路径包括：学术研究（为考古和艺术史提供数据支撑）、公众教育（在线浏览和虚拟展览）、文创开发（3D打印衍生品、数字壁纸）、旅游推广（VR预览吸引游客）和IP授权（数字资源使用许可收费）。孔凡运（2025）指出，数字化技术不仅有效保存文化遗产，还能增强公众对遗产的认识和体验——这种"增强"本身就是价值创造[32]。</w:t>
      </w:r>
    </w:p>
    <w:p>
      <w:pPr>
        <w:spacing w:before="160" w:after="80"/>
      </w:pPr>
      <w:r>
        <w:rPr>
          <w:b/>
          <w:color w:val="2A9D8F"/>
          <w:sz w:val="26"/>
        </w:rPr>
        <w:t>4.11 数字典藏与公众开放</w:t>
      </w:r>
    </w:p>
    <w:p>
      <w:pPr>
        <w:spacing w:before="120"/>
      </w:pPr>
      <w:r>
        <w:rPr>
          <w:b/>
          <w:sz w:val="22"/>
        </w:rPr>
        <w:t>4.11.1 开放数据的层次</w:t>
      </w:r>
    </w:p>
    <w:p>
      <w:pPr>
        <w:spacing w:after="80" w:line="360" w:lineRule="auto"/>
        <w:ind w:firstLine="420"/>
      </w:pPr>
      <w:r>
        <w:rPr>
          <w:sz w:val="22"/>
        </w:rPr>
        <w:t>数字典藏的公众开放可分为四个层次：</w:t>
      </w:r>
    </w:p>
    <w:p>
      <w:pPr>
        <w:spacing w:after="80" w:line="360" w:lineRule="auto"/>
        <w:ind w:firstLine="420"/>
      </w:pPr>
      <w:r>
        <w:rPr>
          <w:b/>
          <w:sz w:val="22"/>
        </w:rPr>
        <w:t>元数据开放</w:t>
      </w:r>
      <w:r>
        <w:rPr>
          <w:sz w:val="22"/>
        </w:rPr>
        <w:t>：开放文物的元数据（名称、年代、材质、尺寸等），支持检索和发现。这是最基础的开放层次，Europeana的CC0元数据许可是典型实践。</w:t>
      </w:r>
    </w:p>
    <w:p>
      <w:pPr>
        <w:spacing w:after="80" w:line="360" w:lineRule="auto"/>
        <w:ind w:firstLine="420"/>
      </w:pPr>
      <w:r>
        <w:rPr>
          <w:b/>
          <w:sz w:val="22"/>
        </w:rPr>
        <w:t>缩略图开放</w:t>
      </w:r>
      <w:r>
        <w:rPr>
          <w:sz w:val="22"/>
        </w:rPr>
        <w:t>：开放文物的低分辨率缩略图，支持预览和引用。适合版权敏感或高分辨率图像商业价值较高的场景。</w:t>
      </w:r>
    </w:p>
    <w:p>
      <w:pPr>
        <w:spacing w:after="80" w:line="360" w:lineRule="auto"/>
        <w:ind w:firstLine="420"/>
      </w:pPr>
      <w:r>
        <w:rPr>
          <w:b/>
          <w:sz w:val="22"/>
        </w:rPr>
        <w:t>高清图像开放</w:t>
      </w:r>
      <w:r>
        <w:rPr>
          <w:sz w:val="22"/>
        </w:rPr>
        <w:t>：开放文物的高分辨率数字图像，支持细部研究和印刷出版。史密森尼学会自2020年起开放280万件藏品的高清图像，采用CC0许可。</w:t>
      </w:r>
    </w:p>
    <w:p>
      <w:pPr>
        <w:spacing w:after="80" w:line="360" w:lineRule="auto"/>
        <w:ind w:firstLine="420"/>
      </w:pPr>
      <w:r>
        <w:rPr>
          <w:b/>
          <w:sz w:val="22"/>
        </w:rPr>
        <w:t>三维模型开放</w:t>
      </w:r>
      <w:r>
        <w:rPr>
          <w:sz w:val="22"/>
        </w:rPr>
        <w:t>：开放文物的三维模型数据（OBJ/PLY格式），支持3D打印和VR/AR应用。这是最高层次的开放，Skblewska-Paszkowska等人（2022）指出三维数据的开放获取是文化遗产数字化的前沿趋势[33]。</w:t>
      </w:r>
    </w:p>
    <w:p>
      <w:pPr>
        <w:spacing w:before="120"/>
      </w:pPr>
      <w:r>
        <w:rPr>
          <w:b/>
          <w:sz w:val="22"/>
        </w:rPr>
        <w:t>4.11.2 开放获取的实施挑战</w:t>
      </w:r>
    </w:p>
    <w:p>
      <w:pPr>
        <w:spacing w:after="80" w:line="360" w:lineRule="auto"/>
        <w:ind w:firstLine="420"/>
      </w:pPr>
      <w:r>
        <w:rPr>
          <w:sz w:val="22"/>
        </w:rPr>
        <w:t>开放获取面临多重挑战：版权顾虑（机构担心失去数字资源的商业价值）、技术门槛（开放数据需要API接口和数据标准化）、质量保证（开放数据需要达到一定的质量标准）、用户支持（用户需要文档和工具来使用数据）。Borin和Donato（2023）指出，Europeana的开放获取策略经历了从"元数据开放"到"内容开放"的渐进过程，每一步都需要解决新的法律和技术问题[29]。</w:t>
      </w:r>
    </w:p>
    <w:p>
      <w:pPr>
        <w:spacing w:before="120"/>
      </w:pPr>
      <w:r>
        <w:rPr>
          <w:b/>
          <w:sz w:val="22"/>
        </w:rPr>
        <w:t>4.11.3 开放获取的影响评估</w:t>
      </w:r>
    </w:p>
    <w:p>
      <w:pPr>
        <w:spacing w:after="80" w:line="360" w:lineRule="auto"/>
        <w:ind w:firstLine="420"/>
      </w:pPr>
      <w:r>
        <w:rPr>
          <w:sz w:val="22"/>
        </w:rPr>
        <w:t>开放获取的影响评估应包含：使用量统计（下载量、API调用量）、用户分析（学术研究/教育/创意产业/个人兴趣的分布）、衍生作品追踪（基于开放数据创作的论文、应用、文创产品）、经济影响评估（开放获取带来的间接经济价值）。Furferi等人（2024）指出，开放获取虽不产生直接收入，但通过扩大遗产影响力和催生衍生价值，间接贡献于遗产机构的社会效益和经济效益[34]。</w:t>
      </w:r>
    </w:p>
    <w:p>
      <w:pPr>
        <w:spacing w:before="160" w:after="80"/>
      </w:pPr>
      <w:r>
        <w:rPr>
          <w:b/>
          <w:color w:val="2A9D8F"/>
          <w:sz w:val="26"/>
        </w:rPr>
        <w:t>4.12 逆向工程在文物研究中的深度应用</w:t>
      </w:r>
    </w:p>
    <w:p>
      <w:pPr>
        <w:spacing w:before="120"/>
      </w:pPr>
      <w:r>
        <w:rPr>
          <w:b/>
          <w:sz w:val="22"/>
        </w:rPr>
        <w:t>4.12.1 工艺逆向分析</w:t>
      </w:r>
    </w:p>
    <w:p>
      <w:pPr>
        <w:spacing w:after="80" w:line="360" w:lineRule="auto"/>
        <w:ind w:firstLine="420"/>
      </w:pPr>
      <w:r>
        <w:rPr>
          <w:sz w:val="22"/>
        </w:rPr>
        <w:t>逆向工程不仅用于记录文物形态，还可以反推制作工艺。通过分析三维模型表面的工具痕迹、制作顺序和材料层次，可以推断古代工匠使用的工具、技术和工艺流程。姚增凯（2014）在研究基于逆向工程的文物数字化建模时，指出逆向工程技术为工艺史研究提供了新的数据基础[5]。</w:t>
      </w:r>
    </w:p>
    <w:p>
      <w:pPr>
        <w:spacing w:before="120"/>
      </w:pPr>
      <w:r>
        <w:rPr>
          <w:b/>
          <w:sz w:val="22"/>
        </w:rPr>
        <w:t>4.12.2 比较型态学分析</w:t>
      </w:r>
    </w:p>
    <w:p>
      <w:pPr>
        <w:spacing w:after="80" w:line="360" w:lineRule="auto"/>
        <w:ind w:firstLine="420"/>
      </w:pPr>
      <w:r>
        <w:rPr>
          <w:sz w:val="22"/>
        </w:rPr>
        <w:t>三维数字模型使比较型态学分析从定性走向定量——通过计算不同文物之间的几何相似度，可以量化分析器型演变和风格传播。Koutsoudis等人（2014）在评估多图像3D重建数据质量时，提出了三维模型比较分析的技术方法[7]。</w:t>
      </w:r>
    </w:p>
    <w:p>
      <w:pPr>
        <w:spacing w:before="120"/>
      </w:pPr>
      <w:r>
        <w:rPr>
          <w:b/>
          <w:sz w:val="22"/>
        </w:rPr>
        <w:t>4.12.3 数字孪生与虚拟实验</w:t>
      </w:r>
    </w:p>
    <w:p>
      <w:pPr>
        <w:spacing w:after="80" w:line="360" w:lineRule="auto"/>
        <w:ind w:firstLine="420"/>
      </w:pPr>
      <w:r>
        <w:rPr>
          <w:sz w:val="22"/>
        </w:rPr>
        <w:t>文物数字孪生体支持虚拟实验——在不接触实物的情况下测试不同保护方案的效果。例如，可以在数字孪生体上模拟不同温湿度条件下的材料响应，预测保护措施的效果。Cheng等人（2009）在文化遗产数字存档研究中，提出了3D激光扫描历史场景的系统化模型重建和数字存档流程[35]。</w:t>
      </w:r>
    </w:p>
    <w:p>
      <w:pPr>
        <w:spacing w:before="160" w:after="80"/>
      </w:pPr>
      <w:r>
        <w:rPr>
          <w:b/>
          <w:color w:val="2A9D8F"/>
          <w:sz w:val="26"/>
        </w:rPr>
        <w:t>4.10 文物数字典藏的质量保证体系</w:t>
      </w:r>
    </w:p>
    <w:p>
      <w:pPr>
        <w:spacing w:before="120"/>
      </w:pPr>
      <w:r>
        <w:rPr>
          <w:b/>
          <w:sz w:val="22"/>
        </w:rPr>
        <w:t>4.10.1 数字化质量评价指标</w:t>
      </w:r>
    </w:p>
    <w:p>
      <w:pPr>
        <w:spacing w:after="80" w:line="360" w:lineRule="auto"/>
        <w:ind w:firstLine="420"/>
      </w:pPr>
      <w:r>
        <w:rPr>
          <w:sz w:val="22"/>
        </w:rPr>
        <w:t>文物数字典藏的质量评价是确保数字资源长期可用性的关键环节。质量评价指标应覆盖以下维度：几何精度（三维模型与文物本体之间的尺寸误差，通常要求误差≤0.1mm）、纹理质量（纹理图像的分辨率、色彩还原度和无缝拼接质量）、拓扑质量（三维模型的网格质量——面片分布是否均匀、是否存在自交叉或非流形几何）、元数据完整性（是否包含文物编号、年代、材质、尺寸、采集设备、处理方法等完整描述信息）。</w:t>
      </w:r>
    </w:p>
    <w:p>
      <w:pPr>
        <w:spacing w:after="80" w:line="360" w:lineRule="auto"/>
        <w:ind w:firstLine="420"/>
      </w:pPr>
      <w:r>
        <w:rPr>
          <w:sz w:val="22"/>
        </w:rPr>
        <w:t>Remondino和Campana（2014）在研究三维考古记录时指出，质量评价不应仅关注最终成果，还应覆盖数字化全流程——设备校准、数据采集、数据处理和成果交付每个环节都应建立质量检查点[37]。这一"全流程质量管理"理念已被纳入多项国际标准和中国行业标准。</w:t>
      </w:r>
    </w:p>
    <w:p>
      <w:pPr>
        <w:spacing w:before="120"/>
      </w:pPr>
      <w:r>
        <w:rPr>
          <w:b/>
          <w:sz w:val="22"/>
        </w:rPr>
        <w:t>4.10.2 长期保存与格式迁移</w:t>
      </w:r>
    </w:p>
    <w:p>
      <w:pPr>
        <w:spacing w:after="80" w:line="360" w:lineRule="auto"/>
        <w:ind w:firstLine="420"/>
      </w:pPr>
      <w:r>
        <w:rPr>
          <w:sz w:val="22"/>
        </w:rPr>
        <w:t>文物数字典藏的长期保存面临格式淘汰和技术过时的风险——当前常用的三维模型格式（如OBJ、PLY、STL）在未来可能被新的格式取代。长期保存策略包括：采用开放标准格式（优先选择ISO认证的格式如X3D）、保留原始采集数据（未经处理的点云数据，以便未来用更好的算法重新处理）、定期进行格式迁移（将数据从旧格式转换到新格式，并验证转换的完整性）。D'Andrea等人（2014）在研究文化遗产三维数字保存时，建议建立"数字保存计划"——明确保存期限、迁移周期和质量验证标准[38]。</w:t>
      </w:r>
    </w:p>
    <w:p>
      <w:pPr>
        <w:spacing w:before="200" w:after="120"/>
      </w:pPr>
      <w:r>
        <w:rPr>
          <w:b/>
          <w:color w:val="457B9D"/>
          <w:sz w:val="30"/>
        </w:rPr>
        <w:t>参考文献</w:t>
      </w:r>
    </w:p>
    <w:p>
      <w:pPr>
        <w:spacing w:after="40"/>
        <w:ind w:left="425" w:hanging="425"/>
      </w:pPr>
      <w:r>
        <w:rPr>
          <w:sz w:val="20"/>
        </w:rPr>
        <w:t>[1] 王婷. 文物真三维数字建模技术在秦始皇兵马俑博物馆中的应用——以一号坑陶俑为例[J]. 2012. 万方数据.</w:t>
      </w:r>
    </w:p>
    <w:p>
      <w:pPr>
        <w:spacing w:after="40"/>
        <w:ind w:left="425" w:hanging="425"/>
      </w:pPr>
      <w:r>
        <w:rPr>
          <w:sz w:val="20"/>
        </w:rPr>
        <w:t>[2] Ting W. Application of 3D Digital Modeling Technology to Cultural Relics in the Museum of the Terra-Cotta Warriors and Horses of Qin Shihuang[J]. 2012. Semantic Scholar.</w:t>
      </w:r>
    </w:p>
    <w:p>
      <w:pPr>
        <w:spacing w:after="40"/>
        <w:ind w:left="425" w:hanging="425"/>
      </w:pPr>
      <w:r>
        <w:rPr>
          <w:sz w:val="20"/>
        </w:rPr>
        <w:t>[3] Kantaros A, Ganetsos T, Petrescu F I T. Three-Dimensional Printing and 3D Scanning: Emerging Technologies Exhibiting High Potential in the Field of Cultural Heritage[J]. Applied Sciences, 2023, 13(8): 4777. DOI: 10.3390/app13084777.</w:t>
      </w:r>
    </w:p>
    <w:p>
      <w:pPr>
        <w:spacing w:after="40"/>
        <w:ind w:left="425" w:hanging="425"/>
      </w:pPr>
      <w:r>
        <w:rPr>
          <w:sz w:val="20"/>
        </w:rPr>
        <w:t>[4] Barszcz M, Dziedzic K, Skublewska-Paszkowska M, et al. 3D Scanning Digital Models for Virtual Museums[J]. Computer Animation and Virtual Worlds, 2023. DOI: 10.1002/cav.2154.</w:t>
      </w:r>
    </w:p>
    <w:p>
      <w:pPr>
        <w:spacing w:after="40"/>
        <w:ind w:left="425" w:hanging="425"/>
      </w:pPr>
      <w:r>
        <w:rPr>
          <w:sz w:val="20"/>
        </w:rPr>
        <w:t>[5] 姚增凯. 基于逆向工程技术的文物数字化建模及应用[J]. 2014. 维普期刊.</w:t>
      </w:r>
    </w:p>
    <w:p>
      <w:pPr>
        <w:spacing w:after="40"/>
        <w:ind w:left="425" w:hanging="425"/>
      </w:pPr>
      <w:r>
        <w:rPr>
          <w:sz w:val="20"/>
        </w:rPr>
        <w:t>[6] Farella E M, Morelli L, Rigon S, et al. Analysing Key Steps of the Photogrammetric Pipeline for Museum Artefacts 3D Digitisation[J]. Sustainability, 2022, 14(9): 5740. DOI: 10.3390/su14095740.</w:t>
      </w:r>
    </w:p>
    <w:p>
      <w:pPr>
        <w:spacing w:after="40"/>
        <w:ind w:left="425" w:hanging="425"/>
      </w:pPr>
      <w:r>
        <w:rPr>
          <w:sz w:val="20"/>
        </w:rPr>
        <w:t>[7] Koutsoudis A, Vidmar B, Ioannakis G, et al. Multi-image 3D Reconstruction Data Evaluation[J]. Journal of Cultural Heritage, 2014, 15(1): 73-83. DOI: 10.1016/J.CULHER.2012.12.003.</w:t>
      </w:r>
    </w:p>
    <w:p>
      <w:pPr>
        <w:spacing w:after="40"/>
        <w:ind w:left="425" w:hanging="425"/>
      </w:pPr>
      <w:r>
        <w:rPr>
          <w:sz w:val="20"/>
        </w:rPr>
        <w:t>[8] Larue F, Di Benedetto M, Dellepiane M, et al. From the Digitization of Cultural Artifacts to the Web Publishing of Digital 3D Collections: an Automatic Pipeline for Knowledge Sharing[J]. Journal of Multimedia, 2012, 7(2): 132-144. DOI: 10.4304/jmm.7.2.132-144.</w:t>
      </w:r>
    </w:p>
    <w:p>
      <w:pPr>
        <w:spacing w:after="40"/>
        <w:ind w:left="425" w:hanging="425"/>
      </w:pPr>
      <w:r>
        <w:rPr>
          <w:sz w:val="20"/>
        </w:rPr>
        <w:t>[9] Micoli L, Barsanti S G, Malik U, et al. 3D Data Integration for the Digital Reconstruction of Cultural Heritage Monuments[J]. IOP Conference Series: Materials Science and Engineering, 2018, 364: 012043. DOI: 10.1088/1757-899X/364/1/012043.</w:t>
      </w:r>
    </w:p>
    <w:p>
      <w:pPr>
        <w:spacing w:after="40"/>
        <w:ind w:left="425" w:hanging="425"/>
      </w:pPr>
      <w:r>
        <w:rPr>
          <w:sz w:val="20"/>
        </w:rPr>
        <w:t>[10] Altuntas C, Yildiz F, Karabork H, et al. Surveying and Documentation of Detailed Historical Heritage by Laser Scanning[C]. 2007. Semantic Scholar.</w:t>
      </w:r>
    </w:p>
    <w:p>
      <w:pPr>
        <w:spacing w:after="40"/>
        <w:ind w:left="425" w:hanging="425"/>
      </w:pPr>
      <w:r>
        <w:rPr>
          <w:sz w:val="20"/>
        </w:rPr>
        <w:t>[11] M'Darhri A A, Baillet V, Bourineau B, et al. Share-Publish-Store-Preserve: Methodologies, Tools and Challenges for 3D Use in Social Sciences and Humanities[C]. 2019. Semantic Scholar.</w:t>
      </w:r>
    </w:p>
    <w:p>
      <w:pPr>
        <w:spacing w:after="40"/>
        <w:ind w:left="425" w:hanging="425"/>
      </w:pPr>
      <w:r>
        <w:rPr>
          <w:sz w:val="20"/>
        </w:rPr>
        <w:t>[12] 孙月霞, 李梁杭, 朱铃铃. 基于点云数据的文物修复与建模[J]. 2020. 维普期刊.</w:t>
      </w:r>
    </w:p>
    <w:p>
      <w:pPr>
        <w:spacing w:after="40"/>
        <w:ind w:left="425" w:hanging="425"/>
      </w:pPr>
      <w:r>
        <w:rPr>
          <w:sz w:val="20"/>
        </w:rPr>
        <w:t>[13] 张瑞, 骆岩林, 周明全, 等. 文物数字化的关键技术[J]. 2007. 万方数据.</w:t>
      </w:r>
    </w:p>
    <w:p>
      <w:pPr>
        <w:spacing w:after="40"/>
        <w:ind w:left="425" w:hanging="425"/>
      </w:pPr>
      <w:r>
        <w:rPr>
          <w:sz w:val="20"/>
        </w:rPr>
        <w:t>[14] Faraj G, Micsik A. Representing and Validating Cultural Heritage Knowledge Graphs in CIDOC-CRM Ontology[J]. Future Internet, 2021, 13(11): 277. DOI: 10.3390/fi13110277.</w:t>
      </w:r>
    </w:p>
    <w:p>
      <w:pPr>
        <w:spacing w:after="40"/>
        <w:ind w:left="425" w:hanging="425"/>
      </w:pPr>
      <w:r>
        <w:rPr>
          <w:sz w:val="20"/>
        </w:rPr>
        <w:t>[15] Feng S. Public Education and Public Service of Museums Based on Content Management Technology[C]. 2021. Semantic Scholar.</w:t>
      </w:r>
    </w:p>
    <w:p>
      <w:pPr>
        <w:spacing w:after="40"/>
        <w:ind w:left="425" w:hanging="425"/>
      </w:pPr>
      <w:r>
        <w:rPr>
          <w:sz w:val="20"/>
        </w:rPr>
        <w:t>[16] 刘芳, 吴振新. 三维数字化在国外文化遗产领域的应用[J]. 2022. 万方数据.</w:t>
      </w:r>
    </w:p>
    <w:p>
      <w:pPr>
        <w:spacing w:after="40"/>
        <w:ind w:left="425" w:hanging="425"/>
      </w:pPr>
      <w:r>
        <w:rPr>
          <w:sz w:val="20"/>
        </w:rPr>
        <w:t>[17] [作者不详]. 试论博物馆藏品的数字化管理与应用[J]. 2025. 万方数据.</w:t>
      </w:r>
    </w:p>
    <w:p>
      <w:pPr>
        <w:spacing w:after="40"/>
        <w:ind w:left="425" w:hanging="425"/>
      </w:pPr>
      <w:r>
        <w:rPr>
          <w:sz w:val="20"/>
        </w:rPr>
        <w:t>[18] 欧阳宏. 故宫院藏文物的三维数据采集与应用[J]. 2019. 万方数据.</w:t>
      </w:r>
    </w:p>
    <w:p>
      <w:pPr>
        <w:spacing w:after="40"/>
        <w:ind w:left="425" w:hanging="425"/>
      </w:pPr>
      <w:r>
        <w:rPr>
          <w:sz w:val="20"/>
        </w:rPr>
        <w:t>[19] Shi C, Duan X. 3D Simulation Technology of Cultural Relics in the Digitalized Yin Ruins[C]. 2007. DOI: 10.1007/978-3-540-73335-5_78.</w:t>
      </w:r>
    </w:p>
    <w:p>
      <w:pPr>
        <w:spacing w:after="40"/>
        <w:ind w:left="425" w:hanging="425"/>
      </w:pPr>
      <w:r>
        <w:rPr>
          <w:sz w:val="20"/>
        </w:rPr>
        <w:t>[20] Borin E, Donato F. Financial Sustainability of Digitizing Cultural Heritage: The International Platform Europeana[J]. Journal of Risk and Financial Management, 2023, 16(10): 421. DOI: 10.3390/jrfm16100421.</w:t>
      </w:r>
    </w:p>
    <w:p>
      <w:pPr>
        <w:spacing w:after="40"/>
        <w:ind w:left="425" w:hanging="425"/>
      </w:pPr>
      <w:r>
        <w:rPr>
          <w:sz w:val="20"/>
        </w:rPr>
        <w:t>[21] 汪静. Europeana发展现状及启示[J]. 2017. 维普期刊.</w:t>
      </w:r>
    </w:p>
    <w:p>
      <w:pPr>
        <w:spacing w:after="40"/>
        <w:ind w:left="425" w:hanging="425"/>
      </w:pPr>
      <w:r>
        <w:rPr>
          <w:sz w:val="20"/>
        </w:rPr>
        <w:t>[22] Spallone R, Lamberti F, Olivieri L M, et al. AR and VR for Enhancing Museums' Heritage through 3D Reconstruction of Fragmented Statue and Architectural Context[J]. ISPRS Archives, 2022. DOI: 10.5194/isprs-archives-XLVI-2-W1-2022-473-2022.</w:t>
      </w:r>
    </w:p>
    <w:p>
      <w:pPr>
        <w:spacing w:after="40"/>
        <w:ind w:left="425" w:hanging="425"/>
      </w:pPr>
      <w:r>
        <w:rPr>
          <w:sz w:val="20"/>
        </w:rPr>
        <w:t>[23] Cheng H M, Yen Y, Yang W B. Digital Archiving in Cultural Heritage Preservation[C]. 2009. Semantic Scholar.</w:t>
      </w:r>
    </w:p>
    <w:p>
      <w:pPr>
        <w:spacing w:after="40"/>
        <w:ind w:left="425" w:hanging="425"/>
      </w:pPr>
      <w:r>
        <w:rPr>
          <w:sz w:val="20"/>
        </w:rPr>
        <w:t>[24] Casillo M, Colace F, Gaeta R, et al. Revolutionizing Cultural Heritage Preservation: An Innovative IoT-based Framework for Protecting Historical Buildings[J]. Evolving Systems, 2024. DOI: 10.1007/s12065-024-00959-y.</w:t>
      </w:r>
    </w:p>
    <w:p>
      <w:pPr>
        <w:spacing w:after="40"/>
        <w:ind w:left="425" w:hanging="425"/>
      </w:pPr>
      <w:r>
        <w:rPr>
          <w:sz w:val="20"/>
        </w:rPr>
        <w:t>[25] 刘芳, 吴振新. 三维数字化在国外文化遗产领域的应用[J]. 2022. 万方数据.</w:t>
      </w:r>
    </w:p>
    <w:p>
      <w:pPr>
        <w:spacing w:after="40"/>
        <w:ind w:left="425" w:hanging="425"/>
      </w:pPr>
      <w:r>
        <w:rPr>
          <w:sz w:val="20"/>
        </w:rPr>
        <w:t>[26] 张文亮, 彭媛媛, 张桐. 国外古籍数字化标准实践进展及其启示[J]. 2019. 万方数据.</w:t>
      </w:r>
    </w:p>
    <w:p>
      <w:pPr>
        <w:spacing w:after="40"/>
        <w:ind w:left="425" w:hanging="425"/>
      </w:pPr>
      <w:r>
        <w:rPr>
          <w:sz w:val="20"/>
        </w:rPr>
        <w:t>[27] 孙月霞, 李梁杭, 朱铃铃. 基于点云数据的文物修复与建模[J]. 2020. 维普期刊.</w:t>
      </w:r>
    </w:p>
    <w:p>
      <w:pPr>
        <w:spacing w:after="40"/>
        <w:ind w:left="425" w:hanging="425"/>
      </w:pPr>
      <w:r>
        <w:rPr>
          <w:sz w:val="20"/>
        </w:rPr>
        <w:t>[28] 张卫东, 赵红颖, 李洋. 欧美图书档案数字化融合服务实践及启示[J]. 2013. 万方数据.</w:t>
      </w:r>
    </w:p>
    <w:p>
      <w:pPr>
        <w:spacing w:after="40"/>
        <w:ind w:left="425" w:hanging="425"/>
      </w:pPr>
      <w:r>
        <w:rPr>
          <w:sz w:val="20"/>
        </w:rPr>
        <w:t>[25] 刘芳, 吴振新. 三维数字化在国外文化遗产领域的应用[J]. 2022. 万方数据.</w:t>
      </w:r>
    </w:p>
    <w:p>
      <w:pPr>
        <w:spacing w:after="40"/>
        <w:ind w:left="425" w:hanging="425"/>
      </w:pPr>
      <w:r>
        <w:rPr>
          <w:sz w:val="20"/>
        </w:rPr>
        <w:t>[29] Kantaros A, et al. Three-Dimensional Printing and 3D Scanning: Emerging Technologies in Cultural Heritage[J]. 2023. DOI: 10.3390/app13084777.</w:t>
      </w:r>
    </w:p>
    <w:p>
      <w:pPr>
        <w:spacing w:after="40"/>
        <w:ind w:left="425" w:hanging="425"/>
      </w:pPr>
      <w:r>
        <w:rPr>
          <w:sz w:val="20"/>
        </w:rPr>
        <w:t>[30] Barzaghi S, et al. CHAD-KG: A Knowledge Graph for Representing Cultural Heritage Objects and Digitisation Paradata[J]. arXiv:2505.13276, 2025. DOI: 10.48550/arXiv.2505.13276.</w:t>
      </w:r>
    </w:p>
    <w:p>
      <w:pPr>
        <w:spacing w:after="40"/>
        <w:ind w:left="425" w:hanging="425"/>
      </w:pPr>
      <w:r>
        <w:rPr>
          <w:sz w:val="20"/>
        </w:rPr>
        <w:t>[31] Larue F, et al. From the Digitization of Cultural Artifacts to the Web Publishing of Digital 3D Collections[J]. 2012. DOI: 10.4304/jmm.7.2.132-144.</w:t>
      </w:r>
    </w:p>
    <w:p>
      <w:pPr>
        <w:spacing w:after="40"/>
        <w:ind w:left="425" w:hanging="425"/>
      </w:pPr>
      <w:r>
        <w:rPr>
          <w:sz w:val="20"/>
        </w:rPr>
        <w:t>[32] 孔凡运. 文化遗产数字化保存的策略与挑战[J]. 2025. 万方数据.</w:t>
      </w:r>
    </w:p>
    <w:p>
      <w:pPr>
        <w:spacing w:after="40"/>
        <w:ind w:left="425" w:hanging="425"/>
      </w:pPr>
      <w:r>
        <w:rPr>
          <w:sz w:val="20"/>
        </w:rPr>
        <w:t>[5] 姚增凯. 基于逆向工程技术的文物数字化建模及应用[J]. 2014. 维普期刊.</w:t>
      </w:r>
    </w:p>
    <w:p>
      <w:pPr>
        <w:spacing w:after="40"/>
        <w:ind w:left="425" w:hanging="425"/>
      </w:pPr>
      <w:r>
        <w:rPr>
          <w:sz w:val="20"/>
        </w:rPr>
        <w:t>[7] Koutsoudis A, et al. Multi-image 3D Reconstruction Data Evaluation[J]. 2014. DOI: 10.1016/J.CULHER.2012.12.003.</w:t>
      </w:r>
    </w:p>
    <w:p>
      <w:pPr>
        <w:spacing w:after="40"/>
        <w:ind w:left="425" w:hanging="425"/>
      </w:pPr>
      <w:r>
        <w:rPr>
          <w:sz w:val="20"/>
        </w:rPr>
        <w:t>[29] Borin E, Donato F. Financial Sustainability of Digitizing Cultural Heritage: Europeana[J]. 2023. DOI: 10.3390/jrfm16100421.</w:t>
      </w:r>
    </w:p>
    <w:p>
      <w:pPr>
        <w:spacing w:after="40"/>
        <w:ind w:left="425" w:hanging="425"/>
      </w:pPr>
      <w:r>
        <w:rPr>
          <w:sz w:val="20"/>
        </w:rPr>
        <w:t>[33] Skublewska-Paszkowska M, et al. 3D Technologies for Intangible Cultural Heritage Preservation[J]. 2022. DOI: 10.1186/s40494-021-00633-x.</w:t>
      </w:r>
    </w:p>
    <w:p>
      <w:pPr>
        <w:spacing w:after="40"/>
        <w:ind w:left="425" w:hanging="425"/>
      </w:pPr>
      <w:r>
        <w:rPr>
          <w:sz w:val="20"/>
        </w:rPr>
        <w:t>[34] Furferi R, et al. Enhancing Traditional Museum Fruition[J]. 2024. DOI: 10.1186/s40494-024-01139-y.</w:t>
      </w:r>
    </w:p>
    <w:p>
      <w:pPr>
        <w:spacing w:after="40"/>
        <w:ind w:left="425" w:hanging="425"/>
      </w:pPr>
      <w:r>
        <w:rPr>
          <w:sz w:val="20"/>
        </w:rPr>
        <w:t>[35] Cheng H M, et al. Digital Archiving in Cultural Heritage Preservation[C]. 2009. Semantic Scholar.</w:t>
      </w:r>
    </w:p>
    <w:p>
      <w:pPr>
        <w:spacing w:after="40"/>
        <w:ind w:left="425" w:hanging="425"/>
      </w:pPr>
      <w:r>
        <w:rPr>
          <w:sz w:val="20"/>
        </w:rPr>
        <w:t>[37] Remondino F, Campana S. 3D Surveying and Modelling in Archaeology and Cultural Heritage[M]. 2014. Semantic Scholar.</w:t>
      </w:r>
    </w:p>
    <w:p>
      <w:pPr>
        <w:spacing w:after="40"/>
        <w:ind w:left="425" w:hanging="425"/>
      </w:pPr>
      <w:r>
        <w:rPr>
          <w:sz w:val="20"/>
        </w:rPr>
        <w:t>[38] D'Andrea A, et al. 3D Digital Preservation of Cultural Heritage[J]. 2014. Semantic Scholar.</w:t>
      </w:r>
    </w:p>
    <w:p>
      <w:r>
        <w:br w:type="page"/>
      </w:r>
    </w:p>
    <w:p>
      <w:pPr>
        <w:spacing w:before="240" w:after="160"/>
      </w:pPr>
      <w:r>
        <w:rPr>
          <w:b/>
          <w:color w:val="264653"/>
          <w:sz w:val="36"/>
        </w:rPr>
        <w:t>第5章 非物质文化遗产数字化保护技术</w:t>
      </w:r>
    </w:p>
    <w:p>
      <w:pPr>
        <w:spacing w:before="200" w:after="120"/>
      </w:pPr>
      <w:r>
        <w:rPr>
          <w:b/>
          <w:color w:val="457B9D"/>
          <w:sz w:val="30"/>
        </w:rPr>
        <w:t>学习目标</w:t>
      </w:r>
    </w:p>
    <w:p>
      <w:pPr>
        <w:pStyle w:val="ListBullet"/>
      </w:pPr>
      <w:r>
        <w:rPr>
          <w:sz w:val="22"/>
        </w:rPr>
        <w:t>掌握非遗数字化的多模态采集技术</w:t>
      </w:r>
    </w:p>
    <w:p>
      <w:pPr>
        <w:pStyle w:val="ListBullet"/>
      </w:pPr>
      <w:r>
        <w:rPr>
          <w:sz w:val="22"/>
        </w:rPr>
        <w:t>理解不同类型非遗的数字化策略差异</w:t>
      </w:r>
    </w:p>
    <w:p>
      <w:pPr>
        <w:pStyle w:val="ListBullet"/>
      </w:pPr>
      <w:r>
        <w:rPr>
          <w:sz w:val="22"/>
        </w:rPr>
        <w:t>了解非遗数字档案建设方法</w:t>
      </w:r>
    </w:p>
    <w:p>
      <w:pPr>
        <w:pStyle w:val="ListBullet"/>
      </w:pPr>
      <w:r>
        <w:rPr>
          <w:sz w:val="22"/>
        </w:rPr>
        <w:t>能够设计非遗数字化保护方案</w:t>
      </w:r>
    </w:p>
    <w:p>
      <w:pPr>
        <w:spacing w:before="200" w:after="120"/>
      </w:pPr>
      <w:r>
        <w:rPr>
          <w:b/>
          <w:color w:val="457B9D"/>
          <w:sz w:val="30"/>
        </w:rPr>
        <w:t>导入案例：中国剪纸艺术数字化保护——从图像采集到知识图谱构建</w:t>
      </w:r>
    </w:p>
    <w:p>
      <w:pPr>
        <w:spacing w:after="80" w:line="360" w:lineRule="auto"/>
        <w:ind w:firstLine="420"/>
      </w:pPr>
      <w:r>
        <w:rPr>
          <w:sz w:val="22"/>
        </w:rPr>
        <w:t>剪纸是中国最普及的民间传统装饰艺术之一，2009年被列入UNESCO人类非遗代表作名录。彭冬梅（2008）以浙江大学与山东工艺美术学院合作的剪纸ICH数字化保护项目为例，研究了两种ICH保护手段，探讨了中华民族进行ICH数字化保护的方法论[1]。该项目不仅对剪纸作品进行高精度图像采集，还记录了剪纸艺人的手法轨迹、工具使用方式和创作口述史，最终构建了剪纸艺术知识图谱——将剪纸的纹样母题、地域流派、象征意义、使用场景等信息以结构化方式关联起来。</w:t>
      </w:r>
    </w:p>
    <w:p>
      <w:pPr>
        <w:spacing w:after="80" w:line="360" w:lineRule="auto"/>
        <w:ind w:firstLine="420"/>
      </w:pPr>
      <w:r>
        <w:rPr>
          <w:sz w:val="22"/>
        </w:rPr>
        <w:t>这一案例揭示了一个重要事实：非遗数字化绝不仅是"拍照存档"，而是涉及多模态数据采集、过程性记录、知识结构化和语义关联的系统工程。黄永林和谈国新（2012）在研究中国ICH数字化保护与开发时提出，数字化技术在ICH保护与传承中的重要作用体现在四个方面：数字化采集和存储、数字化复原和再现、数字化展示与传播、虚拟现实开发利用[2]。</w:t>
      </w:r>
    </w:p>
    <w:p>
      <w:pPr>
        <w:spacing w:before="200" w:after="120"/>
      </w:pPr>
      <w:r>
        <w:rPr>
          <w:b/>
          <w:color w:val="457B9D"/>
          <w:sz w:val="30"/>
        </w:rPr>
        <w:t>5.1 非遗数字化的技术体系</w:t>
      </w:r>
    </w:p>
    <w:p>
      <w:pPr>
        <w:spacing w:before="160" w:after="80"/>
      </w:pPr>
      <w:r>
        <w:rPr>
          <w:b/>
          <w:color w:val="2A9D8F"/>
          <w:sz w:val="26"/>
        </w:rPr>
        <w:t>5.1.1 音频采集与处理</w:t>
      </w:r>
    </w:p>
    <w:p>
      <w:pPr>
        <w:spacing w:after="80" w:line="360" w:lineRule="auto"/>
        <w:ind w:firstLine="420"/>
      </w:pPr>
      <w:r>
        <w:rPr>
          <w:sz w:val="22"/>
        </w:rPr>
        <w:t>口头传统和传统音乐是非遗的重要类型，音频采集是其数字化的核心。高质量的音频采集需要专业设备和环境控制：</w:t>
      </w:r>
    </w:p>
    <w:p>
      <w:pPr>
        <w:spacing w:after="80" w:line="360" w:lineRule="auto"/>
        <w:ind w:firstLine="420"/>
      </w:pPr>
      <w:r>
        <w:rPr>
          <w:b/>
          <w:sz w:val="22"/>
        </w:rPr>
        <w:t>设备要求</w:t>
      </w:r>
      <w:r>
        <w:rPr>
          <w:sz w:val="22"/>
        </w:rPr>
        <w:t>：使用专业级麦克风（电容式或动圈式），采样率不低于48kHz/24bit，录制格式为无损WAV。对于田野录音，需配备防风罩、防震架和便携录音设备。卓颐（2016）在研究闽南音乐ICH保护时指出，数字技术以其存储方便和传播迅速的优势被广泛应用于ICH的保存和展示工作中，以往单一的文字记录正逐步转向文、影、音、图的立体化数字媒体记录[3]。</w:t>
      </w:r>
    </w:p>
    <w:p>
      <w:pPr>
        <w:spacing w:after="80" w:line="360" w:lineRule="auto"/>
        <w:ind w:firstLine="420"/>
      </w:pPr>
      <w:r>
        <w:rPr>
          <w:b/>
          <w:sz w:val="22"/>
        </w:rPr>
        <w:t>环境要求</w:t>
      </w:r>
      <w:r>
        <w:rPr>
          <w:sz w:val="22"/>
        </w:rPr>
        <w:t>：尽可能在安静环境中录制，避免回声和噪声干扰。对于现场仪式的录音，需使用多麦克风方案——近距离麦克风捕捉表演者声音，远距离麦克风记录环境氛围。</w:t>
      </w:r>
    </w:p>
    <w:p>
      <w:pPr>
        <w:spacing w:after="80" w:line="360" w:lineRule="auto"/>
        <w:ind w:firstLine="420"/>
      </w:pPr>
      <w:r>
        <w:rPr>
          <w:b/>
          <w:sz w:val="22"/>
        </w:rPr>
        <w:t>后期处理</w:t>
      </w:r>
      <w:r>
        <w:rPr>
          <w:sz w:val="22"/>
        </w:rPr>
        <w:t>：降噪、均衡、压缩等音频处理技术用于提升录音质量。语音转文字（ASR）技术可将口述传统自动转录为文本，支持全文检索和语义分析。</w:t>
      </w:r>
    </w:p>
    <w:p>
      <w:pPr>
        <w:spacing w:before="160" w:after="80"/>
      </w:pPr>
      <w:r>
        <w:rPr>
          <w:b/>
          <w:color w:val="2A9D8F"/>
          <w:sz w:val="26"/>
        </w:rPr>
        <w:t>5.1.2 视频记录与动作捕捉</w:t>
      </w:r>
    </w:p>
    <w:p>
      <w:pPr>
        <w:spacing w:after="80" w:line="360" w:lineRule="auto"/>
        <w:ind w:firstLine="420"/>
      </w:pPr>
      <w:r>
        <w:rPr>
          <w:sz w:val="22"/>
        </w:rPr>
        <w:t>表演艺术类非遗的数字化需要视频记录和动作捕捉技术的配合使用。</w:t>
      </w:r>
    </w:p>
    <w:p>
      <w:pPr>
        <w:spacing w:after="80" w:line="360" w:lineRule="auto"/>
        <w:ind w:firstLine="420"/>
      </w:pPr>
      <w:r>
        <w:rPr>
          <w:b/>
          <w:sz w:val="22"/>
        </w:rPr>
        <w:t>视频记录</w:t>
      </w:r>
      <w:r>
        <w:rPr>
          <w:sz w:val="22"/>
        </w:rPr>
        <w:t>采用多机位拍摄方案，至少包含全景机位（记录整体场景）、中景机位（记录表演者动作）和特写机位（记录关键细节）。4K/8K超高清视频已成为标准配置，高帧率拍摄（120fps以上）可捕捉快速动作的细节。</w:t>
      </w:r>
    </w:p>
    <w:p>
      <w:pPr>
        <w:spacing w:after="80" w:line="360" w:lineRule="auto"/>
        <w:ind w:firstLine="420"/>
      </w:pPr>
      <w:r>
        <w:rPr>
          <w:b/>
          <w:sz w:val="22"/>
        </w:rPr>
        <w:t>动作捕捉</w:t>
      </w:r>
      <w:r>
        <w:rPr>
          <w:sz w:val="22"/>
        </w:rPr>
        <w:t>（Motion Capture, MoCap）技术能够精确记录人体运动的三维数据。光学式动作捕捉（如Vicon系统）通过红外摄像头追踪表演者身上的反光标记点，精度可达亚毫米级。惯性式动作捕捉（如Xsens系统）使用穿戴式IMU传感器，便携性更好但精度略低。</w:t>
      </w:r>
    </w:p>
    <w:p>
      <w:pPr>
        <w:spacing w:after="80" w:line="360" w:lineRule="auto"/>
        <w:ind w:firstLine="420"/>
      </w:pPr>
      <w:r>
        <w:rPr>
          <w:sz w:val="22"/>
        </w:rPr>
        <w:t>Skublewska-Paszkowska等人（2022）在对3D技术用于ICH保护的文献综述中，系统梳理了动作捕捉、三维重建和虚拟现实技术在ICH数字化中的应用现状和技术挑战[4]。Zhao（2026）在研究三维建模与虚拟重建在ICH保护中的角色时，探讨了AI与三维建模技术在ICH保护中的新兴应用[5]。</w:t>
      </w:r>
    </w:p>
    <w:p>
      <w:pPr>
        <w:spacing w:before="160" w:after="80"/>
      </w:pPr>
      <w:r>
        <w:rPr>
          <w:b/>
          <w:color w:val="2A9D8F"/>
          <w:sz w:val="26"/>
        </w:rPr>
        <w:t>5.1.3 三维数字化</w:t>
      </w:r>
    </w:p>
    <w:p>
      <w:pPr>
        <w:spacing w:after="80" w:line="360" w:lineRule="auto"/>
        <w:ind w:firstLine="420"/>
      </w:pPr>
      <w:r>
        <w:rPr>
          <w:sz w:val="22"/>
        </w:rPr>
        <w:t>传统手工艺品的成品需要三维数字化记录。与文物三维数字化（第4章）类似，ICH的三维数字化也使用三维扫描和摄影测量技术，但有其特殊性——不仅要记录成品，还要记录制作过程中的中间状态。例如，陶瓷烧制需要记录拉坯、修坯、上釉、烧制各阶段的形态变化；木雕需要记录从原木到成品的逐步雕刻过程。</w:t>
      </w:r>
    </w:p>
    <w:p>
      <w:pPr>
        <w:spacing w:after="80" w:line="360" w:lineRule="auto"/>
        <w:ind w:firstLine="420"/>
      </w:pPr>
      <w:r>
        <w:rPr>
          <w:sz w:val="22"/>
        </w:rPr>
        <w:t>Amali等人（2022）在研究有形与无形文化遗产的数字技术保护时，指出目前ICH的保存和有形文化遗产文物的展示场所都存在不足，数字技术为两者提供了互补的保护路径[6]。</w:t>
      </w:r>
    </w:p>
    <w:p>
      <w:pPr>
        <w:spacing w:before="160" w:after="80"/>
      </w:pPr>
      <w:r>
        <w:rPr>
          <w:b/>
          <w:color w:val="2A9D8F"/>
          <w:sz w:val="26"/>
        </w:rPr>
        <w:t>5.1.4 多模态数据融合</w:t>
      </w:r>
    </w:p>
    <w:p>
      <w:pPr>
        <w:spacing w:after="80" w:line="360" w:lineRule="auto"/>
        <w:ind w:firstLine="420"/>
      </w:pPr>
      <w:r>
        <w:rPr>
          <w:sz w:val="22"/>
        </w:rPr>
        <w:t>非遗数字化的多模态数据融合是其技术体系的核心创新。一条完整的非遗数字记录可能包含：高清视频（表演过程）、高精度音频（声音/音乐/口述）、三维模型（成品/道具/空间）、动作数据（表演者运动轨迹）、文本数据（口述史/技艺说明/背景资料）、图像数据（环境照片/工艺细节照片）等。</w:t>
      </w:r>
    </w:p>
    <w:p>
      <w:pPr>
        <w:spacing w:after="80" w:line="360" w:lineRule="auto"/>
        <w:ind w:firstLine="420"/>
      </w:pPr>
      <w:r>
        <w:rPr>
          <w:sz w:val="22"/>
        </w:rPr>
        <w:t>这些不同模态的数据需要在时间轴上对齐（synchronization），在语义层面关联（semantic linking），形成"立体化"的数字记录。Xiong和Srijinda（2025）指出，数字资源作为有效的数字存储手段，可以为ICH的抢救性保护提供高质量数据源[7]。Wang（2023）在研究ICH数字传播视角时，提出多模态数据融合是ICH数字化从"记录"走向"再现"的关键技术[8]。</w:t>
      </w:r>
    </w:p>
    <w:p>
      <w:pPr>
        <w:spacing w:before="200" w:after="120"/>
      </w:pPr>
      <w:r>
        <w:rPr>
          <w:b/>
          <w:color w:val="457B9D"/>
          <w:sz w:val="30"/>
        </w:rPr>
        <w:t>5.2 不同类型非遗的数字化策略</w:t>
      </w:r>
    </w:p>
    <w:p>
      <w:pPr>
        <w:spacing w:before="160" w:after="80"/>
      </w:pPr>
      <w:r>
        <w:rPr>
          <w:b/>
          <w:color w:val="2A9D8F"/>
          <w:sz w:val="26"/>
        </w:rPr>
        <w:t>5.2.1 口头传统的数字化记录与语义标注</w:t>
      </w:r>
    </w:p>
    <w:p>
      <w:pPr>
        <w:spacing w:after="80" w:line="360" w:lineRule="auto"/>
        <w:ind w:firstLine="420"/>
      </w:pPr>
      <w:r>
        <w:rPr>
          <w:sz w:val="22"/>
        </w:rPr>
        <w:t>口头传统的数字化不仅需要高质量音频记录，更需要深层的语义标注。仅有一段录音是不够的——还需要将其转录为文本，标注语言、方言、讲述者、采集地点、故事类型等信息，并建立故事母题索引。</w:t>
      </w:r>
    </w:p>
    <w:p>
      <w:pPr>
        <w:spacing w:after="80" w:line="360" w:lineRule="auto"/>
        <w:ind w:firstLine="420"/>
      </w:pPr>
      <w:r>
        <w:rPr>
          <w:sz w:val="22"/>
        </w:rPr>
        <w:t>中国《格萨尔》史诗的数字化保护是典型案例。这部流传于藏族、蒙古族等民族中的史诗长达数百万行，是世界上最长的史诗。其数字化涉及多语言文本对齐、说唱音频归档、说唱艺人传记记录、史诗地理信息标注等多个维度。</w:t>
      </w:r>
    </w:p>
    <w:p>
      <w:pPr>
        <w:spacing w:before="160" w:after="80"/>
      </w:pPr>
      <w:r>
        <w:rPr>
          <w:b/>
          <w:color w:val="2A9D8F"/>
          <w:sz w:val="26"/>
        </w:rPr>
        <w:t>5.2.2 表演艺术的动作捕捉与虚拟再现</w:t>
      </w:r>
    </w:p>
    <w:p>
      <w:pPr>
        <w:spacing w:after="80" w:line="360" w:lineRule="auto"/>
        <w:ind w:firstLine="420"/>
      </w:pPr>
      <w:r>
        <w:rPr>
          <w:sz w:val="22"/>
        </w:rPr>
        <w:t>表演艺术的数字化目标是"可再现"——不仅要记录某一次演出，更要使后人能够基于数字数据"重演"这一艺术形式。动作捕捉技术在此发挥了关键作用。</w:t>
      </w:r>
    </w:p>
    <w:p>
      <w:pPr>
        <w:spacing w:after="80" w:line="360" w:lineRule="auto"/>
        <w:ind w:firstLine="420"/>
      </w:pPr>
      <w:r>
        <w:rPr>
          <w:sz w:val="22"/>
        </w:rPr>
        <w:t>以传统戏曲为例，动作捕捉可以记录演员的唱念做打——身段、手势、步法、眼神（通过面部表情捕捉）。捕获的运动数据可以驱动虚拟角色，使已故大师的表演风格"复活"于数字空间。Jung等人（2020）在研究韩国济州岛文化遗产的混合VR/AR应用时，展示了动作捕捉与VR结合实现文化沉浸的实践[9]。</w:t>
      </w:r>
    </w:p>
    <w:p>
      <w:pPr>
        <w:spacing w:before="160" w:after="80"/>
      </w:pPr>
      <w:r>
        <w:rPr>
          <w:b/>
          <w:color w:val="2A9D8F"/>
          <w:sz w:val="26"/>
        </w:rPr>
        <w:t>5.2.3 传统手工艺的工艺流程数字化</w:t>
      </w:r>
    </w:p>
    <w:p>
      <w:pPr>
        <w:spacing w:after="80" w:line="360" w:lineRule="auto"/>
        <w:ind w:firstLine="420"/>
      </w:pPr>
      <w:r>
        <w:rPr>
          <w:sz w:val="22"/>
        </w:rPr>
        <w:t>传统手工艺的数字化是最复杂的类型，需要系统记录完整的工艺流程。以景德镇传统制瓷技艺为例，其工艺流程包括练泥、拉坯、利坯、晒坯、刻花、施釉、烧窑等十余道工序，每道工序都有特定的工具、材料、手法和经验参数。</w:t>
      </w:r>
    </w:p>
    <w:p>
      <w:pPr>
        <w:spacing w:after="80" w:line="360" w:lineRule="auto"/>
        <w:ind w:firstLine="420"/>
      </w:pPr>
      <w:r>
        <w:rPr>
          <w:sz w:val="22"/>
        </w:rPr>
        <w:t>数字化策略是"全流程多模态记录"：对每道工序进行高清视频记录+工具和半成品的三维扫描+工匠口述技艺要点+材料成分分析+环境参数（温度、湿度）记录。朱海澎（2014）在研究基于Web3D技术的ICH数字化保护时，提出通过Web3D技术构建ICH网络三维展示平台，为展示、宣传、保护ICH提供了新方法[10]。</w:t>
      </w:r>
    </w:p>
    <w:p>
      <w:pPr>
        <w:spacing w:before="160" w:after="80"/>
      </w:pPr>
      <w:r>
        <w:rPr>
          <w:b/>
          <w:color w:val="2A9D8F"/>
          <w:sz w:val="26"/>
        </w:rPr>
        <w:t>5.2.4 节庆仪式的沉浸式记录</w:t>
      </w:r>
    </w:p>
    <w:p>
      <w:pPr>
        <w:spacing w:after="80" w:line="360" w:lineRule="auto"/>
        <w:ind w:firstLine="420"/>
      </w:pPr>
      <w:r>
        <w:rPr>
          <w:sz w:val="22"/>
        </w:rPr>
        <w:t>节庆仪式是社区集体参与的非遗形式，其数字化记录需要"沉浸式"方法——不仅记录仪式本身，还要记录仪式所在的空间环境、参与者的行为和情感反应。360度全景视频和VR技术为此提供了技术支撑。于连伯（2021）在探讨博物馆数字化沉浸式交互体验设计时，指出通过AR、VR等先进技术对文化遗产进行可视化呈现，能够为参与者提供完全沉浸的文化体验[11]。</w:t>
      </w:r>
    </w:p>
    <w:p>
      <w:pPr>
        <w:spacing w:before="200" w:after="120"/>
      </w:pPr>
      <w:r>
        <w:rPr>
          <w:b/>
          <w:color w:val="457B9D"/>
          <w:sz w:val="30"/>
        </w:rPr>
        <w:t>5.3 非遗数字档案建设</w:t>
      </w:r>
    </w:p>
    <w:p>
      <w:pPr>
        <w:spacing w:before="160" w:after="80"/>
      </w:pPr>
      <w:r>
        <w:rPr>
          <w:b/>
          <w:color w:val="2A9D8F"/>
          <w:sz w:val="26"/>
        </w:rPr>
        <w:t>5.3.1 非遗资源数字化分类体系</w:t>
      </w:r>
    </w:p>
    <w:p>
      <w:pPr>
        <w:spacing w:after="80" w:line="360" w:lineRule="auto"/>
        <w:ind w:firstLine="420"/>
      </w:pPr>
      <w:r>
        <w:rPr>
          <w:sz w:val="22"/>
        </w:rPr>
        <w:t>中国非遗按十大类别分类（民间文学、传统音乐、传统舞蹈、传统戏剧、曲艺、传统体育游艺与杂技、传统美术、传统技艺、传统医药、民俗），但这一分类主要是行政管理层面的，数字化保护需要更细致的技术分类。黄永林和谈国新（2012）建议建立ICH资源数字化分类体系，从数字化技术维度对ICH进行重新组织[2]。</w:t>
      </w:r>
    </w:p>
    <w:p>
      <w:pPr>
        <w:spacing w:before="160" w:after="80"/>
      </w:pPr>
      <w:r>
        <w:rPr>
          <w:b/>
          <w:color w:val="2A9D8F"/>
          <w:sz w:val="26"/>
        </w:rPr>
        <w:t>5.3.2 数字档案的元数据设计</w:t>
      </w:r>
    </w:p>
    <w:p>
      <w:pPr>
        <w:spacing w:after="80" w:line="360" w:lineRule="auto"/>
        <w:ind w:firstLine="420"/>
      </w:pPr>
      <w:r>
        <w:rPr>
          <w:sz w:val="22"/>
        </w:rPr>
        <w:t>ICH数字档案的元数据设计需考虑ICH的特殊性：传承人信息、传承谱系、社区/群体归属、文化空间信息、采集伦理标注等都是ICH特有的元数据元素。中国学者（2025）在研究AI驱动下ICH的数字化保护与活态传承时，提出构建功能完善且数据完整的非遗数字档案，并实现非遗数字版权保护与区块链技术的融合[12]。</w:t>
      </w:r>
    </w:p>
    <w:p>
      <w:pPr>
        <w:spacing w:before="160" w:after="80"/>
      </w:pPr>
      <w:r>
        <w:rPr>
          <w:b/>
          <w:color w:val="2A9D8F"/>
          <w:sz w:val="26"/>
        </w:rPr>
        <w:t>5.3.3 非遗数据库建设规范</w:t>
      </w:r>
    </w:p>
    <w:p>
      <w:pPr>
        <w:spacing w:after="80" w:line="360" w:lineRule="auto"/>
        <w:ind w:firstLine="420"/>
      </w:pPr>
      <w:r>
        <w:rPr>
          <w:sz w:val="22"/>
        </w:rPr>
        <w:t>非遗数据库建设应遵循以下规范：</w:t>
      </w:r>
    </w:p>
    <w:p>
      <w:pPr>
        <w:pStyle w:val="ListBullet"/>
      </w:pPr>
      <w:r>
        <w:rPr>
          <w:b/>
          <w:sz w:val="22"/>
        </w:rPr>
        <w:t>数据采集规范</w:t>
      </w:r>
      <w:r>
        <w:rPr>
          <w:sz w:val="22"/>
        </w:rPr>
        <w:t>：统一音视频采集标准（采样率、分辨率、格式）、三维扫描精度要求</w:t>
      </w:r>
    </w:p>
    <w:p>
      <w:pPr>
        <w:pStyle w:val="ListBullet"/>
      </w:pPr>
      <w:r>
        <w:rPr>
          <w:b/>
          <w:sz w:val="22"/>
        </w:rPr>
        <w:t>元数据规范</w:t>
      </w:r>
      <w:r>
        <w:rPr>
          <w:sz w:val="22"/>
        </w:rPr>
        <w:t>：参照CIDOC-CRM扩展ICH特定元素，支持跨库检索</w:t>
      </w:r>
    </w:p>
    <w:p>
      <w:pPr>
        <w:pStyle w:val="ListBullet"/>
      </w:pPr>
      <w:r>
        <w:rPr>
          <w:b/>
          <w:sz w:val="22"/>
        </w:rPr>
        <w:t>数据安全规范</w:t>
      </w:r>
      <w:r>
        <w:rPr>
          <w:sz w:val="22"/>
        </w:rPr>
        <w:t>：敏感数据分级管理，传承人隐私保护</w:t>
      </w:r>
    </w:p>
    <w:p>
      <w:pPr>
        <w:pStyle w:val="ListBullet"/>
      </w:pPr>
      <w:r>
        <w:rPr>
          <w:b/>
          <w:sz w:val="22"/>
        </w:rPr>
        <w:t>数据共享规范</w:t>
      </w:r>
      <w:r>
        <w:rPr>
          <w:sz w:val="22"/>
        </w:rPr>
        <w:t>：开放获取与访问控制并行的分级共享机制</w:t>
      </w:r>
    </w:p>
    <w:p>
      <w:pPr>
        <w:spacing w:after="80" w:line="360" w:lineRule="auto"/>
        <w:ind w:firstLine="420"/>
      </w:pPr>
      <w:r>
        <w:rPr>
          <w:sz w:val="22"/>
        </w:rPr>
        <w:t>何岩（2016）在评述杨红《非物质文化遗产数字化研究》一书时指出，民俗类ICH的数字化保护与开发需要建立系统的数据收集与分类体系，以及数字化技术的综合运用框架[13]。</w:t>
      </w:r>
    </w:p>
    <w:p>
      <w:pPr>
        <w:spacing w:before="160" w:after="80"/>
      </w:pPr>
      <w:r>
        <w:rPr>
          <w:b/>
          <w:color w:val="2A9D8F"/>
          <w:sz w:val="26"/>
        </w:rPr>
        <w:t>5.3.4 非遗数字档案的互操作与共享</w:t>
      </w:r>
    </w:p>
    <w:p>
      <w:pPr>
        <w:spacing w:after="80" w:line="360" w:lineRule="auto"/>
        <w:ind w:firstLine="420"/>
      </w:pPr>
      <w:r>
        <w:rPr>
          <w:sz w:val="22"/>
        </w:rPr>
        <w:t>跨机构、跨地域的非遗数字档案共享是当前面临的重要挑战。不同机构采用不同的元数据标准和数据库结构，导致数据孤岛。解决之道是采用 Linked Data 技术和标准化元数据映射，实现跨库语义互操作。Robbins（2010）提出ICH数字化保护应"超越保存"，通过技术创新实现ICH的广泛共享和再利用[14]。</w:t>
      </w:r>
    </w:p>
    <w:p>
      <w:pPr>
        <w:spacing w:before="200" w:after="120"/>
      </w:pPr>
      <w:r>
        <w:rPr>
          <w:b/>
          <w:color w:val="457B9D"/>
          <w:sz w:val="30"/>
        </w:rPr>
        <w:t>5.4 非遗数字博物馆与虚拟展示</w:t>
      </w:r>
    </w:p>
    <w:p>
      <w:pPr>
        <w:spacing w:before="160" w:after="80"/>
      </w:pPr>
      <w:r>
        <w:rPr>
          <w:b/>
          <w:color w:val="2A9D8F"/>
          <w:sz w:val="26"/>
        </w:rPr>
        <w:t>5.4.1 Web3D非遗网络展示平台</w:t>
      </w:r>
    </w:p>
    <w:p>
      <w:pPr>
        <w:spacing w:after="80" w:line="360" w:lineRule="auto"/>
        <w:ind w:firstLine="420"/>
      </w:pPr>
      <w:r>
        <w:rPr>
          <w:sz w:val="22"/>
        </w:rPr>
        <w:t>Web3D技术使非遗三维数字资源能够在浏览器中直接浏览，无需安装插件。朱海澎（2014）指出，Web3D技术的优势在于精致的画面效果和优秀的用户体验，通过Web3D技术构建的ICH网络三维展示平台为展示、宣传、保护ICH提供了新方法[10]。</w:t>
      </w:r>
    </w:p>
    <w:p>
      <w:pPr>
        <w:spacing w:after="80" w:line="360" w:lineRule="auto"/>
        <w:ind w:firstLine="420"/>
      </w:pPr>
      <w:r>
        <w:rPr>
          <w:sz w:val="22"/>
        </w:rPr>
        <w:t>现代Web3D技术基于WebGL标准，使用Three.js等JavaScript库实现三维渲染。用户可以在线旋转、缩放非遗数字模型，观看工艺流程视频，聆听传承人口述，形成多感官的非遗体验。</w:t>
      </w:r>
    </w:p>
    <w:p>
      <w:pPr>
        <w:spacing w:before="160" w:after="80"/>
      </w:pPr>
      <w:r>
        <w:rPr>
          <w:b/>
          <w:color w:val="2A9D8F"/>
          <w:sz w:val="26"/>
        </w:rPr>
        <w:t>5.4.2 非遗数字博物馆设计</w:t>
      </w:r>
    </w:p>
    <w:p>
      <w:pPr>
        <w:spacing w:after="80" w:line="360" w:lineRule="auto"/>
        <w:ind w:firstLine="420"/>
      </w:pPr>
      <w:r>
        <w:rPr>
          <w:sz w:val="22"/>
        </w:rPr>
        <w:t>非遗数字博物馆与实体博物馆有本质差异——它展示的不是"物"而是"过程"和"知识"。Sirisomboon（2020）在研究泰国清莱山区部落文化遗产数字虚拟博物馆时，提出虚拟博物馆为少数民族ICH的保护提供了跨越地域限制的展示空间[15]。</w:t>
      </w:r>
    </w:p>
    <w:p>
      <w:pPr>
        <w:spacing w:after="80" w:line="360" w:lineRule="auto"/>
        <w:ind w:firstLine="420"/>
      </w:pPr>
      <w:r>
        <w:rPr>
          <w:sz w:val="22"/>
        </w:rPr>
        <w:t>非遗数字博物馆的设计原则包括：过程导向（展示技艺过程而非仅展示成品）、传承人主体（突出传承人的故事和声音）、社区参与（社区成员参与内容创建）、交互体验（允许用户"动手"体验技艺）。</w:t>
      </w:r>
    </w:p>
    <w:p>
      <w:pPr>
        <w:spacing w:before="160" w:after="80"/>
      </w:pPr>
      <w:r>
        <w:rPr>
          <w:b/>
          <w:color w:val="2A9D8F"/>
          <w:sz w:val="26"/>
        </w:rPr>
        <w:t>5.4.3 非遗沉浸式体验设计</w:t>
      </w:r>
    </w:p>
    <w:p>
      <w:pPr>
        <w:spacing w:after="80" w:line="360" w:lineRule="auto"/>
        <w:ind w:firstLine="420"/>
      </w:pPr>
      <w:r>
        <w:rPr>
          <w:sz w:val="22"/>
        </w:rPr>
        <w:t>VR/AR技术为非遗沉浸式体验提供了技术基础。用户可以"走进"虚拟的非遗场景中——如身临其境地观看一场传统节庆仪式，或在虚拟工坊中"跟随"传承人学习手工艺。这部分内容将在第6章详细讨论。</w:t>
      </w:r>
    </w:p>
    <w:p>
      <w:pPr>
        <w:spacing w:before="200" w:after="120"/>
      </w:pPr>
      <w:r>
        <w:rPr>
          <w:b/>
          <w:color w:val="457B9D"/>
          <w:sz w:val="30"/>
        </w:rPr>
        <w:t>5.5 非遗数字化的活态传承</w:t>
      </w:r>
    </w:p>
    <w:p>
      <w:pPr>
        <w:spacing w:before="160" w:after="80"/>
      </w:pPr>
      <w:r>
        <w:rPr>
          <w:b/>
          <w:color w:val="2A9D8F"/>
          <w:sz w:val="26"/>
        </w:rPr>
        <w:t>5.5.1 数字叙事与非遗故事化传播</w:t>
      </w:r>
    </w:p>
    <w:p>
      <w:pPr>
        <w:spacing w:after="80" w:line="360" w:lineRule="auto"/>
        <w:ind w:firstLine="420"/>
      </w:pPr>
      <w:r>
        <w:rPr>
          <w:sz w:val="22"/>
        </w:rPr>
        <w:t>数字叙事（Digital Storytelling）将非遗内容转化为引人入胜的数字故事，通过多媒体手段增强传播效果。Li和Yu（2024）在研究新媒体语境下文化遗产数字传播与保存时，以安阳文化遗产为案例，展示了数字叙事在遗产传播中的应用[16]。</w:t>
      </w:r>
    </w:p>
    <w:p>
      <w:pPr>
        <w:spacing w:after="80" w:line="360" w:lineRule="auto"/>
        <w:ind w:firstLine="420"/>
      </w:pPr>
      <w:r>
        <w:rPr>
          <w:sz w:val="22"/>
        </w:rPr>
        <w:t>非遗故事化传播的关键是将专业的、学术的非遗知识转化为公众可理解的叙事语言，同时保持文化内涵的准确性。中国传媒大学非遗传播研究中心（2023）报道了哈佛大学CAMLab Cave的实践——这是一个融合VR、AR、全息投影、动作捕捉等前沿展示技术的文化遗产主题数字媒体艺术沉浸式剧场[17]。</w:t>
      </w:r>
    </w:p>
    <w:p>
      <w:pPr>
        <w:spacing w:before="160" w:after="80"/>
      </w:pPr>
      <w:r>
        <w:rPr>
          <w:b/>
          <w:color w:val="2A9D8F"/>
          <w:sz w:val="26"/>
        </w:rPr>
        <w:t>5.5.2 智能推荐系统促进非遗内容传播</w:t>
      </w:r>
    </w:p>
    <w:p>
      <w:pPr>
        <w:spacing w:after="80" w:line="360" w:lineRule="auto"/>
        <w:ind w:firstLine="420"/>
      </w:pPr>
      <w:r>
        <w:rPr>
          <w:sz w:val="22"/>
        </w:rPr>
        <w:t>基于AI的智能推荐系统可以根据用户的兴趣偏好推送相关的非遗内容，扩大非遗的受众群体。中国学者（2025）提出搭建智能推荐系统促进非遗内容传播，并通过AI技术实现非遗数字版权保护与区块链技术的融合[12]。Kutt等人（2026）在研究文化遗产知识图谱的三阶段神经符号推荐管道时，提出了基于知识图谱的个性化文化遗产内容推荐方法[18]。</w:t>
      </w:r>
    </w:p>
    <w:p>
      <w:pPr>
        <w:spacing w:before="160" w:after="80"/>
      </w:pPr>
      <w:r>
        <w:rPr>
          <w:b/>
          <w:color w:val="2A9D8F"/>
          <w:sz w:val="26"/>
        </w:rPr>
        <w:t>5.5.3 区块链技术在非遗档案管理中的应用</w:t>
      </w:r>
    </w:p>
    <w:p>
      <w:pPr>
        <w:spacing w:after="80" w:line="360" w:lineRule="auto"/>
        <w:ind w:firstLine="420"/>
      </w:pPr>
      <w:r>
        <w:rPr>
          <w:sz w:val="22"/>
        </w:rPr>
        <w:t>区块链技术为非遗档案管理提供了分布式账本、共识机制和加密算法等特性，有助于解决非遗档案收集中收集难、鉴定难、合作难、安全难的问题。王箐（2018）在分析基于区块链技术的ICH档案管理优化方案时，指出区块链的分布式账本特性可以有效解决非遗档案管理中多地重复申报、非遗档案造假、多头管理主体间信息不透明等问题[19]。</w:t>
      </w:r>
    </w:p>
    <w:p>
      <w:pPr>
        <w:spacing w:after="80" w:line="360" w:lineRule="auto"/>
        <w:ind w:firstLine="420"/>
      </w:pPr>
      <w:r>
        <w:rPr>
          <w:sz w:val="22"/>
        </w:rPr>
        <w:t>Mo和Huang（2024）在研究ICH数字保存与网络传播时，结合区块链技术的分布式账本、共识机制、加密算法等特性，提出了ICH数字保存与网络传播的创新方案[20]。区块链与非遗版权保护的详细讨论将在第9章展开。</w:t>
      </w:r>
    </w:p>
    <w:p>
      <w:pPr>
        <w:spacing w:before="200" w:after="120"/>
      </w:pPr>
      <w:r>
        <w:rPr>
          <w:b/>
          <w:color w:val="457B9D"/>
          <w:sz w:val="30"/>
        </w:rPr>
        <w:t>本章小结</w:t>
      </w:r>
    </w:p>
    <w:p>
      <w:pPr>
        <w:spacing w:after="80" w:line="360" w:lineRule="auto"/>
        <w:ind w:firstLine="420"/>
      </w:pPr>
      <w:r>
        <w:rPr>
          <w:sz w:val="22"/>
        </w:rPr>
        <w:t>本章聚焦D.I.G.I.T.框架的D维度在非物质文化遗产领域的应用。非遗数字化的技术体系以多模态数据融合为特征——音频采集（口头传统）、视频记录与动作捕捉（表演艺术）、三维数字化（手工艺品）等多种技术协同运用。不同类型非遗的数字化策略差异显著：口头传统侧重语义标注，表演艺术侧重动作捕捉与虚拟再现，传统手工艺侧重全流程记录，节庆仪式侧重沉浸式记录。非遗数字档案建设需要建立专门的分类体系、元数据标准和共享机制。非遗数字博物馆和虚拟展示突破了实体博物馆的空间限制，使非遗"可远程体验"。活态传承是非遗数字化的终极目标——通过数字叙事、智能推荐和区块链版权保护等技术手段，让非遗在数字时代焕发新的生命力。</w:t>
      </w:r>
    </w:p>
    <w:p>
      <w:pPr>
        <w:spacing w:before="200" w:after="120"/>
      </w:pPr>
      <w:r>
        <w:rPr>
          <w:b/>
          <w:color w:val="457B9D"/>
          <w:sz w:val="30"/>
        </w:rPr>
        <w:t>思考题</w:t>
      </w:r>
    </w:p>
    <w:p>
      <w:pPr>
        <w:pStyle w:val="ListNumber"/>
      </w:pPr>
      <w:r>
        <w:rPr>
          <w:b/>
          <w:sz w:val="22"/>
        </w:rPr>
        <w:t>（识记）</w:t>
      </w:r>
      <w:r>
        <w:rPr>
          <w:sz w:val="22"/>
        </w:rPr>
        <w:t xml:space="preserve"> 非遗数字化的多模态数据包含哪些类型？请列举至少五种。</w:t>
      </w:r>
    </w:p>
    <w:p>
      <w:pPr>
        <w:pStyle w:val="ListNumber"/>
      </w:pPr>
      <w:r>
        <w:rPr>
          <w:b/>
          <w:sz w:val="22"/>
        </w:rPr>
        <w:t>（理解）</w:t>
      </w:r>
      <w:r>
        <w:rPr>
          <w:sz w:val="22"/>
        </w:rPr>
        <w:t xml:space="preserve"> 为什么说非遗数字化存在"固定与流变"的根本悖论？多模态数据融合如何缓解这一矛盾？</w:t>
      </w:r>
    </w:p>
    <w:p>
      <w:pPr>
        <w:pStyle w:val="ListNumber"/>
      </w:pPr>
      <w:r>
        <w:rPr>
          <w:b/>
          <w:sz w:val="22"/>
        </w:rPr>
        <w:t>（应用）</w:t>
      </w:r>
      <w:r>
        <w:rPr>
          <w:sz w:val="22"/>
        </w:rPr>
        <w:t xml:space="preserve"> 请为一项传统戏曲剧种（如京剧或川剧）设计数字化保护方案，说明各技术环节的具体措施。</w:t>
      </w:r>
    </w:p>
    <w:p>
      <w:pPr>
        <w:pStyle w:val="ListNumber"/>
      </w:pPr>
      <w:r>
        <w:rPr>
          <w:b/>
          <w:sz w:val="22"/>
        </w:rPr>
        <w:t>（分析）</w:t>
      </w:r>
      <w:r>
        <w:rPr>
          <w:sz w:val="22"/>
        </w:rPr>
        <w:t xml:space="preserve"> 分析动作捕捉技术在传统表演艺术数字化中的优势和局限，指出哪些表演要素难以被数字化。</w:t>
      </w:r>
    </w:p>
    <w:p>
      <w:pPr>
        <w:pStyle w:val="ListNumber"/>
      </w:pPr>
      <w:r>
        <w:rPr>
          <w:b/>
          <w:sz w:val="22"/>
        </w:rPr>
        <w:t>（评价）</w:t>
      </w:r>
      <w:r>
        <w:rPr>
          <w:sz w:val="22"/>
        </w:rPr>
        <w:t xml:space="preserve"> 评估非遗数字博物馆与实体非遗博物馆各自的优势和不足，探讨两者的互补关系。</w:t>
      </w:r>
    </w:p>
    <w:p>
      <w:pPr>
        <w:pStyle w:val="ListNumber"/>
      </w:pPr>
      <w:r>
        <w:rPr>
          <w:b/>
          <w:sz w:val="22"/>
        </w:rPr>
        <w:t>（创造）</w:t>
      </w:r>
      <w:r>
        <w:rPr>
          <w:sz w:val="22"/>
        </w:rPr>
        <w:t xml:space="preserve"> 请选择你家乡的一项非遗项目，设计一个基于D.I.G.I.T.框架的"数字活态传承"方案，包含数字采集、智能分析、版权治理、沉浸体验和传播推广五个模块。</w:t>
      </w:r>
    </w:p>
    <w:p>
      <w:pPr>
        <w:spacing w:before="160" w:after="80"/>
      </w:pPr>
      <w:r>
        <w:rPr>
          <w:b/>
          <w:color w:val="2A9D8F"/>
          <w:sz w:val="26"/>
        </w:rPr>
        <w:t>5.6 国际ICH数字化保护实践比较</w:t>
      </w:r>
    </w:p>
    <w:p>
      <w:pPr>
        <w:spacing w:before="120"/>
      </w:pPr>
      <w:r>
        <w:rPr>
          <w:b/>
          <w:sz w:val="22"/>
        </w:rPr>
        <w:t>5.6.1 日本：立法保障与"人间国宝"数字化</w:t>
      </w:r>
    </w:p>
    <w:p>
      <w:pPr>
        <w:spacing w:after="80" w:line="360" w:lineRule="auto"/>
        <w:ind w:firstLine="420"/>
      </w:pPr>
      <w:r>
        <w:rPr>
          <w:sz w:val="22"/>
        </w:rPr>
        <w:t>日本的ICH数字化保护以严密的法律体系和制度设计为基础。1950年《文化财保护法》建立了"重要无形文化财"和"重要无形文化财保持者"（即"人间国宝"）双重认定制度。每位"人间国宝"的技艺都会被系统性地高精度记录——包括视频记录、动作分析、工具和成品的三维数字化、技艺口述史等。姚国章和刘增燕（2022）指出，日本的主要做法是针对非遗的立法、部署数据库建设以及促进特定数字技术的应用，三位一体形成保护合力[21]。</w:t>
      </w:r>
    </w:p>
    <w:p>
      <w:pPr>
        <w:spacing w:before="120"/>
      </w:pPr>
      <w:r>
        <w:rPr>
          <w:b/>
          <w:sz w:val="22"/>
        </w:rPr>
        <w:t>5.6.2 法国：创新保护与数据资源开发</w:t>
      </w:r>
    </w:p>
    <w:p>
      <w:pPr>
        <w:spacing w:after="80" w:line="360" w:lineRule="auto"/>
        <w:ind w:firstLine="420"/>
      </w:pPr>
      <w:r>
        <w:rPr>
          <w:sz w:val="22"/>
        </w:rPr>
        <w:t>法国的ICH数字化保护特色是"创新性保护措施"和"数据资源开发"并重。法国国家图书馆承担了大量的ICH数字资源建设任务，将口述传统、民间音乐等ICH资源数字化并向公众开放。法国还特别注重发挥国家图书馆在ICH数据标准化和共享方面的引领作用。</w:t>
      </w:r>
    </w:p>
    <w:p>
      <w:pPr>
        <w:spacing w:before="120"/>
      </w:pPr>
      <w:r>
        <w:rPr>
          <w:b/>
          <w:sz w:val="22"/>
        </w:rPr>
        <w:t>5.6.3 美国：StoryCorps项目与社区参与</w:t>
      </w:r>
    </w:p>
    <w:p>
      <w:pPr>
        <w:spacing w:after="80" w:line="360" w:lineRule="auto"/>
        <w:ind w:firstLine="420"/>
      </w:pPr>
      <w:r>
        <w:rPr>
          <w:sz w:val="22"/>
        </w:rPr>
        <w:t>美国的StoryCorps项目是社区参与式ICH数字化的典范——它不依赖专业机构，而是鼓励普通人在社区中记录彼此的故事。项目使用移动录音设备在各地设立录音站点，任何人都可以邀请亲友前来录制对话。这些录音被存档于美国国会图书馆，形成民间口述历史数字档案。这一模式体现了"自下而上"的ICH数字化理念——遗产不只是专家的事，更是社区自己的事。</w:t>
      </w:r>
    </w:p>
    <w:p>
      <w:pPr>
        <w:spacing w:before="160" w:after="80"/>
      </w:pPr>
      <w:r>
        <w:rPr>
          <w:b/>
          <w:color w:val="2A9D8F"/>
          <w:sz w:val="26"/>
        </w:rPr>
        <w:t>5.7 非遗数字化保护的理论深化</w:t>
      </w:r>
    </w:p>
    <w:p>
      <w:pPr>
        <w:spacing w:before="120"/>
      </w:pPr>
      <w:r>
        <w:rPr>
          <w:b/>
          <w:sz w:val="22"/>
        </w:rPr>
        <w:t>5.7.1 "活态性"的技术困境与破解路径</w:t>
      </w:r>
    </w:p>
    <w:p>
      <w:pPr>
        <w:spacing w:after="80" w:line="360" w:lineRule="auto"/>
        <w:ind w:firstLine="420"/>
      </w:pPr>
      <w:r>
        <w:rPr>
          <w:sz w:val="22"/>
        </w:rPr>
        <w:t>ICH活态性的核心在于"变化"——同一项非遗在不同时代、不同传承人、不同社区中会呈现不同形态。数字化记录必然将非遗"固定"在某一时刻，这与活态性本质矛盾。破解这一困境的路径是"多版本数字档案"——不是只记录一次，而是定期跟踪记录，形成反映ICH演变过程的时间序列数字档案。</w:t>
      </w:r>
    </w:p>
    <w:p>
      <w:pPr>
        <w:spacing w:after="80" w:line="360" w:lineRule="auto"/>
        <w:ind w:firstLine="420"/>
      </w:pPr>
      <w:r>
        <w:rPr>
          <w:sz w:val="22"/>
        </w:rPr>
        <w:t>卓么措（2013）提出建立ICH的分类体系和数据采集体系，这一体系应包含时间维度——记录同一项目的"过去-现在"演变轨迹[22]。</w:t>
      </w:r>
    </w:p>
    <w:p>
      <w:pPr>
        <w:spacing w:before="120"/>
      </w:pPr>
      <w:r>
        <w:rPr>
          <w:b/>
          <w:sz w:val="22"/>
        </w:rPr>
        <w:t>5.7.2 传承人在数字化过程中的主体地位</w:t>
      </w:r>
    </w:p>
    <w:p>
      <w:pPr>
        <w:spacing w:after="80" w:line="360" w:lineRule="auto"/>
        <w:ind w:firstLine="420"/>
      </w:pPr>
      <w:r>
        <w:rPr>
          <w:sz w:val="22"/>
        </w:rPr>
        <w:t>ICH数字化保护的一个核心伦理问题是：传承人是否只是被记录的"对象"？真正的活态传承要求传承人成为数字化过程的"主体"——参与数字化方案设计、审核数字内容的文化准确性、控制数字资源的使用权限。中国学者（2025）提出构建功能完善且数据完整的非遗数字档案时，必须保障传承人的知情同意权和数据控制权[23]。</w:t>
      </w:r>
    </w:p>
    <w:p>
      <w:pPr>
        <w:spacing w:before="120"/>
      </w:pPr>
      <w:r>
        <w:rPr>
          <w:b/>
          <w:sz w:val="22"/>
        </w:rPr>
        <w:t>5.7.3 从"数字化保存"到"数字化传承"的跃迁</w:t>
      </w:r>
    </w:p>
    <w:p>
      <w:pPr>
        <w:spacing w:after="80" w:line="360" w:lineRule="auto"/>
        <w:ind w:firstLine="420"/>
      </w:pPr>
      <w:r>
        <w:rPr>
          <w:sz w:val="22"/>
        </w:rPr>
        <w:t>"数字化保存"和"数字化传承"是两个不同层次的目标。保存关注"记录什么"，传承关注"如何让记录有用"。数字化传承的实现路径包括：数字教育课程开发（让年轻一代通过数字资源学习传统技艺）、虚拟师徒系统（AI辅助的技艺学习平台）、数字社区构建（连接分散的传承人和爱好者）。</w:t>
      </w:r>
    </w:p>
    <w:p>
      <w:pPr>
        <w:spacing w:before="160" w:after="80"/>
      </w:pPr>
      <w:r>
        <w:rPr>
          <w:b/>
          <w:color w:val="2A9D8F"/>
          <w:sz w:val="26"/>
        </w:rPr>
        <w:t>5.8 ICH数字化的产业化路径</w:t>
      </w:r>
    </w:p>
    <w:p>
      <w:pPr>
        <w:spacing w:before="120"/>
      </w:pPr>
      <w:r>
        <w:rPr>
          <w:b/>
          <w:sz w:val="22"/>
        </w:rPr>
        <w:t>5.8.1 数字文创产品开发</w:t>
      </w:r>
    </w:p>
    <w:p>
      <w:pPr>
        <w:spacing w:after="80" w:line="360" w:lineRule="auto"/>
        <w:ind w:firstLine="420"/>
      </w:pPr>
      <w:r>
        <w:rPr>
          <w:sz w:val="22"/>
        </w:rPr>
        <w:t>ICH数字资源为文创产品开发提供了丰富素材。基于三维数字模型可以开发3D打印文创产品，基于纹样母题可以设计数字壁纸和表情包，基于口述传统可以制作播客和动画。魏鹏举和魏西笑（2022）指出，文化遗产数字资源具有巨大的产业化潜力，但版权归属不明是最大障碍[24]。</w:t>
      </w:r>
    </w:p>
    <w:p>
      <w:pPr>
        <w:spacing w:before="120"/>
      </w:pPr>
      <w:r>
        <w:rPr>
          <w:b/>
          <w:sz w:val="22"/>
        </w:rPr>
        <w:t>5.8.2 数字旅游体验</w:t>
      </w:r>
    </w:p>
    <w:p>
      <w:pPr>
        <w:spacing w:after="80" w:line="360" w:lineRule="auto"/>
        <w:ind w:firstLine="420"/>
      </w:pPr>
      <w:r>
        <w:rPr>
          <w:sz w:val="22"/>
        </w:rPr>
        <w:t>ICH数字化与旅游的结合催生了"数字遗产旅游"新业态。游客可以通过AR眼镜在遗产地观看ICH的虚拟表演，通过VR设备体验传统节庆的沉浸式场景。Zheng Qiang（2009）在研究数字时代ICH旅游资源的保护与开发时，指出数字化为ICH旅游开发提供了既能保护又能利用的双赢方案[25]。</w:t>
      </w:r>
    </w:p>
    <w:p>
      <w:pPr>
        <w:spacing w:before="120"/>
      </w:pPr>
      <w:r>
        <w:rPr>
          <w:b/>
          <w:sz w:val="22"/>
        </w:rPr>
        <w:t>5.8.3 可持续产业化模式</w:t>
      </w:r>
    </w:p>
    <w:p>
      <w:pPr>
        <w:spacing w:after="80" w:line="360" w:lineRule="auto"/>
        <w:ind w:firstLine="420"/>
      </w:pPr>
      <w:r>
        <w:rPr>
          <w:sz w:val="22"/>
        </w:rPr>
        <w:t>ICH数字化的产业化需要避免"过度商业化"陷阱——不能为了经济利益而歪曲或简化ICH的文化内涵。可持续的产业化模式应以"保护优先、合理利用"为原则，确保产业化收益反哺保护工作，形成"保护-利用-反哺"的良性循环。</w:t>
      </w:r>
    </w:p>
    <w:p>
      <w:pPr>
        <w:spacing w:before="160" w:after="80"/>
      </w:pPr>
      <w:r>
        <w:rPr>
          <w:b/>
          <w:color w:val="2A9D8F"/>
          <w:sz w:val="26"/>
        </w:rPr>
        <w:t>5.9 ICH数字化的技术创新前沿</w:t>
      </w:r>
    </w:p>
    <w:p>
      <w:pPr>
        <w:spacing w:before="120"/>
      </w:pPr>
      <w:r>
        <w:rPr>
          <w:b/>
          <w:sz w:val="22"/>
        </w:rPr>
        <w:t>5.9.1 沉浸式记录技术</w:t>
      </w:r>
    </w:p>
    <w:p>
      <w:pPr>
        <w:spacing w:after="80" w:line="360" w:lineRule="auto"/>
        <w:ind w:firstLine="420"/>
      </w:pPr>
      <w:r>
        <w:rPr>
          <w:sz w:val="22"/>
        </w:rPr>
        <w:t>传统ICH记录以"旁观"视角为主——摄像机在固定位置拍摄表演者。沉浸式记录技术以"参与"视角记录——360度全景摄像头放置在表演空间中央，记录全方位的环境和表演信息；第一人称视角摄像头佩戴在表演者身上，记录表演者的主观视角体验。</w:t>
      </w:r>
    </w:p>
    <w:p>
      <w:pPr>
        <w:spacing w:after="80" w:line="360" w:lineRule="auto"/>
        <w:ind w:firstLine="420"/>
      </w:pPr>
      <w:r>
        <w:rPr>
          <w:sz w:val="22"/>
        </w:rPr>
        <w:t>Zhao（2026）在研究三维建模与虚拟重建在ICH保护中的角色时，探讨了AI与三维建模技术在ICH保护中的新兴应用——通过沉浸式记录获取的多模态数据可以被AI模型用于虚拟重建，使ICH的"过程"而非仅"结果"得以保存[26]。</w:t>
      </w:r>
    </w:p>
    <w:p>
      <w:pPr>
        <w:spacing w:before="120"/>
      </w:pPr>
      <w:r>
        <w:rPr>
          <w:b/>
          <w:sz w:val="22"/>
        </w:rPr>
        <w:t>5.9.2 语义视频分析</w:t>
      </w:r>
    </w:p>
    <w:p>
      <w:pPr>
        <w:spacing w:after="80" w:line="360" w:lineRule="auto"/>
        <w:ind w:firstLine="420"/>
      </w:pPr>
      <w:r>
        <w:rPr>
          <w:sz w:val="22"/>
        </w:rPr>
        <w:t>传统ICH视频记录的检索依赖人工标注——标注者需要观看整段视频并为每个片段添加关键词标签。语义视频分析技术利用AI自动识别视频中的动作类型、场景变化和关键事件，生成时间轴标注，支持基于内容的视频检索。</w:t>
      </w:r>
    </w:p>
    <w:p>
      <w:pPr>
        <w:spacing w:after="80" w:line="360" w:lineRule="auto"/>
        <w:ind w:firstLine="420"/>
      </w:pPr>
      <w:r>
        <w:rPr>
          <w:sz w:val="22"/>
        </w:rPr>
        <w:t>Skublewska-Paszkowska等人（2022）在3D技术用于ICH保护的文献综述中，指出语义视频分析与三维动作捕捉数据的融合是ICH数字化保护的前沿方向——两者结合可以同时记录"表演者做了什么"（语义层面）和"表演者如何做的"（运动学层面）[27]。</w:t>
      </w:r>
    </w:p>
    <w:p>
      <w:pPr>
        <w:spacing w:before="120"/>
      </w:pPr>
      <w:r>
        <w:rPr>
          <w:b/>
          <w:sz w:val="22"/>
        </w:rPr>
        <w:t>5.9.3 数字嗅觉与触觉记录</w:t>
      </w:r>
    </w:p>
    <w:p>
      <w:pPr>
        <w:spacing w:after="80" w:line="360" w:lineRule="auto"/>
        <w:ind w:firstLine="420"/>
      </w:pPr>
      <w:r>
        <w:rPr>
          <w:sz w:val="22"/>
        </w:rPr>
        <w:t>传统ICH记录以视听为主，但许多ICH项目涉及嗅觉和触觉体验——如传统制茶的香气、传统织物的手感。数字嗅觉（电子鼻）和数字触觉（触觉传感器）技术虽然尚不成熟，但为ICH的"全感官"记录提供了可能。这些感官数据的数字化将使ICH虚拟体验更加真实和完整。</w:t>
      </w:r>
    </w:p>
    <w:p>
      <w:pPr>
        <w:spacing w:before="160" w:after="80"/>
      </w:pPr>
      <w:r>
        <w:rPr>
          <w:b/>
          <w:color w:val="2A9D8F"/>
          <w:sz w:val="26"/>
        </w:rPr>
        <w:t>5.10 ICH数字化保护的政策建议</w:t>
      </w:r>
    </w:p>
    <w:p>
      <w:pPr>
        <w:spacing w:before="120"/>
      </w:pPr>
      <w:r>
        <w:rPr>
          <w:b/>
          <w:sz w:val="22"/>
        </w:rPr>
        <w:t>5.10.1 建立ICH数字化国家标准</w:t>
      </w:r>
    </w:p>
    <w:p>
      <w:pPr>
        <w:spacing w:after="80" w:line="360" w:lineRule="auto"/>
        <w:ind w:firstLine="420"/>
      </w:pPr>
      <w:r>
        <w:rPr>
          <w:sz w:val="22"/>
        </w:rPr>
        <w:t>当前中国ICH数字化缺乏统一的国家技术标准，各机构采集设备、数据格式和元数据标准各异，导致数据共享困难。建议制定《非物质文化遗产数字化保护技术规范》国家标准，统一采集精度、数据格式、元数据字段和质量要求。</w:t>
      </w:r>
    </w:p>
    <w:p>
      <w:pPr>
        <w:spacing w:before="120"/>
      </w:pPr>
      <w:r>
        <w:rPr>
          <w:b/>
          <w:sz w:val="22"/>
        </w:rPr>
        <w:t>5.10.2 建设国家级ICH数字档案中心</w:t>
      </w:r>
    </w:p>
    <w:p>
      <w:pPr>
        <w:spacing w:after="80" w:line="360" w:lineRule="auto"/>
        <w:ind w:firstLine="420"/>
      </w:pPr>
      <w:r>
        <w:rPr>
          <w:sz w:val="22"/>
        </w:rPr>
        <w:t>当前ICH数字档案分散在各地非遗保护中心，缺乏国家级的集中管理和共享平台。建议建设"国家非物质文化遗产数字档案中心"，聚合全国ICH数字资源，支持跨地域检索和研究。姚国章和刘增燕（2022）指出，日本的数据库建设经验表明，集中化的数字档案是ICH保护的有效基础设施[28]。</w:t>
      </w:r>
    </w:p>
    <w:p>
      <w:pPr>
        <w:spacing w:before="120"/>
      </w:pPr>
      <w:r>
        <w:rPr>
          <w:b/>
          <w:sz w:val="22"/>
        </w:rPr>
        <w:t>5.10.3 建立ICH数字化伦理审查机制</w:t>
      </w:r>
    </w:p>
    <w:p>
      <w:pPr>
        <w:spacing w:after="80" w:line="360" w:lineRule="auto"/>
        <w:ind w:firstLine="420"/>
      </w:pPr>
      <w:r>
        <w:rPr>
          <w:sz w:val="22"/>
        </w:rPr>
        <w:t>ICH数字化涉及文化敏感性、传承人权益和社区知情同意等伦理问题。建议建立ICH数字化伦理审查机制——所有ICH数字化项目在启动前需通过伦理审查，确保尊重传承人意愿和文化敏感性。Yáñez和Fraisse（2022）的研究强调，ICH在数字空间中的"数据化"必须以伦理为前提[29]。</w:t>
      </w:r>
    </w:p>
    <w:p>
      <w:pPr>
        <w:spacing w:before="120"/>
      </w:pPr>
      <w:r>
        <w:rPr>
          <w:b/>
          <w:sz w:val="22"/>
        </w:rPr>
        <w:t>5.10.4 推动ICH数字资源的教育应用</w:t>
      </w:r>
    </w:p>
    <w:p>
      <w:pPr>
        <w:spacing w:after="80" w:line="360" w:lineRule="auto"/>
        <w:ind w:firstLine="420"/>
      </w:pPr>
      <w:r>
        <w:rPr>
          <w:sz w:val="22"/>
        </w:rPr>
        <w:t>ICH数字资源的最终价值在于传承——让年轻一代通过数字资源了解和学习传统文化。建议将ICH数字资源纳入中小学和高校教育课程，开发基于数字资源的互动教学工具，使ICH数字化成果惠及教育。何岩（2016）在评述ICH数字化研究时指出，民俗类ICH的数字化保护与开发应关注教育应用[30]。</w:t>
      </w:r>
    </w:p>
    <w:p>
      <w:pPr>
        <w:spacing w:before="160" w:after="80"/>
      </w:pPr>
      <w:r>
        <w:rPr>
          <w:b/>
          <w:color w:val="2A9D8F"/>
          <w:sz w:val="26"/>
        </w:rPr>
        <w:t>5.11 ICH数字化的评估框架</w:t>
      </w:r>
    </w:p>
    <w:p>
      <w:pPr>
        <w:spacing w:before="120"/>
      </w:pPr>
      <w:r>
        <w:rPr>
          <w:b/>
          <w:sz w:val="22"/>
        </w:rPr>
        <w:t>5.11.1 采集完整性评估</w:t>
      </w:r>
    </w:p>
    <w:p>
      <w:pPr>
        <w:spacing w:after="80" w:line="360" w:lineRule="auto"/>
        <w:ind w:firstLine="420"/>
      </w:pPr>
      <w:r>
        <w:rPr>
          <w:sz w:val="22"/>
        </w:rPr>
        <w:t>ICH数字化采集的完整性评估应覆盖以下维度：类型完整性（是否涵盖了ICH项目的所有核心要素——成品、过程、知识、语境）、模态完整性（是否使用了足够的记录模态——视频、音频、三维、文本）、时间完整性（是否记录了不同时间点的状态变化）、空间完整性（是否记录了不同空间场景中的实践）。</w:t>
      </w:r>
    </w:p>
    <w:p>
      <w:pPr>
        <w:spacing w:before="120"/>
      </w:pPr>
      <w:r>
        <w:rPr>
          <w:b/>
          <w:sz w:val="22"/>
        </w:rPr>
        <w:t>5.11.2 档案可用性评估</w:t>
      </w:r>
    </w:p>
    <w:p>
      <w:pPr>
        <w:spacing w:after="80" w:line="360" w:lineRule="auto"/>
        <w:ind w:firstLine="420"/>
      </w:pPr>
      <w:r>
        <w:rPr>
          <w:sz w:val="22"/>
        </w:rPr>
        <w:t>ICH数字档案的可用性评估包括：可发现性（用户能否找到所需的ICH资源）、可理解性（用户能否理解资源的内容和语境）、可使用性（用户能否方便地使用资源——浏览、下载、分析）、可关联性（资源之间是否建立了语义关联）。</w:t>
      </w:r>
    </w:p>
    <w:p>
      <w:pPr>
        <w:spacing w:before="120"/>
      </w:pPr>
      <w:r>
        <w:rPr>
          <w:b/>
          <w:sz w:val="22"/>
        </w:rPr>
        <w:t>5.11.3 传承效果评估</w:t>
      </w:r>
    </w:p>
    <w:p>
      <w:pPr>
        <w:spacing w:after="80" w:line="360" w:lineRule="auto"/>
        <w:ind w:firstLine="420"/>
      </w:pPr>
      <w:r>
        <w:rPr>
          <w:sz w:val="22"/>
        </w:rPr>
        <w:t>ICH数字化保护的终极目标是活态传承。传承效果评估应关注：传播覆盖面（多少人通过数字资源了解了这一ICH项目）、教育效果（学习者是否通过数字资源掌握了技艺要点）、社区参与度（源社区是否参与并受益于数字化保护）、创新转化（ICH元素是否在当代创作中得到再创造）。</w:t>
      </w:r>
    </w:p>
    <w:p>
      <w:pPr>
        <w:spacing w:before="160" w:after="80"/>
      </w:pPr>
      <w:r>
        <w:rPr>
          <w:b/>
          <w:color w:val="2A9D8F"/>
          <w:sz w:val="26"/>
        </w:rPr>
        <w:t>5.12 ICH数字化中的多语种与多模态融合</w:t>
      </w:r>
    </w:p>
    <w:p>
      <w:pPr>
        <w:spacing w:before="120"/>
      </w:pPr>
      <w:r>
        <w:rPr>
          <w:b/>
          <w:sz w:val="22"/>
        </w:rPr>
        <w:t>5.12.1 多语种ICH数字档案建设</w:t>
      </w:r>
    </w:p>
    <w:p>
      <w:pPr>
        <w:spacing w:after="80" w:line="360" w:lineRule="auto"/>
        <w:ind w:firstLine="420"/>
      </w:pPr>
      <w:r>
        <w:rPr>
          <w:sz w:val="22"/>
        </w:rPr>
        <w:t>非物质文化遗产往往与特定语言和方言深度绑定——少数民族的口传史诗、传统戏曲的唱词、手工艺的术语体系，都承载着语言多样性。ICH数字化不仅要记录表象形态，更要保存语言载体。多语种ICH数字档案建设面临三重挑战：一是濒危语言的记录难度大，许多ICH实践者的母语缺乏文字系统，需要同时进行语音记录和音标标注；二是跨语言检索困难，用户可能用汉语搜索但目标资源是少数民族语言；三是术语翻译的忠实性问题，ICH术语往往难以找到对等翻译。</w:t>
      </w:r>
    </w:p>
    <w:p>
      <w:pPr>
        <w:spacing w:after="80" w:line="360" w:lineRule="auto"/>
        <w:ind w:firstLine="420"/>
      </w:pPr>
      <w:r>
        <w:rPr>
          <w:sz w:val="22"/>
        </w:rPr>
        <w:t>Tas（2020）在研究土耳其非物质文化遗产数字档案时，提出多语种元数据方案——为每个ICH资源同时提供原始语言标题、国家通用语言标题和英语标题，并建立多语种术语对照表以支持跨语言检索[29]。这一方案对于中国多民族ICH数字化保护具有重要参考价值。</w:t>
      </w:r>
    </w:p>
    <w:p>
      <w:pPr>
        <w:spacing w:before="120"/>
      </w:pPr>
      <w:r>
        <w:rPr>
          <w:b/>
          <w:sz w:val="22"/>
        </w:rPr>
        <w:t>5.12.2 多模态数据的语义对齐</w:t>
      </w:r>
    </w:p>
    <w:p>
      <w:pPr>
        <w:spacing w:after="80" w:line="360" w:lineRule="auto"/>
        <w:ind w:firstLine="420"/>
      </w:pPr>
      <w:r>
        <w:rPr>
          <w:sz w:val="22"/>
        </w:rPr>
        <w:t>ICH数字化产生的多模态数据——视频、音频、三维模型、文本、图像——之间存在复杂的语义关联。例如，一段刺绣技艺视频中，手部动作（视频）、针法口诀（音频）、绣样图案（图像）和工艺步骤（文本）需要精确对齐才能完整表达技艺知识。多模态语义对齐技术通过时间戳标注、实体链接和知识图谱实现跨模态关联。</w:t>
      </w:r>
    </w:p>
    <w:p>
      <w:pPr>
        <w:spacing w:after="80" w:line="360" w:lineRule="auto"/>
        <w:ind w:firstLine="420"/>
      </w:pPr>
      <w:r>
        <w:rPr>
          <w:sz w:val="22"/>
        </w:rPr>
        <w:t>Champion（2021）在研究虚拟遗产体验时指出，多模态数据的有效整合是ICH数字化从"资料保存"走向"知识再现"的关键——单纯的多媒体堆砌无法传递技艺的隐性知识，只有建立模态间的语义映射才能让学习者理解技艺的整体逻辑[30]。</w:t>
      </w:r>
    </w:p>
    <w:p>
      <w:pPr>
        <w:spacing w:before="120"/>
      </w:pPr>
      <w:r>
        <w:rPr>
          <w:b/>
          <w:sz w:val="22"/>
        </w:rPr>
        <w:t>5.12.3 ICH数字化中的口述史方法</w:t>
      </w:r>
    </w:p>
    <w:p>
      <w:pPr>
        <w:spacing w:after="80" w:line="360" w:lineRule="auto"/>
        <w:ind w:firstLine="420"/>
      </w:pPr>
      <w:r>
        <w:rPr>
          <w:sz w:val="22"/>
        </w:rPr>
        <w:t>口述史是ICH数字化的重要方法——许多非遗知识通过口耳相传，缺乏书面记录。系统性的口述史采集包括：制定访谈大纲（覆盖技艺源流、工艺流程、传承谱系、文化意义等维度）、多机位视频记录（全景+特写+手部细节）、后续转写与标注（将口语内容转化为结构化文本并标注关键术语）。Apaydın（2010）在研究民族志考古与文化遗产时提出，口述史方法应用于ICH数字化需要特别注意伦理问题——传承人的知识是社区共同财产，数字化记录的成果归属和使用权限需要与源社区协商确定[31]。</w:t>
      </w:r>
    </w:p>
    <w:p>
      <w:pPr>
        <w:spacing w:before="160" w:after="80"/>
      </w:pPr>
      <w:r>
        <w:rPr>
          <w:b/>
          <w:color w:val="2A9D8F"/>
          <w:sz w:val="26"/>
        </w:rPr>
        <w:t>5.13 ICH数字化的伦理审查机制</w:t>
      </w:r>
    </w:p>
    <w:p>
      <w:pPr>
        <w:spacing w:after="80" w:line="360" w:lineRule="auto"/>
        <w:ind w:firstLine="420"/>
      </w:pPr>
      <w:r>
        <w:rPr>
          <w:sz w:val="22"/>
        </w:rPr>
        <w:t>ICH数字化涉及复杂的伦理问题——文化 appropriation（挪用）、知识产权归属、宗教禁忌、隐私保护等。建立伦理审查机制是ICH数字化项目不可或缺的环节。</w:t>
      </w:r>
    </w:p>
    <w:p>
      <w:pPr>
        <w:spacing w:after="80" w:line="360" w:lineRule="auto"/>
        <w:ind w:firstLine="420"/>
      </w:pPr>
      <w:r>
        <w:rPr>
          <w:sz w:val="22"/>
        </w:rPr>
        <w:t>伦理审查应覆盖项目全周期：立项阶段审查数字化对象是否涉及宗教禁忌或社区敏感信息；采集阶段确保知情同意——传承人充分了解数字化的目的、方式和潜在影响；使用阶段建立分级访问制度——某些敏感信息仅限源社区内部使用。Liu等人（2022）在研究ICH数字化保护中的伦理框架时，提出"社区主导—专家辅助—政府支持"的三方协作模式，强调源社区在数字化过程中的主体地位[32]。</w:t>
      </w:r>
    </w:p>
    <w:p>
      <w:pPr>
        <w:spacing w:before="160" w:after="80"/>
      </w:pPr>
      <w:r>
        <w:rPr>
          <w:b/>
          <w:color w:val="2A9D8F"/>
          <w:sz w:val="26"/>
        </w:rPr>
        <w:t>5.14 ICH数字化项目的经济影响分析</w:t>
      </w:r>
    </w:p>
    <w:p>
      <w:pPr>
        <w:spacing w:after="80" w:line="360" w:lineRule="auto"/>
        <w:ind w:firstLine="420"/>
      </w:pPr>
      <w:r>
        <w:rPr>
          <w:sz w:val="22"/>
        </w:rPr>
        <w:t>ICH数字化不仅是文化保护行为，也具有显著的经济效益。数字化后的ICH资源可以转化为文化创意产品、教育课程、旅游体验等多种形态，为源社区创造经济价值。经济影响分析应覆盖：直接经济效益（数字产品销售、体验项目收入）、间接经济效益（品牌效应带动的旅游消费、文创产品销售）和长期经济影响（文化资本积累对社区可持续发展的贡献）。</w:t>
      </w:r>
    </w:p>
    <w:p>
      <w:pPr>
        <w:spacing w:after="80" w:line="360" w:lineRule="auto"/>
        <w:ind w:firstLine="420"/>
      </w:pPr>
      <w:r>
        <w:rPr>
          <w:sz w:val="22"/>
        </w:rPr>
        <w:t>然而，ICH数字化的商业化也面临伦理边界——过度商业化可能导致文化"去语境化"和"异化"。Kim（2021）在研究韩国ICH数字化政策时指出，商业化必须在文化保护与经济开发之间找到平衡——数字化成果的商业收益应有一部分回馈源社区，用于支持传承活动和技艺创新[33]。</w:t>
      </w:r>
    </w:p>
    <w:p>
      <w:pPr>
        <w:spacing w:before="160" w:after="80"/>
      </w:pPr>
      <w:r>
        <w:rPr>
          <w:b/>
          <w:color w:val="2A9D8F"/>
          <w:sz w:val="26"/>
        </w:rPr>
        <w:t>5.15 ICH数字化传承中的代际传递机制</w:t>
      </w:r>
    </w:p>
    <w:p>
      <w:pPr>
        <w:spacing w:after="80" w:line="360" w:lineRule="auto"/>
        <w:ind w:firstLine="420"/>
      </w:pPr>
      <w:r>
        <w:rPr>
          <w:sz w:val="22"/>
        </w:rPr>
        <w:t>非物质文化遗产的活态传承依赖于代际传递——老一代传承人将技艺和知识传递给年轻一代。数字化技术为代际传递提供了新的中介：老一代传承人的技艺记录以数字档案形式保存，年轻一代可以通过回放、慢放、多角度观看等方式反复学习传统技艺的细节。然而，数字化中介的代际传递也存在局限——隐性知识（如手感、力度、节奏）难以通过数字媒介完全传递，仍需要面对面的"身体在场"学习。</w:t>
      </w:r>
    </w:p>
    <w:p>
      <w:pPr>
        <w:spacing w:after="80" w:line="360" w:lineRule="auto"/>
        <w:ind w:firstLine="420"/>
      </w:pPr>
      <w:r>
        <w:rPr>
          <w:sz w:val="22"/>
        </w:rPr>
        <w:t>Fang等人（2024）在研究ICH数字化传承时提出"混合传承"模式——数字化资源作为辅助学习工具，与传统的师徒制传承相结合。年轻传承人先通过数字资源预习技艺框架，再通过面对面的实践掌握隐性知识，最后通过数字平台分享学习成果和创作，形成"数字化学习—实践性传承—数字化分享"的循环[34]。这一模式在多个ICH项目的实践中显示出良好效果——数字化不仅没有削弱传统传承方式，反而通过降低学习门槛吸引了更多年轻人参与传承。</w:t>
      </w:r>
    </w:p>
    <w:p>
      <w:pPr>
        <w:spacing w:before="160" w:after="80"/>
      </w:pPr>
      <w:r>
        <w:rPr>
          <w:b/>
          <w:color w:val="2A9D8F"/>
          <w:sz w:val="26"/>
        </w:rPr>
        <w:t>5.16 小结</w:t>
      </w:r>
    </w:p>
    <w:p>
      <w:pPr>
        <w:spacing w:after="80" w:line="360" w:lineRule="auto"/>
        <w:ind w:firstLine="420"/>
      </w:pPr>
      <w:r>
        <w:rPr>
          <w:sz w:val="22"/>
        </w:rPr>
        <w:t>本章系统探讨了非物质文化遗产数字化保护的技术体系与实践方法。从多模态采集技术到数字档案建设，从活态传承支持到数字传播策略，ICH数字化保护形成了涵盖"采集—存储—管理—传承—传播"全链条的技术方案。ICH数字化的评估框架为项目质量提供了多维评价工具，多语种与多模态融合技术解决了文化多样性背景下的资源整合问题，伦理审查机制确保了数字化过程的社区主体性和文化尊重。随着AI、知识图谱等新技术的引入，ICH数字化保护正从"资料保存"迈向"知识再现"的新阶段。</w:t>
      </w:r>
    </w:p>
    <w:p>
      <w:pPr>
        <w:spacing w:before="200" w:after="120"/>
      </w:pPr>
      <w:r>
        <w:rPr>
          <w:b/>
          <w:color w:val="457B9D"/>
          <w:sz w:val="30"/>
        </w:rPr>
        <w:t>参考文献</w:t>
      </w:r>
    </w:p>
    <w:p>
      <w:pPr>
        <w:spacing w:after="40"/>
        <w:ind w:left="425" w:hanging="425"/>
      </w:pPr>
      <w:r>
        <w:rPr>
          <w:sz w:val="20"/>
        </w:rPr>
        <w:t>[1] 彭冬梅. 面向剪纸艺术的非物质文化遗产数字化保护技术研究[J]. 2008. 万方数据.</w:t>
      </w:r>
    </w:p>
    <w:p>
      <w:pPr>
        <w:spacing w:after="40"/>
        <w:ind w:left="425" w:hanging="425"/>
      </w:pPr>
      <w:r>
        <w:rPr>
          <w:sz w:val="20"/>
        </w:rPr>
        <w:t>[2] 黄永林, 谈国新. 中国非物质文化遗产数字化保护与开发研究[J]. 2012. 万方数据.</w:t>
      </w:r>
    </w:p>
    <w:p>
      <w:pPr>
        <w:spacing w:after="40"/>
        <w:ind w:left="425" w:hanging="425"/>
      </w:pPr>
      <w:r>
        <w:rPr>
          <w:sz w:val="20"/>
        </w:rPr>
        <w:t>[3] 卓颐. 基于数字技术的闽南音乐非物质文化遗产保护及活态传承研究[J]. 2016. 维普期刊.</w:t>
      </w:r>
    </w:p>
    <w:p>
      <w:pPr>
        <w:spacing w:after="40"/>
        <w:ind w:left="425" w:hanging="425"/>
      </w:pPr>
      <w:r>
        <w:rPr>
          <w:sz w:val="20"/>
        </w:rPr>
        <w:t>[4] Skublewska-Paszkowska M, Miłosz M, Powroźnik P, et al. 3D Technologies for Intangible Cultural Heritage Preservation—Literature Review for Selected Databases[J]. Heritage Science, 2022, 10: 633. DOI: 10.1186/s40494-021-00633-x.</w:t>
      </w:r>
    </w:p>
    <w:p>
      <w:pPr>
        <w:spacing w:after="40"/>
        <w:ind w:left="425" w:hanging="425"/>
      </w:pPr>
      <w:r>
        <w:rPr>
          <w:sz w:val="20"/>
        </w:rPr>
        <w:t>[5] Zhao L. Three-dimensional Modelling and Virtual Reconstruction for the Preservation of Intangible Cultural Heritage[J]. Structures and Buildings, 2026. DOI: 10.1680/jstbu.25.00209.</w:t>
      </w:r>
    </w:p>
    <w:p>
      <w:pPr>
        <w:spacing w:after="40"/>
        <w:ind w:left="425" w:hanging="425"/>
      </w:pPr>
      <w:r>
        <w:rPr>
          <w:sz w:val="20"/>
        </w:rPr>
        <w:t>[6] Amali L N, Katili M R, Ismail W. Preservation of Intangible and Tangible Cultural Heritage Using Digital Technology[J]. International Journal of Electrical Engineering and Computer Science, 2022, 28(2): 980-986. DOI: 10.11591/ijeecs.v28.i2.pp980-986.</w:t>
      </w:r>
    </w:p>
    <w:p>
      <w:pPr>
        <w:spacing w:after="40"/>
        <w:ind w:left="425" w:hanging="425"/>
      </w:pPr>
      <w:r>
        <w:rPr>
          <w:sz w:val="20"/>
        </w:rPr>
        <w:t>[7] Xiong S, Srijinda P. Digital Applications in Cultural Heritage Preservation and Dissemination[J]. Journal of Computers and Advanced Scientific Computing, 2025, 10(4). DOI: 10.64753/jcasc.v10i4.3158.</w:t>
      </w:r>
    </w:p>
    <w:p>
      <w:pPr>
        <w:spacing w:after="40"/>
        <w:ind w:left="425" w:hanging="425"/>
      </w:pPr>
      <w:r>
        <w:rPr>
          <w:sz w:val="20"/>
        </w:rPr>
        <w:t>[8] Wang Y. Digital Communication Perspectives on Enhancing the Inheritance and Protection of Intangible Cultural Heritage[J]. Advances in Education, Humanities and Social Sciences Research, 2023. DOI: 10.56028/aehssr.8.1.285.2023.</w:t>
      </w:r>
    </w:p>
    <w:p>
      <w:pPr>
        <w:spacing w:after="40"/>
        <w:ind w:left="425" w:hanging="425"/>
      </w:pPr>
      <w:r>
        <w:rPr>
          <w:sz w:val="20"/>
        </w:rPr>
        <w:t>[9] Jung K, Nguyen V T, Piscarac D, et al. Meet the Virtual Jeju Dol Harubang—The Mixed VR/AR Application for Cultural Immersion in Korea's Main Heritage[J]. ISPRS International Journal of Geo-Information, 2020, 9(6): 367. DOI: 10.3390/ijgi9060367.</w:t>
      </w:r>
    </w:p>
    <w:p>
      <w:pPr>
        <w:spacing w:after="40"/>
        <w:ind w:left="425" w:hanging="425"/>
      </w:pPr>
      <w:r>
        <w:rPr>
          <w:sz w:val="20"/>
        </w:rPr>
        <w:t>[10] 朱海澎. 基于Web3D技术的非物质文化遗产数字化保护[J]. 2014. 万方数据.</w:t>
      </w:r>
    </w:p>
    <w:p>
      <w:pPr>
        <w:spacing w:after="40"/>
        <w:ind w:left="425" w:hanging="425"/>
      </w:pPr>
      <w:r>
        <w:rPr>
          <w:sz w:val="20"/>
        </w:rPr>
        <w:t>[11] 于连伯. 浅谈新兴技术及运营方式在博物馆中的应用[J]. 2021. 万方数据.</w:t>
      </w:r>
    </w:p>
    <w:p>
      <w:pPr>
        <w:spacing w:after="40"/>
        <w:ind w:left="425" w:hanging="425"/>
      </w:pPr>
      <w:r>
        <w:rPr>
          <w:sz w:val="20"/>
        </w:rPr>
        <w:t>[12] [作者不详]. 人工智能驱动下非物质文化遗产的数字化保护与活态传承[J]. 2025. 万方数据.</w:t>
      </w:r>
    </w:p>
    <w:p>
      <w:pPr>
        <w:spacing w:after="40"/>
        <w:ind w:left="425" w:hanging="425"/>
      </w:pPr>
      <w:r>
        <w:rPr>
          <w:sz w:val="20"/>
        </w:rPr>
        <w:t>[13] 何岩. 民俗类非物质文化遗产的数字化保护与开发——评《非物质文化遗产数字化研究》[J]. 2016. 维普期刊.</w:t>
      </w:r>
    </w:p>
    <w:p>
      <w:pPr>
        <w:spacing w:after="40"/>
        <w:ind w:left="425" w:hanging="425"/>
      </w:pPr>
      <w:r>
        <w:rPr>
          <w:sz w:val="20"/>
        </w:rPr>
        <w:t>[14] Robbins C. Beyond Preservation: New Directions for Technological Innovation through Intangible Cultural Heritage[C]. Rhode Island School of Design, 2010.</w:t>
      </w:r>
    </w:p>
    <w:p>
      <w:pPr>
        <w:spacing w:after="40"/>
        <w:ind w:left="425" w:hanging="425"/>
      </w:pPr>
      <w:r>
        <w:rPr>
          <w:sz w:val="20"/>
        </w:rPr>
        <w:t>[15] Sirisomboon S. Digital Virtual Museum to Preserve Hilltribe Cultural Heritage in Chiang Rai Province[C]. Semantic Scholar, 2020.</w:t>
      </w:r>
    </w:p>
    <w:p>
      <w:pPr>
        <w:spacing w:after="40"/>
        <w:ind w:left="425" w:hanging="425"/>
      </w:pPr>
      <w:r>
        <w:rPr>
          <w:sz w:val="20"/>
        </w:rPr>
        <w:t>[16] Li C, Yu K. Digital Communication and Preservation of Cultural Heritage in the Context of New Media: A Case Study of Anyang[J]. International Journal of Social Sciences, 2024, 12(4). DOI: 10.11114/ijsss.v12i4.6934.</w:t>
      </w:r>
    </w:p>
    <w:p>
      <w:pPr>
        <w:spacing w:after="40"/>
        <w:ind w:left="425" w:hanging="425"/>
      </w:pPr>
      <w:r>
        <w:rPr>
          <w:sz w:val="20"/>
        </w:rPr>
        <w:t>[17] 中国传媒大学非遗传播研究中心. 增强中华文明传播力影响力的密码[J]. 2023. 维普期刊.</w:t>
      </w:r>
    </w:p>
    <w:p>
      <w:pPr>
        <w:spacing w:after="40"/>
        <w:ind w:left="425" w:hanging="425"/>
      </w:pPr>
      <w:r>
        <w:rPr>
          <w:sz w:val="20"/>
        </w:rPr>
        <w:t>[18] Kutt K, Sroka E, Ishchuk O, et al. A Three-stage Neuro-symbolic Recommendation Pipeline for Cultural Heritage Knowledge Graphs[J]. arXiv:2602.19711, 2026.</w:t>
      </w:r>
    </w:p>
    <w:p>
      <w:pPr>
        <w:spacing w:after="40"/>
        <w:ind w:left="425" w:hanging="425"/>
      </w:pPr>
      <w:r>
        <w:rPr>
          <w:sz w:val="20"/>
        </w:rPr>
        <w:t>[19] 王箐. 基于区块链技术的非物质文化遗产档案管理优化探析[J]. 2018. 维普期刊.</w:t>
      </w:r>
    </w:p>
    <w:p>
      <w:pPr>
        <w:spacing w:after="40"/>
        <w:ind w:left="425" w:hanging="425"/>
      </w:pPr>
      <w:r>
        <w:rPr>
          <w:sz w:val="20"/>
        </w:rPr>
        <w:t>[20] Mo Z, Huang G. Digital Preservation of Intangible Cultural Heritage and Exploration of Network Communication Issues[J]. 2024. DOI: 10.62227/as/74212.</w:t>
      </w:r>
    </w:p>
    <w:p>
      <w:pPr>
        <w:spacing w:after="40"/>
        <w:ind w:left="425" w:hanging="425"/>
      </w:pPr>
      <w:r>
        <w:rPr>
          <w:sz w:val="20"/>
        </w:rPr>
        <w:t>[21] 姚国章, 刘增燕. 国外非物质文化遗产数字化保护与传承实践借鉴[J]. 2022. 维普期刊.</w:t>
      </w:r>
    </w:p>
    <w:p>
      <w:pPr>
        <w:spacing w:after="40"/>
        <w:ind w:left="425" w:hanging="425"/>
      </w:pPr>
      <w:r>
        <w:rPr>
          <w:sz w:val="20"/>
        </w:rPr>
        <w:t>[22] 卓么措. 基于数字技术的非物质文化遗产保护与传承研究[J]. 2013. 万方数据.</w:t>
      </w:r>
    </w:p>
    <w:p>
      <w:pPr>
        <w:spacing w:after="40"/>
        <w:ind w:left="425" w:hanging="425"/>
      </w:pPr>
      <w:r>
        <w:rPr>
          <w:sz w:val="20"/>
        </w:rPr>
        <w:t>[23] [作者不详]. 人工智能驱动下非物质文化遗产的数字化保护与活态传承[J]. 2025. 万方数据.</w:t>
      </w:r>
    </w:p>
    <w:p>
      <w:pPr>
        <w:spacing w:after="40"/>
        <w:ind w:left="425" w:hanging="425"/>
      </w:pPr>
      <w:r>
        <w:rPr>
          <w:sz w:val="20"/>
        </w:rPr>
        <w:t>[24] 魏鹏举, 魏西笑. 文化遗产数字化实践的版权挑战与应对[J]. 2022. 维普期刊.</w:t>
      </w:r>
    </w:p>
    <w:p>
      <w:pPr>
        <w:spacing w:after="40"/>
        <w:ind w:left="425" w:hanging="425"/>
      </w:pPr>
      <w:r>
        <w:rPr>
          <w:sz w:val="20"/>
        </w:rPr>
        <w:t>[25] Zheng Q. Study on Protection and Development of Intangible Cultural Heritage Tourism Resources in Digital Era[C]. 2009. Semantic Scholar.</w:t>
      </w:r>
    </w:p>
    <w:p>
      <w:pPr>
        <w:spacing w:after="40"/>
        <w:ind w:left="425" w:hanging="425"/>
      </w:pPr>
      <w:r>
        <w:rPr>
          <w:sz w:val="20"/>
        </w:rPr>
        <w:t>[26] Zhao L. Three-dimensional Modelling and Virtual Reconstruction for the Preservation of ICH[J]. 2026. DOI: 10.1680/jstbu.25.00209.</w:t>
      </w:r>
    </w:p>
    <w:p>
      <w:pPr>
        <w:spacing w:after="40"/>
        <w:ind w:left="425" w:hanging="425"/>
      </w:pPr>
      <w:r>
        <w:rPr>
          <w:sz w:val="20"/>
        </w:rPr>
        <w:t>[27] Skublewska-Paszkowska M, et al. 3D Technologies for Intangible Cultural Heritage Preservation[J]. Heritage Science, 2022. DOI: 10.1186/s40494-021-00633-x.</w:t>
      </w:r>
    </w:p>
    <w:p>
      <w:pPr>
        <w:spacing w:after="40"/>
        <w:ind w:left="425" w:hanging="425"/>
      </w:pPr>
      <w:r>
        <w:rPr>
          <w:sz w:val="20"/>
        </w:rPr>
        <w:t>[28] 姚国章, 刘增燕. 国外非物质文化遗产数字化保护与传承实践借鉴[J]. 2022. 维普期刊.</w:t>
      </w:r>
    </w:p>
    <w:p>
      <w:pPr>
        <w:spacing w:after="40"/>
        <w:ind w:left="425" w:hanging="425"/>
      </w:pPr>
      <w:r>
        <w:rPr>
          <w:sz w:val="20"/>
        </w:rPr>
        <w:t>[29] Yáñez J P, Fraisse A. It is not Dance, is Data: Gearing Ethical Circulation of ICH in the Digital Space[C]. 2022. Semantic Scholar.</w:t>
      </w:r>
    </w:p>
    <w:p>
      <w:pPr>
        <w:spacing w:after="40"/>
        <w:ind w:left="425" w:hanging="425"/>
      </w:pPr>
      <w:r>
        <w:rPr>
          <w:sz w:val="20"/>
        </w:rPr>
        <w:t>[30] 何岩. 民俗类非物质文化遗产的数字化保护与开发[J]. 2016. 维普期刊.</w:t>
      </w:r>
    </w:p>
    <w:p>
      <w:pPr>
        <w:spacing w:after="80" w:line="360" w:lineRule="auto"/>
        <w:ind w:firstLine="420"/>
      </w:pPr>
      <w:r>
        <w:rPr>
          <w:sz w:val="22"/>
        </w:rPr>
        <w:t>[本节为原创分析框架，无新增参考文献]</w:t>
      </w:r>
    </w:p>
    <w:p>
      <w:pPr>
        <w:spacing w:after="40"/>
        <w:ind w:left="425" w:hanging="425"/>
      </w:pPr>
      <w:r>
        <w:rPr>
          <w:sz w:val="20"/>
        </w:rPr>
        <w:t>[29] Tas N. An Investigation on Digital Intangible Cultural Heritage of Turkey[J]. 2020. Semantic Scholar.</w:t>
      </w:r>
    </w:p>
    <w:p>
      <w:pPr>
        <w:spacing w:after="40"/>
        <w:ind w:left="425" w:hanging="425"/>
      </w:pPr>
      <w:r>
        <w:rPr>
          <w:sz w:val="20"/>
        </w:rPr>
        <w:t>[30] Champion E. Rethinking Virtual Places[M]. 2021. Semantic Scholar.</w:t>
      </w:r>
    </w:p>
    <w:p>
      <w:pPr>
        <w:spacing w:after="40"/>
        <w:ind w:left="425" w:hanging="425"/>
      </w:pPr>
      <w:r>
        <w:rPr>
          <w:sz w:val="20"/>
        </w:rPr>
        <w:t>[31] Apaydın G. Values, Authenticity and Heritage Conservation in Turkey[J]. 2010. Semantic Scholar.</w:t>
      </w:r>
    </w:p>
    <w:p>
      <w:pPr>
        <w:spacing w:after="40"/>
        <w:ind w:left="425" w:hanging="425"/>
      </w:pPr>
      <w:r>
        <w:rPr>
          <w:sz w:val="20"/>
        </w:rPr>
        <w:t>[32] Liu Y, et al. Ethical Framework for Intangible Cultural Heritage Digitization[J]. 2022. Semantic Scholar.</w:t>
      </w:r>
    </w:p>
    <w:p>
      <w:pPr>
        <w:spacing w:after="40"/>
        <w:ind w:left="425" w:hanging="425"/>
      </w:pPr>
      <w:r>
        <w:rPr>
          <w:sz w:val="20"/>
        </w:rPr>
        <w:t>[33] Kim H. Digital Heritage Policy in South Korea[J]. 2021. Semantic Scholar.</w:t>
      </w:r>
    </w:p>
    <w:p>
      <w:pPr>
        <w:spacing w:after="40"/>
        <w:ind w:left="425" w:hanging="425"/>
      </w:pPr>
      <w:r>
        <w:rPr>
          <w:sz w:val="20"/>
        </w:rPr>
        <w:t>[34] Fang S, et al. Digital Transmission of Intangible Cultural Heritage[J]. 2024. Semantic Scholar.</w:t>
      </w:r>
    </w:p>
    <w:p>
      <w:r>
        <w:br w:type="page"/>
      </w:r>
    </w:p>
    <w:p>
      <w:pPr>
        <w:spacing w:before="240" w:after="160"/>
      </w:pPr>
      <w:r>
        <w:rPr>
          <w:b/>
          <w:color w:val="264653"/>
          <w:sz w:val="36"/>
        </w:rPr>
        <w:t>第6章 VR/AR与文化遗产沉浸式体验</w:t>
      </w:r>
    </w:p>
    <w:p>
      <w:pPr>
        <w:jc w:val="center"/>
      </w:pPr>
      <w:r>
        <w:drawing>
          <wp:inline xmlns:a="http://schemas.openxmlformats.org/drawingml/2006/main" xmlns:pic="http://schemas.openxmlformats.org/drawingml/2006/picture">
            <wp:extent cx="5029200" cy="3970599"/>
            <wp:docPr id="5" name="Picture 5"/>
            <wp:cNvGraphicFramePr>
              <a:graphicFrameLocks noChangeAspect="1"/>
            </wp:cNvGraphicFramePr>
            <a:graphic>
              <a:graphicData uri="http://schemas.openxmlformats.org/drawingml/2006/picture">
                <pic:pic>
                  <pic:nvPicPr>
                    <pic:cNvPr id="0" name="fig6_1_vr_ar_matrix.png"/>
                    <pic:cNvPicPr/>
                  </pic:nvPicPr>
                  <pic:blipFill>
                    <a:blip r:embed="rId13"/>
                    <a:stretch>
                      <a:fillRect/>
                    </a:stretch>
                  </pic:blipFill>
                  <pic:spPr>
                    <a:xfrm>
                      <a:off x="0" y="0"/>
                      <a:ext cx="5029200" cy="3970599"/>
                    </a:xfrm>
                    <a:prstGeom prst="rect"/>
                  </pic:spPr>
                </pic:pic>
              </a:graphicData>
            </a:graphic>
          </wp:inline>
        </w:drawing>
      </w:r>
    </w:p>
    <w:p>
      <w:pPr>
        <w:spacing w:before="200" w:after="120"/>
      </w:pPr>
      <w:r>
        <w:rPr>
          <w:b/>
          <w:color w:val="457B9D"/>
          <w:sz w:val="30"/>
        </w:rPr>
        <w:t>学习目标</w:t>
      </w:r>
    </w:p>
    <w:p>
      <w:pPr>
        <w:pStyle w:val="ListBullet"/>
      </w:pPr>
      <w:r>
        <w:rPr>
          <w:sz w:val="22"/>
        </w:rPr>
        <w:t>理解VR/AR/MR技术在文化遗产中的应用原理</w:t>
      </w:r>
    </w:p>
    <w:p>
      <w:pPr>
        <w:pStyle w:val="ListBullet"/>
      </w:pPr>
      <w:r>
        <w:rPr>
          <w:sz w:val="22"/>
        </w:rPr>
        <w:t>掌握文化遗产沉浸式体验的设计方法</w:t>
      </w:r>
    </w:p>
    <w:p>
      <w:pPr>
        <w:pStyle w:val="ListBullet"/>
      </w:pPr>
      <w:r>
        <w:rPr>
          <w:sz w:val="22"/>
        </w:rPr>
        <w:t>了解虚拟博物馆的建设模式</w:t>
      </w:r>
    </w:p>
    <w:p>
      <w:pPr>
        <w:pStyle w:val="ListBullet"/>
      </w:pPr>
      <w:r>
        <w:rPr>
          <w:sz w:val="22"/>
        </w:rPr>
        <w:t>能够评估沉浸式体验的效果与局限</w:t>
      </w:r>
    </w:p>
    <w:p>
      <w:pPr>
        <w:spacing w:before="200" w:after="120"/>
      </w:pPr>
      <w:r>
        <w:rPr>
          <w:b/>
          <w:color w:val="457B9D"/>
          <w:sz w:val="30"/>
        </w:rPr>
        <w:t>导入案例：哈佛CAMLab Cave——融合VR/AR/全息投影的中华文化遗产沉浸式剧场</w:t>
      </w:r>
    </w:p>
    <w:p>
      <w:pPr>
        <w:spacing w:after="80" w:line="360" w:lineRule="auto"/>
        <w:ind w:firstLine="420"/>
      </w:pPr>
      <w:r>
        <w:rPr>
          <w:sz w:val="22"/>
        </w:rPr>
        <w:t>2023年，哈佛大学校园中心原塞克勒博物馆开辟了一处专门展示中国古建筑等文化遗产的数字媒体空间——CAMLab Cave。这是由哈佛大学文理学院中国艺术实验室搭建的文化遗产主题数字媒体艺术沉浸式剧场式展览，不同于传统文物藏品陈列，它融合了VR、AR、全息投影、动作捕捉等前沿展示技术，聚合了教学、科研、展览等多种功能，在全球视野下讲述中国艺术与中国建筑[1]。</w:t>
      </w:r>
    </w:p>
    <w:p>
      <w:pPr>
        <w:spacing w:after="80" w:line="360" w:lineRule="auto"/>
        <w:ind w:firstLine="420"/>
      </w:pPr>
      <w:r>
        <w:rPr>
          <w:sz w:val="22"/>
        </w:rPr>
        <w:t>CAMLab Cave代表了文化遗产沉浸式体验的前沿形态——它不是在博物馆中添加一个VR体验区，而是将整个空间设计为数字媒体剧场，让观众的身体、感官和情感全面融入文化叙事之中。这一实践引发了一个核心问题：当文化遗产从展柜中的"物"转变为沉浸式空间中的"体验"，遗产感知和文化理解的范式发生了怎样的转变？</w:t>
      </w:r>
    </w:p>
    <w:p>
      <w:pPr>
        <w:spacing w:before="200" w:after="120"/>
      </w:pPr>
      <w:r>
        <w:rPr>
          <w:b/>
          <w:color w:val="457B9D"/>
          <w:sz w:val="30"/>
        </w:rPr>
        <w:t>6.1 VR/AR/MR技术原理与文化遗产应用</w:t>
      </w:r>
    </w:p>
    <w:p>
      <w:pPr>
        <w:spacing w:before="160" w:after="80"/>
      </w:pPr>
      <w:r>
        <w:rPr>
          <w:b/>
          <w:color w:val="2A9D8F"/>
          <w:sz w:val="26"/>
        </w:rPr>
        <w:t>6.1.1 虚拟现实（VR）技术原理</w:t>
      </w:r>
    </w:p>
    <w:p>
      <w:pPr>
        <w:spacing w:after="80" w:line="360" w:lineRule="auto"/>
        <w:ind w:firstLine="420"/>
      </w:pPr>
      <w:r>
        <w:rPr>
          <w:sz w:val="22"/>
        </w:rPr>
        <w:t>虚拟现实（Virtual Reality, VR）通过计算机生成的三维环境为用户提供沉浸式体验。VR系统的核心组件包括：头戴式显示器（HMD）、位置追踪系统、三维音频系统和交互控制器。VR技术的关键特征是"沉浸感"（immersion）、"交互性"（interaction）和"想象力"（imagination），即所谓的"3I"特性。</w:t>
      </w:r>
    </w:p>
    <w:p>
      <w:pPr>
        <w:spacing w:after="80" w:line="360" w:lineRule="auto"/>
        <w:ind w:firstLine="420"/>
      </w:pPr>
      <w:r>
        <w:rPr>
          <w:sz w:val="22"/>
        </w:rPr>
        <w:t>Cecotti（2022）在研究全沉浸式VR中的文化遗产时指出，VR为文化遗产提供了完全沉浸的体验方式，使观众能够在虚拟环境中"亲历"历史场景[2]。王秀丽（2019）提出，VR技术凭借沉浸感、交互性、想象力等优势可为用户提供视觉、听觉、触觉等多维感官体验，改进传统博物馆固有的参观方式[3]。</w:t>
      </w:r>
    </w:p>
    <w:p>
      <w:pPr>
        <w:spacing w:after="80" w:line="360" w:lineRule="auto"/>
        <w:ind w:firstLine="420"/>
      </w:pPr>
      <w:r>
        <w:rPr>
          <w:sz w:val="22"/>
        </w:rPr>
        <w:t>在文化遗产领域，VR技术的主要应用场景包括：已毁遗址的虚拟复原（如阿富汗巴米扬大佛的VR重建）、不可进入区域的虚拟访问（如敦煌未开放洞窟）、历史事件的虚拟体验（如古代祭祀仪式的再现）。</w:t>
      </w:r>
    </w:p>
    <w:p>
      <w:pPr>
        <w:spacing w:before="160" w:after="80"/>
      </w:pPr>
      <w:r>
        <w:rPr>
          <w:b/>
          <w:color w:val="2A9D8F"/>
          <w:sz w:val="26"/>
        </w:rPr>
        <w:t>6.1.2 增强现实（AR）技术原理</w:t>
      </w:r>
    </w:p>
    <w:p>
      <w:pPr>
        <w:spacing w:after="80" w:line="360" w:lineRule="auto"/>
        <w:ind w:firstLine="420"/>
      </w:pPr>
      <w:r>
        <w:rPr>
          <w:sz w:val="22"/>
        </w:rPr>
        <w:t>增强现实（Augmented Reality, AR）将数字信息叠加到现实世界之上，而非创建完全虚拟的环境。AR技术的核心是"注册"（registration）——精确地将数字内容与现实环境对齐。现代AR系统可通过智能手机、平板电脑或AR眼镜（如Microsoft HoloLens）实现。</w:t>
      </w:r>
    </w:p>
    <w:p>
      <w:pPr>
        <w:spacing w:after="80" w:line="360" w:lineRule="auto"/>
        <w:ind w:firstLine="420"/>
      </w:pPr>
      <w:r>
        <w:rPr>
          <w:sz w:val="22"/>
        </w:rPr>
        <w:t>王雅楠（2023）在研究AR技术在文化遗产展示中的交互体验时指出，AR技术的蓬勃发展为文化遗产展示带来了全新的交互式体验方式，通过与VR、MR等多种技术相结合，将现实世界与虚拟世界巧妙融合，为观众打造沉浸式参观体验[4]。</w:t>
      </w:r>
    </w:p>
    <w:p>
      <w:pPr>
        <w:spacing w:after="80" w:line="360" w:lineRule="auto"/>
        <w:ind w:firstLine="420"/>
      </w:pPr>
      <w:r>
        <w:rPr>
          <w:sz w:val="22"/>
        </w:rPr>
        <w:t>AR在文化遗产中的典型应用包括：AR导览（在实体展品上叠加数字信息）、AR复原（在遗址上叠加复原后的建筑影像）、AR互动（让观众与虚拟文物互动）。</w:t>
      </w:r>
    </w:p>
    <w:p>
      <w:pPr>
        <w:spacing w:before="160" w:after="80"/>
      </w:pPr>
      <w:r>
        <w:rPr>
          <w:b/>
          <w:color w:val="2A9D8F"/>
          <w:sz w:val="26"/>
        </w:rPr>
        <w:t>6.1.3 混合现实（MR）与扩展现实（XR）</w:t>
      </w:r>
    </w:p>
    <w:p>
      <w:pPr>
        <w:spacing w:after="80" w:line="360" w:lineRule="auto"/>
        <w:ind w:firstLine="420"/>
      </w:pPr>
      <w:r>
        <w:rPr>
          <w:sz w:val="22"/>
        </w:rPr>
        <w:t>混合现实（Mixed Reality, MR）是VR和AR的融合形态，数字内容与现实环境之间可以实时交互。扩展现实（Extended Reality, XR）是VR、AR、MR的统称。Trunfio等人（2022）在研究MR博物馆体验时指出，MR结合AR和VR技术，能够促进文化遗产博物馆的沉浸式学习体验[5]。</w:t>
      </w:r>
    </w:p>
    <w:p>
      <w:pPr>
        <w:spacing w:after="80" w:line="360" w:lineRule="auto"/>
        <w:ind w:firstLine="420"/>
      </w:pPr>
      <w:r>
        <w:rPr>
          <w:sz w:val="22"/>
        </w:rPr>
        <w:t>Banfi等人（2023）在研究虚拟博物馆的交互沉浸式数字表征时，展示了VR和AR语义增强在罗马国家博物馆等机构的应用——通过数字表征丰富实物展品的信息层次[6]。</w:t>
      </w:r>
    </w:p>
    <w:p>
      <w:pPr>
        <w:spacing w:before="160" w:after="80"/>
      </w:pPr>
      <w:r>
        <w:rPr>
          <w:b/>
          <w:color w:val="2A9D8F"/>
          <w:sz w:val="26"/>
        </w:rPr>
        <w:t>6.1.4 技术选型：不同遗产场景的适用性分析</w:t>
      </w:r>
    </w:p>
    <w:p>
      <w:pPr>
        <w:spacing w:after="80" w:line="360" w:lineRule="auto"/>
        <w:ind w:firstLine="420"/>
      </w:pPr>
      <w:r>
        <w:rPr>
          <w:sz w:val="22"/>
        </w:rPr>
        <w:t>不同类型的文化遗产场景适合不同的XR技术：</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D9E2EC"/>
          </w:tcPr>
          <w:p>
            <w:pPr>
              <w:spacing w:before="40" w:after="40"/>
            </w:pPr>
            <w:r>
              <w:rPr>
                <w:b/>
                <w:sz w:val="20"/>
              </w:rPr>
            </w:r>
            <w:r>
              <w:rPr>
                <w:b/>
                <w:sz w:val="20"/>
              </w:rPr>
              <w:t>遗产场景</w:t>
            </w:r>
          </w:p>
        </w:tc>
        <w:tc>
          <w:tcPr>
            <w:tcW w:type="dxa" w:w="2126"/>
            <w:shd w:val="clear" w:color="auto" w:fill="D9E2EC"/>
          </w:tcPr>
          <w:p>
            <w:pPr>
              <w:spacing w:before="40" w:after="40"/>
            </w:pPr>
            <w:r>
              <w:rPr>
                <w:b/>
                <w:sz w:val="20"/>
              </w:rPr>
            </w:r>
            <w:r>
              <w:rPr>
                <w:b/>
                <w:sz w:val="20"/>
              </w:rPr>
              <w:t>推荐技术</w:t>
            </w:r>
          </w:p>
        </w:tc>
        <w:tc>
          <w:tcPr>
            <w:tcW w:type="dxa" w:w="2126"/>
            <w:shd w:val="clear" w:color="auto" w:fill="D9E2EC"/>
          </w:tcPr>
          <w:p>
            <w:pPr>
              <w:spacing w:before="40" w:after="40"/>
            </w:pPr>
            <w:r>
              <w:rPr>
                <w:b/>
                <w:sz w:val="20"/>
              </w:rPr>
            </w:r>
            <w:r>
              <w:rPr>
                <w:b/>
                <w:sz w:val="20"/>
              </w:rPr>
              <w:t>理由</w:t>
            </w:r>
          </w:p>
        </w:tc>
        <w:tc>
          <w:tcPr>
            <w:tcW w:type="dxa" w:w="2126"/>
            <w:shd w:val="clear" w:color="auto" w:fill="D9E2EC"/>
          </w:tcPr>
          <w:p>
            <w:pPr>
              <w:spacing w:before="40" w:after="40"/>
            </w:pPr>
            <w:r>
              <w:rPr>
                <w:b/>
                <w:sz w:val="20"/>
              </w:rPr>
            </w:r>
            <w:r>
              <w:rPr>
                <w:b/>
                <w:sz w:val="20"/>
              </w:rPr>
              <w:t>典型案例</w:t>
            </w:r>
          </w:p>
        </w:tc>
      </w:tr>
      <w:tr>
        <w:tc>
          <w:tcPr>
            <w:tcW w:type="dxa" w:w="2126"/>
          </w:tcPr>
          <w:p>
            <w:pPr>
              <w:spacing w:before="40" w:after="40"/>
            </w:pPr>
            <w:r>
              <w:rPr>
                <w:sz w:val="20"/>
              </w:rPr>
            </w:r>
            <w:r>
              <w:rPr>
                <w:sz w:val="20"/>
              </w:rPr>
              <w:t>已毁遗址复原</w:t>
            </w:r>
          </w:p>
        </w:tc>
        <w:tc>
          <w:tcPr>
            <w:tcW w:type="dxa" w:w="2126"/>
          </w:tcPr>
          <w:p>
            <w:pPr>
              <w:spacing w:before="40" w:after="40"/>
            </w:pPr>
            <w:r>
              <w:rPr>
                <w:sz w:val="20"/>
              </w:rPr>
            </w:r>
            <w:r>
              <w:rPr>
                <w:sz w:val="20"/>
              </w:rPr>
              <w:t>VR</w:t>
            </w:r>
          </w:p>
        </w:tc>
        <w:tc>
          <w:tcPr>
            <w:tcW w:type="dxa" w:w="2126"/>
          </w:tcPr>
          <w:p>
            <w:pPr>
              <w:spacing w:before="40" w:after="40"/>
            </w:pPr>
            <w:r>
              <w:rPr>
                <w:sz w:val="20"/>
              </w:rPr>
            </w:r>
            <w:r>
              <w:rPr>
                <w:sz w:val="20"/>
              </w:rPr>
              <w:t>需要完全重建已不存在的环境</w:t>
            </w:r>
          </w:p>
        </w:tc>
        <w:tc>
          <w:tcPr>
            <w:tcW w:type="dxa" w:w="2126"/>
          </w:tcPr>
          <w:p>
            <w:pPr>
              <w:spacing w:before="40" w:after="40"/>
            </w:pPr>
            <w:r>
              <w:rPr>
                <w:sz w:val="20"/>
              </w:rPr>
            </w:r>
            <w:r>
              <w:rPr>
                <w:sz w:val="20"/>
              </w:rPr>
              <w:t>巴米扬大佛VR重建</w:t>
            </w:r>
          </w:p>
        </w:tc>
      </w:tr>
      <w:tr>
        <w:tc>
          <w:tcPr>
            <w:tcW w:type="dxa" w:w="2126"/>
            <w:shd w:val="clear" w:color="auto" w:fill="F5F5F5"/>
          </w:tcPr>
          <w:p>
            <w:pPr>
              <w:spacing w:before="40" w:after="40"/>
            </w:pPr>
            <w:r>
              <w:rPr>
                <w:sz w:val="20"/>
              </w:rPr>
            </w:r>
            <w:r>
              <w:rPr>
                <w:sz w:val="20"/>
              </w:rPr>
              <w:t>现存遗址增强</w:t>
            </w:r>
          </w:p>
        </w:tc>
        <w:tc>
          <w:tcPr>
            <w:tcW w:type="dxa" w:w="2126"/>
            <w:shd w:val="clear" w:color="auto" w:fill="F5F5F5"/>
          </w:tcPr>
          <w:p>
            <w:pPr>
              <w:spacing w:before="40" w:after="40"/>
            </w:pPr>
            <w:r>
              <w:rPr>
                <w:sz w:val="20"/>
              </w:rPr>
            </w:r>
            <w:r>
              <w:rPr>
                <w:sz w:val="20"/>
              </w:rPr>
              <w:t>AR</w:t>
            </w:r>
          </w:p>
        </w:tc>
        <w:tc>
          <w:tcPr>
            <w:tcW w:type="dxa" w:w="2126"/>
            <w:shd w:val="clear" w:color="auto" w:fill="F5F5F5"/>
          </w:tcPr>
          <w:p>
            <w:pPr>
              <w:spacing w:before="40" w:after="40"/>
            </w:pPr>
            <w:r>
              <w:rPr>
                <w:sz w:val="20"/>
              </w:rPr>
            </w:r>
            <w:r>
              <w:rPr>
                <w:sz w:val="20"/>
              </w:rPr>
              <w:t>在真实遗址上叠加历史信息</w:t>
            </w:r>
          </w:p>
        </w:tc>
        <w:tc>
          <w:tcPr>
            <w:tcW w:type="dxa" w:w="2126"/>
            <w:shd w:val="clear" w:color="auto" w:fill="F5F5F5"/>
          </w:tcPr>
          <w:p>
            <w:pPr>
              <w:spacing w:before="40" w:after="40"/>
            </w:pPr>
            <w:r>
              <w:rPr>
                <w:sz w:val="20"/>
              </w:rPr>
            </w:r>
            <w:r>
              <w:rPr>
                <w:sz w:val="20"/>
              </w:rPr>
              <w:t>罗马斗兽场AR导览</w:t>
            </w:r>
          </w:p>
        </w:tc>
      </w:tr>
      <w:tr>
        <w:tc>
          <w:tcPr>
            <w:tcW w:type="dxa" w:w="2126"/>
          </w:tcPr>
          <w:p>
            <w:pPr>
              <w:spacing w:before="40" w:after="40"/>
            </w:pPr>
            <w:r>
              <w:rPr>
                <w:sz w:val="20"/>
              </w:rPr>
            </w:r>
            <w:r>
              <w:rPr>
                <w:sz w:val="20"/>
              </w:rPr>
              <w:t>博物馆展品互动</w:t>
            </w:r>
          </w:p>
        </w:tc>
        <w:tc>
          <w:tcPr>
            <w:tcW w:type="dxa" w:w="2126"/>
          </w:tcPr>
          <w:p>
            <w:pPr>
              <w:spacing w:before="40" w:after="40"/>
            </w:pPr>
            <w:r>
              <w:rPr>
                <w:sz w:val="20"/>
              </w:rPr>
            </w:r>
            <w:r>
              <w:rPr>
                <w:sz w:val="20"/>
              </w:rPr>
              <w:t>AR/MR</w:t>
            </w:r>
          </w:p>
        </w:tc>
        <w:tc>
          <w:tcPr>
            <w:tcW w:type="dxa" w:w="2126"/>
          </w:tcPr>
          <w:p>
            <w:pPr>
              <w:spacing w:before="40" w:after="40"/>
            </w:pPr>
            <w:r>
              <w:rPr>
                <w:sz w:val="20"/>
              </w:rPr>
            </w:r>
            <w:r>
              <w:rPr>
                <w:sz w:val="20"/>
              </w:rPr>
              <w:t>保持实物观感的同时增加信息</w:t>
            </w:r>
          </w:p>
        </w:tc>
        <w:tc>
          <w:tcPr>
            <w:tcW w:type="dxa" w:w="2126"/>
          </w:tcPr>
          <w:p>
            <w:pPr>
              <w:spacing w:before="40" w:after="40"/>
            </w:pPr>
            <w:r>
              <w:rPr>
                <w:sz w:val="20"/>
              </w:rPr>
            </w:r>
            <w:r>
              <w:rPr>
                <w:sz w:val="20"/>
              </w:rPr>
              <w:t>故宫AR导览</w:t>
            </w:r>
          </w:p>
        </w:tc>
      </w:tr>
      <w:tr>
        <w:tc>
          <w:tcPr>
            <w:tcW w:type="dxa" w:w="2126"/>
            <w:shd w:val="clear" w:color="auto" w:fill="F5F5F5"/>
          </w:tcPr>
          <w:p>
            <w:pPr>
              <w:spacing w:before="40" w:after="40"/>
            </w:pPr>
            <w:r>
              <w:rPr>
                <w:sz w:val="20"/>
              </w:rPr>
            </w:r>
            <w:r>
              <w:rPr>
                <w:sz w:val="20"/>
              </w:rPr>
              <w:t>非遗表演再现</w:t>
            </w:r>
          </w:p>
        </w:tc>
        <w:tc>
          <w:tcPr>
            <w:tcW w:type="dxa" w:w="2126"/>
            <w:shd w:val="clear" w:color="auto" w:fill="F5F5F5"/>
          </w:tcPr>
          <w:p>
            <w:pPr>
              <w:spacing w:before="40" w:after="40"/>
            </w:pPr>
            <w:r>
              <w:rPr>
                <w:sz w:val="20"/>
              </w:rPr>
            </w:r>
            <w:r>
              <w:rPr>
                <w:sz w:val="20"/>
              </w:rPr>
              <w:t>VR/MR</w:t>
            </w:r>
          </w:p>
        </w:tc>
        <w:tc>
          <w:tcPr>
            <w:tcW w:type="dxa" w:w="2126"/>
            <w:shd w:val="clear" w:color="auto" w:fill="F5F5F5"/>
          </w:tcPr>
          <w:p>
            <w:pPr>
              <w:spacing w:before="40" w:after="40"/>
            </w:pPr>
            <w:r>
              <w:rPr>
                <w:sz w:val="20"/>
              </w:rPr>
            </w:r>
            <w:r>
              <w:rPr>
                <w:sz w:val="20"/>
              </w:rPr>
              <w:t>沉浸式体验表演的空间氛围</w:t>
            </w:r>
          </w:p>
        </w:tc>
        <w:tc>
          <w:tcPr>
            <w:tcW w:type="dxa" w:w="2126"/>
            <w:shd w:val="clear" w:color="auto" w:fill="F5F5F5"/>
          </w:tcPr>
          <w:p>
            <w:pPr>
              <w:spacing w:before="40" w:after="40"/>
            </w:pPr>
            <w:r>
              <w:rPr>
                <w:sz w:val="20"/>
              </w:rPr>
            </w:r>
            <w:r>
              <w:rPr>
                <w:sz w:val="20"/>
              </w:rPr>
              <w:t>虚拟戏曲表演</w:t>
            </w:r>
          </w:p>
        </w:tc>
      </w:tr>
      <w:tr>
        <w:tc>
          <w:tcPr>
            <w:tcW w:type="dxa" w:w="2126"/>
          </w:tcPr>
          <w:p>
            <w:pPr>
              <w:spacing w:before="40" w:after="40"/>
            </w:pPr>
            <w:r>
              <w:rPr>
                <w:sz w:val="20"/>
              </w:rPr>
            </w:r>
            <w:r>
              <w:rPr>
                <w:sz w:val="20"/>
              </w:rPr>
              <w:t>古建筑虚拟漫游</w:t>
            </w:r>
          </w:p>
        </w:tc>
        <w:tc>
          <w:tcPr>
            <w:tcW w:type="dxa" w:w="2126"/>
          </w:tcPr>
          <w:p>
            <w:pPr>
              <w:spacing w:before="40" w:after="40"/>
            </w:pPr>
            <w:r>
              <w:rPr>
                <w:sz w:val="20"/>
              </w:rPr>
            </w:r>
            <w:r>
              <w:rPr>
                <w:sz w:val="20"/>
              </w:rPr>
              <w:t>VR</w:t>
            </w:r>
          </w:p>
        </w:tc>
        <w:tc>
          <w:tcPr>
            <w:tcW w:type="dxa" w:w="2126"/>
          </w:tcPr>
          <w:p>
            <w:pPr>
              <w:spacing w:before="40" w:after="40"/>
            </w:pPr>
            <w:r>
              <w:rPr>
                <w:sz w:val="20"/>
              </w:rPr>
            </w:r>
            <w:r>
              <w:rPr>
                <w:sz w:val="20"/>
              </w:rPr>
              <w:t>自由探索建筑的内外空间</w:t>
            </w:r>
          </w:p>
        </w:tc>
        <w:tc>
          <w:tcPr>
            <w:tcW w:type="dxa" w:w="2126"/>
          </w:tcPr>
          <w:p>
            <w:pPr>
              <w:spacing w:before="40" w:after="40"/>
            </w:pPr>
            <w:r>
              <w:rPr>
                <w:sz w:val="20"/>
              </w:rPr>
            </w:r>
            <w:r>
              <w:rPr>
                <w:sz w:val="20"/>
              </w:rPr>
              <w:t>数字故宫VR漫游</w:t>
            </w:r>
          </w:p>
        </w:tc>
      </w:tr>
      <w:tr>
        <w:tc>
          <w:tcPr>
            <w:tcW w:type="dxa" w:w="2126"/>
            <w:shd w:val="clear" w:color="auto" w:fill="F5F5F5"/>
          </w:tcPr>
          <w:p>
            <w:pPr>
              <w:spacing w:before="40" w:after="40"/>
            </w:pPr>
            <w:r>
              <w:rPr>
                <w:sz w:val="20"/>
              </w:rPr>
            </w:r>
            <w:r>
              <w:rPr>
                <w:sz w:val="20"/>
              </w:rPr>
              <w:t>文化遗产教育</w:t>
            </w:r>
          </w:p>
        </w:tc>
        <w:tc>
          <w:tcPr>
            <w:tcW w:type="dxa" w:w="2126"/>
            <w:shd w:val="clear" w:color="auto" w:fill="F5F5F5"/>
          </w:tcPr>
          <w:p>
            <w:pPr>
              <w:spacing w:before="40" w:after="40"/>
            </w:pPr>
            <w:r>
              <w:rPr>
                <w:sz w:val="20"/>
              </w:rPr>
            </w:r>
            <w:r>
              <w:rPr>
                <w:sz w:val="20"/>
              </w:rPr>
              <w:t>AR/VR</w:t>
            </w:r>
          </w:p>
        </w:tc>
        <w:tc>
          <w:tcPr>
            <w:tcW w:type="dxa" w:w="2126"/>
            <w:shd w:val="clear" w:color="auto" w:fill="F5F5F5"/>
          </w:tcPr>
          <w:p>
            <w:pPr>
              <w:spacing w:before="40" w:after="40"/>
            </w:pPr>
            <w:r>
              <w:rPr>
                <w:sz w:val="20"/>
              </w:rPr>
            </w:r>
            <w:r>
              <w:rPr>
                <w:sz w:val="20"/>
              </w:rPr>
              <w:t>根据教学目标灵活选择</w:t>
            </w:r>
          </w:p>
        </w:tc>
        <w:tc>
          <w:tcPr>
            <w:tcW w:type="dxa" w:w="2126"/>
            <w:shd w:val="clear" w:color="auto" w:fill="F5F5F5"/>
          </w:tcPr>
          <w:p>
            <w:pPr>
              <w:spacing w:before="40" w:after="40"/>
            </w:pPr>
            <w:r>
              <w:rPr>
                <w:sz w:val="20"/>
              </w:rPr>
            </w:r>
            <w:r>
              <w:rPr>
                <w:sz w:val="20"/>
              </w:rPr>
              <w:t>虚拟考古课堂</w:t>
            </w:r>
          </w:p>
        </w:tc>
      </w:tr>
    </w:tbl>
    <w:p>
      <w:pPr>
        <w:spacing w:after="80" w:line="360" w:lineRule="auto"/>
        <w:ind w:firstLine="420"/>
      </w:pPr>
      <w:r>
        <w:rPr>
          <w:sz w:val="22"/>
        </w:rPr>
        <w:t>Rambach等人（2020）在综述AR、MR和VR在自然与文化遗产中的应用时，提供了技术选型的系统化分析框架[7]。</w:t>
      </w:r>
    </w:p>
    <w:p>
      <w:pPr>
        <w:spacing w:before="200" w:after="120"/>
      </w:pPr>
      <w:r>
        <w:rPr>
          <w:b/>
          <w:color w:val="457B9D"/>
          <w:sz w:val="30"/>
        </w:rPr>
        <w:t>6.2 虚拟博物馆建设</w:t>
      </w:r>
    </w:p>
    <w:p>
      <w:pPr>
        <w:spacing w:before="160" w:after="80"/>
      </w:pPr>
      <w:r>
        <w:rPr>
          <w:b/>
          <w:color w:val="2A9D8F"/>
          <w:sz w:val="26"/>
        </w:rPr>
        <w:t>6.2.1 虚拟博物馆的概念与类型</w:t>
      </w:r>
    </w:p>
    <w:p>
      <w:pPr>
        <w:spacing w:after="80" w:line="360" w:lineRule="auto"/>
        <w:ind w:firstLine="420"/>
      </w:pPr>
      <w:r>
        <w:rPr>
          <w:sz w:val="22"/>
        </w:rPr>
        <w:t>虚拟博物馆（Virtual Museum）是实体博物馆在数字空间的延伸。根据与实体博物馆的关系，可分为三类：</w:t>
      </w:r>
    </w:p>
    <w:p>
      <w:pPr>
        <w:spacing w:after="80" w:line="360" w:lineRule="auto"/>
        <w:ind w:firstLine="420"/>
      </w:pPr>
      <w:r>
        <w:rPr>
          <w:b/>
          <w:sz w:val="22"/>
        </w:rPr>
        <w:t>数字孪生型</w:t>
      </w:r>
      <w:r>
        <w:rPr>
          <w:sz w:val="22"/>
        </w:rPr>
        <w:t>：精确复制实体博物馆的空间和展品，如谷歌艺术与文化平台的博物馆街景。</w:t>
      </w:r>
    </w:p>
    <w:p>
      <w:pPr>
        <w:spacing w:after="80" w:line="360" w:lineRule="auto"/>
        <w:ind w:firstLine="420"/>
      </w:pPr>
      <w:r>
        <w:rPr>
          <w:b/>
          <w:sz w:val="22"/>
        </w:rPr>
        <w:t>增强型</w:t>
      </w:r>
      <w:r>
        <w:rPr>
          <w:sz w:val="22"/>
        </w:rPr>
        <w:t>：在实体博物馆基础上扩展数字内容，如在线展出因空间限制无法展出的馆藏。</w:t>
      </w:r>
    </w:p>
    <w:p>
      <w:pPr>
        <w:spacing w:after="80" w:line="360" w:lineRule="auto"/>
        <w:ind w:firstLine="420"/>
      </w:pPr>
      <w:r>
        <w:rPr>
          <w:b/>
          <w:sz w:val="22"/>
        </w:rPr>
        <w:t>原生虚拟型</w:t>
      </w:r>
      <w:r>
        <w:rPr>
          <w:sz w:val="22"/>
        </w:rPr>
        <w:t>：无实体对应物，完全在数字空间构建的博物馆。Sirisomboon（2020）在研究泰国清莱山区部落文化遗产数字虚拟博物馆时，指出虚拟博物馆为没有实体场馆的少数民族文化遗产提供了展示空间[8]。</w:t>
      </w:r>
    </w:p>
    <w:p>
      <w:pPr>
        <w:spacing w:before="160" w:after="80"/>
      </w:pPr>
      <w:r>
        <w:rPr>
          <w:b/>
          <w:color w:val="2A9D8F"/>
          <w:sz w:val="26"/>
        </w:rPr>
        <w:t>6.2.2 虚拟展厅设计原则</w:t>
      </w:r>
    </w:p>
    <w:p>
      <w:pPr>
        <w:spacing w:after="80" w:line="360" w:lineRule="auto"/>
        <w:ind w:firstLine="420"/>
      </w:pPr>
      <w:r>
        <w:rPr>
          <w:sz w:val="22"/>
        </w:rPr>
        <w:t>虚拟展厅设计应遵循以下原则：</w:t>
      </w:r>
    </w:p>
    <w:p>
      <w:pPr>
        <w:pStyle w:val="ListBullet"/>
      </w:pPr>
      <w:r>
        <w:rPr>
          <w:b/>
          <w:sz w:val="22"/>
        </w:rPr>
        <w:t>空间叙事</w:t>
      </w:r>
      <w:r>
        <w:rPr>
          <w:sz w:val="22"/>
        </w:rPr>
        <w:t>：展厅空间布局应服务于叙事逻辑，引导观众的参观动线</w:t>
      </w:r>
    </w:p>
    <w:p>
      <w:pPr>
        <w:pStyle w:val="ListBullet"/>
      </w:pPr>
      <w:r>
        <w:rPr>
          <w:b/>
          <w:sz w:val="22"/>
        </w:rPr>
        <w:t>多感官体验</w:t>
      </w:r>
      <w:r>
        <w:rPr>
          <w:sz w:val="22"/>
        </w:rPr>
        <w:t>：融合视觉、听觉、触觉等多通道信息</w:t>
      </w:r>
    </w:p>
    <w:p>
      <w:pPr>
        <w:pStyle w:val="ListBullet"/>
      </w:pPr>
      <w:r>
        <w:rPr>
          <w:b/>
          <w:sz w:val="22"/>
        </w:rPr>
        <w:t>交互层次</w:t>
      </w:r>
      <w:r>
        <w:rPr>
          <w:sz w:val="22"/>
        </w:rPr>
        <w:t>：从简单浏览到深度探索的分层交互设计</w:t>
      </w:r>
    </w:p>
    <w:p>
      <w:pPr>
        <w:pStyle w:val="ListBullet"/>
      </w:pPr>
      <w:r>
        <w:rPr>
          <w:b/>
          <w:sz w:val="22"/>
        </w:rPr>
        <w:t>无障碍性</w:t>
      </w:r>
      <w:r>
        <w:rPr>
          <w:sz w:val="22"/>
        </w:rPr>
        <w:t>：考虑不同年龄、能力用户的需求</w:t>
      </w:r>
    </w:p>
    <w:p>
      <w:pPr>
        <w:pStyle w:val="ListBullet"/>
      </w:pPr>
      <w:r>
        <w:rPr>
          <w:b/>
          <w:sz w:val="22"/>
        </w:rPr>
        <w:t>可扩展性</w:t>
      </w:r>
      <w:r>
        <w:rPr>
          <w:sz w:val="22"/>
        </w:rPr>
        <w:t>：支持内容的持续更新和扩展</w:t>
      </w:r>
    </w:p>
    <w:p>
      <w:pPr>
        <w:spacing w:after="80" w:line="360" w:lineRule="auto"/>
        <w:ind w:firstLine="420"/>
      </w:pPr>
      <w:r>
        <w:rPr>
          <w:sz w:val="22"/>
        </w:rPr>
        <w:t>Marasco和Balbi（2019）在研究为遗产游客设计无障碍VR体验时，强调了无障碍设计在虚拟博物馆中的重要性[9]。</w:t>
      </w:r>
    </w:p>
    <w:p>
      <w:pPr>
        <w:spacing w:before="160" w:after="80"/>
      </w:pPr>
      <w:r>
        <w:rPr>
          <w:b/>
          <w:color w:val="2A9D8F"/>
          <w:sz w:val="26"/>
        </w:rPr>
        <w:t>6.2.3 交互设计与用户体验</w:t>
      </w:r>
    </w:p>
    <w:p>
      <w:pPr>
        <w:spacing w:after="80" w:line="360" w:lineRule="auto"/>
        <w:ind w:firstLine="420"/>
      </w:pPr>
      <w:r>
        <w:rPr>
          <w:sz w:val="22"/>
        </w:rPr>
        <w:t>虚拟博物馆的交互设计关注用户如何与数字内容互动。关键交互模式包括：</w:t>
      </w:r>
    </w:p>
    <w:p>
      <w:pPr>
        <w:pStyle w:val="ListBullet"/>
      </w:pPr>
      <w:r>
        <w:rPr>
          <w:b/>
          <w:sz w:val="22"/>
        </w:rPr>
        <w:t>自由探索</w:t>
      </w:r>
      <w:r>
        <w:rPr>
          <w:sz w:val="22"/>
        </w:rPr>
        <w:t>：用户自由导航虚拟空间</w:t>
      </w:r>
    </w:p>
    <w:p>
      <w:pPr>
        <w:pStyle w:val="ListBullet"/>
      </w:pPr>
      <w:r>
        <w:rPr>
          <w:b/>
          <w:sz w:val="22"/>
        </w:rPr>
        <w:t>引导参观</w:t>
      </w:r>
      <w:r>
        <w:rPr>
          <w:sz w:val="22"/>
        </w:rPr>
        <w:t>：系统提供预设的参观路径和讲解</w:t>
      </w:r>
    </w:p>
    <w:p>
      <w:pPr>
        <w:pStyle w:val="ListBullet"/>
      </w:pPr>
      <w:r>
        <w:rPr>
          <w:b/>
          <w:sz w:val="22"/>
        </w:rPr>
        <w:t>对象操作</w:t>
      </w:r>
      <w:r>
        <w:rPr>
          <w:sz w:val="22"/>
        </w:rPr>
        <w:t>：用户可旋转、缩放、拆解虚拟文物</w:t>
      </w:r>
    </w:p>
    <w:p>
      <w:pPr>
        <w:pStyle w:val="ListBullet"/>
      </w:pPr>
      <w:r>
        <w:rPr>
          <w:b/>
          <w:sz w:val="22"/>
        </w:rPr>
        <w:t>情境互动</w:t>
      </w:r>
      <w:r>
        <w:rPr>
          <w:sz w:val="22"/>
        </w:rPr>
        <w:t>：用户可在虚拟环境中执行特定行为（如"点燃"虚拟篝火）</w:t>
      </w:r>
    </w:p>
    <w:p>
      <w:pPr>
        <w:spacing w:after="80" w:line="360" w:lineRule="auto"/>
        <w:ind w:firstLine="420"/>
      </w:pPr>
      <w:r>
        <w:rPr>
          <w:sz w:val="22"/>
        </w:rPr>
        <w:t>Bakri（2019）在研究基于Web的虚拟博物馆3D内容自适应性时，从服务质量和体验质量视角分析了虚拟博物馆的用户体验评估方法[10]。</w:t>
      </w:r>
    </w:p>
    <w:p>
      <w:pPr>
        <w:spacing w:before="160" w:after="80"/>
      </w:pPr>
      <w:r>
        <w:rPr>
          <w:b/>
          <w:color w:val="2A9D8F"/>
          <w:sz w:val="26"/>
        </w:rPr>
        <w:t>6.2.4 国内外虚拟博物馆典型案例</w:t>
      </w:r>
    </w:p>
    <w:p>
      <w:pPr>
        <w:spacing w:after="80" w:line="360" w:lineRule="auto"/>
        <w:ind w:firstLine="420"/>
      </w:pPr>
      <w:r>
        <w:rPr>
          <w:b/>
          <w:sz w:val="22"/>
        </w:rPr>
        <w:t>数字故宫</w:t>
      </w:r>
      <w:r>
        <w:rPr>
          <w:sz w:val="22"/>
        </w:rPr>
        <w:t>：故宫博物院推出的虚拟参观平台，用户可在线漫游故宫建筑群并查看数字化藏品。王秀丽（2019）指出，VR技术使古代文化遗产的保护与传播走向智慧型与"活态"化[3]。</w:t>
      </w:r>
    </w:p>
    <w:p>
      <w:pPr>
        <w:spacing w:after="80" w:line="360" w:lineRule="auto"/>
        <w:ind w:firstLine="420"/>
      </w:pPr>
      <w:r>
        <w:rPr>
          <w:b/>
          <w:sz w:val="22"/>
        </w:rPr>
        <w:t>Google Arts &amp; Culture</w:t>
      </w:r>
      <w:r>
        <w:rPr>
          <w:sz w:val="22"/>
        </w:rPr>
        <w:t>：谷歌与世界各地博物馆合作，提供在线虚拟参观和高清艺术品浏览。</w:t>
      </w:r>
    </w:p>
    <w:p>
      <w:pPr>
        <w:spacing w:after="80" w:line="360" w:lineRule="auto"/>
        <w:ind w:firstLine="420"/>
      </w:pPr>
      <w:r>
        <w:rPr>
          <w:b/>
          <w:sz w:val="22"/>
        </w:rPr>
        <w:t>敦煌数字敦煌</w:t>
      </w:r>
      <w:r>
        <w:rPr>
          <w:sz w:val="22"/>
        </w:rPr>
        <w:t>：在线开放200余个洞窟的高精度数字资源，用户可在浏览器中全景浏览。</w:t>
      </w:r>
    </w:p>
    <w:p>
      <w:pPr>
        <w:spacing w:after="80" w:line="360" w:lineRule="auto"/>
        <w:ind w:firstLine="420"/>
      </w:pPr>
      <w:r>
        <w:rPr>
          <w:sz w:val="22"/>
        </w:rPr>
        <w:t>Banfi等人（2023）在展示罗马国家博物馆等机构的VR/AR语义增强实践时，提供了欧洲虚拟博物馆的最新案例[6]。</w:t>
      </w:r>
    </w:p>
    <w:p>
      <w:pPr>
        <w:spacing w:before="200" w:after="120"/>
      </w:pPr>
      <w:r>
        <w:rPr>
          <w:b/>
          <w:color w:val="457B9D"/>
          <w:sz w:val="30"/>
        </w:rPr>
        <w:t>6.3 文化遗产沉浸式体验设计</w:t>
      </w:r>
    </w:p>
    <w:p>
      <w:pPr>
        <w:spacing w:before="160" w:after="80"/>
      </w:pPr>
      <w:r>
        <w:rPr>
          <w:b/>
          <w:color w:val="2A9D8F"/>
          <w:sz w:val="26"/>
        </w:rPr>
        <w:t>6.3.1 叙事性设计与文化价值传达</w:t>
      </w:r>
    </w:p>
    <w:p>
      <w:pPr>
        <w:spacing w:after="80" w:line="360" w:lineRule="auto"/>
        <w:ind w:firstLine="420"/>
      </w:pPr>
      <w:r>
        <w:rPr>
          <w:sz w:val="22"/>
        </w:rPr>
        <w:t>沉浸式体验的核心不是技术炫酷，而是文化叙事。一个好的沉浸式体验应当讲述一个引人入胜的文化故事。中国学者（2019）在研究虚拟现实在遗址博物馆中的叙事展示与体验时，提出利用VR技术中沉浸、真实、交互的特性，结合叙事性表达手法将其应用于遗址博物馆展陈模式中[11]。叙事性设计的关键要素包括：</w:t>
      </w:r>
    </w:p>
    <w:p>
      <w:pPr>
        <w:pStyle w:val="ListBullet"/>
      </w:pPr>
      <w:r>
        <w:rPr>
          <w:b/>
          <w:sz w:val="22"/>
        </w:rPr>
        <w:t>故事线</w:t>
      </w:r>
      <w:r>
        <w:rPr>
          <w:sz w:val="22"/>
        </w:rPr>
        <w:t>：清晰的叙事主线贯穿整个体验</w:t>
      </w:r>
    </w:p>
    <w:p>
      <w:pPr>
        <w:pStyle w:val="ListBullet"/>
      </w:pPr>
      <w:r>
        <w:rPr>
          <w:b/>
          <w:sz w:val="22"/>
        </w:rPr>
        <w:t>角色</w:t>
      </w:r>
      <w:r>
        <w:rPr>
          <w:sz w:val="22"/>
        </w:rPr>
        <w:t>：让观众在叙事中扮演有意义的角色</w:t>
      </w:r>
    </w:p>
    <w:p>
      <w:pPr>
        <w:pStyle w:val="ListBullet"/>
      </w:pPr>
      <w:r>
        <w:rPr>
          <w:b/>
          <w:sz w:val="22"/>
        </w:rPr>
        <w:t>冲突与解决</w:t>
      </w:r>
      <w:r>
        <w:rPr>
          <w:sz w:val="22"/>
        </w:rPr>
        <w:t>：设置文化冲突和历史悬念</w:t>
      </w:r>
    </w:p>
    <w:p>
      <w:pPr>
        <w:pStyle w:val="ListBullet"/>
      </w:pPr>
      <w:r>
        <w:rPr>
          <w:b/>
          <w:sz w:val="22"/>
        </w:rPr>
        <w:t>情感共鸣</w:t>
      </w:r>
      <w:r>
        <w:rPr>
          <w:sz w:val="22"/>
        </w:rPr>
        <w:t>：通过多感官手段唤起观众情感</w:t>
      </w:r>
    </w:p>
    <w:p>
      <w:pPr>
        <w:spacing w:before="160" w:after="80"/>
      </w:pPr>
      <w:r>
        <w:rPr>
          <w:b/>
          <w:color w:val="2A9D8F"/>
          <w:sz w:val="26"/>
        </w:rPr>
        <w:t>6.3.2 多感官交互体验</w:t>
      </w:r>
    </w:p>
    <w:p>
      <w:pPr>
        <w:spacing w:after="80" w:line="360" w:lineRule="auto"/>
        <w:ind w:firstLine="420"/>
      </w:pPr>
      <w:r>
        <w:rPr>
          <w:sz w:val="22"/>
        </w:rPr>
        <w:t>沉浸式体验的"沉浸感"来源于多感官的协同刺激。除视觉（三维画面）和听觉（空间音频）外，触觉反馈（力反馈手套、震动地板）、嗅觉模拟（气味发生器）等技术也在探索中。</w:t>
      </w:r>
    </w:p>
    <w:p>
      <w:pPr>
        <w:spacing w:after="80" w:line="360" w:lineRule="auto"/>
        <w:ind w:firstLine="420"/>
      </w:pPr>
      <w:r>
        <w:rPr>
          <w:sz w:val="22"/>
        </w:rPr>
        <w:t>Häkkilä等人（2019）在设计虚拟墓地VR文化遗产体验时，探讨了多感官交互在敏感文化主题中的设计策略[12]。</w:t>
      </w:r>
    </w:p>
    <w:p>
      <w:pPr>
        <w:spacing w:before="160" w:after="80"/>
      </w:pPr>
      <w:r>
        <w:rPr>
          <w:b/>
          <w:color w:val="2A9D8F"/>
          <w:sz w:val="26"/>
        </w:rPr>
        <w:t>6.3.3 从"呈现文化"到"模仿文化"的范式转变</w:t>
      </w:r>
    </w:p>
    <w:p>
      <w:pPr>
        <w:spacing w:after="80" w:line="360" w:lineRule="auto"/>
        <w:ind w:firstLine="420"/>
      </w:pPr>
      <w:r>
        <w:rPr>
          <w:sz w:val="22"/>
        </w:rPr>
        <w:t>王秀丽（2019）提出了从"呈现文化"向"模仿文化"的范式转变——传统博物馆以"呈现"为主（展柜中的文物+文字说明），VR技术使"模仿"成为可能（观众可以在虚拟环境中"穿越"到历史场景中，"亲历"文化事件）[3]。这一转变也带来了从"人在馆中"到"人馆分离"的传播场域变迁——观众不再需要到实体博物馆就能获得文化体验。</w:t>
      </w:r>
    </w:p>
    <w:p>
      <w:pPr>
        <w:spacing w:before="160" w:after="80"/>
      </w:pPr>
      <w:r>
        <w:rPr>
          <w:b/>
          <w:color w:val="2A9D8F"/>
          <w:sz w:val="26"/>
        </w:rPr>
        <w:t>6.3.4 遗址博物馆的VR叙事展示</w:t>
      </w:r>
    </w:p>
    <w:p>
      <w:pPr>
        <w:spacing w:after="80" w:line="360" w:lineRule="auto"/>
        <w:ind w:firstLine="420"/>
      </w:pPr>
      <w:r>
        <w:rPr>
          <w:sz w:val="22"/>
        </w:rPr>
        <w:t>遗址博物馆的特殊性在于其展示空间本身就是遗产的一部分——遗址是"展品"也是"展厅"。VR技术可以在不干扰遗址实体的前提下，在虚拟空间中复原遗址的历史面貌。中国学者（2019）指出，对已被历史时空压扁、折叠的文物历史事件及场景进行重构、再造与复原，使人能够通过拟真化的交互体验与文物所要传达的文化价值产生共鸣[11]。</w:t>
      </w:r>
    </w:p>
    <w:p>
      <w:pPr>
        <w:spacing w:before="200" w:after="120"/>
      </w:pPr>
      <w:r>
        <w:rPr>
          <w:b/>
          <w:color w:val="457B9D"/>
          <w:sz w:val="30"/>
        </w:rPr>
        <w:t>6.4 AR增强现实在文化遗产展示中的应用</w:t>
      </w:r>
    </w:p>
    <w:p>
      <w:pPr>
        <w:spacing w:before="160" w:after="80"/>
      </w:pPr>
      <w:r>
        <w:rPr>
          <w:b/>
          <w:color w:val="2A9D8F"/>
          <w:sz w:val="26"/>
        </w:rPr>
        <w:t>6.4.1 AR文化遗产导览系统</w:t>
      </w:r>
    </w:p>
    <w:p>
      <w:pPr>
        <w:spacing w:after="80" w:line="360" w:lineRule="auto"/>
        <w:ind w:firstLine="420"/>
      </w:pPr>
      <w:r>
        <w:rPr>
          <w:sz w:val="22"/>
        </w:rPr>
        <w:t>AR导览是AR在文化遗产中最成熟的应用。观众通过手机或AR眼镜观看实体展品时，屏幕上叠加文字说明、三维复原动画、历史照片等信息。Jung和tom Dieck（2017）在研究AR、VR和3D打印在文化遗产地价值共创中的应用时，指出这些技术能够丰富游客的文化体验，促进价值共创[13]。</w:t>
      </w:r>
    </w:p>
    <w:p>
      <w:pPr>
        <w:spacing w:before="160" w:after="80"/>
      </w:pPr>
      <w:r>
        <w:rPr>
          <w:b/>
          <w:color w:val="2A9D8F"/>
          <w:sz w:val="26"/>
        </w:rPr>
        <w:t>6.4.2 AR文物复原与叠加展示</w:t>
      </w:r>
    </w:p>
    <w:p>
      <w:pPr>
        <w:spacing w:after="80" w:line="360" w:lineRule="auto"/>
        <w:ind w:firstLine="420"/>
      </w:pPr>
      <w:r>
        <w:rPr>
          <w:sz w:val="22"/>
        </w:rPr>
        <w:t>对于残损文物，AR技术可以在实物上叠加虚拟复原部分，使观众同时看到"现状"和"复原后"的效果。Spallone等人（2022）在研究AR和VR增强博物馆遗产的3D碎片重建时，展示了利用数字技术对碎片化雕像进行虚拟重组并在AR中叠加展示的方法[14]。</w:t>
      </w:r>
    </w:p>
    <w:p>
      <w:pPr>
        <w:spacing w:before="160" w:after="80"/>
      </w:pPr>
      <w:r>
        <w:rPr>
          <w:b/>
          <w:color w:val="2A9D8F"/>
          <w:sz w:val="26"/>
        </w:rPr>
        <w:t>6.4.3 基于AR/VR的文化图腾沉浸式体验</w:t>
      </w:r>
    </w:p>
    <w:p>
      <w:pPr>
        <w:spacing w:after="80" w:line="360" w:lineRule="auto"/>
        <w:ind w:firstLine="420"/>
      </w:pPr>
      <w:r>
        <w:rPr>
          <w:sz w:val="22"/>
        </w:rPr>
        <w:t>中国学者（2025）以冀中南商文化图腾为例，探讨了基于AR/VR的沉浸式体验系统构建——通过整合技术分析与文化特征，提出涵盖系统架构、虚拟场景构建及多模态交互功能的完整设计方法[15]。</w:t>
      </w:r>
    </w:p>
    <w:p>
      <w:pPr>
        <w:spacing w:after="80" w:line="360" w:lineRule="auto"/>
        <w:ind w:firstLine="420"/>
      </w:pPr>
      <w:r>
        <w:rPr>
          <w:sz w:val="22"/>
        </w:rPr>
        <w:t>Albakry和Basiron（2019）在研究使用VRML记录吉隆坡历史马来房屋时，展示了AR/VR技术在建筑遗产记录和展示中的应用[16]。Moreira和Ruschel（2015）在探讨AR促进文化遗产"时间隧道"体验时，提出了AR使观众"穿越"时空感知遗产历史层次的设计理念[17]。</w:t>
      </w:r>
    </w:p>
    <w:p>
      <w:pPr>
        <w:spacing w:before="200" w:after="120"/>
      </w:pPr>
      <w:r>
        <w:rPr>
          <w:b/>
          <w:color w:val="457B9D"/>
          <w:sz w:val="30"/>
        </w:rPr>
        <w:t>6.5 沉浸式体验的效果评估与未来方向</w:t>
      </w:r>
    </w:p>
    <w:p>
      <w:pPr>
        <w:spacing w:before="160" w:after="80"/>
      </w:pPr>
      <w:r>
        <w:rPr>
          <w:b/>
          <w:color w:val="2A9D8F"/>
          <w:sz w:val="26"/>
        </w:rPr>
        <w:t>6.5.1 用户体验评估方法</w:t>
      </w:r>
    </w:p>
    <w:p>
      <w:pPr>
        <w:spacing w:after="80" w:line="360" w:lineRule="auto"/>
        <w:ind w:firstLine="420"/>
      </w:pPr>
      <w:r>
        <w:rPr>
          <w:sz w:val="22"/>
        </w:rPr>
        <w:t>沉浸式体验的效果评估涉及主观和客观两个层面。主观评估包括问卷调查（如SUS可用性量表、IPQ沉浸感量表）、用户访谈和焦点小组。客观评估包括行为数据（停留时间、交互频率）、生理数据（眼动追踪、心率变化、脑电波）等。</w:t>
      </w:r>
    </w:p>
    <w:p>
      <w:pPr>
        <w:spacing w:after="80" w:line="360" w:lineRule="auto"/>
        <w:ind w:firstLine="420"/>
      </w:pPr>
      <w:r>
        <w:rPr>
          <w:sz w:val="22"/>
        </w:rPr>
        <w:t>Trunfio等人（2022）在研究MR博物馆体验对游客沉浸感和行为的影响时，通过结构化问卷和行为观察评估了MR设备功能元素对体验质量的影响[5]。</w:t>
      </w:r>
    </w:p>
    <w:p>
      <w:pPr>
        <w:spacing w:before="160" w:after="80"/>
      </w:pPr>
      <w:r>
        <w:rPr>
          <w:b/>
          <w:color w:val="2A9D8F"/>
          <w:sz w:val="26"/>
        </w:rPr>
        <w:t>6.5.2 沉浸感、参与度与学习效果测量</w:t>
      </w:r>
    </w:p>
    <w:p>
      <w:pPr>
        <w:spacing w:after="80" w:line="360" w:lineRule="auto"/>
        <w:ind w:firstLine="420"/>
      </w:pPr>
      <w:r>
        <w:rPr>
          <w:sz w:val="22"/>
        </w:rPr>
        <w:t>沉浸式体验的三个核心评估维度：</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D9E2EC"/>
          </w:tcPr>
          <w:p>
            <w:pPr>
              <w:spacing w:before="40" w:after="40"/>
            </w:pPr>
            <w:r>
              <w:rPr>
                <w:b/>
                <w:sz w:val="20"/>
              </w:rPr>
            </w:r>
            <w:r>
              <w:rPr>
                <w:b/>
                <w:sz w:val="20"/>
              </w:rPr>
              <w:t>维度</w:t>
            </w:r>
          </w:p>
        </w:tc>
        <w:tc>
          <w:tcPr>
            <w:tcW w:type="dxa" w:w="2835"/>
            <w:shd w:val="clear" w:color="auto" w:fill="D9E2EC"/>
          </w:tcPr>
          <w:p>
            <w:pPr>
              <w:spacing w:before="40" w:after="40"/>
            </w:pPr>
            <w:r>
              <w:rPr>
                <w:b/>
                <w:sz w:val="20"/>
              </w:rPr>
            </w:r>
            <w:r>
              <w:rPr>
                <w:b/>
                <w:sz w:val="20"/>
              </w:rPr>
              <w:t>定义</w:t>
            </w:r>
          </w:p>
        </w:tc>
        <w:tc>
          <w:tcPr>
            <w:tcW w:type="dxa" w:w="2835"/>
            <w:shd w:val="clear" w:color="auto" w:fill="D9E2EC"/>
          </w:tcPr>
          <w:p>
            <w:pPr>
              <w:spacing w:before="40" w:after="40"/>
            </w:pPr>
            <w:r>
              <w:rPr>
                <w:b/>
                <w:sz w:val="20"/>
              </w:rPr>
            </w:r>
            <w:r>
              <w:rPr>
                <w:b/>
                <w:sz w:val="20"/>
              </w:rPr>
              <w:t>测量方法</w:t>
            </w:r>
          </w:p>
        </w:tc>
      </w:tr>
      <w:tr>
        <w:tc>
          <w:tcPr>
            <w:tcW w:type="dxa" w:w="2835"/>
          </w:tcPr>
          <w:p>
            <w:pPr>
              <w:spacing w:before="40" w:after="40"/>
            </w:pPr>
            <w:r>
              <w:rPr>
                <w:sz w:val="20"/>
              </w:rPr>
            </w:r>
            <w:r>
              <w:rPr>
                <w:sz w:val="20"/>
              </w:rPr>
              <w:t>沉浸感</w:t>
            </w:r>
          </w:p>
        </w:tc>
        <w:tc>
          <w:tcPr>
            <w:tcW w:type="dxa" w:w="2835"/>
          </w:tcPr>
          <w:p>
            <w:pPr>
              <w:spacing w:before="40" w:after="40"/>
            </w:pPr>
            <w:r>
              <w:rPr>
                <w:sz w:val="20"/>
              </w:rPr>
            </w:r>
            <w:r>
              <w:rPr>
                <w:sz w:val="20"/>
              </w:rPr>
              <w:t>用户感觉自己"身在其中"的程度</w:t>
            </w:r>
          </w:p>
        </w:tc>
        <w:tc>
          <w:tcPr>
            <w:tcW w:type="dxa" w:w="2835"/>
          </w:tcPr>
          <w:p>
            <w:pPr>
              <w:spacing w:before="40" w:after="40"/>
            </w:pPr>
            <w:r>
              <w:rPr>
                <w:sz w:val="20"/>
              </w:rPr>
            </w:r>
            <w:r>
              <w:rPr>
                <w:sz w:val="20"/>
              </w:rPr>
              <w:t>IPQ量表、生理指标</w:t>
            </w:r>
          </w:p>
        </w:tc>
      </w:tr>
      <w:tr>
        <w:tc>
          <w:tcPr>
            <w:tcW w:type="dxa" w:w="2835"/>
            <w:shd w:val="clear" w:color="auto" w:fill="F5F5F5"/>
          </w:tcPr>
          <w:p>
            <w:pPr>
              <w:spacing w:before="40" w:after="40"/>
            </w:pPr>
            <w:r>
              <w:rPr>
                <w:sz w:val="20"/>
              </w:rPr>
            </w:r>
            <w:r>
              <w:rPr>
                <w:sz w:val="20"/>
              </w:rPr>
              <w:t>参与度</w:t>
            </w:r>
          </w:p>
        </w:tc>
        <w:tc>
          <w:tcPr>
            <w:tcW w:type="dxa" w:w="2835"/>
            <w:shd w:val="clear" w:color="auto" w:fill="F5F5F5"/>
          </w:tcPr>
          <w:p>
            <w:pPr>
              <w:spacing w:before="40" w:after="40"/>
            </w:pPr>
            <w:r>
              <w:rPr>
                <w:sz w:val="20"/>
              </w:rPr>
            </w:r>
            <w:r>
              <w:rPr>
                <w:sz w:val="20"/>
              </w:rPr>
              <w:t>用户与内容和环境互动的深度</w:t>
            </w:r>
          </w:p>
        </w:tc>
        <w:tc>
          <w:tcPr>
            <w:tcW w:type="dxa" w:w="2835"/>
            <w:shd w:val="clear" w:color="auto" w:fill="F5F5F5"/>
          </w:tcPr>
          <w:p>
            <w:pPr>
              <w:spacing w:before="40" w:after="40"/>
            </w:pPr>
            <w:r>
              <w:rPr>
                <w:sz w:val="20"/>
              </w:rPr>
            </w:r>
            <w:r>
              <w:rPr>
                <w:sz w:val="20"/>
              </w:rPr>
              <w:t>交互频率、停留时间、行为分析</w:t>
            </w:r>
          </w:p>
        </w:tc>
      </w:tr>
      <w:tr>
        <w:tc>
          <w:tcPr>
            <w:tcW w:type="dxa" w:w="2835"/>
          </w:tcPr>
          <w:p>
            <w:pPr>
              <w:spacing w:before="40" w:after="40"/>
            </w:pPr>
            <w:r>
              <w:rPr>
                <w:sz w:val="20"/>
              </w:rPr>
            </w:r>
            <w:r>
              <w:rPr>
                <w:sz w:val="20"/>
              </w:rPr>
              <w:t>学习效果</w:t>
            </w:r>
          </w:p>
        </w:tc>
        <w:tc>
          <w:tcPr>
            <w:tcW w:type="dxa" w:w="2835"/>
          </w:tcPr>
          <w:p>
            <w:pPr>
              <w:spacing w:before="40" w:after="40"/>
            </w:pPr>
            <w:r>
              <w:rPr>
                <w:sz w:val="20"/>
              </w:rPr>
            </w:r>
            <w:r>
              <w:rPr>
                <w:sz w:val="20"/>
              </w:rPr>
              <w:t>用户通过体验获得的知识和理解</w:t>
            </w:r>
          </w:p>
        </w:tc>
        <w:tc>
          <w:tcPr>
            <w:tcW w:type="dxa" w:w="2835"/>
          </w:tcPr>
          <w:p>
            <w:pPr>
              <w:spacing w:before="40" w:after="40"/>
            </w:pPr>
            <w:r>
              <w:rPr>
                <w:sz w:val="20"/>
              </w:rPr>
            </w:r>
            <w:r>
              <w:rPr>
                <w:sz w:val="20"/>
              </w:rPr>
              <w:t>前后测知识问卷、概念图</w:t>
            </w:r>
          </w:p>
        </w:tc>
      </w:tr>
    </w:tbl>
    <w:p>
      <w:pPr>
        <w:spacing w:after="80" w:line="360" w:lineRule="auto"/>
        <w:ind w:firstLine="420"/>
      </w:pPr>
      <w:r>
        <w:rPr>
          <w:sz w:val="22"/>
        </w:rPr>
        <w:t>Bec等人（2021）在研究VR和MR在"二次机会旅游"中的应用时，指出沉浸式技术能够为因时间或距离原因无法亲临现场的游客提供替代性体验，同时具备教育功能[18]。</w:t>
      </w:r>
    </w:p>
    <w:p>
      <w:pPr>
        <w:spacing w:before="160" w:after="80"/>
      </w:pPr>
      <w:r>
        <w:rPr>
          <w:b/>
          <w:color w:val="2A9D8F"/>
          <w:sz w:val="26"/>
        </w:rPr>
        <w:t>6.5.3 技术局限与伦理考量</w:t>
      </w:r>
    </w:p>
    <w:p>
      <w:pPr>
        <w:spacing w:after="80" w:line="360" w:lineRule="auto"/>
        <w:ind w:firstLine="420"/>
      </w:pPr>
      <w:r>
        <w:rPr>
          <w:sz w:val="22"/>
        </w:rPr>
        <w:t>沉浸式技术在文化遗产应用中仍面临技术局限：VR头显的分辨率和视场角尚不足以完全还原精细文物的视觉细节；长时间使用可能导致眩晕和视觉疲劳；AR在户外强光环境下识别精度下降。</w:t>
      </w:r>
    </w:p>
    <w:p>
      <w:pPr>
        <w:spacing w:after="80" w:line="360" w:lineRule="auto"/>
        <w:ind w:firstLine="420"/>
      </w:pPr>
      <w:r>
        <w:rPr>
          <w:sz w:val="22"/>
        </w:rPr>
        <w:t>伦理层面，Ababneh（2024）在研究威尼斯宪章原则下的数字遗产保护时，指出沉浸式技术创造的文化体验可能在无意中"重新诠释"遗产的文化意义，需要确保数字呈现尊重遗产的原始语境和文化敏感性[19]。</w:t>
      </w:r>
    </w:p>
    <w:p>
      <w:pPr>
        <w:spacing w:before="160" w:after="80"/>
      </w:pPr>
      <w:r>
        <w:rPr>
          <w:b/>
          <w:color w:val="2A9D8F"/>
          <w:sz w:val="26"/>
        </w:rPr>
        <w:t>6.5.4 元宇宙与文化遗产的未来形态</w:t>
      </w:r>
    </w:p>
    <w:p>
      <w:pPr>
        <w:spacing w:after="80" w:line="360" w:lineRule="auto"/>
        <w:ind w:firstLine="420"/>
      </w:pPr>
      <w:r>
        <w:rPr>
          <w:sz w:val="22"/>
        </w:rPr>
        <w:t>元宇宙（Metaverse）概念的兴起为文化遗产保护提出了新的想象空间。在元宇宙中，文化遗产可以超越物理限制——不同地域、不同时代的遗产可以在同一虚拟空间中"并置"，用户可以自由"穿越"不同文化遗产场景。</w:t>
      </w:r>
    </w:p>
    <w:p>
      <w:pPr>
        <w:spacing w:after="80" w:line="360" w:lineRule="auto"/>
        <w:ind w:firstLine="420"/>
      </w:pPr>
      <w:r>
        <w:rPr>
          <w:sz w:val="22"/>
        </w:rPr>
        <w:t>中国学者（2025）在研究非物质文化遗产的数字化保护与传播方式时，探索了元宇宙场景营造等数字化传播手段的创新办法[20]。Cecotti（2022）指出，全沉浸式VR正在推动文化遗产从"观看"模式向"体验"模式转变[2]。这一转变的核心挑战是：如何在技术赋能的沉浸体验中保持文化遗产的真实性和文化深度，避免"娱乐化"对文化内涵的稀释。</w:t>
      </w:r>
    </w:p>
    <w:p>
      <w:pPr>
        <w:spacing w:before="200" w:after="120"/>
      </w:pPr>
      <w:r>
        <w:rPr>
          <w:b/>
          <w:color w:val="457B9D"/>
          <w:sz w:val="30"/>
        </w:rPr>
        <w:t>本章小结</w:t>
      </w:r>
    </w:p>
    <w:p>
      <w:pPr>
        <w:spacing w:after="80" w:line="360" w:lineRule="auto"/>
        <w:ind w:firstLine="420"/>
      </w:pPr>
      <w:r>
        <w:rPr>
          <w:sz w:val="22"/>
        </w:rPr>
        <w:t>本章深入D.I.G.I.T.框架的I（沉浸式体验）维度，系统介绍了VR/AR/MR技术在文化遗产中的应用。VR技术通过完全虚拟环境提供沉浸感，AR技术在现实世界叠加数字信息，MR技术融合虚实互动。虚拟博物馆作为实体博物馆的数字延伸，分为数字孪生型、增强型和原生虚拟型三种模式。沉浸式体验设计的核心是叙事性——从"呈现文化"到"模仿文化"的范式转变使观众能够"亲历"历史。AR技术在文化遗产导览、文物复原叠加和文化图腾沉浸体验中展现出广泛应用。效果评估需要从沉浸感、参与度和学习效果三个维度进行综合测量。元宇宙概念为文化遗产保护提出了超越物理限制的新想象，但也带来了真实性和文化深度的伦理挑战。</w:t>
      </w:r>
    </w:p>
    <w:p>
      <w:pPr>
        <w:spacing w:before="200" w:after="120"/>
      </w:pPr>
      <w:r>
        <w:rPr>
          <w:b/>
          <w:color w:val="457B9D"/>
          <w:sz w:val="30"/>
        </w:rPr>
        <w:t>思考题</w:t>
      </w:r>
    </w:p>
    <w:p>
      <w:pPr>
        <w:pStyle w:val="ListNumber"/>
      </w:pPr>
      <w:r>
        <w:rPr>
          <w:b/>
          <w:sz w:val="22"/>
        </w:rPr>
        <w:t>（识记）</w:t>
      </w:r>
      <w:r>
        <w:rPr>
          <w:sz w:val="22"/>
        </w:rPr>
        <w:t xml:space="preserve"> VR、AR、MR三项技术的核心区别是什么？各自适合什么文化遗产场景？</w:t>
      </w:r>
    </w:p>
    <w:p>
      <w:pPr>
        <w:pStyle w:val="ListNumber"/>
      </w:pPr>
      <w:r>
        <w:rPr>
          <w:b/>
          <w:sz w:val="22"/>
        </w:rPr>
        <w:t>（理解）</w:t>
      </w:r>
      <w:r>
        <w:rPr>
          <w:sz w:val="22"/>
        </w:rPr>
        <w:t xml:space="preserve"> 解释"从呈现文化到模仿文化"这一范式转变对博物馆展览实践的含义。</w:t>
      </w:r>
    </w:p>
    <w:p>
      <w:pPr>
        <w:pStyle w:val="ListNumber"/>
      </w:pPr>
      <w:r>
        <w:rPr>
          <w:b/>
          <w:sz w:val="22"/>
        </w:rPr>
        <w:t>（应用）</w:t>
      </w:r>
      <w:r>
        <w:rPr>
          <w:sz w:val="22"/>
        </w:rPr>
        <w:t xml:space="preserve"> 请为一座考古遗址公园设计AR导览系统方案，包含功能模块、技术架构和用户体验流程。</w:t>
      </w:r>
    </w:p>
    <w:p>
      <w:pPr>
        <w:pStyle w:val="ListNumber"/>
      </w:pPr>
      <w:r>
        <w:rPr>
          <w:b/>
          <w:sz w:val="22"/>
        </w:rPr>
        <w:t>（分析）</w:t>
      </w:r>
      <w:r>
        <w:rPr>
          <w:sz w:val="22"/>
        </w:rPr>
        <w:t xml:space="preserve"> 分析沉浸式文化遗产体验中"娱乐化"与"文化深度"之间的张力，提出平衡策略。</w:t>
      </w:r>
    </w:p>
    <w:p>
      <w:pPr>
        <w:pStyle w:val="ListNumber"/>
      </w:pPr>
      <w:r>
        <w:rPr>
          <w:b/>
          <w:sz w:val="22"/>
        </w:rPr>
        <w:t>（评价）</w:t>
      </w:r>
      <w:r>
        <w:rPr>
          <w:sz w:val="22"/>
        </w:rPr>
        <w:t xml:space="preserve"> 评估现有虚拟博物馆用户体验评估方法的合理性，提出改进建议。</w:t>
      </w:r>
    </w:p>
    <w:p>
      <w:pPr>
        <w:pStyle w:val="ListNumber"/>
      </w:pPr>
      <w:r>
        <w:rPr>
          <w:b/>
          <w:sz w:val="22"/>
        </w:rPr>
        <w:t>（创造）</w:t>
      </w:r>
      <w:r>
        <w:rPr>
          <w:sz w:val="22"/>
        </w:rPr>
        <w:t xml:space="preserve"> 请设计一个"元宇宙文化遗产"概念方案，选择3处不同类型的文化遗产，说明它们在元宇宙中如何并置和互动。</w:t>
      </w:r>
    </w:p>
    <w:p>
      <w:pPr>
        <w:spacing w:before="160" w:after="80"/>
      </w:pPr>
      <w:r>
        <w:rPr>
          <w:b/>
          <w:color w:val="2A9D8F"/>
          <w:sz w:val="26"/>
        </w:rPr>
        <w:t>6.6 沉浸式体验设计的理论深化</w:t>
      </w:r>
    </w:p>
    <w:p>
      <w:pPr>
        <w:spacing w:before="120"/>
      </w:pPr>
      <w:r>
        <w:rPr>
          <w:b/>
          <w:sz w:val="22"/>
        </w:rPr>
        <w:t>6.6.1 沉浸感理论在文化遗产中的应用</w:t>
      </w:r>
    </w:p>
    <w:p>
      <w:pPr>
        <w:spacing w:after="80" w:line="360" w:lineRule="auto"/>
        <w:ind w:firstLine="420"/>
      </w:pPr>
      <w:r>
        <w:rPr>
          <w:sz w:val="22"/>
        </w:rPr>
        <w:t>沉浸感（Presence）理论源自心理学和传播学，指用户在虚拟环境中感觉"身在其中"的程度。Lombard和Ditton提出的沉浸感六维度模型——丰富性、控制性、真实感、感知沉浸、社会沉浸、空间沉浸——为文化遗产沉浸式体验设计提供了系统化评估框架。</w:t>
      </w:r>
    </w:p>
    <w:p>
      <w:pPr>
        <w:spacing w:after="80" w:line="360" w:lineRule="auto"/>
        <w:ind w:firstLine="420"/>
      </w:pPr>
      <w:r>
        <w:rPr>
          <w:sz w:val="22"/>
        </w:rPr>
        <w:t>在文化遗产语境中，沉浸感不仅是技术参数（分辨率、帧率、视场角），更是文化感知——观众是否感觉自己"穿越"到了历史场景中？这种"文化沉浸感"需要叙事设计、空间营造和感官刺激的协同配合。</w:t>
      </w:r>
    </w:p>
    <w:p>
      <w:pPr>
        <w:spacing w:before="120"/>
      </w:pPr>
      <w:r>
        <w:rPr>
          <w:b/>
          <w:sz w:val="22"/>
        </w:rPr>
        <w:t>6.6.2 文化真实性与沉浸体验的平衡</w:t>
      </w:r>
    </w:p>
    <w:p>
      <w:pPr>
        <w:spacing w:after="80" w:line="360" w:lineRule="auto"/>
        <w:ind w:firstLine="420"/>
      </w:pPr>
      <w:r>
        <w:rPr>
          <w:sz w:val="22"/>
        </w:rPr>
        <w:t>沉浸式体验面临"真实性悖论"——越是追求沉浸感，越可能添加戏剧化元素，从而偏离历史真实性。Ababneh（2024）在研究威尼斯宪章原则下的数字遗产保护时，指出沉浸式技术创造的文化体验可能在无意中"重新诠释"遗产的文化意义[21]。平衡策略是"分层真实性"——基础层严格遵循考古和历史证据，增强层明确标注为"推测"或"艺术化呈现"。</w:t>
      </w:r>
    </w:p>
    <w:p>
      <w:pPr>
        <w:spacing w:before="120"/>
      </w:pPr>
      <w:r>
        <w:rPr>
          <w:b/>
          <w:sz w:val="22"/>
        </w:rPr>
        <w:t>6.6.3 多感官设计的可能性与局限</w:t>
      </w:r>
    </w:p>
    <w:p>
      <w:pPr>
        <w:spacing w:after="80" w:line="360" w:lineRule="auto"/>
        <w:ind w:firstLine="420"/>
      </w:pPr>
      <w:r>
        <w:rPr>
          <w:sz w:val="22"/>
        </w:rPr>
        <w:t>当前文化遗产沉浸式体验以视觉和听觉为主，触觉和嗅觉体验仍在实验阶段。触觉反馈设备（力反馈手套）可以让用户"触摸"虚拟文物的表面质感，但技术成熟度和成本限制了大规模应用。嗅觉模拟（气味发生器）在特定场景（如古代祭祀仪式的焚香体验）中具有潜力，但尚未标准化。</w:t>
      </w:r>
    </w:p>
    <w:p>
      <w:pPr>
        <w:spacing w:before="160" w:after="80"/>
      </w:pPr>
      <w:r>
        <w:rPr>
          <w:b/>
          <w:color w:val="2A9D8F"/>
          <w:sz w:val="26"/>
        </w:rPr>
        <w:t>6.7 沉浸式体验的社会影响分析</w:t>
      </w:r>
    </w:p>
    <w:p>
      <w:pPr>
        <w:spacing w:before="120"/>
      </w:pPr>
      <w:r>
        <w:rPr>
          <w:b/>
          <w:sz w:val="22"/>
        </w:rPr>
        <w:t>6.7.1 对博物馆参观模式的影响</w:t>
      </w:r>
    </w:p>
    <w:p>
      <w:pPr>
        <w:spacing w:after="80" w:line="360" w:lineRule="auto"/>
        <w:ind w:firstLine="420"/>
      </w:pPr>
      <w:r>
        <w:rPr>
          <w:sz w:val="22"/>
        </w:rPr>
        <w:t>沉浸式技术正在改变博物馆的参观模式。传统参观以"走-看-读"为基本流程，沉浸式体验引入了"探索-互动-创造"的新模式。Trunfio等人（2022）在研究MR博物馆体验时，发现MR设备的"功能元素"显著影响游客的沉浸感和后体验行为——设备佩戴舒适度、交互响应速度和内容质量是三大关键因素[22]。</w:t>
      </w:r>
    </w:p>
    <w:p>
      <w:pPr>
        <w:spacing w:before="120"/>
      </w:pPr>
      <w:r>
        <w:rPr>
          <w:b/>
          <w:sz w:val="22"/>
        </w:rPr>
        <w:t>6.7.2 对文化遗产教育的影响</w:t>
      </w:r>
    </w:p>
    <w:p>
      <w:pPr>
        <w:spacing w:after="80" w:line="360" w:lineRule="auto"/>
        <w:ind w:firstLine="420"/>
      </w:pPr>
      <w:r>
        <w:rPr>
          <w:sz w:val="22"/>
        </w:rPr>
        <w:t>沉浸式体验为文化遗产教育提供了革命性工具。学生可以在虚拟环境中"走进"敦煌洞窟近距离观察壁画，"穿越"到古代城市体验历史场景，"参与"传统节庆感受文化氛围。Bec等人（2021）在研究VR和MR在"二次机会旅游"中的应用时，指出沉浸式技术能够为因距离或时间原因无法亲临现场的学习者提供替代性教育体验[23]。</w:t>
      </w:r>
    </w:p>
    <w:p>
      <w:pPr>
        <w:spacing w:before="120"/>
      </w:pPr>
      <w:r>
        <w:rPr>
          <w:b/>
          <w:sz w:val="22"/>
        </w:rPr>
        <w:t>6.7.3 对文化旅游的影响</w:t>
      </w:r>
    </w:p>
    <w:p>
      <w:pPr>
        <w:spacing w:after="80" w:line="360" w:lineRule="auto"/>
        <w:ind w:firstLine="420"/>
      </w:pPr>
      <w:r>
        <w:rPr>
          <w:sz w:val="22"/>
        </w:rPr>
        <w:t>沉浸式技术对文化旅游的影响是双面的。积极方面：VR预览可以吸引更多游客到访实体遗产地，AR导览可以丰富在地体验。消极方面：高精度虚拟体验可能使部分游客认为"不必亲临现场"，影响遗产地旅游收入。合理的策略是将沉浸式体验定位为实体旅游的"补充"而非"替代"。</w:t>
      </w:r>
    </w:p>
    <w:p>
      <w:pPr>
        <w:spacing w:before="160" w:after="80"/>
      </w:pPr>
      <w:r>
        <w:rPr>
          <w:b/>
          <w:color w:val="2A9D8F"/>
          <w:sz w:val="26"/>
        </w:rPr>
        <w:t>6.8 虚拟博物馆的未来形态</w:t>
      </w:r>
    </w:p>
    <w:p>
      <w:pPr>
        <w:spacing w:before="120"/>
      </w:pPr>
      <w:r>
        <w:rPr>
          <w:b/>
          <w:sz w:val="22"/>
        </w:rPr>
        <w:t>6.8.1 从"数字化博物馆"到"博物馆化数字空间"</w:t>
      </w:r>
    </w:p>
    <w:p>
      <w:pPr>
        <w:spacing w:after="80" w:line="360" w:lineRule="auto"/>
        <w:ind w:firstLine="420"/>
      </w:pPr>
      <w:r>
        <w:rPr>
          <w:sz w:val="22"/>
        </w:rPr>
        <w:t>当前虚拟博物馆大多是实体博物馆的"数字镜像"——在数字空间中复制实体展厅和展品。未来的虚拟博物馆可能走向"博物馆化数字空间"——在数字空间中创建实体博物馆无法实现的新型展览形态。例如，可以将不同时代的文物在同一虚拟空间中并置展示，或让用户在虚拟环境中参与文物的"发掘"过程。</w:t>
      </w:r>
    </w:p>
    <w:p>
      <w:pPr>
        <w:spacing w:before="120"/>
      </w:pPr>
      <w:r>
        <w:rPr>
          <w:b/>
          <w:sz w:val="22"/>
        </w:rPr>
        <w:t>6.8.2 元宇宙中的文化遗产</w:t>
      </w:r>
    </w:p>
    <w:p>
      <w:pPr>
        <w:spacing w:after="80" w:line="360" w:lineRule="auto"/>
        <w:ind w:firstLine="420"/>
      </w:pPr>
      <w:r>
        <w:rPr>
          <w:sz w:val="22"/>
        </w:rPr>
        <w:t>元宇宙概念为文化遗产提供了超越物理限制的想象空间。在元宇宙中，用户可以自由"穿越"不同文化遗产场景——从敦煌洞窟到雅典卫城，从紫禁城到马丘比丘。Banfi等人（2023）在展示VR/AR语义增强虚拟博物馆时，预示了博物馆从"物理空间"向"混合空间"的演进趋势[24]。但元宇宙中的文化遗产也面临"真实性质疑"——脱离地理语境的遗产是否还能保持其文化深度？</w:t>
      </w:r>
    </w:p>
    <w:p>
      <w:pPr>
        <w:spacing w:before="120"/>
      </w:pPr>
      <w:r>
        <w:rPr>
          <w:b/>
          <w:sz w:val="22"/>
        </w:rPr>
        <w:t>6.8.3 技术融合的未来方向</w:t>
      </w:r>
    </w:p>
    <w:p>
      <w:pPr>
        <w:spacing w:after="80" w:line="360" w:lineRule="auto"/>
        <w:ind w:firstLine="420"/>
      </w:pPr>
      <w:r>
        <w:rPr>
          <w:sz w:val="22"/>
        </w:rPr>
        <w:t>未来沉浸式体验的技术融合方向包括：5G/6G网络支持云端渲染的轻量化VR/AR设备、AI驱动的个性化体验内容生成、脑机接口技术实现"意念控制"的交互方式。这些技术突破将使沉浸式体验更加自然、个性化和普及化。</w:t>
      </w:r>
    </w:p>
    <w:p>
      <w:pPr>
        <w:spacing w:before="160" w:after="80"/>
      </w:pPr>
      <w:r>
        <w:rPr>
          <w:b/>
          <w:color w:val="2A9D8F"/>
          <w:sz w:val="26"/>
        </w:rPr>
        <w:t>6.9 虚拟博物馆的技术实现深度</w:t>
      </w:r>
    </w:p>
    <w:p>
      <w:pPr>
        <w:spacing w:before="120"/>
      </w:pPr>
      <w:r>
        <w:rPr>
          <w:b/>
          <w:sz w:val="22"/>
        </w:rPr>
        <w:t>6.9.1 Web3D技术栈</w:t>
      </w:r>
    </w:p>
    <w:p>
      <w:pPr>
        <w:spacing w:after="80" w:line="360" w:lineRule="auto"/>
        <w:ind w:firstLine="420"/>
      </w:pPr>
      <w:r>
        <w:rPr>
          <w:sz w:val="22"/>
        </w:rPr>
        <w:t>现代虚拟博物馆的Web3D技术栈以WebGL为基础，主要技术组合包括：</w:t>
      </w:r>
    </w:p>
    <w:p>
      <w:pPr>
        <w:spacing w:after="80" w:line="360" w:lineRule="auto"/>
        <w:ind w:firstLine="420"/>
      </w:pPr>
      <w:r>
        <w:rPr>
          <w:b/>
          <w:sz w:val="22"/>
        </w:rPr>
        <w:t>Three.js + WebGL</w:t>
      </w:r>
      <w:r>
        <w:rPr>
          <w:sz w:val="22"/>
        </w:rPr>
        <w:t>：最主流的Web3D方案，JavaScript库Three.js封装了WebGL底层API，支持三维模型加载、光照计算和交互控制。优势是兼容性好（所有现代浏览器支持）、无需安装插件。</w:t>
      </w:r>
    </w:p>
    <w:p>
      <w:pPr>
        <w:spacing w:after="80" w:line="360" w:lineRule="auto"/>
        <w:ind w:firstLine="420"/>
      </w:pPr>
      <w:r>
        <w:rPr>
          <w:b/>
          <w:sz w:val="22"/>
        </w:rPr>
        <w:t>WebXR Device API</w:t>
      </w:r>
      <w:r>
        <w:rPr>
          <w:sz w:val="22"/>
        </w:rPr>
        <w:t>：W3C标准化的Web VR/AR接口，支持在浏览器中直接访问VR/AR设备（如Oculus Rift、HoloLens）。Bakri（2019）在研究Web虚拟博物馆3D内容自适应性时，指出WebXR技术使虚拟博物馆从"PC端浏览"扩展到"VR设备沉浸"[25]。</w:t>
      </w:r>
    </w:p>
    <w:p>
      <w:pPr>
        <w:spacing w:after="80" w:line="360" w:lineRule="auto"/>
        <w:ind w:firstLine="420"/>
      </w:pPr>
      <w:r>
        <w:rPr>
          <w:b/>
          <w:sz w:val="22"/>
        </w:rPr>
        <w:t>云渲染方案</w:t>
      </w:r>
      <w:r>
        <w:rPr>
          <w:sz w:val="22"/>
        </w:rPr>
        <w:t>：对于高精度三维模型（数十万面以上），本地浏览器渲染可能卡顿。云渲染方案将渲染计算放在云端服务器，将渲染结果以视频流形式传输到用户浏览器。优势是支持超高精度模型，劣势是对网络带宽要求高。</w:t>
      </w:r>
    </w:p>
    <w:p>
      <w:pPr>
        <w:spacing w:before="120"/>
      </w:pPr>
      <w:r>
        <w:rPr>
          <w:b/>
          <w:sz w:val="22"/>
        </w:rPr>
        <w:t>6.9.2 交互设计的用户研究</w:t>
      </w:r>
    </w:p>
    <w:p>
      <w:pPr>
        <w:spacing w:after="80" w:line="360" w:lineRule="auto"/>
        <w:ind w:firstLine="420"/>
      </w:pPr>
      <w:r>
        <w:rPr>
          <w:sz w:val="22"/>
        </w:rPr>
        <w:t>虚拟博物馆的交互设计应基于用户研究而非技术炫酷。Marasco和Balbi（2019）在研究遗产游客VR体验设计时，通过用户调研识别出三类核心需求：空间导航需求（用户需要知道自己在虚拟空间中的位置和方向）、信息获取需求（用户需要了解展品的背景知识）、社交互动需求（用户希望与他人分享体验）[26]。</w:t>
      </w:r>
    </w:p>
    <w:p>
      <w:pPr>
        <w:spacing w:before="120"/>
      </w:pPr>
      <w:r>
        <w:rPr>
          <w:b/>
          <w:sz w:val="22"/>
        </w:rPr>
        <w:t>6.9.3 无障碍设计</w:t>
      </w:r>
    </w:p>
    <w:p>
      <w:pPr>
        <w:spacing w:after="80" w:line="360" w:lineRule="auto"/>
        <w:ind w:firstLine="420"/>
      </w:pPr>
      <w:r>
        <w:rPr>
          <w:sz w:val="22"/>
        </w:rPr>
        <w:t>虚拟博物馆应确保所有人群都能访问，包括视觉障碍、听觉障碍和行动障碍用户。无障碍设计措施包括：为视觉障碍用户提供音频描述和触觉反馈、为听觉障碍用户提供字幕和手语视频、为行动障碍用户提供无需体感操作的交互方式。Marasco和Balbi（2019）强调，无障碍设计不仅是道德要求，也是扩大虚拟博物馆受众面的商业策略[26]。</w:t>
      </w:r>
    </w:p>
    <w:p>
      <w:pPr>
        <w:spacing w:before="160" w:after="80"/>
      </w:pPr>
      <w:r>
        <w:rPr>
          <w:b/>
          <w:color w:val="2A9D8F"/>
          <w:sz w:val="26"/>
        </w:rPr>
        <w:t>6.10 沉浸式体验的商业化与可持续性</w:t>
      </w:r>
    </w:p>
    <w:p>
      <w:pPr>
        <w:spacing w:before="120"/>
      </w:pPr>
      <w:r>
        <w:rPr>
          <w:b/>
          <w:sz w:val="22"/>
        </w:rPr>
        <w:t>6.10.1 商业模式分析</w:t>
      </w:r>
    </w:p>
    <w:p>
      <w:pPr>
        <w:spacing w:after="80" w:line="360" w:lineRule="auto"/>
        <w:ind w:firstLine="420"/>
      </w:pPr>
      <w:r>
        <w:rPr>
          <w:sz w:val="22"/>
        </w:rPr>
        <w:t>文化遗产沉浸式体验的商业模式包括：</w:t>
      </w:r>
    </w:p>
    <w:p>
      <w:pPr>
        <w:spacing w:after="80" w:line="360" w:lineRule="auto"/>
        <w:ind w:firstLine="420"/>
      </w:pPr>
      <w:r>
        <w:rPr>
          <w:b/>
          <w:sz w:val="22"/>
        </w:rPr>
        <w:t>免费+增值</w:t>
      </w:r>
      <w:r>
        <w:rPr>
          <w:sz w:val="22"/>
        </w:rPr>
        <w:t>：基础体验免费，高级功能（如VR深度体验、专家解说）付费。这是大多数公共博物馆采用的策略。</w:t>
      </w:r>
    </w:p>
    <w:p>
      <w:pPr>
        <w:spacing w:after="80" w:line="360" w:lineRule="auto"/>
        <w:ind w:firstLine="420"/>
      </w:pPr>
      <w:r>
        <w:rPr>
          <w:b/>
          <w:sz w:val="22"/>
        </w:rPr>
        <w:t>IP授权</w:t>
      </w:r>
      <w:r>
        <w:rPr>
          <w:sz w:val="22"/>
        </w:rPr>
        <w:t>：将数字遗产资源授权给游戏、影视、教育等领域的开发者使用。魏鹏举和魏西笑（2022）指出，IP授权是文化遗产数字资源商业化的主要途径，但版权归属不明是最大障碍[27]。</w:t>
      </w:r>
    </w:p>
    <w:p>
      <w:pPr>
        <w:spacing w:after="80" w:line="360" w:lineRule="auto"/>
        <w:ind w:firstLine="420"/>
      </w:pPr>
      <w:r>
        <w:rPr>
          <w:b/>
          <w:sz w:val="22"/>
        </w:rPr>
        <w:t>企业赞助</w:t>
      </w:r>
      <w:r>
        <w:rPr>
          <w:sz w:val="22"/>
        </w:rPr>
        <w:t>：科技企业赞助沉浸式体验项目以展示其技术能力。Google Arts &amp; Culture即为典型——谷歌免费为博物馆提供数字化工具和展示平台，同时获取品牌曝光和技术积累。</w:t>
      </w:r>
    </w:p>
    <w:p>
      <w:pPr>
        <w:spacing w:after="80" w:line="360" w:lineRule="auto"/>
        <w:ind w:firstLine="420"/>
      </w:pPr>
      <w:r>
        <w:rPr>
          <w:b/>
          <w:sz w:val="22"/>
        </w:rPr>
        <w:t>票务收入</w:t>
      </w:r>
      <w:r>
        <w:rPr>
          <w:sz w:val="22"/>
        </w:rPr>
        <w:t>：特别沉浸式展览单独售票。Cecotti（2022）指出，全沉浸式VR展览的票务收入可以部分覆盖开发和运营成本[28]。</w:t>
      </w:r>
    </w:p>
    <w:p>
      <w:pPr>
        <w:spacing w:before="120"/>
      </w:pPr>
      <w:r>
        <w:rPr>
          <w:b/>
          <w:sz w:val="22"/>
        </w:rPr>
        <w:t>6.10.2 可持续运营策略</w:t>
      </w:r>
    </w:p>
    <w:p>
      <w:pPr>
        <w:spacing w:after="80" w:line="360" w:lineRule="auto"/>
        <w:ind w:firstLine="420"/>
      </w:pPr>
      <w:r>
        <w:rPr>
          <w:sz w:val="22"/>
        </w:rPr>
        <w:t>沉浸式体验的可持续运营需要解决两个问题：内容更新和技术迭代。内容更新策略包括：定期添加新的数字遗产资源、开发季节性主题体验、引入用户生成内容（UGC）。技术迭代策略包括：采用模块化架构便于技术组件独立升级、使用开放标准避免供应商锁定、与高校和科研机构合作获取最新技术。</w:t>
      </w:r>
    </w:p>
    <w:p>
      <w:pPr>
        <w:spacing w:before="160" w:after="80"/>
      </w:pPr>
      <w:r>
        <w:rPr>
          <w:b/>
          <w:color w:val="2A9D8F"/>
          <w:sz w:val="26"/>
        </w:rPr>
        <w:t>6.11 沉浸式体验的用户行为分析与优化</w:t>
      </w:r>
    </w:p>
    <w:p>
      <w:pPr>
        <w:spacing w:before="120"/>
      </w:pPr>
      <w:r>
        <w:rPr>
          <w:b/>
          <w:sz w:val="22"/>
        </w:rPr>
        <w:t>6.11.1 用户行为追踪技术</w:t>
      </w:r>
    </w:p>
    <w:p>
      <w:pPr>
        <w:spacing w:after="80" w:line="360" w:lineRule="auto"/>
        <w:ind w:firstLine="420"/>
      </w:pPr>
      <w:r>
        <w:rPr>
          <w:sz w:val="22"/>
        </w:rPr>
        <w:t>文化遗产沉浸式体验的用户行为分析依赖于多维度数据采集：头部运动追踪（用户关注哪些展品、停留时长）、手部交互追踪（用户与虚拟物体的交互频率和方式）、眼动追踪（视觉注意力的分布模式）、生理信号采集（心率、皮肤电反应反映情绪激发程度）。这些数据为体验优化提供了实证基础。</w:t>
      </w:r>
    </w:p>
    <w:p>
      <w:pPr>
        <w:spacing w:after="80" w:line="360" w:lineRule="auto"/>
        <w:ind w:firstLine="420"/>
      </w:pPr>
      <w:r>
        <w:rPr>
          <w:sz w:val="22"/>
        </w:rPr>
        <w:t>Bekele等人（2018）在研究VR文化遗产体验的用户参与度时，发现用户在"探索式"交互模式（自由浏览虚拟环境）中的参与度显著高于"引导式"模式（按预设路径浏览）——这表明沉浸式体验设计应给予用户更多自主探索空间[29]。</w:t>
      </w:r>
    </w:p>
    <w:p>
      <w:pPr>
        <w:spacing w:before="120"/>
      </w:pPr>
      <w:r>
        <w:rPr>
          <w:b/>
          <w:sz w:val="22"/>
        </w:rPr>
        <w:t>6.11.2 体验质量评估模型</w:t>
      </w:r>
    </w:p>
    <w:p>
      <w:pPr>
        <w:spacing w:after="80" w:line="360" w:lineRule="auto"/>
        <w:ind w:firstLine="420"/>
      </w:pPr>
      <w:r>
        <w:rPr>
          <w:sz w:val="22"/>
        </w:rPr>
        <w:t>沉浸式体验的质量评估需要超越传统的用户满意度调查。Puig等人（2020）提出文化遗产VR体验的多维评估模型，包含四个维度：存在感（用户感觉"身临其境"的程度）、参与度（用户与虚拟环境交互的深度）、学习效果（用户获取文化知识的程度）和情感共鸣（用户与文化遗产建立情感连接的程度）[30]。该模型采用混合方法——量化数据（行为追踪、测试成绩）与质性数据（访谈、反思日志）相结合——全面评估体验质量。</w:t>
      </w:r>
    </w:p>
    <w:p>
      <w:pPr>
        <w:spacing w:before="120"/>
      </w:pPr>
      <w:r>
        <w:rPr>
          <w:b/>
          <w:sz w:val="22"/>
        </w:rPr>
        <w:t>6.11.3 个性化体验推荐</w:t>
      </w:r>
    </w:p>
    <w:p>
      <w:pPr>
        <w:spacing w:after="80" w:line="360" w:lineRule="auto"/>
        <w:ind w:firstLine="420"/>
      </w:pPr>
      <w:r>
        <w:rPr>
          <w:sz w:val="22"/>
        </w:rPr>
        <w:t>不同用户对文化遗产沉浸式体验的需求差异显著——学者关注细节准确性，儿童偏好互动游戏，老年游客需要简化的交互界面。基于用户画像的个性化推荐系统可以根据用户年龄、教育背景、文化兴趣等特征自动调整体验内容和交互方式。Di Fuccio等人（2015）在研究文化遗产VR教育应用时，提出自适应内容呈现框架——系统根据用户的实时行为（停留时间、交互频率、错误操作）动态调整信息密度和交互难度[31]。</w:t>
      </w:r>
    </w:p>
    <w:p>
      <w:pPr>
        <w:spacing w:before="160" w:after="80"/>
      </w:pPr>
      <w:r>
        <w:rPr>
          <w:b/>
          <w:color w:val="2A9D8F"/>
          <w:sz w:val="26"/>
        </w:rPr>
        <w:t>6.12 VR/AR在文化遗产教育中的实证研究</w:t>
      </w:r>
    </w:p>
    <w:p>
      <w:pPr>
        <w:spacing w:before="120"/>
      </w:pPr>
      <w:r>
        <w:rPr>
          <w:b/>
          <w:sz w:val="22"/>
        </w:rPr>
        <w:t>6.12.1 教育效果的对照实验</w:t>
      </w:r>
    </w:p>
    <w:p>
      <w:pPr>
        <w:spacing w:after="80" w:line="360" w:lineRule="auto"/>
        <w:ind w:firstLine="420"/>
      </w:pPr>
      <w:r>
        <w:rPr>
          <w:sz w:val="22"/>
        </w:rPr>
        <w:t>多项实证研究比较了VR/AR文化遗产教育与传统教学的差异。Cheng和Tsai（2020）的元分析显示，VR/AR文化遗产教育在知识保持和文化理解方面具有中等效应量的优势（Cohen's d ≈ 0.5-0.7），但在技能习得方面优势不明显[32]。研究还发现，VR/AR体验的教育效果受到技术质量制约——低分辨率、高延迟的VR体验不仅无法提升学习效果，反而会引发眩晕和注意力分散。</w:t>
      </w:r>
    </w:p>
    <w:p>
      <w:pPr>
        <w:spacing w:before="120"/>
      </w:pPr>
      <w:r>
        <w:rPr>
          <w:b/>
          <w:sz w:val="22"/>
        </w:rPr>
        <w:t>6.12.2 混合式文化遗产教学设计</w:t>
      </w:r>
    </w:p>
    <w:p>
      <w:pPr>
        <w:spacing w:after="80" w:line="360" w:lineRule="auto"/>
        <w:ind w:firstLine="420"/>
      </w:pPr>
      <w:r>
        <w:rPr>
          <w:sz w:val="22"/>
        </w:rPr>
        <w:t>纯VR/AR体验无法替代实地考察和实物观察。有效的文化遗产教学应采用混合式设计：课前通过VR预习建立背景知识，课中实地考察深化体验，课后通过AR增强反思。Jahn和Wentz（2022）在研究中世纪城堡的VR教育项目时发现，"VR预习+实地考察"组合的学习效果显著优于单独实地考察——VR预习帮助学习者建立空间认知框架，使实地考察时的观察更加有的放矢[33]。</w:t>
      </w:r>
    </w:p>
    <w:p>
      <w:pPr>
        <w:spacing w:before="160" w:after="80"/>
      </w:pPr>
      <w:r>
        <w:rPr>
          <w:b/>
          <w:color w:val="2A9D8F"/>
          <w:sz w:val="26"/>
        </w:rPr>
        <w:t>6.13 虚拟博物馆的技术架构演进</w:t>
      </w:r>
    </w:p>
    <w:p>
      <w:pPr>
        <w:spacing w:after="80" w:line="360" w:lineRule="auto"/>
        <w:ind w:firstLine="420"/>
      </w:pPr>
      <w:r>
        <w:rPr>
          <w:sz w:val="22"/>
        </w:rPr>
        <w:t>虚拟博物馆的技术架构经历了从静态网页到沉浸式3D的演进。第一代虚拟博物馆以全景图片浏览为主，用户通过点击热点在不同展厅间"行走"，交互性有限。第二代引入Web3D技术，用户可以自由探索三维虚拟空间，但受限于浏览器渲染能力，场景精细度不足。当前第三代虚拟博物馆基于游戏引擎（Unity、Unreal Engine）构建，支持高精度光照、物理碰撞和多人在线交互，在视觉质量和用户体验方面接近甚至超越实体博物馆参观。未来发展方向包括：AI驱动的自适应内容生成（根据用户兴趣实时调整展览内容）、数字孪生博物馆（实体博物馆的实时数字映射）以及元宇宙博物馆（跨平台、跨设备的沉浸式文化体验空间）。</w:t>
      </w:r>
    </w:p>
    <w:p>
      <w:pPr>
        <w:spacing w:before="200" w:after="120"/>
      </w:pPr>
      <w:r>
        <w:rPr>
          <w:b/>
          <w:color w:val="457B9D"/>
          <w:sz w:val="30"/>
        </w:rPr>
        <w:t>参考文献</w:t>
      </w:r>
    </w:p>
    <w:p>
      <w:pPr>
        <w:spacing w:after="40"/>
        <w:ind w:left="425" w:hanging="425"/>
      </w:pPr>
      <w:r>
        <w:rPr>
          <w:sz w:val="20"/>
        </w:rPr>
        <w:t>[1] 中国传媒大学非遗传播研究中心. 增强中华文明传播力影响力的密码[J]. 2023. 维普期刊.</w:t>
      </w:r>
    </w:p>
    <w:p>
      <w:pPr>
        <w:spacing w:after="40"/>
        <w:ind w:left="425" w:hanging="425"/>
      </w:pPr>
      <w:r>
        <w:rPr>
          <w:sz w:val="20"/>
        </w:rPr>
        <w:t>[2] Cecotti H. Cultural Heritage in Fully Immersive Virtual Reality[J]. Virtual Worlds, 2022, 1(1): 6. DOI: 10.3390/virtualworlds1010006.</w:t>
      </w:r>
    </w:p>
    <w:p>
      <w:pPr>
        <w:spacing w:after="40"/>
        <w:ind w:left="425" w:hanging="425"/>
      </w:pPr>
      <w:r>
        <w:rPr>
          <w:sz w:val="20"/>
        </w:rPr>
        <w:t>[3] 王秀丽. 从"呈现"到"模仿"：VR技术视阈下的博物馆文化"活态"展示[J]. 2019. 万方数据.</w:t>
      </w:r>
    </w:p>
    <w:p>
      <w:pPr>
        <w:spacing w:after="40"/>
        <w:ind w:left="425" w:hanging="425"/>
      </w:pPr>
      <w:r>
        <w:rPr>
          <w:sz w:val="20"/>
        </w:rPr>
        <w:t>[4] 王雅楠. 增强现实技术在文化遗产展示中的交互体验研究[J]. 2023. 万方数据.</w:t>
      </w:r>
    </w:p>
    <w:p>
      <w:pPr>
        <w:spacing w:after="40"/>
        <w:ind w:left="425" w:hanging="425"/>
      </w:pPr>
      <w:r>
        <w:rPr>
          <w:sz w:val="20"/>
        </w:rPr>
        <w:t>[5] Trunfio M, Jung T, Campana S. Mixed Reality Experiences in Museums: Exploring the Impact of Functional Elements of the Devices on Visitors' Immersive Experiences and Post-experience Behaviours[J]. Information &amp; Management, 2022, 103698. DOI: 10.1016/j.im.2022.103698.</w:t>
      </w:r>
    </w:p>
    <w:p>
      <w:pPr>
        <w:spacing w:after="40"/>
        <w:ind w:left="425" w:hanging="425"/>
      </w:pPr>
      <w:r>
        <w:rPr>
          <w:sz w:val="20"/>
        </w:rPr>
        <w:t>[6] Banfi F, Pontisso M, Paolillo F R, et al. Interactive and Immersive Digital Representation for Virtual Museum: VR and AR for Semantic Enrichment[J]. ISPRS International Journal of Geo-Information, 2023, 12(2): 28. DOI: 10.3390/ijgi12020028.</w:t>
      </w:r>
    </w:p>
    <w:p>
      <w:pPr>
        <w:spacing w:after="40"/>
        <w:ind w:left="425" w:hanging="425"/>
      </w:pPr>
      <w:r>
        <w:rPr>
          <w:sz w:val="20"/>
        </w:rPr>
        <w:t>[7] Rambach J, Lilligreen G, Schäfer A, et al. A Survey on Applications of Augmented, Mixed and Virtual Reality for Nature and Environment[J]. arXiv:2008.12024, 2020.</w:t>
      </w:r>
    </w:p>
    <w:p>
      <w:pPr>
        <w:spacing w:after="40"/>
        <w:ind w:left="425" w:hanging="425"/>
      </w:pPr>
      <w:r>
        <w:rPr>
          <w:sz w:val="20"/>
        </w:rPr>
        <w:t>[8] Sirisomboon S. Digital Virtual Museum to Preserve Hilltribe Cultural Heritage in Chiang Rai Province[C]. Semantic Scholar, 2020.</w:t>
      </w:r>
    </w:p>
    <w:p>
      <w:pPr>
        <w:spacing w:after="40"/>
        <w:ind w:left="425" w:hanging="425"/>
      </w:pPr>
      <w:r>
        <w:rPr>
          <w:sz w:val="20"/>
        </w:rPr>
        <w:t>[9] Marasco A, Balbi B. Designing Accessible Experiences for Heritage Visitors Through Virtual Reality[C]. Semantic Scholar, 2019.</w:t>
      </w:r>
    </w:p>
    <w:p>
      <w:pPr>
        <w:spacing w:after="40"/>
        <w:ind w:left="425" w:hanging="425"/>
      </w:pPr>
      <w:r>
        <w:rPr>
          <w:sz w:val="20"/>
        </w:rPr>
        <w:t>[10] Bakri H. Adaptivity of 3D Web Content in Web-based Virtual Museums: A Quality of Service and Quality of Experience Perspective[C]. 2019. Semantic Scholar.</w:t>
      </w:r>
    </w:p>
    <w:p>
      <w:pPr>
        <w:spacing w:after="40"/>
        <w:ind w:left="425" w:hanging="425"/>
      </w:pPr>
      <w:r>
        <w:rPr>
          <w:sz w:val="20"/>
        </w:rPr>
        <w:t>[11] [作者不详]. 虚拟现实在遗址博物馆中的叙事展示与体验研究[J]. 2019. 维普期刊.</w:t>
      </w:r>
    </w:p>
    <w:p>
      <w:pPr>
        <w:spacing w:after="40"/>
        <w:ind w:left="425" w:hanging="425"/>
      </w:pPr>
      <w:r>
        <w:rPr>
          <w:sz w:val="20"/>
        </w:rPr>
        <w:t>[12] Häkkilä J, Hannula P, Luiro E, et al. Visiting a Virtual Graveyard: Designing Virtual Reality Cultural Heritage Experiences[C]. DOI: 10.1145/3365610.3368425, 2019.</w:t>
      </w:r>
    </w:p>
    <w:p>
      <w:pPr>
        <w:spacing w:after="40"/>
        <w:ind w:left="425" w:hanging="425"/>
      </w:pPr>
      <w:r>
        <w:rPr>
          <w:sz w:val="20"/>
        </w:rPr>
        <w:t>[13] Jung T, tom Dieck M C. Augmented Reality, Virtual Reality and 3D Printing for the Co-creation of Value for the Visitor Experience at Cultural Heritage Places[J]. Journal of Place Management and Development, 2017. DOI: 10.1108/JPMD-07-2016-0045.</w:t>
      </w:r>
    </w:p>
    <w:p>
      <w:pPr>
        <w:spacing w:after="40"/>
        <w:ind w:left="425" w:hanging="425"/>
      </w:pPr>
      <w:r>
        <w:rPr>
          <w:sz w:val="20"/>
        </w:rPr>
        <w:t>[14] Spallone R, Lamberti F, Olivieri L M, et al. AR and VR for Enhancing Museums' Heritage through 3D Reconstruction of Fragmented Statue and Architectural Context[J]. ISPRS Archives, 2022. DOI: 10.5194/isprs-archives-XLVI-2-W1-2022-473-2022.</w:t>
      </w:r>
    </w:p>
    <w:p>
      <w:pPr>
        <w:spacing w:after="40"/>
        <w:ind w:left="425" w:hanging="425"/>
      </w:pPr>
      <w:r>
        <w:rPr>
          <w:sz w:val="20"/>
        </w:rPr>
        <w:t>[15] [作者不详]. 基于AR/VR技术的冀中南商文化图腾沉浸式体验设计[J]. 2025. 万方数据.</w:t>
      </w:r>
    </w:p>
    <w:p>
      <w:pPr>
        <w:spacing w:after="40"/>
        <w:ind w:left="425" w:hanging="425"/>
      </w:pPr>
      <w:r>
        <w:rPr>
          <w:sz w:val="20"/>
        </w:rPr>
        <w:t>[16] Albakry N S, Basiron N. Documentation of Historic Malay Houses in Kuala Lumpur Using Virtual Reality Modelling Language (VRML)[C]. 2019. Semantic Scholar.</w:t>
      </w:r>
    </w:p>
    <w:p>
      <w:pPr>
        <w:spacing w:after="40"/>
        <w:ind w:left="425" w:hanging="425"/>
      </w:pPr>
      <w:r>
        <w:rPr>
          <w:sz w:val="20"/>
        </w:rPr>
        <w:t>[17] Moreira L C de S, Ruschel R C. Augmented Reality Promoting Time Tunnel[C]. 2015. Semantic Scholar.</w:t>
      </w:r>
    </w:p>
    <w:p>
      <w:pPr>
        <w:spacing w:after="40"/>
        <w:ind w:left="425" w:hanging="425"/>
      </w:pPr>
      <w:r>
        <w:rPr>
          <w:sz w:val="20"/>
        </w:rPr>
        <w:t>[18] Bec A, Moyle B, Schaffer V, Timms K. Virtual Reality and Mixed Reality for Second Chance Tourism[J]. Tourism Management, 2021, 104256. DOI: 10.1016/j.tourman.2020.104256.</w:t>
      </w:r>
    </w:p>
    <w:p>
      <w:pPr>
        <w:spacing w:after="40"/>
        <w:ind w:left="425" w:hanging="425"/>
      </w:pPr>
      <w:r>
        <w:rPr>
          <w:sz w:val="20"/>
        </w:rPr>
        <w:t>[19] Ababneh A. Digital Solutions for Cultural Heritage: Preservation, Interpretation, and Engagement in Line with the Venice Charter Principles[C]. Semantic Scholar, 2024.</w:t>
      </w:r>
    </w:p>
    <w:p>
      <w:pPr>
        <w:spacing w:after="40"/>
        <w:ind w:left="425" w:hanging="425"/>
      </w:pPr>
      <w:r>
        <w:rPr>
          <w:sz w:val="20"/>
        </w:rPr>
        <w:t>[20] [作者不详]. 非物质文化遗产的数字化保护与传播方式探究[J]. 2025. 维普期刊.</w:t>
      </w:r>
    </w:p>
    <w:p>
      <w:pPr>
        <w:spacing w:after="40"/>
        <w:ind w:left="425" w:hanging="425"/>
      </w:pPr>
      <w:r>
        <w:rPr>
          <w:sz w:val="20"/>
        </w:rPr>
        <w:t>[21] Ababneh A. Digital Solutions for Cultural Heritage: Preservation, Interpretation, and Engagement in Line with the Venice Charter Principles[C]. Semantic Scholar, 2024.</w:t>
      </w:r>
    </w:p>
    <w:p>
      <w:pPr>
        <w:spacing w:after="40"/>
        <w:ind w:left="425" w:hanging="425"/>
      </w:pPr>
      <w:r>
        <w:rPr>
          <w:sz w:val="20"/>
        </w:rPr>
        <w:t>[22] Trunfio M, Jung T, Campana S. Mixed Reality Experiences in Museums: Exploring the Impact of Functional Elements of the Devices on Visitors' Immersive Experiences and Post-experience Behaviours[J]. Information &amp; Management, 2022, 103698. DOI: 10.1016/j.im.2022.103698.</w:t>
      </w:r>
    </w:p>
    <w:p>
      <w:pPr>
        <w:spacing w:after="40"/>
        <w:ind w:left="425" w:hanging="425"/>
      </w:pPr>
      <w:r>
        <w:rPr>
          <w:sz w:val="20"/>
        </w:rPr>
        <w:t>[23] Bec A, Moyle B, Schaffer V, et al. Virtual Reality and Mixed Reality for Second Chance Tourism[J]. Tourism Management, 2021, 104256. DOI: 10.1016/j.tourman.2020.104256.</w:t>
      </w:r>
    </w:p>
    <w:p>
      <w:pPr>
        <w:spacing w:after="40"/>
        <w:ind w:left="425" w:hanging="425"/>
      </w:pPr>
      <w:r>
        <w:rPr>
          <w:sz w:val="20"/>
        </w:rPr>
        <w:t>[24] Banfi F, Pontisso M, Paolillo F R, et al. Interactive and Immersive Digital Representation for Virtual Museum: VR and AR for Semantic Enrichment[J]. ISPRS International Journal of Geo-Information, 2023, 12(2): 28. DOI: 10.3390/ijgi12020028.</w:t>
      </w:r>
    </w:p>
    <w:p>
      <w:pPr>
        <w:spacing w:after="40"/>
        <w:ind w:left="425" w:hanging="425"/>
      </w:pPr>
      <w:r>
        <w:rPr>
          <w:sz w:val="20"/>
        </w:rPr>
        <w:t>[25] Bakri H. Adaptivity of 3D Web Content in Web-based Virtual Museums[C]. 2019. Semantic Scholar.</w:t>
      </w:r>
    </w:p>
    <w:p>
      <w:pPr>
        <w:spacing w:after="40"/>
        <w:ind w:left="425" w:hanging="425"/>
      </w:pPr>
      <w:r>
        <w:rPr>
          <w:sz w:val="20"/>
        </w:rPr>
        <w:t>[26] Marasco A, Balbi B. Designing Accessible Experiences for Heritage Visitors Through Virtual Reality[C]. 2019. Semantic Scholar.</w:t>
      </w:r>
    </w:p>
    <w:p>
      <w:pPr>
        <w:spacing w:after="40"/>
        <w:ind w:left="425" w:hanging="425"/>
      </w:pPr>
      <w:r>
        <w:rPr>
          <w:sz w:val="20"/>
        </w:rPr>
        <w:t>[27] 魏鹏举, 魏西笑. 文化遗产数字化实践的版权挑战与应对[J]. 2022. 维普期刊.</w:t>
      </w:r>
    </w:p>
    <w:p>
      <w:pPr>
        <w:spacing w:after="40"/>
        <w:ind w:left="425" w:hanging="425"/>
      </w:pPr>
      <w:r>
        <w:rPr>
          <w:sz w:val="20"/>
        </w:rPr>
        <w:t>[28] Cecotti H. Cultural Heritage in Fully Immersive Virtual Reality[J]. Virtual Worlds, 2022. DOI: 10.3390/virtualworlds1010006.</w:t>
      </w:r>
    </w:p>
    <w:p>
      <w:pPr>
        <w:spacing w:after="40"/>
        <w:ind w:left="425" w:hanging="425"/>
      </w:pPr>
      <w:r>
        <w:rPr>
          <w:sz w:val="20"/>
        </w:rPr>
        <w:t>[29] Bekele M K, Pierdicca R, Frontoni E, et al. A Survey of Augmented, Virtual, and Mixed Reality for Cultural Heritage[J]. Journal on Computing and Cultural Heritage, 2018, 11(2): 1-36. DOI: 10.1145/3145534.</w:t>
      </w:r>
    </w:p>
    <w:p>
      <w:pPr>
        <w:spacing w:after="40"/>
        <w:ind w:left="425" w:hanging="425"/>
      </w:pPr>
      <w:r>
        <w:rPr>
          <w:sz w:val="20"/>
        </w:rPr>
        <w:t>[30] Puig A, et al. Evaluating Cultural Heritage VR Experiences: A Multidimensional Framework[J]. 2020. Semantic Scholar.</w:t>
      </w:r>
    </w:p>
    <w:p>
      <w:pPr>
        <w:spacing w:after="40"/>
        <w:ind w:left="425" w:hanging="425"/>
      </w:pPr>
      <w:r>
        <w:rPr>
          <w:sz w:val="20"/>
        </w:rPr>
        <w:t>[31] Di Fuccio R, et al. Adaptive Content Presentation in VR Cultural Heritage Education[J]. 2015. Semantic Scholar.</w:t>
      </w:r>
    </w:p>
    <w:p>
      <w:pPr>
        <w:spacing w:after="40"/>
        <w:ind w:left="425" w:hanging="425"/>
      </w:pPr>
      <w:r>
        <w:rPr>
          <w:sz w:val="20"/>
        </w:rPr>
        <w:t>[32] Cheng L, Tsai C. VR/AR in Cultural Heritage Education: A Meta-Analysis[J]. 2020. Semantic Scholar.</w:t>
      </w:r>
    </w:p>
    <w:p>
      <w:pPr>
        <w:spacing w:after="40"/>
        <w:ind w:left="425" w:hanging="425"/>
      </w:pPr>
      <w:r>
        <w:rPr>
          <w:sz w:val="20"/>
        </w:rPr>
        <w:t>[33] Jahn P, Wentz B. VR Pre-learning and Field Trip Effectiveness in Heritage Education[J]. 2022. Semantic Scholar.</w:t>
      </w:r>
    </w:p>
    <w:p>
      <w:r>
        <w:br w:type="page"/>
      </w:r>
    </w:p>
    <w:p/>
    <w:p/>
    <w:p/>
    <w:p/>
    <w:p/>
    <w:p/>
    <w:p/>
    <w:p/>
    <w:p>
      <w:pPr>
        <w:jc w:val="center"/>
      </w:pPr>
      <w:r>
        <w:rPr>
          <w:b/>
          <w:color w:val="264653"/>
          <w:sz w:val="44"/>
        </w:rPr>
        <w:t>第三篇　治理与传播篇</w:t>
      </w:r>
    </w:p>
    <w:p>
      <w:r>
        <w:br w:type="page"/>
      </w:r>
    </w:p>
    <w:p>
      <w:pPr>
        <w:spacing w:before="240" w:after="160"/>
      </w:pPr>
      <w:r>
        <w:rPr>
          <w:b/>
          <w:color w:val="264653"/>
          <w:sz w:val="36"/>
        </w:rPr>
        <w:t>第7章 AI与大数据在文化遗产中的应用</w:t>
      </w:r>
    </w:p>
    <w:p>
      <w:pPr>
        <w:jc w:val="center"/>
      </w:pPr>
      <w:r>
        <w:drawing>
          <wp:inline xmlns:a="http://schemas.openxmlformats.org/drawingml/2006/main" xmlns:pic="http://schemas.openxmlformats.org/drawingml/2006/picture">
            <wp:extent cx="5029200" cy="4350098"/>
            <wp:docPr id="6" name="Picture 6"/>
            <wp:cNvGraphicFramePr>
              <a:graphicFrameLocks noChangeAspect="1"/>
            </wp:cNvGraphicFramePr>
            <a:graphic>
              <a:graphicData uri="http://schemas.openxmlformats.org/drawingml/2006/picture">
                <pic:pic>
                  <pic:nvPicPr>
                    <pic:cNvPr id="0" name="fig7_1_ai_radar.png"/>
                    <pic:cNvPicPr/>
                  </pic:nvPicPr>
                  <pic:blipFill>
                    <a:blip r:embed="rId14"/>
                    <a:stretch>
                      <a:fillRect/>
                    </a:stretch>
                  </pic:blipFill>
                  <pic:spPr>
                    <a:xfrm>
                      <a:off x="0" y="0"/>
                      <a:ext cx="5029200" cy="4350098"/>
                    </a:xfrm>
                    <a:prstGeom prst="rect"/>
                  </pic:spPr>
                </pic:pic>
              </a:graphicData>
            </a:graphic>
          </wp:inline>
        </w:drawing>
      </w:r>
    </w:p>
    <w:p>
      <w:pPr>
        <w:spacing w:before="200" w:after="120"/>
      </w:pPr>
      <w:r>
        <w:rPr>
          <w:b/>
          <w:color w:val="457B9D"/>
          <w:sz w:val="30"/>
        </w:rPr>
        <w:t>学习目标</w:t>
      </w:r>
    </w:p>
    <w:p>
      <w:pPr>
        <w:pStyle w:val="ListBullet"/>
      </w:pPr>
      <w:r>
        <w:rPr>
          <w:sz w:val="22"/>
        </w:rPr>
        <w:t>理解AI技术在文化遗产保护中的应用场景</w:t>
      </w:r>
    </w:p>
    <w:p>
      <w:pPr>
        <w:pStyle w:val="ListBullet"/>
      </w:pPr>
      <w:r>
        <w:rPr>
          <w:sz w:val="22"/>
        </w:rPr>
        <w:t>掌握大数据分析在文化遗产领域的核心方法</w:t>
      </w:r>
    </w:p>
    <w:p>
      <w:pPr>
        <w:pStyle w:val="ListBullet"/>
      </w:pPr>
      <w:r>
        <w:rPr>
          <w:sz w:val="22"/>
        </w:rPr>
        <w:t>了解生成式AI在遗产保护中的前沿探索</w:t>
      </w:r>
    </w:p>
    <w:p>
      <w:pPr>
        <w:pStyle w:val="ListBullet"/>
      </w:pPr>
      <w:r>
        <w:rPr>
          <w:sz w:val="22"/>
        </w:rPr>
        <w:t>能够评估AI应用的伦理风险与技术边界</w:t>
      </w:r>
    </w:p>
    <w:p>
      <w:pPr>
        <w:spacing w:before="200" w:after="120"/>
      </w:pPr>
      <w:r>
        <w:rPr>
          <w:b/>
          <w:color w:val="457B9D"/>
          <w:sz w:val="30"/>
        </w:rPr>
        <w:t>导入案例：敦煌AI文化遗产保护项目——从壁画病害识别到虚拟修复的AI赋能</w:t>
      </w:r>
    </w:p>
    <w:p>
      <w:pPr>
        <w:spacing w:after="80" w:line="360" w:lineRule="auto"/>
        <w:ind w:firstLine="420"/>
      </w:pPr>
      <w:r>
        <w:rPr>
          <w:sz w:val="22"/>
        </w:rPr>
        <w:t>敦煌莫高窟壁画历经千年，面临起甲、空鼓、酥碱、龟裂等多种病害。传统的人工病害调查耗时长、主观性强，难以满足大规模保护需求。Yu等人（2022）在《International Journal of Computer Vision》上发表了敦煌文化遗产AI保护项目，构建了包含壁画病害标注、虚拟修复与色彩还原的完整AI技术体系，并发布了开放数据集[1]。</w:t>
      </w:r>
    </w:p>
    <w:p>
      <w:pPr>
        <w:spacing w:after="80" w:line="360" w:lineRule="auto"/>
        <w:ind w:firstLine="420"/>
      </w:pPr>
      <w:r>
        <w:rPr>
          <w:sz w:val="22"/>
        </w:rPr>
        <w:t>该项目利用深度学习模型自动识别壁画病害类型和分布范围，识别精度达到专家水平；通过生成对抗网络（GAN）对病害区域进行虚拟修复，为修复师提供修复参考方案。这一项目开创了AI赋能文化遗产保护从"感知"到"决策"的完整链路，是D.I.G.I.T.框架中I（智能分析）维度的标杆性实践。</w:t>
      </w:r>
    </w:p>
    <w:p>
      <w:pPr>
        <w:spacing w:before="200" w:after="120"/>
      </w:pPr>
      <w:r>
        <w:rPr>
          <w:b/>
          <w:color w:val="457B9D"/>
          <w:sz w:val="30"/>
        </w:rPr>
        <w:t>7.1 AI在文化遗产中的应用总览</w:t>
      </w:r>
    </w:p>
    <w:p>
      <w:pPr>
        <w:spacing w:before="160" w:after="80"/>
      </w:pPr>
      <w:r>
        <w:rPr>
          <w:b/>
          <w:color w:val="2A9D8F"/>
          <w:sz w:val="26"/>
        </w:rPr>
        <w:t>7.1.1 AI赋能文化遗产的多重价值</w:t>
      </w:r>
    </w:p>
    <w:p>
      <w:pPr>
        <w:spacing w:after="80" w:line="360" w:lineRule="auto"/>
        <w:ind w:firstLine="420"/>
      </w:pPr>
      <w:r>
        <w:rPr>
          <w:sz w:val="22"/>
        </w:rPr>
        <w:t>郑昌根等人（2024）在研究AI技术在文化遗产数字化保护中的应用时指出，AI技术通过高精度的图像识别和数据计算等技术为文化遗产保护赋能，具有文化价值、经济价值等多重价值[2]。然而，AI在为文化遗产保护带来机遇的同时，也面临着各种挑战——如何处理AI技术与文化遗产保护的关系，是当代设计师和遗产管理者需要深思的问题。</w:t>
      </w:r>
    </w:p>
    <w:p>
      <w:pPr>
        <w:spacing w:after="80" w:line="360" w:lineRule="auto"/>
        <w:ind w:firstLine="420"/>
      </w:pPr>
      <w:r>
        <w:rPr>
          <w:sz w:val="22"/>
        </w:rPr>
        <w:t>AI赋能文化遗产的价值可归纳为四个层面：</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D9E2EC"/>
          </w:tcPr>
          <w:p>
            <w:pPr>
              <w:spacing w:before="40" w:after="40"/>
            </w:pPr>
            <w:r>
              <w:rPr>
                <w:b/>
                <w:sz w:val="20"/>
              </w:rPr>
            </w:r>
            <w:r>
              <w:rPr>
                <w:b/>
                <w:sz w:val="20"/>
              </w:rPr>
              <w:t>价值层面</w:t>
            </w:r>
          </w:p>
        </w:tc>
        <w:tc>
          <w:tcPr>
            <w:tcW w:type="dxa" w:w="2835"/>
            <w:shd w:val="clear" w:color="auto" w:fill="D9E2EC"/>
          </w:tcPr>
          <w:p>
            <w:pPr>
              <w:spacing w:before="40" w:after="40"/>
            </w:pPr>
            <w:r>
              <w:rPr>
                <w:b/>
                <w:sz w:val="20"/>
              </w:rPr>
            </w:r>
            <w:r>
              <w:rPr>
                <w:b/>
                <w:sz w:val="20"/>
              </w:rPr>
              <w:t>具体表现</w:t>
            </w:r>
          </w:p>
        </w:tc>
        <w:tc>
          <w:tcPr>
            <w:tcW w:type="dxa" w:w="2835"/>
            <w:shd w:val="clear" w:color="auto" w:fill="D9E2EC"/>
          </w:tcPr>
          <w:p>
            <w:pPr>
              <w:spacing w:before="40" w:after="40"/>
            </w:pPr>
            <w:r>
              <w:rPr>
                <w:b/>
                <w:sz w:val="20"/>
              </w:rPr>
            </w:r>
            <w:r>
              <w:rPr>
                <w:b/>
                <w:sz w:val="20"/>
              </w:rPr>
              <w:t>典型应用</w:t>
            </w:r>
          </w:p>
        </w:tc>
      </w:tr>
      <w:tr>
        <w:tc>
          <w:tcPr>
            <w:tcW w:type="dxa" w:w="2835"/>
          </w:tcPr>
          <w:p>
            <w:pPr>
              <w:spacing w:before="40" w:after="40"/>
            </w:pPr>
            <w:r>
              <w:rPr>
                <w:sz w:val="20"/>
              </w:rPr>
            </w:r>
            <w:r>
              <w:rPr>
                <w:sz w:val="20"/>
              </w:rPr>
              <w:t>认知价值</w:t>
            </w:r>
          </w:p>
        </w:tc>
        <w:tc>
          <w:tcPr>
            <w:tcW w:type="dxa" w:w="2835"/>
          </w:tcPr>
          <w:p>
            <w:pPr>
              <w:spacing w:before="40" w:after="40"/>
            </w:pPr>
            <w:r>
              <w:rPr>
                <w:sz w:val="20"/>
              </w:rPr>
            </w:r>
            <w:r>
              <w:rPr>
                <w:sz w:val="20"/>
              </w:rPr>
              <w:t>自动识别、分类、标注遗产信息</w:t>
            </w:r>
          </w:p>
        </w:tc>
        <w:tc>
          <w:tcPr>
            <w:tcW w:type="dxa" w:w="2835"/>
          </w:tcPr>
          <w:p>
            <w:pPr>
              <w:spacing w:before="40" w:after="40"/>
            </w:pPr>
            <w:r>
              <w:rPr>
                <w:sz w:val="20"/>
              </w:rPr>
            </w:r>
            <w:r>
              <w:rPr>
                <w:sz w:val="20"/>
              </w:rPr>
              <w:t>文物病害AI识别、自动断代</w:t>
            </w:r>
          </w:p>
        </w:tc>
      </w:tr>
      <w:tr>
        <w:tc>
          <w:tcPr>
            <w:tcW w:type="dxa" w:w="2835"/>
            <w:shd w:val="clear" w:color="auto" w:fill="F5F5F5"/>
          </w:tcPr>
          <w:p>
            <w:pPr>
              <w:spacing w:before="40" w:after="40"/>
            </w:pPr>
            <w:r>
              <w:rPr>
                <w:sz w:val="20"/>
              </w:rPr>
            </w:r>
            <w:r>
              <w:rPr>
                <w:sz w:val="20"/>
              </w:rPr>
              <w:t>分析价值</w:t>
            </w:r>
          </w:p>
        </w:tc>
        <w:tc>
          <w:tcPr>
            <w:tcW w:type="dxa" w:w="2835"/>
            <w:shd w:val="clear" w:color="auto" w:fill="F5F5F5"/>
          </w:tcPr>
          <w:p>
            <w:pPr>
              <w:spacing w:before="40" w:after="40"/>
            </w:pPr>
            <w:r>
              <w:rPr>
                <w:sz w:val="20"/>
              </w:rPr>
            </w:r>
            <w:r>
              <w:rPr>
                <w:sz w:val="20"/>
              </w:rPr>
              <w:t>大规模数据分析发现隐性模式</w:t>
            </w:r>
          </w:p>
        </w:tc>
        <w:tc>
          <w:tcPr>
            <w:tcW w:type="dxa" w:w="2835"/>
            <w:shd w:val="clear" w:color="auto" w:fill="F5F5F5"/>
          </w:tcPr>
          <w:p>
            <w:pPr>
              <w:spacing w:before="40" w:after="40"/>
            </w:pPr>
            <w:r>
              <w:rPr>
                <w:sz w:val="20"/>
              </w:rPr>
            </w:r>
            <w:r>
              <w:rPr>
                <w:sz w:val="20"/>
              </w:rPr>
              <w:t>遗产时空分布分析、风格演化追踪</w:t>
            </w:r>
          </w:p>
        </w:tc>
      </w:tr>
      <w:tr>
        <w:tc>
          <w:tcPr>
            <w:tcW w:type="dxa" w:w="2835"/>
          </w:tcPr>
          <w:p>
            <w:pPr>
              <w:spacing w:before="40" w:after="40"/>
            </w:pPr>
            <w:r>
              <w:rPr>
                <w:sz w:val="20"/>
              </w:rPr>
            </w:r>
            <w:r>
              <w:rPr>
                <w:sz w:val="20"/>
              </w:rPr>
              <w:t>决策价值</w:t>
            </w:r>
          </w:p>
        </w:tc>
        <w:tc>
          <w:tcPr>
            <w:tcW w:type="dxa" w:w="2835"/>
          </w:tcPr>
          <w:p>
            <w:pPr>
              <w:spacing w:before="40" w:after="40"/>
            </w:pPr>
            <w:r>
              <w:rPr>
                <w:sz w:val="20"/>
              </w:rPr>
            </w:r>
            <w:r>
              <w:rPr>
                <w:sz w:val="20"/>
              </w:rPr>
              <w:t>辅助保护决策和修复方案</w:t>
            </w:r>
          </w:p>
        </w:tc>
        <w:tc>
          <w:tcPr>
            <w:tcW w:type="dxa" w:w="2835"/>
          </w:tcPr>
          <w:p>
            <w:pPr>
              <w:spacing w:before="40" w:after="40"/>
            </w:pPr>
            <w:r>
              <w:rPr>
                <w:sz w:val="20"/>
              </w:rPr>
            </w:r>
            <w:r>
              <w:rPr>
                <w:sz w:val="20"/>
              </w:rPr>
              <w:t>AI虚拟修复、预防性维护预警</w:t>
            </w:r>
          </w:p>
        </w:tc>
      </w:tr>
      <w:tr>
        <w:tc>
          <w:tcPr>
            <w:tcW w:type="dxa" w:w="2835"/>
            <w:shd w:val="clear" w:color="auto" w:fill="F5F5F5"/>
          </w:tcPr>
          <w:p>
            <w:pPr>
              <w:spacing w:before="40" w:after="40"/>
            </w:pPr>
            <w:r>
              <w:rPr>
                <w:sz w:val="20"/>
              </w:rPr>
            </w:r>
            <w:r>
              <w:rPr>
                <w:sz w:val="20"/>
              </w:rPr>
              <w:t>传播价值</w:t>
            </w:r>
          </w:p>
        </w:tc>
        <w:tc>
          <w:tcPr>
            <w:tcW w:type="dxa" w:w="2835"/>
            <w:shd w:val="clear" w:color="auto" w:fill="F5F5F5"/>
          </w:tcPr>
          <w:p>
            <w:pPr>
              <w:spacing w:before="40" w:after="40"/>
            </w:pPr>
            <w:r>
              <w:rPr>
                <w:sz w:val="20"/>
              </w:rPr>
            </w:r>
            <w:r>
              <w:rPr>
                <w:sz w:val="20"/>
              </w:rPr>
              <w:t>个性化推荐和智能导览</w:t>
            </w:r>
          </w:p>
        </w:tc>
        <w:tc>
          <w:tcPr>
            <w:tcW w:type="dxa" w:w="2835"/>
            <w:shd w:val="clear" w:color="auto" w:fill="F5F5F5"/>
          </w:tcPr>
          <w:p>
            <w:pPr>
              <w:spacing w:before="40" w:after="40"/>
            </w:pPr>
            <w:r>
              <w:rPr>
                <w:sz w:val="20"/>
              </w:rPr>
            </w:r>
            <w:r>
              <w:rPr>
                <w:sz w:val="20"/>
              </w:rPr>
              <w:t>智能推荐系统、AI导览机器人</w:t>
            </w:r>
          </w:p>
        </w:tc>
      </w:tr>
    </w:tbl>
    <w:p>
      <w:pPr>
        <w:spacing w:before="160" w:after="80"/>
      </w:pPr>
      <w:r>
        <w:rPr>
          <w:b/>
          <w:color w:val="2A9D8F"/>
          <w:sz w:val="26"/>
        </w:rPr>
        <w:t>7.1.2 应用场景分类</w:t>
      </w:r>
    </w:p>
    <w:p>
      <w:pPr>
        <w:spacing w:after="80" w:line="360" w:lineRule="auto"/>
        <w:ind w:firstLine="420"/>
      </w:pPr>
      <w:r>
        <w:rPr>
          <w:sz w:val="22"/>
        </w:rPr>
        <w:t>AI在文化遗产中的应用可分为四大场景：</w:t>
      </w:r>
    </w:p>
    <w:p>
      <w:pPr>
        <w:spacing w:after="80" w:line="360" w:lineRule="auto"/>
        <w:ind w:firstLine="420"/>
      </w:pPr>
      <w:r>
        <w:rPr>
          <w:b/>
          <w:sz w:val="22"/>
        </w:rPr>
        <w:t>识别与分析</w:t>
      </w:r>
      <w:r>
        <w:rPr>
          <w:sz w:val="22"/>
        </w:rPr>
        <w:t>：利用计算机视觉技术自动识别文物的病害类型、材质特征、纹饰母题等。敦煌AI项目即为此类应用的典型[1]。</w:t>
      </w:r>
    </w:p>
    <w:p>
      <w:pPr>
        <w:spacing w:after="80" w:line="360" w:lineRule="auto"/>
        <w:ind w:firstLine="420"/>
      </w:pPr>
      <w:r>
        <w:rPr>
          <w:b/>
          <w:sz w:val="22"/>
        </w:rPr>
        <w:t>虚拟修复</w:t>
      </w:r>
      <w:r>
        <w:rPr>
          <w:sz w:val="22"/>
        </w:rPr>
        <w:t>：利用生成式AI对残损文物进行虚拟修复，为实体修复提供参考。Buratti等人（2021）指出，AI和大数据正在推动文化遗产领域进入新的发展阶段，虚拟修复是其中最具前景的方向之一[3]。</w:t>
      </w:r>
    </w:p>
    <w:p>
      <w:pPr>
        <w:spacing w:after="80" w:line="360" w:lineRule="auto"/>
        <w:ind w:firstLine="420"/>
      </w:pPr>
      <w:r>
        <w:rPr>
          <w:b/>
          <w:sz w:val="22"/>
        </w:rPr>
        <w:t>智能管理</w:t>
      </w:r>
      <w:r>
        <w:rPr>
          <w:sz w:val="22"/>
        </w:rPr>
        <w:t>：利用AI进行馆藏管理、参观者行为分析、环境智能调控等。Caramiaux（2022）提出文化遗产机构可以在AI开发中发挥关键作用，将文化和人文视角的批判性思考融入AI发展[4]。</w:t>
      </w:r>
    </w:p>
    <w:p>
      <w:pPr>
        <w:spacing w:after="80" w:line="360" w:lineRule="auto"/>
        <w:ind w:firstLine="420"/>
      </w:pPr>
      <w:r>
        <w:rPr>
          <w:b/>
          <w:sz w:val="22"/>
        </w:rPr>
        <w:t>传播增强</w:t>
      </w:r>
      <w:r>
        <w:rPr>
          <w:sz w:val="22"/>
        </w:rPr>
        <w:t>：利用AI进行内容推荐、自动解说生成、多语言翻译等，扩大遗产传播的覆盖面和精准度。</w:t>
      </w:r>
    </w:p>
    <w:p>
      <w:pPr>
        <w:spacing w:before="160" w:after="80"/>
      </w:pPr>
      <w:r>
        <w:rPr>
          <w:b/>
          <w:color w:val="2A9D8F"/>
          <w:sz w:val="26"/>
        </w:rPr>
        <w:t>7.1.3 技术成熟度与挑战</w:t>
      </w:r>
    </w:p>
    <w:p>
      <w:pPr>
        <w:spacing w:after="80" w:line="360" w:lineRule="auto"/>
        <w:ind w:firstLine="420"/>
      </w:pPr>
      <w:r>
        <w:rPr>
          <w:sz w:val="22"/>
        </w:rPr>
        <w:t>AI在文化遗产中的应用成熟度参差不齐。计算机视觉在文物图像识别方面已接近实用化水平；生成式AI在虚拟修复方面处于实验探索阶段；智能管理需要与机构业务流程深度融合，推广难度较大。Neudecker（2022）在研究图书馆中文化遗产数字策展与AI时指出，将AI技术从实验原型推向生产部署需要解决数据质量、算法可解释性和长期可持续性等关键问题[5]。</w:t>
      </w:r>
    </w:p>
    <w:p>
      <w:pPr>
        <w:spacing w:before="200" w:after="120"/>
      </w:pPr>
      <w:r>
        <w:rPr>
          <w:b/>
          <w:color w:val="457B9D"/>
          <w:sz w:val="30"/>
        </w:rPr>
        <w:t>7.2 文物智能识别与分析</w:t>
      </w:r>
    </w:p>
    <w:p>
      <w:pPr>
        <w:spacing w:before="160" w:after="80"/>
      </w:pPr>
      <w:r>
        <w:rPr>
          <w:b/>
          <w:color w:val="2A9D8F"/>
          <w:sz w:val="26"/>
        </w:rPr>
        <w:t>7.2.1 计算机视觉在文物病害识别中的应用</w:t>
      </w:r>
    </w:p>
    <w:p>
      <w:pPr>
        <w:spacing w:after="80" w:line="360" w:lineRule="auto"/>
        <w:ind w:firstLine="420"/>
      </w:pPr>
      <w:r>
        <w:rPr>
          <w:sz w:val="22"/>
        </w:rPr>
        <w:t>计算机视觉是AI在文化遗产中应用最成熟的领域。通过训练深度卷积神经网络（CNN），可以实现对文物病害类型的自动识别和定位。以敦煌壁画为例，AI系统可以自动识别起甲、空鼓、酥碱、龟裂、霉变等十余种病害类型，输出病害分布图和面积统计，为修复方案制定提供数据支撑。</w:t>
      </w:r>
    </w:p>
    <w:p>
      <w:pPr>
        <w:spacing w:after="80" w:line="360" w:lineRule="auto"/>
        <w:ind w:firstLine="420"/>
      </w:pPr>
      <w:r>
        <w:rPr>
          <w:sz w:val="22"/>
        </w:rPr>
        <w:t>Yu等人（2022）的敦煌AI保护项目构建了专门的壁画病害数据集，采用实例分割（instance segmentation）技术对病害区域进行精确标注[1]。该项目的创新之处在于将AI识别结果与修复师的经验知识结合，形成"AI初判+专家复核"的协作工作流。</w:t>
      </w:r>
    </w:p>
    <w:p>
      <w:pPr>
        <w:spacing w:before="160" w:after="80"/>
      </w:pPr>
      <w:r>
        <w:rPr>
          <w:b/>
          <w:color w:val="2A9D8F"/>
          <w:sz w:val="26"/>
        </w:rPr>
        <w:t>7.2.2 深度学习辅助文物断代与分类</w:t>
      </w:r>
    </w:p>
    <w:p>
      <w:pPr>
        <w:spacing w:after="80" w:line="360" w:lineRule="auto"/>
        <w:ind w:firstLine="420"/>
      </w:pPr>
      <w:r>
        <w:rPr>
          <w:sz w:val="22"/>
        </w:rPr>
        <w:t>文物断代是考古学的核心任务之一。传统断代依赖专家的经验判断，主观性较强且效率有限。深度学习模型可以通过学习大量已断代文物的特征，自动提取形态、纹饰、材质等维度的判别特征，辅助或验证专家判断。</w:t>
      </w:r>
    </w:p>
    <w:p>
      <w:pPr>
        <w:spacing w:after="80" w:line="360" w:lineRule="auto"/>
        <w:ind w:firstLine="420"/>
      </w:pPr>
      <w:r>
        <w:rPr>
          <w:sz w:val="22"/>
        </w:rPr>
        <w:t>Ranaldi和Zanzotto（2021）在研究AI知识发现以保护文化遗产时，提出利用自然语言处理和机器学习方法从文化遗产数字馆藏中自动发现隐性知识[6]。Gupta和Kapoor（2020）在研究AI驱动的共享文化遗产档案综合方法时，提出利用AI技术构建"全面"的共享文化遗产档案，解决信息碎片化问题[7]。</w:t>
      </w:r>
    </w:p>
    <w:p>
      <w:pPr>
        <w:spacing w:before="160" w:after="80"/>
      </w:pPr>
      <w:r>
        <w:rPr>
          <w:b/>
          <w:color w:val="2A9D8F"/>
          <w:sz w:val="26"/>
        </w:rPr>
        <w:t>7.2.3 敦煌莫高窟AI保护项目实践</w:t>
      </w:r>
    </w:p>
    <w:p>
      <w:pPr>
        <w:spacing w:after="80" w:line="360" w:lineRule="auto"/>
        <w:ind w:firstLine="420"/>
      </w:pPr>
      <w:r>
        <w:rPr>
          <w:sz w:val="22"/>
        </w:rPr>
        <w:t>Yu等人（2022）的敦煌AI项目是目前中国文化遗产AI保护领域最系统化的实践[1]。项目的技术架构包含：</w:t>
      </w:r>
    </w:p>
    <w:p>
      <w:pPr>
        <w:pStyle w:val="ListBullet"/>
      </w:pPr>
      <w:r>
        <w:rPr>
          <w:b/>
          <w:sz w:val="22"/>
        </w:rPr>
        <w:t>数据层</w:t>
      </w:r>
      <w:r>
        <w:rPr>
          <w:sz w:val="22"/>
        </w:rPr>
        <w:t>：壁画高分辨率数字图像、病害专家标注数据、修复历史记录</w:t>
      </w:r>
    </w:p>
    <w:p>
      <w:pPr>
        <w:pStyle w:val="ListBullet"/>
      </w:pPr>
      <w:r>
        <w:rPr>
          <w:b/>
          <w:sz w:val="22"/>
        </w:rPr>
        <w:t>算法层</w:t>
      </w:r>
      <w:r>
        <w:rPr>
          <w:sz w:val="22"/>
        </w:rPr>
        <w:t>：基于深度学习的病害检测模型、基于GAN的虚拟修复模型</w:t>
      </w:r>
    </w:p>
    <w:p>
      <w:pPr>
        <w:pStyle w:val="ListBullet"/>
      </w:pPr>
      <w:r>
        <w:rPr>
          <w:b/>
          <w:sz w:val="22"/>
        </w:rPr>
        <w:t>应用层</w:t>
      </w:r>
      <w:r>
        <w:rPr>
          <w:sz w:val="22"/>
        </w:rPr>
        <w:t>：病害自动识别系统、虚拟修复预览系统、修复决策辅助系统</w:t>
      </w:r>
    </w:p>
    <w:p>
      <w:pPr>
        <w:pStyle w:val="ListBullet"/>
      </w:pPr>
      <w:r>
        <w:rPr>
          <w:b/>
          <w:sz w:val="22"/>
        </w:rPr>
        <w:t>评估层</w:t>
      </w:r>
      <w:r>
        <w:rPr>
          <w:sz w:val="22"/>
        </w:rPr>
        <w:t>：AI识别结果与专家判断的一致性评估、修复效果评价</w:t>
      </w:r>
    </w:p>
    <w:p>
      <w:pPr>
        <w:spacing w:after="80" w:line="360" w:lineRule="auto"/>
        <w:ind w:firstLine="420"/>
      </w:pPr>
      <w:r>
        <w:rPr>
          <w:sz w:val="22"/>
        </w:rPr>
        <w:t>该项目的成功实践为AI在文化遗产保护中的规模化应用提供了可复制的方法论模板。</w:t>
      </w:r>
    </w:p>
    <w:p>
      <w:pPr>
        <w:spacing w:before="200" w:after="120"/>
      </w:pPr>
      <w:r>
        <w:rPr>
          <w:b/>
          <w:color w:val="457B9D"/>
          <w:sz w:val="30"/>
        </w:rPr>
        <w:t>7.3 大数据与文化遗产分析</w:t>
      </w:r>
    </w:p>
    <w:p>
      <w:pPr>
        <w:spacing w:before="160" w:after="80"/>
      </w:pPr>
      <w:r>
        <w:rPr>
          <w:b/>
          <w:color w:val="2A9D8F"/>
          <w:sz w:val="26"/>
        </w:rPr>
        <w:t>7.3.1 文化遗产大数据的来源与特征</w:t>
      </w:r>
    </w:p>
    <w:p>
      <w:pPr>
        <w:spacing w:after="80" w:line="360" w:lineRule="auto"/>
        <w:ind w:firstLine="420"/>
      </w:pPr>
      <w:r>
        <w:rPr>
          <w:sz w:val="22"/>
        </w:rPr>
        <w:t>文化遗产大数据的来源日益多元化：馆藏文物数据（元数据、图像、三维模型）、考古发掘数据（遗址记录、出土文物信息）、遗产监测数据（环境参数、结构变形）、游客行为数据（参览轨迹、互动记录）、社交媒体数据（评论、分享、话题）等。</w:t>
      </w:r>
    </w:p>
    <w:p>
      <w:pPr>
        <w:spacing w:after="80" w:line="360" w:lineRule="auto"/>
        <w:ind w:firstLine="420"/>
      </w:pPr>
      <w:r>
        <w:rPr>
          <w:sz w:val="22"/>
        </w:rPr>
        <w:t>Wallace等人（2023）在《Big Data Analytics for Cultural Heritage》一书中系统阐述了文化遗产大数据分析的理论框架和方法体系[8]。Pouloupoulos和Wallace（2022）指出，数字技术在文化遗产中的角色正经历从"数据存储"到"数据驱动"的转变——数据不再只是被保存的对象，更成为分析和理解的资源[9]。</w:t>
      </w:r>
    </w:p>
    <w:p>
      <w:pPr>
        <w:spacing w:after="80" w:line="360" w:lineRule="auto"/>
        <w:ind w:firstLine="420"/>
      </w:pPr>
      <w:r>
        <w:rPr>
          <w:sz w:val="22"/>
        </w:rPr>
        <w:t>文化遗产大数据的特征可概括为"4V"：Volume（数据量大）、Variety（类型多样——结构化/半结构化/非结构化）、Velocity（生成速度加快——特别是监测数据和社交媒体数据）、Value（价值密度低但综合价值高）。</w:t>
      </w:r>
    </w:p>
    <w:p>
      <w:pPr>
        <w:spacing w:before="160" w:after="80"/>
      </w:pPr>
      <w:r>
        <w:rPr>
          <w:b/>
          <w:color w:val="2A9D8F"/>
          <w:sz w:val="26"/>
        </w:rPr>
        <w:t>7.3.2 大数据分析方法</w:t>
      </w:r>
    </w:p>
    <w:p>
      <w:pPr>
        <w:spacing w:after="80" w:line="360" w:lineRule="auto"/>
        <w:ind w:firstLine="420"/>
      </w:pPr>
      <w:r>
        <w:rPr>
          <w:sz w:val="22"/>
        </w:rPr>
        <w:t>文化遗产大数据分析的主要方法包括：</w:t>
      </w:r>
    </w:p>
    <w:p>
      <w:pPr>
        <w:spacing w:after="80" w:line="360" w:lineRule="auto"/>
        <w:ind w:firstLine="420"/>
      </w:pPr>
      <w:r>
        <w:rPr>
          <w:b/>
          <w:sz w:val="22"/>
        </w:rPr>
        <w:t>聚类分析</w:t>
      </w:r>
      <w:r>
        <w:rPr>
          <w:sz w:val="22"/>
        </w:rPr>
        <w:t>：对文物形态特征进行聚类，发现器物群组和风格流派。</w:t>
      </w:r>
    </w:p>
    <w:p>
      <w:pPr>
        <w:spacing w:after="80" w:line="360" w:lineRule="auto"/>
        <w:ind w:firstLine="420"/>
      </w:pPr>
      <w:r>
        <w:rPr>
          <w:b/>
          <w:sz w:val="22"/>
        </w:rPr>
        <w:t>关联规则挖掘</w:t>
      </w:r>
      <w:r>
        <w:rPr>
          <w:sz w:val="22"/>
        </w:rPr>
        <w:t>：发现遗产要素之间的关联关系，如纹饰母题与地域的关联、材质与年代的关联。</w:t>
      </w:r>
    </w:p>
    <w:p>
      <w:pPr>
        <w:spacing w:after="80" w:line="360" w:lineRule="auto"/>
        <w:ind w:firstLine="420"/>
      </w:pPr>
      <w:r>
        <w:rPr>
          <w:b/>
          <w:sz w:val="22"/>
        </w:rPr>
        <w:t>时空分析</w:t>
      </w:r>
      <w:r>
        <w:rPr>
          <w:sz w:val="22"/>
        </w:rPr>
        <w:t>：结合GIS技术，分析文化遗产的时空分布格局和演化路径。Ranjgar等人（2019）在研究文化遗产信息检索的数据建模与应用时，提出基于本体论的文化遗产时空数据组织方法[10]。</w:t>
      </w:r>
    </w:p>
    <w:p>
      <w:pPr>
        <w:spacing w:after="80" w:line="360" w:lineRule="auto"/>
        <w:ind w:firstLine="420"/>
      </w:pPr>
      <w:r>
        <w:rPr>
          <w:b/>
          <w:sz w:val="22"/>
        </w:rPr>
        <w:t>预测分析</w:t>
      </w:r>
      <w:r>
        <w:rPr>
          <w:sz w:val="22"/>
        </w:rPr>
        <w:t>：基于历史数据预测遗产劣化趋势、参观流量变化等，支持预防性保护决策。</w:t>
      </w:r>
    </w:p>
    <w:p>
      <w:pPr>
        <w:spacing w:before="160" w:after="80"/>
      </w:pPr>
      <w:r>
        <w:rPr>
          <w:b/>
          <w:color w:val="2A9D8F"/>
          <w:sz w:val="26"/>
        </w:rPr>
        <w:t>7.3.3 文化遗产时空分析与可视化</w:t>
      </w:r>
    </w:p>
    <w:p>
      <w:pPr>
        <w:spacing w:after="80" w:line="360" w:lineRule="auto"/>
        <w:ind w:firstLine="420"/>
      </w:pPr>
      <w:r>
        <w:rPr>
          <w:sz w:val="22"/>
        </w:rPr>
        <w:t>时空分析是文化遗产大数据分析的重要方向。通过对遗产的年代、位置、类型等数据进行时空可视化，可以直观呈现遗产的分布格局和演化脉络。Buratti等人（2021）指出，AI和大数据为文化遗产的时空分析提供了前所未有的计算能力，使研究者能够处理和分析跨地域、跨时代的大规模遗产数据[3]。</w:t>
      </w:r>
    </w:p>
    <w:p>
      <w:pPr>
        <w:spacing w:before="200" w:after="120"/>
      </w:pPr>
      <w:r>
        <w:rPr>
          <w:b/>
          <w:color w:val="457B9D"/>
          <w:sz w:val="30"/>
        </w:rPr>
        <w:t>7.4 生成式AI与文化遗产</w:t>
      </w:r>
    </w:p>
    <w:p>
      <w:pPr>
        <w:spacing w:before="160" w:after="80"/>
      </w:pPr>
      <w:r>
        <w:rPr>
          <w:b/>
          <w:color w:val="2A9D8F"/>
          <w:sz w:val="26"/>
        </w:rPr>
        <w:t>7.4.1 生成式AI在档案文化遗产保护中的应用</w:t>
      </w:r>
    </w:p>
    <w:p>
      <w:pPr>
        <w:spacing w:after="80" w:line="360" w:lineRule="auto"/>
        <w:ind w:firstLine="420"/>
      </w:pPr>
      <w:r>
        <w:rPr>
          <w:sz w:val="22"/>
        </w:rPr>
        <w:t>中国学者（2025）在研究生成式AI在档案文化遗产保护中的应用时，探讨了生成式AI赋能档案文化遗产保护的技术路径、应用场景以及面临的挑战与对策[11]。生成式AI的核心能力——内容生成——在文化遗产领域有广泛应用前景：虚拟修复残损文物、生成历史场景再现、自动撰写解说文本等。</w:t>
      </w:r>
    </w:p>
    <w:p>
      <w:pPr>
        <w:spacing w:before="160" w:after="80"/>
      </w:pPr>
      <w:r>
        <w:rPr>
          <w:b/>
          <w:color w:val="2A9D8F"/>
          <w:sz w:val="26"/>
        </w:rPr>
        <w:t>7.4.2 AI辅助虚拟复原与重建</w:t>
      </w:r>
    </w:p>
    <w:p>
      <w:pPr>
        <w:spacing w:after="80" w:line="360" w:lineRule="auto"/>
        <w:ind w:firstLine="420"/>
      </w:pPr>
      <w:r>
        <w:rPr>
          <w:sz w:val="22"/>
        </w:rPr>
        <w:t>AI辅助虚拟复原是当前最具前景也最具争议的应用。GAN（生成对抗网络）和扩散模型（Diffusion Model）可以根据残存信息"补全"缺失部分，为修复师提供参考。但其挑战在于：AI生成的内容是基于统计学习的"推测"，而非确定性的"复原"——它可能生成在历史上从未存在过的形态。</w:t>
      </w:r>
    </w:p>
    <w:p>
      <w:pPr>
        <w:spacing w:after="80" w:line="360" w:lineRule="auto"/>
        <w:ind w:firstLine="420"/>
      </w:pPr>
      <w:r>
        <w:rPr>
          <w:sz w:val="22"/>
        </w:rPr>
        <w:t>Colavizza等人（2021）在综述档案与AI的当前争论和未来展望时，指出AI在档案领域的应用需要在"效率提升"和"权威性保障"之间取得平衡[12]。这一平衡在文化遗产领域同样关键——AI虚拟复原必须明确标注为"推测性复原"，与确定性复原区分。</w:t>
      </w:r>
    </w:p>
    <w:p>
      <w:pPr>
        <w:spacing w:before="160" w:after="80"/>
      </w:pPr>
      <w:r>
        <w:rPr>
          <w:b/>
          <w:color w:val="2A9D8F"/>
          <w:sz w:val="26"/>
        </w:rPr>
        <w:t>7.4.3 生成式AI的伦理风险与应对</w:t>
      </w:r>
    </w:p>
    <w:p>
      <w:pPr>
        <w:spacing w:after="80" w:line="360" w:lineRule="auto"/>
        <w:ind w:firstLine="420"/>
      </w:pPr>
      <w:r>
        <w:rPr>
          <w:sz w:val="22"/>
        </w:rPr>
        <w:t>生成式AI在文化遗产应用中的伦理风险包括：</w:t>
      </w:r>
    </w:p>
    <w:p>
      <w:pPr>
        <w:pStyle w:val="ListBullet"/>
      </w:pPr>
      <w:r>
        <w:rPr>
          <w:b/>
          <w:sz w:val="22"/>
        </w:rPr>
        <w:t>虚构风险</w:t>
      </w:r>
      <w:r>
        <w:rPr>
          <w:sz w:val="22"/>
        </w:rPr>
        <w:t>：AI可能生成历史上不存在的"虚假遗产"</w:t>
      </w:r>
    </w:p>
    <w:p>
      <w:pPr>
        <w:pStyle w:val="ListBullet"/>
      </w:pPr>
      <w:r>
        <w:rPr>
          <w:b/>
          <w:sz w:val="22"/>
        </w:rPr>
        <w:t>偏见风险</w:t>
      </w:r>
      <w:r>
        <w:rPr>
          <w:sz w:val="22"/>
        </w:rPr>
        <w:t>：训练数据的偏差可能导致AI对某些文化传统的误读</w:t>
      </w:r>
    </w:p>
    <w:p>
      <w:pPr>
        <w:pStyle w:val="ListBullet"/>
      </w:pPr>
      <w:r>
        <w:rPr>
          <w:b/>
          <w:sz w:val="22"/>
        </w:rPr>
        <w:t>版权风险</w:t>
      </w:r>
      <w:r>
        <w:rPr>
          <w:sz w:val="22"/>
        </w:rPr>
        <w:t>：AI生成内容的版权归属不明确</w:t>
      </w:r>
    </w:p>
    <w:p>
      <w:pPr>
        <w:pStyle w:val="ListBullet"/>
      </w:pPr>
      <w:r>
        <w:rPr>
          <w:b/>
          <w:sz w:val="22"/>
        </w:rPr>
        <w:t>权威性风险</w:t>
      </w:r>
      <w:r>
        <w:rPr>
          <w:sz w:val="22"/>
        </w:rPr>
        <w:t>：公众可能将AI生成内容误认为历史事实</w:t>
      </w:r>
    </w:p>
    <w:p>
      <w:pPr>
        <w:spacing w:after="80" w:line="360" w:lineRule="auto"/>
        <w:ind w:firstLine="420"/>
      </w:pPr>
      <w:r>
        <w:rPr>
          <w:sz w:val="22"/>
        </w:rPr>
        <w:t>Neudecker（2022）提出，将文化和人文领域的批判性视角纳入AI开发和使用的全过程，对于AI在文化遗产领域的长期健康发展至关重要[5]。</w:t>
      </w:r>
    </w:p>
    <w:p>
      <w:pPr>
        <w:spacing w:before="200" w:after="120"/>
      </w:pPr>
      <w:r>
        <w:rPr>
          <w:b/>
          <w:color w:val="457B9D"/>
          <w:sz w:val="30"/>
        </w:rPr>
        <w:t>7.5 AI赋能文化遗产档案活化利用</w:t>
      </w:r>
    </w:p>
    <w:p>
      <w:pPr>
        <w:spacing w:before="160" w:after="80"/>
      </w:pPr>
      <w:r>
        <w:rPr>
          <w:b/>
          <w:color w:val="2A9D8F"/>
          <w:sz w:val="26"/>
        </w:rPr>
        <w:t>7.5.1 档案智能检索与知识发现</w:t>
      </w:r>
    </w:p>
    <w:p>
      <w:pPr>
        <w:spacing w:after="80" w:line="360" w:lineRule="auto"/>
        <w:ind w:firstLine="420"/>
      </w:pPr>
      <w:r>
        <w:rPr>
          <w:sz w:val="22"/>
        </w:rPr>
        <w:t>中国学者（2025）在研究人工智能赋能文化遗产档案活化利用时，基于六个典型案例分析了AI技术在档案活化中的具体应用[13]。AI赋能档案活化的核心场景包括：智能检索（自然语言查询、语义搜索）、知识发现（自动提取实体关系、构建知识图谱）、内容增强（自动标注、翻译、摘要）。</w:t>
      </w:r>
    </w:p>
    <w:p>
      <w:pPr>
        <w:spacing w:after="80" w:line="360" w:lineRule="auto"/>
        <w:ind w:firstLine="420"/>
      </w:pPr>
      <w:r>
        <w:rPr>
          <w:sz w:val="22"/>
        </w:rPr>
        <w:t>Lemieux等人（2025）在研究Clio-X——一种Web3隐私保护AI访问数字档案的方案时，提出了在保护隐私前提下利用AI分析敏感档案数据的技术路径[14]。</w:t>
      </w:r>
    </w:p>
    <w:p>
      <w:pPr>
        <w:spacing w:before="160" w:after="80"/>
      </w:pPr>
      <w:r>
        <w:rPr>
          <w:b/>
          <w:color w:val="2A9D8F"/>
          <w:sz w:val="26"/>
        </w:rPr>
        <w:t>7.5.2 档案活化利用的典型案例</w:t>
      </w:r>
    </w:p>
    <w:p>
      <w:pPr>
        <w:spacing w:after="80" w:line="360" w:lineRule="auto"/>
        <w:ind w:firstLine="420"/>
      </w:pPr>
      <w:r>
        <w:rPr>
          <w:sz w:val="22"/>
        </w:rPr>
        <w:t>六个典型案例涵盖不同类型的档案活化实践：（1）历史照片AI修复与增强；（2）古籍文献自动识别与全文检索；（3）口述历史音频自动转录与语义标注；（4）考古档案知识图谱构建；（5）文物档案智能问答系统；（6）文化遗产数字孪生与虚拟展示。这些案例展示了AI从数据层面赋能档案活化的多样路径。</w:t>
      </w:r>
    </w:p>
    <w:p>
      <w:pPr>
        <w:spacing w:before="160" w:after="80"/>
      </w:pPr>
      <w:r>
        <w:rPr>
          <w:b/>
          <w:color w:val="2A9D8F"/>
          <w:sz w:val="26"/>
        </w:rPr>
        <w:t>7.5.3 从数字化到数智化的演进路径</w:t>
      </w:r>
    </w:p>
    <w:p>
      <w:pPr>
        <w:spacing w:after="80" w:line="360" w:lineRule="auto"/>
        <w:ind w:firstLine="420"/>
      </w:pPr>
      <w:r>
        <w:rPr>
          <w:sz w:val="22"/>
        </w:rPr>
        <w:t>从数字化到数智化的演进路径可概括为三个阶段：</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D9E2EC"/>
          </w:tcPr>
          <w:p>
            <w:pPr>
              <w:spacing w:before="40" w:after="40"/>
            </w:pPr>
            <w:r>
              <w:rPr>
                <w:b/>
                <w:sz w:val="20"/>
              </w:rPr>
            </w:r>
            <w:r>
              <w:rPr>
                <w:b/>
                <w:sz w:val="20"/>
              </w:rPr>
              <w:t>阶段</w:t>
            </w:r>
          </w:p>
        </w:tc>
        <w:tc>
          <w:tcPr>
            <w:tcW w:type="dxa" w:w="2126"/>
            <w:shd w:val="clear" w:color="auto" w:fill="D9E2EC"/>
          </w:tcPr>
          <w:p>
            <w:pPr>
              <w:spacing w:before="40" w:after="40"/>
            </w:pPr>
            <w:r>
              <w:rPr>
                <w:b/>
                <w:sz w:val="20"/>
              </w:rPr>
            </w:r>
            <w:r>
              <w:rPr>
                <w:b/>
                <w:sz w:val="20"/>
              </w:rPr>
              <w:t>数据状态</w:t>
            </w:r>
          </w:p>
        </w:tc>
        <w:tc>
          <w:tcPr>
            <w:tcW w:type="dxa" w:w="2126"/>
            <w:shd w:val="clear" w:color="auto" w:fill="D9E2EC"/>
          </w:tcPr>
          <w:p>
            <w:pPr>
              <w:spacing w:before="40" w:after="40"/>
            </w:pPr>
            <w:r>
              <w:rPr>
                <w:b/>
                <w:sz w:val="20"/>
              </w:rPr>
            </w:r>
            <w:r>
              <w:rPr>
                <w:b/>
                <w:sz w:val="20"/>
              </w:rPr>
              <w:t>技术能力</w:t>
            </w:r>
          </w:p>
        </w:tc>
        <w:tc>
          <w:tcPr>
            <w:tcW w:type="dxa" w:w="2126"/>
            <w:shd w:val="clear" w:color="auto" w:fill="D9E2EC"/>
          </w:tcPr>
          <w:p>
            <w:pPr>
              <w:spacing w:before="40" w:after="40"/>
            </w:pPr>
            <w:r>
              <w:rPr>
                <w:b/>
                <w:sz w:val="20"/>
              </w:rPr>
            </w:r>
            <w:r>
              <w:rPr>
                <w:b/>
                <w:sz w:val="20"/>
              </w:rPr>
              <w:t>活化水平</w:t>
            </w:r>
          </w:p>
        </w:tc>
      </w:tr>
      <w:tr>
        <w:tc>
          <w:tcPr>
            <w:tcW w:type="dxa" w:w="2126"/>
          </w:tcPr>
          <w:p>
            <w:pPr>
              <w:spacing w:before="40" w:after="40"/>
            </w:pPr>
            <w:r>
              <w:rPr>
                <w:sz w:val="20"/>
              </w:rPr>
            </w:r>
            <w:r>
              <w:rPr>
                <w:sz w:val="20"/>
              </w:rPr>
              <w:t>数字化</w:t>
            </w:r>
          </w:p>
        </w:tc>
        <w:tc>
          <w:tcPr>
            <w:tcW w:type="dxa" w:w="2126"/>
          </w:tcPr>
          <w:p>
            <w:pPr>
              <w:spacing w:before="40" w:after="40"/>
            </w:pPr>
            <w:r>
              <w:rPr>
                <w:sz w:val="20"/>
              </w:rPr>
            </w:r>
            <w:r>
              <w:rPr>
                <w:sz w:val="20"/>
              </w:rPr>
              <w:t>非结构化数字文件</w:t>
            </w:r>
          </w:p>
        </w:tc>
        <w:tc>
          <w:tcPr>
            <w:tcW w:type="dxa" w:w="2126"/>
          </w:tcPr>
          <w:p>
            <w:pPr>
              <w:spacing w:before="40" w:after="40"/>
            </w:pPr>
            <w:r>
              <w:rPr>
                <w:sz w:val="20"/>
              </w:rPr>
            </w:r>
            <w:r>
              <w:rPr>
                <w:sz w:val="20"/>
              </w:rPr>
              <w:t>存储、检索</w:t>
            </w:r>
          </w:p>
        </w:tc>
        <w:tc>
          <w:tcPr>
            <w:tcW w:type="dxa" w:w="2126"/>
          </w:tcPr>
          <w:p>
            <w:pPr>
              <w:spacing w:before="40" w:after="40"/>
            </w:pPr>
            <w:r>
              <w:rPr>
                <w:sz w:val="20"/>
              </w:rPr>
            </w:r>
            <w:r>
              <w:rPr>
                <w:sz w:val="20"/>
              </w:rPr>
              <w:t>被动查阅</w:t>
            </w:r>
          </w:p>
        </w:tc>
      </w:tr>
      <w:tr>
        <w:tc>
          <w:tcPr>
            <w:tcW w:type="dxa" w:w="2126"/>
            <w:shd w:val="clear" w:color="auto" w:fill="F5F5F5"/>
          </w:tcPr>
          <w:p>
            <w:pPr>
              <w:spacing w:before="40" w:after="40"/>
            </w:pPr>
            <w:r>
              <w:rPr>
                <w:sz w:val="20"/>
              </w:rPr>
            </w:r>
            <w:r>
              <w:rPr>
                <w:sz w:val="20"/>
              </w:rPr>
              <w:t>数据化</w:t>
            </w:r>
          </w:p>
        </w:tc>
        <w:tc>
          <w:tcPr>
            <w:tcW w:type="dxa" w:w="2126"/>
            <w:shd w:val="clear" w:color="auto" w:fill="F5F5F5"/>
          </w:tcPr>
          <w:p>
            <w:pPr>
              <w:spacing w:before="40" w:after="40"/>
            </w:pPr>
            <w:r>
              <w:rPr>
                <w:sz w:val="20"/>
              </w:rPr>
            </w:r>
            <w:r>
              <w:rPr>
                <w:sz w:val="20"/>
              </w:rPr>
              <w:t>结构化元数据+语义标注</w:t>
            </w:r>
          </w:p>
        </w:tc>
        <w:tc>
          <w:tcPr>
            <w:tcW w:type="dxa" w:w="2126"/>
            <w:shd w:val="clear" w:color="auto" w:fill="F5F5F5"/>
          </w:tcPr>
          <w:p>
            <w:pPr>
              <w:spacing w:before="40" w:after="40"/>
            </w:pPr>
            <w:r>
              <w:rPr>
                <w:sz w:val="20"/>
              </w:rPr>
            </w:r>
            <w:r>
              <w:rPr>
                <w:sz w:val="20"/>
              </w:rPr>
              <w:t>关联查询、可视化</w:t>
            </w:r>
          </w:p>
        </w:tc>
        <w:tc>
          <w:tcPr>
            <w:tcW w:type="dxa" w:w="2126"/>
            <w:shd w:val="clear" w:color="auto" w:fill="F5F5F5"/>
          </w:tcPr>
          <w:p>
            <w:pPr>
              <w:spacing w:before="40" w:after="40"/>
            </w:pPr>
            <w:r>
              <w:rPr>
                <w:sz w:val="20"/>
              </w:rPr>
            </w:r>
            <w:r>
              <w:rPr>
                <w:sz w:val="20"/>
              </w:rPr>
              <w:t>主动发现</w:t>
            </w:r>
          </w:p>
        </w:tc>
      </w:tr>
      <w:tr>
        <w:tc>
          <w:tcPr>
            <w:tcW w:type="dxa" w:w="2126"/>
          </w:tcPr>
          <w:p>
            <w:pPr>
              <w:spacing w:before="40" w:after="40"/>
            </w:pPr>
            <w:r>
              <w:rPr>
                <w:sz w:val="20"/>
              </w:rPr>
            </w:r>
            <w:r>
              <w:rPr>
                <w:sz w:val="20"/>
              </w:rPr>
              <w:t>数智化</w:t>
            </w:r>
          </w:p>
        </w:tc>
        <w:tc>
          <w:tcPr>
            <w:tcW w:type="dxa" w:w="2126"/>
          </w:tcPr>
          <w:p>
            <w:pPr>
              <w:spacing w:before="40" w:after="40"/>
            </w:pPr>
            <w:r>
              <w:rPr>
                <w:sz w:val="20"/>
              </w:rPr>
            </w:r>
            <w:r>
              <w:rPr>
                <w:sz w:val="20"/>
              </w:rPr>
              <w:t>知识图谱+AI模型</w:t>
            </w:r>
          </w:p>
        </w:tc>
        <w:tc>
          <w:tcPr>
            <w:tcW w:type="dxa" w:w="2126"/>
          </w:tcPr>
          <w:p>
            <w:pPr>
              <w:spacing w:before="40" w:after="40"/>
            </w:pPr>
            <w:r>
              <w:rPr>
                <w:sz w:val="20"/>
              </w:rPr>
            </w:r>
            <w:r>
              <w:rPr>
                <w:sz w:val="20"/>
              </w:rPr>
              <w:t>智能推理、自动生成</w:t>
            </w:r>
          </w:p>
        </w:tc>
        <w:tc>
          <w:tcPr>
            <w:tcW w:type="dxa" w:w="2126"/>
          </w:tcPr>
          <w:p>
            <w:pPr>
              <w:spacing w:before="40" w:after="40"/>
            </w:pPr>
            <w:r>
              <w:rPr>
                <w:sz w:val="20"/>
              </w:rPr>
            </w:r>
            <w:r>
              <w:rPr>
                <w:sz w:val="20"/>
              </w:rPr>
              <w:t>创新创造</w:t>
            </w:r>
          </w:p>
        </w:tc>
      </w:tr>
    </w:tbl>
    <w:p>
      <w:pPr>
        <w:spacing w:after="80" w:line="360" w:lineRule="auto"/>
        <w:ind w:firstLine="420"/>
      </w:pPr>
      <w:r>
        <w:rPr>
          <w:sz w:val="22"/>
        </w:rPr>
        <w:t>中国学者（2026）以Europeana实践为基础，从8个维度对比分析了三个阶段的特征，指出数智化阶段的标志是AI驱动的知识发现和内容生成能力[15]。</w:t>
      </w:r>
    </w:p>
    <w:p>
      <w:pPr>
        <w:spacing w:before="200" w:after="120"/>
      </w:pPr>
      <w:r>
        <w:rPr>
          <w:b/>
          <w:color w:val="457B9D"/>
          <w:sz w:val="30"/>
        </w:rPr>
        <w:t>本章小结</w:t>
      </w:r>
    </w:p>
    <w:p>
      <w:pPr>
        <w:spacing w:after="80" w:line="360" w:lineRule="auto"/>
        <w:ind w:firstLine="420"/>
      </w:pPr>
      <w:r>
        <w:rPr>
          <w:sz w:val="22"/>
        </w:rPr>
        <w:t>本章深入D.I.G.I.T.框架的I（智能分析）维度，系统介绍了AI与大数据在文化遗产中的应用。AI赋能文化遗产的四大场景为识别分析、虚拟修复、智能管理和传播增强，技术成熟度从视觉识别到生成式修复逐级递进。敦煌AI保护项目是AI赋能文化遗产的标杆实践，展示了从病害识别到虚拟修复的完整技术链路。文化遗产大数据分析涵盖聚类、关联、时空和预测四类方法，支持遗产分布格局和演化脉络的发现。生成式AI在虚拟复原和档案活化中展现出巨大潜力，但也面临虚构、偏见、版权和权威性等伦理风险。从数字化到数据化再到数智化的演进路径，标志着文化遗产保护正从"数据存储"走向"知识创造"。</w:t>
      </w:r>
    </w:p>
    <w:p>
      <w:pPr>
        <w:spacing w:before="200" w:after="120"/>
      </w:pPr>
      <w:r>
        <w:rPr>
          <w:b/>
          <w:color w:val="457B9D"/>
          <w:sz w:val="30"/>
        </w:rPr>
        <w:t>思考题</w:t>
      </w:r>
    </w:p>
    <w:p>
      <w:pPr>
        <w:pStyle w:val="ListNumber"/>
      </w:pPr>
      <w:r>
        <w:rPr>
          <w:b/>
          <w:sz w:val="22"/>
        </w:rPr>
        <w:t>（识记）</w:t>
      </w:r>
      <w:r>
        <w:rPr>
          <w:sz w:val="22"/>
        </w:rPr>
        <w:t xml:space="preserve"> AI在文化遗产中的四大应用场景是什么？请各举一例。</w:t>
      </w:r>
    </w:p>
    <w:p>
      <w:pPr>
        <w:pStyle w:val="ListNumber"/>
      </w:pPr>
      <w:r>
        <w:rPr>
          <w:b/>
          <w:sz w:val="22"/>
        </w:rPr>
        <w:t>（理解）</w:t>
      </w:r>
      <w:r>
        <w:rPr>
          <w:sz w:val="22"/>
        </w:rPr>
        <w:t xml:space="preserve"> 解释从"数字化"到"数据化"再到"数智化"三阶段演进的技术标志和活化水平差异。</w:t>
      </w:r>
    </w:p>
    <w:p>
      <w:pPr>
        <w:pStyle w:val="ListNumber"/>
      </w:pPr>
      <w:r>
        <w:rPr>
          <w:b/>
          <w:sz w:val="22"/>
        </w:rPr>
        <w:t>（应用）</w:t>
      </w:r>
      <w:r>
        <w:rPr>
          <w:sz w:val="22"/>
        </w:rPr>
        <w:t xml:space="preserve"> 请设计一个基于AI的博物馆馆藏文物智能管理系统方案，包含至少三个AI功能模块。</w:t>
      </w:r>
    </w:p>
    <w:p>
      <w:pPr>
        <w:pStyle w:val="ListNumber"/>
      </w:pPr>
      <w:r>
        <w:rPr>
          <w:b/>
          <w:sz w:val="22"/>
        </w:rPr>
        <w:t>（分析）</w:t>
      </w:r>
      <w:r>
        <w:rPr>
          <w:sz w:val="22"/>
        </w:rPr>
        <w:t xml:space="preserve"> 分析生成式AI在文物虚拟修复中的"推测性"特征带来的伦理风险，提出风险管控策略。</w:t>
      </w:r>
    </w:p>
    <w:p>
      <w:pPr>
        <w:pStyle w:val="ListNumber"/>
      </w:pPr>
      <w:r>
        <w:rPr>
          <w:b/>
          <w:sz w:val="22"/>
        </w:rPr>
        <w:t>（评价）</w:t>
      </w:r>
      <w:r>
        <w:rPr>
          <w:sz w:val="22"/>
        </w:rPr>
        <w:t xml:space="preserve"> 评估敦煌AI保护项目的技术路径，分析其可推广性和局限性。</w:t>
      </w:r>
    </w:p>
    <w:p>
      <w:pPr>
        <w:pStyle w:val="ListNumber"/>
      </w:pPr>
      <w:r>
        <w:rPr>
          <w:b/>
          <w:sz w:val="22"/>
        </w:rPr>
        <w:t>（创造）</w:t>
      </w:r>
      <w:r>
        <w:rPr>
          <w:sz w:val="22"/>
        </w:rPr>
        <w:t xml:space="preserve"> 请构思一个"文化遗产AI助手"的概念设计，说明它如何利用AI技术为不同用户群体（研究者、学生、普通公众）提供差异化服务。</w:t>
      </w:r>
    </w:p>
    <w:p>
      <w:pPr>
        <w:spacing w:before="160" w:after="80"/>
      </w:pPr>
      <w:r>
        <w:rPr>
          <w:b/>
          <w:color w:val="2A9D8F"/>
          <w:sz w:val="26"/>
        </w:rPr>
        <w:t>7.6 AI赋能文化遗产的案例深度分析</w:t>
      </w:r>
    </w:p>
    <w:p>
      <w:pPr>
        <w:spacing w:before="120"/>
      </w:pPr>
      <w:r>
        <w:rPr>
          <w:b/>
          <w:sz w:val="22"/>
        </w:rPr>
        <w:t>7.6.1 敦煌AI项目的启示</w:t>
      </w:r>
    </w:p>
    <w:p>
      <w:pPr>
        <w:spacing w:after="80" w:line="360" w:lineRule="auto"/>
        <w:ind w:firstLine="420"/>
      </w:pPr>
      <w:r>
        <w:rPr>
          <w:sz w:val="22"/>
        </w:rPr>
        <w:t>Yu等人（2022）的敦煌AI保护项目提供了AI赋能文化遗产的系统性实践范例[16]。该项目的核心启示包括：第一，AI应用需要高质量的标注数据——项目投入大量人力进行壁画病害的专家标注，这是AI模型训练的基础；第二，AI与专家应形成"协作"而非"替代"关系——AI负责大规模初筛，专家负责复杂判断和最终决策；第三，AI的输出需要可解释——修复师需要理解AI为什么建议某种修复方案，而非盲目接受。</w:t>
      </w:r>
    </w:p>
    <w:p>
      <w:pPr>
        <w:spacing w:before="120"/>
      </w:pPr>
      <w:r>
        <w:rPr>
          <w:b/>
          <w:sz w:val="22"/>
        </w:rPr>
        <w:t>7.6.2 大数据在遗产管理中的应用场景</w:t>
      </w:r>
    </w:p>
    <w:p>
      <w:pPr>
        <w:spacing w:after="80" w:line="360" w:lineRule="auto"/>
        <w:ind w:firstLine="420"/>
      </w:pPr>
      <w:r>
        <w:rPr>
          <w:sz w:val="22"/>
        </w:rPr>
        <w:t>Wallace等人（2023）在《Big Data Analytics for Cultural Heritage》中系统阐述了大数据在文化遗产中的应用场景[17]。具体包括：</w:t>
      </w:r>
    </w:p>
    <w:p>
      <w:pPr>
        <w:spacing w:after="80" w:line="360" w:lineRule="auto"/>
        <w:ind w:firstLine="420"/>
      </w:pPr>
      <w:r>
        <w:rPr>
          <w:b/>
          <w:sz w:val="22"/>
        </w:rPr>
        <w:t>参观者行为分析</w:t>
      </w:r>
      <w:r>
        <w:rPr>
          <w:sz w:val="22"/>
        </w:rPr>
        <w:t>：通过Wi-Fi定位、摄像头分析和票务数据，博物馆可以了解参观者的移动轨迹、停留时间和关注热点，优化展厅布局和展品安排。</w:t>
      </w:r>
    </w:p>
    <w:p>
      <w:pPr>
        <w:spacing w:after="80" w:line="360" w:lineRule="auto"/>
        <w:ind w:firstLine="420"/>
      </w:pPr>
      <w:r>
        <w:rPr>
          <w:b/>
          <w:sz w:val="22"/>
        </w:rPr>
        <w:t>遗产劣化预测</w:t>
      </w:r>
      <w:r>
        <w:rPr>
          <w:sz w:val="22"/>
        </w:rPr>
        <w:t>：将环境监测数据与文物材质信息结合，利用机器学习模型预测文物在不同环境条件下的劣化速率，支持预防性保护决策。</w:t>
      </w:r>
    </w:p>
    <w:p>
      <w:pPr>
        <w:spacing w:after="80" w:line="360" w:lineRule="auto"/>
        <w:ind w:firstLine="420"/>
      </w:pPr>
      <w:r>
        <w:rPr>
          <w:b/>
          <w:sz w:val="22"/>
        </w:rPr>
        <w:t>文化遗产时空分析</w:t>
      </w:r>
      <w:r>
        <w:rPr>
          <w:sz w:val="22"/>
        </w:rPr>
        <w:t>：将全国文物保护单位和非遗项目数据在GIS平台上可视化，分析遗产的空间分布格局与地理环境、历史交通线路等因素的关联。</w:t>
      </w:r>
    </w:p>
    <w:p>
      <w:pPr>
        <w:spacing w:before="120"/>
      </w:pPr>
      <w:r>
        <w:rPr>
          <w:b/>
          <w:sz w:val="22"/>
        </w:rPr>
        <w:t>7.6.3 生成式AI的前沿实验</w:t>
      </w:r>
    </w:p>
    <w:p>
      <w:pPr>
        <w:spacing w:after="80" w:line="360" w:lineRule="auto"/>
        <w:ind w:firstLine="420"/>
      </w:pPr>
      <w:r>
        <w:rPr>
          <w:sz w:val="22"/>
        </w:rPr>
        <w:t>生成式AI在文化遗产领域的应用处于快速实验阶段。扩散模型（Diffusion Model）可以基于残存信息"补全"缺失的壁画部分；大语言模型（LLM）可以自动生成文物解说文本和多语言翻译；多模态模型可以同时处理图像、文本和音频数据，为遗产研究提供跨模态分析能力。</w:t>
      </w:r>
    </w:p>
    <w:p>
      <w:pPr>
        <w:spacing w:after="80" w:line="360" w:lineRule="auto"/>
        <w:ind w:firstLine="420"/>
      </w:pPr>
      <w:r>
        <w:rPr>
          <w:sz w:val="22"/>
        </w:rPr>
        <w:t>然而，Ranaldi和Zanzotto（2021）在研究AI知识发现以保护文化遗产时指出，AI在文化遗产中的应用必须警惕"幻觉"（hallucination）问题——生成式模型可能产生看似合理但实际不存在的内容[18]。这对于文化遗产保护是致命风险——一个"幻觉"出的历史信息可能误导学术研究和公众认知。</w:t>
      </w:r>
    </w:p>
    <w:p>
      <w:pPr>
        <w:spacing w:before="160" w:after="80"/>
      </w:pPr>
      <w:r>
        <w:rPr>
          <w:b/>
          <w:color w:val="2A9D8F"/>
          <w:sz w:val="26"/>
        </w:rPr>
        <w:t>7.7 AI应用的伦理风险与治理框架</w:t>
      </w:r>
    </w:p>
    <w:p>
      <w:pPr>
        <w:spacing w:before="120"/>
      </w:pPr>
      <w:r>
        <w:rPr>
          <w:b/>
          <w:sz w:val="22"/>
        </w:rPr>
        <w:t>7.7.1 数据偏见与文化代表性</w:t>
      </w:r>
    </w:p>
    <w:p>
      <w:pPr>
        <w:spacing w:after="80" w:line="360" w:lineRule="auto"/>
        <w:ind w:firstLine="420"/>
      </w:pPr>
      <w:r>
        <w:rPr>
          <w:sz w:val="22"/>
        </w:rPr>
        <w:t>AI模型的训练数据决定了其输出质量。如果训练数据主要来自某一文化传统（如西方艺术），模型对其他文化传统（如东方艺术、原住民艺术）的识别和分析能力可能不足。Caramiaux（2022）提出，文化遗产机构应在AI训练数据构建中发挥主导作用，确保数据的文化多样性和代表性[19]。</w:t>
      </w:r>
    </w:p>
    <w:p>
      <w:pPr>
        <w:spacing w:before="120"/>
      </w:pPr>
      <w:r>
        <w:rPr>
          <w:b/>
          <w:sz w:val="22"/>
        </w:rPr>
        <w:t>7.7.2 AI决策的可解释性</w:t>
      </w:r>
    </w:p>
    <w:p>
      <w:pPr>
        <w:spacing w:after="80" w:line="360" w:lineRule="auto"/>
        <w:ind w:firstLine="420"/>
      </w:pPr>
      <w:r>
        <w:rPr>
          <w:sz w:val="22"/>
        </w:rPr>
        <w:t>文化遗产保护涉及不可逆的决策——一旦根据AI建议进行实体修复，错误将难以挽回。因此，AI在遗产保护中的应用必须满足"可解释性"要求——AI的每一项建议都应提供推理依据和置信度评估，使专家能够判断建议的可靠性。Gupta和Kapoor（2020）在研究AI驱动的共享文化遗产档案时，强调AI系统的透明度和可审计性是建立信任的基础[20]。</w:t>
      </w:r>
    </w:p>
    <w:p>
      <w:pPr>
        <w:spacing w:before="120"/>
      </w:pPr>
      <w:r>
        <w:rPr>
          <w:b/>
          <w:sz w:val="22"/>
        </w:rPr>
        <w:t>7.7.3 知识产权与归属问题</w:t>
      </w:r>
    </w:p>
    <w:p>
      <w:pPr>
        <w:spacing w:after="80" w:line="360" w:lineRule="auto"/>
        <w:ind w:firstLine="420"/>
      </w:pPr>
      <w:r>
        <w:rPr>
          <w:sz w:val="22"/>
        </w:rPr>
        <w:t>AI生成内容的知识产权归属是文化遗产领域的新问题。AI虚拟修复的壁画图像——版权归原始壁画的创作者（通常已进入公共领域）、数字化机构还是AI开发者？这一问题目前缺乏明确的法律框架，需要在实践中逐步形成共识。</w:t>
      </w:r>
    </w:p>
    <w:p>
      <w:pPr>
        <w:spacing w:before="160" w:after="80"/>
      </w:pPr>
      <w:r>
        <w:rPr>
          <w:b/>
          <w:color w:val="2A9D8F"/>
          <w:sz w:val="26"/>
        </w:rPr>
        <w:t>7.8 从数智化到智慧遗产：未来展望</w:t>
      </w:r>
    </w:p>
    <w:p>
      <w:pPr>
        <w:spacing w:before="120"/>
      </w:pPr>
      <w:r>
        <w:rPr>
          <w:b/>
          <w:sz w:val="22"/>
        </w:rPr>
        <w:t>7.8.1 智慧遗产的概念</w:t>
      </w:r>
    </w:p>
    <w:p>
      <w:pPr>
        <w:spacing w:after="80" w:line="360" w:lineRule="auto"/>
        <w:ind w:firstLine="420"/>
      </w:pPr>
      <w:r>
        <w:rPr>
          <w:sz w:val="22"/>
        </w:rPr>
        <w:t>"智慧遗产"（Smart Heritage）是文化遗产数智化的高级形态——不仅利用AI进行单点应用，更构建集感知、分析、决策和执行于一体的智能系统。Plaza-Hernández和Rodríguez（2021）在研究智慧城市中的文化遗产监测智能平台时，提出智慧遗产平台应具备多源数据融合、实时分析和智能决策三大核心能力[21]。</w:t>
      </w:r>
    </w:p>
    <w:p>
      <w:pPr>
        <w:spacing w:before="120"/>
      </w:pPr>
      <w:r>
        <w:rPr>
          <w:b/>
          <w:sz w:val="22"/>
        </w:rPr>
        <w:t>7.8.2 数智化遗产生态</w:t>
      </w:r>
    </w:p>
    <w:p>
      <w:pPr>
        <w:spacing w:after="80" w:line="360" w:lineRule="auto"/>
        <w:ind w:firstLine="420"/>
      </w:pPr>
      <w:r>
        <w:rPr>
          <w:sz w:val="22"/>
        </w:rPr>
        <w:t>数智化遗产生态的终极目标是构建一个"自进化"的遗产保护系统——AI模型从每次监测、修复和传播中持续学习，不断提升保护决策的精准度。Colavizza等人（2021）在综述档案与AI的未来展望时，描绘了AI驱动的"自组织档案"愿景——档案能够自动分类、标注和关联，无需人工干预[22]。</w:t>
      </w:r>
    </w:p>
    <w:p>
      <w:pPr>
        <w:spacing w:before="160" w:after="80"/>
      </w:pPr>
      <w:r>
        <w:rPr>
          <w:b/>
          <w:color w:val="2A9D8F"/>
          <w:sz w:val="26"/>
        </w:rPr>
        <w:t>7.9 AI在文化遗产中的技术实现深度</w:t>
      </w:r>
    </w:p>
    <w:p>
      <w:pPr>
        <w:spacing w:before="120"/>
      </w:pPr>
      <w:r>
        <w:rPr>
          <w:b/>
          <w:sz w:val="22"/>
        </w:rPr>
        <w:t>7.9.1 计算机视觉在文物识别中的算法选型</w:t>
      </w:r>
    </w:p>
    <w:p>
      <w:pPr>
        <w:spacing w:after="80" w:line="360" w:lineRule="auto"/>
        <w:ind w:firstLine="420"/>
      </w:pPr>
      <w:r>
        <w:rPr>
          <w:sz w:val="22"/>
        </w:rPr>
        <w:t>文物识别的AI算法选型需要考虑文物图像的特殊性：文物背景复杂（展柜、库房环境多变）、同类文物形态差异大（如不同窑口的陶瓷器外观差异显著）、标注数据稀缺（专家标注成本高）。这些特征使通用目标检测模型（如YOLO、Faster R-CNN）在文物识别中的表现可能不如在通用场景中理想。</w:t>
      </w:r>
    </w:p>
    <w:p>
      <w:pPr>
        <w:spacing w:after="80" w:line="360" w:lineRule="auto"/>
        <w:ind w:firstLine="420"/>
      </w:pPr>
      <w:r>
        <w:rPr>
          <w:sz w:val="22"/>
        </w:rPr>
        <w:t>针对标注数据稀缺问题，少样本学习（Few-shot Learning）和迁移学习（Transfer Learning）是两种有效策略。少样本学习通过元学习（Meta-learning）使模型能够从少量样本中学习新类别；迁移学习将在大规模数据集（如ImageNet）上预训练的模型知识迁移到文物识别任务中，显著减少对标注数据的需求。</w:t>
      </w:r>
    </w:p>
    <w:p>
      <w:pPr>
        <w:spacing w:before="120"/>
      </w:pPr>
      <w:r>
        <w:rPr>
          <w:b/>
          <w:sz w:val="22"/>
        </w:rPr>
        <w:t>7.9.2 生成式AI在虚拟修复中的技术路径</w:t>
      </w:r>
    </w:p>
    <w:p>
      <w:pPr>
        <w:spacing w:after="80" w:line="360" w:lineRule="auto"/>
        <w:ind w:firstLine="420"/>
      </w:pPr>
      <w:r>
        <w:rPr>
          <w:sz w:val="22"/>
        </w:rPr>
        <w:t>虚拟修复的生成式AI技术路径经历了从GAN到扩散模型的演进。GAN（生成对抗网络）通过生成器和判别器的对抗训练生成修复内容，但存在训练不稳定和模式崩溃问题。扩散模型（Diffusion Model）通过逐步去噪过程生成图像，生成质量和多样性优于GAN，但计算成本更高。</w:t>
      </w:r>
    </w:p>
    <w:p>
      <w:pPr>
        <w:spacing w:after="80" w:line="360" w:lineRule="auto"/>
        <w:ind w:firstLine="420"/>
      </w:pPr>
      <w:r>
        <w:rPr>
          <w:sz w:val="22"/>
        </w:rPr>
        <w:t>Yu等人（2022）的敦煌项目采用了改进的GAN架构，结合壁画病害类型先验知识约束生成过程，确保修复结果的物理合理性[1]。这一"知识约束的生成"思路——让AI在生成时遵循文物保护的专业规则——是AI虚拟修复走向实用化的关键。</w:t>
      </w:r>
    </w:p>
    <w:p>
      <w:pPr>
        <w:spacing w:before="120"/>
      </w:pPr>
      <w:r>
        <w:rPr>
          <w:b/>
          <w:sz w:val="22"/>
        </w:rPr>
        <w:t>7.9.3 大语言模型在遗产解说中的应用</w:t>
      </w:r>
    </w:p>
    <w:p>
      <w:pPr>
        <w:spacing w:after="80" w:line="360" w:lineRule="auto"/>
        <w:ind w:firstLine="420"/>
      </w:pPr>
      <w:r>
        <w:rPr>
          <w:sz w:val="22"/>
        </w:rPr>
        <w:t>大语言模型（LLM）为文化遗产解说文本的自动生成和多语言翻译提供了新工具。然而，Neudecker（2022）警告，LLM的"幻觉"问题在文化遗产领域尤为危险——模型可能生成看似专业但实际错误的历史信息[5]。安全使用LLM的策略是"检索增强生成"（RAG）——先从权威知识库中检索相关信息，再基于检索结果生成文本，降低幻觉风险。</w:t>
      </w:r>
    </w:p>
    <w:p>
      <w:pPr>
        <w:spacing w:before="160" w:after="80"/>
      </w:pPr>
      <w:r>
        <w:rPr>
          <w:b/>
          <w:color w:val="2A9D8F"/>
          <w:sz w:val="26"/>
        </w:rPr>
        <w:t>7.10 大数据驱动的遗产研究新范式</w:t>
      </w:r>
    </w:p>
    <w:p>
      <w:pPr>
        <w:spacing w:before="120"/>
      </w:pPr>
      <w:r>
        <w:rPr>
          <w:b/>
          <w:sz w:val="22"/>
        </w:rPr>
        <w:t>7.10.1 遗产数据的"第四范式"</w:t>
      </w:r>
    </w:p>
    <w:p>
      <w:pPr>
        <w:spacing w:after="80" w:line="360" w:lineRule="auto"/>
        <w:ind w:firstLine="420"/>
      </w:pPr>
      <w:r>
        <w:rPr>
          <w:sz w:val="22"/>
        </w:rPr>
        <w:t>数据密集型科学发现（"第四范式"）在文化遗产研究中的应用正在改变传统的假说驱动研究模式。Pouloupoulos和Wallace（2022）指出，大数据技术使研究者能够处理和分析跨地域、跨时代的大规模遗产数据，发现传统方法难以发现的模式和规律[9]。</w:t>
      </w:r>
    </w:p>
    <w:p>
      <w:pPr>
        <w:spacing w:after="80" w:line="360" w:lineRule="auto"/>
        <w:ind w:firstLine="420"/>
      </w:pPr>
      <w:r>
        <w:rPr>
          <w:sz w:val="22"/>
        </w:rPr>
        <w:t>具体应用包括：通过聚类分析发现跨地域的文物风格传播路径；通过关联规则挖掘发现文物材质、工艺和年代之间的隐性关联；通过时空分析揭示文化遗产分布与地理环境、历史交通线路的关联。</w:t>
      </w:r>
    </w:p>
    <w:p>
      <w:pPr>
        <w:spacing w:before="120"/>
      </w:pPr>
      <w:r>
        <w:rPr>
          <w:b/>
          <w:sz w:val="22"/>
        </w:rPr>
        <w:t>7.10.2 遗产大数据的可视化</w:t>
      </w:r>
    </w:p>
    <w:p>
      <w:pPr>
        <w:spacing w:after="80" w:line="360" w:lineRule="auto"/>
        <w:ind w:firstLine="420"/>
      </w:pPr>
      <w:r>
        <w:rPr>
          <w:sz w:val="22"/>
        </w:rPr>
        <w:t>大数据可视化是将复杂数据转化为直观认知的关键环节。文化遗产大数据可视化的典型形式包括：时空分布图（GIS平台上展示遗产的时间和空间分布）、网络关系图（展示文物、人物、事件之间的关联网络）、时间演化图（展示特定类型遗产随时间的演变趋势）。</w:t>
      </w:r>
    </w:p>
    <w:p>
      <w:pPr>
        <w:spacing w:after="80" w:line="360" w:lineRule="auto"/>
        <w:ind w:firstLine="420"/>
      </w:pPr>
      <w:r>
        <w:rPr>
          <w:sz w:val="22"/>
        </w:rPr>
        <w:t>Ranjgar等人（2019）在研究文化遗产信息检索的数据建模时，提出了基于本体论的时空数据组织方法，支持多维度的遗产数据可视化[10]。</w:t>
      </w:r>
    </w:p>
    <w:p>
      <w:pPr>
        <w:spacing w:before="120"/>
      </w:pPr>
      <w:r>
        <w:rPr>
          <w:b/>
          <w:sz w:val="22"/>
        </w:rPr>
        <w:t>7.10.3 大数据与公众参与</w:t>
      </w:r>
    </w:p>
    <w:p>
      <w:pPr>
        <w:spacing w:after="80" w:line="360" w:lineRule="auto"/>
        <w:ind w:firstLine="420"/>
      </w:pPr>
      <w:r>
        <w:rPr>
          <w:sz w:val="22"/>
        </w:rPr>
        <w:t>大数据不仅服务于专业研究，也能增强公众参与。游客行为数据可以帮助博物馆优化展览设计；社交媒体数据分析可以评估遗产传播效果；众包标注平台可以让公众参与遗产数据的丰富和校正。Buratti等人（2021）指出，AI和大数据正在推动文化遗产领域从"机构中心"向"数据驱动+公众参与"的新模式转型[3]。</w:t>
      </w:r>
    </w:p>
    <w:p>
      <w:pPr>
        <w:spacing w:before="160" w:after="80"/>
      </w:pPr>
      <w:r>
        <w:rPr>
          <w:b/>
          <w:color w:val="2A9D8F"/>
          <w:sz w:val="26"/>
        </w:rPr>
        <w:t>7.11 AI在文化遗产中的伦理治理</w:t>
      </w:r>
    </w:p>
    <w:p>
      <w:pPr>
        <w:spacing w:before="120"/>
      </w:pPr>
      <w:r>
        <w:rPr>
          <w:b/>
          <w:sz w:val="22"/>
        </w:rPr>
        <w:t>7.11.1 AI治理的国际框架</w:t>
      </w:r>
    </w:p>
    <w:p>
      <w:pPr>
        <w:spacing w:after="80" w:line="360" w:lineRule="auto"/>
        <w:ind w:firstLine="420"/>
      </w:pPr>
      <w:r>
        <w:rPr>
          <w:sz w:val="22"/>
        </w:rPr>
        <w:t>欧盟2024年通过的《人工智能法案》（AI Act）将文化遗产领域的AI应用列为"有限风险"类别，要求透明度义务——使用AI生成的内容必须标注"AI生成"。Caramiaux（2022）提出，文化遗产机构应建立自己的AI伦理准则，而非仅依赖通用框架——文化遗产的特殊性（不可逆性、文化敏感性、公共性）要求比通用场景更严格的伦理标准[19]。</w:t>
      </w:r>
    </w:p>
    <w:p>
      <w:pPr>
        <w:spacing w:before="120"/>
      </w:pPr>
      <w:r>
        <w:rPr>
          <w:b/>
          <w:sz w:val="22"/>
        </w:rPr>
        <w:t>7.11.2 文化遗产AI应用的伦理清单</w:t>
      </w:r>
    </w:p>
    <w:p>
      <w:pPr>
        <w:spacing w:after="80" w:line="360" w:lineRule="auto"/>
        <w:ind w:firstLine="420"/>
      </w:pPr>
      <w:r>
        <w:rPr>
          <w:sz w:val="22"/>
        </w:rPr>
        <w:t>基于现有研究和实践，本书提出文化遗产AI应用的伦理清单：</w:t>
      </w:r>
    </w:p>
    <w:p>
      <w:pPr>
        <w:pStyle w:val="ListBullet"/>
      </w:pPr>
      <w:r>
        <w:rPr>
          <w:b/>
          <w:sz w:val="22"/>
        </w:rPr>
        <w:t>数据伦理</w:t>
      </w:r>
      <w:r>
        <w:rPr>
          <w:sz w:val="22"/>
        </w:rPr>
        <w:t>：训练数据的文化代表性是否充分？是否包含偏见性标注？</w:t>
      </w:r>
    </w:p>
    <w:p>
      <w:pPr>
        <w:pStyle w:val="ListBullet"/>
      </w:pPr>
      <w:r>
        <w:rPr>
          <w:b/>
          <w:sz w:val="22"/>
        </w:rPr>
        <w:t>过程伦理</w:t>
      </w:r>
      <w:r>
        <w:rPr>
          <w:sz w:val="22"/>
        </w:rPr>
        <w:t>：AI决策过程是否可解释？专家是否能理解和审核AI建议？</w:t>
      </w:r>
    </w:p>
    <w:p>
      <w:pPr>
        <w:pStyle w:val="ListBullet"/>
      </w:pPr>
      <w:r>
        <w:rPr>
          <w:b/>
          <w:sz w:val="22"/>
        </w:rPr>
        <w:t>结果伦理</w:t>
      </w:r>
      <w:r>
        <w:rPr>
          <w:sz w:val="22"/>
        </w:rPr>
        <w:t>：AI生成内容是否明确标注？是否可能误导公众？</w:t>
      </w:r>
    </w:p>
    <w:p>
      <w:pPr>
        <w:pStyle w:val="ListBullet"/>
      </w:pPr>
      <w:r>
        <w:rPr>
          <w:b/>
          <w:sz w:val="22"/>
        </w:rPr>
        <w:t>权益伦理</w:t>
      </w:r>
      <w:r>
        <w:rPr>
          <w:sz w:val="22"/>
        </w:rPr>
        <w:t>：AI应用的收益是否公平分配？源社区是否知情同意？</w:t>
      </w:r>
    </w:p>
    <w:p>
      <w:pPr>
        <w:pStyle w:val="ListBullet"/>
      </w:pPr>
      <w:r>
        <w:rPr>
          <w:b/>
          <w:sz w:val="22"/>
        </w:rPr>
        <w:t>安全伦理</w:t>
      </w:r>
      <w:r>
        <w:rPr>
          <w:sz w:val="22"/>
        </w:rPr>
        <w:t>：AI系统是否有防错机制？错误决策是否可追溯和纠正？</w:t>
      </w:r>
    </w:p>
    <w:p>
      <w:pPr>
        <w:spacing w:before="120"/>
      </w:pPr>
      <w:r>
        <w:rPr>
          <w:b/>
          <w:sz w:val="22"/>
        </w:rPr>
        <w:t>7.11.3 "人机协作"模式</w:t>
      </w:r>
    </w:p>
    <w:p>
      <w:pPr>
        <w:spacing w:after="80" w:line="360" w:lineRule="auto"/>
        <w:ind w:firstLine="420"/>
      </w:pPr>
      <w:r>
        <w:rPr>
          <w:sz w:val="22"/>
        </w:rPr>
        <w:t>文化遗产保护中AI应用的最佳模式是"人机协作"（Human-in-the-loop）——AI负责大规模数据分析和初步判断，人类专家负责复杂决策和最终审核。Yu等人（2022）的敦煌AI项目即采用了这一模式——AI进行壁画病害的自动识别和面积统计，修复师进行病害等级评定和修复方案制定[1]。这种模式既发挥了AI的效率优势，又保障了人类专家的决策主导权。</w:t>
      </w:r>
    </w:p>
    <w:p>
      <w:pPr>
        <w:spacing w:before="160" w:after="80"/>
      </w:pPr>
      <w:r>
        <w:rPr>
          <w:b/>
          <w:color w:val="2A9D8F"/>
          <w:sz w:val="26"/>
        </w:rPr>
        <w:t>7.12 从单点应用到平台化AI</w:t>
      </w:r>
    </w:p>
    <w:p>
      <w:pPr>
        <w:spacing w:before="120"/>
      </w:pPr>
      <w:r>
        <w:rPr>
          <w:b/>
          <w:sz w:val="22"/>
        </w:rPr>
        <w:t>7.12.1 AI平台的架构设计</w:t>
      </w:r>
    </w:p>
    <w:p>
      <w:pPr>
        <w:spacing w:after="80" w:line="360" w:lineRule="auto"/>
        <w:ind w:firstLine="420"/>
      </w:pPr>
      <w:r>
        <w:rPr>
          <w:sz w:val="22"/>
        </w:rPr>
        <w:t>文化遗产AI应用正在从"单点工具"向"平台化服务"演进。一个完整的文化遗产AI平台应包含：</w:t>
      </w:r>
    </w:p>
    <w:p>
      <w:pPr>
        <w:spacing w:after="80" w:line="360" w:lineRule="auto"/>
        <w:ind w:firstLine="420"/>
      </w:pPr>
      <w:r>
        <w:rPr>
          <w:b/>
          <w:sz w:val="22"/>
        </w:rPr>
        <w:t>数据管理层</w:t>
      </w:r>
      <w:r>
        <w:rPr>
          <w:sz w:val="22"/>
        </w:rPr>
        <w:t>：管理多模态遗产数据（图像、三维模型、文本、时序数据），支持统一检索和关联。</w:t>
      </w:r>
    </w:p>
    <w:p>
      <w:pPr>
        <w:spacing w:after="80" w:line="360" w:lineRule="auto"/>
        <w:ind w:firstLine="420"/>
      </w:pPr>
      <w:r>
        <w:rPr>
          <w:b/>
          <w:sz w:val="22"/>
        </w:rPr>
        <w:t>模型管理层</w:t>
      </w:r>
      <w:r>
        <w:rPr>
          <w:sz w:val="22"/>
        </w:rPr>
        <w:t>：管理多个AI模型（病害识别、风格分析、虚拟修复、内容推荐），支持模型版本管理和A/B测试。</w:t>
      </w:r>
    </w:p>
    <w:p>
      <w:pPr>
        <w:spacing w:after="80" w:line="360" w:lineRule="auto"/>
        <w:ind w:firstLine="420"/>
      </w:pPr>
      <w:r>
        <w:rPr>
          <w:b/>
          <w:sz w:val="22"/>
        </w:rPr>
        <w:t>服务层</w:t>
      </w:r>
      <w:r>
        <w:rPr>
          <w:sz w:val="22"/>
        </w:rPr>
        <w:t>：提供API接口，使不同机构的应用系统可以调用AI服务。</w:t>
      </w:r>
    </w:p>
    <w:p>
      <w:pPr>
        <w:spacing w:after="80" w:line="360" w:lineRule="auto"/>
        <w:ind w:firstLine="420"/>
      </w:pPr>
      <w:r>
        <w:rPr>
          <w:b/>
          <w:sz w:val="22"/>
        </w:rPr>
        <w:t>治理层</w:t>
      </w:r>
      <w:r>
        <w:rPr>
          <w:sz w:val="22"/>
        </w:rPr>
        <w:t>：记录AI决策日志，支持审计和追溯。</w:t>
      </w:r>
    </w:p>
    <w:p>
      <w:pPr>
        <w:spacing w:after="80" w:line="360" w:lineRule="auto"/>
        <w:ind w:firstLine="420"/>
      </w:pPr>
      <w:r>
        <w:rPr>
          <w:sz w:val="22"/>
        </w:rPr>
        <w:t>Gupta和Kapoor（2020）在研究AI驱动的共享文化遗产档案时，提出"全面"的AI档案系统应支持多机构共享AI模型和训练数据，降低重复开发成本[20]。</w:t>
      </w:r>
    </w:p>
    <w:p>
      <w:pPr>
        <w:spacing w:before="120"/>
      </w:pPr>
      <w:r>
        <w:rPr>
          <w:b/>
          <w:sz w:val="22"/>
        </w:rPr>
        <w:t>7.12.2 联邦学习与数据隐私</w:t>
      </w:r>
    </w:p>
    <w:p>
      <w:pPr>
        <w:spacing w:after="80" w:line="360" w:lineRule="auto"/>
        <w:ind w:firstLine="420"/>
      </w:pPr>
      <w:r>
        <w:rPr>
          <w:sz w:val="22"/>
        </w:rPr>
        <w:t>多机构AI协作面临数据隐私挑战——机构可能不愿共享原始数据。联邦学习（Federated Learning）提供了解决方案——各机构在本地训练模型，仅共享模型参数而非原始数据，通过参数聚合提升模型性能。Colavizza等人（2021）指出，联邦学习在档案领域的应用可以使多机构在不暴露敏感数据的前提下协同提升AI能力[22]。</w:t>
      </w:r>
    </w:p>
    <w:p>
      <w:pPr>
        <w:spacing w:before="120"/>
      </w:pPr>
      <w:r>
        <w:rPr>
          <w:b/>
          <w:sz w:val="22"/>
        </w:rPr>
        <w:t>7.12.3 持续学习的AI系统</w:t>
      </w:r>
    </w:p>
    <w:p>
      <w:pPr>
        <w:spacing w:after="80" w:line="360" w:lineRule="auto"/>
        <w:ind w:firstLine="420"/>
      </w:pPr>
      <w:r>
        <w:rPr>
          <w:sz w:val="22"/>
        </w:rPr>
        <w:t>文化遗产AI系统应具备"持续学习"能力——从每次使用中积累经验，不断提升性能。例如，AI病害识别模型可以从修复师的修正反馈中学习，逐渐提高识别准确率。Ranaldi和Zanzotto（2021）在研究AI知识发现时，提出"人机协同进化"的概念——AI和专家在协作过程中相互提升[18]。</w:t>
      </w:r>
    </w:p>
    <w:p>
      <w:pPr>
        <w:spacing w:before="160" w:after="80"/>
      </w:pPr>
      <w:r>
        <w:rPr>
          <w:b/>
          <w:color w:val="2A9D8F"/>
          <w:sz w:val="26"/>
        </w:rPr>
        <w:t>7.10 AI在文化遗产保护中的伦理与挑战</w:t>
      </w:r>
    </w:p>
    <w:p>
      <w:pPr>
        <w:spacing w:before="120"/>
      </w:pPr>
      <w:r>
        <w:rPr>
          <w:b/>
          <w:sz w:val="22"/>
        </w:rPr>
        <w:t>7.10.1 AI介入遗产保护的伦理边界</w:t>
      </w:r>
    </w:p>
    <w:p>
      <w:pPr>
        <w:spacing w:after="80" w:line="360" w:lineRule="auto"/>
        <w:ind w:firstLine="420"/>
      </w:pPr>
      <w:r>
        <w:rPr>
          <w:sz w:val="22"/>
        </w:rPr>
        <w:t>人工智能在文化遗产保护中的深度应用引发了一系列伦理问题。AI驱动的文物修复涉及"修复到何种程度"的价值判断——AI可能基于训练数据生成视觉上合理但历史上有争议的修复方案。陈岳等人（2023）指出，AI修复应遵循"可识别性原则"——修复部分应与原始部分有所区别，避免观者误将AI推测的修复当作历史原貌[29]。</w:t>
      </w:r>
    </w:p>
    <w:p>
      <w:pPr>
        <w:spacing w:after="80" w:line="360" w:lineRule="auto"/>
        <w:ind w:firstLine="420"/>
      </w:pPr>
      <w:r>
        <w:rPr>
          <w:sz w:val="22"/>
        </w:rPr>
        <w:t>此外，AI对文化遗产数据的训练和使用也涉及知识产权和文化主权问题——当AI模型使用原住民文化遗产数据进行训练时，是否需要获得源社区的知情同意？AI生成的文化遗产衍生作品的版权归属如何确定？这些问题目前缺乏明确的法律和伦理规范。</w:t>
      </w:r>
    </w:p>
    <w:p>
      <w:pPr>
        <w:spacing w:before="120"/>
      </w:pPr>
      <w:r>
        <w:rPr>
          <w:b/>
          <w:sz w:val="22"/>
        </w:rPr>
        <w:t>7.10.2 AI偏见与文化遗产代表性</w:t>
      </w:r>
    </w:p>
    <w:p>
      <w:pPr>
        <w:spacing w:after="80" w:line="360" w:lineRule="auto"/>
        <w:ind w:firstLine="420"/>
      </w:pPr>
      <w:r>
        <w:rPr>
          <w:sz w:val="22"/>
        </w:rPr>
        <w:t>AI模型的训练数据决定了其对文化遗产的理解和表达方式。如果训练数据存在地理偏见（以欧美文化遗产为主）、类型偏见（以视觉艺术为主而忽视口传传统）或文化偏见（以特定文化视角解读遗产），AI的输出将延续甚至放大这些偏见。Pujol-Tost（2020）在研究文化遗产技术评估时指出，AI系统需要引入文化多样性审计机制——定期检查训练数据的文化代表性，确保AI不成为文化霸权的工具[30]。</w:t>
      </w:r>
    </w:p>
    <w:p>
      <w:pPr>
        <w:spacing w:before="120"/>
      </w:pPr>
      <w:r>
        <w:rPr>
          <w:b/>
          <w:sz w:val="22"/>
        </w:rPr>
        <w:t>7.10.3 人机协作的最佳实践</w:t>
      </w:r>
    </w:p>
    <w:p>
      <w:pPr>
        <w:spacing w:after="80" w:line="360" w:lineRule="auto"/>
        <w:ind w:firstLine="420"/>
      </w:pPr>
      <w:r>
        <w:rPr>
          <w:sz w:val="22"/>
        </w:rPr>
        <w:t>AI不应取代人类专家在文化遗产保护中的角色，而应成为增强人类能力的工具。有效的人机协作模式包括：AI负责大规模数据的快速处理和初步分析，人类专家负责价值判断和最终决策；AI提供修复建议的多个候选方案，人类专家基于历史文献和考古证据选择最合理的方案；AI辅助发现数据中的异常模式，人类专家进行深入调查和验证。</w:t>
      </w:r>
    </w:p>
    <w:p>
      <w:pPr>
        <w:spacing w:before="200" w:after="120"/>
      </w:pPr>
      <w:r>
        <w:rPr>
          <w:b/>
          <w:color w:val="457B9D"/>
          <w:sz w:val="30"/>
        </w:rPr>
        <w:t>参考文献</w:t>
      </w:r>
    </w:p>
    <w:p>
      <w:pPr>
        <w:spacing w:after="40"/>
        <w:ind w:left="425" w:hanging="425"/>
      </w:pPr>
      <w:r>
        <w:rPr>
          <w:sz w:val="20"/>
        </w:rPr>
        <w:t>[1] Yu T, Lin C, Zhang S, et al. Artificial Intelligence for Dunhuang Cultural Heritage Protection: The Project and the Dataset[J]. International Journal of Computer Vision, 2022, 130: 2265-2287. DOI: 10.1007/s11263-022-01665-x.</w:t>
      </w:r>
    </w:p>
    <w:p>
      <w:pPr>
        <w:spacing w:after="40"/>
        <w:ind w:left="425" w:hanging="425"/>
      </w:pPr>
      <w:r>
        <w:rPr>
          <w:sz w:val="20"/>
        </w:rPr>
        <w:t>[2] 郑昌根, 姜宇涵, 钱韵晴, 等. AI技术在文化遗产数字化保护中的应用研究[J]. 2024. 万方数据.</w:t>
      </w:r>
    </w:p>
    <w:p>
      <w:pPr>
        <w:spacing w:after="40"/>
        <w:ind w:left="425" w:hanging="425"/>
      </w:pPr>
      <w:r>
        <w:rPr>
          <w:sz w:val="20"/>
        </w:rPr>
        <w:t>[3] Buratti G, Conte S, Rossi M. Artificial Intelligence, Big Data and Cultural Heritage[J]. 2021. DOI: 10.3280/oa-686.4.</w:t>
      </w:r>
    </w:p>
    <w:p>
      <w:pPr>
        <w:spacing w:after="40"/>
        <w:ind w:left="425" w:hanging="425"/>
      </w:pPr>
      <w:r>
        <w:rPr>
          <w:sz w:val="20"/>
        </w:rPr>
        <w:t>[4] Caramiaux B. AI with Museums and Cultural Heritage[C]. Semantic Scholar, 2022.</w:t>
      </w:r>
    </w:p>
    <w:p>
      <w:pPr>
        <w:spacing w:after="40"/>
        <w:ind w:left="425" w:hanging="425"/>
      </w:pPr>
      <w:r>
        <w:rPr>
          <w:sz w:val="20"/>
        </w:rPr>
        <w:t>[5] Neudecker C. Cultural Heritage as Data: Digital Curation and Artificial Intelligence in Libraries[C]. 2022. Semantic Scholar.</w:t>
      </w:r>
    </w:p>
    <w:p>
      <w:pPr>
        <w:spacing w:after="40"/>
        <w:ind w:left="425" w:hanging="425"/>
      </w:pPr>
      <w:r>
        <w:rPr>
          <w:sz w:val="20"/>
        </w:rPr>
        <w:t>[6] Ranaldi L, Zanzotto F M. Discover AI Knowledge to Preserve Cultural Heritage[J]. Preprints, 2021. DOI: 10.20944/preprints202109.0062.v1.</w:t>
      </w:r>
    </w:p>
    <w:p>
      <w:pPr>
        <w:spacing w:after="40"/>
        <w:ind w:left="425" w:hanging="425"/>
      </w:pPr>
      <w:r>
        <w:rPr>
          <w:sz w:val="20"/>
        </w:rPr>
        <w:t>[7] Gupta A, Kapoor N. Comprehensiveness of Archives: A Modern AI-enabled Approach to Build Comprehensive Shared Cultural Heritage[J]. arXiv:2008.04541, 2020.</w:t>
      </w:r>
    </w:p>
    <w:p>
      <w:pPr>
        <w:spacing w:after="40"/>
        <w:ind w:left="425" w:hanging="425"/>
      </w:pPr>
      <w:r>
        <w:rPr>
          <w:sz w:val="20"/>
        </w:rPr>
        <w:t>[8] Wallace M, Poulopoulus V, Antoniou A, López-Nores M. Big Data Analytics for Cultural Heritage[M]. MDPI Books, 2023. DOI: 10.3390/books978-3-0365-6327-5.</w:t>
      </w:r>
    </w:p>
    <w:p>
      <w:pPr>
        <w:spacing w:after="40"/>
        <w:ind w:left="425" w:hanging="425"/>
      </w:pPr>
      <w:r>
        <w:rPr>
          <w:sz w:val="20"/>
        </w:rPr>
        <w:t>[9] Pouloupoulos V, Wallace M. Digital Technologies and the Role of Data in Cultural Heritage: The Past, the Present, and the Future[J]. Big Data and Cognitive Computing, 2022, 6(3): 73. DOI: 10.3390/bdcc6030073.</w:t>
      </w:r>
    </w:p>
    <w:p>
      <w:pPr>
        <w:spacing w:after="40"/>
        <w:ind w:left="425" w:hanging="425"/>
      </w:pPr>
      <w:r>
        <w:rPr>
          <w:sz w:val="20"/>
        </w:rPr>
        <w:t>[10] Ranjgar B, Sadeghi-Niaraki A, Shakeri M, et al. Cultural Heritage Information Retrieval: Data Modelling and Applications[C]. 2019. Semantic Scholar.</w:t>
      </w:r>
    </w:p>
    <w:p>
      <w:pPr>
        <w:spacing w:after="40"/>
        <w:ind w:left="425" w:hanging="425"/>
      </w:pPr>
      <w:r>
        <w:rPr>
          <w:sz w:val="20"/>
        </w:rPr>
        <w:t>[11] [作者不详]. 生成式人工智能在档案文化遗产保护中的应用[J]. 2025. 维普期刊.</w:t>
      </w:r>
    </w:p>
    <w:p>
      <w:pPr>
        <w:spacing w:after="40"/>
        <w:ind w:left="425" w:hanging="425"/>
      </w:pPr>
      <w:r>
        <w:rPr>
          <w:sz w:val="20"/>
        </w:rPr>
        <w:t>[12] Colavizza G, Blanke T, Jeurgens C, Noordegraaf J. Archives and AI: An Overview of Current Debates and Future Perspectives[C]. 2021. Semantic Scholar.</w:t>
      </w:r>
    </w:p>
    <w:p>
      <w:pPr>
        <w:spacing w:after="40"/>
        <w:ind w:left="425" w:hanging="425"/>
      </w:pPr>
      <w:r>
        <w:rPr>
          <w:sz w:val="20"/>
        </w:rPr>
        <w:t>[13] [作者不详]. 人工智能赋能文化遗产档案活化利用——基于六个典型案例的研究[J]. 2025. 维普期刊.</w:t>
      </w:r>
    </w:p>
    <w:p>
      <w:pPr>
        <w:spacing w:after="40"/>
        <w:ind w:left="425" w:hanging="425"/>
      </w:pPr>
      <w:r>
        <w:rPr>
          <w:sz w:val="20"/>
        </w:rPr>
        <w:t>[14] Lemieux V L, Gil R, Molosiwa F, et al. Clio-X: A Web3 Solution for Privacy-Preserving AI Access to Digital Archives[J]. arXiv:2507.08853, 2025.</w:t>
      </w:r>
    </w:p>
    <w:p>
      <w:pPr>
        <w:spacing w:after="40"/>
        <w:ind w:left="425" w:hanging="425"/>
      </w:pPr>
      <w:r>
        <w:rPr>
          <w:sz w:val="20"/>
        </w:rPr>
        <w:t>[15] [作者不详]. 文化遗产数字资源建设发展进程研究——以Europeana实践为基础的研究[J]. 2026. 万方数据.</w:t>
      </w:r>
    </w:p>
    <w:p>
      <w:pPr>
        <w:spacing w:after="40"/>
        <w:ind w:left="425" w:hanging="425"/>
      </w:pPr>
      <w:r>
        <w:rPr>
          <w:sz w:val="20"/>
        </w:rPr>
        <w:t>[16] Yu T, Lin C, Zhang S, et al. Artificial Intelligence for Dunhuang Cultural Heritage Protection[J]. International Journal of Computer Vision, 2022, 130: 2265-2287. DOI: 10.1007/s11263-022-01665-x.</w:t>
      </w:r>
    </w:p>
    <w:p>
      <w:pPr>
        <w:spacing w:after="40"/>
        <w:ind w:left="425" w:hanging="425"/>
      </w:pPr>
      <w:r>
        <w:rPr>
          <w:sz w:val="20"/>
        </w:rPr>
        <w:t>[17] Wallace M, Poulopoulus V, Antoniou A, López-Nores M. Big Data Analytics for Cultural Heritage[M]. MDPI Books, 2023. DOI: 10.3390/books978-3-0365-6327-5.</w:t>
      </w:r>
    </w:p>
    <w:p>
      <w:pPr>
        <w:spacing w:after="40"/>
        <w:ind w:left="425" w:hanging="425"/>
      </w:pPr>
      <w:r>
        <w:rPr>
          <w:sz w:val="20"/>
        </w:rPr>
        <w:t>[18] Ranaldi L, Zanzotto F M. Discover AI Knowledge to Preserve Cultural Heritage[J]. Preprints, 2021. DOI: 10.20944/preprints202109.0062.v1.</w:t>
      </w:r>
    </w:p>
    <w:p>
      <w:pPr>
        <w:spacing w:after="40"/>
        <w:ind w:left="425" w:hanging="425"/>
      </w:pPr>
      <w:r>
        <w:rPr>
          <w:sz w:val="20"/>
        </w:rPr>
        <w:t>[19] Caramiaux B. AI with Museums and Cultural Heritage[C]. Semantic Scholar, 2022.</w:t>
      </w:r>
    </w:p>
    <w:p>
      <w:pPr>
        <w:spacing w:after="40"/>
        <w:ind w:left="425" w:hanging="425"/>
      </w:pPr>
      <w:r>
        <w:rPr>
          <w:sz w:val="20"/>
        </w:rPr>
        <w:t>[20] Gupta A, Kapoor N. Comprehensiveness of Archives: A Modern AI-enabled Approach[J]. arXiv:2008.04541, 2020.</w:t>
      </w:r>
    </w:p>
    <w:p>
      <w:pPr>
        <w:spacing w:after="40"/>
        <w:ind w:left="425" w:hanging="425"/>
      </w:pPr>
      <w:r>
        <w:rPr>
          <w:sz w:val="20"/>
        </w:rPr>
        <w:t>[21] Plaza-Hernández M, Rodríguez J M C. Smart-Heritage: An Intelligent Platform for the Monitoring of Cultural Heritage in Smart Cities[C]. 2021. DOI: 10.1007/978-3-030-78901-5_29.</w:t>
      </w:r>
    </w:p>
    <w:p>
      <w:pPr>
        <w:spacing w:after="40"/>
        <w:ind w:left="425" w:hanging="425"/>
      </w:pPr>
      <w:r>
        <w:rPr>
          <w:sz w:val="20"/>
        </w:rPr>
        <w:t>[22] Colavizza G, Blanke T, Jeurgens C, Noordegraaf J. Archives and AI: An Overview of Current Debates and Future Perspectives[C]. 2021. Semantic Scholar.</w:t>
      </w:r>
    </w:p>
    <w:p>
      <w:pPr>
        <w:spacing w:after="40"/>
        <w:ind w:left="425" w:hanging="425"/>
      </w:pPr>
      <w:r>
        <w:rPr>
          <w:sz w:val="20"/>
        </w:rPr>
        <w:t>[1] Yu T, Lin C, Zhang S, et al. Artificial Intelligence for Dunhuang Cultural Heritage Protection[J]. International Journal of Computer Vision, 2022, 130: 2265-2287. DOI: 10.1007/s11263-022-01665-x.</w:t>
      </w:r>
    </w:p>
    <w:p>
      <w:pPr>
        <w:spacing w:after="40"/>
        <w:ind w:left="425" w:hanging="425"/>
      </w:pPr>
      <w:r>
        <w:rPr>
          <w:sz w:val="20"/>
        </w:rPr>
        <w:t>[3] Buratti G, Conte S, Rossi M. Artificial Intelligence, Big Data and Cultural Heritage[J]. 2021. DOI: 10.3280/oa-686.4.</w:t>
      </w:r>
    </w:p>
    <w:p>
      <w:pPr>
        <w:spacing w:after="40"/>
        <w:ind w:left="425" w:hanging="425"/>
      </w:pPr>
      <w:r>
        <w:rPr>
          <w:sz w:val="20"/>
        </w:rPr>
        <w:t>[5] Neudecker C. Cultural Heritage as Data: Digital Curation and AI in Libraries[C]. 2022. Semantic Scholar.</w:t>
      </w:r>
    </w:p>
    <w:p>
      <w:pPr>
        <w:spacing w:after="40"/>
        <w:ind w:left="425" w:hanging="425"/>
      </w:pPr>
      <w:r>
        <w:rPr>
          <w:sz w:val="20"/>
        </w:rPr>
        <w:t>[9] Pouloupoulos V, Wallace M. Digital Technologies and the Role of Data in Cultural Heritage[J]. Big Data and Cognitive Computing, 2022, 6(3): 73. DOI: 10.3390/bdcc6030073.</w:t>
      </w:r>
    </w:p>
    <w:p>
      <w:pPr>
        <w:spacing w:after="40"/>
        <w:ind w:left="425" w:hanging="425"/>
      </w:pPr>
      <w:r>
        <w:rPr>
          <w:sz w:val="20"/>
        </w:rPr>
        <w:t>[10] Ranjgar B, Sadeghi-Niaraki A, Shakeri M, et al. Cultural Heritage Information Retrieval: Data Modelling and Applications[C]. 2019. Semantic Scholar.</w:t>
      </w:r>
    </w:p>
    <w:p>
      <w:pPr>
        <w:spacing w:after="40"/>
        <w:ind w:left="425" w:hanging="425"/>
      </w:pPr>
      <w:r>
        <w:rPr>
          <w:sz w:val="20"/>
        </w:rPr>
        <w:t>[1] Yu T, et al. Artificial Intelligence for Dunhuang Cultural Heritage Protection[J]. IJCV, 2022. DOI: 10.1007/s11263-022-01665-x.</w:t>
      </w:r>
    </w:p>
    <w:p>
      <w:pPr>
        <w:spacing w:after="40"/>
        <w:ind w:left="425" w:hanging="425"/>
      </w:pPr>
      <w:r>
        <w:rPr>
          <w:sz w:val="20"/>
        </w:rPr>
        <w:t>[18] Ranaldi L, Zanzotto F M. Discover AI Knowledge to Preserve Cultural Heritage[J]. 2021. DOI: 10.20944/preprints202109.0062.v1.</w:t>
      </w:r>
    </w:p>
    <w:p>
      <w:pPr>
        <w:spacing w:after="40"/>
        <w:ind w:left="425" w:hanging="425"/>
      </w:pPr>
      <w:r>
        <w:rPr>
          <w:sz w:val="20"/>
        </w:rPr>
        <w:t>[19] Caramiaux B. AI with Museums and Cultural Heritage[C]. 2022. Semantic Scholar.</w:t>
      </w:r>
    </w:p>
    <w:p>
      <w:pPr>
        <w:spacing w:after="40"/>
        <w:ind w:left="425" w:hanging="425"/>
      </w:pPr>
      <w:r>
        <w:rPr>
          <w:sz w:val="20"/>
        </w:rPr>
        <w:t>[20] Gupta A, Kapoor N. Comprehensiveness of Archives: A Modern AI-enabled Approach[J]. arXiv:2008.04541, 2020.</w:t>
      </w:r>
    </w:p>
    <w:p>
      <w:pPr>
        <w:spacing w:after="40"/>
        <w:ind w:left="425" w:hanging="425"/>
      </w:pPr>
      <w:r>
        <w:rPr>
          <w:sz w:val="20"/>
        </w:rPr>
        <w:t>[22] Colavizza G, et al. Archives and AI: An Overview of Current Debates and Future Perspectives[C]. 2021. Semantic Scholar.</w:t>
      </w:r>
    </w:p>
    <w:p>
      <w:pPr>
        <w:spacing w:after="40"/>
        <w:ind w:left="425" w:hanging="425"/>
      </w:pPr>
      <w:r>
        <w:rPr>
          <w:sz w:val="20"/>
        </w:rPr>
        <w:t>[29] 陈岳, 等. AI在文物修复中的伦理问题研究[J]. 2023. 万方数据.</w:t>
      </w:r>
    </w:p>
    <w:p>
      <w:pPr>
        <w:spacing w:after="40"/>
        <w:ind w:left="425" w:hanging="425"/>
      </w:pPr>
      <w:r>
        <w:rPr>
          <w:sz w:val="20"/>
        </w:rPr>
        <w:t>[30] Pujol-Tost L. Technology Assessment in Cultural Heritage[J]. 2020. Semantic Scholar.</w:t>
      </w:r>
    </w:p>
    <w:p>
      <w:r>
        <w:br w:type="page"/>
      </w:r>
    </w:p>
    <w:p>
      <w:pPr>
        <w:spacing w:before="240" w:after="160"/>
      </w:pPr>
      <w:r>
        <w:rPr>
          <w:b/>
          <w:color w:val="264653"/>
          <w:sz w:val="36"/>
        </w:rPr>
        <w:t>第8章 知识图谱与文化遗产数据管理</w:t>
      </w:r>
    </w:p>
    <w:p>
      <w:pPr>
        <w:spacing w:before="200" w:after="120"/>
      </w:pPr>
      <w:r>
        <w:rPr>
          <w:b/>
          <w:color w:val="457B9D"/>
          <w:sz w:val="30"/>
        </w:rPr>
        <w:t>学习目标</w:t>
      </w:r>
    </w:p>
    <w:p>
      <w:pPr>
        <w:pStyle w:val="ListBullet"/>
      </w:pPr>
      <w:r>
        <w:rPr>
          <w:sz w:val="22"/>
        </w:rPr>
        <w:t>理解知识图谱在文化遗产数据管理中的价值</w:t>
      </w:r>
    </w:p>
    <w:p>
      <w:pPr>
        <w:pStyle w:val="ListBullet"/>
      </w:pPr>
      <w:r>
        <w:rPr>
          <w:sz w:val="22"/>
        </w:rPr>
        <w:t>掌握CIDOC-CRM等文化遗产本体的基本概念</w:t>
      </w:r>
    </w:p>
    <w:p>
      <w:pPr>
        <w:pStyle w:val="ListBullet"/>
      </w:pPr>
      <w:r>
        <w:rPr>
          <w:sz w:val="22"/>
        </w:rPr>
        <w:t>了解文化遗产知识图谱的构建流程</w:t>
      </w:r>
    </w:p>
    <w:p>
      <w:pPr>
        <w:pStyle w:val="ListBullet"/>
      </w:pPr>
      <w:r>
        <w:rPr>
          <w:sz w:val="22"/>
        </w:rPr>
        <w:t>能够评估不同数据管理方案的适用性</w:t>
      </w:r>
    </w:p>
    <w:p>
      <w:pPr>
        <w:spacing w:before="200" w:after="120"/>
      </w:pPr>
      <w:r>
        <w:rPr>
          <w:b/>
          <w:color w:val="457B9D"/>
          <w:sz w:val="30"/>
        </w:rPr>
        <w:t>导入案例：CHAD-KG知识图谱——文化遗产对象与数字化paradata的结构化描述</w:t>
      </w:r>
    </w:p>
    <w:p>
      <w:pPr>
        <w:spacing w:after="80" w:line="360" w:lineRule="auto"/>
        <w:ind w:firstLine="420"/>
      </w:pPr>
      <w:r>
        <w:rPr>
          <w:sz w:val="22"/>
        </w:rPr>
        <w:t>Barzaghi等人（2025）提出了CHAD-KG（Cultural Heritage and Digitisation Knowledge Graph），一个专门描述文化遗产对象书目元数据和数字化paradata的知识图谱[1]。Paradata——即"关于数据如何产生的数据"——记录了数字化过程中使用的设备、参数、操作者和质量评估等信息，对于评估数字资源的可靠性和可重复性至关重要。CHAD-KG的创新之处在于将对象描述与过程描述集成于统一的知识图谱中，使数字遗产的"是什么"和"怎么来的"可以关联查询。</w:t>
      </w:r>
    </w:p>
    <w:p>
      <w:pPr>
        <w:spacing w:after="80" w:line="360" w:lineRule="auto"/>
        <w:ind w:firstLine="420"/>
      </w:pPr>
      <w:r>
        <w:rPr>
          <w:sz w:val="22"/>
        </w:rPr>
        <w:t>这一案例引出了文化遗产数据管理的核心议题：如何将异构、分散、多源的遗产数据组织为可计算、可推理、可互操作的知识体系？知识图谱技术为此提供了答案。</w:t>
      </w:r>
    </w:p>
    <w:p>
      <w:pPr>
        <w:spacing w:before="200" w:after="120"/>
      </w:pPr>
      <w:r>
        <w:rPr>
          <w:b/>
          <w:color w:val="457B9D"/>
          <w:sz w:val="30"/>
        </w:rPr>
        <w:t>8.1 文化遗产数据管理挑战</w:t>
      </w:r>
    </w:p>
    <w:p>
      <w:pPr>
        <w:spacing w:before="160" w:after="80"/>
      </w:pPr>
      <w:r>
        <w:rPr>
          <w:b/>
          <w:color w:val="2A9D8F"/>
          <w:sz w:val="26"/>
        </w:rPr>
        <w:t>8.1.1 数据异构性与碎片化</w:t>
      </w:r>
    </w:p>
    <w:p>
      <w:pPr>
        <w:spacing w:after="80" w:line="360" w:lineRule="auto"/>
        <w:ind w:firstLine="420"/>
      </w:pPr>
      <w:r>
        <w:rPr>
          <w:sz w:val="22"/>
        </w:rPr>
        <w:t>文化遗产数据来自不同机构（博物馆、图书馆、档案馆、考古所）、不同时期（从早期纸本记录到当代数字采集）、不同技术（三维扫描、摄影、文献编目），导致严重的异构性和碎片化问题。同一件文物可能在不同机构有不同记录——博物馆有展陈信息、档案馆藏有发掘档案、研究机构有分析数据，这些记录之间缺乏关联。</w:t>
      </w:r>
    </w:p>
    <w:p>
      <w:pPr>
        <w:spacing w:after="80" w:line="360" w:lineRule="auto"/>
        <w:ind w:firstLine="420"/>
      </w:pPr>
      <w:r>
        <w:rPr>
          <w:sz w:val="22"/>
        </w:rPr>
        <w:t>Khoo等人（2024）在研究数字遗产收藏的知识图谱可视化界面时指出，数字遗产门户界面通常与数字图书馆和搜索引擎类似，以简短元数据记录列表展示搜索结果，这种扁平化的数据组织方式难以反映遗产对象之间丰富的语义关系[2]。</w:t>
      </w:r>
    </w:p>
    <w:p>
      <w:pPr>
        <w:spacing w:before="160" w:after="80"/>
      </w:pPr>
      <w:r>
        <w:rPr>
          <w:b/>
          <w:color w:val="2A9D8F"/>
          <w:sz w:val="26"/>
        </w:rPr>
        <w:t>8.1.2 元数据标准的多样性</w:t>
      </w:r>
    </w:p>
    <w:p>
      <w:pPr>
        <w:spacing w:after="80" w:line="360" w:lineRule="auto"/>
        <w:ind w:firstLine="420"/>
      </w:pPr>
      <w:r>
        <w:rPr>
          <w:sz w:val="22"/>
        </w:rPr>
        <w:t>文化遗产领域存在多种元数据标准——CIDOC-CRM、Dublin Core、EDM、VRA Core、LIDO等——不同标准关注的维度和颗粒度不同，机构间数据互操作需要复杂的标准映射。</w:t>
      </w:r>
    </w:p>
    <w:p>
      <w:pPr>
        <w:spacing w:after="80" w:line="360" w:lineRule="auto"/>
        <w:ind w:firstLine="420"/>
      </w:pPr>
      <w:r>
        <w:rPr>
          <w:sz w:val="22"/>
        </w:rPr>
        <w:t>Miranda等人（2025）在研究文化遗产项目的丰富互操作元数据时，指出跨机构元数据互操作需要解决词汇对齐、模式映射和语义冲突三个层面的挑战[3]。</w:t>
      </w:r>
    </w:p>
    <w:p>
      <w:pPr>
        <w:spacing w:before="160" w:after="80"/>
      </w:pPr>
      <w:r>
        <w:rPr>
          <w:b/>
          <w:color w:val="2A9D8F"/>
          <w:sz w:val="26"/>
        </w:rPr>
        <w:t>8.1.3 语义互操作需求</w:t>
      </w:r>
    </w:p>
    <w:p>
      <w:pPr>
        <w:spacing w:after="80" w:line="360" w:lineRule="auto"/>
        <w:ind w:firstLine="420"/>
      </w:pPr>
      <w:r>
        <w:rPr>
          <w:sz w:val="22"/>
        </w:rPr>
        <w:t>文化遗产数据管理的核心需求是"语义互操作"——不仅能在技术层面交换数据，更能在语义层面理解数据。这意味着不同机构对"一件文物"的描述需要能够被统一理解，即使它们使用了不同的词汇和结构。</w:t>
      </w:r>
    </w:p>
    <w:p>
      <w:pPr>
        <w:spacing w:before="200" w:after="120"/>
      </w:pPr>
      <w:r>
        <w:rPr>
          <w:b/>
          <w:color w:val="457B9D"/>
          <w:sz w:val="30"/>
        </w:rPr>
        <w:t>8.2 文化遗产本体与元数据标准</w:t>
      </w:r>
    </w:p>
    <w:p>
      <w:pPr>
        <w:spacing w:before="160" w:after="80"/>
      </w:pPr>
      <w:r>
        <w:rPr>
          <w:b/>
          <w:color w:val="2A9D8F"/>
          <w:sz w:val="26"/>
        </w:rPr>
        <w:t>8.2.1 CIDOC-CRM概念参考模型</w:t>
      </w:r>
    </w:p>
    <w:p>
      <w:pPr>
        <w:spacing w:after="80" w:line="360" w:lineRule="auto"/>
        <w:ind w:firstLine="420"/>
      </w:pPr>
      <w:r>
        <w:rPr>
          <w:sz w:val="22"/>
        </w:rPr>
        <w:t>CIDOC-CRM（Conceptual Reference Model）是国际博物馆协会CIDOC委员会制定的领域本体，已成为ISO 21127标准。它提供了描述文化遗产领域概念和关系的形式化框架，包含约90个实体类和约150个关系类型。</w:t>
      </w:r>
    </w:p>
    <w:p>
      <w:pPr>
        <w:spacing w:after="80" w:line="360" w:lineRule="auto"/>
        <w:ind w:firstLine="420"/>
      </w:pPr>
      <w:r>
        <w:rPr>
          <w:sz w:val="22"/>
        </w:rPr>
        <w:t>CIDOC-CRM的核心设计理念是"以事件为中心"——不是简单描述"某物是什么"，而是描述"某物参与了什么事件"。例如，一件文物的信息被组织为：创作事件（谁在何时何地创作了它）→ 使用事件（谁如何使用了它）→ 发掘事件（谁在何时何地发现了它）→ 收藏事件（哪个机构收藏了它）。</w:t>
      </w:r>
    </w:p>
    <w:p>
      <w:pPr>
        <w:spacing w:after="80" w:line="360" w:lineRule="auto"/>
        <w:ind w:firstLine="420"/>
      </w:pPr>
      <w:r>
        <w:rPr>
          <w:sz w:val="22"/>
        </w:rPr>
        <w:t>Faraj和Micsik（2021）在研究CIDOC-CRM本体中文化遗产知识图谱的表示与验证时，指出CIDOC-CRM提供了文化遗产领域最权威的语义框架，但其实施复杂度较高，需要专业本体工程能力[4]。</w:t>
      </w:r>
    </w:p>
    <w:p>
      <w:pPr>
        <w:spacing w:before="160" w:after="80"/>
      </w:pPr>
      <w:r>
        <w:rPr>
          <w:b/>
          <w:color w:val="2A9D8F"/>
          <w:sz w:val="26"/>
        </w:rPr>
        <w:t>8.2.2 Dublin Core元数据标准</w:t>
      </w:r>
    </w:p>
    <w:p>
      <w:pPr>
        <w:spacing w:after="80" w:line="360" w:lineRule="auto"/>
        <w:ind w:firstLine="420"/>
      </w:pPr>
      <w:r>
        <w:rPr>
          <w:sz w:val="22"/>
        </w:rPr>
        <w:t>Dublin Core是最简单通用的元数据标准，包含15个核心元素。其优势在于简单易用，几乎所有文化遗产数字资源库都支持Dublin Core，是跨库互操作的"最大公约数"。其劣势在于描述能力有限，无法表达文化遗产领域特有的复杂关系。</w:t>
      </w:r>
    </w:p>
    <w:p>
      <w:pPr>
        <w:spacing w:before="160" w:after="80"/>
      </w:pPr>
      <w:r>
        <w:rPr>
          <w:b/>
          <w:color w:val="2A9D8F"/>
          <w:sz w:val="26"/>
        </w:rPr>
        <w:t>8.2.3 EDM（Europeana Data Model）</w:t>
      </w:r>
    </w:p>
    <w:p>
      <w:pPr>
        <w:spacing w:after="80" w:line="360" w:lineRule="auto"/>
        <w:ind w:firstLine="420"/>
      </w:pPr>
      <w:r>
        <w:rPr>
          <w:sz w:val="22"/>
        </w:rPr>
        <w:t>EDM是Europeana平台专门设计的数据模型，在Dublin Core基础上扩展了文化遗产特定元素。EDM的核心创新是引入"代理"（Agent）、"概念"（Concept）、"地点"（Place）和"时间跨度"（TimeSpan）等独立实体类，支持比Dublin Core更丰富的语义描述。</w:t>
      </w:r>
    </w:p>
    <w:p>
      <w:pPr>
        <w:spacing w:after="80" w:line="360" w:lineRule="auto"/>
        <w:ind w:firstLine="420"/>
      </w:pPr>
      <w:r>
        <w:rPr>
          <w:sz w:val="22"/>
        </w:rPr>
        <w:t>Gasmi和Prlja（2020）在研究欧洲国家文化遗产数字化前景时指出，Europeana通过推行EDM标准化元数据，迫使参与机构使用统一流程，实现了跨机构数据的语义聚合[5]。</w:t>
      </w:r>
    </w:p>
    <w:p>
      <w:pPr>
        <w:spacing w:before="160" w:after="80"/>
      </w:pPr>
      <w:r>
        <w:rPr>
          <w:b/>
          <w:color w:val="2A9D8F"/>
          <w:sz w:val="26"/>
        </w:rPr>
        <w:t>8.2.4 中国文化遗产元数据标准</w:t>
      </w:r>
    </w:p>
    <w:p>
      <w:pPr>
        <w:spacing w:after="80" w:line="360" w:lineRule="auto"/>
        <w:ind w:firstLine="420"/>
      </w:pPr>
      <w:r>
        <w:rPr>
          <w:sz w:val="22"/>
        </w:rPr>
        <w:t>中国在文化遗产元数据标准方面取得了一定进展，制定了《文物数字化保护元数据标准》等行业规范。刘芳和吴振新（2022）指出，国外在文化遗产三维数字化方面取得丰硕成绩的同时，在数据模型的科学研究、可检索性和互操作性、版权控制等方面的经验值得中国借鉴[6]。</w:t>
      </w:r>
    </w:p>
    <w:p>
      <w:pPr>
        <w:spacing w:before="200" w:after="120"/>
      </w:pPr>
      <w:r>
        <w:rPr>
          <w:b/>
          <w:color w:val="457B9D"/>
          <w:sz w:val="30"/>
        </w:rPr>
        <w:t>8.3 文化遗产知识图谱构建</w:t>
      </w:r>
    </w:p>
    <w:p>
      <w:pPr>
        <w:spacing w:before="160" w:after="80"/>
      </w:pPr>
      <w:r>
        <w:rPr>
          <w:b/>
          <w:color w:val="2A9D8F"/>
          <w:sz w:val="26"/>
        </w:rPr>
        <w:t>8.3.1 知识图谱的基本概念与架构</w:t>
      </w:r>
    </w:p>
    <w:p>
      <w:pPr>
        <w:spacing w:after="80" w:line="360" w:lineRule="auto"/>
        <w:ind w:firstLine="420"/>
      </w:pPr>
      <w:r>
        <w:rPr>
          <w:sz w:val="22"/>
        </w:rPr>
        <w:t>知识图谱（Knowledge Graph）是以图结构组织知识的数据形式——实体为节点，关系为边，属性为节点或边的特征。知识图谱的优势在于能够表达复杂的关系网络，支持多跳推理和语义查询。</w:t>
      </w:r>
    </w:p>
    <w:p>
      <w:pPr>
        <w:spacing w:after="80" w:line="360" w:lineRule="auto"/>
        <w:ind w:firstLine="420"/>
      </w:pPr>
      <w:r>
        <w:rPr>
          <w:sz w:val="22"/>
        </w:rPr>
        <w:t>Huang等人（2023）在研究利用知识图谱和深度学习增强数字文化遗产管理时，指出知识图谱为文化遗产数据管理提供了从"信息检索"到"知识发现"的技术跃迁[7]。</w:t>
      </w:r>
    </w:p>
    <w:p>
      <w:pPr>
        <w:spacing w:before="160" w:after="80"/>
      </w:pPr>
      <w:r>
        <w:rPr>
          <w:b/>
          <w:color w:val="2A9D8F"/>
          <w:sz w:val="26"/>
        </w:rPr>
        <w:t>8.3.2 实体识别与关系抽取</w:t>
      </w:r>
    </w:p>
    <w:p>
      <w:pPr>
        <w:spacing w:after="80" w:line="360" w:lineRule="auto"/>
        <w:ind w:firstLine="420"/>
      </w:pPr>
      <w:r>
        <w:rPr>
          <w:sz w:val="22"/>
        </w:rPr>
        <w:t>文化遗产知识图谱构建的核心任务包括：</w:t>
      </w:r>
    </w:p>
    <w:p>
      <w:pPr>
        <w:spacing w:after="80" w:line="360" w:lineRule="auto"/>
        <w:ind w:firstLine="420"/>
      </w:pPr>
      <w:r>
        <w:rPr>
          <w:b/>
          <w:sz w:val="22"/>
        </w:rPr>
        <w:t>实体识别</w:t>
      </w:r>
      <w:r>
        <w:rPr>
          <w:sz w:val="22"/>
        </w:rPr>
        <w:t>：从文本（考古报告、展品说明、研究文献）中自动识别人名、地名、机构名、文物名、年代等实体。</w:t>
      </w:r>
    </w:p>
    <w:p>
      <w:pPr>
        <w:spacing w:after="80" w:line="360" w:lineRule="auto"/>
        <w:ind w:firstLine="420"/>
      </w:pPr>
      <w:r>
        <w:rPr>
          <w:b/>
          <w:sz w:val="22"/>
        </w:rPr>
        <w:t>关系抽取</w:t>
      </w:r>
      <w:r>
        <w:rPr>
          <w:sz w:val="22"/>
        </w:rPr>
        <w:t>：识别实体之间的语义关系——如"制作于"、"出土于"、"属于"、"影响了"等。</w:t>
      </w:r>
    </w:p>
    <w:p>
      <w:pPr>
        <w:spacing w:after="80" w:line="360" w:lineRule="auto"/>
        <w:ind w:firstLine="420"/>
      </w:pPr>
      <w:r>
        <w:rPr>
          <w:b/>
          <w:sz w:val="22"/>
        </w:rPr>
        <w:t>实体对齐</w:t>
      </w:r>
      <w:r>
        <w:rPr>
          <w:sz w:val="22"/>
        </w:rPr>
        <w:t>：将不同来源的同一实体进行对齐消歧——如"苏轼"和"苏东坡"指向同一人物。</w:t>
      </w:r>
    </w:p>
    <w:p>
      <w:pPr>
        <w:spacing w:after="80" w:line="360" w:lineRule="auto"/>
        <w:ind w:firstLine="420"/>
      </w:pPr>
      <w:r>
        <w:rPr>
          <w:sz w:val="22"/>
        </w:rPr>
        <w:t>Tietz等人（2020）在研究基于知识图谱的历史戏剧照片分析与探索时，展示了知识图谱在文化遗产视觉资源组织中的应用[8]。</w:t>
      </w:r>
    </w:p>
    <w:p>
      <w:pPr>
        <w:spacing w:before="160" w:after="80"/>
      </w:pPr>
      <w:r>
        <w:rPr>
          <w:b/>
          <w:color w:val="2A9D8F"/>
          <w:sz w:val="26"/>
        </w:rPr>
        <w:t>8.3.3 知识融合与质量评估</w:t>
      </w:r>
    </w:p>
    <w:p>
      <w:pPr>
        <w:spacing w:after="80" w:line="360" w:lineRule="auto"/>
        <w:ind w:firstLine="420"/>
      </w:pPr>
      <w:r>
        <w:rPr>
          <w:sz w:val="22"/>
        </w:rPr>
        <w:t>多源数据融合是知识图谱构建的关键环节。Barzaghi等人（2025）的CHAD-KG项目展示了如何将书目元数据和数字化paradata融合为统一知识图谱[1]。质量评估维度包括：完整性（覆盖度）、一致性（无矛盾）、准确性（与权威源一致）、时效性（信息更新及时）。</w:t>
      </w:r>
    </w:p>
    <w:p>
      <w:pPr>
        <w:spacing w:before="160" w:after="80"/>
      </w:pPr>
      <w:r>
        <w:rPr>
          <w:b/>
          <w:color w:val="2A9D8F"/>
          <w:sz w:val="26"/>
        </w:rPr>
        <w:t>8.3.4 典型知识图谱项目</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D9E2EC"/>
          </w:tcPr>
          <w:p>
            <w:pPr>
              <w:spacing w:before="40" w:after="40"/>
            </w:pPr>
            <w:r>
              <w:rPr>
                <w:b/>
                <w:sz w:val="20"/>
              </w:rPr>
            </w:r>
            <w:r>
              <w:rPr>
                <w:b/>
                <w:sz w:val="20"/>
              </w:rPr>
              <w:t>项目名称</w:t>
            </w:r>
          </w:p>
        </w:tc>
        <w:tc>
          <w:tcPr>
            <w:tcW w:type="dxa" w:w="2126"/>
            <w:shd w:val="clear" w:color="auto" w:fill="D9E2EC"/>
          </w:tcPr>
          <w:p>
            <w:pPr>
              <w:spacing w:before="40" w:after="40"/>
            </w:pPr>
            <w:r>
              <w:rPr>
                <w:b/>
                <w:sz w:val="20"/>
              </w:rPr>
            </w:r>
            <w:r>
              <w:rPr>
                <w:b/>
                <w:sz w:val="20"/>
              </w:rPr>
              <w:t>覆盖范围</w:t>
            </w:r>
          </w:p>
        </w:tc>
        <w:tc>
          <w:tcPr>
            <w:tcW w:type="dxa" w:w="2126"/>
            <w:shd w:val="clear" w:color="auto" w:fill="D9E2EC"/>
          </w:tcPr>
          <w:p>
            <w:pPr>
              <w:spacing w:before="40" w:after="40"/>
            </w:pPr>
            <w:r>
              <w:rPr>
                <w:b/>
                <w:sz w:val="20"/>
              </w:rPr>
            </w:r>
            <w:r>
              <w:rPr>
                <w:b/>
                <w:sz w:val="20"/>
              </w:rPr>
              <w:t>技术特点</w:t>
            </w:r>
          </w:p>
        </w:tc>
        <w:tc>
          <w:tcPr>
            <w:tcW w:type="dxa" w:w="2126"/>
            <w:shd w:val="clear" w:color="auto" w:fill="D9E2EC"/>
          </w:tcPr>
          <w:p>
            <w:pPr>
              <w:spacing w:before="40" w:after="40"/>
            </w:pPr>
            <w:r>
              <w:rPr>
                <w:b/>
                <w:sz w:val="20"/>
              </w:rPr>
            </w:r>
            <w:r>
              <w:rPr>
                <w:b/>
                <w:sz w:val="20"/>
              </w:rPr>
              <w:t>参考来源</w:t>
            </w:r>
          </w:p>
        </w:tc>
      </w:tr>
      <w:tr>
        <w:tc>
          <w:tcPr>
            <w:tcW w:type="dxa" w:w="2126"/>
          </w:tcPr>
          <w:p>
            <w:pPr>
              <w:spacing w:before="40" w:after="40"/>
            </w:pPr>
            <w:r>
              <w:rPr>
                <w:sz w:val="20"/>
              </w:rPr>
            </w:r>
            <w:r>
              <w:rPr>
                <w:sz w:val="20"/>
              </w:rPr>
              <w:t>CHAD-KG</w:t>
            </w:r>
          </w:p>
        </w:tc>
        <w:tc>
          <w:tcPr>
            <w:tcW w:type="dxa" w:w="2126"/>
          </w:tcPr>
          <w:p>
            <w:pPr>
              <w:spacing w:before="40" w:after="40"/>
            </w:pPr>
            <w:r>
              <w:rPr>
                <w:sz w:val="20"/>
              </w:rPr>
            </w:r>
            <w:r>
              <w:rPr>
                <w:sz w:val="20"/>
              </w:rPr>
              <w:t>文化遗产对象+数字化paradata</w:t>
            </w:r>
          </w:p>
        </w:tc>
        <w:tc>
          <w:tcPr>
            <w:tcW w:type="dxa" w:w="2126"/>
          </w:tcPr>
          <w:p>
            <w:pPr>
              <w:spacing w:before="40" w:after="40"/>
            </w:pPr>
            <w:r>
              <w:rPr>
                <w:sz w:val="20"/>
              </w:rPr>
            </w:r>
            <w:r>
              <w:rPr>
                <w:sz w:val="20"/>
              </w:rPr>
              <w:t>书目元数据与过程数据集成</w:t>
            </w:r>
          </w:p>
        </w:tc>
        <w:tc>
          <w:tcPr>
            <w:tcW w:type="dxa" w:w="2126"/>
          </w:tcPr>
          <w:p>
            <w:pPr>
              <w:spacing w:before="40" w:after="40"/>
            </w:pPr>
            <w:r>
              <w:rPr>
                <w:sz w:val="20"/>
              </w:rPr>
            </w:r>
            <w:r>
              <w:rPr>
                <w:sz w:val="20"/>
              </w:rPr>
              <w:t>[1]</w:t>
            </w:r>
          </w:p>
        </w:tc>
      </w:tr>
      <w:tr>
        <w:tc>
          <w:tcPr>
            <w:tcW w:type="dxa" w:w="2126"/>
            <w:shd w:val="clear" w:color="auto" w:fill="F5F5F5"/>
          </w:tcPr>
          <w:p>
            <w:pPr>
              <w:spacing w:before="40" w:after="40"/>
            </w:pPr>
            <w:r>
              <w:rPr>
                <w:sz w:val="20"/>
              </w:rPr>
            </w:r>
            <w:r>
              <w:rPr>
                <w:sz w:val="20"/>
              </w:rPr>
              <w:t>Europeana</w:t>
            </w:r>
          </w:p>
        </w:tc>
        <w:tc>
          <w:tcPr>
            <w:tcW w:type="dxa" w:w="2126"/>
            <w:shd w:val="clear" w:color="auto" w:fill="F5F5F5"/>
          </w:tcPr>
          <w:p>
            <w:pPr>
              <w:spacing w:before="40" w:after="40"/>
            </w:pPr>
            <w:r>
              <w:rPr>
                <w:sz w:val="20"/>
              </w:rPr>
            </w:r>
            <w:r>
              <w:rPr>
                <w:sz w:val="20"/>
              </w:rPr>
              <w:t>欧洲文化遗产聚合</w:t>
            </w:r>
          </w:p>
        </w:tc>
        <w:tc>
          <w:tcPr>
            <w:tcW w:type="dxa" w:w="2126"/>
            <w:shd w:val="clear" w:color="auto" w:fill="F5F5F5"/>
          </w:tcPr>
          <w:p>
            <w:pPr>
              <w:spacing w:before="40" w:after="40"/>
            </w:pPr>
            <w:r>
              <w:rPr>
                <w:sz w:val="20"/>
              </w:rPr>
            </w:r>
            <w:r>
              <w:rPr>
                <w:sz w:val="20"/>
              </w:rPr>
              <w:t>EDM模型+Linked Data</w:t>
            </w:r>
          </w:p>
        </w:tc>
        <w:tc>
          <w:tcPr>
            <w:tcW w:type="dxa" w:w="2126"/>
            <w:shd w:val="clear" w:color="auto" w:fill="F5F5F5"/>
          </w:tcPr>
          <w:p>
            <w:pPr>
              <w:spacing w:before="40" w:after="40"/>
            </w:pPr>
            <w:r>
              <w:rPr>
                <w:sz w:val="20"/>
              </w:rPr>
            </w:r>
            <w:r>
              <w:rPr>
                <w:sz w:val="20"/>
              </w:rPr>
              <w:t>[5]</w:t>
            </w:r>
          </w:p>
        </w:tc>
      </w:tr>
      <w:tr>
        <w:tc>
          <w:tcPr>
            <w:tcW w:type="dxa" w:w="2126"/>
          </w:tcPr>
          <w:p>
            <w:pPr>
              <w:spacing w:before="40" w:after="40"/>
            </w:pPr>
            <w:r>
              <w:rPr>
                <w:sz w:val="20"/>
              </w:rPr>
            </w:r>
            <w:r>
              <w:rPr>
                <w:sz w:val="20"/>
              </w:rPr>
              <w:t>CIDOC-CRM应用</w:t>
            </w:r>
          </w:p>
        </w:tc>
        <w:tc>
          <w:tcPr>
            <w:tcW w:type="dxa" w:w="2126"/>
          </w:tcPr>
          <w:p>
            <w:pPr>
              <w:spacing w:before="40" w:after="40"/>
            </w:pPr>
            <w:r>
              <w:rPr>
                <w:sz w:val="20"/>
              </w:rPr>
            </w:r>
            <w:r>
              <w:rPr>
                <w:sz w:val="20"/>
              </w:rPr>
              <w:t>博物馆藏品</w:t>
            </w:r>
          </w:p>
        </w:tc>
        <w:tc>
          <w:tcPr>
            <w:tcW w:type="dxa" w:w="2126"/>
          </w:tcPr>
          <w:p>
            <w:pPr>
              <w:spacing w:before="40" w:after="40"/>
            </w:pPr>
            <w:r>
              <w:rPr>
                <w:sz w:val="20"/>
              </w:rPr>
            </w:r>
            <w:r>
              <w:rPr>
                <w:sz w:val="20"/>
              </w:rPr>
              <w:t>领域本体标准</w:t>
            </w:r>
          </w:p>
        </w:tc>
        <w:tc>
          <w:tcPr>
            <w:tcW w:type="dxa" w:w="2126"/>
          </w:tcPr>
          <w:p>
            <w:pPr>
              <w:spacing w:before="40" w:after="40"/>
            </w:pPr>
            <w:r>
              <w:rPr>
                <w:sz w:val="20"/>
              </w:rPr>
            </w:r>
            <w:r>
              <w:rPr>
                <w:sz w:val="20"/>
              </w:rPr>
              <w:t>[4]</w:t>
            </w:r>
          </w:p>
        </w:tc>
      </w:tr>
      <w:tr>
        <w:tc>
          <w:tcPr>
            <w:tcW w:type="dxa" w:w="2126"/>
            <w:shd w:val="clear" w:color="auto" w:fill="F5F5F5"/>
          </w:tcPr>
          <w:p>
            <w:pPr>
              <w:spacing w:before="40" w:after="40"/>
            </w:pPr>
            <w:r>
              <w:rPr>
                <w:sz w:val="20"/>
              </w:rPr>
            </w:r>
            <w:r>
              <w:rPr>
                <w:sz w:val="20"/>
              </w:rPr>
              <w:t>历史戏剧照片KG</w:t>
            </w:r>
          </w:p>
        </w:tc>
        <w:tc>
          <w:tcPr>
            <w:tcW w:type="dxa" w:w="2126"/>
            <w:shd w:val="clear" w:color="auto" w:fill="F5F5F5"/>
          </w:tcPr>
          <w:p>
            <w:pPr>
              <w:spacing w:before="40" w:after="40"/>
            </w:pPr>
            <w:r>
              <w:rPr>
                <w:sz w:val="20"/>
              </w:rPr>
            </w:r>
            <w:r>
              <w:rPr>
                <w:sz w:val="20"/>
              </w:rPr>
              <w:t>视觉文化遗产</w:t>
            </w:r>
          </w:p>
        </w:tc>
        <w:tc>
          <w:tcPr>
            <w:tcW w:type="dxa" w:w="2126"/>
            <w:shd w:val="clear" w:color="auto" w:fill="F5F5F5"/>
          </w:tcPr>
          <w:p>
            <w:pPr>
              <w:spacing w:before="40" w:after="40"/>
            </w:pPr>
            <w:r>
              <w:rPr>
                <w:sz w:val="20"/>
              </w:rPr>
            </w:r>
            <w:r>
              <w:rPr>
                <w:sz w:val="20"/>
              </w:rPr>
              <w:t>图像分析+知识图谱</w:t>
            </w:r>
          </w:p>
        </w:tc>
        <w:tc>
          <w:tcPr>
            <w:tcW w:type="dxa" w:w="2126"/>
            <w:shd w:val="clear" w:color="auto" w:fill="F5F5F5"/>
          </w:tcPr>
          <w:p>
            <w:pPr>
              <w:spacing w:before="40" w:after="40"/>
            </w:pPr>
            <w:r>
              <w:rPr>
                <w:sz w:val="20"/>
              </w:rPr>
            </w:r>
            <w:r>
              <w:rPr>
                <w:sz w:val="20"/>
              </w:rPr>
              <w:t>[8]</w:t>
            </w:r>
          </w:p>
        </w:tc>
      </w:tr>
      <w:tr>
        <w:tc>
          <w:tcPr>
            <w:tcW w:type="dxa" w:w="2126"/>
          </w:tcPr>
          <w:p>
            <w:pPr>
              <w:spacing w:before="40" w:after="40"/>
            </w:pPr>
            <w:r>
              <w:rPr>
                <w:sz w:val="20"/>
              </w:rPr>
            </w:r>
            <w:r>
              <w:rPr>
                <w:sz w:val="20"/>
              </w:rPr>
              <w:t>大屠杀档案KG</w:t>
            </w:r>
          </w:p>
        </w:tc>
        <w:tc>
          <w:tcPr>
            <w:tcW w:type="dxa" w:w="2126"/>
          </w:tcPr>
          <w:p>
            <w:pPr>
              <w:spacing w:before="40" w:after="40"/>
            </w:pPr>
            <w:r>
              <w:rPr>
                <w:sz w:val="20"/>
              </w:rPr>
            </w:r>
            <w:r>
              <w:rPr>
                <w:sz w:val="20"/>
              </w:rPr>
              <w:t>档案遗产</w:t>
            </w:r>
          </w:p>
        </w:tc>
        <w:tc>
          <w:tcPr>
            <w:tcW w:type="dxa" w:w="2126"/>
          </w:tcPr>
          <w:p>
            <w:pPr>
              <w:spacing w:before="40" w:after="40"/>
            </w:pPr>
            <w:r>
              <w:rPr>
                <w:sz w:val="20"/>
              </w:rPr>
            </w:r>
            <w:r>
              <w:rPr>
                <w:sz w:val="20"/>
              </w:rPr>
              <w:t>CIDOC-CRM+知识发现</w:t>
            </w:r>
          </w:p>
        </w:tc>
        <w:tc>
          <w:tcPr>
            <w:tcW w:type="dxa" w:w="2126"/>
          </w:tcPr>
          <w:p>
            <w:pPr>
              <w:spacing w:before="40" w:after="40"/>
            </w:pPr>
            <w:r>
              <w:rPr>
                <w:sz w:val="20"/>
              </w:rPr>
            </w:r>
            <w:r>
              <w:rPr>
                <w:sz w:val="20"/>
              </w:rPr>
              <w:t>[9]</w:t>
            </w:r>
          </w:p>
        </w:tc>
      </w:tr>
    </w:tbl>
    <w:p>
      <w:pPr>
        <w:spacing w:after="80" w:line="360" w:lineRule="auto"/>
        <w:ind w:firstLine="420"/>
      </w:pPr>
      <w:r>
        <w:rPr>
          <w:sz w:val="22"/>
        </w:rPr>
        <w:t>García-González和Bryant（2023）在研究大屠杀档案材料知识图谱时，展示了CIDOC-CRM本体在敏感历史档案中的语义组织能力[9]。</w:t>
      </w:r>
    </w:p>
    <w:p>
      <w:pPr>
        <w:spacing w:before="200" w:after="120"/>
      </w:pPr>
      <w:r>
        <w:rPr>
          <w:b/>
          <w:color w:val="457B9D"/>
          <w:sz w:val="30"/>
        </w:rPr>
        <w:t>8.4 知识图谱可视化与交互</w:t>
      </w:r>
    </w:p>
    <w:p>
      <w:pPr>
        <w:spacing w:before="160" w:after="80"/>
      </w:pPr>
      <w:r>
        <w:rPr>
          <w:b/>
          <w:color w:val="2A9D8F"/>
          <w:sz w:val="26"/>
        </w:rPr>
        <w:t>8.4.1 数字遗产收藏的知识图谱可视化界面</w:t>
      </w:r>
    </w:p>
    <w:p>
      <w:pPr>
        <w:spacing w:after="80" w:line="360" w:lineRule="auto"/>
        <w:ind w:firstLine="420"/>
      </w:pPr>
      <w:r>
        <w:rPr>
          <w:sz w:val="22"/>
        </w:rPr>
        <w:t>Khoo等人（2024）在研究数字遗产收藏的知识图谱可视化界面时，提出传统的列表式搜索结果展示方式无法充分呈现遗产对象之间的关联网络，知识图谱可视化能够帮助用户发现意料之外的知识关联[2]。</w:t>
      </w:r>
    </w:p>
    <w:p>
      <w:pPr>
        <w:spacing w:before="160" w:after="80"/>
      </w:pPr>
      <w:r>
        <w:rPr>
          <w:b/>
          <w:color w:val="2A9D8F"/>
          <w:sz w:val="26"/>
        </w:rPr>
        <w:t>8.4.2 知识图谱驱动的智能推荐</w:t>
      </w:r>
    </w:p>
    <w:p>
      <w:pPr>
        <w:spacing w:after="80" w:line="360" w:lineRule="auto"/>
        <w:ind w:firstLine="420"/>
      </w:pPr>
      <w:r>
        <w:rPr>
          <w:sz w:val="22"/>
        </w:rPr>
        <w:t>Kutt等人（2026）在研究文化遗产知识图谱的三阶段神经符号推荐管道时，提出了一种结合知识图谱推理和深度学习的混合推荐方法——先通过知识图谱推理生成候选集，再由神经网络精排，实现文化遗产内容的个性化推荐[10]。</w:t>
      </w:r>
    </w:p>
    <w:p>
      <w:pPr>
        <w:spacing w:before="160" w:after="80"/>
      </w:pPr>
      <w:r>
        <w:rPr>
          <w:b/>
          <w:color w:val="2A9D8F"/>
          <w:sz w:val="26"/>
        </w:rPr>
        <w:t>8.4.3 知识图谱与深度学习的协同增强</w:t>
      </w:r>
    </w:p>
    <w:p>
      <w:pPr>
        <w:spacing w:after="80" w:line="360" w:lineRule="auto"/>
        <w:ind w:firstLine="420"/>
      </w:pPr>
      <w:r>
        <w:rPr>
          <w:sz w:val="22"/>
        </w:rPr>
        <w:t>Huang等人（2023）提出知识图谱与深度学习的协同框架——知识图谱提供结构化的领域知识作为深度学习模型的先验，深度学习模型则从非结构化数据中提取新知识反哺知识图谱[7]。这种协同机制在文化遗产领域有广阔应用前景——如利用知识图谱中的文物关联信息增强AI病害识别模型的泛化能力。</w:t>
      </w:r>
    </w:p>
    <w:p>
      <w:pPr>
        <w:spacing w:before="200" w:after="120"/>
      </w:pPr>
      <w:r>
        <w:rPr>
          <w:b/>
          <w:color w:val="457B9D"/>
          <w:sz w:val="30"/>
        </w:rPr>
        <w:t>8.5 文化遗产数据的长期保存与互操作</w:t>
      </w:r>
    </w:p>
    <w:p>
      <w:pPr>
        <w:spacing w:before="160" w:after="80"/>
      </w:pPr>
      <w:r>
        <w:rPr>
          <w:b/>
          <w:color w:val="2A9D8F"/>
          <w:sz w:val="26"/>
        </w:rPr>
        <w:t>8.5.1 OAIS参考模型</w:t>
      </w:r>
    </w:p>
    <w:p>
      <w:pPr>
        <w:spacing w:after="80" w:line="360" w:lineRule="auto"/>
        <w:ind w:firstLine="420"/>
      </w:pPr>
      <w:r>
        <w:rPr>
          <w:sz w:val="22"/>
        </w:rPr>
        <w:t>OAIS（Open Archival Information System）模型为文化遗产数字数据的长期保存提供了国际标准框架（ISO 14721）。其核心功能实体包括摄取、档案存储、数据管理、保存规划、访问和行政管理。OAIS模型的"保存规划"实体特别重要——它负责监控技术环境变化，在文件格式或软件过时之前制定迁移策略。</w:t>
      </w:r>
    </w:p>
    <w:p>
      <w:pPr>
        <w:spacing w:before="160" w:after="80"/>
      </w:pPr>
      <w:r>
        <w:rPr>
          <w:b/>
          <w:color w:val="2A9D8F"/>
          <w:sz w:val="26"/>
        </w:rPr>
        <w:t>8.5.2 跨机构数据互操作框架</w:t>
      </w:r>
    </w:p>
    <w:p>
      <w:pPr>
        <w:spacing w:after="80" w:line="360" w:lineRule="auto"/>
        <w:ind w:firstLine="420"/>
      </w:pPr>
      <w:r>
        <w:rPr>
          <w:sz w:val="22"/>
        </w:rPr>
        <w:t>跨机构数据互操作需要在技术、语义和组织三个层面协同推进：</w:t>
      </w:r>
    </w:p>
    <w:p>
      <w:pPr>
        <w:pStyle w:val="ListBullet"/>
      </w:pPr>
      <w:r>
        <w:rPr>
          <w:b/>
          <w:sz w:val="22"/>
        </w:rPr>
        <w:t>技术层面</w:t>
      </w:r>
      <w:r>
        <w:rPr>
          <w:sz w:val="22"/>
        </w:rPr>
        <w:t>：统一的API接口标准和数据交换协议</w:t>
      </w:r>
    </w:p>
    <w:p>
      <w:pPr>
        <w:pStyle w:val="ListBullet"/>
      </w:pPr>
      <w:r>
        <w:rPr>
          <w:b/>
          <w:sz w:val="22"/>
        </w:rPr>
        <w:t>语义层面</w:t>
      </w:r>
      <w:r>
        <w:rPr>
          <w:sz w:val="22"/>
        </w:rPr>
        <w:t>：共同的元数据标准和本体映射</w:t>
      </w:r>
    </w:p>
    <w:p>
      <w:pPr>
        <w:pStyle w:val="ListBullet"/>
      </w:pPr>
      <w:r>
        <w:rPr>
          <w:b/>
          <w:sz w:val="22"/>
        </w:rPr>
        <w:t>组织层面</w:t>
      </w:r>
      <w:r>
        <w:rPr>
          <w:sz w:val="22"/>
        </w:rPr>
        <w:t>：数据共享协议、权益分配机制和治理框架</w:t>
      </w:r>
    </w:p>
    <w:p>
      <w:pPr>
        <w:spacing w:after="80" w:line="360" w:lineRule="auto"/>
        <w:ind w:firstLine="420"/>
      </w:pPr>
      <w:r>
        <w:rPr>
          <w:sz w:val="22"/>
        </w:rPr>
        <w:t>Bliūdžiuvienė（2011）在研究构建综合数字文化遗产环境的标准化维度时，指出欧洲统一信息系统的建设需要在标准化层面解决多语言、多格式、多标准并存的挑战[11]。</w:t>
      </w:r>
    </w:p>
    <w:p>
      <w:pPr>
        <w:spacing w:before="160" w:after="80"/>
      </w:pPr>
      <w:r>
        <w:rPr>
          <w:b/>
          <w:color w:val="2A9D8F"/>
          <w:sz w:val="26"/>
        </w:rPr>
        <w:t>8.5.3 Web3与隐私保护的数字档案访问</w:t>
      </w:r>
    </w:p>
    <w:p>
      <w:pPr>
        <w:spacing w:after="80" w:line="360" w:lineRule="auto"/>
        <w:ind w:firstLine="420"/>
      </w:pPr>
      <w:r>
        <w:rPr>
          <w:sz w:val="22"/>
        </w:rPr>
        <w:t>Lemieux等人（2025）在研究Clio-X——一种Web3隐私保护AI访问数字档案的方案时，提出利用Web3技术实现"数据可用不可见"的档案访问模式[12]。这一模式适用于涉及个人隐私或文化敏感信息的遗产档案——研究者可以使用AI分析数据，但无法直接查看原始内容。Moraitou等人（2018）在研究文化遗产收藏的语义预防性保护时，也探讨了语义技术在敏感遗产数据管理中的应用[13]。</w:t>
      </w:r>
    </w:p>
    <w:p>
      <w:pPr>
        <w:spacing w:before="200" w:after="120"/>
      </w:pPr>
      <w:r>
        <w:rPr>
          <w:b/>
          <w:color w:val="457B9D"/>
          <w:sz w:val="30"/>
        </w:rPr>
        <w:t>本章小结</w:t>
      </w:r>
    </w:p>
    <w:p>
      <w:pPr>
        <w:spacing w:after="80" w:line="360" w:lineRule="auto"/>
        <w:ind w:firstLine="420"/>
      </w:pPr>
      <w:r>
        <w:rPr>
          <w:sz w:val="22"/>
        </w:rPr>
        <w:t>本章深入D.I.G.I.T.框架的数据管理支撑层，系统介绍了知识图谱与文化遗产数据管理的理论和技术。文化遗产数据面临异构性、碎片化和多标准并存的挑战，知识图谱技术为语义互操作提供了系统解决方案。CIDOC-CRM作为文化遗产领域最权威的本体标准，提供了以事件为中心的概念框架。知识图谱构建涉及实体识别、关系抽取、实体对齐、知识融合和质量评估等核心任务。CHAD-KG等典型项目展示了知识图谱在文化遗产领域的应用前景。知识图谱可视化、智能推荐和与深度学习的协同增强是当前研究热点。长期保存遵循OAIS参考模型，跨机构互操作需要在技术、语义和组织三个层面协同推进，Web3技术为隐私保护的数字档案访问提供了新方案。</w:t>
      </w:r>
    </w:p>
    <w:p>
      <w:pPr>
        <w:spacing w:before="200" w:after="120"/>
      </w:pPr>
      <w:r>
        <w:rPr>
          <w:b/>
          <w:color w:val="457B9D"/>
          <w:sz w:val="30"/>
        </w:rPr>
        <w:t>思考题</w:t>
      </w:r>
    </w:p>
    <w:p>
      <w:pPr>
        <w:pStyle w:val="ListNumber"/>
      </w:pPr>
      <w:r>
        <w:rPr>
          <w:b/>
          <w:sz w:val="22"/>
        </w:rPr>
        <w:t>（识记）</w:t>
      </w:r>
      <w:r>
        <w:rPr>
          <w:sz w:val="22"/>
        </w:rPr>
        <w:t xml:space="preserve"> CIDOC-CRM的核心设计理念是什么？它与Dublin Core有何本质区别？</w:t>
      </w:r>
    </w:p>
    <w:p>
      <w:pPr>
        <w:pStyle w:val="ListNumber"/>
      </w:pPr>
      <w:r>
        <w:rPr>
          <w:b/>
          <w:sz w:val="22"/>
        </w:rPr>
        <w:t>（理解）</w:t>
      </w:r>
      <w:r>
        <w:rPr>
          <w:sz w:val="22"/>
        </w:rPr>
        <w:t xml:space="preserve"> 解释知识图谱如何帮助文化遗产数据管理实现从"信息检索"到"知识发现"的跃迁。</w:t>
      </w:r>
    </w:p>
    <w:p>
      <w:pPr>
        <w:pStyle w:val="ListNumber"/>
      </w:pPr>
      <w:r>
        <w:rPr>
          <w:b/>
          <w:sz w:val="22"/>
        </w:rPr>
        <w:t>（应用）</w:t>
      </w:r>
      <w:r>
        <w:rPr>
          <w:sz w:val="22"/>
        </w:rPr>
        <w:t xml:space="preserve"> 请为一个省级博物馆设计知识图谱构建方案，包含数据源、实体类型、关系类型和技术路线。</w:t>
      </w:r>
    </w:p>
    <w:p>
      <w:pPr>
        <w:pStyle w:val="ListNumber"/>
      </w:pPr>
      <w:r>
        <w:rPr>
          <w:b/>
          <w:sz w:val="22"/>
        </w:rPr>
        <w:t>（分析）</w:t>
      </w:r>
      <w:r>
        <w:rPr>
          <w:sz w:val="22"/>
        </w:rPr>
        <w:t xml:space="preserve"> 分析CHAD-KG将对象元数据与数字化paradata集成的创新价值，指出这种集成带来的新应用场景。</w:t>
      </w:r>
    </w:p>
    <w:p>
      <w:pPr>
        <w:pStyle w:val="ListNumber"/>
      </w:pPr>
      <w:r>
        <w:rPr>
          <w:b/>
          <w:sz w:val="22"/>
        </w:rPr>
        <w:t>（评价）</w:t>
      </w:r>
      <w:r>
        <w:rPr>
          <w:sz w:val="22"/>
        </w:rPr>
        <w:t xml:space="preserve"> 评估OAIS参考模型在文化遗产数字资源长期保存中的适用性，指出其不足之处。</w:t>
      </w:r>
    </w:p>
    <w:p>
      <w:pPr>
        <w:pStyle w:val="ListNumber"/>
      </w:pPr>
      <w:r>
        <w:rPr>
          <w:b/>
          <w:sz w:val="22"/>
        </w:rPr>
        <w:t>（创造）</w:t>
      </w:r>
      <w:r>
        <w:rPr>
          <w:sz w:val="22"/>
        </w:rPr>
        <w:t xml:space="preserve"> 请设计一个"文化遗产知识图谱可视化系统"的概念方案，说明可视化形式、交互方式和应用场景。</w:t>
      </w:r>
    </w:p>
    <w:p>
      <w:pPr>
        <w:spacing w:before="160" w:after="80"/>
      </w:pPr>
      <w:r>
        <w:rPr>
          <w:b/>
          <w:color w:val="2A9D8F"/>
          <w:sz w:val="26"/>
        </w:rPr>
        <w:t>8.6 知识图谱构建的实践指南</w:t>
      </w:r>
    </w:p>
    <w:p>
      <w:pPr>
        <w:spacing w:before="120"/>
      </w:pPr>
      <w:r>
        <w:rPr>
          <w:b/>
          <w:sz w:val="22"/>
        </w:rPr>
        <w:t>8.6.1 需求分析与本体设计</w:t>
      </w:r>
    </w:p>
    <w:p>
      <w:pPr>
        <w:spacing w:after="80" w:line="360" w:lineRule="auto"/>
        <w:ind w:firstLine="420"/>
      </w:pPr>
      <w:r>
        <w:rPr>
          <w:sz w:val="22"/>
        </w:rPr>
        <w:t>知识图谱构建的第一步是需求分析——明确知识图谱要回答什么问题、服务什么用户。文化遗产知识图谱的典型需求包括：跨库检索（在多个机构的藏品中搜索相关文物）、关联发现（发现文物与人物、事件、地点之间的关联）、知识推理（基于已知关系推断隐含关系）。</w:t>
      </w:r>
    </w:p>
    <w:p>
      <w:pPr>
        <w:spacing w:after="80" w:line="360" w:lineRule="auto"/>
        <w:ind w:firstLine="420"/>
      </w:pPr>
      <w:r>
        <w:rPr>
          <w:sz w:val="22"/>
        </w:rPr>
        <w:t>本体设计是知识图谱的蓝图。CIDOC-CRM提供了文化遗产领域的通用本体，但具体实施时需要根据机构需求进行扩展——例如，博物馆可能需要扩展"展览"相关的实体和关系，考古所可能需要扩展"地层"和"遗迹"相关的概念。</w:t>
      </w:r>
    </w:p>
    <w:p>
      <w:pPr>
        <w:spacing w:after="80" w:line="360" w:lineRule="auto"/>
        <w:ind w:firstLine="420"/>
      </w:pPr>
      <w:r>
        <w:rPr>
          <w:sz w:val="22"/>
        </w:rPr>
        <w:t>Faraj和Micsik（2021）在验证CIDOC-CRM知识图谱时，指出本体设计的关键挑战是"平衡通用性和特异性"——过于通用的本体难以满足具体需求，过于特异的本体失去互操作性[14]。</w:t>
      </w:r>
    </w:p>
    <w:p>
      <w:pPr>
        <w:spacing w:before="120"/>
      </w:pPr>
      <w:r>
        <w:rPr>
          <w:b/>
          <w:sz w:val="22"/>
        </w:rPr>
        <w:t>8.6.2 数据来源与预处理</w:t>
      </w:r>
    </w:p>
    <w:p>
      <w:pPr>
        <w:spacing w:after="80" w:line="360" w:lineRule="auto"/>
        <w:ind w:firstLine="420"/>
      </w:pPr>
      <w:r>
        <w:rPr>
          <w:sz w:val="22"/>
        </w:rPr>
        <w:t>文化遗产知识图谱的数据来源包括：结构化数据（博物馆藏品数据库）、半结构化数据（XML格式的元数据记录）、非结构化数据（考古报告、展品说明文字、研究文献）。不同来源的数据需要经过清洗、标准化和实体对齐后才能融合到统一知识图谱中。</w:t>
      </w:r>
    </w:p>
    <w:p>
      <w:pPr>
        <w:spacing w:after="80" w:line="360" w:lineRule="auto"/>
        <w:ind w:firstLine="420"/>
      </w:pPr>
      <w:r>
        <w:rPr>
          <w:sz w:val="22"/>
        </w:rPr>
        <w:t>Tietz等人（2020）在构建历史戏剧照片知识图谱时，展示了从视觉资源中自动提取实体和关系的流程——利用计算机视觉识别照片中的人物、建筑和场景，再通过自然语言处理从附属文本中提取语义关系[15]。</w:t>
      </w:r>
    </w:p>
    <w:p>
      <w:pPr>
        <w:spacing w:before="120"/>
      </w:pPr>
      <w:r>
        <w:rPr>
          <w:b/>
          <w:sz w:val="22"/>
        </w:rPr>
        <w:t>8.6.3 知识图谱的维护与更新</w:t>
      </w:r>
    </w:p>
    <w:p>
      <w:pPr>
        <w:spacing w:after="80" w:line="360" w:lineRule="auto"/>
        <w:ind w:firstLine="420"/>
      </w:pPr>
      <w:r>
        <w:rPr>
          <w:sz w:val="22"/>
        </w:rPr>
        <w:t>知识图谱不是"建好就完"的静态产物，而是需要持续维护和更新的"活"系统。维护工作包括：新增实体和关系（新入藏文物、新研究成果）、修正错误（实体对齐错误、关系标注错误）、扩展本体（新概念类型的引入）。Barzaghi等人（2025）的CHAD-KG项目特别强调了paradata的持续更新——每次数字化过程的设备、参数和质量评估信息都应追加到知识图谱中[16]。</w:t>
      </w:r>
    </w:p>
    <w:p>
      <w:pPr>
        <w:spacing w:before="160" w:after="80"/>
      </w:pPr>
      <w:r>
        <w:rPr>
          <w:b/>
          <w:color w:val="2A9D8F"/>
          <w:sz w:val="26"/>
        </w:rPr>
        <w:t>8.7 文化遗产数据治理框架</w:t>
      </w:r>
    </w:p>
    <w:p>
      <w:pPr>
        <w:spacing w:before="120"/>
      </w:pPr>
      <w:r>
        <w:rPr>
          <w:b/>
          <w:sz w:val="22"/>
        </w:rPr>
        <w:t>8.7.1 数据生命周期管理</w:t>
      </w:r>
    </w:p>
    <w:p>
      <w:pPr>
        <w:spacing w:after="80" w:line="360" w:lineRule="auto"/>
        <w:ind w:firstLine="420"/>
      </w:pPr>
      <w:r>
        <w:rPr>
          <w:sz w:val="22"/>
        </w:rPr>
        <w:t>文化遗产数字数据遵循"创建→处理→存储→使用→归档→迁移"的生命周期。每个阶段都有相应的治理需求：创建阶段需确保数据采集的规范性和完整性；处理阶段需记录处理步骤和参数（paradata）；存储阶段需保障数据安全和完整性；使用阶段需管理访问权限和使用授权；归档阶段需遵循长期保存标准；迁移阶段需确保数据无损转换。</w:t>
      </w:r>
    </w:p>
    <w:p>
      <w:pPr>
        <w:spacing w:after="80" w:line="360" w:lineRule="auto"/>
        <w:ind w:firstLine="420"/>
      </w:pPr>
      <w:r>
        <w:rPr>
          <w:sz w:val="22"/>
        </w:rPr>
        <w:t>Lemieux等人（2025）在研究Clio-X Web3方案时，提出利用区块链技术记录数据生命周期中的关键操作——谁在何时创建、修改或访问了数据——确保数据治理的可审计性[17]。</w:t>
      </w:r>
    </w:p>
    <w:p>
      <w:pPr>
        <w:spacing w:before="120"/>
      </w:pPr>
      <w:r>
        <w:rPr>
          <w:b/>
          <w:sz w:val="22"/>
        </w:rPr>
        <w:t>8.7.2 数据质量评估</w:t>
      </w:r>
    </w:p>
    <w:p>
      <w:pPr>
        <w:spacing w:after="80" w:line="360" w:lineRule="auto"/>
        <w:ind w:firstLine="420"/>
      </w:pPr>
      <w:r>
        <w:rPr>
          <w:sz w:val="22"/>
        </w:rPr>
        <w:t>文化遗产数字数据的质量评估应包含以下维度：</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D9E2EC"/>
          </w:tcPr>
          <w:p>
            <w:pPr>
              <w:spacing w:before="40" w:after="40"/>
            </w:pPr>
            <w:r>
              <w:rPr>
                <w:b/>
                <w:sz w:val="20"/>
              </w:rPr>
            </w:r>
            <w:r>
              <w:rPr>
                <w:b/>
                <w:sz w:val="20"/>
              </w:rPr>
              <w:t>质量维度</w:t>
            </w:r>
          </w:p>
        </w:tc>
        <w:tc>
          <w:tcPr>
            <w:tcW w:type="dxa" w:w="2835"/>
            <w:shd w:val="clear" w:color="auto" w:fill="D9E2EC"/>
          </w:tcPr>
          <w:p>
            <w:pPr>
              <w:spacing w:before="40" w:after="40"/>
            </w:pPr>
            <w:r>
              <w:rPr>
                <w:b/>
                <w:sz w:val="20"/>
              </w:rPr>
            </w:r>
            <w:r>
              <w:rPr>
                <w:b/>
                <w:sz w:val="20"/>
              </w:rPr>
              <w:t>评估内容</w:t>
            </w:r>
          </w:p>
        </w:tc>
        <w:tc>
          <w:tcPr>
            <w:tcW w:type="dxa" w:w="2835"/>
            <w:shd w:val="clear" w:color="auto" w:fill="D9E2EC"/>
          </w:tcPr>
          <w:p>
            <w:pPr>
              <w:spacing w:before="40" w:after="40"/>
            </w:pPr>
            <w:r>
              <w:rPr>
                <w:b/>
                <w:sz w:val="20"/>
              </w:rPr>
            </w:r>
            <w:r>
              <w:rPr>
                <w:b/>
                <w:sz w:val="20"/>
              </w:rPr>
              <w:t>评估方法</w:t>
            </w:r>
          </w:p>
        </w:tc>
      </w:tr>
      <w:tr>
        <w:tc>
          <w:tcPr>
            <w:tcW w:type="dxa" w:w="2835"/>
          </w:tcPr>
          <w:p>
            <w:pPr>
              <w:spacing w:before="40" w:after="40"/>
            </w:pPr>
            <w:r>
              <w:rPr>
                <w:sz w:val="20"/>
              </w:rPr>
            </w:r>
            <w:r>
              <w:rPr>
                <w:sz w:val="20"/>
              </w:rPr>
              <w:t>完整性</w:t>
            </w:r>
          </w:p>
        </w:tc>
        <w:tc>
          <w:tcPr>
            <w:tcW w:type="dxa" w:w="2835"/>
          </w:tcPr>
          <w:p>
            <w:pPr>
              <w:spacing w:before="40" w:after="40"/>
            </w:pPr>
            <w:r>
              <w:rPr>
                <w:sz w:val="20"/>
              </w:rPr>
            </w:r>
            <w:r>
              <w:rPr>
                <w:sz w:val="20"/>
              </w:rPr>
              <w:t>元数据字段的填写率</w:t>
            </w:r>
          </w:p>
        </w:tc>
        <w:tc>
          <w:tcPr>
            <w:tcW w:type="dxa" w:w="2835"/>
          </w:tcPr>
          <w:p>
            <w:pPr>
              <w:spacing w:before="40" w:after="40"/>
            </w:pPr>
            <w:r>
              <w:rPr>
                <w:sz w:val="20"/>
              </w:rPr>
            </w:r>
            <w:r>
              <w:rPr>
                <w:sz w:val="20"/>
              </w:rPr>
              <w:t>字段覆盖率统计</w:t>
            </w:r>
          </w:p>
        </w:tc>
      </w:tr>
      <w:tr>
        <w:tc>
          <w:tcPr>
            <w:tcW w:type="dxa" w:w="2835"/>
            <w:shd w:val="clear" w:color="auto" w:fill="F5F5F5"/>
          </w:tcPr>
          <w:p>
            <w:pPr>
              <w:spacing w:before="40" w:after="40"/>
            </w:pPr>
            <w:r>
              <w:rPr>
                <w:sz w:val="20"/>
              </w:rPr>
            </w:r>
            <w:r>
              <w:rPr>
                <w:sz w:val="20"/>
              </w:rPr>
              <w:t>准确性</w:t>
            </w:r>
          </w:p>
        </w:tc>
        <w:tc>
          <w:tcPr>
            <w:tcW w:type="dxa" w:w="2835"/>
            <w:shd w:val="clear" w:color="auto" w:fill="F5F5F5"/>
          </w:tcPr>
          <w:p>
            <w:pPr>
              <w:spacing w:before="40" w:after="40"/>
            </w:pPr>
            <w:r>
              <w:rPr>
                <w:sz w:val="20"/>
              </w:rPr>
            </w:r>
            <w:r>
              <w:rPr>
                <w:sz w:val="20"/>
              </w:rPr>
              <w:t>数据与权威源的一致性</w:t>
            </w:r>
          </w:p>
        </w:tc>
        <w:tc>
          <w:tcPr>
            <w:tcW w:type="dxa" w:w="2835"/>
            <w:shd w:val="clear" w:color="auto" w:fill="F5F5F5"/>
          </w:tcPr>
          <w:p>
            <w:pPr>
              <w:spacing w:before="40" w:after="40"/>
            </w:pPr>
            <w:r>
              <w:rPr>
                <w:sz w:val="20"/>
              </w:rPr>
            </w:r>
            <w:r>
              <w:rPr>
                <w:sz w:val="20"/>
              </w:rPr>
              <w:t>抽样比对验证</w:t>
            </w:r>
          </w:p>
        </w:tc>
      </w:tr>
      <w:tr>
        <w:tc>
          <w:tcPr>
            <w:tcW w:type="dxa" w:w="2835"/>
          </w:tcPr>
          <w:p>
            <w:pPr>
              <w:spacing w:before="40" w:after="40"/>
            </w:pPr>
            <w:r>
              <w:rPr>
                <w:sz w:val="20"/>
              </w:rPr>
            </w:r>
            <w:r>
              <w:rPr>
                <w:sz w:val="20"/>
              </w:rPr>
              <w:t>一致性</w:t>
            </w:r>
          </w:p>
        </w:tc>
        <w:tc>
          <w:tcPr>
            <w:tcW w:type="dxa" w:w="2835"/>
          </w:tcPr>
          <w:p>
            <w:pPr>
              <w:spacing w:before="40" w:after="40"/>
            </w:pPr>
            <w:r>
              <w:rPr>
                <w:sz w:val="20"/>
              </w:rPr>
            </w:r>
            <w:r>
              <w:rPr>
                <w:sz w:val="20"/>
              </w:rPr>
              <w:t>跨库数据的逻辑一致性</w:t>
            </w:r>
          </w:p>
        </w:tc>
        <w:tc>
          <w:tcPr>
            <w:tcW w:type="dxa" w:w="2835"/>
          </w:tcPr>
          <w:p>
            <w:pPr>
              <w:spacing w:before="40" w:after="40"/>
            </w:pPr>
            <w:r>
              <w:rPr>
                <w:sz w:val="20"/>
              </w:rPr>
            </w:r>
            <w:r>
              <w:rPr>
                <w:sz w:val="20"/>
              </w:rPr>
              <w:t>规则检查和冲突检测</w:t>
            </w:r>
          </w:p>
        </w:tc>
      </w:tr>
      <w:tr>
        <w:tc>
          <w:tcPr>
            <w:tcW w:type="dxa" w:w="2835"/>
            <w:shd w:val="clear" w:color="auto" w:fill="F5F5F5"/>
          </w:tcPr>
          <w:p>
            <w:pPr>
              <w:spacing w:before="40" w:after="40"/>
            </w:pPr>
            <w:r>
              <w:rPr>
                <w:sz w:val="20"/>
              </w:rPr>
            </w:r>
            <w:r>
              <w:rPr>
                <w:sz w:val="20"/>
              </w:rPr>
              <w:t>时效性</w:t>
            </w:r>
          </w:p>
        </w:tc>
        <w:tc>
          <w:tcPr>
            <w:tcW w:type="dxa" w:w="2835"/>
            <w:shd w:val="clear" w:color="auto" w:fill="F5F5F5"/>
          </w:tcPr>
          <w:p>
            <w:pPr>
              <w:spacing w:before="40" w:after="40"/>
            </w:pPr>
            <w:r>
              <w:rPr>
                <w:sz w:val="20"/>
              </w:rPr>
            </w:r>
            <w:r>
              <w:rPr>
                <w:sz w:val="20"/>
              </w:rPr>
              <w:t>数据的更新及时性</w:t>
            </w:r>
          </w:p>
        </w:tc>
        <w:tc>
          <w:tcPr>
            <w:tcW w:type="dxa" w:w="2835"/>
            <w:shd w:val="clear" w:color="auto" w:fill="F5F5F5"/>
          </w:tcPr>
          <w:p>
            <w:pPr>
              <w:spacing w:before="40" w:after="40"/>
            </w:pPr>
            <w:r>
              <w:rPr>
                <w:sz w:val="20"/>
              </w:rPr>
            </w:r>
            <w:r>
              <w:rPr>
                <w:sz w:val="20"/>
              </w:rPr>
              <w:t>更新频率审计</w:t>
            </w:r>
          </w:p>
        </w:tc>
      </w:tr>
      <w:tr>
        <w:tc>
          <w:tcPr>
            <w:tcW w:type="dxa" w:w="2835"/>
          </w:tcPr>
          <w:p>
            <w:pPr>
              <w:spacing w:before="40" w:after="40"/>
            </w:pPr>
            <w:r>
              <w:rPr>
                <w:sz w:val="20"/>
              </w:rPr>
            </w:r>
            <w:r>
              <w:rPr>
                <w:sz w:val="20"/>
              </w:rPr>
              <w:t>互操作性</w:t>
            </w:r>
          </w:p>
        </w:tc>
        <w:tc>
          <w:tcPr>
            <w:tcW w:type="dxa" w:w="2835"/>
          </w:tcPr>
          <w:p>
            <w:pPr>
              <w:spacing w:before="40" w:after="40"/>
            </w:pPr>
            <w:r>
              <w:rPr>
                <w:sz w:val="20"/>
              </w:rPr>
            </w:r>
            <w:r>
              <w:rPr>
                <w:sz w:val="20"/>
              </w:rPr>
              <w:t>与标准的符合程度</w:t>
            </w:r>
          </w:p>
        </w:tc>
        <w:tc>
          <w:tcPr>
            <w:tcW w:type="dxa" w:w="2835"/>
          </w:tcPr>
          <w:p>
            <w:pPr>
              <w:spacing w:before="40" w:after="40"/>
            </w:pPr>
            <w:r>
              <w:rPr>
                <w:sz w:val="20"/>
              </w:rPr>
            </w:r>
            <w:r>
              <w:rPr>
                <w:sz w:val="20"/>
              </w:rPr>
              <w:t>标准合规性测试</w:t>
            </w:r>
          </w:p>
        </w:tc>
      </w:tr>
    </w:tbl>
    <w:p>
      <w:pPr>
        <w:spacing w:before="120"/>
      </w:pPr>
      <w:r>
        <w:rPr>
          <w:b/>
          <w:sz w:val="22"/>
        </w:rPr>
        <w:t>8.7.3 数据共享与权益管理</w:t>
      </w:r>
    </w:p>
    <w:p>
      <w:pPr>
        <w:spacing w:after="80" w:line="360" w:lineRule="auto"/>
        <w:ind w:firstLine="420"/>
      </w:pPr>
      <w:r>
        <w:rPr>
          <w:sz w:val="22"/>
        </w:rPr>
        <w:t>跨机构数据共享需要建立清晰的权益管理机制。Miranda等人（2025）在研究文化遗产项目的丰富互操作元数据时，提出数据共享应遵循FAIR原则——可发现（Findable）、可访问（Accessible）、可互操作（Interoperable）、可重用（Reusable）[18]。同时，敏感数据（如涉及个人隐私的口述史、涉及文化禁忌的仪式记录）需要分级访问控制。</w:t>
      </w:r>
    </w:p>
    <w:p>
      <w:pPr>
        <w:spacing w:before="160" w:after="80"/>
      </w:pPr>
      <w:r>
        <w:rPr>
          <w:b/>
          <w:color w:val="2A9D8F"/>
          <w:sz w:val="26"/>
        </w:rPr>
        <w:t>8.8 知识图谱在文化遗产中的应用前景</w:t>
      </w:r>
    </w:p>
    <w:p>
      <w:pPr>
        <w:spacing w:before="120"/>
      </w:pPr>
      <w:r>
        <w:rPr>
          <w:b/>
          <w:sz w:val="22"/>
        </w:rPr>
        <w:t>8.8.1 智能问答系统</w:t>
      </w:r>
    </w:p>
    <w:p>
      <w:pPr>
        <w:spacing w:after="80" w:line="360" w:lineRule="auto"/>
        <w:ind w:firstLine="420"/>
      </w:pPr>
      <w:r>
        <w:rPr>
          <w:sz w:val="22"/>
        </w:rPr>
        <w:t>基于知识图谱的智能问答系统可以让用户以自然语言提问，如"哪些博物馆藏有唐三彩？"或"某位画家与同时代哪些艺术家有交往？"系统通过知识图谱推理自动生成答案。Huang等人（2023）的研究表明，知识图谱与深度学习的协同能够显著提升问答系统的准确率[19]。</w:t>
      </w:r>
    </w:p>
    <w:p>
      <w:pPr>
        <w:spacing w:before="120"/>
      </w:pPr>
      <w:r>
        <w:rPr>
          <w:b/>
          <w:sz w:val="22"/>
        </w:rPr>
        <w:t>8.8.2 个性化推荐</w:t>
      </w:r>
    </w:p>
    <w:p>
      <w:pPr>
        <w:spacing w:after="80" w:line="360" w:lineRule="auto"/>
        <w:ind w:firstLine="420"/>
      </w:pPr>
      <w:r>
        <w:rPr>
          <w:sz w:val="22"/>
        </w:rPr>
        <w:t>Kutt等人（2026）提出的三阶段神经符号推荐管道为文化遗产个性化推荐提供了新方法——先通过知识图谱推理生成候选集，再由神经网络精排[20]。这种方法可以基于用户的兴趣偏好推荐相关的文化遗产内容——如对明清瓷器感兴趣的用户可能也会对同时期的外销画感兴趣。</w:t>
      </w:r>
    </w:p>
    <w:p>
      <w:pPr>
        <w:spacing w:before="120"/>
      </w:pPr>
      <w:r>
        <w:rPr>
          <w:b/>
          <w:sz w:val="22"/>
        </w:rPr>
        <w:t>8.8.3 数字人文研究</w:t>
      </w:r>
    </w:p>
    <w:p>
      <w:pPr>
        <w:spacing w:after="80" w:line="360" w:lineRule="auto"/>
        <w:ind w:firstLine="420"/>
      </w:pPr>
      <w:r>
        <w:rPr>
          <w:sz w:val="22"/>
        </w:rPr>
        <w:t>知识图谱为数字人文研究提供了结构化的数据基础。研究者可以通过知识图谱分析文物风格的传播路径、艺术家的社会网络、文化概念的演化轨迹等。Khoo等人（2024）在研究数字遗产收藏的知识图谱可视化界面时，指出可视化工具使研究者能够发现意料之外的知识关联[21]。</w:t>
      </w:r>
    </w:p>
    <w:p>
      <w:pPr>
        <w:spacing w:before="160" w:after="80"/>
      </w:pPr>
      <w:r>
        <w:rPr>
          <w:b/>
          <w:color w:val="2A9D8F"/>
          <w:sz w:val="26"/>
        </w:rPr>
        <w:t>8.9 文化遗产数据互操作的技术实现</w:t>
      </w:r>
    </w:p>
    <w:p>
      <w:pPr>
        <w:spacing w:before="120"/>
      </w:pPr>
      <w:r>
        <w:rPr>
          <w:b/>
          <w:sz w:val="22"/>
        </w:rPr>
        <w:t>8.9.1 Linked Data技术</w:t>
      </w:r>
    </w:p>
    <w:p>
      <w:pPr>
        <w:spacing w:after="80" w:line="360" w:lineRule="auto"/>
        <w:ind w:firstLine="420"/>
      </w:pPr>
      <w:r>
        <w:rPr>
          <w:sz w:val="22"/>
        </w:rPr>
        <w:t>Linked Data是实现文化遗产数据语义互操作的核心技术。其基本原则包括：使用URI（统一资源标识符）作为事物名称、使用HTTP URI使名称可被解析、当URI被访问时提供有用信息（RDF格式）、包含指向其他URI的链接使人们能发现更多相关信息。</w:t>
      </w:r>
    </w:p>
    <w:p>
      <w:pPr>
        <w:spacing w:after="80" w:line="360" w:lineRule="auto"/>
        <w:ind w:firstLine="420"/>
      </w:pPr>
      <w:r>
        <w:rPr>
          <w:sz w:val="22"/>
        </w:rPr>
        <w:t>Europeana是Linked Data在文化遗产领域的大规模实践——EDM模型基于Linked Data原则设计，使Europeana的数据可以被其他知识图谱（如Wikidata、DBpedia）自动链接和引用。Borowiecki等人（2017）指出，Linked Data技术使文化遗产数据从"信息孤岛"走向"知识网络"[22]。</w:t>
      </w:r>
    </w:p>
    <w:p>
      <w:pPr>
        <w:spacing w:before="120"/>
      </w:pPr>
      <w:r>
        <w:rPr>
          <w:b/>
          <w:sz w:val="22"/>
        </w:rPr>
        <w:t>8.9.2 SPARQL端点与联邦查询</w:t>
      </w:r>
    </w:p>
    <w:p>
      <w:pPr>
        <w:spacing w:after="80" w:line="360" w:lineRule="auto"/>
        <w:ind w:firstLine="420"/>
      </w:pPr>
      <w:r>
        <w:rPr>
          <w:sz w:val="22"/>
        </w:rPr>
        <w:t>知识图谱的查询通常通过SPARQL语言实现。SPARQL端点允许用户通过HTTP协议向知识图谱发送查询请求。联邦查询（Federated Query）更进一步——一条SPARQL查询可以同时检索多个知识图谱，实现跨机构数据整合。</w:t>
      </w:r>
    </w:p>
    <w:p>
      <w:pPr>
        <w:spacing w:after="80" w:line="360" w:lineRule="auto"/>
        <w:ind w:firstLine="420"/>
      </w:pPr>
      <w:r>
        <w:rPr>
          <w:sz w:val="22"/>
        </w:rPr>
        <w:t>例如，一条联邦查询可以同时检索Europeana（欧洲遗产数据）和Wikidata（通用知识图谱），找出"所有与丝绸之路相关的文化遗产，并关联其历史背景信息"。García-González和Bryant（2023）在研究大屠杀档案知识图谱时，展示了CIDOC-CRM本体支持下的跨库联邦查询实践[23]。</w:t>
      </w:r>
    </w:p>
    <w:p>
      <w:pPr>
        <w:spacing w:before="120"/>
      </w:pPr>
      <w:r>
        <w:rPr>
          <w:b/>
          <w:sz w:val="22"/>
        </w:rPr>
        <w:t>8.9.3 数据映射与本体对齐</w:t>
      </w:r>
    </w:p>
    <w:p>
      <w:pPr>
        <w:spacing w:after="80" w:line="360" w:lineRule="auto"/>
        <w:ind w:firstLine="420"/>
      </w:pPr>
      <w:r>
        <w:rPr>
          <w:sz w:val="22"/>
        </w:rPr>
        <w:t>不同机构使用不同元数据标准和本体，数据互操作需要进行"本体对齐"（Ontology Alignment）——找到不同本体中概念之间的对应关系。例如，Dublin Core的"subject"对应CIDOC-CRM的"P62 depicts"（描绘），但语义不完全等价——"subject"是宽泛的主题描述，"P62 depicts"要求被描绘对象在作品中可见。</w:t>
      </w:r>
    </w:p>
    <w:p>
      <w:pPr>
        <w:spacing w:after="80" w:line="360" w:lineRule="auto"/>
        <w:ind w:firstLine="420"/>
      </w:pPr>
      <w:r>
        <w:rPr>
          <w:sz w:val="22"/>
        </w:rPr>
        <w:t>Faraj和Micsik（2021）在CIDOC-CRM知识图谱验证研究中，指出本体对齐是文化遗产数据互操作中最耗时且最易出错的环节，需要领域专家和本体工程师的密切合作[4]。</w:t>
      </w:r>
    </w:p>
    <w:p>
      <w:pPr>
        <w:spacing w:before="160" w:after="80"/>
      </w:pPr>
      <w:r>
        <w:rPr>
          <w:b/>
          <w:color w:val="2A9D8F"/>
          <w:sz w:val="26"/>
        </w:rPr>
        <w:t>8.10 数字遗产的长期保存策略</w:t>
      </w:r>
    </w:p>
    <w:p>
      <w:pPr>
        <w:spacing w:before="120"/>
      </w:pPr>
      <w:r>
        <w:rPr>
          <w:b/>
          <w:sz w:val="22"/>
        </w:rPr>
        <w:t>8.10.1 技术过时风险</w:t>
      </w:r>
    </w:p>
    <w:p>
      <w:pPr>
        <w:spacing w:after="80" w:line="360" w:lineRule="auto"/>
        <w:ind w:firstLine="420"/>
      </w:pPr>
      <w:r>
        <w:rPr>
          <w:sz w:val="22"/>
        </w:rPr>
        <w:t>数字遗产面临"技术过时"（technological obsolescence）风险——文件格式被淘汰、软件停止维护、存储介质老化。PrakashTribhuvan和Abdullah（2025）在对数字遗产保护方法的全面审查中，将技术过时列为数字遗产面临的三大威胁之一[24]。</w:t>
      </w:r>
    </w:p>
    <w:p>
      <w:pPr>
        <w:spacing w:after="80" w:line="360" w:lineRule="auto"/>
        <w:ind w:firstLine="420"/>
      </w:pPr>
      <w:r>
        <w:rPr>
          <w:sz w:val="22"/>
        </w:rPr>
        <w:t>应对技术过时的策略包括：</w:t>
      </w:r>
    </w:p>
    <w:p>
      <w:pPr>
        <w:spacing w:after="80" w:line="360" w:lineRule="auto"/>
        <w:ind w:firstLine="420"/>
      </w:pPr>
      <w:r>
        <w:rPr>
          <w:b/>
          <w:sz w:val="22"/>
        </w:rPr>
        <w:t>迁移（Migration）</w:t>
      </w:r>
      <w:r>
        <w:rPr>
          <w:sz w:val="22"/>
        </w:rPr>
        <w:t>：定期将数字资源从旧格式转换为新格式。迁移的风险在于可能丢失格式特有的信息（如某些元数据或注释）。</w:t>
      </w:r>
    </w:p>
    <w:p>
      <w:pPr>
        <w:spacing w:after="80" w:line="360" w:lineRule="auto"/>
        <w:ind w:firstLine="420"/>
      </w:pPr>
      <w:r>
        <w:rPr>
          <w:b/>
          <w:sz w:val="22"/>
        </w:rPr>
        <w:t>仿真（Emulation）</w:t>
      </w:r>
      <w:r>
        <w:rPr>
          <w:sz w:val="22"/>
        </w:rPr>
        <w:t>：开发模拟旧软件环境的仿真器，使旧格式文件在新技术环境中仍可读取。仿真的优势是保留原始体验，但开发和维护仿真器的成本高。</w:t>
      </w:r>
    </w:p>
    <w:p>
      <w:pPr>
        <w:spacing w:after="80" w:line="360" w:lineRule="auto"/>
        <w:ind w:firstLine="420"/>
      </w:pPr>
      <w:r>
        <w:rPr>
          <w:b/>
          <w:sz w:val="22"/>
        </w:rPr>
        <w:t>标准化</w:t>
      </w:r>
      <w:r>
        <w:rPr>
          <w:sz w:val="22"/>
        </w:rPr>
        <w:t>：优先使用开放标准格式（如JPEG、PNG、OBJ、PDF/A），避免专有格式。标准化是预防技术过时的最经济策略。</w:t>
      </w:r>
    </w:p>
    <w:p>
      <w:pPr>
        <w:spacing w:before="120"/>
      </w:pPr>
      <w:r>
        <w:rPr>
          <w:b/>
          <w:sz w:val="22"/>
        </w:rPr>
        <w:t>8.10.2 存储介质管理</w:t>
      </w:r>
    </w:p>
    <w:p>
      <w:pPr>
        <w:spacing w:after="80" w:line="360" w:lineRule="auto"/>
        <w:ind w:firstLine="420"/>
      </w:pPr>
      <w:r>
        <w:rPr>
          <w:sz w:val="22"/>
        </w:rPr>
        <w:t>数字存储介质（硬盘、磁带、光盘）都有有限的物理寿命——硬盘约5-7年，LTO磁带约15-30年，光盘约10-25年。长期保存需要定期"刷新"——将数据从旧介质复制到新介质。"3-2-1"备份策略（3份副本、2种介质、1份异地）是数字遗产存储的基本要求。</w:t>
      </w:r>
    </w:p>
    <w:p>
      <w:pPr>
        <w:spacing w:before="120"/>
      </w:pPr>
      <w:r>
        <w:rPr>
          <w:b/>
          <w:sz w:val="22"/>
        </w:rPr>
        <w:t>8.10.3 数字保存的成本模型</w:t>
      </w:r>
    </w:p>
    <w:p>
      <w:pPr>
        <w:spacing w:after="80" w:line="360" w:lineRule="auto"/>
        <w:ind w:firstLine="420"/>
      </w:pPr>
      <w:r>
        <w:rPr>
          <w:sz w:val="22"/>
        </w:rPr>
        <w:t>数字保存是"永续成本"——不像物理保护那样一次性投入后可以维持数十年，数字数据需要持续的存储、迁移和管理成本。Borin和Donato（2023）在研究Europeana财务可持续性时，指出数字遗产平台必须在建设之初就规划长期运营的资金来源[25]。</w:t>
      </w:r>
    </w:p>
    <w:p>
      <w:pPr>
        <w:spacing w:before="160" w:after="80"/>
      </w:pPr>
      <w:r>
        <w:rPr>
          <w:b/>
          <w:color w:val="2A9D8F"/>
          <w:sz w:val="26"/>
        </w:rPr>
        <w:t>8.11 知识图谱与数字人文研究的融合</w:t>
      </w:r>
    </w:p>
    <w:p>
      <w:pPr>
        <w:spacing w:before="120"/>
      </w:pPr>
      <w:r>
        <w:rPr>
          <w:b/>
          <w:sz w:val="22"/>
        </w:rPr>
        <w:t>8.11.1 知识图谱驱动的遗产研究</w:t>
      </w:r>
    </w:p>
    <w:p>
      <w:pPr>
        <w:spacing w:after="80" w:line="360" w:lineRule="auto"/>
        <w:ind w:firstLine="420"/>
      </w:pPr>
      <w:r>
        <w:rPr>
          <w:sz w:val="22"/>
        </w:rPr>
        <w:t>知识图谱不仅是数据管理工具，更是研究工具。通过知识图谱，研究者可以发现传统方法难以发现的跨域关联——如某类纹饰母题在不同地域、不同时代的传播路径；某位艺术家与同时代其他艺术家、赞助人和收藏家之间的社会网络；某种工艺技术与特定矿物资源分布的关联。</w:t>
      </w:r>
    </w:p>
    <w:p>
      <w:pPr>
        <w:spacing w:after="80" w:line="360" w:lineRule="auto"/>
        <w:ind w:firstLine="420"/>
      </w:pPr>
      <w:r>
        <w:rPr>
          <w:sz w:val="22"/>
        </w:rPr>
        <w:t>Huang等人（2023）在利用知识图谱和深度学习增强数字文化遗产管理时，指出知识图谱为数字人文研究提供了"结构化知识底座"——研究者可以基于知识图谱进行多跳推理和关联发现，而不仅限于关键词检索[19]。</w:t>
      </w:r>
    </w:p>
    <w:p>
      <w:pPr>
        <w:spacing w:before="120"/>
      </w:pPr>
      <w:r>
        <w:rPr>
          <w:b/>
          <w:sz w:val="22"/>
        </w:rPr>
        <w:t>8.11.2 网络分析在遗产研究中的应用</w:t>
      </w:r>
    </w:p>
    <w:p>
      <w:pPr>
        <w:spacing w:after="80" w:line="360" w:lineRule="auto"/>
        <w:ind w:firstLine="420"/>
      </w:pPr>
      <w:r>
        <w:rPr>
          <w:sz w:val="22"/>
        </w:rPr>
        <w:t>知识图谱的数据结构天然适合网络分析（Network Analysis）——将实体视为节点、关系视为边，可以应用社会网络分析（SNA）方法研究文化遗产中的关系模式。例如：分析文物出土地点之间的关联网络，可能揭示古代贸易路线；分析艺术家之间的师承网络，可能揭示艺术风格的传播路径。</w:t>
      </w:r>
    </w:p>
    <w:p>
      <w:pPr>
        <w:spacing w:after="80" w:line="360" w:lineRule="auto"/>
        <w:ind w:firstLine="420"/>
      </w:pPr>
      <w:r>
        <w:rPr>
          <w:sz w:val="22"/>
        </w:rPr>
        <w:t>Tietz等人（2020）在历史戏剧照片知识图谱研究中，通过网络分析发现了19世纪戏剧界的关键人物和核心关系[15]。</w:t>
      </w:r>
    </w:p>
    <w:p>
      <w:pPr>
        <w:spacing w:before="120"/>
      </w:pPr>
      <w:r>
        <w:rPr>
          <w:b/>
          <w:sz w:val="22"/>
        </w:rPr>
        <w:t>8.11.3 知识图谱与叙事生成</w:t>
      </w:r>
    </w:p>
    <w:p>
      <w:pPr>
        <w:spacing w:after="80" w:line="360" w:lineRule="auto"/>
        <w:ind w:firstLine="420"/>
      </w:pPr>
      <w:r>
        <w:rPr>
          <w:sz w:val="22"/>
        </w:rPr>
        <w:t>知识图谱可以驱动自动叙事生成——基于图谱中的实体和关系，自动生成文化遗产故事。例如，给定"一件唐代陶瓷器"作为起点，AI可以从知识图谱中检索相关的窑口信息、制作工艺、贸易路线、同时代事件等，自动编织一段连贯的文化叙事。这种"图谱驱动叙事"为文化遗产数字传播提供了可规模化的内容生产方式。</w:t>
      </w:r>
    </w:p>
    <w:p>
      <w:pPr>
        <w:spacing w:before="160" w:after="80"/>
      </w:pPr>
      <w:r>
        <w:rPr>
          <w:b/>
          <w:color w:val="2A9D8F"/>
          <w:sz w:val="26"/>
        </w:rPr>
        <w:t>8.12 数据治理的组织维度</w:t>
      </w:r>
    </w:p>
    <w:p>
      <w:pPr>
        <w:spacing w:before="120"/>
      </w:pPr>
      <w:r>
        <w:rPr>
          <w:b/>
          <w:sz w:val="22"/>
        </w:rPr>
        <w:t>8.12.1 数据治理委员会</w:t>
      </w:r>
    </w:p>
    <w:p>
      <w:pPr>
        <w:spacing w:after="80" w:line="360" w:lineRule="auto"/>
        <w:ind w:firstLine="420"/>
      </w:pPr>
      <w:r>
        <w:rPr>
          <w:sz w:val="22"/>
        </w:rPr>
        <w:t>文化遗产机构应设立数据治理委员会，负责制定数据政策、监督数据质量和协调跨部门数据使用。委员会的组成应包括：技术负责人（CTO/CIO）、业务负责人（藏品部/展览部/教育部）、法务顾问和数据安全官。</w:t>
      </w:r>
    </w:p>
    <w:p>
      <w:pPr>
        <w:spacing w:before="120"/>
      </w:pPr>
      <w:r>
        <w:rPr>
          <w:b/>
          <w:sz w:val="22"/>
        </w:rPr>
        <w:t>8.12.2 数据管理生命周期</w:t>
      </w:r>
    </w:p>
    <w:p>
      <w:pPr>
        <w:spacing w:after="80" w:line="360" w:lineRule="auto"/>
        <w:ind w:firstLine="420"/>
      </w:pPr>
      <w:r>
        <w:rPr>
          <w:sz w:val="22"/>
        </w:rPr>
        <w:t>文化遗产数字数据的管理生命周期包括六个阶段：</w:t>
      </w:r>
    </w:p>
    <w:p>
      <w:pPr>
        <w:pStyle w:val="ListNumber"/>
      </w:pPr>
      <w:r>
        <w:rPr>
          <w:b/>
          <w:sz w:val="22"/>
        </w:rPr>
        <w:t>规划</w:t>
      </w:r>
      <w:r>
        <w:rPr>
          <w:sz w:val="22"/>
        </w:rPr>
        <w:t>：在数字化项目启动前制定数据管理计划（DMP），明确数据格式、元数据标准、存储方案和质量要求</w:t>
      </w:r>
    </w:p>
    <w:p>
      <w:pPr>
        <w:pStyle w:val="ListNumber"/>
      </w:pPr>
      <w:r>
        <w:rPr>
          <w:b/>
          <w:sz w:val="22"/>
        </w:rPr>
        <w:t>创建</w:t>
      </w:r>
      <w:r>
        <w:rPr>
          <w:sz w:val="22"/>
        </w:rPr>
        <w:t>：数据采集和元数据编目，确保paradata的完整记录</w:t>
      </w:r>
    </w:p>
    <w:p>
      <w:pPr>
        <w:pStyle w:val="ListNumber"/>
      </w:pPr>
      <w:r>
        <w:rPr>
          <w:b/>
          <w:sz w:val="22"/>
        </w:rPr>
        <w:t>处理</w:t>
      </w:r>
      <w:r>
        <w:rPr>
          <w:sz w:val="22"/>
        </w:rPr>
        <w:t>：数据清洗、标准化和验证</w:t>
      </w:r>
    </w:p>
    <w:p>
      <w:pPr>
        <w:pStyle w:val="ListNumber"/>
      </w:pPr>
      <w:r>
        <w:rPr>
          <w:b/>
          <w:sz w:val="22"/>
        </w:rPr>
        <w:t>存储</w:t>
      </w:r>
      <w:r>
        <w:rPr>
          <w:sz w:val="22"/>
        </w:rPr>
        <w:t>：按照OAIS模型进行长期存储和备份</w:t>
      </w:r>
    </w:p>
    <w:p>
      <w:pPr>
        <w:pStyle w:val="ListNumber"/>
      </w:pPr>
      <w:r>
        <w:rPr>
          <w:b/>
          <w:sz w:val="22"/>
        </w:rPr>
        <w:t>使用</w:t>
      </w:r>
      <w:r>
        <w:rPr>
          <w:sz w:val="22"/>
        </w:rPr>
        <w:t>：提供检索、浏览和分析服务，管理访问权限</w:t>
      </w:r>
    </w:p>
    <w:p>
      <w:pPr>
        <w:pStyle w:val="ListNumber"/>
      </w:pPr>
      <w:r>
        <w:rPr>
          <w:b/>
          <w:sz w:val="22"/>
        </w:rPr>
        <w:t>归档/迁移</w:t>
      </w:r>
      <w:r>
        <w:rPr>
          <w:sz w:val="22"/>
        </w:rPr>
        <w:t>：定期进行数据迁移，应对技术过时</w:t>
      </w:r>
    </w:p>
    <w:p>
      <w:pPr>
        <w:spacing w:after="80" w:line="360" w:lineRule="auto"/>
        <w:ind w:firstLine="420"/>
      </w:pPr>
      <w:r>
        <w:rPr>
          <w:sz w:val="22"/>
        </w:rPr>
        <w:t>Lemieux等人（2025）的Clio-X研究指出，每个阶段的关键操作都应记录在区块链上，确保数据治理的可审计性[17]。</w:t>
      </w:r>
    </w:p>
    <w:p>
      <w:pPr>
        <w:spacing w:before="120"/>
      </w:pPr>
      <w:r>
        <w:rPr>
          <w:b/>
          <w:sz w:val="22"/>
        </w:rPr>
        <w:t>8.12.3 数据素养与组织文化</w:t>
      </w:r>
    </w:p>
    <w:p>
      <w:pPr>
        <w:spacing w:after="80" w:line="360" w:lineRule="auto"/>
        <w:ind w:firstLine="420"/>
      </w:pPr>
      <w:r>
        <w:rPr>
          <w:sz w:val="22"/>
        </w:rPr>
        <w:t>数据治理不仅是技术问题，更是组织文化问题。机构需要培养员工的数据素养——理解数据的价值、掌握数据管理的基本方法、具备数据质量意识。Neudecker（2022）提出，文化遗产机构应将数据视为"战略资产"而非"技术副产品"，在组织层面建立"数据驱动"的文化[5]。</w:t>
      </w:r>
    </w:p>
    <w:p>
      <w:pPr>
        <w:spacing w:before="160" w:after="80"/>
      </w:pPr>
      <w:r>
        <w:rPr>
          <w:b/>
          <w:color w:val="2A9D8F"/>
          <w:sz w:val="26"/>
        </w:rPr>
        <w:t>8.10 文化遗产知识图谱的互操作与开放生态</w:t>
      </w:r>
    </w:p>
    <w:p>
      <w:pPr>
        <w:spacing w:before="120"/>
      </w:pPr>
      <w:r>
        <w:rPr>
          <w:b/>
          <w:sz w:val="22"/>
        </w:rPr>
        <w:t>8.10.1 跨领域知识图谱融合</w:t>
      </w:r>
    </w:p>
    <w:p>
      <w:pPr>
        <w:spacing w:after="80" w:line="360" w:lineRule="auto"/>
        <w:ind w:firstLine="420"/>
      </w:pPr>
      <w:r>
        <w:rPr>
          <w:sz w:val="22"/>
        </w:rPr>
        <w:t>文化遗产知识图谱的互操作需要解决跨领域知识融合的挑战——文化遗产涉及历史学、考古学、艺术史、人类学等多个学科，每个学科有自己的知识体系和概念框架。跨领域知识图谱融合的核心是建立"本体对齐"（Ontology Alignment）——将不同领域的概念体系映射到统一的参考框架中。</w:t>
      </w:r>
    </w:p>
    <w:p>
      <w:pPr>
        <w:spacing w:after="80" w:line="360" w:lineRule="auto"/>
        <w:ind w:firstLine="420"/>
      </w:pPr>
      <w:r>
        <w:rPr>
          <w:sz w:val="22"/>
        </w:rPr>
        <w:t>CIDOC CRM作为国际标准本体，为文化遗产领域的知识图谱互操作提供了基础。然而，CIDOC CRM的核心概念主要源自博物馆学，对于非物质文化遗产、文化景观等概念的支持有限。Hyvönen（2022）在研究语义文化遗产平台时，提出基于CIDOC CRM扩展的本体网络——以CIDOC CRM为核心，通过模块化扩展接入ICH、文化景观等子领域本体[28]。</w:t>
      </w:r>
    </w:p>
    <w:p>
      <w:pPr>
        <w:spacing w:before="120"/>
      </w:pPr>
      <w:r>
        <w:rPr>
          <w:b/>
          <w:sz w:val="22"/>
        </w:rPr>
        <w:t>8.10.2 开放数据与知识共享</w:t>
      </w:r>
    </w:p>
    <w:p>
      <w:pPr>
        <w:spacing w:after="80" w:line="360" w:lineRule="auto"/>
        <w:ind w:firstLine="420"/>
      </w:pPr>
      <w:r>
        <w:rPr>
          <w:sz w:val="22"/>
        </w:rPr>
        <w:t>文化遗产知识图谱的开放共享是实现其社会价值的关键。Linked Open Data（LOD）原则为文化遗产数据的开放提供了技术框架——将数据以RDF三元组形式发布，通过URI标识实体，通过HTTP协议提供访问。Europeana的LOD平台已发布超过5000万条文化遗产数据记录，成为全球最大的开放文化遗产知识库。</w:t>
      </w:r>
    </w:p>
    <w:p>
      <w:pPr>
        <w:spacing w:after="80" w:line="360" w:lineRule="auto"/>
        <w:ind w:firstLine="420"/>
      </w:pPr>
      <w:r>
        <w:rPr>
          <w:sz w:val="22"/>
        </w:rPr>
        <w:t>然而，开放数据也面临质量和可持续性挑战——开放数据的准确性需要持续维护，数据更新需要稳定的资金和技术支持。此外，并非所有文化遗产数据都适合完全开放——涉及宗教禁忌、个人隐私或社区敏感信息的数据需要分级开放。</w:t>
      </w:r>
    </w:p>
    <w:p>
      <w:pPr>
        <w:spacing w:before="120"/>
      </w:pPr>
      <w:r>
        <w:rPr>
          <w:b/>
          <w:sz w:val="22"/>
        </w:rPr>
        <w:t>8.10.3 知识图谱驱动的智能问答</w:t>
      </w:r>
    </w:p>
    <w:p>
      <w:pPr>
        <w:spacing w:after="80" w:line="360" w:lineRule="auto"/>
        <w:ind w:firstLine="420"/>
      </w:pPr>
      <w:r>
        <w:rPr>
          <w:sz w:val="22"/>
        </w:rPr>
        <w:t>文化遗产知识图谱为智能问答系统提供了知识基础——用户可以用自然语言提问（"敦煌莫高窟第285窟的壁画描绘了什么内容？"），系统通过知识图谱推理生成准确答案。与传统搜索引擎返回文档列表不同，知识图谱驱动的问答系统能够直接给出结构化答案，并展示相关知识关联。</w:t>
      </w:r>
    </w:p>
    <w:p>
      <w:pPr>
        <w:spacing w:before="200" w:after="120"/>
      </w:pPr>
      <w:r>
        <w:rPr>
          <w:b/>
          <w:color w:val="457B9D"/>
          <w:sz w:val="30"/>
        </w:rPr>
        <w:t>参考文献</w:t>
      </w:r>
    </w:p>
    <w:p>
      <w:pPr>
        <w:spacing w:after="40"/>
        <w:ind w:left="425" w:hanging="425"/>
      </w:pPr>
      <w:r>
        <w:rPr>
          <w:sz w:val="20"/>
        </w:rPr>
        <w:t>[1] Barzaghi S, Moretti A, Heibi I, Peroni S. CHAD-KG: A Knowledge Graph for Representing Cultural Heritage Objects and Digitisation Paradata[J]. arXiv:2505.13276, 2025. DOI: 10.48550/arXiv.2505.13276.</w:t>
      </w:r>
    </w:p>
    <w:p>
      <w:pPr>
        <w:spacing w:after="40"/>
        <w:ind w:left="425" w:hanging="425"/>
      </w:pPr>
      <w:r>
        <w:rPr>
          <w:sz w:val="20"/>
        </w:rPr>
        <w:t>[2] Khoo C S G, Tan E A L, Ng S G, et al. Knowledge Graph Visualization Interface for Digital Heritage Collections[J]. Information Technology and Libraries, 2024, 43(1). DOI: 10.5860/ital.v43i1.16719.</w:t>
      </w:r>
    </w:p>
    <w:p>
      <w:pPr>
        <w:spacing w:after="40"/>
        <w:ind w:left="425" w:hanging="425"/>
      </w:pPr>
      <w:r>
        <w:rPr>
          <w:sz w:val="20"/>
        </w:rPr>
        <w:t>[3] Miranda L do V, Kutt K, Nalepa G J. Rich Interoperable Metadata for Cultural Heritage Projects at Jagiellonian University[J]. arXiv:2407.06976, 2025.</w:t>
      </w:r>
    </w:p>
    <w:p>
      <w:pPr>
        <w:spacing w:after="40"/>
        <w:ind w:left="425" w:hanging="425"/>
      </w:pPr>
      <w:r>
        <w:rPr>
          <w:sz w:val="20"/>
        </w:rPr>
        <w:t>[4] Faraj G, Micsik A. Representing and Validating Cultural Heritage Knowledge Graphs in CIDOC-CRM Ontology[J]. Future Internet, 2021, 13(11): 277. DOI: 10.3390/fi13110277.</w:t>
      </w:r>
    </w:p>
    <w:p>
      <w:pPr>
        <w:spacing w:after="40"/>
        <w:ind w:left="425" w:hanging="425"/>
      </w:pPr>
      <w:r>
        <w:rPr>
          <w:sz w:val="20"/>
        </w:rPr>
        <w:t>[5] Gasmi G, Prlja D. Perspectives of Digitization of Cultural Heritage in European Countries[C]. 2020. Semantic Scholar.</w:t>
      </w:r>
    </w:p>
    <w:p>
      <w:pPr>
        <w:spacing w:after="40"/>
        <w:ind w:left="425" w:hanging="425"/>
      </w:pPr>
      <w:r>
        <w:rPr>
          <w:sz w:val="20"/>
        </w:rPr>
        <w:t>[6] 刘芳, 吴振新. 三维数字化在国外文化遗产领域的应用[J]. 2022. 万方数据.</w:t>
      </w:r>
    </w:p>
    <w:p>
      <w:pPr>
        <w:spacing w:after="40"/>
        <w:ind w:left="425" w:hanging="425"/>
      </w:pPr>
      <w:r>
        <w:rPr>
          <w:sz w:val="20"/>
        </w:rPr>
        <w:t>[7] Huang Y Y, Yu S S, Chu J J, et al. Using Knowledge Graphs and Deep Learning Algorithms to Enhance Digital Cultural Heritage Management[J]. Heritage Science, 2023, 11: 1042. DOI: 10.1186/s40494-023-01042-y.</w:t>
      </w:r>
    </w:p>
    <w:p>
      <w:pPr>
        <w:spacing w:after="40"/>
        <w:ind w:left="425" w:hanging="425"/>
      </w:pPr>
      <w:r>
        <w:rPr>
          <w:sz w:val="20"/>
        </w:rPr>
        <w:t>[8] Tietz T, Waitelonis J, Alam M, et al. Knowledge Graph based Analysis and Exploration of Historical Theatre Photographs[C]. 2020. Semantic Scholar.</w:t>
      </w:r>
    </w:p>
    <w:p>
      <w:pPr>
        <w:spacing w:after="40"/>
        <w:ind w:left="425" w:hanging="425"/>
      </w:pPr>
      <w:r>
        <w:rPr>
          <w:sz w:val="20"/>
        </w:rPr>
        <w:t>[9] García-González H, Bryant M. The Holocaust Archival Material Knowledge Graph[C]. 2023. Semantic Scholar.</w:t>
      </w:r>
    </w:p>
    <w:p>
      <w:pPr>
        <w:spacing w:after="40"/>
        <w:ind w:left="425" w:hanging="425"/>
      </w:pPr>
      <w:r>
        <w:rPr>
          <w:sz w:val="20"/>
        </w:rPr>
        <w:t>[10] Kutt K, Sroka E, Ishchuk O, et al. A Three-stage Neuro-symbolic Recommendation Pipeline for Cultural Heritage Knowledge Graphs[J]. arXiv:2602.19711, 2026.</w:t>
      </w:r>
    </w:p>
    <w:p>
      <w:pPr>
        <w:spacing w:after="40"/>
        <w:ind w:left="425" w:hanging="425"/>
      </w:pPr>
      <w:r>
        <w:rPr>
          <w:sz w:val="20"/>
        </w:rPr>
        <w:t>[11] Bliūdžiuvienė N. Standardization Dimension in Building an Integrated Digital Cultural Heritage Environment[C]. 2011. Semantic Scholar.</w:t>
      </w:r>
    </w:p>
    <w:p>
      <w:pPr>
        <w:spacing w:after="40"/>
        <w:ind w:left="425" w:hanging="425"/>
      </w:pPr>
      <w:r>
        <w:rPr>
          <w:sz w:val="20"/>
        </w:rPr>
        <w:t>[12] Lemieux V L, Gil R, Molosiwa F, et al. Clio-X: A Web3 Solution for Privacy-Preserving AI Access to Digital Archives[J]. arXiv:2507.08853, 2025.</w:t>
      </w:r>
    </w:p>
    <w:p>
      <w:pPr>
        <w:spacing w:after="40"/>
        <w:ind w:left="425" w:hanging="425"/>
      </w:pPr>
      <w:r>
        <w:rPr>
          <w:sz w:val="20"/>
        </w:rPr>
        <w:t>[13] Moraitou E, Aliprantis J, Caridakis G. Semantic Preventive Conservation of Cultural Heritage Collections[C]. 2018. Semantic Scholar.</w:t>
      </w:r>
    </w:p>
    <w:p>
      <w:pPr>
        <w:spacing w:after="40"/>
        <w:ind w:left="425" w:hanging="425"/>
      </w:pPr>
      <w:r>
        <w:rPr>
          <w:sz w:val="20"/>
        </w:rPr>
        <w:t>[14] Faraj G, Micsik A. Representing and Validating Cultural Heritage Knowledge Graphs in CIDOC-CRM Ontology[J]. Future Internet, 2021, 13(11): 277. DOI: 10.3390/fi13110277.</w:t>
      </w:r>
    </w:p>
    <w:p>
      <w:pPr>
        <w:spacing w:after="40"/>
        <w:ind w:left="425" w:hanging="425"/>
      </w:pPr>
      <w:r>
        <w:rPr>
          <w:sz w:val="20"/>
        </w:rPr>
        <w:t>[15] Tietz T, Waitelonis J, Alam M, et al. Knowledge Graph based Analysis and Exploration of Historical Theatre Photographs[C]. 2020. Semantic Scholar.</w:t>
      </w:r>
    </w:p>
    <w:p>
      <w:pPr>
        <w:spacing w:after="40"/>
        <w:ind w:left="425" w:hanging="425"/>
      </w:pPr>
      <w:r>
        <w:rPr>
          <w:sz w:val="20"/>
        </w:rPr>
        <w:t>[16] Barzaghi S, Moretti A, Heibi I, et al. CHAD-KG: A Knowledge Graph for Representing Cultural Heritage Objects and Digitisation Paradata[J]. arXiv:2505.13276, 2025. DOI: 10.48550/arXiv.2505.13276.</w:t>
      </w:r>
    </w:p>
    <w:p>
      <w:pPr>
        <w:spacing w:after="40"/>
        <w:ind w:left="425" w:hanging="425"/>
      </w:pPr>
      <w:r>
        <w:rPr>
          <w:sz w:val="20"/>
        </w:rPr>
        <w:t>[17] Lemieux V L, Gil R, Molosiwa F, et al. Clio-X: A Web3 Solution for Privacy-Preserving AI Access to Digital Archives[J]. arXiv:2507.08853, 2025.</w:t>
      </w:r>
    </w:p>
    <w:p>
      <w:pPr>
        <w:spacing w:after="40"/>
        <w:ind w:left="425" w:hanging="425"/>
      </w:pPr>
      <w:r>
        <w:rPr>
          <w:sz w:val="20"/>
        </w:rPr>
        <w:t>[18] Miranda L do V, Kutt K, Nalepa G J. Rich Interoperable Metadata for Cultural Heritage Projects[J]. arXiv:2407.06976, 2025.</w:t>
      </w:r>
    </w:p>
    <w:p>
      <w:pPr>
        <w:spacing w:after="40"/>
        <w:ind w:left="425" w:hanging="425"/>
      </w:pPr>
      <w:r>
        <w:rPr>
          <w:sz w:val="20"/>
        </w:rPr>
        <w:t>[19] Huang Y Y, Yu S S, Chu J J, et al. Using Knowledge Graphs and Deep Learning to Enhance Digital Cultural Heritage Management[J]. Heritage Science, 2023. DOI: 10.1186/s40494-023-01042-y.</w:t>
      </w:r>
    </w:p>
    <w:p>
      <w:pPr>
        <w:spacing w:after="40"/>
        <w:ind w:left="425" w:hanging="425"/>
      </w:pPr>
      <w:r>
        <w:rPr>
          <w:sz w:val="20"/>
        </w:rPr>
        <w:t>[20] Kutt K, Sroka E, Ishchuk O, et al. A Three-stage Neuro-symbolic Recommendation Pipeline for Cultural Heritage Knowledge Graphs[J]. arXiv:2602.19711, 2026.</w:t>
      </w:r>
    </w:p>
    <w:p>
      <w:pPr>
        <w:spacing w:after="40"/>
        <w:ind w:left="425" w:hanging="425"/>
      </w:pPr>
      <w:r>
        <w:rPr>
          <w:sz w:val="20"/>
        </w:rPr>
        <w:t>[21] Khoo C S G, Tan E A L, Ng S G, et al. Knowledge Graph Visualization Interface for Digital Heritage Collections[J]. Information Technology and Libraries, 2024. DOI: 10.5860/ital.v43i1.16719.</w:t>
      </w:r>
    </w:p>
    <w:p>
      <w:pPr>
        <w:spacing w:after="40"/>
        <w:ind w:left="425" w:hanging="425"/>
      </w:pPr>
      <w:r>
        <w:rPr>
          <w:sz w:val="20"/>
        </w:rPr>
        <w:t>[22] Borowiecki K J, Forbes N, Fresa A. Cultural Heritage in a Changing World[M]. Springer, 2017. DOI: 10.1007/s10824-017-9301-5.</w:t>
      </w:r>
    </w:p>
    <w:p>
      <w:pPr>
        <w:spacing w:after="40"/>
        <w:ind w:left="425" w:hanging="425"/>
      </w:pPr>
      <w:r>
        <w:rPr>
          <w:sz w:val="20"/>
        </w:rPr>
        <w:t>[23] García-González H, Bryant M. The Holocaust Archival Material Knowledge Graph[C]. 2023. Semantic Scholar.</w:t>
      </w:r>
    </w:p>
    <w:p>
      <w:pPr>
        <w:spacing w:after="40"/>
        <w:ind w:left="425" w:hanging="425"/>
      </w:pPr>
      <w:r>
        <w:rPr>
          <w:sz w:val="20"/>
        </w:rPr>
        <w:t>[24] PrakashTribhuvan A, Abdullah B A. Preserving Our Past: A Thorough Examination of Methods and Technologies in Digital Heritage[J]. 2025. DOI: 10.71097/ijsat.v16.i1.1324.</w:t>
      </w:r>
    </w:p>
    <w:p>
      <w:pPr>
        <w:spacing w:after="40"/>
        <w:ind w:left="425" w:hanging="425"/>
      </w:pPr>
      <w:r>
        <w:rPr>
          <w:sz w:val="20"/>
        </w:rPr>
        <w:t>[25] Borin E, Donato F. Financial Sustainability of Digitizing Cultural Heritage: The International Platform Europeana[J]. 2023. DOI: 10.3390/jrfm16100421.</w:t>
      </w:r>
    </w:p>
    <w:p>
      <w:pPr>
        <w:spacing w:after="40"/>
        <w:ind w:left="425" w:hanging="425"/>
      </w:pPr>
      <w:r>
        <w:rPr>
          <w:sz w:val="20"/>
        </w:rPr>
        <w:t>[5] Neudecker C. Cultural Heritage as Data: Digital Curation and AI in Libraries[C]. 2022. Semantic Scholar.</w:t>
      </w:r>
    </w:p>
    <w:p>
      <w:pPr>
        <w:spacing w:after="40"/>
        <w:ind w:left="425" w:hanging="425"/>
      </w:pPr>
      <w:r>
        <w:rPr>
          <w:sz w:val="20"/>
        </w:rPr>
        <w:t>[15] Tietz T, et al. Knowledge Graph based Analysis and Exploration of Historical Theatre Photographs[C]. 2020. Semantic Scholar.</w:t>
      </w:r>
    </w:p>
    <w:p>
      <w:pPr>
        <w:spacing w:after="40"/>
        <w:ind w:left="425" w:hanging="425"/>
      </w:pPr>
      <w:r>
        <w:rPr>
          <w:sz w:val="20"/>
        </w:rPr>
        <w:t>[17] Lemieux V L, et al. Clio-X: A Web3 Solution for Privacy-Preserving AI Access to Digital Archives[J]. arXiv:2507.08853, 2025.</w:t>
      </w:r>
    </w:p>
    <w:p>
      <w:pPr>
        <w:spacing w:after="40"/>
        <w:ind w:left="425" w:hanging="425"/>
      </w:pPr>
      <w:r>
        <w:rPr>
          <w:sz w:val="20"/>
        </w:rPr>
        <w:t>[19] Huang Y Y, et al. Using Knowledge Graphs and Deep Learning to Enhance Digital Cultural Heritage Management[J]. Heritage Science, 2023. DOI: 10.1186/s40494-023-01042-y.</w:t>
      </w:r>
    </w:p>
    <w:p>
      <w:pPr>
        <w:spacing w:after="40"/>
        <w:ind w:left="425" w:hanging="425"/>
      </w:pPr>
      <w:r>
        <w:rPr>
          <w:sz w:val="20"/>
        </w:rPr>
        <w:t>[28] Hyvönen E. Semantic Cultural Heritage Platforms[J]. 2022. Semantic Scholar.</w:t>
      </w:r>
    </w:p>
    <w:p>
      <w:r>
        <w:br w:type="page"/>
      </w:r>
    </w:p>
    <w:p>
      <w:pPr>
        <w:spacing w:before="240" w:after="160"/>
      </w:pPr>
      <w:r>
        <w:rPr>
          <w:b/>
          <w:color w:val="264653"/>
          <w:sz w:val="36"/>
        </w:rPr>
        <w:t>第9章 区块链与文化遗产数字版权保护</w:t>
      </w:r>
    </w:p>
    <w:p>
      <w:pPr>
        <w:jc w:val="center"/>
      </w:pPr>
      <w:r>
        <w:drawing>
          <wp:inline xmlns:a="http://schemas.openxmlformats.org/drawingml/2006/main" xmlns:pic="http://schemas.openxmlformats.org/drawingml/2006/picture">
            <wp:extent cx="5029200" cy="2997200"/>
            <wp:docPr id="7" name="Picture 7"/>
            <wp:cNvGraphicFramePr>
              <a:graphicFrameLocks noChangeAspect="1"/>
            </wp:cNvGraphicFramePr>
            <a:graphic>
              <a:graphicData uri="http://schemas.openxmlformats.org/drawingml/2006/picture">
                <pic:pic>
                  <pic:nvPicPr>
                    <pic:cNvPr id="0" name="fig9_1_blockchain_framework.png"/>
                    <pic:cNvPicPr/>
                  </pic:nvPicPr>
                  <pic:blipFill>
                    <a:blip r:embed="rId15"/>
                    <a:stretch>
                      <a:fillRect/>
                    </a:stretch>
                  </pic:blipFill>
                  <pic:spPr>
                    <a:xfrm>
                      <a:off x="0" y="0"/>
                      <a:ext cx="5029200" cy="2997200"/>
                    </a:xfrm>
                    <a:prstGeom prst="rect"/>
                  </pic:spPr>
                </pic:pic>
              </a:graphicData>
            </a:graphic>
          </wp:inline>
        </w:drawing>
      </w:r>
    </w:p>
    <w:p>
      <w:pPr>
        <w:spacing w:before="200" w:after="120"/>
      </w:pPr>
      <w:r>
        <w:rPr>
          <w:b/>
          <w:color w:val="457B9D"/>
          <w:sz w:val="30"/>
        </w:rPr>
        <w:t>学习目标</w:t>
      </w:r>
    </w:p>
    <w:p>
      <w:pPr>
        <w:pStyle w:val="ListBullet"/>
      </w:pPr>
      <w:r>
        <w:rPr>
          <w:sz w:val="22"/>
        </w:rPr>
        <w:t>理解区块链技术在文化遗产保护中的应用原理</w:t>
      </w:r>
    </w:p>
    <w:p>
      <w:pPr>
        <w:pStyle w:val="ListBullet"/>
      </w:pPr>
      <w:r>
        <w:rPr>
          <w:sz w:val="22"/>
        </w:rPr>
        <w:t>掌握文化遗产数字版权保护的法律框架与挑战</w:t>
      </w:r>
    </w:p>
    <w:p>
      <w:pPr>
        <w:pStyle w:val="ListBullet"/>
      </w:pPr>
      <w:r>
        <w:rPr>
          <w:sz w:val="22"/>
        </w:rPr>
        <w:t>了解NFT在文化遗产领域的应用与风险</w:t>
      </w:r>
    </w:p>
    <w:p>
      <w:pPr>
        <w:pStyle w:val="ListBullet"/>
      </w:pPr>
      <w:r>
        <w:rPr>
          <w:sz w:val="22"/>
        </w:rPr>
        <w:t>能够设计文化遗产数字版权管理方案</w:t>
      </w:r>
    </w:p>
    <w:p>
      <w:pPr>
        <w:spacing w:before="200" w:after="120"/>
      </w:pPr>
      <w:r>
        <w:rPr>
          <w:b/>
          <w:color w:val="457B9D"/>
          <w:sz w:val="30"/>
        </w:rPr>
        <w:t>导入案例：基于区块链的文物数字资源版权保护框架</w:t>
      </w:r>
    </w:p>
    <w:p>
      <w:pPr>
        <w:spacing w:after="80" w:line="360" w:lineRule="auto"/>
        <w:ind w:firstLine="420"/>
      </w:pPr>
      <w:r>
        <w:rPr>
          <w:sz w:val="22"/>
        </w:rPr>
        <w:t>随着文化遗产数字化的深入推进，数字资源的版权保护成为亟待解决的核心问题。中国学者（2025）构建了基于区块链的文物数字资源版权管理框架，采用联盟链架构，设计版权存证、授权管理、侵权追溯模块实现全流程管理——通过哈希算法实现文物数字化资源的唯一标识与存证，智能合约自动化执行授权流程，数字指纹与链上数据协同完成侵权行为精准定位与证据固化[1]。</w:t>
      </w:r>
    </w:p>
    <w:p>
      <w:pPr>
        <w:spacing w:after="80" w:line="360" w:lineRule="auto"/>
        <w:ind w:firstLine="420"/>
      </w:pPr>
      <w:r>
        <w:rPr>
          <w:sz w:val="22"/>
        </w:rPr>
        <w:t>这一框架的提出背景是一个日益尖锐的矛盾：文化遗产数字化产生了大量高价值数字资源，但这些资源的版权归属模糊、授权流程繁琐、侵权追溯困难，严重制约了数字资源的合法利用和价值转化。</w:t>
      </w:r>
    </w:p>
    <w:p>
      <w:pPr>
        <w:spacing w:before="200" w:after="120"/>
      </w:pPr>
      <w:r>
        <w:rPr>
          <w:b/>
          <w:color w:val="457B9D"/>
          <w:sz w:val="30"/>
        </w:rPr>
        <w:t>9.1 文化遗产数字版权的挑战</w:t>
      </w:r>
    </w:p>
    <w:p>
      <w:pPr>
        <w:spacing w:before="160" w:after="80"/>
      </w:pPr>
      <w:r>
        <w:rPr>
          <w:b/>
          <w:color w:val="2A9D8F"/>
          <w:sz w:val="26"/>
        </w:rPr>
        <w:t>9.1.1 数字复制品的版权归属争议</w:t>
      </w:r>
    </w:p>
    <w:p>
      <w:pPr>
        <w:spacing w:after="80" w:line="360" w:lineRule="auto"/>
        <w:ind w:firstLine="420"/>
      </w:pPr>
      <w:r>
        <w:rPr>
          <w:sz w:val="22"/>
        </w:rPr>
        <w:t>魏鹏举和魏西笑（2022）在研究文化遗产数字化实践的版权挑战时指出，数字技术及其应用体系在实践中正在成为文化遗产实现保护-传承-利用共赢的最优选项，但随着文化遗产数字资源的多样化应用，其数字版权归属问题成为产业化发展绕不过去的最大阻碍之一[2]。</w:t>
      </w:r>
    </w:p>
    <w:p>
      <w:pPr>
        <w:spacing w:after="80" w:line="360" w:lineRule="auto"/>
        <w:ind w:firstLine="420"/>
      </w:pPr>
      <w:r>
        <w:rPr>
          <w:sz w:val="22"/>
        </w:rPr>
        <w:t>核心争议在于：文物数字复制品是否构成《著作权法》意义上的"作品"？一种观点认为，高精度三维扫描或摄影只是对原物的"机械复制"，不产生新的版权；另一种观点认为，数字化过程中涉及技术选择、参数调优和后期处理，体现了创作者的独创性，应产生新的版权。魏鹏举和魏西笑（2022）进一步指出，强调私权属性的全球知识产权法律体系，在实践中对于作为公共文化领域的文化遗产数字复制的版权保护存在明显的分歧和争议，不同国家针对各自社会发展状况做出了不同的调整[2]。</w:t>
      </w:r>
    </w:p>
    <w:p>
      <w:pPr>
        <w:spacing w:before="160" w:after="80"/>
      </w:pPr>
      <w:r>
        <w:rPr>
          <w:b/>
          <w:color w:val="2A9D8F"/>
          <w:sz w:val="26"/>
        </w:rPr>
        <w:t>9.1.2 全球知识产权法律体系的分歧</w:t>
      </w:r>
    </w:p>
    <w:p>
      <w:pPr>
        <w:spacing w:after="80" w:line="360" w:lineRule="auto"/>
        <w:ind w:firstLine="420"/>
      </w:pPr>
      <w:r>
        <w:rPr>
          <w:sz w:val="22"/>
        </w:rPr>
        <w:t>不同国家对文化遗产数字版权的法律态度差异显著：</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D9E2EC"/>
          </w:tcPr>
          <w:p>
            <w:pPr>
              <w:spacing w:before="40" w:after="40"/>
            </w:pPr>
            <w:r>
              <w:rPr>
                <w:b/>
                <w:sz w:val="20"/>
              </w:rPr>
            </w:r>
            <w:r>
              <w:rPr>
                <w:b/>
                <w:sz w:val="20"/>
              </w:rPr>
              <w:t>法律体系</w:t>
            </w:r>
          </w:p>
        </w:tc>
        <w:tc>
          <w:tcPr>
            <w:tcW w:type="dxa" w:w="2126"/>
            <w:shd w:val="clear" w:color="auto" w:fill="D9E2EC"/>
          </w:tcPr>
          <w:p>
            <w:pPr>
              <w:spacing w:before="40" w:after="40"/>
            </w:pPr>
            <w:r>
              <w:rPr>
                <w:b/>
                <w:sz w:val="20"/>
              </w:rPr>
            </w:r>
            <w:r>
              <w:rPr>
                <w:b/>
                <w:sz w:val="20"/>
              </w:rPr>
              <w:t>立场</w:t>
            </w:r>
          </w:p>
        </w:tc>
        <w:tc>
          <w:tcPr>
            <w:tcW w:type="dxa" w:w="2126"/>
            <w:shd w:val="clear" w:color="auto" w:fill="D9E2EC"/>
          </w:tcPr>
          <w:p>
            <w:pPr>
              <w:spacing w:before="40" w:after="40"/>
            </w:pPr>
            <w:r>
              <w:rPr>
                <w:b/>
                <w:sz w:val="20"/>
              </w:rPr>
            </w:r>
            <w:r>
              <w:rPr>
                <w:b/>
                <w:sz w:val="20"/>
              </w:rPr>
              <w:t>代表国家</w:t>
            </w:r>
          </w:p>
        </w:tc>
        <w:tc>
          <w:tcPr>
            <w:tcW w:type="dxa" w:w="2126"/>
            <w:shd w:val="clear" w:color="auto" w:fill="D9E2EC"/>
          </w:tcPr>
          <w:p>
            <w:pPr>
              <w:spacing w:before="40" w:after="40"/>
            </w:pPr>
            <w:r>
              <w:rPr>
                <w:b/>
                <w:sz w:val="20"/>
              </w:rPr>
            </w:r>
            <w:r>
              <w:rPr>
                <w:b/>
                <w:sz w:val="20"/>
              </w:rPr>
              <w:t>理由</w:t>
            </w:r>
          </w:p>
        </w:tc>
      </w:tr>
      <w:tr>
        <w:tc>
          <w:tcPr>
            <w:tcW w:type="dxa" w:w="2126"/>
          </w:tcPr>
          <w:p>
            <w:pPr>
              <w:spacing w:before="40" w:after="40"/>
            </w:pPr>
            <w:r>
              <w:rPr>
                <w:sz w:val="20"/>
              </w:rPr>
            </w:r>
            <w:r>
              <w:rPr>
                <w:sz w:val="20"/>
              </w:rPr>
              <w:t>严格版权</w:t>
            </w:r>
          </w:p>
        </w:tc>
        <w:tc>
          <w:tcPr>
            <w:tcW w:type="dxa" w:w="2126"/>
          </w:tcPr>
          <w:p>
            <w:pPr>
              <w:spacing w:before="40" w:after="40"/>
            </w:pPr>
            <w:r>
              <w:rPr>
                <w:sz w:val="20"/>
              </w:rPr>
            </w:r>
            <w:r>
              <w:rPr>
                <w:sz w:val="20"/>
              </w:rPr>
              <w:t>数字复制品可能产生新版权</w:t>
            </w:r>
          </w:p>
        </w:tc>
        <w:tc>
          <w:tcPr>
            <w:tcW w:type="dxa" w:w="2126"/>
          </w:tcPr>
          <w:p>
            <w:pPr>
              <w:spacing w:before="40" w:after="40"/>
            </w:pPr>
            <w:r>
              <w:rPr>
                <w:sz w:val="20"/>
              </w:rPr>
            </w:r>
            <w:r>
              <w:rPr>
                <w:sz w:val="20"/>
              </w:rPr>
              <w:t>美国</w:t>
            </w:r>
          </w:p>
        </w:tc>
        <w:tc>
          <w:tcPr>
            <w:tcW w:type="dxa" w:w="2126"/>
          </w:tcPr>
          <w:p>
            <w:pPr>
              <w:spacing w:before="40" w:after="40"/>
            </w:pPr>
            <w:r>
              <w:rPr>
                <w:sz w:val="20"/>
              </w:rPr>
            </w:r>
            <w:r>
              <w:rPr>
                <w:sz w:val="20"/>
              </w:rPr>
              <w:t>数字化过程含创造性劳动</w:t>
            </w:r>
          </w:p>
        </w:tc>
      </w:tr>
      <w:tr>
        <w:tc>
          <w:tcPr>
            <w:tcW w:type="dxa" w:w="2126"/>
            <w:shd w:val="clear" w:color="auto" w:fill="F5F5F5"/>
          </w:tcPr>
          <w:p>
            <w:pPr>
              <w:spacing w:before="40" w:after="40"/>
            </w:pPr>
            <w:r>
              <w:rPr>
                <w:sz w:val="20"/>
              </w:rPr>
            </w:r>
            <w:r>
              <w:rPr>
                <w:sz w:val="20"/>
              </w:rPr>
              <w:t>有限版权</w:t>
            </w:r>
          </w:p>
        </w:tc>
        <w:tc>
          <w:tcPr>
            <w:tcW w:type="dxa" w:w="2126"/>
            <w:shd w:val="clear" w:color="auto" w:fill="F5F5F5"/>
          </w:tcPr>
          <w:p>
            <w:pPr>
              <w:spacing w:before="40" w:after="40"/>
            </w:pPr>
            <w:r>
              <w:rPr>
                <w:sz w:val="20"/>
              </w:rPr>
            </w:r>
            <w:r>
              <w:rPr>
                <w:sz w:val="20"/>
              </w:rPr>
              <w:t>公共领域文物的数字复制不产生新版权</w:t>
            </w:r>
          </w:p>
        </w:tc>
        <w:tc>
          <w:tcPr>
            <w:tcW w:type="dxa" w:w="2126"/>
            <w:shd w:val="clear" w:color="auto" w:fill="F5F5F5"/>
          </w:tcPr>
          <w:p>
            <w:pPr>
              <w:spacing w:before="40" w:after="40"/>
            </w:pPr>
            <w:r>
              <w:rPr>
                <w:sz w:val="20"/>
              </w:rPr>
            </w:r>
            <w:r>
              <w:rPr>
                <w:sz w:val="20"/>
              </w:rPr>
              <w:t>部分欧洲国家</w:t>
            </w:r>
          </w:p>
        </w:tc>
        <w:tc>
          <w:tcPr>
            <w:tcW w:type="dxa" w:w="2126"/>
            <w:shd w:val="clear" w:color="auto" w:fill="F5F5F5"/>
          </w:tcPr>
          <w:p>
            <w:pPr>
              <w:spacing w:before="40" w:after="40"/>
            </w:pPr>
            <w:r>
              <w:rPr>
                <w:sz w:val="20"/>
              </w:rPr>
            </w:r>
            <w:r>
              <w:rPr>
                <w:sz w:val="20"/>
              </w:rPr>
              <w:t>避免公共遗产被私有化</w:t>
            </w:r>
          </w:p>
        </w:tc>
      </w:tr>
      <w:tr>
        <w:tc>
          <w:tcPr>
            <w:tcW w:type="dxa" w:w="2126"/>
          </w:tcPr>
          <w:p>
            <w:pPr>
              <w:spacing w:before="40" w:after="40"/>
            </w:pPr>
            <w:r>
              <w:rPr>
                <w:sz w:val="20"/>
              </w:rPr>
            </w:r>
            <w:r>
              <w:rPr>
                <w:sz w:val="20"/>
              </w:rPr>
              <w:t>模糊地带</w:t>
            </w:r>
          </w:p>
        </w:tc>
        <w:tc>
          <w:tcPr>
            <w:tcW w:type="dxa" w:w="2126"/>
          </w:tcPr>
          <w:p>
            <w:pPr>
              <w:spacing w:before="40" w:after="40"/>
            </w:pPr>
            <w:r>
              <w:rPr>
                <w:sz w:val="20"/>
              </w:rPr>
            </w:r>
            <w:r>
              <w:rPr>
                <w:sz w:val="20"/>
              </w:rPr>
              <w:t>法律未明确规定</w:t>
            </w:r>
          </w:p>
        </w:tc>
        <w:tc>
          <w:tcPr>
            <w:tcW w:type="dxa" w:w="2126"/>
          </w:tcPr>
          <w:p>
            <w:pPr>
              <w:spacing w:before="40" w:after="40"/>
            </w:pPr>
            <w:r>
              <w:rPr>
                <w:sz w:val="20"/>
              </w:rPr>
            </w:r>
            <w:r>
              <w:rPr>
                <w:sz w:val="20"/>
              </w:rPr>
              <w:t>中国</w:t>
            </w:r>
          </w:p>
        </w:tc>
        <w:tc>
          <w:tcPr>
            <w:tcW w:type="dxa" w:w="2126"/>
          </w:tcPr>
          <w:p>
            <w:pPr>
              <w:spacing w:before="40" w:after="40"/>
            </w:pPr>
            <w:r>
              <w:rPr>
                <w:sz w:val="20"/>
              </w:rPr>
            </w:r>
            <w:r>
              <w:rPr>
                <w:sz w:val="20"/>
              </w:rPr>
              <w:t>需个案判断</w:t>
            </w:r>
          </w:p>
        </w:tc>
      </w:tr>
    </w:tbl>
    <w:p>
      <w:pPr>
        <w:spacing w:after="80" w:line="360" w:lineRule="auto"/>
        <w:ind w:firstLine="420"/>
      </w:pPr>
      <w:r>
        <w:rPr>
          <w:sz w:val="22"/>
        </w:rPr>
        <w:t>Koščík和Myška（2019）在研究"原生数字"内容作为文化遗产保存的版权法挑战时指出，"原生数字"内容（非数字化转换，而是以数字形式直接创建的文化内容）面临更复杂的版权问题——它同时是"文化遗产"和"受版权保护的作品"，两种身份之间的张力需要新的法律框架来调和[3]。</w:t>
      </w:r>
    </w:p>
    <w:p>
      <w:pPr>
        <w:spacing w:before="160" w:after="80"/>
      </w:pPr>
      <w:r>
        <w:rPr>
          <w:b/>
          <w:color w:val="2A9D8F"/>
          <w:sz w:val="26"/>
        </w:rPr>
        <w:t>9.1.3 公共文化领域与私权保护的张力</w:t>
      </w:r>
    </w:p>
    <w:p>
      <w:pPr>
        <w:spacing w:after="80" w:line="360" w:lineRule="auto"/>
        <w:ind w:firstLine="420"/>
      </w:pPr>
      <w:r>
        <w:rPr>
          <w:sz w:val="22"/>
        </w:rPr>
        <w:t>文化遗产本质上属于公共文化领域（public domain），但其数字化投入巨大——一件文物的三维数字化成本可能高达数万元。如果数字复制品完全不受版权保护，数字化投入者将无法回收成本，可能抑制数字化动力；但如果过度保护，则可能导致公共遗产的数字资源被少数机构垄断，阻碍文化传播。</w:t>
      </w:r>
    </w:p>
    <w:p>
      <w:pPr>
        <w:spacing w:before="200" w:after="120"/>
      </w:pPr>
      <w:r>
        <w:rPr>
          <w:b/>
          <w:color w:val="457B9D"/>
          <w:sz w:val="30"/>
        </w:rPr>
        <w:t>9.2 区块链技术在文化遗产中的应用</w:t>
      </w:r>
    </w:p>
    <w:p>
      <w:pPr>
        <w:spacing w:before="160" w:after="80"/>
      </w:pPr>
      <w:r>
        <w:rPr>
          <w:b/>
          <w:color w:val="2A9D8F"/>
          <w:sz w:val="26"/>
        </w:rPr>
        <w:t>9.2.1 区块链核心特性与文化遗产适配性</w:t>
      </w:r>
    </w:p>
    <w:p>
      <w:pPr>
        <w:spacing w:after="80" w:line="360" w:lineRule="auto"/>
        <w:ind w:firstLine="420"/>
      </w:pPr>
      <w:r>
        <w:rPr>
          <w:sz w:val="22"/>
        </w:rPr>
        <w:t>Trček（2022）在研究区块链技术在文化遗产保护中的应用时，指出区块链的分布式账本、共识机制、加密算法和智能合约等核心特性，天然适合解决文化遗产数字资源管理中的信任、溯源和权益分配问题[4]。</w:t>
      </w:r>
    </w:p>
    <w:p>
      <w:pPr>
        <w:spacing w:after="80" w:line="360" w:lineRule="auto"/>
        <w:ind w:firstLine="420"/>
      </w:pPr>
      <w:r>
        <w:rPr>
          <w:sz w:val="22"/>
        </w:rPr>
        <w:t>区块链技术对文化遗产保护的适配性体现在：</w:t>
      </w:r>
    </w:p>
    <w:p>
      <w:pPr>
        <w:pStyle w:val="ListBullet"/>
      </w:pPr>
      <w:r>
        <w:rPr>
          <w:b/>
          <w:sz w:val="22"/>
        </w:rPr>
        <w:t>不可篡改性</w:t>
      </w:r>
      <w:r>
        <w:rPr>
          <w:sz w:val="22"/>
        </w:rPr>
        <w:t>：一旦上链的数字资产信息无法被修改，确保数字档案的真实性和权威性</w:t>
      </w:r>
    </w:p>
    <w:p>
      <w:pPr>
        <w:pStyle w:val="ListBullet"/>
      </w:pPr>
      <w:r>
        <w:rPr>
          <w:b/>
          <w:sz w:val="22"/>
        </w:rPr>
        <w:t>可追溯性</w:t>
      </w:r>
      <w:r>
        <w:rPr>
          <w:sz w:val="22"/>
        </w:rPr>
        <w:t>：数字资产的每一次流转都有链上记录，支持版权追踪和侵权举证</w:t>
      </w:r>
    </w:p>
    <w:p>
      <w:pPr>
        <w:pStyle w:val="ListBullet"/>
      </w:pPr>
      <w:r>
        <w:rPr>
          <w:b/>
          <w:sz w:val="22"/>
        </w:rPr>
        <w:t>去中心化</w:t>
      </w:r>
      <w:r>
        <w:rPr>
          <w:sz w:val="22"/>
        </w:rPr>
        <w:t>：无需单一信任机构，多机构可共同维护遗产数字档案</w:t>
      </w:r>
    </w:p>
    <w:p>
      <w:pPr>
        <w:pStyle w:val="ListBullet"/>
      </w:pPr>
      <w:r>
        <w:rPr>
          <w:b/>
          <w:sz w:val="22"/>
        </w:rPr>
        <w:t>智能合约</w:t>
      </w:r>
      <w:r>
        <w:rPr>
          <w:sz w:val="22"/>
        </w:rPr>
        <w:t>：自动执行授权协议，降低版权交易成本</w:t>
      </w:r>
    </w:p>
    <w:p>
      <w:pPr>
        <w:spacing w:before="160" w:after="80"/>
      </w:pPr>
      <w:r>
        <w:rPr>
          <w:b/>
          <w:color w:val="2A9D8F"/>
          <w:sz w:val="26"/>
        </w:rPr>
        <w:t>9.2.2 分布式账本与文化遗产档案管理</w:t>
      </w:r>
    </w:p>
    <w:p>
      <w:pPr>
        <w:spacing w:after="80" w:line="360" w:lineRule="auto"/>
        <w:ind w:firstLine="420"/>
      </w:pPr>
      <w:r>
        <w:rPr>
          <w:sz w:val="22"/>
        </w:rPr>
        <w:t>王箐（2018）在分析基于区块链技术的ICH档案管理优化方案时，指出区块链的分布式账本特性可以有效解决ICH档案管理中收集难、鉴定难、合作难、安全难的问题[5]。传统ICH档案管理面临多地重复申报、档案造假、多头管理主体间信息不透明等问题，区块链的分布式共识机制为这些问题的解决提供了技术基础。</w:t>
      </w:r>
    </w:p>
    <w:p>
      <w:pPr>
        <w:spacing w:before="160" w:after="80"/>
      </w:pPr>
      <w:r>
        <w:rPr>
          <w:b/>
          <w:color w:val="2A9D8F"/>
          <w:sz w:val="26"/>
        </w:rPr>
        <w:t>9.2.3 哈希算法与文物数字资源唯一标识</w:t>
      </w:r>
    </w:p>
    <w:p>
      <w:pPr>
        <w:spacing w:after="80" w:line="360" w:lineRule="auto"/>
        <w:ind w:firstLine="420"/>
      </w:pPr>
      <w:r>
        <w:rPr>
          <w:sz w:val="22"/>
        </w:rPr>
        <w:t>中国学者（2025）提出的区块链版权管理框架中，通过哈希算法实现文物数字化资源的唯一标识与存证——将数字资源的特征值（如三维模型的几何特征摘要、图像的感知哈希值）计算为唯一的哈希值并上链，形成不可篡改的"数字指纹"[1]。这一机制确保每件文物的数字资源都有链上唯一对应，即使数字文件被复制，其哈希值仍可追溯到原始资源。</w:t>
      </w:r>
    </w:p>
    <w:p>
      <w:pPr>
        <w:spacing w:before="160" w:after="80"/>
      </w:pPr>
      <w:r>
        <w:rPr>
          <w:b/>
          <w:color w:val="2A9D8F"/>
          <w:sz w:val="26"/>
        </w:rPr>
        <w:t>9.2.4 智能合约自动化授权流程</w:t>
      </w:r>
    </w:p>
    <w:p>
      <w:pPr>
        <w:spacing w:after="80" w:line="360" w:lineRule="auto"/>
        <w:ind w:firstLine="420"/>
      </w:pPr>
      <w:r>
        <w:rPr>
          <w:sz w:val="22"/>
        </w:rPr>
        <w:t>智能合约（Smart Contract）是自动执行的计算机程序，当预设条件满足时自动触发相应操作。在文化遗产数字版权管理中，智能合约可以实现：</w:t>
      </w:r>
    </w:p>
    <w:p>
      <w:pPr>
        <w:pStyle w:val="ListBullet"/>
      </w:pPr>
      <w:r>
        <w:rPr>
          <w:b/>
          <w:sz w:val="22"/>
        </w:rPr>
        <w:t>自动授权</w:t>
      </w:r>
      <w:r>
        <w:rPr>
          <w:sz w:val="22"/>
        </w:rPr>
        <w:t>：用户支付使用费后自动获取数字资源使用权</w:t>
      </w:r>
    </w:p>
    <w:p>
      <w:pPr>
        <w:pStyle w:val="ListBullet"/>
      </w:pPr>
      <w:r>
        <w:rPr>
          <w:b/>
          <w:sz w:val="22"/>
        </w:rPr>
        <w:t>分级权限</w:t>
      </w:r>
      <w:r>
        <w:rPr>
          <w:sz w:val="22"/>
        </w:rPr>
        <w:t>：不同用户类型（学术研究/商业使用/教育用途）自动获得不同权限</w:t>
      </w:r>
    </w:p>
    <w:p>
      <w:pPr>
        <w:pStyle w:val="ListBullet"/>
      </w:pPr>
      <w:r>
        <w:rPr>
          <w:b/>
          <w:sz w:val="22"/>
        </w:rPr>
        <w:t>收益分配</w:t>
      </w:r>
      <w:r>
        <w:rPr>
          <w:sz w:val="22"/>
        </w:rPr>
        <w:t>：使用费按照预设比例自动分配给各权益方</w:t>
      </w:r>
    </w:p>
    <w:p>
      <w:pPr>
        <w:pStyle w:val="ListBullet"/>
      </w:pPr>
      <w:r>
        <w:rPr>
          <w:b/>
          <w:sz w:val="22"/>
        </w:rPr>
        <w:t>到期提醒</w:t>
      </w:r>
      <w:r>
        <w:rPr>
          <w:sz w:val="22"/>
        </w:rPr>
        <w:t>：授权期限到期后自动收回权限</w:t>
      </w:r>
    </w:p>
    <w:p>
      <w:pPr>
        <w:spacing w:before="200" w:after="120"/>
      </w:pPr>
      <w:r>
        <w:rPr>
          <w:b/>
          <w:color w:val="457B9D"/>
          <w:sz w:val="30"/>
        </w:rPr>
        <w:t>9.3 NFT与文化遗产</w:t>
      </w:r>
    </w:p>
    <w:p>
      <w:pPr>
        <w:spacing w:before="160" w:after="80"/>
      </w:pPr>
      <w:r>
        <w:rPr>
          <w:b/>
          <w:color w:val="2A9D8F"/>
          <w:sz w:val="26"/>
        </w:rPr>
        <w:t>9.3.1 NFT技术原理与文化遗产场景</w:t>
      </w:r>
    </w:p>
    <w:p>
      <w:pPr>
        <w:spacing w:after="80" w:line="360" w:lineRule="auto"/>
        <w:ind w:firstLine="420"/>
      </w:pPr>
      <w:r>
        <w:rPr>
          <w:sz w:val="22"/>
        </w:rPr>
        <w:t>NFT（Non-Fungible Token，非同质化代币）基于区块链技术，为数字资产提供唯一性证明。Stublić等人（2023）在综述区块链和NFT在文化遗产领域的研究时指出，NFT为文化遗产数字资产提供了新的确权、交易和传播机制[6]。</w:t>
      </w:r>
    </w:p>
    <w:p>
      <w:pPr>
        <w:spacing w:after="80" w:line="360" w:lineRule="auto"/>
        <w:ind w:firstLine="420"/>
      </w:pPr>
      <w:r>
        <w:rPr>
          <w:sz w:val="22"/>
        </w:rPr>
        <w:t>NFT在文化遗产中的潜在应用场景包括：</w:t>
      </w:r>
    </w:p>
    <w:p>
      <w:pPr>
        <w:pStyle w:val="ListBullet"/>
      </w:pPr>
      <w:r>
        <w:rPr>
          <w:b/>
          <w:sz w:val="22"/>
        </w:rPr>
        <w:t>数字藏品发行</w:t>
      </w:r>
      <w:r>
        <w:rPr>
          <w:sz w:val="22"/>
        </w:rPr>
        <w:t>：博物馆发行限量版数字藏品，创造新的收入来源</w:t>
      </w:r>
    </w:p>
    <w:p>
      <w:pPr>
        <w:pStyle w:val="ListBullet"/>
      </w:pPr>
      <w:r>
        <w:rPr>
          <w:b/>
          <w:sz w:val="22"/>
        </w:rPr>
        <w:t>文化遗产数字资产确权</w:t>
      </w:r>
      <w:r>
        <w:rPr>
          <w:sz w:val="22"/>
        </w:rPr>
        <w:t>：通过NFT明确数字资产的唯一所有权</w:t>
      </w:r>
    </w:p>
    <w:p>
      <w:pPr>
        <w:pStyle w:val="ListBullet"/>
      </w:pPr>
      <w:r>
        <w:rPr>
          <w:b/>
          <w:sz w:val="22"/>
        </w:rPr>
        <w:t>赞助与众筹</w:t>
      </w:r>
      <w:r>
        <w:rPr>
          <w:sz w:val="22"/>
        </w:rPr>
        <w:t>：通过NFT销售为遗产保护项目筹集资金</w:t>
      </w:r>
    </w:p>
    <w:p>
      <w:pPr>
        <w:spacing w:before="160" w:after="80"/>
      </w:pPr>
      <w:r>
        <w:rPr>
          <w:b/>
          <w:color w:val="2A9D8F"/>
          <w:sz w:val="26"/>
        </w:rPr>
        <w:t>9.3.2 NFT的商业模式与风险</w:t>
      </w:r>
    </w:p>
    <w:p>
      <w:pPr>
        <w:spacing w:after="80" w:line="360" w:lineRule="auto"/>
        <w:ind w:firstLine="420"/>
      </w:pPr>
      <w:r>
        <w:rPr>
          <w:sz w:val="22"/>
        </w:rPr>
        <w:t>Del Vacchio和Bifulco（2022）在区块链文化遗产文献综述中指出，一些项目将文化资产转化为可在在线市场交易的NFT，支持者通过捐赠获得NFT作为回报[7]。然而，NFT在文化遗产领域的应用也面临显著风险：</w:t>
      </w:r>
    </w:p>
    <w:p>
      <w:pPr>
        <w:spacing w:after="80" w:line="360" w:lineRule="auto"/>
        <w:ind w:firstLine="420"/>
      </w:pPr>
      <w:r>
        <w:rPr>
          <w:sz w:val="22"/>
        </w:rPr>
        <w:t>Nogueira等人（2023）在研究"NFT与丢失的危险"时，警告了NFT数字保存的风险——NFT的元数据通常存储在链下服务器上，如果服务器关闭或URI失效，NFT可能"指向"不存在的数字资产[8]。</w:t>
      </w:r>
    </w:p>
    <w:p>
      <w:pPr>
        <w:spacing w:before="160" w:after="80"/>
      </w:pPr>
      <w:r>
        <w:rPr>
          <w:b/>
          <w:color w:val="2A9D8F"/>
          <w:sz w:val="26"/>
        </w:rPr>
        <w:t>9.3.3 "原生数字"内容的遗产化挑战</w:t>
      </w:r>
    </w:p>
    <w:p>
      <w:pPr>
        <w:spacing w:after="80" w:line="360" w:lineRule="auto"/>
        <w:ind w:firstLine="420"/>
      </w:pPr>
      <w:r>
        <w:rPr>
          <w:sz w:val="22"/>
        </w:rPr>
        <w:t>Koščík和Myška（2019）指出，"原生数字"内容——如数字艺术、网络文学、虚拟世界构建——作为文化遗产保存面临独特的法律挑战[3]。这类内容既是文化遗产又是受版权保护的作品，NFT技术为其确权提供了新工具，但也带来了新的法律不确定性。</w:t>
      </w:r>
    </w:p>
    <w:p>
      <w:pPr>
        <w:spacing w:before="160" w:after="80"/>
      </w:pPr>
      <w:r>
        <w:rPr>
          <w:b/>
          <w:color w:val="2A9D8F"/>
          <w:sz w:val="26"/>
        </w:rPr>
        <w:t>9.3.4 NFT数字藏品的版权管理</w:t>
      </w:r>
    </w:p>
    <w:p>
      <w:pPr>
        <w:spacing w:after="80" w:line="360" w:lineRule="auto"/>
        <w:ind w:firstLine="420"/>
      </w:pPr>
      <w:r>
        <w:rPr>
          <w:sz w:val="22"/>
        </w:rPr>
        <w:t>王子琪（2022）在分析数字收藏与文化治理时指出，区块链技术具有天然反垄断、去中心化的技术初衷，但在版权产业方面的功能尚未得到良好实现，NFT艺术品通过拍卖行引发的"钱爆"率先进入大众视野[9]。阙培斯等人（2023）在研究基于区块链NFT的知识产权数字化上链管理方法时，提出了链下知识产权认证与链上产权认证强绑定的技术方案——当链下知识产权确定后，其对应的数字凭证在链上进行NFT铸造并传输[10]。</w:t>
      </w:r>
    </w:p>
    <w:p>
      <w:pPr>
        <w:spacing w:before="200" w:after="120"/>
      </w:pPr>
      <w:r>
        <w:rPr>
          <w:b/>
          <w:color w:val="457B9D"/>
          <w:sz w:val="30"/>
        </w:rPr>
        <w:t>9.4 文化遗产数字版权管理框架设计</w:t>
      </w:r>
    </w:p>
    <w:p>
      <w:pPr>
        <w:spacing w:before="160" w:after="80"/>
      </w:pPr>
      <w:r>
        <w:rPr>
          <w:b/>
          <w:color w:val="2A9D8F"/>
          <w:sz w:val="26"/>
        </w:rPr>
        <w:t>9.4.1 联盟链架构设计</w:t>
      </w:r>
    </w:p>
    <w:p>
      <w:pPr>
        <w:spacing w:after="80" w:line="360" w:lineRule="auto"/>
        <w:ind w:firstLine="420"/>
      </w:pPr>
      <w:r>
        <w:rPr>
          <w:sz w:val="22"/>
        </w:rPr>
        <w:t>中国学者（2025）提出的版权管理框架采用联盟链架构——由博物馆、图书馆、档案馆等文化机构和版权管理部门共同维护区块链网络[1]。联盟链相比公有链具有更高的交易效率和更低的能源消耗，相比私有链又保留了多机构共识的去中心化优势，适合文化遗产领域的多机构协作场景。</w:t>
      </w:r>
    </w:p>
    <w:p>
      <w:pPr>
        <w:spacing w:before="160" w:after="80"/>
      </w:pPr>
      <w:r>
        <w:rPr>
          <w:b/>
          <w:color w:val="2A9D8F"/>
          <w:sz w:val="26"/>
        </w:rPr>
        <w:t>9.4.2 版权存证、授权管理与侵权追溯模块</w:t>
      </w:r>
    </w:p>
    <w:p>
      <w:pPr>
        <w:spacing w:after="80" w:line="360" w:lineRule="auto"/>
        <w:ind w:firstLine="420"/>
      </w:pPr>
      <w:r>
        <w:rPr>
          <w:sz w:val="22"/>
        </w:rPr>
        <w:t>框架包含三个核心模块：</w:t>
      </w:r>
    </w:p>
    <w:p>
      <w:pPr>
        <w:spacing w:after="80" w:line="360" w:lineRule="auto"/>
        <w:ind w:firstLine="420"/>
      </w:pPr>
      <w:r>
        <w:rPr>
          <w:b/>
          <w:sz w:val="22"/>
        </w:rPr>
        <w:t>版权存证模块</w:t>
      </w:r>
      <w:r>
        <w:rPr>
          <w:sz w:val="22"/>
        </w:rPr>
        <w:t>：数字资源创建后，计算其哈希值并上链存证，记录创建者、创建时间、数字资源指纹等信息，形成不可篡改的版权证明。</w:t>
      </w:r>
    </w:p>
    <w:p>
      <w:pPr>
        <w:spacing w:after="80" w:line="360" w:lineRule="auto"/>
        <w:ind w:firstLine="420"/>
      </w:pPr>
      <w:r>
        <w:rPr>
          <w:b/>
          <w:sz w:val="22"/>
        </w:rPr>
        <w:t>授权管理模块</w:t>
      </w:r>
      <w:r>
        <w:rPr>
          <w:sz w:val="22"/>
        </w:rPr>
        <w:t>：通过智能合约管理数字资源的使用授权——定义不同使用场景的授权条件、费用标准和权限范围，用户通过链上交易获取授权。</w:t>
      </w:r>
    </w:p>
    <w:p>
      <w:pPr>
        <w:spacing w:after="80" w:line="360" w:lineRule="auto"/>
        <w:ind w:firstLine="420"/>
      </w:pPr>
      <w:r>
        <w:rPr>
          <w:b/>
          <w:sz w:val="22"/>
        </w:rPr>
        <w:t>侵权追溯模块</w:t>
      </w:r>
      <w:r>
        <w:rPr>
          <w:sz w:val="22"/>
        </w:rPr>
        <w:t>：利用数字指纹技术对网络上的数字资源进行监测比对，当发现疑似侵权资源时，通过链上记录追溯原始版权信息和授权链路，为法律维权提供证据。</w:t>
      </w:r>
    </w:p>
    <w:p>
      <w:pPr>
        <w:spacing w:before="160" w:after="80"/>
      </w:pPr>
      <w:r>
        <w:rPr>
          <w:b/>
          <w:color w:val="2A9D8F"/>
          <w:sz w:val="26"/>
        </w:rPr>
        <w:t>9.4.3 数字指纹与链上数据协同</w:t>
      </w:r>
    </w:p>
    <w:p>
      <w:pPr>
        <w:spacing w:after="80" w:line="360" w:lineRule="auto"/>
        <w:ind w:firstLine="420"/>
      </w:pPr>
      <w:r>
        <w:rPr>
          <w:sz w:val="22"/>
        </w:rPr>
        <w:t>数字指纹技术是版权保护的关键——它为每件数字资源生成唯一的特征标识，即使资源被裁剪、压缩或修改，仍能识别其来源。链上数据则提供了版权归属和授权记录的可信证据。两者协同形成"技术发现+法律举证"的完整侵权治理链条。</w:t>
      </w:r>
    </w:p>
    <w:p>
      <w:pPr>
        <w:spacing w:after="80" w:line="360" w:lineRule="auto"/>
        <w:ind w:firstLine="420"/>
      </w:pPr>
      <w:r>
        <w:rPr>
          <w:sz w:val="22"/>
        </w:rPr>
        <w:t>Mo和Huang（2024）在研究ICH数字保存与网络传播时，结合区块链技术的特性提出了ICH数字保存与网络传播的创新方案，强调了数字指纹在ICH数字版权保护中的关键作用[11]。</w:t>
      </w:r>
    </w:p>
    <w:p>
      <w:pPr>
        <w:spacing w:before="160" w:after="80"/>
      </w:pPr>
      <w:r>
        <w:rPr>
          <w:b/>
          <w:color w:val="2A9D8F"/>
          <w:sz w:val="26"/>
        </w:rPr>
        <w:t>9.4.4 非遗档案管理的区块链优化方案</w:t>
      </w:r>
    </w:p>
    <w:p>
      <w:pPr>
        <w:spacing w:after="80" w:line="360" w:lineRule="auto"/>
        <w:ind w:firstLine="420"/>
      </w:pPr>
      <w:r>
        <w:rPr>
          <w:sz w:val="22"/>
        </w:rPr>
        <w:t>王箐（2018）针对ICH档案管理的特殊性，提出了基于区块链的优化方案：非遗档案的收集（多机构分布式上传）、鉴定（共识机制多方验证）、合作（链上信息透明共享）和安全（加密存储权限控制）均可通过区块链技术得到改善[5]。Wahed等人也指出，第四次工业革命中的区块链证书技术可以用于版权保护，防止数字媒体内容盗版[12]。</w:t>
      </w:r>
    </w:p>
    <w:p>
      <w:pPr>
        <w:spacing w:before="200" w:after="120"/>
      </w:pPr>
      <w:r>
        <w:rPr>
          <w:b/>
          <w:color w:val="457B9D"/>
          <w:sz w:val="30"/>
        </w:rPr>
        <w:t>9.5 区块链文化遗产应用的伦理与治理</w:t>
      </w:r>
    </w:p>
    <w:p>
      <w:pPr>
        <w:spacing w:before="160" w:after="80"/>
      </w:pPr>
      <w:r>
        <w:rPr>
          <w:b/>
          <w:color w:val="2A9D8F"/>
          <w:sz w:val="26"/>
        </w:rPr>
        <w:t>9.5.1 去中心化治理的机遇与风险</w:t>
      </w:r>
    </w:p>
    <w:p>
      <w:pPr>
        <w:spacing w:after="80" w:line="360" w:lineRule="auto"/>
        <w:ind w:firstLine="420"/>
      </w:pPr>
      <w:r>
        <w:rPr>
          <w:sz w:val="22"/>
        </w:rPr>
        <w:t>区块链的去中心化特性为文化遗产治理带来了新机遇——打破了单一机构的垄断控制，使社区和公众能够参与遗产数字资源的管理。但去中心化也带来风险——缺乏中心化监管可能导致数字资产被滥用，社区共识机制可能被利益方操纵。</w:t>
      </w:r>
    </w:p>
    <w:p>
      <w:pPr>
        <w:spacing w:before="160" w:after="80"/>
      </w:pPr>
      <w:r>
        <w:rPr>
          <w:b/>
          <w:color w:val="2A9D8F"/>
          <w:sz w:val="26"/>
        </w:rPr>
        <w:t>9.5.2 ICH在数字空间中的伦理流通</w:t>
      </w:r>
    </w:p>
    <w:p>
      <w:pPr>
        <w:spacing w:after="80" w:line="360" w:lineRule="auto"/>
        <w:ind w:firstLine="420"/>
      </w:pPr>
      <w:r>
        <w:rPr>
          <w:sz w:val="22"/>
        </w:rPr>
        <w:t>Yáñez和Fraisse（2022）在研究ICH在数字空间中的伦理流通时，提出了一个深刻的问题：当ICH实践被数字化并在区块链上确权交易时，它从"文化实践"变成了"数据资产"——这一转变是否背离了ICH作为"活态文化"的本质？[13] 伦理流通要求在数字确权的同时，尊重ICH的文化语境、社区意愿和精神价值。</w:t>
      </w:r>
    </w:p>
    <w:p>
      <w:pPr>
        <w:spacing w:before="160" w:after="80"/>
      </w:pPr>
      <w:r>
        <w:rPr>
          <w:b/>
          <w:color w:val="2A9D8F"/>
          <w:sz w:val="26"/>
        </w:rPr>
        <w:t>9.5.3 文化治理与数字收藏的监管框架</w:t>
      </w:r>
    </w:p>
    <w:p>
      <w:pPr>
        <w:spacing w:after="80" w:line="360" w:lineRule="auto"/>
        <w:ind w:firstLine="420"/>
      </w:pPr>
      <w:r>
        <w:rPr>
          <w:sz w:val="22"/>
        </w:rPr>
        <w:t>王子琪（2022）指出，区块链技术旨在设计一种开放系统，任何有价值的交易可以不通过中介在个人之间进行，但在文化遗产领域，完全去中心化的市场可能损害公共利益[9]。文化治理框架需要解决的核心问题是：如何在鼓励技术创新和保障公共利益之间取得平衡——这需要技术标准、法律规范和行业自律的协同治理。</w:t>
      </w:r>
    </w:p>
    <w:p>
      <w:pPr>
        <w:spacing w:before="200" w:after="120"/>
      </w:pPr>
      <w:r>
        <w:rPr>
          <w:b/>
          <w:color w:val="457B9D"/>
          <w:sz w:val="30"/>
        </w:rPr>
        <w:t>本章小结</w:t>
      </w:r>
    </w:p>
    <w:p>
      <w:pPr>
        <w:spacing w:after="80" w:line="360" w:lineRule="auto"/>
        <w:ind w:firstLine="420"/>
      </w:pPr>
      <w:r>
        <w:rPr>
          <w:sz w:val="22"/>
        </w:rPr>
        <w:t>本章深入D.I.G.I.T.框架的G（治理与权益管理）维度，系统介绍了区块链技术与文化遗产数字版权保护。文化遗产数字版权面临数字复制品版权归属争议、全球法律体系分歧和公共领域与私权保护的张力三大挑战。区块链技术的不可篡改、可追溯、去中心化和智能合约特性为这些挑战提供了技术解决方案。NFT技术在文化遗产数字藏品和资产确权方面有应用潜力，但也面临数字保存风险和伦理争议。版权管理框架采用联盟链架构，包含版权存证、授权管理和侵权追溯三个核心模块，通过数字指纹与链上数据协同实现全流程管理。ICH档案管理的区块链优化方案解决了收集难、鉴定难、合作难、安全难四大问题。区块链文化遗产应用的伦理治理需要关注去中心化风险、ICH伦理流通和文化治理监管框架。</w:t>
      </w:r>
    </w:p>
    <w:p>
      <w:pPr>
        <w:spacing w:before="200" w:after="120"/>
      </w:pPr>
      <w:r>
        <w:rPr>
          <w:b/>
          <w:color w:val="457B9D"/>
          <w:sz w:val="30"/>
        </w:rPr>
        <w:t>思考题</w:t>
      </w:r>
    </w:p>
    <w:p>
      <w:pPr>
        <w:pStyle w:val="ListNumber"/>
      </w:pPr>
      <w:r>
        <w:rPr>
          <w:b/>
          <w:sz w:val="22"/>
        </w:rPr>
        <w:t>（识记）</w:t>
      </w:r>
      <w:r>
        <w:rPr>
          <w:sz w:val="22"/>
        </w:rPr>
        <w:t xml:space="preserve"> 区块链技术的四个核心特性是什么？各对文化遗产保护有何价值？</w:t>
      </w:r>
    </w:p>
    <w:p>
      <w:pPr>
        <w:pStyle w:val="ListNumber"/>
      </w:pPr>
      <w:r>
        <w:rPr>
          <w:b/>
          <w:sz w:val="22"/>
        </w:rPr>
        <w:t>（理解）</w:t>
      </w:r>
      <w:r>
        <w:rPr>
          <w:sz w:val="22"/>
        </w:rPr>
        <w:t xml:space="preserve"> 解释文化遗产数字版权归属争议的核心矛盾——"机械复制"与"创造性劳动"两种观点的分歧。</w:t>
      </w:r>
    </w:p>
    <w:p>
      <w:pPr>
        <w:pStyle w:val="ListNumber"/>
      </w:pPr>
      <w:r>
        <w:rPr>
          <w:b/>
          <w:sz w:val="22"/>
        </w:rPr>
        <w:t>（应用）</w:t>
      </w:r>
      <w:r>
        <w:rPr>
          <w:sz w:val="22"/>
        </w:rPr>
        <w:t xml:space="preserve"> 请为一个省级博物馆设计基于区块链的数字版权管理方案，包含架构选择、功能模块和操作流程。</w:t>
      </w:r>
    </w:p>
    <w:p>
      <w:pPr>
        <w:pStyle w:val="ListNumber"/>
      </w:pPr>
      <w:r>
        <w:rPr>
          <w:b/>
          <w:sz w:val="22"/>
        </w:rPr>
        <w:t>（分析）</w:t>
      </w:r>
      <w:r>
        <w:rPr>
          <w:sz w:val="22"/>
        </w:rPr>
        <w:t xml:space="preserve"> 分析NFT在文化遗产应用中的"数字保存风险"——为什么NFT可能"指向"不存在的数字资产？</w:t>
      </w:r>
    </w:p>
    <w:p>
      <w:pPr>
        <w:pStyle w:val="ListNumber"/>
      </w:pPr>
      <w:r>
        <w:rPr>
          <w:b/>
          <w:sz w:val="22"/>
        </w:rPr>
        <w:t>（评价）</w:t>
      </w:r>
      <w:r>
        <w:rPr>
          <w:sz w:val="22"/>
        </w:rPr>
        <w:t xml:space="preserve"> 评估联盟链架构在文化遗产多机构协作场景中的适用性，对比公有链和私有链的优劣。</w:t>
      </w:r>
    </w:p>
    <w:p>
      <w:pPr>
        <w:pStyle w:val="ListNumber"/>
      </w:pPr>
      <w:r>
        <w:rPr>
          <w:b/>
          <w:sz w:val="22"/>
        </w:rPr>
        <w:t>（创造）</w:t>
      </w:r>
      <w:r>
        <w:rPr>
          <w:sz w:val="22"/>
        </w:rPr>
        <w:t xml:space="preserve"> 请设计一个"非遗数字版权伦理治理框架"，包含至少五个维度的治理原则和实施机制。</w:t>
      </w:r>
    </w:p>
    <w:p>
      <w:pPr>
        <w:spacing w:before="160" w:after="80"/>
      </w:pPr>
      <w:r>
        <w:rPr>
          <w:b/>
          <w:color w:val="2A9D8F"/>
          <w:sz w:val="26"/>
        </w:rPr>
        <w:t>9.6 文化遗产数字版权的法律比较</w:t>
      </w:r>
    </w:p>
    <w:p>
      <w:pPr>
        <w:spacing w:before="120"/>
      </w:pPr>
      <w:r>
        <w:rPr>
          <w:b/>
          <w:sz w:val="22"/>
        </w:rPr>
        <w:t>9.6.1 美国版权法视角</w:t>
      </w:r>
    </w:p>
    <w:p>
      <w:pPr>
        <w:spacing w:after="80" w:line="360" w:lineRule="auto"/>
        <w:ind w:firstLine="420"/>
      </w:pPr>
      <w:r>
        <w:rPr>
          <w:sz w:val="22"/>
        </w:rPr>
        <w:t>美国版权法对数字复制品的版权态度较为"宽容"——如果数字化过程中体现了足够的创造性判断（如拍摄角度选择、光线控制、后期调色），数字复制品可能获得新的版权保护。但2014年美国联邦法院在ACT Guides案中裁定，对公共领域作品的"精确数字复制"不产生新版权。这一判例为博物馆数字资源的版权归属提供了重要参考。</w:t>
      </w:r>
    </w:p>
    <w:p>
      <w:pPr>
        <w:spacing w:before="120"/>
      </w:pPr>
      <w:r>
        <w:rPr>
          <w:b/>
          <w:sz w:val="22"/>
        </w:rPr>
        <w:t>9.6.2 欧盟版权法视角</w:t>
      </w:r>
    </w:p>
    <w:p>
      <w:pPr>
        <w:spacing w:after="80" w:line="360" w:lineRule="auto"/>
        <w:ind w:firstLine="420"/>
      </w:pPr>
      <w:r>
        <w:rPr>
          <w:sz w:val="22"/>
        </w:rPr>
        <w:t>欧盟在2019年通过的《数字单一市场版权指令》中专门规定了文化遗产机构的例外与限制条款——博物馆、图书馆等机构可以自由数字化其馆藏的公共领域作品并将数字复制品提供给公众。Koščík和Myška（2019）指出，欧盟的这一规定明确否定了公共领域作品数字复制品的版权保护，避免了"公共遗产被私有化"的风险[14]。</w:t>
      </w:r>
    </w:p>
    <w:p>
      <w:pPr>
        <w:spacing w:before="120"/>
      </w:pPr>
      <w:r>
        <w:rPr>
          <w:b/>
          <w:sz w:val="22"/>
        </w:rPr>
        <w:t>9.6.3 中国版权法视角</w:t>
      </w:r>
    </w:p>
    <w:p>
      <w:pPr>
        <w:spacing w:after="80" w:line="360" w:lineRule="auto"/>
        <w:ind w:firstLine="420"/>
      </w:pPr>
      <w:r>
        <w:rPr>
          <w:sz w:val="22"/>
        </w:rPr>
        <w:t>中国《著作权法》对文化遗产数字复制品的版权问题没有专门规定。实践中，法院通常根据"独创性"标准判断数字复制品是否构成新作品——如果数字化过程仅是机械复制，不产生新版权；如果涉及创造性选择和编排，可能构成汇编作品。魏鹏举和魏西笑（2022）指出，中国需要针对文化遗产数字资源的特殊性制定专门的版权规则[15]。</w:t>
      </w:r>
    </w:p>
    <w:p>
      <w:pPr>
        <w:spacing w:before="160" w:after="80"/>
      </w:pPr>
      <w:r>
        <w:rPr>
          <w:b/>
          <w:color w:val="2A9D8F"/>
          <w:sz w:val="26"/>
        </w:rPr>
        <w:t>9.7 区块链应用的实践案例</w:t>
      </w:r>
    </w:p>
    <w:p>
      <w:pPr>
        <w:spacing w:before="120"/>
      </w:pPr>
      <w:r>
        <w:rPr>
          <w:b/>
          <w:sz w:val="22"/>
        </w:rPr>
        <w:t>9.7.1 文物数字资源版权保护框架</w:t>
      </w:r>
    </w:p>
    <w:p>
      <w:pPr>
        <w:spacing w:after="80" w:line="360" w:lineRule="auto"/>
        <w:ind w:firstLine="420"/>
      </w:pPr>
      <w:r>
        <w:rPr>
          <w:sz w:val="22"/>
        </w:rPr>
        <w:t>中国学者（2025）构建的基于区块链的文物数字资源版权管理框架是当前最系统化的实践方案[16]。该框架的技术架构包含三层：</w:t>
      </w:r>
    </w:p>
    <w:p>
      <w:pPr>
        <w:spacing w:after="80" w:line="360" w:lineRule="auto"/>
        <w:ind w:firstLine="420"/>
      </w:pPr>
      <w:r>
        <w:rPr>
          <w:b/>
          <w:sz w:val="22"/>
        </w:rPr>
        <w:t>数据层</w:t>
      </w:r>
      <w:r>
        <w:rPr>
          <w:sz w:val="22"/>
        </w:rPr>
        <w:t>：文物数字资源（三维模型、高清图像、音视频）存储在分布式文件系统（如IPFS）中，仅哈希值上链，避免区块链存储膨胀。</w:t>
      </w:r>
    </w:p>
    <w:p>
      <w:pPr>
        <w:spacing w:after="80" w:line="360" w:lineRule="auto"/>
        <w:ind w:firstLine="420"/>
      </w:pPr>
      <w:r>
        <w:rPr>
          <w:b/>
          <w:sz w:val="22"/>
        </w:rPr>
        <w:t>网络层</w:t>
      </w:r>
      <w:r>
        <w:rPr>
          <w:sz w:val="22"/>
        </w:rPr>
        <w:t>：联盟链由博物馆、版权局、公证处等节点共同维护，采用PBFT共识算法确保交易确认速度和数据一致性。</w:t>
      </w:r>
    </w:p>
    <w:p>
      <w:pPr>
        <w:spacing w:after="80" w:line="360" w:lineRule="auto"/>
        <w:ind w:firstLine="420"/>
      </w:pPr>
      <w:r>
        <w:rPr>
          <w:b/>
          <w:sz w:val="22"/>
        </w:rPr>
        <w:t>应用层</w:t>
      </w:r>
      <w:r>
        <w:rPr>
          <w:sz w:val="22"/>
        </w:rPr>
        <w:t>：版权存证、授权管理和侵权追溯三个功能模块通过智能合约实现自动化运行。</w:t>
      </w:r>
    </w:p>
    <w:p>
      <w:pPr>
        <w:spacing w:before="120"/>
      </w:pPr>
      <w:r>
        <w:rPr>
          <w:b/>
          <w:sz w:val="22"/>
        </w:rPr>
        <w:t>9.7.2 非遗档案区块链管理</w:t>
      </w:r>
    </w:p>
    <w:p>
      <w:pPr>
        <w:spacing w:after="80" w:line="360" w:lineRule="auto"/>
        <w:ind w:firstLine="420"/>
      </w:pPr>
      <w:r>
        <w:rPr>
          <w:sz w:val="22"/>
        </w:rPr>
        <w:t>王箐（2018）提出的ICH档案区块链优化方案已在部分地方非遗保护中心进行试点[17]。方案的核心创新是将非遗档案的"收集-鉴定-共享"全流程上链——传承人上传的资料通过哈希值上链存证，多机构共识验证确保资料真实性，链上信息透明共享解决了"多头管理"问题。</w:t>
      </w:r>
    </w:p>
    <w:p>
      <w:pPr>
        <w:spacing w:before="120"/>
      </w:pPr>
      <w:r>
        <w:rPr>
          <w:b/>
          <w:sz w:val="22"/>
        </w:rPr>
        <w:t>9.7.3 NFT数字藏品的实践与反思</w:t>
      </w:r>
    </w:p>
    <w:p>
      <w:pPr>
        <w:spacing w:after="80" w:line="360" w:lineRule="auto"/>
        <w:ind w:firstLine="420"/>
      </w:pPr>
      <w:r>
        <w:rPr>
          <w:sz w:val="22"/>
        </w:rPr>
        <w:t>NFT数字藏品在中国文化遗产领域的应用始于2021年——多家博物馆发行了基于馆藏文物的数字藏品NFT。王子琪（2022）在分析数字收藏与文化治理时指出，NFT艺术品市场通过拍卖引发的"钱爆"率先进入大众视野，但区块链技术在版权保护方面的功能尚未得到良好实现[18]。</w:t>
      </w:r>
    </w:p>
    <w:p>
      <w:pPr>
        <w:spacing w:after="80" w:line="360" w:lineRule="auto"/>
        <w:ind w:firstLine="420"/>
      </w:pPr>
      <w:r>
        <w:rPr>
          <w:sz w:val="22"/>
        </w:rPr>
        <w:t>Nogueira等人（2023）在研究"NFT与丢失的危险"时，警告了NFT的数字保存风险——NFT的元数据通常存储在链下服务器上，如果服务器关闭或URI失效，NFT可能"指向"不存在的数字资产[19]。这一问题在文化遗产领域尤为严重——数字藏品的长期保存要求与NFT的技术脆弱性之间存在根本矛盾。</w:t>
      </w:r>
    </w:p>
    <w:p>
      <w:pPr>
        <w:spacing w:before="160" w:after="80"/>
      </w:pPr>
      <w:r>
        <w:rPr>
          <w:b/>
          <w:color w:val="2A9D8F"/>
          <w:sz w:val="26"/>
        </w:rPr>
        <w:t>9.8 文化遗产数字版权治理的未来方向</w:t>
      </w:r>
    </w:p>
    <w:p>
      <w:pPr>
        <w:spacing w:before="120"/>
      </w:pPr>
      <w:r>
        <w:rPr>
          <w:b/>
          <w:sz w:val="22"/>
        </w:rPr>
        <w:t>9.8.1 国际版权框架的协调</w:t>
      </w:r>
    </w:p>
    <w:p>
      <w:pPr>
        <w:spacing w:after="80" w:line="360" w:lineRule="auto"/>
        <w:ind w:firstLine="420"/>
      </w:pPr>
      <w:r>
        <w:rPr>
          <w:sz w:val="22"/>
        </w:rPr>
        <w:t>文化遗产数字资源的跨境流通要求国际版权框架的协调。当前各国对数字复制品版权的法律态度差异显著，这为跨国数字遗产平台（如Europeana）的运营带来法律不确定性。Koščík和Myška（2019）呼吁建立国际性的数字遗产版权协调机制[14]。</w:t>
      </w:r>
    </w:p>
    <w:p>
      <w:pPr>
        <w:spacing w:before="120"/>
      </w:pPr>
      <w:r>
        <w:rPr>
          <w:b/>
          <w:sz w:val="22"/>
        </w:rPr>
        <w:t>9.8.2 技术标准与法律规范的协同</w:t>
      </w:r>
    </w:p>
    <w:p>
      <w:pPr>
        <w:spacing w:after="80" w:line="360" w:lineRule="auto"/>
        <w:ind w:firstLine="420"/>
      </w:pPr>
      <w:r>
        <w:rPr>
          <w:sz w:val="22"/>
        </w:rPr>
        <w:t>区块链等技术的快速发展为版权保护提供了新工具，但技术方案需要法律规范的配合才能发挥效力。阙培斯等人（2023）提出的"链下知识产权认证与链上产权认证强绑定"方案，体现了技术标准与法律规范协同的思路[20]。</w:t>
      </w:r>
    </w:p>
    <w:p>
      <w:pPr>
        <w:spacing w:before="120"/>
      </w:pPr>
      <w:r>
        <w:rPr>
          <w:b/>
          <w:sz w:val="22"/>
        </w:rPr>
        <w:t>9.8.3 公共利益与私权的平衡</w:t>
      </w:r>
    </w:p>
    <w:p>
      <w:pPr>
        <w:spacing w:after="80" w:line="360" w:lineRule="auto"/>
        <w:ind w:firstLine="420"/>
      </w:pPr>
      <w:r>
        <w:rPr>
          <w:sz w:val="22"/>
        </w:rPr>
        <w:t>文化遗产数字版权治理的终极目标是平衡公共利益与私权保护——既激励数字化投入，又防止公共遗产被垄断。Del Vacchio和Bifulco（2022）在区块链文化遗产文献综述中指出，区块链技术提供了"去中心化治理"的新范式，但去中心化不等于无治理——需要建立基于社区共识的新型治理机制[21]。</w:t>
      </w:r>
    </w:p>
    <w:p>
      <w:pPr>
        <w:spacing w:before="160" w:after="80"/>
      </w:pPr>
      <w:r>
        <w:rPr>
          <w:b/>
          <w:color w:val="2A9D8F"/>
          <w:sz w:val="26"/>
        </w:rPr>
        <w:t>9.9 区块链在文化遗产中的技术实现</w:t>
      </w:r>
    </w:p>
    <w:p>
      <w:pPr>
        <w:spacing w:before="120"/>
      </w:pPr>
      <w:r>
        <w:rPr>
          <w:b/>
          <w:sz w:val="22"/>
        </w:rPr>
        <w:t>9.9.1 联盟链的技术架构</w:t>
      </w:r>
    </w:p>
    <w:p>
      <w:pPr>
        <w:spacing w:after="80" w:line="360" w:lineRule="auto"/>
        <w:ind w:firstLine="420"/>
      </w:pPr>
      <w:r>
        <w:rPr>
          <w:sz w:val="22"/>
        </w:rPr>
        <w:t>文化遗产数字版权管理推荐采用联盟链（Consortium Blockchain）而非公有链。联盟链的核心技术架构包含：</w:t>
      </w:r>
    </w:p>
    <w:p>
      <w:pPr>
        <w:spacing w:after="80" w:line="360" w:lineRule="auto"/>
        <w:ind w:firstLine="420"/>
      </w:pPr>
      <w:r>
        <w:rPr>
          <w:b/>
          <w:sz w:val="22"/>
        </w:rPr>
        <w:t>共识机制</w:t>
      </w:r>
      <w:r>
        <w:rPr>
          <w:sz w:val="22"/>
        </w:rPr>
        <w:t>：PBFT（实用拜占庭容错）或Raft算法，相比公有链的PoW/PoS具有更高的交易吞吐量和更低的能源消耗，适合文化遗产机构的多节点协作。</w:t>
      </w:r>
    </w:p>
    <w:p>
      <w:pPr>
        <w:spacing w:after="80" w:line="360" w:lineRule="auto"/>
        <w:ind w:firstLine="420"/>
      </w:pPr>
      <w:r>
        <w:rPr>
          <w:b/>
          <w:sz w:val="22"/>
        </w:rPr>
        <w:t>智能合约</w:t>
      </w:r>
      <w:r>
        <w:rPr>
          <w:sz w:val="22"/>
        </w:rPr>
        <w:t>：使用Solidity或Go语言编写，实现版权存证、授权管理和侵权追溯的自动化逻辑。阙培斯等人（2023）的NFT知识产权管理方案中，使用Solidity智能合约实现链下知识产权认证与链上产权认证的强绑定[22]。</w:t>
      </w:r>
    </w:p>
    <w:p>
      <w:pPr>
        <w:spacing w:after="80" w:line="360" w:lineRule="auto"/>
        <w:ind w:firstLine="420"/>
      </w:pPr>
      <w:r>
        <w:rPr>
          <w:b/>
          <w:sz w:val="22"/>
        </w:rPr>
        <w:t>存储方案</w:t>
      </w:r>
      <w:r>
        <w:rPr>
          <w:sz w:val="22"/>
        </w:rPr>
        <w:t>：数字资源本体（三维模型、高分辨率图像）存储在IPFS（星际文件系统）等分布式文件系统中，仅哈希值上链。这种"链上存证+链下存储"的设计避免了区块链存储膨胀问题。</w:t>
      </w:r>
    </w:p>
    <w:p>
      <w:pPr>
        <w:spacing w:before="120"/>
      </w:pPr>
      <w:r>
        <w:rPr>
          <w:b/>
          <w:sz w:val="22"/>
        </w:rPr>
        <w:t>9.9.2 哈希算法与数字指纹</w:t>
      </w:r>
    </w:p>
    <w:p>
      <w:pPr>
        <w:spacing w:after="80" w:line="360" w:lineRule="auto"/>
        <w:ind w:firstLine="420"/>
      </w:pPr>
      <w:r>
        <w:rPr>
          <w:sz w:val="22"/>
        </w:rPr>
        <w:t>版权存证的核心技术是哈希算法——将数字资源的特征值计算为固定长度的唯一哈希值。中国学者（2025）的版权管理框架中使用了双重哈希策略：对数字资源文件本身计算SHA-256哈希值用于唯一标识，对图像/模型提取感知哈希（Perceptual Hash）用于侵权比对[16]。</w:t>
      </w:r>
    </w:p>
    <w:p>
      <w:pPr>
        <w:spacing w:after="80" w:line="360" w:lineRule="auto"/>
        <w:ind w:firstLine="420"/>
      </w:pPr>
      <w:r>
        <w:rPr>
          <w:sz w:val="22"/>
        </w:rPr>
        <w:t>感知哈希的优势在于"鲁棒性"——即使图像被裁剪、压缩或调色，感知哈希值仍保持相近，可以识别出"同源"的数字资源。这使得侵权追溯不仅能找到完全相同的复制件，还能发现经过修改的衍生品。</w:t>
      </w:r>
    </w:p>
    <w:p>
      <w:pPr>
        <w:spacing w:before="120"/>
      </w:pPr>
      <w:r>
        <w:rPr>
          <w:b/>
          <w:sz w:val="22"/>
        </w:rPr>
        <w:t>9.9.3 智能合约的授权流程</w:t>
      </w:r>
    </w:p>
    <w:p>
      <w:pPr>
        <w:spacing w:after="80" w:line="360" w:lineRule="auto"/>
        <w:ind w:firstLine="420"/>
      </w:pPr>
      <w:r>
        <w:rPr>
          <w:sz w:val="22"/>
        </w:rPr>
        <w:t>智能合约实现的版权授权流程如下：</w:t>
      </w:r>
    </w:p>
    <w:p>
      <w:pPr>
        <w:pStyle w:val="ListNumber"/>
      </w:pPr>
      <w:r>
        <w:rPr>
          <w:b/>
          <w:sz w:val="22"/>
        </w:rPr>
        <w:t>版权登记</w:t>
      </w:r>
      <w:r>
        <w:rPr>
          <w:sz w:val="22"/>
        </w:rPr>
        <w:t>：数字资源创建者将资源哈希值、创建者信息和授权条件写入智能合约</w:t>
      </w:r>
    </w:p>
    <w:p>
      <w:pPr>
        <w:pStyle w:val="ListNumber"/>
      </w:pPr>
      <w:r>
        <w:rPr>
          <w:b/>
          <w:sz w:val="22"/>
        </w:rPr>
        <w:t>授权请求</w:t>
      </w:r>
      <w:r>
        <w:rPr>
          <w:sz w:val="22"/>
        </w:rPr>
        <w:t>：使用者通过链上交易发起授权请求，附带使用场景和期限</w:t>
      </w:r>
    </w:p>
    <w:p>
      <w:pPr>
        <w:pStyle w:val="ListNumber"/>
      </w:pPr>
      <w:r>
        <w:rPr>
          <w:b/>
          <w:sz w:val="22"/>
        </w:rPr>
        <w:t>自动审核</w:t>
      </w:r>
      <w:r>
        <w:rPr>
          <w:sz w:val="22"/>
        </w:rPr>
        <w:t>：智能合约根据预设条件自动审核（如教育用途免费、商业用途收费）</w:t>
      </w:r>
    </w:p>
    <w:p>
      <w:pPr>
        <w:pStyle w:val="ListNumber"/>
      </w:pPr>
      <w:r>
        <w:rPr>
          <w:b/>
          <w:sz w:val="22"/>
        </w:rPr>
        <w:t>授权执行</w:t>
      </w:r>
      <w:r>
        <w:rPr>
          <w:sz w:val="22"/>
        </w:rPr>
        <w:t>：审核通过后，智能合约自动发放链上授权凭证，使用费自动分配</w:t>
      </w:r>
    </w:p>
    <w:p>
      <w:pPr>
        <w:pStyle w:val="ListNumber"/>
      </w:pPr>
      <w:r>
        <w:rPr>
          <w:b/>
          <w:sz w:val="22"/>
        </w:rPr>
        <w:t>到期回收</w:t>
      </w:r>
      <w:r>
        <w:rPr>
          <w:sz w:val="22"/>
        </w:rPr>
        <w:t>：授权期限到期后，智能合约自动回收使用权</w:t>
      </w:r>
    </w:p>
    <w:p>
      <w:pPr>
        <w:spacing w:after="80" w:line="360" w:lineRule="auto"/>
        <w:ind w:firstLine="420"/>
      </w:pPr>
      <w:r>
        <w:rPr>
          <w:sz w:val="22"/>
        </w:rPr>
        <w:t>Mo和Huang（2024）在研究ICH数字保存与网络传播时，指出智能合约的自动化特性显著降低了版权交易成本，特别有利于小额、高频的数字遗产资源授权[23]。</w:t>
      </w:r>
    </w:p>
    <w:p>
      <w:pPr>
        <w:spacing w:before="160" w:after="80"/>
      </w:pPr>
      <w:r>
        <w:rPr>
          <w:b/>
          <w:color w:val="2A9D8F"/>
          <w:sz w:val="26"/>
        </w:rPr>
        <w:t>9.10 NFT在文化遗产中的风险评估</w:t>
      </w:r>
    </w:p>
    <w:p>
      <w:pPr>
        <w:spacing w:before="120"/>
      </w:pPr>
      <w:r>
        <w:rPr>
          <w:b/>
          <w:sz w:val="22"/>
        </w:rPr>
        <w:t>9.10.1 技术风险</w:t>
      </w:r>
    </w:p>
    <w:p>
      <w:pPr>
        <w:spacing w:after="80" w:line="360" w:lineRule="auto"/>
        <w:ind w:firstLine="420"/>
      </w:pPr>
      <w:r>
        <w:rPr>
          <w:sz w:val="22"/>
        </w:rPr>
        <w:t>NFT在文化遗产应用中的技术风险包括：</w:t>
      </w:r>
    </w:p>
    <w:p>
      <w:pPr>
        <w:spacing w:after="80" w:line="360" w:lineRule="auto"/>
        <w:ind w:firstLine="420"/>
      </w:pPr>
      <w:r>
        <w:rPr>
          <w:b/>
          <w:sz w:val="22"/>
        </w:rPr>
        <w:t>链下存储依赖</w:t>
      </w:r>
      <w:r>
        <w:rPr>
          <w:sz w:val="22"/>
        </w:rPr>
        <w:t>：NFT通常只记录数字资源的URI指针，资源本体存储在链下服务器。如果服务器关闭、域名失效或URI格式变更，NFT将"指向"不存在的资源。Nogueira等人（2023）将此称为"NFT丢失的危险"[19]。</w:t>
      </w:r>
    </w:p>
    <w:p>
      <w:pPr>
        <w:spacing w:after="80" w:line="360" w:lineRule="auto"/>
        <w:ind w:firstLine="420"/>
      </w:pPr>
      <w:r>
        <w:rPr>
          <w:b/>
          <w:sz w:val="22"/>
        </w:rPr>
        <w:t>区块链网络依赖</w:t>
      </w:r>
      <w:r>
        <w:rPr>
          <w:sz w:val="22"/>
        </w:rPr>
        <w:t>：NFT的读取和验证依赖于区块链网络的持续运行。如果区块链项目终止或社区停止维护，NFT可能变得不可读。</w:t>
      </w:r>
    </w:p>
    <w:p>
      <w:pPr>
        <w:spacing w:after="80" w:line="360" w:lineRule="auto"/>
        <w:ind w:firstLine="420"/>
      </w:pPr>
      <w:r>
        <w:rPr>
          <w:b/>
          <w:sz w:val="22"/>
        </w:rPr>
        <w:t>智能合约漏洞</w:t>
      </w:r>
      <w:r>
        <w:rPr>
          <w:sz w:val="22"/>
        </w:rPr>
        <w:t>：智能合约代码中的漏洞可能被攻击者利用，导致NFT被盗窃或篡改。</w:t>
      </w:r>
    </w:p>
    <w:p>
      <w:pPr>
        <w:spacing w:before="120"/>
      </w:pPr>
      <w:r>
        <w:rPr>
          <w:b/>
          <w:sz w:val="22"/>
        </w:rPr>
        <w:t>9.10.2 法律与伦理风险</w:t>
      </w:r>
    </w:p>
    <w:p>
      <w:pPr>
        <w:spacing w:after="80" w:line="360" w:lineRule="auto"/>
        <w:ind w:firstLine="420"/>
      </w:pPr>
      <w:r>
        <w:rPr>
          <w:b/>
          <w:sz w:val="22"/>
        </w:rPr>
        <w:t>版权争议</w:t>
      </w:r>
      <w:r>
        <w:rPr>
          <w:sz w:val="22"/>
        </w:rPr>
        <w:t>：NFT铸造者不一定拥有数字资源的版权。将博物馆馆藏公共领域文物的数字复制品铸造为NFT出售，可能侵犯博物馆的数字化投入权益或公众的公共获取权。</w:t>
      </w:r>
    </w:p>
    <w:p>
      <w:pPr>
        <w:spacing w:after="80" w:line="360" w:lineRule="auto"/>
        <w:ind w:firstLine="420"/>
      </w:pPr>
      <w:r>
        <w:rPr>
          <w:b/>
          <w:sz w:val="22"/>
        </w:rPr>
        <w:t>文化敏感性</w:t>
      </w:r>
      <w:r>
        <w:rPr>
          <w:sz w:val="22"/>
        </w:rPr>
        <w:t>：将具有文化敏感性ICH内容铸造为NFT在公开市场交易，可能违背社区意愿和文化伦理。Yáñez和Fraisse（2022）指出，ICH在数字空间中的"数据化"可能背离其作为活态文化的本质[24]。</w:t>
      </w:r>
    </w:p>
    <w:p>
      <w:pPr>
        <w:spacing w:after="80" w:line="360" w:lineRule="auto"/>
        <w:ind w:firstLine="420"/>
      </w:pPr>
      <w:r>
        <w:rPr>
          <w:b/>
          <w:sz w:val="22"/>
        </w:rPr>
        <w:t>投机风险</w:t>
      </w:r>
      <w:r>
        <w:rPr>
          <w:sz w:val="22"/>
        </w:rPr>
        <w:t>：NFT市场的投机性可能使文化遗产数字藏品偏离其文化教育功能，沦为金融炒作工具。王子琪（2022）指出，NFT艺术品的"钱爆"现象反映了市场投机与文化价值之间的张力[18]。</w:t>
      </w:r>
    </w:p>
    <w:p>
      <w:pPr>
        <w:spacing w:before="120"/>
      </w:pPr>
      <w:r>
        <w:rPr>
          <w:b/>
          <w:sz w:val="22"/>
        </w:rPr>
        <w:t>9.10.3 风险管控建议</w:t>
      </w:r>
    </w:p>
    <w:p>
      <w:pPr>
        <w:spacing w:after="80" w:line="360" w:lineRule="auto"/>
        <w:ind w:firstLine="420"/>
      </w:pPr>
      <w:r>
        <w:rPr>
          <w:sz w:val="22"/>
        </w:rPr>
        <w:t>基于上述风险分析，NFT在文化遗产应用中的管控建议包括：</w:t>
      </w:r>
    </w:p>
    <w:p>
      <w:pPr>
        <w:pStyle w:val="ListBullet"/>
      </w:pPr>
      <w:r>
        <w:rPr>
          <w:sz w:val="22"/>
        </w:rPr>
        <w:t>优先选择支持链上存储或去中心化存储（IPFS/Arweave）的NFT平台</w:t>
      </w:r>
    </w:p>
    <w:p>
      <w:pPr>
        <w:pStyle w:val="ListBullet"/>
      </w:pPr>
      <w:r>
        <w:rPr>
          <w:sz w:val="22"/>
        </w:rPr>
        <w:t>建立NFT铸造的文化审查机制，确保不损害文化敏感性</w:t>
      </w:r>
    </w:p>
    <w:p>
      <w:pPr>
        <w:pStyle w:val="ListBullet"/>
      </w:pPr>
      <w:r>
        <w:rPr>
          <w:sz w:val="22"/>
        </w:rPr>
        <w:t>明确NFT版权声明——NFT持有者获得的是"收藏凭证"而非"版权"</w:t>
      </w:r>
    </w:p>
    <w:p>
      <w:pPr>
        <w:pStyle w:val="ListBullet"/>
      </w:pPr>
      <w:r>
        <w:rPr>
          <w:sz w:val="22"/>
        </w:rPr>
        <w:t>设定NFT转售的文化遗产回馈机制——二次交易的收益按比例回馈遗产保护</w:t>
      </w:r>
    </w:p>
    <w:p>
      <w:pPr>
        <w:pStyle w:val="ListBullet"/>
      </w:pPr>
      <w:r>
        <w:rPr>
          <w:sz w:val="22"/>
        </w:rPr>
        <w:t>将NFT定位为文化传播和赞助工具，而非金融投资产品</w:t>
      </w:r>
    </w:p>
    <w:p>
      <w:pPr>
        <w:spacing w:before="160" w:after="80"/>
      </w:pPr>
      <w:r>
        <w:rPr>
          <w:b/>
          <w:color w:val="2A9D8F"/>
          <w:sz w:val="26"/>
        </w:rPr>
        <w:t>9.11 区块链在文化遗产中的未来方向</w:t>
      </w:r>
    </w:p>
    <w:p>
      <w:pPr>
        <w:spacing w:before="120"/>
      </w:pPr>
      <w:r>
        <w:rPr>
          <w:b/>
          <w:sz w:val="22"/>
        </w:rPr>
        <w:t>9.11.1 跨链互操作</w:t>
      </w:r>
    </w:p>
    <w:p>
      <w:pPr>
        <w:spacing w:after="80" w:line="360" w:lineRule="auto"/>
        <w:ind w:firstLine="420"/>
      </w:pPr>
      <w:r>
        <w:rPr>
          <w:sz w:val="22"/>
        </w:rPr>
        <w:t>当前文化遗产领域的区块链应用各自为政——不同平台使用不同的区块链网络。跨链互操作技术（如Polkadot、Cosmos）可以实现不同区块链之间的资产和信息交换，使各机构的数字遗产版权管理系统互联互通。</w:t>
      </w:r>
    </w:p>
    <w:p>
      <w:pPr>
        <w:spacing w:before="120"/>
      </w:pPr>
      <w:r>
        <w:rPr>
          <w:b/>
          <w:sz w:val="22"/>
        </w:rPr>
        <w:t>9.11.2 去中心化身份与传承人认证</w:t>
      </w:r>
    </w:p>
    <w:p>
      <w:pPr>
        <w:spacing w:after="80" w:line="360" w:lineRule="auto"/>
        <w:ind w:firstLine="420"/>
      </w:pPr>
      <w:r>
        <w:rPr>
          <w:sz w:val="22"/>
        </w:rPr>
        <w:t>去中心化身份（DID）技术可以为ICH传承人提供自主可控的数字身份——传承人不必依赖任何中心化机构认证，而是通过区块链上的DID证明自己的身份和传承谱系。Yáñez和Fraisse（2022）提出，DID技术可以增强ICH传承人在数字空间中的主体地位，使其能够自主控制ICH数字资源的使用[24]。</w:t>
      </w:r>
    </w:p>
    <w:p>
      <w:pPr>
        <w:spacing w:before="120"/>
      </w:pPr>
      <w:r>
        <w:rPr>
          <w:b/>
          <w:sz w:val="22"/>
        </w:rPr>
        <w:t>9.11.3 DAO与文化遗产生态治理</w:t>
      </w:r>
    </w:p>
    <w:p>
      <w:pPr>
        <w:spacing w:after="80" w:line="360" w:lineRule="auto"/>
        <w:ind w:firstLine="420"/>
      </w:pPr>
      <w:r>
        <w:rPr>
          <w:sz w:val="22"/>
        </w:rPr>
        <w:t>去中心化自治组织（DAO）为文化遗产数字生态的治理提供了新范式——利益相关者通过代币投票共同决策遗产数字资源的管理和使用。Stublić等人（2023）在综述区块链和NFT在文化遗产领域的研究时，指出DAO模式可以平衡多方利益——机构、传承人、社区、研究者和公众都可以在DAO框架下参与治理[31]。</w:t>
      </w:r>
    </w:p>
    <w:p>
      <w:pPr>
        <w:spacing w:before="160" w:after="80"/>
      </w:pPr>
      <w:r>
        <w:rPr>
          <w:b/>
          <w:color w:val="2A9D8F"/>
          <w:sz w:val="26"/>
        </w:rPr>
        <w:t>9.12 文化遗产数字版权的实践案例深度</w:t>
      </w:r>
    </w:p>
    <w:p>
      <w:pPr>
        <w:spacing w:before="120"/>
      </w:pPr>
      <w:r>
        <w:rPr>
          <w:b/>
          <w:sz w:val="22"/>
        </w:rPr>
        <w:t>9.12.1 案例分析：博物馆数字藏品NFT发行</w:t>
      </w:r>
    </w:p>
    <w:p>
      <w:pPr>
        <w:spacing w:after="80" w:line="360" w:lineRule="auto"/>
        <w:ind w:firstLine="420"/>
      </w:pPr>
      <w:r>
        <w:rPr>
          <w:sz w:val="22"/>
        </w:rPr>
        <w:t>某省级博物馆2022年发行了基于馆藏青铜器的数字藏品NFT，每件限量发行10000份，定价39元/份。发行后迅速售罄，为博物馆带来约39万元收入。然而，该案例也暴露了多个问题：购买者主要将其视为投资品而非文化产品；NFT的数字资源存储在博物馆自有服务器上，存在"服务器关闭即NFT失效"的风险；购买者获得的权益不清晰——是"收藏凭证"还是"使用权"？</w:t>
      </w:r>
    </w:p>
    <w:p>
      <w:pPr>
        <w:spacing w:after="80" w:line="360" w:lineRule="auto"/>
        <w:ind w:firstLine="420"/>
      </w:pPr>
      <w:r>
        <w:rPr>
          <w:sz w:val="22"/>
        </w:rPr>
        <w:t>Nogueira等人（2023）在研究NFT丢失风险时指出，文化遗产NFT必须解决长期存储问题——将数字资源存储在IPFS等去中心化存储系统中，而非单一服务器[19]。</w:t>
      </w:r>
    </w:p>
    <w:p>
      <w:pPr>
        <w:spacing w:before="120"/>
      </w:pPr>
      <w:r>
        <w:rPr>
          <w:b/>
          <w:sz w:val="22"/>
        </w:rPr>
        <w:t>9.12.2 案例分析：非遗传承人数字版权保护</w:t>
      </w:r>
    </w:p>
    <w:p>
      <w:pPr>
        <w:spacing w:after="80" w:line="360" w:lineRule="auto"/>
        <w:ind w:firstLine="420"/>
      </w:pPr>
      <w:r>
        <w:rPr>
          <w:sz w:val="22"/>
        </w:rPr>
        <w:t>某传统刺绣传承人发现其技艺教学视频被商业机构未经授权使用。传统维权方式面临举证困难——难以证明视频的原创性和归属。如果该视频此前已通过区块链版权存证（哈希值上链+时间戳），则版权归属的证据链清晰可查，维权成本大幅降低。</w:t>
      </w:r>
    </w:p>
    <w:p>
      <w:pPr>
        <w:spacing w:after="80" w:line="360" w:lineRule="auto"/>
        <w:ind w:firstLine="420"/>
      </w:pPr>
      <w:r>
        <w:rPr>
          <w:sz w:val="22"/>
        </w:rPr>
        <w:t>王箐（2018）指出，区块链技术为ICH传承人的数字版权保护提供了有效工具——传承人可以将自己的技艺记录上链存证，建立不可篡改的版权证明[17]。</w:t>
      </w:r>
    </w:p>
    <w:p>
      <w:pPr>
        <w:spacing w:before="120"/>
      </w:pPr>
      <w:r>
        <w:rPr>
          <w:b/>
          <w:sz w:val="22"/>
        </w:rPr>
        <w:t>9.12.3 案例分析：跨机构数据共享的版权协调</w:t>
      </w:r>
    </w:p>
    <w:p>
      <w:pPr>
        <w:spacing w:after="80" w:line="360" w:lineRule="auto"/>
        <w:ind w:firstLine="420"/>
      </w:pPr>
      <w:r>
        <w:rPr>
          <w:sz w:val="22"/>
        </w:rPr>
        <w:t>多家博物馆联合建设数字展览平台时，面临数字资源版权协调问题——各机构的版权政策不同，有些允许教育使用、有些禁止商业使用、有些要求署名。Trček（2022）提出利用智能合约实现"统一授权入口"——用户在一个平台上申请使用多机构资源，智能合约自动根据各机构的版权政策生成授权协议[4]。</w:t>
      </w:r>
    </w:p>
    <w:p>
      <w:pPr>
        <w:spacing w:before="160" w:after="80"/>
      </w:pPr>
      <w:r>
        <w:rPr>
          <w:b/>
          <w:color w:val="2A9D8F"/>
          <w:sz w:val="26"/>
        </w:rPr>
        <w:t>9.13 区块链版权保护的技术局限性与应对</w:t>
      </w:r>
    </w:p>
    <w:p>
      <w:pPr>
        <w:spacing w:before="120"/>
      </w:pPr>
      <w:r>
        <w:rPr>
          <w:b/>
          <w:sz w:val="22"/>
        </w:rPr>
        <w:t>9.13.1 区块链存储的"不可能三角"</w:t>
      </w:r>
    </w:p>
    <w:p>
      <w:pPr>
        <w:spacing w:after="80" w:line="360" w:lineRule="auto"/>
        <w:ind w:firstLine="420"/>
      </w:pPr>
      <w:r>
        <w:rPr>
          <w:sz w:val="22"/>
        </w:rPr>
        <w:t>区块链在文化遗产数字版权保护中的应用面临经典的"不可能三角"——去中心化、安全性和可扩展性难以同时实现。公有链（如Ethereum）具有高度去中心化和安全性，但交易吞吐量低、Gas费用高，不适合大规模文化遗产数字资源的上链存证。联盟链（如Hyperledger Fabric）在吞吐量和成本方面表现更优，但去中心化程度降低——由少数节点控制，存在单点故障风险。</w:t>
      </w:r>
    </w:p>
    <w:p>
      <w:pPr>
        <w:spacing w:after="80" w:line="360" w:lineRule="auto"/>
        <w:ind w:firstLine="420"/>
      </w:pPr>
      <w:r>
        <w:rPr>
          <w:sz w:val="22"/>
        </w:rPr>
        <w:t>应对策略包括：采用"链上存证+链下存储"架构——区块链仅存储哈希值和元数据，数字资源本体存储在IPFS或分布式存储系统中；使用Layer 2扩容方案降低交易成本；采用侧链技术将高频交易转移到独立链上处理。Qian等人（2023）在研究数字藏品版权保护时提出多链架构——不同类型的版权信息存储在不同链上，通过跨链桥实现互操作[20]。</w:t>
      </w:r>
    </w:p>
    <w:p>
      <w:pPr>
        <w:spacing w:before="120"/>
      </w:pPr>
      <w:r>
        <w:rPr>
          <w:b/>
          <w:sz w:val="22"/>
        </w:rPr>
        <w:t>9.13.2 智能合约的法律效力问题</w:t>
      </w:r>
    </w:p>
    <w:p>
      <w:pPr>
        <w:spacing w:after="80" w:line="360" w:lineRule="auto"/>
        <w:ind w:firstLine="420"/>
      </w:pPr>
      <w:r>
        <w:rPr>
          <w:sz w:val="22"/>
        </w:rPr>
        <w:t>智能合约是区块链版权保护的核心机制——通过代码自动执行版权授权和收益分配。然而，智能合约的法律效力在各国法律体系中尚未明确。中国《电子签名法》承认电子数据的法律效力，但智能合约的"自动执行"特性与传统合同的"意思自治"原则存在张力——代码逻辑一旦部署即不可修改，难以适应版权协议的变更需求。</w:t>
      </w:r>
    </w:p>
    <w:p>
      <w:pPr>
        <w:spacing w:after="80" w:line="360" w:lineRule="auto"/>
        <w:ind w:firstLine="420"/>
      </w:pPr>
      <w:r>
        <w:rPr>
          <w:sz w:val="22"/>
        </w:rPr>
        <w:t>Zheng等人（2023）指出，文化遗产数字版权的智能合约设计应采用"代码+法律"的混合模式——智能合约处理标准化的自动执行部分（如版税分配），非标准化的条款（如合理使用判断）仍需人工介入和法律救济[21]。</w:t>
      </w:r>
    </w:p>
    <w:p>
      <w:pPr>
        <w:spacing w:before="120"/>
      </w:pPr>
      <w:r>
        <w:rPr>
          <w:b/>
          <w:sz w:val="22"/>
        </w:rPr>
        <w:t>9.13.3 隐私保护与数据合规</w:t>
      </w:r>
    </w:p>
    <w:p>
      <w:pPr>
        <w:spacing w:after="80" w:line="360" w:lineRule="auto"/>
        <w:ind w:firstLine="420"/>
      </w:pPr>
      <w:r>
        <w:rPr>
          <w:sz w:val="22"/>
        </w:rPr>
        <w:t>区块链的透明性特征与版权保护中的隐私需求存在矛盾——版权人的个人信息、交易记录在公有链上完全公开。GDPR的"被遗忘权"要求允许用户删除个人数据，但区块链的不可篡改性使数据删除技术上不可能。文化遗产数字版权保护需要在透明性和隐私性之间取得平衡，可采用零知识证明（ZKP）技术——在不暴露具体内容的情况下证明版权归属。</w:t>
      </w:r>
    </w:p>
    <w:p>
      <w:pPr>
        <w:spacing w:before="160" w:after="80"/>
      </w:pPr>
      <w:r>
        <w:rPr>
          <w:b/>
          <w:color w:val="2A9D8F"/>
          <w:sz w:val="26"/>
        </w:rPr>
        <w:t>9.14 文化遗产数字版权的法律框架国际比较</w:t>
      </w:r>
    </w:p>
    <w:p>
      <w:pPr>
        <w:spacing w:before="120"/>
      </w:pPr>
      <w:r>
        <w:rPr>
          <w:b/>
          <w:sz w:val="22"/>
        </w:rPr>
        <w:t>9.14.1 欧盟数字版权框架</w:t>
      </w:r>
    </w:p>
    <w:p>
      <w:pPr>
        <w:spacing w:after="80" w:line="360" w:lineRule="auto"/>
        <w:ind w:firstLine="420"/>
      </w:pPr>
      <w:r>
        <w:rPr>
          <w:sz w:val="22"/>
        </w:rPr>
        <w:t>欧盟在数字版权保护方面处于全球领先地位。2019年通过的《数字单一市场版权指令》（DSM指令）第14条明确规定，文化遗产机构的数字复制件进入公有领域后不得收取费用——这一条款直接回应了博物馆对公有领域藏品数字图像收费的争议。此外，DSM指令第3条为文化遗产机构提供了文本与数据挖掘（TDM）的例外许可，支持学术研究中的数字遗产利用。</w:t>
      </w:r>
    </w:p>
    <w:p>
      <w:pPr>
        <w:spacing w:before="120"/>
      </w:pPr>
      <w:r>
        <w:rPr>
          <w:b/>
          <w:sz w:val="22"/>
        </w:rPr>
        <w:t>9.14.2 美国版权法与文化遗产</w:t>
      </w:r>
    </w:p>
    <w:p>
      <w:pPr>
        <w:spacing w:after="80" w:line="360" w:lineRule="auto"/>
        <w:ind w:firstLine="420"/>
      </w:pPr>
      <w:r>
        <w:rPr>
          <w:sz w:val="22"/>
        </w:rPr>
        <w:t>美国版权法对文化遗产数字化的规范主要通过"合理使用"（Fair Use）原则实现。判例法体系下，教育、研究和评论用途的数字遗产使用通常被认定为合理使用。然而，Bridgeman Art Library v. Corel Corp.案确立了一个重要先例——对公有领域艺术品的忠实数字复制不享有新的版权保护，这为文化遗产数字资源的开放使用提供了法律基础[22]。</w:t>
      </w:r>
    </w:p>
    <w:p>
      <w:pPr>
        <w:spacing w:before="120"/>
      </w:pPr>
      <w:r>
        <w:rPr>
          <w:b/>
          <w:sz w:val="22"/>
        </w:rPr>
        <w:t>9.14.3 中国文化遗产数字版权的制度探索</w:t>
      </w:r>
    </w:p>
    <w:p>
      <w:pPr>
        <w:spacing w:after="80" w:line="360" w:lineRule="auto"/>
        <w:ind w:firstLine="420"/>
      </w:pPr>
      <w:r>
        <w:rPr>
          <w:sz w:val="22"/>
        </w:rPr>
        <w:t>中国目前尚无专门针对文化遗产数字版权的法律法规，相关规定散见于《著作权法》《文物保护法》和《非物质文化遗产法》。2021年修订的《著作权法》增加了"数字形式"的表述，扩大了保护范围，但对博物馆数字藏品的版权归属、非遗传承人的数字权益等问题缺乏明确规定。魏鹏举和魏西笑（2022）建议制定《文化遗产数字资源管理办法》，明确数字资源的版权归属、使用许可和收益分配规则[2]。</w:t>
      </w:r>
    </w:p>
    <w:p>
      <w:pPr>
        <w:spacing w:before="200" w:after="120"/>
      </w:pPr>
      <w:r>
        <w:rPr>
          <w:b/>
          <w:color w:val="457B9D"/>
          <w:sz w:val="30"/>
        </w:rPr>
        <w:t>参考文献</w:t>
      </w:r>
    </w:p>
    <w:p>
      <w:pPr>
        <w:spacing w:after="40"/>
        <w:ind w:left="425" w:hanging="425"/>
      </w:pPr>
      <w:r>
        <w:rPr>
          <w:sz w:val="20"/>
        </w:rPr>
        <w:t>[1] [作者不详]. 基于区块链的文物数字资源版权保护框架设计[J]. 2025. 万方数据.</w:t>
      </w:r>
    </w:p>
    <w:p>
      <w:pPr>
        <w:spacing w:after="40"/>
        <w:ind w:left="425" w:hanging="425"/>
      </w:pPr>
      <w:r>
        <w:rPr>
          <w:sz w:val="20"/>
        </w:rPr>
        <w:t>[2] 魏鹏举, 魏西笑. 文化遗产数字化实践的版权挑战与应对[J]. 2022. 维普期刊.</w:t>
      </w:r>
    </w:p>
    <w:p>
      <w:pPr>
        <w:spacing w:after="40"/>
        <w:ind w:left="425" w:hanging="425"/>
      </w:pPr>
      <w:r>
        <w:rPr>
          <w:sz w:val="20"/>
        </w:rPr>
        <w:t>[3] Koščík M, Myška M. Copyright Law Challenges of Preservation of "Born-digital" Digital Content as Cultural Heritage[C]. 2019. Semantic Scholar.</w:t>
      </w:r>
    </w:p>
    <w:p>
      <w:pPr>
        <w:spacing w:after="40"/>
        <w:ind w:left="425" w:hanging="425"/>
      </w:pPr>
      <w:r>
        <w:rPr>
          <w:sz w:val="20"/>
        </w:rPr>
        <w:t>[4] Trček D. Cultural Heritage Preservation by Using Blockchain Technologies[J]. Heritage Science, 2022, 10: 643. DOI: 10.1186/s40494-021-00643-9.</w:t>
      </w:r>
    </w:p>
    <w:p>
      <w:pPr>
        <w:spacing w:after="40"/>
        <w:ind w:left="425" w:hanging="425"/>
      </w:pPr>
      <w:r>
        <w:rPr>
          <w:sz w:val="20"/>
        </w:rPr>
        <w:t>[5] 王箐. 基于区块链技术的非物质文化遗产档案管理优化探析[J]. 2018. 维普期刊.</w:t>
      </w:r>
    </w:p>
    <w:p>
      <w:pPr>
        <w:spacing w:after="40"/>
        <w:ind w:left="425" w:hanging="425"/>
      </w:pPr>
      <w:r>
        <w:rPr>
          <w:sz w:val="20"/>
        </w:rPr>
        <w:t>[6] Stublić H, Bilogrić M, Zlodi G. Blockchain and NFTs in the Cultural Heritage Domain: A Review of Current Research Topics[J]. Heritage, 2023, 6(4): 202. DOI: 10.3390/heritage6040202.</w:t>
      </w:r>
    </w:p>
    <w:p>
      <w:pPr>
        <w:spacing w:after="40"/>
        <w:ind w:left="425" w:hanging="425"/>
      </w:pPr>
      <w:r>
        <w:rPr>
          <w:sz w:val="20"/>
        </w:rPr>
        <w:t>[7] Del Vacchio E, Bifulco F. Blockchain in Cultural Heritage: Insights from Literature Review[J]. Sustainability, 2022, 14(4): 2324. DOI: 10.3390/su14042324.</w:t>
      </w:r>
    </w:p>
    <w:p>
      <w:pPr>
        <w:spacing w:after="40"/>
        <w:ind w:left="425" w:hanging="425"/>
      </w:pPr>
      <w:r>
        <w:rPr>
          <w:sz w:val="20"/>
        </w:rPr>
        <w:t>[8] Nogueira A, Marques C G, Manso A, et al. NFTs and the Danger of Loss[J]. Heritage, 2023, 6(7): 285. DOI: 10.3390/heritage6070285.</w:t>
      </w:r>
    </w:p>
    <w:p>
      <w:pPr>
        <w:spacing w:after="40"/>
        <w:ind w:left="425" w:hanging="425"/>
      </w:pPr>
      <w:r>
        <w:rPr>
          <w:sz w:val="20"/>
        </w:rPr>
        <w:t>[9] 王子琪. 数字收藏与文化治理——再论NFT艺术品市场[J]. 2022. 万方数据.</w:t>
      </w:r>
    </w:p>
    <w:p>
      <w:pPr>
        <w:spacing w:after="40"/>
        <w:ind w:left="425" w:hanging="425"/>
      </w:pPr>
      <w:r>
        <w:rPr>
          <w:sz w:val="20"/>
        </w:rPr>
        <w:t>[10] 阙培斯, 高飞, 曾一洪. 基于区块链NFT的知识产权数字化上链管理方法[J]. 2023. 万方数据.</w:t>
      </w:r>
    </w:p>
    <w:p>
      <w:pPr>
        <w:spacing w:after="40"/>
        <w:ind w:left="425" w:hanging="425"/>
      </w:pPr>
      <w:r>
        <w:rPr>
          <w:sz w:val="20"/>
        </w:rPr>
        <w:t>[11] Mo Z, Huang G. Digital Preservation of Intangible Cultural Heritage and Exploration of Network Communication Issues[J]. 2024. DOI: 10.62227/as/74212.</w:t>
      </w:r>
    </w:p>
    <w:p>
      <w:pPr>
        <w:spacing w:after="40"/>
        <w:ind w:left="425" w:hanging="425"/>
      </w:pPr>
      <w:r>
        <w:rPr>
          <w:sz w:val="20"/>
        </w:rPr>
        <w:t>[12] Wahed W J E, Saad N, Yusoff S B M, et al. Stay, Don't Leave: A Systematic Literature Review of Safeguarding Intangible Cultural Heritage in the Fourth Industrial Revolution[C]. Semantic Scholar.</w:t>
      </w:r>
    </w:p>
    <w:p>
      <w:pPr>
        <w:spacing w:after="40"/>
        <w:ind w:left="425" w:hanging="425"/>
      </w:pPr>
      <w:r>
        <w:rPr>
          <w:sz w:val="20"/>
        </w:rPr>
        <w:t>[13] Yáñez J P, Fraisse A. It is not Dance, is Data: Gearing Ethical Circulation of Intangible Cultural Heritage Practices in the Digital Space[C]. 2022. Semantic Scholar.</w:t>
      </w:r>
    </w:p>
    <w:p>
      <w:pPr>
        <w:spacing w:after="40"/>
        <w:ind w:left="425" w:hanging="425"/>
      </w:pPr>
      <w:r>
        <w:rPr>
          <w:sz w:val="20"/>
        </w:rPr>
        <w:t>[14] Koščík M, Myška M. Copyright Law Challenges of Preservation of "Born-digital" Digital Content as Cultural Heritage[C]. 2019. Semantic Scholar.</w:t>
      </w:r>
    </w:p>
    <w:p>
      <w:pPr>
        <w:spacing w:after="40"/>
        <w:ind w:left="425" w:hanging="425"/>
      </w:pPr>
      <w:r>
        <w:rPr>
          <w:sz w:val="20"/>
        </w:rPr>
        <w:t>[15] 魏鹏举, 魏西笑. 文化遗产数字化实践的版权挑战与应对[J]. 2022. 维普期刊.</w:t>
      </w:r>
    </w:p>
    <w:p>
      <w:pPr>
        <w:spacing w:after="40"/>
        <w:ind w:left="425" w:hanging="425"/>
      </w:pPr>
      <w:r>
        <w:rPr>
          <w:sz w:val="20"/>
        </w:rPr>
        <w:t>[16] [作者不详]. 基于区块链的文物数字资源版权保护框架设计[J]. 2025. 万方数据.</w:t>
      </w:r>
    </w:p>
    <w:p>
      <w:pPr>
        <w:spacing w:after="40"/>
        <w:ind w:left="425" w:hanging="425"/>
      </w:pPr>
      <w:r>
        <w:rPr>
          <w:sz w:val="20"/>
        </w:rPr>
        <w:t>[17] 王箐. 基于区块链技术的非物质文化遗产档案管理优化探析[J]. 2018. 维普期刊.</w:t>
      </w:r>
    </w:p>
    <w:p>
      <w:pPr>
        <w:spacing w:after="40"/>
        <w:ind w:left="425" w:hanging="425"/>
      </w:pPr>
      <w:r>
        <w:rPr>
          <w:sz w:val="20"/>
        </w:rPr>
        <w:t>[18] 王子琪. 数字收藏与文化治理——再论NFT艺术品市场[J]. 2022. 万方数据.</w:t>
      </w:r>
    </w:p>
    <w:p>
      <w:pPr>
        <w:spacing w:after="40"/>
        <w:ind w:left="425" w:hanging="425"/>
      </w:pPr>
      <w:r>
        <w:rPr>
          <w:sz w:val="20"/>
        </w:rPr>
        <w:t>[19] Nogueira A, Marques C G, Manso A, et al. NFTs and the Danger of Loss[J]. Heritage, 2023, 6(7): 285. DOI: 10.3390/heritage6070285.</w:t>
      </w:r>
    </w:p>
    <w:p>
      <w:pPr>
        <w:spacing w:after="40"/>
        <w:ind w:left="425" w:hanging="425"/>
      </w:pPr>
      <w:r>
        <w:rPr>
          <w:sz w:val="20"/>
        </w:rPr>
        <w:t>[20] 阙培斯, 高飞, 曾一洪. 基于区块链NFT的知识产权数字化上链管理方法[J]. 2023. 万方数据.</w:t>
      </w:r>
    </w:p>
    <w:p>
      <w:pPr>
        <w:spacing w:after="40"/>
        <w:ind w:left="425" w:hanging="425"/>
      </w:pPr>
      <w:r>
        <w:rPr>
          <w:sz w:val="20"/>
        </w:rPr>
        <w:t>[21] Del Vacchio E, Bifulco F. Blockchain in Cultural Heritage: Insights from Literature Review[J]. Sustainability, 2022, 14(4): 2324. DOI: 10.3390/su14042324.</w:t>
      </w:r>
    </w:p>
    <w:p>
      <w:pPr>
        <w:spacing w:after="40"/>
        <w:ind w:left="425" w:hanging="425"/>
      </w:pPr>
      <w:r>
        <w:rPr>
          <w:sz w:val="20"/>
        </w:rPr>
        <w:t>[16] [作者不详]. 基于区块链的文物数字资源版权保护框架设计[J]. 2025. 万方数据.</w:t>
      </w:r>
    </w:p>
    <w:p>
      <w:pPr>
        <w:spacing w:after="40"/>
        <w:ind w:left="425" w:hanging="425"/>
      </w:pPr>
      <w:r>
        <w:rPr>
          <w:sz w:val="20"/>
        </w:rPr>
        <w:t>[18] 王子琪. 数字收藏与文化治理——再论NFT艺术品市场[J]. 2022. 万方数据.</w:t>
      </w:r>
    </w:p>
    <w:p>
      <w:pPr>
        <w:spacing w:after="40"/>
        <w:ind w:left="425" w:hanging="425"/>
      </w:pPr>
      <w:r>
        <w:rPr>
          <w:sz w:val="20"/>
        </w:rPr>
        <w:t>[19] Nogueira A, et al. NFTs and the Danger of Loss[J]. Heritage, 2023, 6(7): 285. DOI: 10.3390/heritage6070285.</w:t>
      </w:r>
    </w:p>
    <w:p>
      <w:pPr>
        <w:spacing w:after="40"/>
        <w:ind w:left="425" w:hanging="425"/>
      </w:pPr>
      <w:r>
        <w:rPr>
          <w:sz w:val="20"/>
        </w:rPr>
        <w:t>[22] 阙培斯, 高飞, 曾一洪. 基于区块链NFT的知识产权数字化上链管理方法[J]. 2023. 万方数据.</w:t>
      </w:r>
    </w:p>
    <w:p>
      <w:pPr>
        <w:spacing w:after="40"/>
        <w:ind w:left="425" w:hanging="425"/>
      </w:pPr>
      <w:r>
        <w:rPr>
          <w:sz w:val="20"/>
        </w:rPr>
        <w:t>[23] Mo Z, Huang G. Digital Preservation of Intangible Cultural Heritage and Exploration of Network Communication Issues[J]. 2024. DOI: 10.62227/as/74212.</w:t>
      </w:r>
    </w:p>
    <w:p>
      <w:pPr>
        <w:spacing w:after="40"/>
        <w:ind w:left="425" w:hanging="425"/>
      </w:pPr>
      <w:r>
        <w:rPr>
          <w:sz w:val="20"/>
        </w:rPr>
        <w:t>[24] Yáñez J P, Fraisse A. It is not Dance, is Data: Gearing Ethical Circulation of ICH in the Digital Space[C]. 2022. Semantic Scholar.</w:t>
      </w:r>
    </w:p>
    <w:p>
      <w:pPr>
        <w:spacing w:after="40"/>
        <w:ind w:left="425" w:hanging="425"/>
      </w:pPr>
      <w:r>
        <w:rPr>
          <w:sz w:val="20"/>
        </w:rPr>
        <w:t>[24] Yáñez J P, Fraisse A. It is not Dance, is Data: Gearing Ethical Circulation of ICH in the Digital Space[C]. 2022. Semantic Scholar.</w:t>
      </w:r>
    </w:p>
    <w:p>
      <w:pPr>
        <w:spacing w:after="40"/>
        <w:ind w:left="425" w:hanging="425"/>
      </w:pPr>
      <w:r>
        <w:rPr>
          <w:sz w:val="20"/>
        </w:rPr>
        <w:t>[31] Stublić H, et al. Blockchain and NFTs in the Cultural Heritage Domain: A Review[J]. Heritage, 2023. DOI: 10.3390/heritage6040202.</w:t>
      </w:r>
    </w:p>
    <w:p>
      <w:pPr>
        <w:spacing w:after="40"/>
        <w:ind w:left="425" w:hanging="425"/>
      </w:pPr>
      <w:r>
        <w:rPr>
          <w:sz w:val="20"/>
        </w:rPr>
        <w:t>[4] Trček D. Cultural Heritage Preservation by Using Blockchain Technologies[J]. 2022. DOI: 10.1186/s40494-021-00643-9.</w:t>
      </w:r>
    </w:p>
    <w:p>
      <w:pPr>
        <w:spacing w:after="40"/>
        <w:ind w:left="425" w:hanging="425"/>
      </w:pPr>
      <w:r>
        <w:rPr>
          <w:sz w:val="20"/>
        </w:rPr>
        <w:t>[17] 王箐. 基于区块链技术的非物质文化遗产档案管理优化探析[J]. 2018. 维普期刊.</w:t>
      </w:r>
    </w:p>
    <w:p>
      <w:pPr>
        <w:spacing w:after="40"/>
        <w:ind w:left="425" w:hanging="425"/>
      </w:pPr>
      <w:r>
        <w:rPr>
          <w:sz w:val="20"/>
        </w:rPr>
        <w:t>[19] Nogueira A, et al. NFTs and the Danger of Loss[J]. Heritage, 2023. DOI: 10.3390/heritage6070285.</w:t>
      </w:r>
    </w:p>
    <w:p>
      <w:pPr>
        <w:spacing w:after="40"/>
        <w:ind w:left="425" w:hanging="425"/>
      </w:pPr>
      <w:r>
        <w:rPr>
          <w:sz w:val="20"/>
        </w:rPr>
        <w:t>[20] Qian W, et al. Multi-chain Architecture for Digital Collectibles Copyright Protection[J]. 2023. Semantic Scholar.</w:t>
      </w:r>
    </w:p>
    <w:p>
      <w:pPr>
        <w:spacing w:after="40"/>
        <w:ind w:left="425" w:hanging="425"/>
      </w:pPr>
      <w:r>
        <w:rPr>
          <w:sz w:val="20"/>
        </w:rPr>
        <w:t>[21] Zheng Z, et al. Smart Contracts for Cultural Heritage Copyright: A Code-Law Hybrid Model[J]. 2023. Semantic Scholar.</w:t>
      </w:r>
    </w:p>
    <w:p>
      <w:pPr>
        <w:spacing w:after="40"/>
        <w:ind w:left="425" w:hanging="425"/>
      </w:pPr>
      <w:r>
        <w:rPr>
          <w:sz w:val="20"/>
        </w:rPr>
        <w:t>[22] Bridgeman Art Library v. Corel Corp. 36 F. Supp. 2d 191 (S.D.N.Y. 1999).</w:t>
      </w:r>
    </w:p>
    <w:p>
      <w:r>
        <w:br w:type="page"/>
      </w:r>
    </w:p>
    <w:p/>
    <w:p/>
    <w:p/>
    <w:p/>
    <w:p/>
    <w:p/>
    <w:p/>
    <w:p/>
    <w:p>
      <w:pPr>
        <w:jc w:val="center"/>
      </w:pPr>
      <w:r>
        <w:rPr>
          <w:b/>
          <w:color w:val="264653"/>
          <w:sz w:val="44"/>
        </w:rPr>
        <w:t>第四篇　实践与展望篇</w:t>
      </w:r>
    </w:p>
    <w:p>
      <w:r>
        <w:br w:type="page"/>
      </w:r>
    </w:p>
    <w:p>
      <w:pPr>
        <w:spacing w:before="240" w:after="160"/>
      </w:pPr>
      <w:r>
        <w:rPr>
          <w:b/>
          <w:color w:val="264653"/>
          <w:sz w:val="36"/>
        </w:rPr>
        <w:t>第10章 IoT与文化遗产监测预警</w:t>
      </w:r>
    </w:p>
    <w:p>
      <w:pPr>
        <w:spacing w:before="200" w:after="120"/>
      </w:pPr>
      <w:r>
        <w:rPr>
          <w:b/>
          <w:color w:val="457B9D"/>
          <w:sz w:val="30"/>
        </w:rPr>
        <w:t>学习目标</w:t>
      </w:r>
    </w:p>
    <w:p>
      <w:pPr>
        <w:pStyle w:val="ListBullet"/>
      </w:pPr>
      <w:r>
        <w:rPr>
          <w:sz w:val="22"/>
        </w:rPr>
        <w:t>理解IoT技术在文化遗产监测中的应用原理</w:t>
      </w:r>
    </w:p>
    <w:p>
      <w:pPr>
        <w:pStyle w:val="ListBullet"/>
      </w:pPr>
      <w:r>
        <w:rPr>
          <w:sz w:val="22"/>
        </w:rPr>
        <w:t>掌握文化遗产环境监测系统的架构设计</w:t>
      </w:r>
    </w:p>
    <w:p>
      <w:pPr>
        <w:pStyle w:val="ListBullet"/>
      </w:pPr>
      <w:r>
        <w:rPr>
          <w:sz w:val="22"/>
        </w:rPr>
        <w:t>了解智能预警系统的关键技术</w:t>
      </w:r>
    </w:p>
    <w:p>
      <w:pPr>
        <w:pStyle w:val="ListBullet"/>
      </w:pPr>
      <w:r>
        <w:rPr>
          <w:sz w:val="22"/>
        </w:rPr>
        <w:t>能够设计文化遗产预防性保护方案</w:t>
      </w:r>
    </w:p>
    <w:p>
      <w:pPr>
        <w:spacing w:before="200" w:after="120"/>
      </w:pPr>
      <w:r>
        <w:rPr>
          <w:b/>
          <w:color w:val="457B9D"/>
          <w:sz w:val="30"/>
        </w:rPr>
        <w:t>导入案例：意大利历史建筑IoT预测性保护——基于云端的实时在线监测系统</w:t>
      </w:r>
    </w:p>
    <w:p>
      <w:pPr>
        <w:spacing w:after="80" w:line="360" w:lineRule="auto"/>
        <w:ind w:firstLine="420"/>
      </w:pPr>
      <w:r>
        <w:rPr>
          <w:sz w:val="22"/>
        </w:rPr>
        <w:t>意大利拥有世界上数量最多的UNESCO世界遗产（59项），其历史建筑的预防性保护一直是全球遗产保护领域的标杆。Limongiello等人（2022）在研究历史建筑预测性保护时，实验了一种基于云端访问的持续实时在线监测系统，通过部署在建筑各关键位置的传感器网络，实时采集结构变形、温湿度、振动等数据，利用预测模型评估建筑健康状态[1]。</w:t>
      </w:r>
    </w:p>
    <w:p>
      <w:pPr>
        <w:spacing w:after="80" w:line="360" w:lineRule="auto"/>
        <w:ind w:firstLine="420"/>
      </w:pPr>
      <w:r>
        <w:rPr>
          <w:sz w:val="22"/>
        </w:rPr>
        <w:t>这一实践代表了文化遗产保护从"抢救性保护"向"预防性保护"的范式转变——不是等到文物或建筑出现可见损伤才采取措施，而是通过持续监测在损伤发生的早期阶段就发出预警。</w:t>
      </w:r>
    </w:p>
    <w:p>
      <w:pPr>
        <w:spacing w:before="200" w:after="120"/>
      </w:pPr>
      <w:r>
        <w:rPr>
          <w:b/>
          <w:color w:val="457B9D"/>
          <w:sz w:val="30"/>
        </w:rPr>
        <w:t>10.1 文化遗产预防性保护理念</w:t>
      </w:r>
    </w:p>
    <w:p>
      <w:pPr>
        <w:spacing w:before="160" w:after="80"/>
      </w:pPr>
      <w:r>
        <w:rPr>
          <w:b/>
          <w:color w:val="2A9D8F"/>
          <w:sz w:val="26"/>
        </w:rPr>
        <w:t>10.1.1 从抢救性保护到预防性保护</w:t>
      </w:r>
    </w:p>
    <w:p>
      <w:pPr>
        <w:spacing w:after="80" w:line="360" w:lineRule="auto"/>
        <w:ind w:firstLine="420"/>
      </w:pPr>
      <w:r>
        <w:rPr>
          <w:sz w:val="22"/>
        </w:rPr>
        <w:t>传统文化遗产保护以"抢救性保护"为主——当文物出现明显病害时才进行修复。这种方式存在根本缺陷：病害一旦显现，损害往往已不可逆转，修复成本高昂且效果有限。预防性保护（Preventive Conservation）理念则强调"防患于未然"——通过控制保存环境和定期监测，在病害发生的早期阶段甚至萌芽前进行干预。</w:t>
      </w:r>
    </w:p>
    <w:p>
      <w:pPr>
        <w:spacing w:after="80" w:line="360" w:lineRule="auto"/>
        <w:ind w:firstLine="420"/>
      </w:pPr>
      <w:r>
        <w:rPr>
          <w:sz w:val="22"/>
        </w:rPr>
        <w:t>Casillo等人（2024）在提出历史建筑IoT保护框架时指出，ICT领域新技术的持续演进使得文化遗产资产的管理和恢复方法得到了显著改善，IoT技术的引入使预防性保护从理念走向系统化实践[2]。</w:t>
      </w:r>
    </w:p>
    <w:p>
      <w:pPr>
        <w:spacing w:before="160" w:after="80"/>
      </w:pPr>
      <w:r>
        <w:rPr>
          <w:b/>
          <w:color w:val="2A9D8F"/>
          <w:sz w:val="26"/>
        </w:rPr>
        <w:t>10.1.2 环境因素对文物的影响机制</w:t>
      </w:r>
    </w:p>
    <w:p>
      <w:pPr>
        <w:spacing w:after="80" w:line="360" w:lineRule="auto"/>
        <w:ind w:firstLine="420"/>
      </w:pPr>
      <w:r>
        <w:rPr>
          <w:sz w:val="22"/>
        </w:rPr>
        <w:t>文物保存环境的主要影响因素及其危害：</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D9E2EC"/>
          </w:tcPr>
          <w:p>
            <w:pPr>
              <w:spacing w:before="40" w:after="40"/>
            </w:pPr>
            <w:r>
              <w:rPr>
                <w:b/>
                <w:sz w:val="20"/>
              </w:rPr>
            </w:r>
            <w:r>
              <w:rPr>
                <w:b/>
                <w:sz w:val="20"/>
              </w:rPr>
              <w:t>环境因素</w:t>
            </w:r>
          </w:p>
        </w:tc>
        <w:tc>
          <w:tcPr>
            <w:tcW w:type="dxa" w:w="2126"/>
            <w:shd w:val="clear" w:color="auto" w:fill="D9E2EC"/>
          </w:tcPr>
          <w:p>
            <w:pPr>
              <w:spacing w:before="40" w:after="40"/>
            </w:pPr>
            <w:r>
              <w:rPr>
                <w:b/>
                <w:sz w:val="20"/>
              </w:rPr>
            </w:r>
            <w:r>
              <w:rPr>
                <w:b/>
                <w:sz w:val="20"/>
              </w:rPr>
              <w:t>危害机制</w:t>
            </w:r>
          </w:p>
        </w:tc>
        <w:tc>
          <w:tcPr>
            <w:tcW w:type="dxa" w:w="2126"/>
            <w:shd w:val="clear" w:color="auto" w:fill="D9E2EC"/>
          </w:tcPr>
          <w:p>
            <w:pPr>
              <w:spacing w:before="40" w:after="40"/>
            </w:pPr>
            <w:r>
              <w:rPr>
                <w:b/>
                <w:sz w:val="20"/>
              </w:rPr>
            </w:r>
            <w:r>
              <w:rPr>
                <w:b/>
                <w:sz w:val="20"/>
              </w:rPr>
              <w:t>影响对象</w:t>
            </w:r>
          </w:p>
        </w:tc>
        <w:tc>
          <w:tcPr>
            <w:tcW w:type="dxa" w:w="2126"/>
            <w:shd w:val="clear" w:color="auto" w:fill="D9E2EC"/>
          </w:tcPr>
          <w:p>
            <w:pPr>
              <w:spacing w:before="40" w:after="40"/>
            </w:pPr>
            <w:r>
              <w:rPr>
                <w:b/>
                <w:sz w:val="20"/>
              </w:rPr>
            </w:r>
            <w:r>
              <w:rPr>
                <w:b/>
                <w:sz w:val="20"/>
              </w:rPr>
              <w:t>监测参数</w:t>
            </w:r>
          </w:p>
        </w:tc>
      </w:tr>
      <w:tr>
        <w:tc>
          <w:tcPr>
            <w:tcW w:type="dxa" w:w="2126"/>
          </w:tcPr>
          <w:p>
            <w:pPr>
              <w:spacing w:before="40" w:after="40"/>
            </w:pPr>
            <w:r>
              <w:rPr>
                <w:sz w:val="20"/>
              </w:rPr>
            </w:r>
            <w:r>
              <w:rPr>
                <w:sz w:val="20"/>
              </w:rPr>
              <w:t>温度</w:t>
            </w:r>
          </w:p>
        </w:tc>
        <w:tc>
          <w:tcPr>
            <w:tcW w:type="dxa" w:w="2126"/>
          </w:tcPr>
          <w:p>
            <w:pPr>
              <w:spacing w:before="40" w:after="40"/>
            </w:pPr>
            <w:r>
              <w:rPr>
                <w:sz w:val="20"/>
              </w:rPr>
            </w:r>
            <w:r>
              <w:rPr>
                <w:sz w:val="20"/>
              </w:rPr>
              <w:t>热胀冷缩导致物理应力；加速化学反应</w:t>
            </w:r>
          </w:p>
        </w:tc>
        <w:tc>
          <w:tcPr>
            <w:tcW w:type="dxa" w:w="2126"/>
          </w:tcPr>
          <w:p>
            <w:pPr>
              <w:spacing w:before="40" w:after="40"/>
            </w:pPr>
            <w:r>
              <w:rPr>
                <w:sz w:val="20"/>
              </w:rPr>
            </w:r>
            <w:r>
              <w:rPr>
                <w:sz w:val="20"/>
              </w:rPr>
              <w:t>所有材质</w:t>
            </w:r>
          </w:p>
        </w:tc>
        <w:tc>
          <w:tcPr>
            <w:tcW w:type="dxa" w:w="2126"/>
          </w:tcPr>
          <w:p>
            <w:pPr>
              <w:spacing w:before="40" w:after="40"/>
            </w:pPr>
            <w:r>
              <w:rPr>
                <w:sz w:val="20"/>
              </w:rPr>
            </w:r>
            <w:r>
              <w:rPr>
                <w:sz w:val="20"/>
              </w:rPr>
              <w:t>温度（℃）</w:t>
            </w:r>
          </w:p>
        </w:tc>
      </w:tr>
      <w:tr>
        <w:tc>
          <w:tcPr>
            <w:tcW w:type="dxa" w:w="2126"/>
            <w:shd w:val="clear" w:color="auto" w:fill="F5F5F5"/>
          </w:tcPr>
          <w:p>
            <w:pPr>
              <w:spacing w:before="40" w:after="40"/>
            </w:pPr>
            <w:r>
              <w:rPr>
                <w:sz w:val="20"/>
              </w:rPr>
            </w:r>
            <w:r>
              <w:rPr>
                <w:sz w:val="20"/>
              </w:rPr>
              <w:t>湿度</w:t>
            </w:r>
          </w:p>
        </w:tc>
        <w:tc>
          <w:tcPr>
            <w:tcW w:type="dxa" w:w="2126"/>
            <w:shd w:val="clear" w:color="auto" w:fill="F5F5F5"/>
          </w:tcPr>
          <w:p>
            <w:pPr>
              <w:spacing w:before="40" w:after="40"/>
            </w:pPr>
            <w:r>
              <w:rPr>
                <w:sz w:val="20"/>
              </w:rPr>
            </w:r>
            <w:r>
              <w:rPr>
                <w:sz w:val="20"/>
              </w:rPr>
              <w:t>高湿促霉、低湿脆化；金属氧化</w:t>
            </w:r>
          </w:p>
        </w:tc>
        <w:tc>
          <w:tcPr>
            <w:tcW w:type="dxa" w:w="2126"/>
            <w:shd w:val="clear" w:color="auto" w:fill="F5F5F5"/>
          </w:tcPr>
          <w:p>
            <w:pPr>
              <w:spacing w:before="40" w:after="40"/>
            </w:pPr>
            <w:r>
              <w:rPr>
                <w:sz w:val="20"/>
              </w:rPr>
            </w:r>
            <w:r>
              <w:rPr>
                <w:sz w:val="20"/>
              </w:rPr>
              <w:t>有机质、金属</w:t>
            </w:r>
          </w:p>
        </w:tc>
        <w:tc>
          <w:tcPr>
            <w:tcW w:type="dxa" w:w="2126"/>
            <w:shd w:val="clear" w:color="auto" w:fill="F5F5F5"/>
          </w:tcPr>
          <w:p>
            <w:pPr>
              <w:spacing w:before="40" w:after="40"/>
            </w:pPr>
            <w:r>
              <w:rPr>
                <w:sz w:val="20"/>
              </w:rPr>
            </w:r>
            <w:r>
              <w:rPr>
                <w:sz w:val="20"/>
              </w:rPr>
              <w:t>相对湿度（%）</w:t>
            </w:r>
          </w:p>
        </w:tc>
      </w:tr>
      <w:tr>
        <w:tc>
          <w:tcPr>
            <w:tcW w:type="dxa" w:w="2126"/>
          </w:tcPr>
          <w:p>
            <w:pPr>
              <w:spacing w:before="40" w:after="40"/>
            </w:pPr>
            <w:r>
              <w:rPr>
                <w:sz w:val="20"/>
              </w:rPr>
            </w:r>
            <w:r>
              <w:rPr>
                <w:sz w:val="20"/>
              </w:rPr>
              <w:t>光照</w:t>
            </w:r>
          </w:p>
        </w:tc>
        <w:tc>
          <w:tcPr>
            <w:tcW w:type="dxa" w:w="2126"/>
          </w:tcPr>
          <w:p>
            <w:pPr>
              <w:spacing w:before="40" w:after="40"/>
            </w:pPr>
            <w:r>
              <w:rPr>
                <w:sz w:val="20"/>
              </w:rPr>
            </w:r>
            <w:r>
              <w:rPr>
                <w:sz w:val="20"/>
              </w:rPr>
              <w:t>紫外线导致有机分子断裂；光褪色</w:t>
            </w:r>
          </w:p>
        </w:tc>
        <w:tc>
          <w:tcPr>
            <w:tcW w:type="dxa" w:w="2126"/>
          </w:tcPr>
          <w:p>
            <w:pPr>
              <w:spacing w:before="40" w:after="40"/>
            </w:pPr>
            <w:r>
              <w:rPr>
                <w:sz w:val="20"/>
              </w:rPr>
            </w:r>
            <w:r>
              <w:rPr>
                <w:sz w:val="20"/>
              </w:rPr>
              <w:t>书画、纺织品、染料</w:t>
            </w:r>
          </w:p>
        </w:tc>
        <w:tc>
          <w:tcPr>
            <w:tcW w:type="dxa" w:w="2126"/>
          </w:tcPr>
          <w:p>
            <w:pPr>
              <w:spacing w:before="40" w:after="40"/>
            </w:pPr>
            <w:r>
              <w:rPr>
                <w:sz w:val="20"/>
              </w:rPr>
            </w:r>
            <w:r>
              <w:rPr>
                <w:sz w:val="20"/>
              </w:rPr>
              <w:t>照度（lux）、紫外线（μW/lumen）</w:t>
            </w:r>
          </w:p>
        </w:tc>
      </w:tr>
      <w:tr>
        <w:tc>
          <w:tcPr>
            <w:tcW w:type="dxa" w:w="2126"/>
            <w:shd w:val="clear" w:color="auto" w:fill="F5F5F5"/>
          </w:tcPr>
          <w:p>
            <w:pPr>
              <w:spacing w:before="40" w:after="40"/>
            </w:pPr>
            <w:r>
              <w:rPr>
                <w:sz w:val="20"/>
              </w:rPr>
            </w:r>
            <w:r>
              <w:rPr>
                <w:sz w:val="20"/>
              </w:rPr>
              <w:t>空气污染</w:t>
            </w:r>
          </w:p>
        </w:tc>
        <w:tc>
          <w:tcPr>
            <w:tcW w:type="dxa" w:w="2126"/>
            <w:shd w:val="clear" w:color="auto" w:fill="F5F5F5"/>
          </w:tcPr>
          <w:p>
            <w:pPr>
              <w:spacing w:before="40" w:after="40"/>
            </w:pPr>
            <w:r>
              <w:rPr>
                <w:sz w:val="20"/>
              </w:rPr>
            </w:r>
            <w:r>
              <w:rPr>
                <w:sz w:val="20"/>
              </w:rPr>
              <w:t>酸性气体腐蚀；颗粒物沉积</w:t>
            </w:r>
          </w:p>
        </w:tc>
        <w:tc>
          <w:tcPr>
            <w:tcW w:type="dxa" w:w="2126"/>
            <w:shd w:val="clear" w:color="auto" w:fill="F5F5F5"/>
          </w:tcPr>
          <w:p>
            <w:pPr>
              <w:spacing w:before="40" w:after="40"/>
            </w:pPr>
            <w:r>
              <w:rPr>
                <w:sz w:val="20"/>
              </w:rPr>
            </w:r>
            <w:r>
              <w:rPr>
                <w:sz w:val="20"/>
              </w:rPr>
              <w:t>石质、金属、壁画</w:t>
            </w:r>
          </w:p>
        </w:tc>
        <w:tc>
          <w:tcPr>
            <w:tcW w:type="dxa" w:w="2126"/>
            <w:shd w:val="clear" w:color="auto" w:fill="F5F5F5"/>
          </w:tcPr>
          <w:p>
            <w:pPr>
              <w:spacing w:before="40" w:after="40"/>
            </w:pPr>
            <w:r>
              <w:rPr>
                <w:sz w:val="20"/>
              </w:rPr>
            </w:r>
            <w:r>
              <w:rPr>
                <w:sz w:val="20"/>
              </w:rPr>
              <w:t>SO₂、NO₂、PM2.5、PM10</w:t>
            </w:r>
          </w:p>
        </w:tc>
      </w:tr>
      <w:tr>
        <w:tc>
          <w:tcPr>
            <w:tcW w:type="dxa" w:w="2126"/>
          </w:tcPr>
          <w:p>
            <w:pPr>
              <w:spacing w:before="40" w:after="40"/>
            </w:pPr>
            <w:r>
              <w:rPr>
                <w:sz w:val="20"/>
              </w:rPr>
            </w:r>
            <w:r>
              <w:rPr>
                <w:sz w:val="20"/>
              </w:rPr>
              <w:t>振动</w:t>
            </w:r>
          </w:p>
        </w:tc>
        <w:tc>
          <w:tcPr>
            <w:tcW w:type="dxa" w:w="2126"/>
          </w:tcPr>
          <w:p>
            <w:pPr>
              <w:spacing w:before="40" w:after="40"/>
            </w:pPr>
            <w:r>
              <w:rPr>
                <w:sz w:val="20"/>
              </w:rPr>
            </w:r>
            <w:r>
              <w:rPr>
                <w:sz w:val="20"/>
              </w:rPr>
              <w:t>机械应力导致裂缝扩展</w:t>
            </w:r>
          </w:p>
        </w:tc>
        <w:tc>
          <w:tcPr>
            <w:tcW w:type="dxa" w:w="2126"/>
          </w:tcPr>
          <w:p>
            <w:pPr>
              <w:spacing w:before="40" w:after="40"/>
            </w:pPr>
            <w:r>
              <w:rPr>
                <w:sz w:val="20"/>
              </w:rPr>
            </w:r>
            <w:r>
              <w:rPr>
                <w:sz w:val="20"/>
              </w:rPr>
              <w:t>古建筑、脆性文物</w:t>
            </w:r>
          </w:p>
        </w:tc>
        <w:tc>
          <w:tcPr>
            <w:tcW w:type="dxa" w:w="2126"/>
          </w:tcPr>
          <w:p>
            <w:pPr>
              <w:spacing w:before="40" w:after="40"/>
            </w:pPr>
            <w:r>
              <w:rPr>
                <w:sz w:val="20"/>
              </w:rPr>
            </w:r>
            <w:r>
              <w:rPr>
                <w:sz w:val="20"/>
              </w:rPr>
              <w:t>振动速度（mm/s）</w:t>
            </w:r>
          </w:p>
        </w:tc>
      </w:tr>
      <w:tr>
        <w:tc>
          <w:tcPr>
            <w:tcW w:type="dxa" w:w="2126"/>
            <w:shd w:val="clear" w:color="auto" w:fill="F5F5F5"/>
          </w:tcPr>
          <w:p>
            <w:pPr>
              <w:spacing w:before="40" w:after="40"/>
            </w:pPr>
            <w:r>
              <w:rPr>
                <w:sz w:val="20"/>
              </w:rPr>
            </w:r>
            <w:r>
              <w:rPr>
                <w:sz w:val="20"/>
              </w:rPr>
              <w:t>生物因素</w:t>
            </w:r>
          </w:p>
        </w:tc>
        <w:tc>
          <w:tcPr>
            <w:tcW w:type="dxa" w:w="2126"/>
            <w:shd w:val="clear" w:color="auto" w:fill="F5F5F5"/>
          </w:tcPr>
          <w:p>
            <w:pPr>
              <w:spacing w:before="40" w:after="40"/>
            </w:pPr>
            <w:r>
              <w:rPr>
                <w:sz w:val="20"/>
              </w:rPr>
            </w:r>
            <w:r>
              <w:rPr>
                <w:sz w:val="20"/>
              </w:rPr>
              <w:t>霉菌、昆虫侵蚀有机质</w:t>
            </w:r>
          </w:p>
        </w:tc>
        <w:tc>
          <w:tcPr>
            <w:tcW w:type="dxa" w:w="2126"/>
            <w:shd w:val="clear" w:color="auto" w:fill="F5F5F5"/>
          </w:tcPr>
          <w:p>
            <w:pPr>
              <w:spacing w:before="40" w:after="40"/>
            </w:pPr>
            <w:r>
              <w:rPr>
                <w:sz w:val="20"/>
              </w:rPr>
            </w:r>
            <w:r>
              <w:rPr>
                <w:sz w:val="20"/>
              </w:rPr>
              <w:t>木材、纺织品、纸张</w:t>
            </w:r>
          </w:p>
        </w:tc>
        <w:tc>
          <w:tcPr>
            <w:tcW w:type="dxa" w:w="2126"/>
            <w:shd w:val="clear" w:color="auto" w:fill="F5F5F5"/>
          </w:tcPr>
          <w:p>
            <w:pPr>
              <w:spacing w:before="40" w:after="40"/>
            </w:pPr>
            <w:r>
              <w:rPr>
                <w:sz w:val="20"/>
              </w:rPr>
            </w:r>
            <w:r>
              <w:rPr>
                <w:sz w:val="20"/>
              </w:rPr>
              <w:t>微生物浓度、昆虫活动</w:t>
            </w:r>
          </w:p>
        </w:tc>
      </w:tr>
    </w:tbl>
    <w:p>
      <w:pPr>
        <w:spacing w:after="80" w:line="360" w:lineRule="auto"/>
        <w:ind w:firstLine="420"/>
      </w:pPr>
      <w:r>
        <w:rPr>
          <w:sz w:val="22"/>
        </w:rPr>
        <w:t>林树笋等人（2013）在研究基于物联网技术的文物保存环境监测系统时，指出温湿度、光照和有害气体是文物保存环境的三大关键监测参数，其实时监测和智能调控是预防性保护的技术基础[3]。</w:t>
      </w:r>
    </w:p>
    <w:p>
      <w:pPr>
        <w:spacing w:before="160" w:after="80"/>
      </w:pPr>
      <w:r>
        <w:rPr>
          <w:b/>
          <w:color w:val="2A9D8F"/>
          <w:sz w:val="26"/>
        </w:rPr>
        <w:t>10.1.3 监测预警的必要性</w:t>
      </w:r>
    </w:p>
    <w:p>
      <w:pPr>
        <w:spacing w:after="80" w:line="360" w:lineRule="auto"/>
        <w:ind w:firstLine="420"/>
      </w:pPr>
      <w:r>
        <w:rPr>
          <w:sz w:val="22"/>
        </w:rPr>
        <w:t>监测预警的必要性体现在三个方面：一是文物劣化的不可逆性——一旦发生实质性损害，修复只能"弥补"而非"还原"；二是修复成本的高昂——预防性监测投入远低于抢救性修复成本；三是数字遗产的脆弱性——数字存储介质同样需要环境监测。</w:t>
      </w:r>
    </w:p>
    <w:p>
      <w:pPr>
        <w:spacing w:before="200" w:after="120"/>
      </w:pPr>
      <w:r>
        <w:rPr>
          <w:b/>
          <w:color w:val="457B9D"/>
          <w:sz w:val="30"/>
        </w:rPr>
        <w:t>10.2 IoT技术在文化遗产监测中的应用</w:t>
      </w:r>
    </w:p>
    <w:p>
      <w:pPr>
        <w:spacing w:before="160" w:after="80"/>
      </w:pPr>
      <w:r>
        <w:rPr>
          <w:b/>
          <w:color w:val="2A9D8F"/>
          <w:sz w:val="26"/>
        </w:rPr>
        <w:t>10.2.1 传感器类型与选型</w:t>
      </w:r>
    </w:p>
    <w:p>
      <w:pPr>
        <w:spacing w:after="80" w:line="360" w:lineRule="auto"/>
        <w:ind w:firstLine="420"/>
      </w:pPr>
      <w:r>
        <w:rPr>
          <w:sz w:val="22"/>
        </w:rPr>
        <w:t>IoT监测系统的核心是传感器网络。文化遗产监测常用的传感器类型包括：</w:t>
      </w:r>
    </w:p>
    <w:p>
      <w:pPr>
        <w:spacing w:after="80" w:line="360" w:lineRule="auto"/>
        <w:ind w:firstLine="420"/>
      </w:pPr>
      <w:r>
        <w:rPr>
          <w:b/>
          <w:sz w:val="22"/>
        </w:rPr>
        <w:t>温湿度传感器</w:t>
      </w:r>
      <w:r>
        <w:rPr>
          <w:sz w:val="22"/>
        </w:rPr>
        <w:t>：最基本的监测参数。Prasanth等人（2021）在研究IoT环境监测系统保护遗产文物时，指出博物馆藏品保存需要精确控制温湿度——温度波动和湿度超标是文物劣化的首要原因[4]。</w:t>
      </w:r>
    </w:p>
    <w:p>
      <w:pPr>
        <w:spacing w:after="80" w:line="360" w:lineRule="auto"/>
        <w:ind w:firstLine="420"/>
      </w:pPr>
      <w:r>
        <w:rPr>
          <w:b/>
          <w:sz w:val="22"/>
        </w:rPr>
        <w:t>光照传感器</w:t>
      </w:r>
      <w:r>
        <w:rPr>
          <w:sz w:val="22"/>
        </w:rPr>
        <w:t>：测量照度和紫外线强度，防止光敏感材料（书画、纺织品）的光褪色。</w:t>
      </w:r>
    </w:p>
    <w:p>
      <w:pPr>
        <w:spacing w:after="80" w:line="360" w:lineRule="auto"/>
        <w:ind w:firstLine="420"/>
      </w:pPr>
      <w:r>
        <w:rPr>
          <w:b/>
          <w:sz w:val="22"/>
        </w:rPr>
        <w:t>气体传感器</w:t>
      </w:r>
      <w:r>
        <w:rPr>
          <w:sz w:val="22"/>
        </w:rPr>
        <w:t>：监测SO₂、NO₂、O₃、VOCs等有害气体浓度，防止化学腐蚀。</w:t>
      </w:r>
    </w:p>
    <w:p>
      <w:pPr>
        <w:spacing w:after="80" w:line="360" w:lineRule="auto"/>
        <w:ind w:firstLine="420"/>
      </w:pPr>
      <w:r>
        <w:rPr>
          <w:b/>
          <w:sz w:val="22"/>
        </w:rPr>
        <w:t>振动传感器</w:t>
      </w:r>
      <w:r>
        <w:rPr>
          <w:sz w:val="22"/>
        </w:rPr>
        <w:t>：监测建筑结构振动，防止交通或施工振动对古建筑的损害。</w:t>
      </w:r>
    </w:p>
    <w:p>
      <w:pPr>
        <w:spacing w:after="80" w:line="360" w:lineRule="auto"/>
        <w:ind w:firstLine="420"/>
      </w:pPr>
      <w:r>
        <w:rPr>
          <w:b/>
          <w:sz w:val="22"/>
        </w:rPr>
        <w:t>颗粒物传感器</w:t>
      </w:r>
      <w:r>
        <w:rPr>
          <w:sz w:val="22"/>
        </w:rPr>
        <w:t>：监测PM2.5、PM10浓度，防止颗粒物在文物表面沉积。</w:t>
      </w:r>
    </w:p>
    <w:p>
      <w:pPr>
        <w:spacing w:before="160" w:after="80"/>
      </w:pPr>
      <w:r>
        <w:rPr>
          <w:b/>
          <w:color w:val="2A9D8F"/>
          <w:sz w:val="26"/>
        </w:rPr>
        <w:t>10.2.2 无线传感器网络（WSN）部署</w:t>
      </w:r>
    </w:p>
    <w:p>
      <w:pPr>
        <w:spacing w:after="80" w:line="360" w:lineRule="auto"/>
        <w:ind w:firstLine="420"/>
      </w:pPr>
      <w:r>
        <w:rPr>
          <w:sz w:val="22"/>
        </w:rPr>
        <w:t>Hinostroza和Tarrillo（2022）在研究文化遗产环境监测无线传感器网络时，指出WSN相比有线网络具有部署灵活、不破坏建筑本体、维护成本低等优势，特别适合不可移动文物的监测[5]。WSN的部署需要考虑：</w:t>
      </w:r>
    </w:p>
    <w:p>
      <w:pPr>
        <w:pStyle w:val="ListBullet"/>
      </w:pPr>
      <w:r>
        <w:rPr>
          <w:b/>
          <w:sz w:val="22"/>
        </w:rPr>
        <w:t>节点密度</w:t>
      </w:r>
      <w:r>
        <w:rPr>
          <w:sz w:val="22"/>
        </w:rPr>
        <w:t>：根据监测区域的环境变异性和文物敏感度确定传感器布设密度</w:t>
      </w:r>
    </w:p>
    <w:p>
      <w:pPr>
        <w:pStyle w:val="ListBullet"/>
      </w:pPr>
      <w:r>
        <w:rPr>
          <w:b/>
          <w:sz w:val="22"/>
        </w:rPr>
        <w:t>通信协议</w:t>
      </w:r>
      <w:r>
        <w:rPr>
          <w:sz w:val="22"/>
        </w:rPr>
        <w:t>：LoRa、ZigBee、NB-IoT等各有优劣，需根据传输距离、功耗和数据量选择</w:t>
      </w:r>
    </w:p>
    <w:p>
      <w:pPr>
        <w:pStyle w:val="ListBullet"/>
      </w:pPr>
      <w:r>
        <w:rPr>
          <w:b/>
          <w:sz w:val="22"/>
        </w:rPr>
        <w:t>供电方案</w:t>
      </w:r>
      <w:r>
        <w:rPr>
          <w:sz w:val="22"/>
        </w:rPr>
        <w:t>：电池供电、太阳能供电或能量收集技术</w:t>
      </w:r>
    </w:p>
    <w:p>
      <w:pPr>
        <w:pStyle w:val="ListBullet"/>
      </w:pPr>
      <w:r>
        <w:rPr>
          <w:b/>
          <w:sz w:val="22"/>
        </w:rPr>
        <w:t>网络拓扑</w:t>
      </w:r>
      <w:r>
        <w:rPr>
          <w:sz w:val="22"/>
        </w:rPr>
        <w:t>：星型、树型或网状拓扑，影响网络可靠性和覆盖范围</w:t>
      </w:r>
    </w:p>
    <w:p>
      <w:pPr>
        <w:spacing w:before="160" w:after="80"/>
      </w:pPr>
      <w:r>
        <w:rPr>
          <w:b/>
          <w:color w:val="2A9D8F"/>
          <w:sz w:val="26"/>
        </w:rPr>
        <w:t>10.2.3 数据采集与传输协议</w:t>
      </w:r>
    </w:p>
    <w:p>
      <w:pPr>
        <w:spacing w:after="80" w:line="360" w:lineRule="auto"/>
        <w:ind w:firstLine="420"/>
      </w:pPr>
      <w:r>
        <w:rPr>
          <w:sz w:val="22"/>
        </w:rPr>
        <w:t>文化遗产IoT监测的数据采集频率因参数而异——温湿度可每15分钟采集一次，振动需要连续高频采样（100Hz以上），气体浓度可每小时采集一次。数据传输协议需在实时性和能耗之间平衡：LoRa适合低频低功耗传输，NB-IoT适合中等数据量传输，Wi-Fi适合大数据量传输但功耗较高。</w:t>
      </w:r>
    </w:p>
    <w:p>
      <w:pPr>
        <w:spacing w:before="160" w:after="80"/>
      </w:pPr>
      <w:r>
        <w:rPr>
          <w:b/>
          <w:color w:val="2A9D8F"/>
          <w:sz w:val="26"/>
        </w:rPr>
        <w:t>10.2.4 云端数据管理与分析平台</w:t>
      </w:r>
    </w:p>
    <w:p>
      <w:pPr>
        <w:spacing w:after="80" w:line="360" w:lineRule="auto"/>
        <w:ind w:firstLine="420"/>
      </w:pPr>
      <w:r>
        <w:rPr>
          <w:sz w:val="22"/>
        </w:rPr>
        <w:t>Plaza-Hernández和Rodríguez（2021）在研究智慧城市中的文化遗产监测智能平台时，提出了一种集多源数据融合、实时分析和智能决策于一体的"智慧遗产"（Smart-Heritage）平台架构[6]。云端平台的核心功能包括：数据汇聚与存储、实时可视化、阈值报警、趋势分析和预测模型。</w:t>
      </w:r>
    </w:p>
    <w:p>
      <w:pPr>
        <w:spacing w:before="200" w:after="120"/>
      </w:pPr>
      <w:r>
        <w:rPr>
          <w:b/>
          <w:color w:val="457B9D"/>
          <w:sz w:val="30"/>
        </w:rPr>
        <w:t>10.3 文化遗产智能预警系统</w:t>
      </w:r>
    </w:p>
    <w:p>
      <w:pPr>
        <w:spacing w:before="160" w:after="80"/>
      </w:pPr>
      <w:r>
        <w:rPr>
          <w:b/>
          <w:color w:val="2A9D8F"/>
          <w:sz w:val="26"/>
        </w:rPr>
        <w:t>10.3.1 AI+IoT融合的智能信息评估</w:t>
      </w:r>
    </w:p>
    <w:p>
      <w:pPr>
        <w:spacing w:after="80" w:line="360" w:lineRule="auto"/>
        <w:ind w:firstLine="420"/>
      </w:pPr>
      <w:r>
        <w:rPr>
          <w:sz w:val="22"/>
        </w:rPr>
        <w:t>Qin等人（2024）在研究建立AI驱动的文物预警系统时，提出了将IoT实时监测与AI智能信息评估相结合的方法——IoT传感器采集环境数据，AI模型对数据进行实时分析评估，自动判断环境状态是否对文物安全构成威胁[7]。这种AI+IoT融合方案超越了简单的"超阈值报警"模式，能够综合考虑多参数协同效应和累积影响。</w:t>
      </w:r>
    </w:p>
    <w:p>
      <w:pPr>
        <w:spacing w:before="160" w:after="80"/>
      </w:pPr>
      <w:r>
        <w:rPr>
          <w:b/>
          <w:color w:val="2A9D8F"/>
          <w:sz w:val="26"/>
        </w:rPr>
        <w:t>10.3.2 预警模型与阈值设定</w:t>
      </w:r>
    </w:p>
    <w:p>
      <w:pPr>
        <w:spacing w:after="80" w:line="360" w:lineRule="auto"/>
        <w:ind w:firstLine="420"/>
      </w:pPr>
      <w:r>
        <w:rPr>
          <w:sz w:val="22"/>
        </w:rPr>
        <w:t>预警模型的建立需要结合文物材质特性、环境历史数据和劣化机理研究。阈值设定是核心难点——过于严格会导致频繁误报，过于宽松则会遗漏真实风险。推荐采用分级预警机制：</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D9E2EC"/>
          </w:tcPr>
          <w:p>
            <w:pPr>
              <w:spacing w:before="40" w:after="40"/>
            </w:pPr>
            <w:r>
              <w:rPr>
                <w:b/>
                <w:sz w:val="20"/>
              </w:rPr>
            </w:r>
            <w:r>
              <w:rPr>
                <w:b/>
                <w:sz w:val="20"/>
              </w:rPr>
              <w:t>预警级别</w:t>
            </w:r>
          </w:p>
        </w:tc>
        <w:tc>
          <w:tcPr>
            <w:tcW w:type="dxa" w:w="2835"/>
            <w:shd w:val="clear" w:color="auto" w:fill="D9E2EC"/>
          </w:tcPr>
          <w:p>
            <w:pPr>
              <w:spacing w:before="40" w:after="40"/>
            </w:pPr>
            <w:r>
              <w:rPr>
                <w:b/>
                <w:sz w:val="20"/>
              </w:rPr>
            </w:r>
            <w:r>
              <w:rPr>
                <w:b/>
                <w:sz w:val="20"/>
              </w:rPr>
              <w:t>触发条件</w:t>
            </w:r>
          </w:p>
        </w:tc>
        <w:tc>
          <w:tcPr>
            <w:tcW w:type="dxa" w:w="2835"/>
            <w:shd w:val="clear" w:color="auto" w:fill="D9E2EC"/>
          </w:tcPr>
          <w:p>
            <w:pPr>
              <w:spacing w:before="40" w:after="40"/>
            </w:pPr>
            <w:r>
              <w:rPr>
                <w:b/>
                <w:sz w:val="20"/>
              </w:rPr>
            </w:r>
            <w:r>
              <w:rPr>
                <w:b/>
                <w:sz w:val="20"/>
              </w:rPr>
              <w:t>响应措施</w:t>
            </w:r>
          </w:p>
        </w:tc>
      </w:tr>
      <w:tr>
        <w:tc>
          <w:tcPr>
            <w:tcW w:type="dxa" w:w="2835"/>
          </w:tcPr>
          <w:p>
            <w:pPr>
              <w:spacing w:before="40" w:after="40"/>
            </w:pPr>
            <w:r>
              <w:rPr>
                <w:sz w:val="20"/>
              </w:rPr>
            </w:r>
            <w:r>
              <w:rPr>
                <w:sz w:val="20"/>
              </w:rPr>
              <w:t>正常</w:t>
            </w:r>
          </w:p>
        </w:tc>
        <w:tc>
          <w:tcPr>
            <w:tcW w:type="dxa" w:w="2835"/>
          </w:tcPr>
          <w:p>
            <w:pPr>
              <w:spacing w:before="40" w:after="40"/>
            </w:pPr>
            <w:r>
              <w:rPr>
                <w:sz w:val="20"/>
              </w:rPr>
            </w:r>
            <w:r>
              <w:rPr>
                <w:sz w:val="20"/>
              </w:rPr>
              <w:t>所有参数在安全范围</w:t>
            </w:r>
          </w:p>
        </w:tc>
        <w:tc>
          <w:tcPr>
            <w:tcW w:type="dxa" w:w="2835"/>
          </w:tcPr>
          <w:p>
            <w:pPr>
              <w:spacing w:before="40" w:after="40"/>
            </w:pPr>
            <w:r>
              <w:rPr>
                <w:sz w:val="20"/>
              </w:rPr>
            </w:r>
            <w:r>
              <w:rPr>
                <w:sz w:val="20"/>
              </w:rPr>
              <w:t>常规监测</w:t>
            </w:r>
          </w:p>
        </w:tc>
      </w:tr>
      <w:tr>
        <w:tc>
          <w:tcPr>
            <w:tcW w:type="dxa" w:w="2835"/>
            <w:shd w:val="clear" w:color="auto" w:fill="F5F5F5"/>
          </w:tcPr>
          <w:p>
            <w:pPr>
              <w:spacing w:before="40" w:after="40"/>
            </w:pPr>
            <w:r>
              <w:rPr>
                <w:sz w:val="20"/>
              </w:rPr>
            </w:r>
            <w:r>
              <w:rPr>
                <w:sz w:val="20"/>
              </w:rPr>
              <w:t>关注</w:t>
            </w:r>
          </w:p>
        </w:tc>
        <w:tc>
          <w:tcPr>
            <w:tcW w:type="dxa" w:w="2835"/>
            <w:shd w:val="clear" w:color="auto" w:fill="F5F5F5"/>
          </w:tcPr>
          <w:p>
            <w:pPr>
              <w:spacing w:before="40" w:after="40"/>
            </w:pPr>
            <w:r>
              <w:rPr>
                <w:sz w:val="20"/>
              </w:rPr>
            </w:r>
            <w:r>
              <w:rPr>
                <w:sz w:val="20"/>
              </w:rPr>
              <w:t>个别参数接近阈值上限</w:t>
            </w:r>
          </w:p>
        </w:tc>
        <w:tc>
          <w:tcPr>
            <w:tcW w:type="dxa" w:w="2835"/>
            <w:shd w:val="clear" w:color="auto" w:fill="F5F5F5"/>
          </w:tcPr>
          <w:p>
            <w:pPr>
              <w:spacing w:before="40" w:after="40"/>
            </w:pPr>
            <w:r>
              <w:rPr>
                <w:sz w:val="20"/>
              </w:rPr>
            </w:r>
            <w:r>
              <w:rPr>
                <w:sz w:val="20"/>
              </w:rPr>
              <w:t>增加监测频率</w:t>
            </w:r>
          </w:p>
        </w:tc>
      </w:tr>
      <w:tr>
        <w:tc>
          <w:tcPr>
            <w:tcW w:type="dxa" w:w="2835"/>
          </w:tcPr>
          <w:p>
            <w:pPr>
              <w:spacing w:before="40" w:after="40"/>
            </w:pPr>
            <w:r>
              <w:rPr>
                <w:sz w:val="20"/>
              </w:rPr>
            </w:r>
            <w:r>
              <w:rPr>
                <w:sz w:val="20"/>
              </w:rPr>
              <w:t>预警</w:t>
            </w:r>
          </w:p>
        </w:tc>
        <w:tc>
          <w:tcPr>
            <w:tcW w:type="dxa" w:w="2835"/>
          </w:tcPr>
          <w:p>
            <w:pPr>
              <w:spacing w:before="40" w:after="40"/>
            </w:pPr>
            <w:r>
              <w:rPr>
                <w:sz w:val="20"/>
              </w:rPr>
            </w:r>
            <w:r>
              <w:rPr>
                <w:sz w:val="20"/>
              </w:rPr>
              <w:t>参数超过阈值或趋势异常</w:t>
            </w:r>
          </w:p>
        </w:tc>
        <w:tc>
          <w:tcPr>
            <w:tcW w:type="dxa" w:w="2835"/>
          </w:tcPr>
          <w:p>
            <w:pPr>
              <w:spacing w:before="40" w:after="40"/>
            </w:pPr>
            <w:r>
              <w:rPr>
                <w:sz w:val="20"/>
              </w:rPr>
            </w:r>
            <w:r>
              <w:rPr>
                <w:sz w:val="20"/>
              </w:rPr>
              <w:t>启动环境调控</w:t>
            </w:r>
          </w:p>
        </w:tc>
      </w:tr>
      <w:tr>
        <w:tc>
          <w:tcPr>
            <w:tcW w:type="dxa" w:w="2835"/>
            <w:shd w:val="clear" w:color="auto" w:fill="F5F5F5"/>
          </w:tcPr>
          <w:p>
            <w:pPr>
              <w:spacing w:before="40" w:after="40"/>
            </w:pPr>
            <w:r>
              <w:rPr>
                <w:sz w:val="20"/>
              </w:rPr>
            </w:r>
            <w:r>
              <w:rPr>
                <w:sz w:val="20"/>
              </w:rPr>
              <w:t>报警</w:t>
            </w:r>
          </w:p>
        </w:tc>
        <w:tc>
          <w:tcPr>
            <w:tcW w:type="dxa" w:w="2835"/>
            <w:shd w:val="clear" w:color="auto" w:fill="F5F5F5"/>
          </w:tcPr>
          <w:p>
            <w:pPr>
              <w:spacing w:before="40" w:after="40"/>
            </w:pPr>
            <w:r>
              <w:rPr>
                <w:sz w:val="20"/>
              </w:rPr>
            </w:r>
            <w:r>
              <w:rPr>
                <w:sz w:val="20"/>
              </w:rPr>
              <w:t>参数严重超标或多参数联动异常</w:t>
            </w:r>
          </w:p>
        </w:tc>
        <w:tc>
          <w:tcPr>
            <w:tcW w:type="dxa" w:w="2835"/>
            <w:shd w:val="clear" w:color="auto" w:fill="F5F5F5"/>
          </w:tcPr>
          <w:p>
            <w:pPr>
              <w:spacing w:before="40" w:after="40"/>
            </w:pPr>
            <w:r>
              <w:rPr>
                <w:sz w:val="20"/>
              </w:rPr>
            </w:r>
            <w:r>
              <w:rPr>
                <w:sz w:val="20"/>
              </w:rPr>
              <w:t>紧急干预+人员到场</w:t>
            </w:r>
          </w:p>
        </w:tc>
      </w:tr>
    </w:tbl>
    <w:p>
      <w:pPr>
        <w:spacing w:before="160" w:after="80"/>
      </w:pPr>
      <w:r>
        <w:rPr>
          <w:b/>
          <w:color w:val="2A9D8F"/>
          <w:sz w:val="26"/>
        </w:rPr>
        <w:t>10.3.3 应急响应机制</w:t>
      </w:r>
    </w:p>
    <w:p>
      <w:pPr>
        <w:spacing w:after="80" w:line="360" w:lineRule="auto"/>
        <w:ind w:firstLine="420"/>
      </w:pPr>
      <w:r>
        <w:rPr>
          <w:sz w:val="22"/>
        </w:rPr>
        <w:t>Casillo等人（2024）的IoT保护框架包含了完整的应急响应机制——从自动环境调控（如启动除湿机）到人工干预的逐级响应流程[2]。应急响应的关键是建立清晰的处置流程和责任体系，确保预警信息能够及时传达给相关人员并得到有效处置。</w:t>
      </w:r>
    </w:p>
    <w:p>
      <w:pPr>
        <w:spacing w:before="160" w:after="80"/>
      </w:pPr>
      <w:r>
        <w:rPr>
          <w:b/>
          <w:color w:val="2A9D8F"/>
          <w:sz w:val="26"/>
        </w:rPr>
        <w:t>10.3.4 典型案例：历史建筑IoT保护框架</w:t>
      </w:r>
    </w:p>
    <w:p>
      <w:pPr>
        <w:spacing w:after="80" w:line="360" w:lineRule="auto"/>
        <w:ind w:firstLine="420"/>
      </w:pPr>
      <w:r>
        <w:rPr>
          <w:sz w:val="22"/>
        </w:rPr>
        <w:t>Casillo等人（2024）提出的IoT保护框架已在意大利多处历史建筑中部署测试[2]。该框架的特色在于将结构健康监测（SHM）与环境监测集成——不仅监测温湿度等环境参数，还通过应变计、倾角仪等传感器监测建筑结构的微小变形，实现环境和结构的综合预警。</w:t>
      </w:r>
    </w:p>
    <w:p>
      <w:pPr>
        <w:spacing w:before="200" w:after="120"/>
      </w:pPr>
      <w:r>
        <w:rPr>
          <w:b/>
          <w:color w:val="457B9D"/>
          <w:sz w:val="30"/>
        </w:rPr>
        <w:t>10.4 HBIM与数字孪生在遗产保护中的应用</w:t>
      </w:r>
    </w:p>
    <w:p>
      <w:pPr>
        <w:spacing w:before="160" w:after="80"/>
      </w:pPr>
      <w:r>
        <w:rPr>
          <w:b/>
          <w:color w:val="2A9D8F"/>
          <w:sz w:val="26"/>
        </w:rPr>
        <w:t>10.4.1 HBIM（历史建筑信息模型）概念</w:t>
      </w:r>
    </w:p>
    <w:p>
      <w:pPr>
        <w:spacing w:after="80" w:line="360" w:lineRule="auto"/>
        <w:ind w:firstLine="420"/>
      </w:pPr>
      <w:r>
        <w:rPr>
          <w:sz w:val="22"/>
        </w:rPr>
        <w:t>HBIM（Historic Building Information Modeling）是将BIM技术应用于历史建筑的方法论。与传统BIM不同，HBIM需要处理历史建筑的非标准构件——不规则石块、手工雕刻装饰、历史修缮痕迹等。Pepe等人（2021）在研究博物馆敏感文化遗产HBIM预防性保护时，提出了SensMat方法——将HBIM与IoT传感器数据集成，实现历史建筑的数字化预防性保护[8]。</w:t>
      </w:r>
    </w:p>
    <w:p>
      <w:pPr>
        <w:spacing w:before="160" w:after="80"/>
      </w:pPr>
      <w:r>
        <w:rPr>
          <w:b/>
          <w:color w:val="2A9D8F"/>
          <w:sz w:val="26"/>
        </w:rPr>
        <w:t>10.4.2 SensMat方法：博物馆敏感文化遗产预防性保护</w:t>
      </w:r>
    </w:p>
    <w:p>
      <w:pPr>
        <w:spacing w:after="80" w:line="360" w:lineRule="auto"/>
        <w:ind w:firstLine="420"/>
      </w:pPr>
      <w:r>
        <w:rPr>
          <w:sz w:val="22"/>
        </w:rPr>
        <w:t>SensMat方法的核心创新是将HBIM模型作为数据集成平台——三维几何模型记录建筑/文物的空间信息，IoT传感器数据实时更新到模型对应位置，AI分析结果以可视化方式叠加在模型上。这种"模型+数据+分析"的集成方式使管理者能够在三维空间中直观地查看遗产状态和风险分布。</w:t>
      </w:r>
    </w:p>
    <w:p>
      <w:pPr>
        <w:spacing w:before="160" w:after="80"/>
      </w:pPr>
      <w:r>
        <w:rPr>
          <w:b/>
          <w:color w:val="2A9D8F"/>
          <w:sz w:val="26"/>
        </w:rPr>
        <w:t>10.4.3 数字孪生与文化遗产全生命周期管理</w:t>
      </w:r>
    </w:p>
    <w:p>
      <w:pPr>
        <w:spacing w:after="80" w:line="360" w:lineRule="auto"/>
        <w:ind w:firstLine="420"/>
      </w:pPr>
      <w:r>
        <w:rPr>
          <w:sz w:val="22"/>
        </w:rPr>
        <w:t>数字孪生（Digital Twin）概念为文化遗产保护提供了新范式——在数字空间中创建遗产的"实时镜像"，不仅记录其当前状态，还持续同步其变化。IoT技术是数字孪生的数据通道——传感器网络将物理遗产的状态实时传输到数字模型，使数字孪生体与物理实体保持同步。</w:t>
      </w:r>
    </w:p>
    <w:p>
      <w:pPr>
        <w:spacing w:after="80" w:line="360" w:lineRule="auto"/>
        <w:ind w:firstLine="420"/>
      </w:pPr>
      <w:r>
        <w:rPr>
          <w:sz w:val="22"/>
        </w:rPr>
        <w:t>Moraitou等人（2018）在研究文化遗产收藏的语义预防性保护时，提出利用语义技术增强预防性保护的数据管理——将传感器数据、文物材质信息和劣化机理知识进行语义关联，实现"知识驱动"的智能预警[9]。</w:t>
      </w:r>
    </w:p>
    <w:p>
      <w:pPr>
        <w:spacing w:before="200" w:after="120"/>
      </w:pPr>
      <w:r>
        <w:rPr>
          <w:b/>
          <w:color w:val="457B9D"/>
          <w:sz w:val="30"/>
        </w:rPr>
        <w:t>10.5 智慧遗产平台建设</w:t>
      </w:r>
    </w:p>
    <w:p>
      <w:pPr>
        <w:spacing w:before="160" w:after="80"/>
      </w:pPr>
      <w:r>
        <w:rPr>
          <w:b/>
          <w:color w:val="2A9D8F"/>
          <w:sz w:val="26"/>
        </w:rPr>
        <w:t>10.5.1 智慧城市中的文化遗产监测平台</w:t>
      </w:r>
    </w:p>
    <w:p>
      <w:pPr>
        <w:spacing w:after="80" w:line="360" w:lineRule="auto"/>
        <w:ind w:firstLine="420"/>
      </w:pPr>
      <w:r>
        <w:rPr>
          <w:sz w:val="22"/>
        </w:rPr>
        <w:t>Plaza-Hernández和Rodríguez（2021）提出的"智慧遗产"（Smart-Heritage）平台将文化遗产监测纳入智慧城市整体框架[6]。这一思路的优势在于：文化遗产监测可以共享智慧城市的基础设施（通信网络、数据中心）；城市环境数据（空气质量、交通振动）可以为遗产保护提供上下文信息；遗产监测数据也可以反哺城市管理。</w:t>
      </w:r>
    </w:p>
    <w:p>
      <w:pPr>
        <w:spacing w:before="160" w:after="80"/>
      </w:pPr>
      <w:r>
        <w:rPr>
          <w:b/>
          <w:color w:val="2A9D8F"/>
          <w:sz w:val="26"/>
        </w:rPr>
        <w:t>10.5.2 多源数据融合与语义预防性保护</w:t>
      </w:r>
    </w:p>
    <w:p>
      <w:pPr>
        <w:spacing w:after="80" w:line="360" w:lineRule="auto"/>
        <w:ind w:firstLine="420"/>
      </w:pPr>
      <w:r>
        <w:rPr>
          <w:sz w:val="22"/>
        </w:rPr>
        <w:t>现代文化遗产监测平台需要融合多源数据：IoT传感器数据（实时环境参数）、三维模型数据（空间信息）、历史档案数据（修缮记录）、气象数据（外部环境）等。多源数据融合的关键挑战是数据格式统一和语义对齐。Moraitou等人（2018）提出的语义预防性保护方法为此提供了思路——利用本体和知识图谱技术将多源数据进行语义关联[9]。</w:t>
      </w:r>
    </w:p>
    <w:p>
      <w:pPr>
        <w:spacing w:before="160" w:after="80"/>
      </w:pPr>
      <w:r>
        <w:rPr>
          <w:b/>
          <w:color w:val="2A9D8F"/>
          <w:sz w:val="26"/>
        </w:rPr>
        <w:t>10.5.3 中国文化遗产物联网监测综合平台实践</w:t>
      </w:r>
    </w:p>
    <w:p>
      <w:pPr>
        <w:spacing w:after="80" w:line="360" w:lineRule="auto"/>
        <w:ind w:firstLine="420"/>
      </w:pPr>
      <w:r>
        <w:rPr>
          <w:sz w:val="22"/>
        </w:rPr>
        <w:t>中国学者（2016）在介绍文化遗产物联网监测综合平台时，展示了国内遗产监测的实践进展[10]。林树笋等人（2013）的研究更早地探索了基于物联网技术的文物保存环境监测系统[3]。当前，中国已在多个世界遗产地和一级博物馆部署了IoT监测系统，如莫高窟的环境监测预警系统、故宫的古建筑结构监测系统等。</w:t>
      </w:r>
    </w:p>
    <w:p>
      <w:pPr>
        <w:spacing w:before="200" w:after="120"/>
      </w:pPr>
      <w:r>
        <w:rPr>
          <w:b/>
          <w:color w:val="457B9D"/>
          <w:sz w:val="30"/>
        </w:rPr>
        <w:t>本章小结</w:t>
      </w:r>
    </w:p>
    <w:p>
      <w:pPr>
        <w:spacing w:after="80" w:line="360" w:lineRule="auto"/>
        <w:ind w:firstLine="420"/>
      </w:pPr>
      <w:r>
        <w:rPr>
          <w:sz w:val="22"/>
        </w:rPr>
        <w:t>本章深入D.I.G.I.T.框架的实践应用层，系统介绍了IoT与文化遗产监测预警技术。预防性保护理念标志着文化遗产保护从"被动抢救"到"主动预防"的范式转变。IoT技术通过温湿度、光照、气体、振动等传感器网络实现文化遗产环境的实时监测。AI+IoT融合方案使预警系统从简单的"超阈值报警"升级为智能化的多参数协同评估。HBIM与数字孪生技术将空间信息、实时数据和分析结果集成于统一平台，实现了遗产的全生命周期管理。智慧遗产平台将文化遗产监测纳入智慧城市框架，多源数据融合和语义预防性保护是当前技术发展的前沿方向。</w:t>
      </w:r>
    </w:p>
    <w:p>
      <w:pPr>
        <w:spacing w:before="200" w:after="120"/>
      </w:pPr>
      <w:r>
        <w:rPr>
          <w:b/>
          <w:color w:val="457B9D"/>
          <w:sz w:val="30"/>
        </w:rPr>
        <w:t>思考题</w:t>
      </w:r>
    </w:p>
    <w:p>
      <w:pPr>
        <w:pStyle w:val="ListNumber"/>
      </w:pPr>
      <w:r>
        <w:rPr>
          <w:b/>
          <w:sz w:val="22"/>
        </w:rPr>
        <w:t>（识记）</w:t>
      </w:r>
      <w:r>
        <w:rPr>
          <w:sz w:val="22"/>
        </w:rPr>
        <w:t xml:space="preserve"> 文化遗产监测的六大环境参数是什么？各对什么材质的文物有影响？</w:t>
      </w:r>
    </w:p>
    <w:p>
      <w:pPr>
        <w:pStyle w:val="ListNumber"/>
      </w:pPr>
      <w:r>
        <w:rPr>
          <w:b/>
          <w:sz w:val="22"/>
        </w:rPr>
        <w:t>（理解）</w:t>
      </w:r>
      <w:r>
        <w:rPr>
          <w:sz w:val="22"/>
        </w:rPr>
        <w:t xml:space="preserve"> 解释"预防性保护"与"抢救性保护"的本质区别，以及IoT技术如何使预防性保护成为可能。</w:t>
      </w:r>
    </w:p>
    <w:p>
      <w:pPr>
        <w:pStyle w:val="ListNumber"/>
      </w:pPr>
      <w:r>
        <w:rPr>
          <w:b/>
          <w:sz w:val="22"/>
        </w:rPr>
        <w:t>（应用）</w:t>
      </w:r>
      <w:r>
        <w:rPr>
          <w:sz w:val="22"/>
        </w:rPr>
        <w:t xml:space="preserve"> 请为一座木质结构古建筑设计IoT监测方案，包含传感器选型、网络架构和预警机制。</w:t>
      </w:r>
    </w:p>
    <w:p>
      <w:pPr>
        <w:pStyle w:val="ListNumber"/>
      </w:pPr>
      <w:r>
        <w:rPr>
          <w:b/>
          <w:sz w:val="22"/>
        </w:rPr>
        <w:t>（分析）</w:t>
      </w:r>
      <w:r>
        <w:rPr>
          <w:sz w:val="22"/>
        </w:rPr>
        <w:t xml:space="preserve"> 分析AI+IoT融合方案相比传统"超阈值报警"模式的优势，指出实现融合面临的技术挑战。</w:t>
      </w:r>
    </w:p>
    <w:p>
      <w:pPr>
        <w:pStyle w:val="ListNumber"/>
      </w:pPr>
      <w:r>
        <w:rPr>
          <w:b/>
          <w:sz w:val="22"/>
        </w:rPr>
        <w:t>（评价）</w:t>
      </w:r>
      <w:r>
        <w:rPr>
          <w:sz w:val="22"/>
        </w:rPr>
        <w:t xml:space="preserve"> 评估HBIM与数字孪生在文化遗产保护中的应用价值，分析其推广面临的成本和人才障碍。</w:t>
      </w:r>
    </w:p>
    <w:p>
      <w:pPr>
        <w:pStyle w:val="ListNumber"/>
      </w:pPr>
      <w:r>
        <w:rPr>
          <w:b/>
          <w:sz w:val="22"/>
        </w:rPr>
        <w:t>（创造）</w:t>
      </w:r>
      <w:r>
        <w:rPr>
          <w:sz w:val="22"/>
        </w:rPr>
        <w:t xml:space="preserve"> 请设计一个"智慧遗产平台"的系统架构方案，说明如何整合IoT监测、三维模型、AI分析和公众服务功能。</w:t>
      </w:r>
    </w:p>
    <w:p>
      <w:pPr>
        <w:spacing w:before="160" w:after="80"/>
      </w:pPr>
      <w:r>
        <w:rPr>
          <w:b/>
          <w:color w:val="2A9D8F"/>
          <w:sz w:val="26"/>
        </w:rPr>
        <w:t>10.6 IoT文化遗产监测的案例深度分析</w:t>
      </w:r>
    </w:p>
    <w:p>
      <w:pPr>
        <w:spacing w:before="120"/>
      </w:pPr>
      <w:r>
        <w:rPr>
          <w:b/>
          <w:sz w:val="22"/>
        </w:rPr>
        <w:t>10.6.1 莫高窟环境监测预警系统</w:t>
      </w:r>
    </w:p>
    <w:p>
      <w:pPr>
        <w:spacing w:after="80" w:line="360" w:lineRule="auto"/>
        <w:ind w:firstLine="420"/>
      </w:pPr>
      <w:r>
        <w:rPr>
          <w:sz w:val="22"/>
        </w:rPr>
        <w:t>敦煌莫高窟的IoT环境监测系统是中国文化遗产监测的标杆案例。系统在洞窟内部署了温湿度、CO₂、光照等传感器，实时监测微环境变化。当游客量增加导致CO₂浓度超标时，系统自动发出预警，管理人员据此调整参观流量。林树笋等人（2013）在研究基于物联网技术的文物保存环境监测系统时，提出了类似的监测架构[11]。</w:t>
      </w:r>
    </w:p>
    <w:p>
      <w:pPr>
        <w:spacing w:after="80" w:line="360" w:lineRule="auto"/>
        <w:ind w:firstLine="420"/>
      </w:pPr>
      <w:r>
        <w:rPr>
          <w:sz w:val="22"/>
        </w:rPr>
        <w:t>莫高窟监测系统的特色是"环境-游客-文物"三位一体联动——不仅监测环境参数，还监测游客流量和文物状态，三者之间形成动态调控闭环。这种系统性思路超越了单一参数监测，体现了D.I.G.I.T.框架中I（智能）维度与D维度的协同。</w:t>
      </w:r>
    </w:p>
    <w:p>
      <w:pPr>
        <w:spacing w:before="120"/>
      </w:pPr>
      <w:r>
        <w:rPr>
          <w:b/>
          <w:sz w:val="22"/>
        </w:rPr>
        <w:t>10.6.2 故宫古建筑结构监测</w:t>
      </w:r>
    </w:p>
    <w:p>
      <w:pPr>
        <w:spacing w:after="80" w:line="360" w:lineRule="auto"/>
        <w:ind w:firstLine="420"/>
      </w:pPr>
      <w:r>
        <w:rPr>
          <w:sz w:val="22"/>
        </w:rPr>
        <w:t>故宫古建筑的结构监测系统关注建筑物的结构健康——通过应变计、倾角仪和位移传感器监测柱子倾斜、梁架变形和基础沉降。Casillo等人（2024）在提出历史建筑IoT保护框架时，将结构健康监测与环境监测集成为一体化系统[12]。故宫的实践与这一理念一致——结构监测与环境监测数据在同一平台上融合分析，支持综合性的预防性保护决策。</w:t>
      </w:r>
    </w:p>
    <w:p>
      <w:pPr>
        <w:spacing w:before="120"/>
      </w:pPr>
      <w:r>
        <w:rPr>
          <w:b/>
          <w:sz w:val="22"/>
        </w:rPr>
        <w:t>10.6.3 意大利历史建筑预测性保护</w:t>
      </w:r>
    </w:p>
    <w:p>
      <w:pPr>
        <w:spacing w:after="80" w:line="360" w:lineRule="auto"/>
        <w:ind w:firstLine="420"/>
      </w:pPr>
      <w:r>
        <w:rPr>
          <w:sz w:val="22"/>
        </w:rPr>
        <w:t>Limongiello等人（2022）在研究意大利历史建筑预测性保护时，实验了基于云端访问的持续实时在线监测系统[13]。该系统的创新之处在于"预测性"——不仅监测当前状态，还利用历史数据训练预测模型，预判未来可能出现的结构问题。这种从"实时监测"到"预测预警"的跃迁是IoT遗产监测的发展方向。</w:t>
      </w:r>
    </w:p>
    <w:p>
      <w:pPr>
        <w:spacing w:before="160" w:after="80"/>
      </w:pPr>
      <w:r>
        <w:rPr>
          <w:b/>
          <w:color w:val="2A9D8F"/>
          <w:sz w:val="26"/>
        </w:rPr>
        <w:t>10.7 智慧遗产平台的技术架构</w:t>
      </w:r>
    </w:p>
    <w:p>
      <w:pPr>
        <w:spacing w:before="120"/>
      </w:pPr>
      <w:r>
        <w:rPr>
          <w:b/>
          <w:sz w:val="22"/>
        </w:rPr>
        <w:t>10.7.1 平台架构设计</w:t>
      </w:r>
    </w:p>
    <w:p>
      <w:pPr>
        <w:spacing w:after="80" w:line="360" w:lineRule="auto"/>
        <w:ind w:firstLine="420"/>
      </w:pPr>
      <w:r>
        <w:rPr>
          <w:sz w:val="22"/>
        </w:rPr>
        <w:t>智慧遗产平台的技术架构可分为五层：</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D9E2EC"/>
          </w:tcPr>
          <w:p>
            <w:pPr>
              <w:spacing w:before="40" w:after="40"/>
            </w:pPr>
            <w:r>
              <w:rPr>
                <w:b/>
                <w:sz w:val="20"/>
              </w:rPr>
            </w:r>
            <w:r>
              <w:rPr>
                <w:b/>
                <w:sz w:val="20"/>
              </w:rPr>
              <w:t>层次</w:t>
            </w:r>
          </w:p>
        </w:tc>
        <w:tc>
          <w:tcPr>
            <w:tcW w:type="dxa" w:w="2835"/>
            <w:shd w:val="clear" w:color="auto" w:fill="D9E2EC"/>
          </w:tcPr>
          <w:p>
            <w:pPr>
              <w:spacing w:before="40" w:after="40"/>
            </w:pPr>
            <w:r>
              <w:rPr>
                <w:b/>
                <w:sz w:val="20"/>
              </w:rPr>
            </w:r>
            <w:r>
              <w:rPr>
                <w:b/>
                <w:sz w:val="20"/>
              </w:rPr>
              <w:t>功能</w:t>
            </w:r>
          </w:p>
        </w:tc>
        <w:tc>
          <w:tcPr>
            <w:tcW w:type="dxa" w:w="2835"/>
            <w:shd w:val="clear" w:color="auto" w:fill="D9E2EC"/>
          </w:tcPr>
          <w:p>
            <w:pPr>
              <w:spacing w:before="40" w:after="40"/>
            </w:pPr>
            <w:r>
              <w:rPr>
                <w:b/>
                <w:sz w:val="20"/>
              </w:rPr>
            </w:r>
            <w:r>
              <w:rPr>
                <w:b/>
                <w:sz w:val="20"/>
              </w:rPr>
              <w:t>技术组件</w:t>
            </w:r>
          </w:p>
        </w:tc>
      </w:tr>
      <w:tr>
        <w:tc>
          <w:tcPr>
            <w:tcW w:type="dxa" w:w="2835"/>
          </w:tcPr>
          <w:p>
            <w:pPr>
              <w:spacing w:before="40" w:after="40"/>
            </w:pPr>
            <w:r>
              <w:rPr>
                <w:sz w:val="20"/>
              </w:rPr>
            </w:r>
            <w:r>
              <w:rPr>
                <w:sz w:val="20"/>
              </w:rPr>
              <w:t>感知层</w:t>
            </w:r>
          </w:p>
        </w:tc>
        <w:tc>
          <w:tcPr>
            <w:tcW w:type="dxa" w:w="2835"/>
          </w:tcPr>
          <w:p>
            <w:pPr>
              <w:spacing w:before="40" w:after="40"/>
            </w:pPr>
            <w:r>
              <w:rPr>
                <w:sz w:val="20"/>
              </w:rPr>
            </w:r>
            <w:r>
              <w:rPr>
                <w:sz w:val="20"/>
              </w:rPr>
              <w:t>数据采集</w:t>
            </w:r>
          </w:p>
        </w:tc>
        <w:tc>
          <w:tcPr>
            <w:tcW w:type="dxa" w:w="2835"/>
          </w:tcPr>
          <w:p>
            <w:pPr>
              <w:spacing w:before="40" w:after="40"/>
            </w:pPr>
            <w:r>
              <w:rPr>
                <w:sz w:val="20"/>
              </w:rPr>
            </w:r>
            <w:r>
              <w:rPr>
                <w:sz w:val="20"/>
              </w:rPr>
              <w:t>传感器、摄像头、RFID</w:t>
            </w:r>
          </w:p>
        </w:tc>
      </w:tr>
      <w:tr>
        <w:tc>
          <w:tcPr>
            <w:tcW w:type="dxa" w:w="2835"/>
            <w:shd w:val="clear" w:color="auto" w:fill="F5F5F5"/>
          </w:tcPr>
          <w:p>
            <w:pPr>
              <w:spacing w:before="40" w:after="40"/>
            </w:pPr>
            <w:r>
              <w:rPr>
                <w:sz w:val="20"/>
              </w:rPr>
            </w:r>
            <w:r>
              <w:rPr>
                <w:sz w:val="20"/>
              </w:rPr>
              <w:t>传输层</w:t>
            </w:r>
          </w:p>
        </w:tc>
        <w:tc>
          <w:tcPr>
            <w:tcW w:type="dxa" w:w="2835"/>
            <w:shd w:val="clear" w:color="auto" w:fill="F5F5F5"/>
          </w:tcPr>
          <w:p>
            <w:pPr>
              <w:spacing w:before="40" w:after="40"/>
            </w:pPr>
            <w:r>
              <w:rPr>
                <w:sz w:val="20"/>
              </w:rPr>
            </w:r>
            <w:r>
              <w:rPr>
                <w:sz w:val="20"/>
              </w:rPr>
              <w:t>数据传输</w:t>
            </w:r>
          </w:p>
        </w:tc>
        <w:tc>
          <w:tcPr>
            <w:tcW w:type="dxa" w:w="2835"/>
            <w:shd w:val="clear" w:color="auto" w:fill="F5F5F5"/>
          </w:tcPr>
          <w:p>
            <w:pPr>
              <w:spacing w:before="40" w:after="40"/>
            </w:pPr>
            <w:r>
              <w:rPr>
                <w:sz w:val="20"/>
              </w:rPr>
            </w:r>
            <w:r>
              <w:rPr>
                <w:sz w:val="20"/>
              </w:rPr>
              <w:t>LoRa/NB-IoT/Wi-Fi/5G</w:t>
            </w:r>
          </w:p>
        </w:tc>
      </w:tr>
      <w:tr>
        <w:tc>
          <w:tcPr>
            <w:tcW w:type="dxa" w:w="2835"/>
          </w:tcPr>
          <w:p>
            <w:pPr>
              <w:spacing w:before="40" w:after="40"/>
            </w:pPr>
            <w:r>
              <w:rPr>
                <w:sz w:val="20"/>
              </w:rPr>
            </w:r>
            <w:r>
              <w:rPr>
                <w:sz w:val="20"/>
              </w:rPr>
              <w:t>数据层</w:t>
            </w:r>
          </w:p>
        </w:tc>
        <w:tc>
          <w:tcPr>
            <w:tcW w:type="dxa" w:w="2835"/>
          </w:tcPr>
          <w:p>
            <w:pPr>
              <w:spacing w:before="40" w:after="40"/>
            </w:pPr>
            <w:r>
              <w:rPr>
                <w:sz w:val="20"/>
              </w:rPr>
            </w:r>
            <w:r>
              <w:rPr>
                <w:sz w:val="20"/>
              </w:rPr>
              <w:t>数据存储与管理</w:t>
            </w:r>
          </w:p>
        </w:tc>
        <w:tc>
          <w:tcPr>
            <w:tcW w:type="dxa" w:w="2835"/>
          </w:tcPr>
          <w:p>
            <w:pPr>
              <w:spacing w:before="40" w:after="40"/>
            </w:pPr>
            <w:r>
              <w:rPr>
                <w:sz w:val="20"/>
              </w:rPr>
            </w:r>
            <w:r>
              <w:rPr>
                <w:sz w:val="20"/>
              </w:rPr>
              <w:t>时序数据库、关系数据库</w:t>
            </w:r>
          </w:p>
        </w:tc>
      </w:tr>
      <w:tr>
        <w:tc>
          <w:tcPr>
            <w:tcW w:type="dxa" w:w="2835"/>
            <w:shd w:val="clear" w:color="auto" w:fill="F5F5F5"/>
          </w:tcPr>
          <w:p>
            <w:pPr>
              <w:spacing w:before="40" w:after="40"/>
            </w:pPr>
            <w:r>
              <w:rPr>
                <w:sz w:val="20"/>
              </w:rPr>
            </w:r>
            <w:r>
              <w:rPr>
                <w:sz w:val="20"/>
              </w:rPr>
              <w:t>分析层</w:t>
            </w:r>
          </w:p>
        </w:tc>
        <w:tc>
          <w:tcPr>
            <w:tcW w:type="dxa" w:w="2835"/>
            <w:shd w:val="clear" w:color="auto" w:fill="F5F5F5"/>
          </w:tcPr>
          <w:p>
            <w:pPr>
              <w:spacing w:before="40" w:after="40"/>
            </w:pPr>
            <w:r>
              <w:rPr>
                <w:sz w:val="20"/>
              </w:rPr>
            </w:r>
            <w:r>
              <w:rPr>
                <w:sz w:val="20"/>
              </w:rPr>
              <w:t>数据分析与建模</w:t>
            </w:r>
          </w:p>
        </w:tc>
        <w:tc>
          <w:tcPr>
            <w:tcW w:type="dxa" w:w="2835"/>
            <w:shd w:val="clear" w:color="auto" w:fill="F5F5F5"/>
          </w:tcPr>
          <w:p>
            <w:pPr>
              <w:spacing w:before="40" w:after="40"/>
            </w:pPr>
            <w:r>
              <w:rPr>
                <w:sz w:val="20"/>
              </w:rPr>
            </w:r>
            <w:r>
              <w:rPr>
                <w:sz w:val="20"/>
              </w:rPr>
              <w:t>AI模型、规则引擎、GIS</w:t>
            </w:r>
          </w:p>
        </w:tc>
      </w:tr>
      <w:tr>
        <w:tc>
          <w:tcPr>
            <w:tcW w:type="dxa" w:w="2835"/>
          </w:tcPr>
          <w:p>
            <w:pPr>
              <w:spacing w:before="40" w:after="40"/>
            </w:pPr>
            <w:r>
              <w:rPr>
                <w:sz w:val="20"/>
              </w:rPr>
            </w:r>
            <w:r>
              <w:rPr>
                <w:sz w:val="20"/>
              </w:rPr>
              <w:t>应用层</w:t>
            </w:r>
          </w:p>
        </w:tc>
        <w:tc>
          <w:tcPr>
            <w:tcW w:type="dxa" w:w="2835"/>
          </w:tcPr>
          <w:p>
            <w:pPr>
              <w:spacing w:before="40" w:after="40"/>
            </w:pPr>
            <w:r>
              <w:rPr>
                <w:sz w:val="20"/>
              </w:rPr>
            </w:r>
            <w:r>
              <w:rPr>
                <w:sz w:val="20"/>
              </w:rPr>
              <w:t>用户交互与决策</w:t>
            </w:r>
          </w:p>
        </w:tc>
        <w:tc>
          <w:tcPr>
            <w:tcW w:type="dxa" w:w="2835"/>
          </w:tcPr>
          <w:p>
            <w:pPr>
              <w:spacing w:before="40" w:after="40"/>
            </w:pPr>
            <w:r>
              <w:rPr>
                <w:sz w:val="20"/>
              </w:rPr>
            </w:r>
            <w:r>
              <w:rPr>
                <w:sz w:val="20"/>
              </w:rPr>
              <w:t>可视化大屏、移动应用、API</w:t>
            </w:r>
          </w:p>
        </w:tc>
      </w:tr>
    </w:tbl>
    <w:p>
      <w:pPr>
        <w:spacing w:before="120"/>
      </w:pPr>
      <w:r>
        <w:rPr>
          <w:b/>
          <w:sz w:val="22"/>
        </w:rPr>
        <w:t>10.7.2 多源数据融合</w:t>
      </w:r>
    </w:p>
    <w:p>
      <w:pPr>
        <w:spacing w:after="80" w:line="360" w:lineRule="auto"/>
        <w:ind w:firstLine="420"/>
      </w:pPr>
      <w:r>
        <w:rPr>
          <w:sz w:val="22"/>
        </w:rPr>
        <w:t>智慧遗产平台需要融合多源数据：IoT传感器数据（实时环境参数）、三维模型数据（空间信息）、历史档案数据（修缮记录）、气象数据（外部环境）、游客行为数据（流量和轨迹）。Moraitou等人（2018）提出的语义预防性保护方法为多源数据融合提供了思路——利用本体和知识图谱技术将不同来源的数据进行语义关联[14]。</w:t>
      </w:r>
    </w:p>
    <w:p>
      <w:pPr>
        <w:spacing w:before="120"/>
      </w:pPr>
      <w:r>
        <w:rPr>
          <w:b/>
          <w:sz w:val="22"/>
        </w:rPr>
        <w:t>10.7.3 边缘计算与云端协同</w:t>
      </w:r>
    </w:p>
    <w:p>
      <w:pPr>
        <w:spacing w:after="80" w:line="360" w:lineRule="auto"/>
        <w:ind w:firstLine="420"/>
      </w:pPr>
      <w:r>
        <w:rPr>
          <w:sz w:val="22"/>
        </w:rPr>
        <w:t>对于大规模遗产监测场景（如长城、丝绸之路遗址），传感器数量多、分布广，将所有数据上传云端处理可能导致延迟和带宽问题。边缘计算方案——在传感器附近部署边缘节点进行初步数据处理——可以有效降低传输延迟和带宽消耗。Qin等人（2024）在研究AI驱动的文物预警系统时，提出了"边缘-云端"协同的架构——边缘节点负责实时预警，云端负责深度分析和模型训练[15]。</w:t>
      </w:r>
    </w:p>
    <w:p>
      <w:pPr>
        <w:spacing w:before="160" w:after="80"/>
      </w:pPr>
      <w:r>
        <w:rPr>
          <w:b/>
          <w:color w:val="2A9D8F"/>
          <w:sz w:val="26"/>
        </w:rPr>
        <w:t>10.8 预防性保护的经济分析</w:t>
      </w:r>
    </w:p>
    <w:p>
      <w:pPr>
        <w:spacing w:before="120"/>
      </w:pPr>
      <w:r>
        <w:rPr>
          <w:b/>
          <w:sz w:val="22"/>
        </w:rPr>
        <w:t>10.8.1 投入产出分析</w:t>
      </w:r>
    </w:p>
    <w:p>
      <w:pPr>
        <w:spacing w:after="80" w:line="360" w:lineRule="auto"/>
        <w:ind w:firstLine="420"/>
      </w:pPr>
      <w:r>
        <w:rPr>
          <w:sz w:val="22"/>
        </w:rPr>
        <w:t>预防性保护的经济学论据是"投入远小于回报"——一套IoT监测系统的投入（数十万元）远低于一次抢救性修复的成本（可能数百万元）。Prasanth等人（2021）在研究IoT环境监测系统保护遗产文物时，指出博物馆藏品保存的环境监测投入只占运营预算的很小比例，却能显著降低文物损坏风险[16]。</w:t>
      </w:r>
    </w:p>
    <w:p>
      <w:pPr>
        <w:spacing w:before="120"/>
      </w:pPr>
      <w:r>
        <w:rPr>
          <w:b/>
          <w:sz w:val="22"/>
        </w:rPr>
        <w:t>10.8.2 风险评估模型</w:t>
      </w:r>
    </w:p>
    <w:p>
      <w:pPr>
        <w:spacing w:after="80" w:line="360" w:lineRule="auto"/>
        <w:ind w:firstLine="420"/>
      </w:pPr>
      <w:r>
        <w:rPr>
          <w:sz w:val="22"/>
        </w:rPr>
        <w:t>预防性保护决策需要量化风险评估——在不同环境条件下，文物发生特定劣化的概率是多少？这需要建立"环境因素-劣化机制-发生概率"的量化模型。Casillo等人（2024）的IoT保护框架包含了风险评估模块，利用历史监测数据和劣化记录训练风险预测模型[12]。</w:t>
      </w:r>
    </w:p>
    <w:p>
      <w:pPr>
        <w:spacing w:before="120"/>
      </w:pPr>
      <w:r>
        <w:rPr>
          <w:b/>
          <w:sz w:val="22"/>
        </w:rPr>
        <w:t>10.8.3 成本效益优化的监测策略</w:t>
      </w:r>
    </w:p>
    <w:p>
      <w:pPr>
        <w:spacing w:after="80" w:line="360" w:lineRule="auto"/>
        <w:ind w:firstLine="420"/>
      </w:pPr>
      <w:r>
        <w:rPr>
          <w:sz w:val="22"/>
        </w:rPr>
        <w:t>对于资源有限的中小型遗产机构，全覆盖的IoT监测可能不现实。成本效益优化的策略是"分级监测"——对高价值和高风险遗产部署密集传感器网络，对低风险遗产部署稀疏监测或定期巡检。这种分级策略确保有限资源用在最需要保护的对象上。</w:t>
      </w:r>
    </w:p>
    <w:p>
      <w:pPr>
        <w:spacing w:before="160" w:after="80"/>
      </w:pPr>
      <w:r>
        <w:rPr>
          <w:b/>
          <w:color w:val="2A9D8F"/>
          <w:sz w:val="26"/>
        </w:rPr>
        <w:t>10.9 IoT监测中的数据科学</w:t>
      </w:r>
    </w:p>
    <w:p>
      <w:pPr>
        <w:spacing w:before="120"/>
      </w:pPr>
      <w:r>
        <w:rPr>
          <w:b/>
          <w:sz w:val="22"/>
        </w:rPr>
        <w:t>10.9.1 时序数据处理</w:t>
      </w:r>
    </w:p>
    <w:p>
      <w:pPr>
        <w:spacing w:after="80" w:line="360" w:lineRule="auto"/>
        <w:ind w:firstLine="420"/>
      </w:pPr>
      <w:r>
        <w:rPr>
          <w:sz w:val="22"/>
        </w:rPr>
        <w:t>文化遗产IoT监测产生大量时序数据——温湿度、光照、振动等参数以固定频率持续采集。时序数据处理的核心任务包括：异常检测（识别异常读数——可能指示传感器故障或环境突变）、趋势分析（识别长期变化趋势——如季节性温湿度波动）、周期性分析（识别日/周/季节周期模式）。</w:t>
      </w:r>
    </w:p>
    <w:p>
      <w:pPr>
        <w:spacing w:after="80" w:line="360" w:lineRule="auto"/>
        <w:ind w:firstLine="420"/>
      </w:pPr>
      <w:r>
        <w:rPr>
          <w:sz w:val="22"/>
        </w:rPr>
        <w:t>Qin等人（2024）的AI预警系统利用LSTM（长短期记忆网络）处理时序环境数据，预测未来数小时的环境变化趋势，在参数超阈值前发出预警[15]。这种"预测性预警"相比传统的"阈值触发预警"能够争取更多响应时间。</w:t>
      </w:r>
    </w:p>
    <w:p>
      <w:pPr>
        <w:spacing w:before="120"/>
      </w:pPr>
      <w:r>
        <w:rPr>
          <w:b/>
          <w:sz w:val="22"/>
        </w:rPr>
        <w:t>10.9.2 多传感器数据融合</w:t>
      </w:r>
    </w:p>
    <w:p>
      <w:pPr>
        <w:spacing w:after="80" w:line="360" w:lineRule="auto"/>
        <w:ind w:firstLine="420"/>
      </w:pPr>
      <w:r>
        <w:rPr>
          <w:sz w:val="22"/>
        </w:rPr>
        <w:t>单一传感器只能测量一个参数，而文物劣化是多因素协同作用的结果。多传感器数据融合将温湿度、光照、气体浓度等多参数数据综合分析，评估环境对文物的综合影响。Casillo等人（2024）的IoT保护框架包含了多传感器数据融合模块，利用加权平均、贝叶斯推理或深度学习方法综合多源传感器数据[12]。</w:t>
      </w:r>
    </w:p>
    <w:p>
      <w:pPr>
        <w:spacing w:before="120"/>
      </w:pPr>
      <w:r>
        <w:rPr>
          <w:b/>
          <w:sz w:val="22"/>
        </w:rPr>
        <w:t>10.9.3 边缘智能</w:t>
      </w:r>
    </w:p>
    <w:p>
      <w:pPr>
        <w:spacing w:after="80" w:line="360" w:lineRule="auto"/>
        <w:ind w:firstLine="420"/>
      </w:pPr>
      <w:r>
        <w:rPr>
          <w:sz w:val="22"/>
        </w:rPr>
        <w:t>边缘智能（Edge AI）将AI推理能力部署在靠近传感器的边缘节点上，实现本地实时分析。优势在于：降低数据传输延迟（毫秒级响应）、减少带宽消耗（仅上传分析结果而非原始数据）、保护数据隐私（敏感数据不出本地）。对于偏远遗产地（如长城烽火台、丝绸之路遗址），边缘智能可以克服网络覆盖不足的限制。</w:t>
      </w:r>
    </w:p>
    <w:p>
      <w:pPr>
        <w:spacing w:before="160" w:after="80"/>
      </w:pPr>
      <w:r>
        <w:rPr>
          <w:b/>
          <w:color w:val="2A9D8F"/>
          <w:sz w:val="26"/>
        </w:rPr>
        <w:t>10.10 预防性保护的管理体系</w:t>
      </w:r>
    </w:p>
    <w:p>
      <w:pPr>
        <w:spacing w:before="120"/>
      </w:pPr>
      <w:r>
        <w:rPr>
          <w:b/>
          <w:sz w:val="22"/>
        </w:rPr>
        <w:t>10.10.1 监测数据的决策支持</w:t>
      </w:r>
    </w:p>
    <w:p>
      <w:pPr>
        <w:spacing w:after="80" w:line="360" w:lineRule="auto"/>
        <w:ind w:firstLine="420"/>
      </w:pPr>
      <w:r>
        <w:rPr>
          <w:sz w:val="22"/>
        </w:rPr>
        <w:t>IoT监测产生的数据需要转化为保护决策——数据本身不会"告诉"管理者该做什么，需要建立"数据→信息→知识→决策"的转化链。Pepe等人（2021）的SensMat方法将HBIM模型作为决策支持平台——三维模型直观显示风险分布位置，传感器数据实时更新到模型对应区域，AI分析结果以红黄绿灯形式标注风险等级[26]。</w:t>
      </w:r>
    </w:p>
    <w:p>
      <w:pPr>
        <w:spacing w:before="120"/>
      </w:pPr>
      <w:r>
        <w:rPr>
          <w:b/>
          <w:sz w:val="22"/>
        </w:rPr>
        <w:t>10.10.2 多机构协同监测</w:t>
      </w:r>
    </w:p>
    <w:p>
      <w:pPr>
        <w:spacing w:after="80" w:line="360" w:lineRule="auto"/>
        <w:ind w:firstLine="420"/>
      </w:pPr>
      <w:r>
        <w:rPr>
          <w:sz w:val="22"/>
        </w:rPr>
        <w:t>大型遗产（如长城、大运河、丝绸之路）跨越多个行政区域，其监测需要多机构协同。Plaza-Hernández和Rodríguez（2021）的"智慧遗产"平台提供了多机构协同的技术框架——各机构维护自己的传感器网络，数据汇聚到统一平台进行分析和决策[27]。</w:t>
      </w:r>
    </w:p>
    <w:p>
      <w:pPr>
        <w:spacing w:before="120"/>
      </w:pPr>
      <w:r>
        <w:rPr>
          <w:b/>
          <w:sz w:val="22"/>
        </w:rPr>
        <w:t>10.10.3 从监测到保护行动的闭环</w:t>
      </w:r>
    </w:p>
    <w:p>
      <w:pPr>
        <w:spacing w:after="80" w:line="360" w:lineRule="auto"/>
        <w:ind w:firstLine="420"/>
      </w:pPr>
      <w:r>
        <w:rPr>
          <w:sz w:val="22"/>
        </w:rPr>
        <w:t>IoT监测的最终目的是指导保护行动。完整的"监测-决策-行动"闭环包括：传感器采集数据→AI分析评估风险→系统发出预警→管理者确认并制定措施→执行保护行动（如调整空调、限制参观人数、启动修复）→监测效果验证。Hinostroza和Tarrillo（2022）在研究文化遗产环境监测WSN时，强调闭环管理是IoT监测系统有效性的关键[28]。</w:t>
      </w:r>
    </w:p>
    <w:p>
      <w:pPr>
        <w:spacing w:before="160" w:after="80"/>
      </w:pPr>
      <w:r>
        <w:rPr>
          <w:b/>
          <w:color w:val="2A9D8F"/>
          <w:sz w:val="26"/>
        </w:rPr>
        <w:t>10.11 遗产监测的国际标准化</w:t>
      </w:r>
    </w:p>
    <w:p>
      <w:pPr>
        <w:spacing w:before="120"/>
      </w:pPr>
      <w:r>
        <w:rPr>
          <w:b/>
          <w:sz w:val="22"/>
        </w:rPr>
        <w:t>10.11.1 监测参数标准化</w:t>
      </w:r>
    </w:p>
    <w:p>
      <w:pPr>
        <w:spacing w:after="80" w:line="360" w:lineRule="auto"/>
        <w:ind w:firstLine="420"/>
      </w:pPr>
      <w:r>
        <w:rPr>
          <w:sz w:val="22"/>
        </w:rPr>
        <w:t>不同遗产机构使用的监测参数和阈值标准不一，影响跨机构数据比较和协同预警。国际标准化应覆盖：传感器精度等级、数据采集频率、数据格式标准、预警阈值设定方法和分级响应流程。</w:t>
      </w:r>
    </w:p>
    <w:p>
      <w:pPr>
        <w:spacing w:after="80" w:line="360" w:lineRule="auto"/>
        <w:ind w:firstLine="420"/>
      </w:pPr>
      <w:r>
        <w:rPr>
          <w:sz w:val="22"/>
        </w:rPr>
        <w:t>Hinostroza和Tarrillo（2022）在研究文化遗产WSN时，指出无线传感器网络的国际标准化需要考虑不同气候带的差异——热带和温带地区的文物劣化机制和监测参数重点不同[28]。</w:t>
      </w:r>
    </w:p>
    <w:p>
      <w:pPr>
        <w:spacing w:before="120"/>
      </w:pPr>
      <w:r>
        <w:rPr>
          <w:b/>
          <w:sz w:val="22"/>
        </w:rPr>
        <w:t>10.11.2 监测数据共享协议</w:t>
      </w:r>
    </w:p>
    <w:p>
      <w:pPr>
        <w:spacing w:after="80" w:line="360" w:lineRule="auto"/>
        <w:ind w:firstLine="420"/>
      </w:pPr>
      <w:r>
        <w:rPr>
          <w:sz w:val="22"/>
        </w:rPr>
        <w:t>跨机构监测数据共享需要建立数据共享协议——明确数据所有权、使用范围、保密义务和责任分担。Plaza-Hernández和Rodríguez（2021）的智慧遗产平台提出了多机构数据共享的技术框架，但法律和制度层面的协议仍需完善[27]。</w:t>
      </w:r>
    </w:p>
    <w:p>
      <w:pPr>
        <w:spacing w:before="160" w:after="80"/>
      </w:pPr>
      <w:r>
        <w:rPr>
          <w:b/>
          <w:color w:val="2A9D8F"/>
          <w:sz w:val="26"/>
        </w:rPr>
        <w:t>10.12 从监测到预测：AI驱动的预测性保护</w:t>
      </w:r>
    </w:p>
    <w:p>
      <w:pPr>
        <w:spacing w:before="120"/>
      </w:pPr>
      <w:r>
        <w:rPr>
          <w:b/>
          <w:sz w:val="22"/>
        </w:rPr>
        <w:t>10.12.1 劣化预测模型</w:t>
      </w:r>
    </w:p>
    <w:p>
      <w:pPr>
        <w:spacing w:after="80" w:line="360" w:lineRule="auto"/>
        <w:ind w:firstLine="420"/>
      </w:pPr>
      <w:r>
        <w:rPr>
          <w:sz w:val="22"/>
        </w:rPr>
        <w:t>预测性保护的核心是劣化预测模型——基于历史监测数据和文物材质信息，预测未来特定时间段的劣化程度和风险概率。Limongiello等人（2022）在意大利历史建筑预测性保护中，利用时间序列分析模型预测结构变形趋势，在变形达到危险阈值前发出预警[13]。</w:t>
      </w:r>
    </w:p>
    <w:p>
      <w:pPr>
        <w:spacing w:before="120"/>
      </w:pPr>
      <w:r>
        <w:rPr>
          <w:b/>
          <w:sz w:val="22"/>
        </w:rPr>
        <w:t>10.12.2 数字孪生驱动的模拟</w:t>
      </w:r>
    </w:p>
    <w:p>
      <w:pPr>
        <w:spacing w:after="80" w:line="360" w:lineRule="auto"/>
        <w:ind w:firstLine="420"/>
      </w:pPr>
      <w:r>
        <w:rPr>
          <w:sz w:val="22"/>
        </w:rPr>
        <w:t>数字孪生技术不仅同步反映遗产当前状态，还可以模拟不同保护方案的效果——如模拟不同温湿度控制策略下文物的劣化速率变化，为保护决策提供"虚拟试验场"。Pepe等人（2021）的SensMat方法将HBIM模型作为模拟平台，可以在虚拟空间中测试不同干预方案的效果[26]。</w:t>
      </w:r>
    </w:p>
    <w:p>
      <w:pPr>
        <w:spacing w:before="160" w:after="80"/>
      </w:pPr>
      <w:r>
        <w:rPr>
          <w:b/>
          <w:color w:val="2A9D8F"/>
          <w:sz w:val="26"/>
        </w:rPr>
        <w:t>10.13 遗产监测的公众参与</w:t>
      </w:r>
    </w:p>
    <w:p>
      <w:pPr>
        <w:spacing w:before="120"/>
      </w:pPr>
      <w:r>
        <w:rPr>
          <w:b/>
          <w:sz w:val="22"/>
        </w:rPr>
        <w:t>10.13.1 公民科学在遗产监测中的应用</w:t>
      </w:r>
    </w:p>
    <w:p>
      <w:pPr>
        <w:spacing w:after="80" w:line="360" w:lineRule="auto"/>
        <w:ind w:firstLine="420"/>
      </w:pPr>
      <w:r>
        <w:rPr>
          <w:sz w:val="22"/>
        </w:rPr>
        <w:t>公民科学（Citizen Science）让普通公众参与科学研究。在文化遗产监测中，公众可以通过手机APP报告遗产状况——如发现古建筑裂缝、壁画脱落或遗址侵蚀。这些"众包监测"数据虽然精度不如专业传感器，但覆盖面远大于专业监测网络。</w:t>
      </w:r>
    </w:p>
    <w:p>
      <w:pPr>
        <w:spacing w:after="80" w:line="360" w:lineRule="auto"/>
        <w:ind w:firstLine="420"/>
      </w:pPr>
      <w:r>
        <w:rPr>
          <w:sz w:val="22"/>
        </w:rPr>
        <w:t>Moraitou等人（2018）在研究文化遗产语义预防性保护时，提出将公众报告纳入遗产监测的多源数据融合框架——公众报告经过语义标注和质量评估后可以补充专业监测的盲区[14]。</w:t>
      </w:r>
    </w:p>
    <w:p>
      <w:pPr>
        <w:spacing w:before="120"/>
      </w:pPr>
      <w:r>
        <w:rPr>
          <w:b/>
          <w:sz w:val="22"/>
        </w:rPr>
        <w:t>10.13.2 社区参与的遗产监测</w:t>
      </w:r>
    </w:p>
    <w:p>
      <w:pPr>
        <w:spacing w:after="80" w:line="360" w:lineRule="auto"/>
        <w:ind w:firstLine="420"/>
      </w:pPr>
      <w:r>
        <w:rPr>
          <w:sz w:val="22"/>
        </w:rPr>
        <w:t>遗产地社区是遗产保护的第一道防线——当地居民对遗产状态的变化最为敏感。建立社区参与式遗产监测机制——培训社区居民使用简易监测工具（如温湿度计、裂缝计），定期报告遗产状态——既能扩大监测覆盖面，又能增强社区的文化保护意识。</w:t>
      </w:r>
    </w:p>
    <w:p>
      <w:pPr>
        <w:spacing w:before="120"/>
      </w:pPr>
      <w:r>
        <w:rPr>
          <w:b/>
          <w:sz w:val="22"/>
        </w:rPr>
        <w:t>10.13.3 监测数据的公众可视化</w:t>
      </w:r>
    </w:p>
    <w:p>
      <w:pPr>
        <w:spacing w:after="80" w:line="360" w:lineRule="auto"/>
        <w:ind w:firstLine="420"/>
      </w:pPr>
      <w:r>
        <w:rPr>
          <w:sz w:val="22"/>
        </w:rPr>
        <w:t>监测数据不应只服务于管理者，也应向公众开放。将环境监测数据、文物状态评估和保护措施效果以可视化方式向公众展示，可以增强公众对遗产保护的理解和支持。Plaza-Hernández和Rodríguez（2021）的智慧遗产平台包含了公众可视化模块——通过大屏展示和移动应用让公众了解遗产保护实时状态[27]。</w:t>
      </w:r>
    </w:p>
    <w:p>
      <w:pPr>
        <w:spacing w:before="160" w:after="80"/>
      </w:pPr>
      <w:r>
        <w:rPr>
          <w:b/>
          <w:color w:val="2A9D8F"/>
          <w:sz w:val="26"/>
        </w:rPr>
        <w:t>10.14 IoT遗产监测的数据治理与隐私保护</w:t>
      </w:r>
    </w:p>
    <w:p>
      <w:pPr>
        <w:spacing w:before="120"/>
      </w:pPr>
      <w:r>
        <w:rPr>
          <w:b/>
          <w:sz w:val="22"/>
        </w:rPr>
        <w:t>10.14.1 监测数据的全生命周期管理</w:t>
      </w:r>
    </w:p>
    <w:p>
      <w:pPr>
        <w:spacing w:after="80" w:line="360" w:lineRule="auto"/>
        <w:ind w:firstLine="420"/>
      </w:pPr>
      <w:r>
        <w:rPr>
          <w:sz w:val="22"/>
        </w:rPr>
        <w:t>文化遗产IoT监测系统产生的数据具有体量大、类型多、时效强的特征——一个中等规模的遗产地可能部署数百个传感器，每天产生数GB的环境和结构数据。数据全生命周期管理包括：采集阶段（确保数据质量和时间同步）、传输阶段（保障数据完整性和安全性）、存储阶段（选择合适的存储架构和保留策略）、分析阶段（建立数据处理流水线）、归档阶段（长期保存有价值的监测数据用于趋势分析）。</w:t>
      </w:r>
    </w:p>
    <w:p>
      <w:pPr>
        <w:spacing w:after="80" w:line="360" w:lineRule="auto"/>
        <w:ind w:firstLine="420"/>
      </w:pPr>
      <w:r>
        <w:rPr>
          <w:sz w:val="22"/>
        </w:rPr>
        <w:t>Barrese等人（2023）在研究文化遗产预防性保护的数据管理时，提出"数据质量金字塔"模型——底层是原始传感器数据，中间层是经过清洗和标准化的数据，顶层是经过分析的决策支持信息。每一层都需要建立质量控制机制，确保数据从采集到决策的全链路可靠性[28]。</w:t>
      </w:r>
    </w:p>
    <w:p>
      <w:pPr>
        <w:spacing w:before="120"/>
      </w:pPr>
      <w:r>
        <w:rPr>
          <w:b/>
          <w:sz w:val="22"/>
        </w:rPr>
        <w:t>10.14.2 遗产监测中的隐私合规</w:t>
      </w:r>
    </w:p>
    <w:p>
      <w:pPr>
        <w:spacing w:after="80" w:line="360" w:lineRule="auto"/>
        <w:ind w:firstLine="420"/>
      </w:pPr>
      <w:r>
        <w:rPr>
          <w:sz w:val="22"/>
        </w:rPr>
        <w:t>文化遗产IoT监测系统可能无意中收集到访客的个人信息——视频监测用于结构病害识别时可能拍到游客，Wi-Fi探针用于人流统计时可能收集到手机MAC地址。这些数据的收集和处理需要符合隐私保护法规。隐私保护策略包括：在传感器端进行边缘处理（仅提取结构化数据，不传输原始图像）；采用差分隐私技术对人流数据进行匿名化处理；建立数据最小化原则——仅收集监测所需的最少数据。</w:t>
      </w:r>
    </w:p>
    <w:p>
      <w:pPr>
        <w:spacing w:before="120"/>
      </w:pPr>
      <w:r>
        <w:rPr>
          <w:b/>
          <w:sz w:val="22"/>
        </w:rPr>
        <w:t>10.14.3 跨机构数据共享的治理框架</w:t>
      </w:r>
    </w:p>
    <w:p>
      <w:pPr>
        <w:spacing w:after="80" w:line="360" w:lineRule="auto"/>
        <w:ind w:firstLine="420"/>
      </w:pPr>
      <w:r>
        <w:rPr>
          <w:sz w:val="22"/>
        </w:rPr>
        <w:t>多个遗产机构和研究团队之间的监测数据共享可以提升预警能力——某地的灾害预警经验可以为其他类似遗产地提供参考。然而，跨机构数据共享面临技术标准不统一、数据格式不兼容、责任归属不明确等挑战。建立数据共享治理框架需要：制定统一的数据标准（如基于CIDOC CRM的遗产监测数据模型）、建立数据共享协议（明确使用范围、引用规范和知识产权）、搭建技术平台（支持异构数据源的统一接入和查询）。</w:t>
      </w:r>
    </w:p>
    <w:p>
      <w:pPr>
        <w:spacing w:before="160" w:after="80"/>
      </w:pPr>
      <w:r>
        <w:rPr>
          <w:b/>
          <w:color w:val="2A9D8F"/>
          <w:sz w:val="26"/>
        </w:rPr>
        <w:t>10.15 边缘计算在遗产监测中的应用前景</w:t>
      </w:r>
    </w:p>
    <w:p>
      <w:pPr>
        <w:spacing w:after="80" w:line="360" w:lineRule="auto"/>
        <w:ind w:firstLine="420"/>
      </w:pPr>
      <w:r>
        <w:rPr>
          <w:sz w:val="22"/>
        </w:rPr>
        <w:t>传统IoT遗产监测采用"传感器→云端→用户"的架构，所有数据上传至云端处理。这种架构在网络条件差的偏远遗产地（如野外石窟、高山遗址）面临通信瓶颈，且云端集中处理存在延迟高、带宽成本大等问题。边缘计算将数据处理下沉到传感器附近——在遗产地部署边缘计算节点，实时处理环境数据和结构监测信号，仅在检测到异常时向云端发送告警。</w:t>
      </w:r>
    </w:p>
    <w:p>
      <w:pPr>
        <w:spacing w:after="80" w:line="360" w:lineRule="auto"/>
        <w:ind w:firstLine="420"/>
      </w:pPr>
      <w:r>
        <w:rPr>
          <w:sz w:val="22"/>
        </w:rPr>
        <w:t>Tang等人（2022）在研究文化遗产IoT边缘计算架构时，提出"云-边-端"三层模型——端侧传感器负责数据采集，边缘节点负责实时分析和预警，云端负责长期趋势分析和模型训练[29]。该架构在敦煌莫高窟的试验中将预警响应时间从分钟级降低到秒级。</w:t>
      </w:r>
    </w:p>
    <w:p>
      <w:pPr>
        <w:spacing w:before="160" w:after="80"/>
      </w:pPr>
      <w:r>
        <w:rPr>
          <w:b/>
          <w:color w:val="2A9D8F"/>
          <w:sz w:val="26"/>
        </w:rPr>
        <w:t>10.16 遗产监测系统的可靠性工程</w:t>
      </w:r>
    </w:p>
    <w:p>
      <w:pPr>
        <w:spacing w:after="80" w:line="360" w:lineRule="auto"/>
        <w:ind w:firstLine="420"/>
      </w:pPr>
      <w:r>
        <w:rPr>
          <w:sz w:val="22"/>
        </w:rPr>
        <w:t>文化遗产监测系统通常需要7×24小时不间断运行，系统可靠性至关重要。可靠性工程包括：冗余设计（关键传感器双机热备，通信链路主备切换）、故障检测与恢复（自动检测传感器离线并触发维护流程）、数据完整性保障（断网时本地缓存，网络恢复后断点续传）、防雷与电磁兼容（户外传感器的防雷击和抗干扰设计）。Casillo等人（2024）指出，文化遗产监测系统的可靠性设计常被忽视——许多项目重建设轻运维，导致系统在运行1-2年后因维护不足而失效[2]。</w:t>
      </w:r>
    </w:p>
    <w:p>
      <w:pPr>
        <w:spacing w:before="200" w:after="120"/>
      </w:pPr>
      <w:r>
        <w:rPr>
          <w:b/>
          <w:color w:val="457B9D"/>
          <w:sz w:val="30"/>
        </w:rPr>
        <w:t>参考文献</w:t>
      </w:r>
    </w:p>
    <w:p>
      <w:pPr>
        <w:spacing w:after="40"/>
        <w:ind w:left="425" w:hanging="425"/>
      </w:pPr>
      <w:r>
        <w:rPr>
          <w:sz w:val="20"/>
        </w:rPr>
        <w:t>[1] Limongiello M, Lorusso A, Sanseverino A, et al. Conservazione Predittiva di Edifici Storici Attraverso un Sistema Basato sull'IoT[C]. 2022. Semantic Scholar.</w:t>
      </w:r>
    </w:p>
    <w:p>
      <w:pPr>
        <w:spacing w:after="40"/>
        <w:ind w:left="425" w:hanging="425"/>
      </w:pPr>
      <w:r>
        <w:rPr>
          <w:sz w:val="20"/>
        </w:rPr>
        <w:t>[2] Casillo M, Colace F, Gaeta R, et al. Revolutionizing Cultural Heritage Preservation: An Innovative IoT-based Framework for Protecting Historical Buildings[J]. Evolving Systems, 2024. DOI: 10.1007/s12065-024-00959-y.</w:t>
      </w:r>
    </w:p>
    <w:p>
      <w:pPr>
        <w:spacing w:after="40"/>
        <w:ind w:left="425" w:hanging="425"/>
      </w:pPr>
      <w:r>
        <w:rPr>
          <w:sz w:val="20"/>
        </w:rPr>
        <w:t>[3] 林树笋, 等. 基于物联网技术的文物保存环境监测系统[J]. 2013. 万方数据.</w:t>
      </w:r>
    </w:p>
    <w:p>
      <w:pPr>
        <w:spacing w:after="40"/>
        <w:ind w:left="425" w:hanging="425"/>
      </w:pPr>
      <w:r>
        <w:rPr>
          <w:sz w:val="20"/>
        </w:rPr>
        <w:t>[4] Prasanth Ch.B.V., Sreekar G., Jatin G.V.S., et al. IoT Based Environment Monitoring System to Protect Heritage Artefacts[C]. IEEE ICEECCOT, 2021. DOI: 10.1109/ICEECCOT52851.2021.9708022.</w:t>
      </w:r>
    </w:p>
    <w:p>
      <w:pPr>
        <w:spacing w:after="40"/>
        <w:ind w:left="425" w:hanging="425"/>
      </w:pPr>
      <w:r>
        <w:rPr>
          <w:sz w:val="20"/>
        </w:rPr>
        <w:t>[5] Hinostroza A, Tarrillo J. Wireless Sensor Network for Environmental Monitoring of Cultural Heritage[C]. 2022. DOI: 10.5220/0010916700003118.</w:t>
      </w:r>
    </w:p>
    <w:p>
      <w:pPr>
        <w:spacing w:after="40"/>
        <w:ind w:left="425" w:hanging="425"/>
      </w:pPr>
      <w:r>
        <w:rPr>
          <w:sz w:val="20"/>
        </w:rPr>
        <w:t>[6] Plaza-Hernández M, Rodríguez J M C. Smart-Heritage: An Intelligent Platform for the Monitoring of Cultural Heritage in Smart Cities[C]. 2021. DOI: 10.1007/978-3-030-78901-5_29.</w:t>
      </w:r>
    </w:p>
    <w:p>
      <w:pPr>
        <w:spacing w:after="40"/>
        <w:ind w:left="425" w:hanging="425"/>
      </w:pPr>
      <w:r>
        <w:rPr>
          <w:sz w:val="20"/>
        </w:rPr>
        <w:t>[7] Qin X, Yang J, Qi R, et al. Establishing an Artificial Intelligence-Infused Early Warning System for Cultural Relics via Intelligent Information Assessment and IoT Monitoring[J]. Computer-Aided Design and Applications, 2024, S20: 143-156. DOI: 10.14733/cadaps.2024.S20.143-156.</w:t>
      </w:r>
    </w:p>
    <w:p>
      <w:pPr>
        <w:spacing w:after="40"/>
        <w:ind w:left="425" w:hanging="425"/>
      </w:pPr>
      <w:r>
        <w:rPr>
          <w:sz w:val="20"/>
        </w:rPr>
        <w:t>[8] Pepe M, Zinno A, Napolano M C, et al. HBIM Tool for Preventive Conservation of Sensitive Cultural Heritage in Museums: the SensMat Approach[C]. 2021. Semantic Scholar.</w:t>
      </w:r>
    </w:p>
    <w:p>
      <w:pPr>
        <w:spacing w:after="40"/>
        <w:ind w:left="425" w:hanging="425"/>
      </w:pPr>
      <w:r>
        <w:rPr>
          <w:sz w:val="20"/>
        </w:rPr>
        <w:t>[9] Moraitou E, Aliprantis J, Caridakis G. Semantic Preventive Conservation of Cultural Heritage Collections[C]. 2018. Semantic Scholar.</w:t>
      </w:r>
    </w:p>
    <w:p>
      <w:pPr>
        <w:spacing w:after="40"/>
        <w:ind w:left="425" w:hanging="425"/>
      </w:pPr>
      <w:r>
        <w:rPr>
          <w:sz w:val="20"/>
        </w:rPr>
        <w:t>[10] [作者不详]. 文化遗产物联网监测综合平台[J]. 2016. 万方数据.</w:t>
      </w:r>
    </w:p>
    <w:p>
      <w:pPr>
        <w:spacing w:after="40"/>
        <w:ind w:left="425" w:hanging="425"/>
      </w:pPr>
      <w:r>
        <w:rPr>
          <w:sz w:val="20"/>
        </w:rPr>
        <w:t>[11] 林树笋, 等. 基于物联网技术的文物保存环境监测系统[J]. 2013. 万方数据.</w:t>
      </w:r>
    </w:p>
    <w:p>
      <w:pPr>
        <w:spacing w:after="40"/>
        <w:ind w:left="425" w:hanging="425"/>
      </w:pPr>
      <w:r>
        <w:rPr>
          <w:sz w:val="20"/>
        </w:rPr>
        <w:t>[12] Casillo M, Colace F, Gaeta R, et al. Revolutionizing Cultural Heritage Preservation: An Innovative IoT-based Framework[J]. Evolving Systems, 2024. DOI: 10.1007/s12065-024-00959-y.</w:t>
      </w:r>
    </w:p>
    <w:p>
      <w:pPr>
        <w:spacing w:after="40"/>
        <w:ind w:left="425" w:hanging="425"/>
      </w:pPr>
      <w:r>
        <w:rPr>
          <w:sz w:val="20"/>
        </w:rPr>
        <w:t>[13] Limongiello M, Lorusso A, Sanseverino A, et al. Conservazione Predittiva di Edifici Storici Attraverso un Sistema Basato sull'IoT[C]. 2022. Semantic Scholar.</w:t>
      </w:r>
    </w:p>
    <w:p>
      <w:pPr>
        <w:spacing w:after="40"/>
        <w:ind w:left="425" w:hanging="425"/>
      </w:pPr>
      <w:r>
        <w:rPr>
          <w:sz w:val="20"/>
        </w:rPr>
        <w:t>[14] Moraitou E, Aliprantis J, Caridakis G. Semantic Preventive Conservation of Cultural Heritage Collections[C]. 2018. Semantic Scholar.</w:t>
      </w:r>
    </w:p>
    <w:p>
      <w:pPr>
        <w:spacing w:after="40"/>
        <w:ind w:left="425" w:hanging="425"/>
      </w:pPr>
      <w:r>
        <w:rPr>
          <w:sz w:val="20"/>
        </w:rPr>
        <w:t>[15] Qin X, Yang J, Qi R, et al. Establishing an AI-Infused Early Warning System for Cultural Relics via IoT Monitoring[J]. 2024. DOI: 10.14733/cadaps.2024.S20.143-156.</w:t>
      </w:r>
    </w:p>
    <w:p>
      <w:pPr>
        <w:spacing w:after="40"/>
        <w:ind w:left="425" w:hanging="425"/>
      </w:pPr>
      <w:r>
        <w:rPr>
          <w:sz w:val="20"/>
        </w:rPr>
        <w:t>[16] Prasanth Ch.B.V., Sreekar G., et al. IoT Based Environment Monitoring System to Protect Heritage Artefacts[C]. IEEE ICEECCOT, 2021. DOI: 10.1109/ICEECCOT52851.2021.9708022.</w:t>
      </w:r>
    </w:p>
    <w:p>
      <w:pPr>
        <w:spacing w:after="40"/>
        <w:ind w:left="425" w:hanging="425"/>
      </w:pPr>
      <w:r>
        <w:rPr>
          <w:sz w:val="20"/>
        </w:rPr>
        <w:t>[12] Casillo M, et al. Revolutionizing Cultural Heritage Preservation: An Innovative IoT-based Framework[J]. 2024. DOI: 10.1007/s12065-024-00959-y.</w:t>
      </w:r>
    </w:p>
    <w:p>
      <w:pPr>
        <w:spacing w:after="40"/>
        <w:ind w:left="425" w:hanging="425"/>
      </w:pPr>
      <w:r>
        <w:rPr>
          <w:sz w:val="20"/>
        </w:rPr>
        <w:t>[15] Qin X, et al. Establishing an AI-Infused Early Warning System for Cultural Relics via IoT Monitoring[J]. 2024. DOI: 10.14733/cadaps.2024.S20.143-156.</w:t>
      </w:r>
    </w:p>
    <w:p>
      <w:pPr>
        <w:spacing w:after="40"/>
        <w:ind w:left="425" w:hanging="425"/>
      </w:pPr>
      <w:r>
        <w:rPr>
          <w:sz w:val="20"/>
        </w:rPr>
        <w:t>[26] Pepe M, et al. HBIM Tool for Preventive Conservation of Sensitive Cultural Heritage in Museums: the SensMat Approach[C]. 2021. Semantic Scholar.</w:t>
      </w:r>
    </w:p>
    <w:p>
      <w:pPr>
        <w:spacing w:after="40"/>
        <w:ind w:left="425" w:hanging="425"/>
      </w:pPr>
      <w:r>
        <w:rPr>
          <w:sz w:val="20"/>
        </w:rPr>
        <w:t>[27] Plaza-Hernández M, Rodríguez J M C. Smart-Heritage: An Intelligent Platform for the Monitoring of Cultural Heritage in Smart Cities[C]. 2021. DOI: 10.1007/978-3-030-78901-5_29.</w:t>
      </w:r>
    </w:p>
    <w:p>
      <w:pPr>
        <w:spacing w:after="40"/>
        <w:ind w:left="425" w:hanging="425"/>
      </w:pPr>
      <w:r>
        <w:rPr>
          <w:sz w:val="20"/>
        </w:rPr>
        <w:t>[28] Hinostroza A, Tarrillo J. Wireless Sensor Network for Environmental Monitoring of Cultural Heritage[C]. 2022. DOI: 10.5220/0010916700003118.</w:t>
      </w:r>
    </w:p>
    <w:p>
      <w:pPr>
        <w:spacing w:after="40"/>
        <w:ind w:left="425" w:hanging="425"/>
      </w:pPr>
      <w:r>
        <w:rPr>
          <w:sz w:val="20"/>
        </w:rPr>
        <w:t>[13] Limongiello M, et al. Conservazione Predittiva di Edifici Storici Attraverso un Sistema Basato sull'IoT[C]. 2022. Semantic Scholar.</w:t>
      </w:r>
    </w:p>
    <w:p>
      <w:pPr>
        <w:spacing w:after="40"/>
        <w:ind w:left="425" w:hanging="425"/>
      </w:pPr>
      <w:r>
        <w:rPr>
          <w:sz w:val="20"/>
        </w:rPr>
        <w:t>[26] Pepe M, et al. HBIM Tool for Preventive Conservation of Sensitive Cultural Heritage in Museums: the SensMat Approach[C]. 2021. Semantic Scholar.</w:t>
      </w:r>
    </w:p>
    <w:p>
      <w:pPr>
        <w:spacing w:after="40"/>
        <w:ind w:left="425" w:hanging="425"/>
      </w:pPr>
      <w:r>
        <w:rPr>
          <w:sz w:val="20"/>
        </w:rPr>
        <w:t>[27] Plaza-Hernández M, Rodríguez J M C. Smart-Heritage[C]. 2021. DOI: 10.1007/978-3-030-78901-5_29.</w:t>
      </w:r>
    </w:p>
    <w:p>
      <w:pPr>
        <w:spacing w:after="40"/>
        <w:ind w:left="425" w:hanging="425"/>
      </w:pPr>
      <w:r>
        <w:rPr>
          <w:sz w:val="20"/>
        </w:rPr>
        <w:t>[28] Hinostroza A, Tarrillo J. Wireless Sensor Network for Environmental Monitoring of Cultural Heritage[C]. 2022. DOI: 10.5220/0010916700003118.</w:t>
      </w:r>
    </w:p>
    <w:p>
      <w:pPr>
        <w:spacing w:after="40"/>
        <w:ind w:left="425" w:hanging="425"/>
      </w:pPr>
      <w:r>
        <w:rPr>
          <w:sz w:val="20"/>
        </w:rPr>
        <w:t>[14] Moraitou E, et al. Semantic Preventive Conservation of Cultural Heritage Collections[C]. 2018. Semantic Scholar.</w:t>
      </w:r>
    </w:p>
    <w:p>
      <w:pPr>
        <w:spacing w:after="40"/>
        <w:ind w:left="425" w:hanging="425"/>
      </w:pPr>
      <w:r>
        <w:rPr>
          <w:sz w:val="20"/>
        </w:rPr>
        <w:t>[27] Plaza-Hernández M, Rodríguez J M C. Smart-Heritage[C]. 2021. DOI: 10.1007/978-3-030-78901-5_29.</w:t>
      </w:r>
    </w:p>
    <w:p>
      <w:pPr>
        <w:spacing w:after="40"/>
        <w:ind w:left="425" w:hanging="425"/>
      </w:pPr>
      <w:r>
        <w:rPr>
          <w:sz w:val="20"/>
        </w:rPr>
        <w:t>[28] Barrese P, et al. Data Management for Preventive Conservation of Cultural Heritage[J]. 2023. Semantic Scholar.</w:t>
      </w:r>
    </w:p>
    <w:p>
      <w:pPr>
        <w:spacing w:after="40"/>
        <w:ind w:left="425" w:hanging="425"/>
      </w:pPr>
      <w:r>
        <w:rPr>
          <w:sz w:val="20"/>
        </w:rPr>
        <w:t>[29] Tang X, et al. Edge Computing Architecture for Cultural Heritage IoT Monitoring[J]. 2022. Semantic Scholar.</w:t>
      </w:r>
    </w:p>
    <w:p>
      <w:r>
        <w:br w:type="page"/>
      </w:r>
    </w:p>
    <w:p>
      <w:pPr>
        <w:spacing w:before="240" w:after="160"/>
      </w:pPr>
      <w:r>
        <w:rPr>
          <w:b/>
          <w:color w:val="264653"/>
          <w:sz w:val="36"/>
        </w:rPr>
        <w:t>第11章 国际比较与标准规范</w:t>
      </w:r>
    </w:p>
    <w:p>
      <w:pPr>
        <w:spacing w:before="200" w:after="120"/>
      </w:pPr>
      <w:r>
        <w:rPr>
          <w:b/>
          <w:color w:val="457B9D"/>
          <w:sz w:val="30"/>
        </w:rPr>
        <w:t>学习目标</w:t>
      </w:r>
    </w:p>
    <w:p>
      <w:pPr>
        <w:pStyle w:val="ListBullet"/>
      </w:pPr>
      <w:r>
        <w:rPr>
          <w:sz w:val="22"/>
        </w:rPr>
        <w:t>了解全球主要国家/地区的文化遗产数字化保护策略</w:t>
      </w:r>
    </w:p>
    <w:p>
      <w:pPr>
        <w:pStyle w:val="ListBullet"/>
      </w:pPr>
      <w:r>
        <w:rPr>
          <w:sz w:val="22"/>
        </w:rPr>
        <w:t>掌握文化遗产数字化的国际标准体系</w:t>
      </w:r>
    </w:p>
    <w:p>
      <w:pPr>
        <w:pStyle w:val="ListBullet"/>
      </w:pPr>
      <w:r>
        <w:rPr>
          <w:sz w:val="22"/>
        </w:rPr>
        <w:t>理解不同国家保护模式的差异与共性</w:t>
      </w:r>
    </w:p>
    <w:p>
      <w:pPr>
        <w:pStyle w:val="ListBullet"/>
      </w:pPr>
      <w:r>
        <w:rPr>
          <w:sz w:val="22"/>
        </w:rPr>
        <w:t>能够借鉴国际经验提出中国方案</w:t>
      </w:r>
    </w:p>
    <w:p>
      <w:pPr>
        <w:spacing w:before="200" w:after="120"/>
      </w:pPr>
      <w:r>
        <w:rPr>
          <w:b/>
          <w:color w:val="457B9D"/>
          <w:sz w:val="30"/>
        </w:rPr>
        <w:t>导入案例：Europeana——欧洲数字文化遗产聚合平台的标准化建设</w:t>
      </w:r>
    </w:p>
    <w:p>
      <w:pPr>
        <w:spacing w:after="80" w:line="360" w:lineRule="auto"/>
        <w:ind w:firstLine="420"/>
      </w:pPr>
      <w:r>
        <w:rPr>
          <w:sz w:val="22"/>
        </w:rPr>
        <w:t>2008年，欧盟启动Europeana项目，旨在将欧洲各国的图书馆、博物馆、档案馆和音档馆的数字资源聚合于统一平台。截至2024年，Europeana已汇聚超过4000家文化机构的5800万件数字资源。Borin和Donato（2023）在研究Europeana的财务可持续性时指出，该平台的成功关键在于统一的元数据标准（EDM）和开放的数据共享协议，使不同国家、不同语言的遗产资源能够在同一平台被检索和关联[1]。</w:t>
      </w:r>
    </w:p>
    <w:p>
      <w:pPr>
        <w:spacing w:after="80" w:line="360" w:lineRule="auto"/>
        <w:ind w:firstLine="420"/>
      </w:pPr>
      <w:r>
        <w:rPr>
          <w:sz w:val="22"/>
        </w:rPr>
        <w:t>Europeana的实践为全球文化遗产数字化提供了"标准化聚合"的范本，其经验对中国国家文化大数据体系建设具有重要借鉴意义。</w:t>
      </w:r>
    </w:p>
    <w:p>
      <w:pPr>
        <w:spacing w:before="200" w:after="120"/>
      </w:pPr>
      <w:r>
        <w:rPr>
          <w:b/>
          <w:color w:val="457B9D"/>
          <w:sz w:val="30"/>
        </w:rPr>
        <w:t>11.1 欧洲文化遗产数字化保护</w:t>
      </w:r>
    </w:p>
    <w:p>
      <w:pPr>
        <w:spacing w:before="160" w:after="80"/>
      </w:pPr>
      <w:r>
        <w:rPr>
          <w:b/>
          <w:color w:val="2A9D8F"/>
          <w:sz w:val="26"/>
        </w:rPr>
        <w:t>11.1.1 欧盟数字化政策演进</w:t>
      </w:r>
    </w:p>
    <w:p>
      <w:pPr>
        <w:spacing w:after="80" w:line="360" w:lineRule="auto"/>
        <w:ind w:firstLine="420"/>
      </w:pPr>
      <w:r>
        <w:rPr>
          <w:sz w:val="22"/>
        </w:rPr>
        <w:t>Marinković等人（2016）在研究2005年以来欧洲文化遗产数字化政策时，梳理了欧盟数字化政策的演进脉络[2]：2005年欧盟委员会发布《i2010：数字图书馆》倡议，启动欧洲数字图书馆建设；2008年Europeana平台正式上线；2011年欧盟委员会发布《数字时代文化遗产保护建议书》，明确各成员国数字化目标；2013-2018年推行"数字单一市场"战略，消除数字遗产跨境流通障碍。</w:t>
      </w:r>
    </w:p>
    <w:p>
      <w:pPr>
        <w:spacing w:after="80" w:line="360" w:lineRule="auto"/>
        <w:ind w:firstLine="420"/>
      </w:pPr>
      <w:r>
        <w:rPr>
          <w:sz w:val="22"/>
        </w:rPr>
        <w:t>Gasmi和Prlja（2020）指出，文化遗产数字化在欧洲各国具有特殊地位——它关系到每个欧洲国家的民族认同，各国都在积极监管和引导文化遗产数字化进程[3]。Nikolova等人（2021）在研究文化遗产数字化与互操作性的能力建设时，强调数字化标准是欧洲文化遗产一体化建设的核心[4]。</w:t>
      </w:r>
    </w:p>
    <w:p>
      <w:pPr>
        <w:spacing w:before="160" w:after="80"/>
      </w:pPr>
      <w:r>
        <w:rPr>
          <w:b/>
          <w:color w:val="2A9D8F"/>
          <w:sz w:val="26"/>
        </w:rPr>
        <w:t>11.1.2 Europeana平台：建设、技术框架与运营</w:t>
      </w:r>
    </w:p>
    <w:p>
      <w:pPr>
        <w:spacing w:after="80" w:line="360" w:lineRule="auto"/>
        <w:ind w:firstLine="420"/>
      </w:pPr>
      <w:r>
        <w:rPr>
          <w:sz w:val="22"/>
        </w:rPr>
        <w:t>汪静（2017）在分析Europeana发展现状及启示时，总结了其在数字资源建设、技术框架建设、服务体系搭建及项目运作管理方面的建设特点[5]：</w:t>
      </w:r>
    </w:p>
    <w:p>
      <w:pPr>
        <w:pStyle w:val="ListBullet"/>
      </w:pPr>
      <w:r>
        <w:rPr>
          <w:b/>
          <w:sz w:val="22"/>
        </w:rPr>
        <w:t>数字资源建设</w:t>
      </w:r>
      <w:r>
        <w:rPr>
          <w:sz w:val="22"/>
        </w:rPr>
        <w:t>：通过EDM统一元数据标准，聚合多类型数字资源</w:t>
      </w:r>
    </w:p>
    <w:p>
      <w:pPr>
        <w:pStyle w:val="ListBullet"/>
      </w:pPr>
      <w:r>
        <w:rPr>
          <w:b/>
          <w:sz w:val="22"/>
        </w:rPr>
        <w:t>技术框架</w:t>
      </w:r>
      <w:r>
        <w:rPr>
          <w:sz w:val="22"/>
        </w:rPr>
        <w:t>：基于Linked Data技术实现语义互操作</w:t>
      </w:r>
    </w:p>
    <w:p>
      <w:pPr>
        <w:pStyle w:val="ListBullet"/>
      </w:pPr>
      <w:r>
        <w:rPr>
          <w:b/>
          <w:sz w:val="22"/>
        </w:rPr>
        <w:t>服务体系</w:t>
      </w:r>
      <w:r>
        <w:rPr>
          <w:sz w:val="22"/>
        </w:rPr>
        <w:t>：提供API接口支持第三方应用开发</w:t>
      </w:r>
    </w:p>
    <w:p>
      <w:pPr>
        <w:pStyle w:val="ListBullet"/>
      </w:pPr>
      <w:r>
        <w:rPr>
          <w:b/>
          <w:sz w:val="22"/>
        </w:rPr>
        <w:t>项目运作</w:t>
      </w:r>
      <w:r>
        <w:rPr>
          <w:sz w:val="22"/>
        </w:rPr>
        <w:t>：多源资金模式（欧盟拨款+成员国贡献+项目收入）</w:t>
      </w:r>
    </w:p>
    <w:p>
      <w:pPr>
        <w:spacing w:after="80" w:line="360" w:lineRule="auto"/>
        <w:ind w:firstLine="420"/>
      </w:pPr>
      <w:r>
        <w:rPr>
          <w:sz w:val="22"/>
        </w:rPr>
        <w:t>Borin和Donato（2023）进一步分析了Europeana的财务可持续性挑战——作为一个长期运营的数字平台，需要在欧盟拨款减少的背景下探索多元化收入来源[1]。</w:t>
      </w:r>
    </w:p>
    <w:p>
      <w:pPr>
        <w:spacing w:before="160" w:after="80"/>
      </w:pPr>
      <w:r>
        <w:rPr>
          <w:b/>
          <w:color w:val="2A9D8F"/>
          <w:sz w:val="26"/>
        </w:rPr>
        <w:t>11.1.3 欧洲标准化维度与统一信息系统</w:t>
      </w:r>
    </w:p>
    <w:p>
      <w:pPr>
        <w:spacing w:after="80" w:line="360" w:lineRule="auto"/>
        <w:ind w:firstLine="420"/>
      </w:pPr>
      <w:r>
        <w:rPr>
          <w:sz w:val="22"/>
        </w:rPr>
        <w:t>Bliūdžiuvienė（2011）在研究构建综合数字文化遗产环境的标准化维度时，指出欧洲统一文化遗产信息系统建设需要在标准化层面解决多语言、多格式、多标准并存的挑战[6]。Borowiecki等人（2017）在《变化世界中的文化遗产》一书中指出，欧盟通过推行国际标准化元数据，迫使参与机构使用统一流程，实现了跨机构数据的同质化[7]。</w:t>
      </w:r>
    </w:p>
    <w:p>
      <w:pPr>
        <w:spacing w:before="160" w:after="80"/>
      </w:pPr>
      <w:r>
        <w:rPr>
          <w:b/>
          <w:color w:val="2A9D8F"/>
          <w:sz w:val="26"/>
        </w:rPr>
        <w:t>11.1.4 意大利ICT公共历史档案经验</w:t>
      </w:r>
    </w:p>
    <w:p>
      <w:pPr>
        <w:spacing w:after="80" w:line="360" w:lineRule="auto"/>
        <w:ind w:firstLine="420"/>
      </w:pPr>
      <w:r>
        <w:rPr>
          <w:sz w:val="22"/>
        </w:rPr>
        <w:t>Guccio等人（2016）在研究意大利ICT公共历史档案经验时，展示了意大利在公共档案数字化方面的实践——意大利以丰富的历史档案资源为基础，利用ICT技术提升公共档案的可访问性和利用效率[8]。</w:t>
      </w:r>
    </w:p>
    <w:p>
      <w:pPr>
        <w:spacing w:before="200" w:after="120"/>
      </w:pPr>
      <w:r>
        <w:rPr>
          <w:b/>
          <w:color w:val="457B9D"/>
          <w:sz w:val="30"/>
        </w:rPr>
        <w:t>11.2 美洲文化遗产数字化保护</w:t>
      </w:r>
    </w:p>
    <w:p>
      <w:pPr>
        <w:spacing w:before="160" w:after="80"/>
      </w:pPr>
      <w:r>
        <w:rPr>
          <w:b/>
          <w:color w:val="2A9D8F"/>
          <w:sz w:val="26"/>
        </w:rPr>
        <w:t>11.2.1 美国史密森尼学会3D数字化项目</w:t>
      </w:r>
    </w:p>
    <w:p>
      <w:pPr>
        <w:spacing w:after="80" w:line="360" w:lineRule="auto"/>
        <w:ind w:firstLine="420"/>
      </w:pPr>
      <w:r>
        <w:rPr>
          <w:sz w:val="22"/>
        </w:rPr>
        <w:t>美国史密森尼学会自2013年启动X3D项目，对馆藏精品进行三维数字化。刘芳和吴振新（2022）在分析三维数字化在国外文化遗产领域的应用时，指出史密森尼学会在数据模型科学研究、可检索性和互操作性、版权控制等方面积累了丰富经验[9]。</w:t>
      </w:r>
    </w:p>
    <w:p>
      <w:pPr>
        <w:spacing w:before="160" w:after="80"/>
      </w:pPr>
      <w:r>
        <w:rPr>
          <w:b/>
          <w:color w:val="2A9D8F"/>
          <w:sz w:val="26"/>
        </w:rPr>
        <w:t>11.2.2 Google Cultural Institute与全球文化遗产聚合</w:t>
      </w:r>
    </w:p>
    <w:p>
      <w:pPr>
        <w:spacing w:after="80" w:line="360" w:lineRule="auto"/>
        <w:ind w:firstLine="420"/>
      </w:pPr>
      <w:r>
        <w:rPr>
          <w:sz w:val="22"/>
        </w:rPr>
        <w:t>Google Cultural Institute（现Google Arts &amp; Culture）通过与技术公司合作模式，为全球博物馆提供数字化工具和在线展示平台。Lanaro（2015）在对Europeana和Google Cultural Institute的比较分析中指出，两种聚合模式代表了不同的治理理念——Europeana以公共机构主导、标准驱动，Google以技术驱动、平台导向[10]。</w:t>
      </w:r>
    </w:p>
    <w:p>
      <w:pPr>
        <w:spacing w:before="160" w:after="80"/>
      </w:pPr>
      <w:r>
        <w:rPr>
          <w:b/>
          <w:color w:val="2A9D8F"/>
          <w:sz w:val="26"/>
        </w:rPr>
        <w:t>11.2.3 加拿大非物质文化遗产数字化保护</w:t>
      </w:r>
    </w:p>
    <w:p>
      <w:pPr>
        <w:spacing w:after="80" w:line="360" w:lineRule="auto"/>
        <w:ind w:firstLine="420"/>
      </w:pPr>
      <w:r>
        <w:rPr>
          <w:sz w:val="22"/>
        </w:rPr>
        <w:t>姚国章和刘增燕（2022）在研究国外ICH数字化保护与传承实践时，指出美国以StoryCorps项目为典型——利用数字化手段记录普通人的口述故事，形成民间口述历史数字档案[11]。加拿大在多元文化政策框架下，对原住民ICH进行了系统性的数字化记录和保护。</w:t>
      </w:r>
    </w:p>
    <w:p>
      <w:pPr>
        <w:spacing w:before="200" w:after="120"/>
      </w:pPr>
      <w:r>
        <w:rPr>
          <w:b/>
          <w:color w:val="457B9D"/>
          <w:sz w:val="30"/>
        </w:rPr>
        <w:t>11.3 亚洲文化遗产数字化保护</w:t>
      </w:r>
    </w:p>
    <w:p>
      <w:pPr>
        <w:spacing w:before="160" w:after="80"/>
      </w:pPr>
      <w:r>
        <w:rPr>
          <w:b/>
          <w:color w:val="2A9D8F"/>
          <w:sz w:val="26"/>
        </w:rPr>
        <w:t>11.3.1 日本：立法保障、数据库建设与特定数字技术应用</w:t>
      </w:r>
    </w:p>
    <w:p>
      <w:pPr>
        <w:spacing w:after="80" w:line="360" w:lineRule="auto"/>
        <w:ind w:firstLine="420"/>
      </w:pPr>
      <w:r>
        <w:rPr>
          <w:sz w:val="22"/>
        </w:rPr>
        <w:t>姚国章和刘增燕（2022）指出，日本的主要做法是针对非遗的立法、部署数据库建设以及促进特定数字技术的应用[11]。日本早在1950年就颁布了《文化财保护法》，是世界上最早对文化遗产进行综合立法保护的国家之一。日本的ICH数字化特色是"人间国宝"（重要无形文化财保持者）认定制度与数字化记录的紧密结合——每位"人间国宝"的技艺都会被系统性地高精度记录。</w:t>
      </w:r>
    </w:p>
    <w:p>
      <w:pPr>
        <w:spacing w:before="160" w:after="80"/>
      </w:pPr>
      <w:r>
        <w:rPr>
          <w:b/>
          <w:color w:val="2A9D8F"/>
          <w:sz w:val="26"/>
        </w:rPr>
        <w:t>11.3.2 韩国：混合VR/AR文化沉浸应用</w:t>
      </w:r>
    </w:p>
    <w:p>
      <w:pPr>
        <w:spacing w:after="80" w:line="360" w:lineRule="auto"/>
        <w:ind w:firstLine="420"/>
      </w:pPr>
      <w:r>
        <w:rPr>
          <w:sz w:val="22"/>
        </w:rPr>
        <w:t>Jung等人（2020）在研究韩国济州岛文化遗产的混合VR/AR应用时，展示了韩国在文化遗产沉浸式技术应用方面的实践[12]。韩国的文化遗产数字化保护特色是"活用"导向——强调数字技术不仅要保存遗产，更要让公众在日常生活中接触和体验遗产。</w:t>
      </w:r>
    </w:p>
    <w:p>
      <w:pPr>
        <w:spacing w:before="160" w:after="80"/>
      </w:pPr>
      <w:r>
        <w:rPr>
          <w:b/>
          <w:color w:val="2A9D8F"/>
          <w:sz w:val="26"/>
        </w:rPr>
        <w:t>11.3.3 东南亚：部落文化遗产数字虚拟博物馆</w:t>
      </w:r>
    </w:p>
    <w:p>
      <w:pPr>
        <w:spacing w:after="80" w:line="360" w:lineRule="auto"/>
        <w:ind w:firstLine="420"/>
      </w:pPr>
      <w:r>
        <w:rPr>
          <w:sz w:val="22"/>
        </w:rPr>
        <w:t>Sirisomboon（2020）在研究泰国清莱山区部落文化遗产数字虚拟博物馆时，提出虚拟博物馆为少数民族文化遗产提供了跨越地理和文化限制的展示空间[13]。东南亚国家的文化遗产数字化保护面临资金和技术资源不足的挑战，但通过国际合作和技术转移正在加速发展。</w:t>
      </w:r>
    </w:p>
    <w:p>
      <w:pPr>
        <w:spacing w:before="200" w:after="120"/>
      </w:pPr>
      <w:r>
        <w:rPr>
          <w:b/>
          <w:color w:val="457B9D"/>
          <w:sz w:val="30"/>
        </w:rPr>
        <w:t>11.4 国际标准体系比较</w:t>
      </w:r>
    </w:p>
    <w:p>
      <w:pPr>
        <w:spacing w:before="160" w:after="80"/>
      </w:pPr>
      <w:r>
        <w:rPr>
          <w:b/>
          <w:color w:val="2A9D8F"/>
          <w:sz w:val="26"/>
        </w:rPr>
        <w:t>11.4.1 古籍数字化标准国际比较</w:t>
      </w:r>
    </w:p>
    <w:p>
      <w:pPr>
        <w:spacing w:after="80" w:line="360" w:lineRule="auto"/>
        <w:ind w:firstLine="420"/>
      </w:pPr>
      <w:r>
        <w:rPr>
          <w:sz w:val="22"/>
        </w:rPr>
        <w:t>张文亮等人（2019）在研究国外古籍数字化标准实践进展时，以欧洲、美洲、大洋洲、亚洲7个国家的古籍数字化标准为数据来源，将国际上现有的古籍数字化标准分为管理标准、数据标准、描述标准与工作标准四大类[14]。这一分类框架同样适用于其他类型文化遗产的数字化标准比较。</w:t>
      </w:r>
    </w:p>
    <w:p>
      <w:pPr>
        <w:spacing w:before="160" w:after="80"/>
      </w:pPr>
      <w:r>
        <w:rPr>
          <w:b/>
          <w:color w:val="2A9D8F"/>
          <w:sz w:val="26"/>
        </w:rPr>
        <w:t>11.4.2 三维数字化标准：3D-ICONS、Sketchfab实践</w:t>
      </w:r>
    </w:p>
    <w:p>
      <w:pPr>
        <w:spacing w:after="80" w:line="360" w:lineRule="auto"/>
        <w:ind w:firstLine="420"/>
      </w:pPr>
      <w:r>
        <w:rPr>
          <w:sz w:val="22"/>
        </w:rPr>
        <w:t>刘芳和吴振新（2022）从数据采集与后期处理、数据格式与呈现载体、数据标准与存储结构、数据版权保护4个方面介绍了三维数字化在国外文化遗产领域的关键性问题[9]。3D-ICONS是欧盟资助的三维数字化项目，制定了遗产建筑和遗址三维数字化的技术规范。Sketchfab作为全球最大的三维模型分享平台，建立了社区化的质量标准和版权许可体系。</w:t>
      </w:r>
    </w:p>
    <w:p>
      <w:pPr>
        <w:spacing w:before="160" w:after="80"/>
      </w:pPr>
      <w:r>
        <w:rPr>
          <w:b/>
          <w:color w:val="2A9D8F"/>
          <w:sz w:val="26"/>
        </w:rPr>
        <w:t>11.4.3 元数据互操作标准对比</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val="clear" w:color="auto" w:fill="D9E2EC"/>
          </w:tcPr>
          <w:p>
            <w:pPr>
              <w:spacing w:before="40" w:after="40"/>
            </w:pPr>
            <w:r>
              <w:rPr>
                <w:b/>
                <w:sz w:val="20"/>
              </w:rPr>
            </w:r>
            <w:r>
              <w:rPr>
                <w:b/>
                <w:sz w:val="20"/>
              </w:rPr>
              <w:t>标准</w:t>
            </w:r>
          </w:p>
        </w:tc>
        <w:tc>
          <w:tcPr>
            <w:tcW w:type="dxa" w:w="1701"/>
            <w:shd w:val="clear" w:color="auto" w:fill="D9E2EC"/>
          </w:tcPr>
          <w:p>
            <w:pPr>
              <w:spacing w:before="40" w:after="40"/>
            </w:pPr>
            <w:r>
              <w:rPr>
                <w:b/>
                <w:sz w:val="20"/>
              </w:rPr>
            </w:r>
            <w:r>
              <w:rPr>
                <w:b/>
                <w:sz w:val="20"/>
              </w:rPr>
              <w:t>适用对象</w:t>
            </w:r>
          </w:p>
        </w:tc>
        <w:tc>
          <w:tcPr>
            <w:tcW w:type="dxa" w:w="1701"/>
            <w:shd w:val="clear" w:color="auto" w:fill="D9E2EC"/>
          </w:tcPr>
          <w:p>
            <w:pPr>
              <w:spacing w:before="40" w:after="40"/>
            </w:pPr>
            <w:r>
              <w:rPr>
                <w:b/>
                <w:sz w:val="20"/>
              </w:rPr>
            </w:r>
            <w:r>
              <w:rPr>
                <w:b/>
                <w:sz w:val="20"/>
              </w:rPr>
              <w:t>复杂度</w:t>
            </w:r>
          </w:p>
        </w:tc>
        <w:tc>
          <w:tcPr>
            <w:tcW w:type="dxa" w:w="1701"/>
            <w:shd w:val="clear" w:color="auto" w:fill="D9E2EC"/>
          </w:tcPr>
          <w:p>
            <w:pPr>
              <w:spacing w:before="40" w:after="40"/>
            </w:pPr>
            <w:r>
              <w:rPr>
                <w:b/>
                <w:sz w:val="20"/>
              </w:rPr>
            </w:r>
            <w:r>
              <w:rPr>
                <w:b/>
                <w:sz w:val="20"/>
              </w:rPr>
              <w:t>互操作性</w:t>
            </w:r>
          </w:p>
        </w:tc>
        <w:tc>
          <w:tcPr>
            <w:tcW w:type="dxa" w:w="1701"/>
            <w:shd w:val="clear" w:color="auto" w:fill="D9E2EC"/>
          </w:tcPr>
          <w:p>
            <w:pPr>
              <w:spacing w:before="40" w:after="40"/>
            </w:pPr>
            <w:r>
              <w:rPr>
                <w:b/>
                <w:sz w:val="20"/>
              </w:rPr>
            </w:r>
            <w:r>
              <w:rPr>
                <w:b/>
                <w:sz w:val="20"/>
              </w:rPr>
              <w:t>主要采用方</w:t>
            </w:r>
          </w:p>
        </w:tc>
      </w:tr>
      <w:tr>
        <w:tc>
          <w:tcPr>
            <w:tcW w:type="dxa" w:w="1701"/>
          </w:tcPr>
          <w:p>
            <w:pPr>
              <w:spacing w:before="40" w:after="40"/>
            </w:pPr>
            <w:r>
              <w:rPr>
                <w:sz w:val="20"/>
              </w:rPr>
            </w:r>
            <w:r>
              <w:rPr>
                <w:sz w:val="20"/>
              </w:rPr>
              <w:t>Dublin Core</w:t>
            </w:r>
          </w:p>
        </w:tc>
        <w:tc>
          <w:tcPr>
            <w:tcW w:type="dxa" w:w="1701"/>
          </w:tcPr>
          <w:p>
            <w:pPr>
              <w:spacing w:before="40" w:after="40"/>
            </w:pPr>
            <w:r>
              <w:rPr>
                <w:sz w:val="20"/>
              </w:rPr>
            </w:r>
            <w:r>
              <w:rPr>
                <w:sz w:val="20"/>
              </w:rPr>
              <w:t>通用数字资源</w:t>
            </w:r>
          </w:p>
        </w:tc>
        <w:tc>
          <w:tcPr>
            <w:tcW w:type="dxa" w:w="1701"/>
          </w:tcPr>
          <w:p>
            <w:pPr>
              <w:spacing w:before="40" w:after="40"/>
            </w:pPr>
            <w:r>
              <w:rPr>
                <w:sz w:val="20"/>
              </w:rPr>
            </w:r>
            <w:r>
              <w:rPr>
                <w:sz w:val="20"/>
              </w:rPr>
              <w:t>低</w:t>
            </w:r>
          </w:p>
        </w:tc>
        <w:tc>
          <w:tcPr>
            <w:tcW w:type="dxa" w:w="1701"/>
          </w:tcPr>
          <w:p>
            <w:pPr>
              <w:spacing w:before="40" w:after="40"/>
            </w:pPr>
            <w:r>
              <w:rPr>
                <w:sz w:val="20"/>
              </w:rPr>
            </w:r>
            <w:r>
              <w:rPr>
                <w:sz w:val="20"/>
              </w:rPr>
              <w:t>高</w:t>
            </w:r>
          </w:p>
        </w:tc>
        <w:tc>
          <w:tcPr>
            <w:tcW w:type="dxa" w:w="1701"/>
          </w:tcPr>
          <w:p>
            <w:pPr>
              <w:spacing w:before="40" w:after="40"/>
            </w:pPr>
            <w:r>
              <w:rPr>
                <w:sz w:val="20"/>
              </w:rPr>
            </w:r>
            <w:r>
              <w:rPr>
                <w:sz w:val="20"/>
              </w:rPr>
              <w:t>全球通用</w:t>
            </w:r>
          </w:p>
        </w:tc>
      </w:tr>
      <w:tr>
        <w:tc>
          <w:tcPr>
            <w:tcW w:type="dxa" w:w="1701"/>
            <w:shd w:val="clear" w:color="auto" w:fill="F5F5F5"/>
          </w:tcPr>
          <w:p>
            <w:pPr>
              <w:spacing w:before="40" w:after="40"/>
            </w:pPr>
            <w:r>
              <w:rPr>
                <w:sz w:val="20"/>
              </w:rPr>
            </w:r>
            <w:r>
              <w:rPr>
                <w:sz w:val="20"/>
              </w:rPr>
              <w:t>CIDOC-CRM</w:t>
            </w:r>
          </w:p>
        </w:tc>
        <w:tc>
          <w:tcPr>
            <w:tcW w:type="dxa" w:w="1701"/>
            <w:shd w:val="clear" w:color="auto" w:fill="F5F5F5"/>
          </w:tcPr>
          <w:p>
            <w:pPr>
              <w:spacing w:before="40" w:after="40"/>
            </w:pPr>
            <w:r>
              <w:rPr>
                <w:sz w:val="20"/>
              </w:rPr>
            </w:r>
            <w:r>
              <w:rPr>
                <w:sz w:val="20"/>
              </w:rPr>
              <w:t>博物馆藏品</w:t>
            </w:r>
          </w:p>
        </w:tc>
        <w:tc>
          <w:tcPr>
            <w:tcW w:type="dxa" w:w="1701"/>
            <w:shd w:val="clear" w:color="auto" w:fill="F5F5F5"/>
          </w:tcPr>
          <w:p>
            <w:pPr>
              <w:spacing w:before="40" w:after="40"/>
            </w:pPr>
            <w:r>
              <w:rPr>
                <w:sz w:val="20"/>
              </w:rPr>
            </w:r>
            <w:r>
              <w:rPr>
                <w:sz w:val="20"/>
              </w:rPr>
              <w:t>高</w:t>
            </w:r>
          </w:p>
        </w:tc>
        <w:tc>
          <w:tcPr>
            <w:tcW w:type="dxa" w:w="1701"/>
            <w:shd w:val="clear" w:color="auto" w:fill="F5F5F5"/>
          </w:tcPr>
          <w:p>
            <w:pPr>
              <w:spacing w:before="40" w:after="40"/>
            </w:pPr>
            <w:r>
              <w:rPr>
                <w:sz w:val="20"/>
              </w:rPr>
            </w:r>
            <w:r>
              <w:rPr>
                <w:sz w:val="20"/>
              </w:rPr>
              <w:t>中高</w:t>
            </w:r>
          </w:p>
        </w:tc>
        <w:tc>
          <w:tcPr>
            <w:tcW w:type="dxa" w:w="1701"/>
            <w:shd w:val="clear" w:color="auto" w:fill="F5F5F5"/>
          </w:tcPr>
          <w:p>
            <w:pPr>
              <w:spacing w:before="40" w:after="40"/>
            </w:pPr>
            <w:r>
              <w:rPr>
                <w:sz w:val="20"/>
              </w:rPr>
            </w:r>
            <w:r>
              <w:rPr>
                <w:sz w:val="20"/>
              </w:rPr>
              <w:t>ICOM成员</w:t>
            </w:r>
          </w:p>
        </w:tc>
      </w:tr>
      <w:tr>
        <w:tc>
          <w:tcPr>
            <w:tcW w:type="dxa" w:w="1701"/>
          </w:tcPr>
          <w:p>
            <w:pPr>
              <w:spacing w:before="40" w:after="40"/>
            </w:pPr>
            <w:r>
              <w:rPr>
                <w:sz w:val="20"/>
              </w:rPr>
            </w:r>
            <w:r>
              <w:rPr>
                <w:sz w:val="20"/>
              </w:rPr>
              <w:t>EDM</w:t>
            </w:r>
          </w:p>
        </w:tc>
        <w:tc>
          <w:tcPr>
            <w:tcW w:type="dxa" w:w="1701"/>
          </w:tcPr>
          <w:p>
            <w:pPr>
              <w:spacing w:before="40" w:after="40"/>
            </w:pPr>
            <w:r>
              <w:rPr>
                <w:sz w:val="20"/>
              </w:rPr>
            </w:r>
            <w:r>
              <w:rPr>
                <w:sz w:val="20"/>
              </w:rPr>
              <w:t>文化遗产聚合</w:t>
            </w:r>
          </w:p>
        </w:tc>
        <w:tc>
          <w:tcPr>
            <w:tcW w:type="dxa" w:w="1701"/>
          </w:tcPr>
          <w:p>
            <w:pPr>
              <w:spacing w:before="40" w:after="40"/>
            </w:pPr>
            <w:r>
              <w:rPr>
                <w:sz w:val="20"/>
              </w:rPr>
            </w:r>
            <w:r>
              <w:rPr>
                <w:sz w:val="20"/>
              </w:rPr>
              <w:t>中</w:t>
            </w:r>
          </w:p>
        </w:tc>
        <w:tc>
          <w:tcPr>
            <w:tcW w:type="dxa" w:w="1701"/>
          </w:tcPr>
          <w:p>
            <w:pPr>
              <w:spacing w:before="40" w:after="40"/>
            </w:pPr>
            <w:r>
              <w:rPr>
                <w:sz w:val="20"/>
              </w:rPr>
            </w:r>
            <w:r>
              <w:rPr>
                <w:sz w:val="20"/>
              </w:rPr>
              <w:t>高</w:t>
            </w:r>
          </w:p>
        </w:tc>
        <w:tc>
          <w:tcPr>
            <w:tcW w:type="dxa" w:w="1701"/>
          </w:tcPr>
          <w:p>
            <w:pPr>
              <w:spacing w:before="40" w:after="40"/>
            </w:pPr>
            <w:r>
              <w:rPr>
                <w:sz w:val="20"/>
              </w:rPr>
            </w:r>
            <w:r>
              <w:rPr>
                <w:sz w:val="20"/>
              </w:rPr>
              <w:t>Europeana</w:t>
            </w:r>
          </w:p>
        </w:tc>
      </w:tr>
      <w:tr>
        <w:tc>
          <w:tcPr>
            <w:tcW w:type="dxa" w:w="1701"/>
            <w:shd w:val="clear" w:color="auto" w:fill="F5F5F5"/>
          </w:tcPr>
          <w:p>
            <w:pPr>
              <w:spacing w:before="40" w:after="40"/>
            </w:pPr>
            <w:r>
              <w:rPr>
                <w:sz w:val="20"/>
              </w:rPr>
            </w:r>
            <w:r>
              <w:rPr>
                <w:sz w:val="20"/>
              </w:rPr>
              <w:t>LIDO</w:t>
            </w:r>
          </w:p>
        </w:tc>
        <w:tc>
          <w:tcPr>
            <w:tcW w:type="dxa" w:w="1701"/>
            <w:shd w:val="clear" w:color="auto" w:fill="F5F5F5"/>
          </w:tcPr>
          <w:p>
            <w:pPr>
              <w:spacing w:before="40" w:after="40"/>
            </w:pPr>
            <w:r>
              <w:rPr>
                <w:sz w:val="20"/>
              </w:rPr>
            </w:r>
            <w:r>
              <w:rPr>
                <w:sz w:val="20"/>
              </w:rPr>
              <w:t>博物馆对象数据交换</w:t>
            </w:r>
          </w:p>
        </w:tc>
        <w:tc>
          <w:tcPr>
            <w:tcW w:type="dxa" w:w="1701"/>
            <w:shd w:val="clear" w:color="auto" w:fill="F5F5F5"/>
          </w:tcPr>
          <w:p>
            <w:pPr>
              <w:spacing w:before="40" w:after="40"/>
            </w:pPr>
            <w:r>
              <w:rPr>
                <w:sz w:val="20"/>
              </w:rPr>
            </w:r>
            <w:r>
              <w:rPr>
                <w:sz w:val="20"/>
              </w:rPr>
              <w:t>中</w:t>
            </w:r>
          </w:p>
        </w:tc>
        <w:tc>
          <w:tcPr>
            <w:tcW w:type="dxa" w:w="1701"/>
            <w:shd w:val="clear" w:color="auto" w:fill="F5F5F5"/>
          </w:tcPr>
          <w:p>
            <w:pPr>
              <w:spacing w:before="40" w:after="40"/>
            </w:pPr>
            <w:r>
              <w:rPr>
                <w:sz w:val="20"/>
              </w:rPr>
            </w:r>
            <w:r>
              <w:rPr>
                <w:sz w:val="20"/>
              </w:rPr>
              <w:t>中高</w:t>
            </w:r>
          </w:p>
        </w:tc>
        <w:tc>
          <w:tcPr>
            <w:tcW w:type="dxa" w:w="1701"/>
            <w:shd w:val="clear" w:color="auto" w:fill="F5F5F5"/>
          </w:tcPr>
          <w:p>
            <w:pPr>
              <w:spacing w:before="40" w:after="40"/>
            </w:pPr>
            <w:r>
              <w:rPr>
                <w:sz w:val="20"/>
              </w:rPr>
            </w:r>
            <w:r>
              <w:rPr>
                <w:sz w:val="20"/>
              </w:rPr>
              <w:t>欧美博物馆</w:t>
            </w:r>
          </w:p>
        </w:tc>
      </w:tr>
      <w:tr>
        <w:tc>
          <w:tcPr>
            <w:tcW w:type="dxa" w:w="1701"/>
          </w:tcPr>
          <w:p>
            <w:pPr>
              <w:spacing w:before="40" w:after="40"/>
            </w:pPr>
            <w:r>
              <w:rPr>
                <w:sz w:val="20"/>
              </w:rPr>
            </w:r>
            <w:r>
              <w:rPr>
                <w:sz w:val="20"/>
              </w:rPr>
              <w:t>VRA Core</w:t>
            </w:r>
          </w:p>
        </w:tc>
        <w:tc>
          <w:tcPr>
            <w:tcW w:type="dxa" w:w="1701"/>
          </w:tcPr>
          <w:p>
            <w:pPr>
              <w:spacing w:before="40" w:after="40"/>
            </w:pPr>
            <w:r>
              <w:rPr>
                <w:sz w:val="20"/>
              </w:rPr>
            </w:r>
            <w:r>
              <w:rPr>
                <w:sz w:val="20"/>
              </w:rPr>
              <w:t>视觉资源</w:t>
            </w:r>
          </w:p>
        </w:tc>
        <w:tc>
          <w:tcPr>
            <w:tcW w:type="dxa" w:w="1701"/>
          </w:tcPr>
          <w:p>
            <w:pPr>
              <w:spacing w:before="40" w:after="40"/>
            </w:pPr>
            <w:r>
              <w:rPr>
                <w:sz w:val="20"/>
              </w:rPr>
            </w:r>
            <w:r>
              <w:rPr>
                <w:sz w:val="20"/>
              </w:rPr>
              <w:t>中</w:t>
            </w:r>
          </w:p>
        </w:tc>
        <w:tc>
          <w:tcPr>
            <w:tcW w:type="dxa" w:w="1701"/>
          </w:tcPr>
          <w:p>
            <w:pPr>
              <w:spacing w:before="40" w:after="40"/>
            </w:pPr>
            <w:r>
              <w:rPr>
                <w:sz w:val="20"/>
              </w:rPr>
            </w:r>
            <w:r>
              <w:rPr>
                <w:sz w:val="20"/>
              </w:rPr>
              <w:t>中</w:t>
            </w:r>
          </w:p>
        </w:tc>
        <w:tc>
          <w:tcPr>
            <w:tcW w:type="dxa" w:w="1701"/>
          </w:tcPr>
          <w:p>
            <w:pPr>
              <w:spacing w:before="40" w:after="40"/>
            </w:pPr>
            <w:r>
              <w:rPr>
                <w:sz w:val="20"/>
              </w:rPr>
            </w:r>
            <w:r>
              <w:rPr>
                <w:sz w:val="20"/>
              </w:rPr>
              <w:t>美术馆/图片库</w:t>
            </w:r>
          </w:p>
        </w:tc>
      </w:tr>
    </w:tbl>
    <w:p>
      <w:pPr>
        <w:spacing w:before="160" w:after="80"/>
      </w:pPr>
      <w:r>
        <w:rPr>
          <w:b/>
          <w:color w:val="2A9D8F"/>
          <w:sz w:val="26"/>
        </w:rPr>
        <w:t>11.4.4 数据格式、存储与版权保护规范</w:t>
      </w:r>
    </w:p>
    <w:p>
      <w:pPr>
        <w:spacing w:after="80" w:line="360" w:lineRule="auto"/>
        <w:ind w:firstLine="420"/>
      </w:pPr>
      <w:r>
        <w:rPr>
          <w:sz w:val="22"/>
        </w:rPr>
        <w:t>孔凡运（2025）在研究文化遗产数字化保存的策略与挑战时，指出数字化技术如三维扫描、数字摄影以及VR/AR等技术的应用并非没有挑战，需要建立统一的数据格式、存储和版权保护规范[15]。张卫东等人（2013）在研究欧美图书档案数字化融合服务实践时，总结了国外实践特点包括明确的战略规划、多元的伙伴关系、回应数字时代的挑战、逐步统一的技术标准和多样的合作模式[16]。</w:t>
      </w:r>
    </w:p>
    <w:p>
      <w:pPr>
        <w:spacing w:before="200" w:after="120"/>
      </w:pPr>
      <w:r>
        <w:rPr>
          <w:b/>
          <w:color w:val="457B9D"/>
          <w:sz w:val="30"/>
        </w:rPr>
        <w:t>11.5 中国文化遗产数字化的国际定位</w:t>
      </w:r>
    </w:p>
    <w:p>
      <w:pPr>
        <w:spacing w:before="160" w:after="80"/>
      </w:pPr>
      <w:r>
        <w:rPr>
          <w:b/>
          <w:color w:val="2A9D8F"/>
          <w:sz w:val="26"/>
        </w:rPr>
        <w:t>11.5.1 中国实践的特色与优势</w:t>
      </w:r>
    </w:p>
    <w:p>
      <w:pPr>
        <w:spacing w:after="80" w:line="360" w:lineRule="auto"/>
        <w:ind w:firstLine="420"/>
      </w:pPr>
      <w:r>
        <w:rPr>
          <w:sz w:val="22"/>
        </w:rPr>
        <w:t>中国文化遗产数字化保护具有独特的优势和特色：</w:t>
      </w:r>
    </w:p>
    <w:p>
      <w:pPr>
        <w:pStyle w:val="ListBullet"/>
      </w:pPr>
      <w:r>
        <w:rPr>
          <w:b/>
          <w:sz w:val="22"/>
        </w:rPr>
        <w:t>规模优势</w:t>
      </w:r>
      <w:r>
        <w:rPr>
          <w:sz w:val="22"/>
        </w:rPr>
        <w:t>：中国拥有世界最大的文化遗产数字化需求市场</w:t>
      </w:r>
    </w:p>
    <w:p>
      <w:pPr>
        <w:pStyle w:val="ListBullet"/>
      </w:pPr>
      <w:r>
        <w:rPr>
          <w:b/>
          <w:sz w:val="22"/>
        </w:rPr>
        <w:t>政策驱动</w:t>
      </w:r>
      <w:r>
        <w:rPr>
          <w:sz w:val="22"/>
        </w:rPr>
        <w:t>：国家层面的政策推动力度大，如"国家文化大数据体系"建设</w:t>
      </w:r>
    </w:p>
    <w:p>
      <w:pPr>
        <w:pStyle w:val="ListBullet"/>
      </w:pPr>
      <w:r>
        <w:rPr>
          <w:b/>
          <w:sz w:val="22"/>
        </w:rPr>
        <w:t>技术追赶</w:t>
      </w:r>
      <w:r>
        <w:rPr>
          <w:sz w:val="22"/>
        </w:rPr>
        <w:t>：在三维扫描、AI修复等领域已接近国际先进水平</w:t>
      </w:r>
    </w:p>
    <w:p>
      <w:pPr>
        <w:pStyle w:val="ListBullet"/>
      </w:pPr>
      <w:r>
        <w:rPr>
          <w:b/>
          <w:sz w:val="22"/>
        </w:rPr>
        <w:t>资源丰富</w:t>
      </w:r>
      <w:r>
        <w:rPr>
          <w:sz w:val="22"/>
        </w:rPr>
        <w:t>：57项世界遗产和1557项国家级非遗提供了广阔的实践空间</w:t>
      </w:r>
    </w:p>
    <w:p>
      <w:pPr>
        <w:spacing w:before="160" w:after="80"/>
      </w:pPr>
      <w:r>
        <w:rPr>
          <w:b/>
          <w:color w:val="2A9D8F"/>
          <w:sz w:val="26"/>
        </w:rPr>
        <w:t>11.5.2 差距与不足分析</w:t>
      </w:r>
    </w:p>
    <w:p>
      <w:pPr>
        <w:spacing w:after="80" w:line="360" w:lineRule="auto"/>
        <w:ind w:firstLine="420"/>
      </w:pPr>
      <w:r>
        <w:rPr>
          <w:sz w:val="22"/>
        </w:rPr>
        <w:t>同时，中国文化遗产数字化保护仍存在显著差距：</w:t>
      </w:r>
    </w:p>
    <w:p>
      <w:pPr>
        <w:pStyle w:val="ListBullet"/>
      </w:pPr>
      <w:r>
        <w:rPr>
          <w:b/>
          <w:sz w:val="22"/>
        </w:rPr>
        <w:t>标准体系不完善</w:t>
      </w:r>
      <w:r>
        <w:rPr>
          <w:sz w:val="22"/>
        </w:rPr>
        <w:t>：缺乏统一的国家级数字化技术标准体系</w:t>
      </w:r>
    </w:p>
    <w:p>
      <w:pPr>
        <w:pStyle w:val="ListBullet"/>
      </w:pPr>
      <w:r>
        <w:rPr>
          <w:b/>
          <w:sz w:val="22"/>
        </w:rPr>
        <w:t>数据互操作性差</w:t>
      </w:r>
      <w:r>
        <w:rPr>
          <w:sz w:val="22"/>
        </w:rPr>
        <w:t>：不同机构的数据标准不统一，形成数据孤岛</w:t>
      </w:r>
    </w:p>
    <w:p>
      <w:pPr>
        <w:pStyle w:val="ListBullet"/>
      </w:pPr>
      <w:r>
        <w:rPr>
          <w:b/>
          <w:sz w:val="22"/>
        </w:rPr>
        <w:t>版权保护滞后</w:t>
      </w:r>
      <w:r>
        <w:rPr>
          <w:sz w:val="22"/>
        </w:rPr>
        <w:t>：文化遗产数字版权的法律框架尚未完善</w:t>
      </w:r>
    </w:p>
    <w:p>
      <w:pPr>
        <w:pStyle w:val="ListBullet"/>
      </w:pPr>
      <w:r>
        <w:rPr>
          <w:b/>
          <w:sz w:val="22"/>
        </w:rPr>
        <w:t>人才短缺</w:t>
      </w:r>
      <w:r>
        <w:rPr>
          <w:sz w:val="22"/>
        </w:rPr>
        <w:t>：既懂文化遗产又懂数字技术的复合型人才严重不足</w:t>
      </w:r>
    </w:p>
    <w:p>
      <w:pPr>
        <w:pStyle w:val="ListBullet"/>
      </w:pPr>
      <w:r>
        <w:rPr>
          <w:b/>
          <w:sz w:val="22"/>
        </w:rPr>
        <w:t>资金不均衡</w:t>
      </w:r>
      <w:r>
        <w:rPr>
          <w:sz w:val="22"/>
        </w:rPr>
        <w:t>：发达地区与欠发达地区的数字化投入差距巨大</w:t>
      </w:r>
    </w:p>
    <w:p>
      <w:pPr>
        <w:spacing w:before="160" w:after="80"/>
      </w:pPr>
      <w:r>
        <w:rPr>
          <w:b/>
          <w:color w:val="2A9D8F"/>
          <w:sz w:val="26"/>
        </w:rPr>
        <w:t>11.5.3 国际合作与标准参与</w:t>
      </w:r>
    </w:p>
    <w:p>
      <w:pPr>
        <w:spacing w:after="80" w:line="360" w:lineRule="auto"/>
        <w:ind w:firstLine="420"/>
      </w:pPr>
      <w:r>
        <w:rPr>
          <w:sz w:val="22"/>
        </w:rPr>
        <w:t>中国应积极参与国际文化遗产数字化标准的制定，从"标准跟随者"走向"标准参与者"和"标准引领者"。Borowiecki等人（2017）指出，国际标准的制定需要多国协作，中国作为文化遗产大国应在标准制定中发挥更大作用[7]。</w:t>
      </w:r>
    </w:p>
    <w:p>
      <w:pPr>
        <w:spacing w:before="160" w:after="80"/>
      </w:pPr>
      <w:r>
        <w:rPr>
          <w:b/>
          <w:color w:val="2A9D8F"/>
          <w:sz w:val="26"/>
        </w:rPr>
        <w:t>11.5.4 中国方案的全球贡献</w:t>
      </w:r>
    </w:p>
    <w:p>
      <w:pPr>
        <w:spacing w:after="80" w:line="360" w:lineRule="auto"/>
        <w:ind w:firstLine="420"/>
      </w:pPr>
      <w:r>
        <w:rPr>
          <w:sz w:val="22"/>
        </w:rPr>
        <w:t>中国方案对全球文化遗产数字化保护的潜在贡献包括：大规模数字化实践经验、多民族ICH数字化方法论、文化遗产大数据治理模式、以及"数字+文化+旅游"的融合发展路径。中国学者（2026）以Europeana实践为基础的研究也指出，中国数字文化资源建设可以借鉴Europeana的标准化经验，但需要根据中国国情进行本土化适配[17]。</w:t>
      </w:r>
    </w:p>
    <w:p>
      <w:pPr>
        <w:spacing w:before="200" w:after="120"/>
      </w:pPr>
      <w:r>
        <w:rPr>
          <w:b/>
          <w:color w:val="457B9D"/>
          <w:sz w:val="30"/>
        </w:rPr>
        <w:t>本章小结</w:t>
      </w:r>
    </w:p>
    <w:p>
      <w:pPr>
        <w:spacing w:after="80" w:line="360" w:lineRule="auto"/>
        <w:ind w:firstLine="420"/>
      </w:pPr>
      <w:r>
        <w:rPr>
          <w:sz w:val="22"/>
        </w:rPr>
        <w:t>本章对全球主要国家和地区的文化遗产数字化保护进行了国际比较。欧洲以Europeana为代表，通过统一元数据标准和Linked Data技术实现跨机构聚合；美国以史密森尼学会和Google Arts &amp; Culture为代表，分别展现了公共机构主导和技术平台驱动的两种模式；亚洲国家中日本以立法保障和数据库建设为特色，韩国以VR/AR活用为导向，东南亚以虚拟博物馆为补充。在标准体系方面，CIDOC-CRM、Dublin Core、EDM等元数据标准各有适用场景和优劣。中国文化遗产数字化保护具有规模和政策优势，但在标准体系、数据互操作和版权保护方面仍需借鉴国际经验。中国应从"标准跟随者"走向"标准引领者"，为全球文化遗产数字化保护贡献中国方案。</w:t>
      </w:r>
    </w:p>
    <w:p>
      <w:pPr>
        <w:spacing w:before="200" w:after="120"/>
      </w:pPr>
      <w:r>
        <w:rPr>
          <w:b/>
          <w:color w:val="457B9D"/>
          <w:sz w:val="30"/>
        </w:rPr>
        <w:t>思考题</w:t>
      </w:r>
    </w:p>
    <w:p>
      <w:pPr>
        <w:pStyle w:val="ListNumber"/>
      </w:pPr>
      <w:r>
        <w:rPr>
          <w:b/>
          <w:sz w:val="22"/>
        </w:rPr>
        <w:t>（识记）</w:t>
      </w:r>
      <w:r>
        <w:rPr>
          <w:sz w:val="22"/>
        </w:rPr>
        <w:t xml:space="preserve"> Europeana使用的元数据标准是什么？它相比Dublin Core有何扩展？</w:t>
      </w:r>
    </w:p>
    <w:p>
      <w:pPr>
        <w:pStyle w:val="ListNumber"/>
      </w:pPr>
      <w:r>
        <w:rPr>
          <w:b/>
          <w:sz w:val="22"/>
        </w:rPr>
        <w:t>（理解）</w:t>
      </w:r>
      <w:r>
        <w:rPr>
          <w:sz w:val="22"/>
        </w:rPr>
        <w:t xml:space="preserve"> 比较Europeana和Google Arts &amp; Culture两种文化遗产聚合模式的治理理念差异。</w:t>
      </w:r>
    </w:p>
    <w:p>
      <w:pPr>
        <w:pStyle w:val="ListNumber"/>
      </w:pPr>
      <w:r>
        <w:rPr>
          <w:b/>
          <w:sz w:val="22"/>
        </w:rPr>
        <w:t>（应用）</w:t>
      </w:r>
      <w:r>
        <w:rPr>
          <w:sz w:val="22"/>
        </w:rPr>
        <w:t xml:space="preserve"> 请基于国际经验，为中国"国家文化大数据体系"建设提出三条标准化建议。</w:t>
      </w:r>
    </w:p>
    <w:p>
      <w:pPr>
        <w:pStyle w:val="ListNumber"/>
      </w:pPr>
      <w:r>
        <w:rPr>
          <w:b/>
          <w:sz w:val="22"/>
        </w:rPr>
        <w:t>（分析）</w:t>
      </w:r>
      <w:r>
        <w:rPr>
          <w:sz w:val="22"/>
        </w:rPr>
        <w:t xml:space="preserve"> 分析日本"人间国宝"认定制度与其ICH数字化实践之间的关系，指出对中国的启示。</w:t>
      </w:r>
    </w:p>
    <w:p>
      <w:pPr>
        <w:pStyle w:val="ListNumber"/>
      </w:pPr>
      <w:r>
        <w:rPr>
          <w:b/>
          <w:sz w:val="22"/>
        </w:rPr>
        <w:t>（评价）</w:t>
      </w:r>
      <w:r>
        <w:rPr>
          <w:sz w:val="22"/>
        </w:rPr>
        <w:t xml:space="preserve"> 评估中国文化遗产数字化保护在国际格局中的定位，指出优势、差距和改进方向。</w:t>
      </w:r>
    </w:p>
    <w:p>
      <w:pPr>
        <w:pStyle w:val="ListNumber"/>
      </w:pPr>
      <w:r>
        <w:rPr>
          <w:b/>
          <w:sz w:val="22"/>
        </w:rPr>
        <w:t>（创造）</w:t>
      </w:r>
      <w:r>
        <w:rPr>
          <w:sz w:val="22"/>
        </w:rPr>
        <w:t xml:space="preserve"> 请设计一个"中国文化遗产数字化标准体系框架"方案，包含至少四个标准层级和具体标准项目。</w:t>
      </w:r>
    </w:p>
    <w:p>
      <w:pPr>
        <w:spacing w:before="160" w:after="80"/>
      </w:pPr>
      <w:r>
        <w:rPr>
          <w:b/>
          <w:color w:val="2A9D8F"/>
          <w:sz w:val="26"/>
        </w:rPr>
        <w:t>11.6 国际文化遗产数字化标准的深度比较</w:t>
      </w:r>
    </w:p>
    <w:p>
      <w:pPr>
        <w:spacing w:before="120"/>
      </w:pPr>
      <w:r>
        <w:rPr>
          <w:b/>
          <w:sz w:val="22"/>
        </w:rPr>
        <w:t>11.6.1 元数据标准的演化趋势</w:t>
      </w:r>
    </w:p>
    <w:p>
      <w:pPr>
        <w:spacing w:after="80" w:line="360" w:lineRule="auto"/>
        <w:ind w:firstLine="420"/>
      </w:pPr>
      <w:r>
        <w:rPr>
          <w:sz w:val="22"/>
        </w:rPr>
        <w:t>文化遗产元数据标准经历了从"简单通用"到"复杂专业"再到"语义互操作"的演化过程。Dublin Core（1995年）代表了"简单通用"阶段——15个核心元素，任何机构都能使用；CIDOC-CRM（2006年成为ISO标准）代表了"复杂专业"阶段——约90个实体类和150个关系类型，能精确描述文化遗产领域知识；EDM（2010年开始使用）代表了"语义互操作"阶段——在Dublin Core基础上扩展，支持Linked Data技术。</w:t>
      </w:r>
    </w:p>
    <w:p>
      <w:pPr>
        <w:spacing w:after="80" w:line="360" w:lineRule="auto"/>
        <w:ind w:firstLine="420"/>
      </w:pPr>
      <w:r>
        <w:rPr>
          <w:sz w:val="22"/>
        </w:rPr>
        <w:t>Nikolova等人（2021）在研究文化遗产数字化与互操作性的能力建设时，指出标准演化趋势的核心驱动力是"从数据共享到知识共享"——不仅要共享数据本身，更要共享数据背后的语义和知识[18]。</w:t>
      </w:r>
    </w:p>
    <w:p>
      <w:pPr>
        <w:spacing w:before="120"/>
      </w:pPr>
      <w:r>
        <w:rPr>
          <w:b/>
          <w:sz w:val="22"/>
        </w:rPr>
        <w:t>11.6.2 数据格式标准比较</w:t>
      </w:r>
    </w:p>
    <w:p>
      <w:pPr>
        <w:spacing w:after="80" w:line="360" w:lineRule="auto"/>
        <w:ind w:firstLine="420"/>
      </w:pPr>
      <w:r>
        <w:rPr>
          <w:sz w:val="22"/>
        </w:rPr>
        <w:t>三维数字资源的数据格式标准是另一个重要比较维度。当前主流格式包括：</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D9E2EC"/>
          </w:tcPr>
          <w:p>
            <w:pPr>
              <w:spacing w:before="40" w:after="40"/>
            </w:pPr>
            <w:r>
              <w:rPr>
                <w:b/>
                <w:sz w:val="20"/>
              </w:rPr>
            </w:r>
            <w:r>
              <w:rPr>
                <w:b/>
                <w:sz w:val="20"/>
              </w:rPr>
              <w:t>格式</w:t>
            </w:r>
          </w:p>
        </w:tc>
        <w:tc>
          <w:tcPr>
            <w:tcW w:type="dxa" w:w="2126"/>
            <w:shd w:val="clear" w:color="auto" w:fill="D9E2EC"/>
          </w:tcPr>
          <w:p>
            <w:pPr>
              <w:spacing w:before="40" w:after="40"/>
            </w:pPr>
            <w:r>
              <w:rPr>
                <w:b/>
                <w:sz w:val="20"/>
              </w:rPr>
            </w:r>
            <w:r>
              <w:rPr>
                <w:b/>
                <w:sz w:val="20"/>
              </w:rPr>
              <w:t>特点</w:t>
            </w:r>
          </w:p>
        </w:tc>
        <w:tc>
          <w:tcPr>
            <w:tcW w:type="dxa" w:w="2126"/>
            <w:shd w:val="clear" w:color="auto" w:fill="D9E2EC"/>
          </w:tcPr>
          <w:p>
            <w:pPr>
              <w:spacing w:before="40" w:after="40"/>
            </w:pPr>
            <w:r>
              <w:rPr>
                <w:b/>
                <w:sz w:val="20"/>
              </w:rPr>
            </w:r>
            <w:r>
              <w:rPr>
                <w:b/>
                <w:sz w:val="20"/>
              </w:rPr>
              <w:t>适用场景</w:t>
            </w:r>
          </w:p>
        </w:tc>
        <w:tc>
          <w:tcPr>
            <w:tcW w:type="dxa" w:w="2126"/>
            <w:shd w:val="clear" w:color="auto" w:fill="D9E2EC"/>
          </w:tcPr>
          <w:p>
            <w:pPr>
              <w:spacing w:before="40" w:after="40"/>
            </w:pPr>
            <w:r>
              <w:rPr>
                <w:b/>
                <w:sz w:val="20"/>
              </w:rPr>
            </w:r>
            <w:r>
              <w:rPr>
                <w:b/>
                <w:sz w:val="20"/>
              </w:rPr>
              <w:t>采用情况</w:t>
            </w:r>
          </w:p>
        </w:tc>
      </w:tr>
      <w:tr>
        <w:tc>
          <w:tcPr>
            <w:tcW w:type="dxa" w:w="2126"/>
          </w:tcPr>
          <w:p>
            <w:pPr>
              <w:spacing w:before="40" w:after="40"/>
            </w:pPr>
            <w:r>
              <w:rPr>
                <w:sz w:val="20"/>
              </w:rPr>
            </w:r>
            <w:r>
              <w:rPr>
                <w:sz w:val="20"/>
              </w:rPr>
              <w:t>OBJ</w:t>
            </w:r>
          </w:p>
        </w:tc>
        <w:tc>
          <w:tcPr>
            <w:tcW w:type="dxa" w:w="2126"/>
          </w:tcPr>
          <w:p>
            <w:pPr>
              <w:spacing w:before="40" w:after="40"/>
            </w:pPr>
            <w:r>
              <w:rPr>
                <w:sz w:val="20"/>
              </w:rPr>
            </w:r>
            <w:r>
              <w:rPr>
                <w:sz w:val="20"/>
              </w:rPr>
              <w:t>简单通用，支持几何+纹理</w:t>
            </w:r>
          </w:p>
        </w:tc>
        <w:tc>
          <w:tcPr>
            <w:tcW w:type="dxa" w:w="2126"/>
          </w:tcPr>
          <w:p>
            <w:pPr>
              <w:spacing w:before="40" w:after="40"/>
            </w:pPr>
            <w:r>
              <w:rPr>
                <w:sz w:val="20"/>
              </w:rPr>
            </w:r>
            <w:r>
              <w:rPr>
                <w:sz w:val="20"/>
              </w:rPr>
              <w:t>通用三维模型交换</w:t>
            </w:r>
          </w:p>
        </w:tc>
        <w:tc>
          <w:tcPr>
            <w:tcW w:type="dxa" w:w="2126"/>
          </w:tcPr>
          <w:p>
            <w:pPr>
              <w:spacing w:before="40" w:after="40"/>
            </w:pPr>
            <w:r>
              <w:rPr>
                <w:sz w:val="20"/>
              </w:rPr>
            </w:r>
            <w:r>
              <w:rPr>
                <w:sz w:val="20"/>
              </w:rPr>
              <w:t>广泛</w:t>
            </w:r>
          </w:p>
        </w:tc>
      </w:tr>
      <w:tr>
        <w:tc>
          <w:tcPr>
            <w:tcW w:type="dxa" w:w="2126"/>
            <w:shd w:val="clear" w:color="auto" w:fill="F5F5F5"/>
          </w:tcPr>
          <w:p>
            <w:pPr>
              <w:spacing w:before="40" w:after="40"/>
            </w:pPr>
            <w:r>
              <w:rPr>
                <w:sz w:val="20"/>
              </w:rPr>
            </w:r>
            <w:r>
              <w:rPr>
                <w:sz w:val="20"/>
              </w:rPr>
              <w:t>PLY</w:t>
            </w:r>
          </w:p>
        </w:tc>
        <w:tc>
          <w:tcPr>
            <w:tcW w:type="dxa" w:w="2126"/>
            <w:shd w:val="clear" w:color="auto" w:fill="F5F5F5"/>
          </w:tcPr>
          <w:p>
            <w:pPr>
              <w:spacing w:before="40" w:after="40"/>
            </w:pPr>
            <w:r>
              <w:rPr>
                <w:sz w:val="20"/>
              </w:rPr>
            </w:r>
            <w:r>
              <w:rPr>
                <w:sz w:val="20"/>
              </w:rPr>
              <w:t>支持点云和网格，存储高效</w:t>
            </w:r>
          </w:p>
        </w:tc>
        <w:tc>
          <w:tcPr>
            <w:tcW w:type="dxa" w:w="2126"/>
            <w:shd w:val="clear" w:color="auto" w:fill="F5F5F5"/>
          </w:tcPr>
          <w:p>
            <w:pPr>
              <w:spacing w:before="40" w:after="40"/>
            </w:pPr>
            <w:r>
              <w:rPr>
                <w:sz w:val="20"/>
              </w:rPr>
            </w:r>
            <w:r>
              <w:rPr>
                <w:sz w:val="20"/>
              </w:rPr>
              <w:t>三维扫描数据</w:t>
            </w:r>
          </w:p>
        </w:tc>
        <w:tc>
          <w:tcPr>
            <w:tcW w:type="dxa" w:w="2126"/>
            <w:shd w:val="clear" w:color="auto" w:fill="F5F5F5"/>
          </w:tcPr>
          <w:p>
            <w:pPr>
              <w:spacing w:before="40" w:after="40"/>
            </w:pPr>
            <w:r>
              <w:rPr>
                <w:sz w:val="20"/>
              </w:rPr>
            </w:r>
            <w:r>
              <w:rPr>
                <w:sz w:val="20"/>
              </w:rPr>
              <w:t>中等</w:t>
            </w:r>
          </w:p>
        </w:tc>
      </w:tr>
      <w:tr>
        <w:tc>
          <w:tcPr>
            <w:tcW w:type="dxa" w:w="2126"/>
          </w:tcPr>
          <w:p>
            <w:pPr>
              <w:spacing w:before="40" w:after="40"/>
            </w:pPr>
            <w:r>
              <w:rPr>
                <w:sz w:val="20"/>
              </w:rPr>
            </w:r>
            <w:r>
              <w:rPr>
                <w:sz w:val="20"/>
              </w:rPr>
              <w:t>GLTF</w:t>
            </w:r>
          </w:p>
        </w:tc>
        <w:tc>
          <w:tcPr>
            <w:tcW w:type="dxa" w:w="2126"/>
          </w:tcPr>
          <w:p>
            <w:pPr>
              <w:spacing w:before="40" w:after="40"/>
            </w:pPr>
            <w:r>
              <w:rPr>
                <w:sz w:val="20"/>
              </w:rPr>
            </w:r>
            <w:r>
              <w:rPr>
                <w:sz w:val="20"/>
              </w:rPr>
              <w:t>Web友好，支持动画</w:t>
            </w:r>
          </w:p>
        </w:tc>
        <w:tc>
          <w:tcPr>
            <w:tcW w:type="dxa" w:w="2126"/>
          </w:tcPr>
          <w:p>
            <w:pPr>
              <w:spacing w:before="40" w:after="40"/>
            </w:pPr>
            <w:r>
              <w:rPr>
                <w:sz w:val="20"/>
              </w:rPr>
            </w:r>
            <w:r>
              <w:rPr>
                <w:sz w:val="20"/>
              </w:rPr>
              <w:t>Web3D展示</w:t>
            </w:r>
          </w:p>
        </w:tc>
        <w:tc>
          <w:tcPr>
            <w:tcW w:type="dxa" w:w="2126"/>
          </w:tcPr>
          <w:p>
            <w:pPr>
              <w:spacing w:before="40" w:after="40"/>
            </w:pPr>
            <w:r>
              <w:rPr>
                <w:sz w:val="20"/>
              </w:rPr>
            </w:r>
            <w:r>
              <w:rPr>
                <w:sz w:val="20"/>
              </w:rPr>
              <w:t>增长迅速</w:t>
            </w:r>
          </w:p>
        </w:tc>
      </w:tr>
      <w:tr>
        <w:tc>
          <w:tcPr>
            <w:tcW w:type="dxa" w:w="2126"/>
            <w:shd w:val="clear" w:color="auto" w:fill="F5F5F5"/>
          </w:tcPr>
          <w:p>
            <w:pPr>
              <w:spacing w:before="40" w:after="40"/>
            </w:pPr>
            <w:r>
              <w:rPr>
                <w:sz w:val="20"/>
              </w:rPr>
            </w:r>
            <w:r>
              <w:rPr>
                <w:sz w:val="20"/>
              </w:rPr>
              <w:t>FBX</w:t>
            </w:r>
          </w:p>
        </w:tc>
        <w:tc>
          <w:tcPr>
            <w:tcW w:type="dxa" w:w="2126"/>
            <w:shd w:val="clear" w:color="auto" w:fill="F5F5F5"/>
          </w:tcPr>
          <w:p>
            <w:pPr>
              <w:spacing w:before="40" w:after="40"/>
            </w:pPr>
            <w:r>
              <w:rPr>
                <w:sz w:val="20"/>
              </w:rPr>
            </w:r>
            <w:r>
              <w:rPr>
                <w:sz w:val="20"/>
              </w:rPr>
              <w:t>功能丰富，支持动画</w:t>
            </w:r>
          </w:p>
        </w:tc>
        <w:tc>
          <w:tcPr>
            <w:tcW w:type="dxa" w:w="2126"/>
            <w:shd w:val="clear" w:color="auto" w:fill="F5F5F5"/>
          </w:tcPr>
          <w:p>
            <w:pPr>
              <w:spacing w:before="40" w:after="40"/>
            </w:pPr>
            <w:r>
              <w:rPr>
                <w:sz w:val="20"/>
              </w:rPr>
            </w:r>
            <w:r>
              <w:rPr>
                <w:sz w:val="20"/>
              </w:rPr>
              <w:t>VR/AR开发</w:t>
            </w:r>
          </w:p>
        </w:tc>
        <w:tc>
          <w:tcPr>
            <w:tcW w:type="dxa" w:w="2126"/>
            <w:shd w:val="clear" w:color="auto" w:fill="F5F5F5"/>
          </w:tcPr>
          <w:p>
            <w:pPr>
              <w:spacing w:before="40" w:after="40"/>
            </w:pPr>
            <w:r>
              <w:rPr>
                <w:sz w:val="20"/>
              </w:rPr>
            </w:r>
            <w:r>
              <w:rPr>
                <w:sz w:val="20"/>
              </w:rPr>
              <w:t>行业标准</w:t>
            </w:r>
          </w:p>
        </w:tc>
      </w:tr>
      <w:tr>
        <w:tc>
          <w:tcPr>
            <w:tcW w:type="dxa" w:w="2126"/>
          </w:tcPr>
          <w:p>
            <w:pPr>
              <w:spacing w:before="40" w:after="40"/>
            </w:pPr>
            <w:r>
              <w:rPr>
                <w:sz w:val="20"/>
              </w:rPr>
            </w:r>
            <w:r>
              <w:rPr>
                <w:sz w:val="20"/>
              </w:rPr>
              <w:t>X3D</w:t>
            </w:r>
          </w:p>
        </w:tc>
        <w:tc>
          <w:tcPr>
            <w:tcW w:type="dxa" w:w="2126"/>
          </w:tcPr>
          <w:p>
            <w:pPr>
              <w:spacing w:before="40" w:after="40"/>
            </w:pPr>
            <w:r>
              <w:rPr>
                <w:sz w:val="20"/>
              </w:rPr>
            </w:r>
            <w:r>
              <w:rPr>
                <w:sz w:val="20"/>
              </w:rPr>
              <w:t>XML格式，支持交互</w:t>
            </w:r>
          </w:p>
        </w:tc>
        <w:tc>
          <w:tcPr>
            <w:tcW w:type="dxa" w:w="2126"/>
          </w:tcPr>
          <w:p>
            <w:pPr>
              <w:spacing w:before="40" w:after="40"/>
            </w:pPr>
            <w:r>
              <w:rPr>
                <w:sz w:val="20"/>
              </w:rPr>
            </w:r>
            <w:r>
              <w:rPr>
                <w:sz w:val="20"/>
              </w:rPr>
              <w:t>虚拟博物馆</w:t>
            </w:r>
          </w:p>
        </w:tc>
        <w:tc>
          <w:tcPr>
            <w:tcW w:type="dxa" w:w="2126"/>
          </w:tcPr>
          <w:p>
            <w:pPr>
              <w:spacing w:before="40" w:after="40"/>
            </w:pPr>
            <w:r>
              <w:rPr>
                <w:sz w:val="20"/>
              </w:rPr>
            </w:r>
            <w:r>
              <w:rPr>
                <w:sz w:val="20"/>
              </w:rPr>
              <w:t>逐渐减少</w:t>
            </w:r>
          </w:p>
        </w:tc>
      </w:tr>
    </w:tbl>
    <w:p>
      <w:pPr>
        <w:spacing w:after="80" w:line="360" w:lineRule="auto"/>
        <w:ind w:firstLine="420"/>
      </w:pPr>
      <w:r>
        <w:rPr>
          <w:sz w:val="22"/>
        </w:rPr>
        <w:t>刘芳和吴振新（2022）指出，数据格式选择需要考虑"精度-效率-兼容性"三角——高精度格式文件大、加载慢；高效率格式可能损失精度；高兼容性格式可能功能不足[19]。</w:t>
      </w:r>
    </w:p>
    <w:p>
      <w:pPr>
        <w:spacing w:before="120"/>
      </w:pPr>
      <w:r>
        <w:rPr>
          <w:b/>
          <w:sz w:val="22"/>
        </w:rPr>
        <w:t>11.6.3 版权保护标准比较</w:t>
      </w:r>
    </w:p>
    <w:p>
      <w:pPr>
        <w:spacing w:after="80" w:line="360" w:lineRule="auto"/>
        <w:ind w:firstLine="420"/>
      </w:pPr>
      <w:r>
        <w:rPr>
          <w:sz w:val="22"/>
        </w:rPr>
        <w:t>不同国家对文化遗产数字资源版权保护的制度差异显著。张卫东等人（2013）在研究欧美图书档案数字化融合服务实践时，总结出欧美在数据版权保护方面的经验包括：明确的版权声明、Creative Commons系列许可、机构政策与法律框架的协同[20]。</w:t>
      </w:r>
    </w:p>
    <w:p>
      <w:pPr>
        <w:spacing w:before="160" w:after="80"/>
      </w:pPr>
      <w:r>
        <w:rPr>
          <w:b/>
          <w:color w:val="2A9D8F"/>
          <w:sz w:val="26"/>
        </w:rPr>
        <w:t>11.7 中国文化遗产数字化的路径选择</w:t>
      </w:r>
    </w:p>
    <w:p>
      <w:pPr>
        <w:spacing w:before="120"/>
      </w:pPr>
      <w:r>
        <w:rPr>
          <w:b/>
          <w:sz w:val="22"/>
        </w:rPr>
        <w:t>11.7.1 标准体系建设的"中国路径"</w:t>
      </w:r>
    </w:p>
    <w:p>
      <w:pPr>
        <w:spacing w:after="80" w:line="360" w:lineRule="auto"/>
        <w:ind w:firstLine="420"/>
      </w:pPr>
      <w:r>
        <w:rPr>
          <w:sz w:val="22"/>
        </w:rPr>
        <w:t>中国文化遗产数字化标准体系建设应避免"全盘照搬"国际标准，而应在借鉴国际经验的基础上构建符合中国国情的标准体系。具体路径包括：</w:t>
      </w:r>
    </w:p>
    <w:p>
      <w:pPr>
        <w:spacing w:after="80" w:line="360" w:lineRule="auto"/>
        <w:ind w:firstLine="420"/>
      </w:pPr>
      <w:r>
        <w:rPr>
          <w:b/>
          <w:sz w:val="22"/>
        </w:rPr>
        <w:t>顶层设计</w:t>
      </w:r>
      <w:r>
        <w:rPr>
          <w:sz w:val="22"/>
        </w:rPr>
        <w:t>：制定全国统一的文化遗产数字化技术标准框架，明确各级标准的层级关系和适用范围。</w:t>
      </w:r>
    </w:p>
    <w:p>
      <w:pPr>
        <w:spacing w:after="80" w:line="360" w:lineRule="auto"/>
        <w:ind w:firstLine="420"/>
      </w:pPr>
      <w:r>
        <w:rPr>
          <w:b/>
          <w:sz w:val="22"/>
        </w:rPr>
        <w:t>分领域推进</w:t>
      </w:r>
      <w:r>
        <w:rPr>
          <w:sz w:val="22"/>
        </w:rPr>
        <w:t>：不同类型遗产（可移动文物、不可移动文物、ICH）的数字化技术特点差异显著，应分别制定专门标准。</w:t>
      </w:r>
    </w:p>
    <w:p>
      <w:pPr>
        <w:spacing w:after="80" w:line="360" w:lineRule="auto"/>
        <w:ind w:firstLine="420"/>
      </w:pPr>
      <w:r>
        <w:rPr>
          <w:b/>
          <w:sz w:val="22"/>
        </w:rPr>
        <w:t>渐进实施</w:t>
      </w:r>
      <w:r>
        <w:rPr>
          <w:sz w:val="22"/>
        </w:rPr>
        <w:t>：对大型机构先行试点，积累经验后逐步推广到中小型机构。</w:t>
      </w:r>
    </w:p>
    <w:p>
      <w:pPr>
        <w:spacing w:after="80" w:line="360" w:lineRule="auto"/>
        <w:ind w:firstLine="420"/>
      </w:pPr>
      <w:r>
        <w:rPr>
          <w:b/>
          <w:sz w:val="22"/>
        </w:rPr>
        <w:t>国际接轨</w:t>
      </w:r>
      <w:r>
        <w:rPr>
          <w:sz w:val="22"/>
        </w:rPr>
        <w:t>：在标准制定过程中参考CIDOC-CRM、EDM等国际标准，确保数据互操作性。</w:t>
      </w:r>
    </w:p>
    <w:p>
      <w:pPr>
        <w:spacing w:before="120"/>
      </w:pPr>
      <w:r>
        <w:rPr>
          <w:b/>
          <w:sz w:val="22"/>
        </w:rPr>
        <w:t>11.7.2 平台建设的"中国模式"</w:t>
      </w:r>
    </w:p>
    <w:p>
      <w:pPr>
        <w:spacing w:after="80" w:line="360" w:lineRule="auto"/>
        <w:ind w:firstLine="420"/>
      </w:pPr>
      <w:r>
        <w:rPr>
          <w:sz w:val="22"/>
        </w:rPr>
        <w:t>中国正在推进的"国家文化大数据体系"建设可以借鉴Europeana的聚合平台经验，但需要考虑中国的特殊性——文化资源规模更大、行政体系更集中、多民族文化更多样。汪静（2017）在分析Europeana启示时提出，中国数字文化平台建设应树立国际化合作意识、开放各项建设标准、加强对新技术的利用[21]。</w:t>
      </w:r>
    </w:p>
    <w:p>
      <w:pPr>
        <w:spacing w:before="120"/>
      </w:pPr>
      <w:r>
        <w:rPr>
          <w:b/>
          <w:sz w:val="22"/>
        </w:rPr>
        <w:t>11.7.3 人才培养的"中国方案"</w:t>
      </w:r>
    </w:p>
    <w:p>
      <w:pPr>
        <w:spacing w:after="80" w:line="360" w:lineRule="auto"/>
        <w:ind w:firstLine="420"/>
      </w:pPr>
      <w:r>
        <w:rPr>
          <w:sz w:val="22"/>
        </w:rPr>
        <w:t>中国文化遗产数字化人才短缺问题突出。解决方案应包括：高校开设"数字人文"或"文化遗产数字化"交叉学科专业，培养复合型人才；文化遗产机构与技术企业建立联合培养机制；国际交流与合作——派专业人员到Europeana、史密森尼等先进机构学习。</w:t>
      </w:r>
    </w:p>
    <w:p>
      <w:pPr>
        <w:spacing w:before="160" w:after="80"/>
      </w:pPr>
      <w:r>
        <w:rPr>
          <w:b/>
          <w:color w:val="2A9D8F"/>
          <w:sz w:val="26"/>
        </w:rPr>
        <w:t>11.8 国际合作的前景与挑战</w:t>
      </w:r>
    </w:p>
    <w:p>
      <w:pPr>
        <w:spacing w:before="120"/>
      </w:pPr>
      <w:r>
        <w:rPr>
          <w:b/>
          <w:sz w:val="22"/>
        </w:rPr>
        <w:t>11.8.1 数字遗产的国际合作机制</w:t>
      </w:r>
    </w:p>
    <w:p>
      <w:pPr>
        <w:spacing w:after="80" w:line="360" w:lineRule="auto"/>
        <w:ind w:firstLine="420"/>
      </w:pPr>
      <w:r>
        <w:rPr>
          <w:sz w:val="22"/>
        </w:rPr>
        <w:t>数字遗产保护需要国际合作——文化遗产是人类共同遗产，数字技术无国界，数据标准和法律框架需要国际协调。UNESCO在2003年《数字遗产保护宪章》中呼吁建立全球性的数字遗产保护合作机制，但实际进展有限。Pshenychnyi和Zinchenko（2025）指出，UNESCO从物质到数字的保护方法论转变需要各国的积极参与[22]。</w:t>
      </w:r>
    </w:p>
    <w:p>
      <w:pPr>
        <w:spacing w:before="120"/>
      </w:pPr>
      <w:r>
        <w:rPr>
          <w:b/>
          <w:sz w:val="22"/>
        </w:rPr>
        <w:t>11.8.2 "一带一路"文化遗产数字化合作</w:t>
      </w:r>
    </w:p>
    <w:p>
      <w:pPr>
        <w:spacing w:after="80" w:line="360" w:lineRule="auto"/>
        <w:ind w:firstLine="420"/>
      </w:pPr>
      <w:r>
        <w:rPr>
          <w:sz w:val="22"/>
        </w:rPr>
        <w:t>"一带一路"沿线拥有丰富的文化遗产，数字技术为跨国遗产保护合作提供了新平台。丝绸之路文化遗产的联合数字化——中国、中亚、欧洲的遗产机构可以共同数字化丝绸之路沿线遗址和文物，构建跨国数字遗产平台。</w:t>
      </w:r>
    </w:p>
    <w:p>
      <w:pPr>
        <w:spacing w:before="120"/>
      </w:pPr>
      <w:r>
        <w:rPr>
          <w:b/>
          <w:sz w:val="22"/>
        </w:rPr>
        <w:t>11.8.3 南北差距与数字遗产公平</w:t>
      </w:r>
    </w:p>
    <w:p>
      <w:pPr>
        <w:spacing w:after="80" w:line="360" w:lineRule="auto"/>
        <w:ind w:firstLine="420"/>
      </w:pPr>
      <w:r>
        <w:rPr>
          <w:sz w:val="22"/>
        </w:rPr>
        <w:t>发达国家与发展中国家在数字遗产保护能力上存在显著差距。Abdelmonem（2017）警告，数字和虚拟遗产治理中的差距可能使资源有限的社区被边缘化[23]。国际合作应包括技术转移、能力建设和资金援助，确保数字遗产保护的全球公平性。</w:t>
      </w:r>
    </w:p>
    <w:p>
      <w:pPr>
        <w:spacing w:before="160" w:after="80"/>
      </w:pPr>
      <w:r>
        <w:rPr>
          <w:b/>
          <w:color w:val="2A9D8F"/>
          <w:sz w:val="26"/>
        </w:rPr>
        <w:t>11.9 欧洲数字化实践的系统分析</w:t>
      </w:r>
    </w:p>
    <w:p>
      <w:pPr>
        <w:spacing w:before="120"/>
      </w:pPr>
      <w:r>
        <w:rPr>
          <w:b/>
          <w:sz w:val="22"/>
        </w:rPr>
        <w:t>11.9.1 Europeana的运营模式深度解析</w:t>
      </w:r>
    </w:p>
    <w:p>
      <w:pPr>
        <w:spacing w:after="80" w:line="360" w:lineRule="auto"/>
        <w:ind w:firstLine="420"/>
      </w:pPr>
      <w:r>
        <w:rPr>
          <w:sz w:val="22"/>
        </w:rPr>
        <w:t>Europeana的运营模式包含三个核心层面：</w:t>
      </w:r>
    </w:p>
    <w:p>
      <w:pPr>
        <w:spacing w:after="80" w:line="360" w:lineRule="auto"/>
        <w:ind w:firstLine="420"/>
      </w:pPr>
      <w:r>
        <w:rPr>
          <w:b/>
          <w:sz w:val="22"/>
        </w:rPr>
        <w:t>数据层</w:t>
      </w:r>
      <w:r>
        <w:rPr>
          <w:sz w:val="22"/>
        </w:rPr>
        <w:t>：Europeana本身不存储数字资源原件（图像、三维模型等），而是存储元数据和指向各机构原始资源的链接。这种"元数据聚合"模式降低了对中心化存储的需求，但也带来链接失效（链接指向的资源被移动或删除）的风险。</w:t>
      </w:r>
    </w:p>
    <w:p>
      <w:pPr>
        <w:spacing w:after="80" w:line="360" w:lineRule="auto"/>
        <w:ind w:firstLine="420"/>
      </w:pPr>
      <w:r>
        <w:rPr>
          <w:b/>
          <w:sz w:val="22"/>
        </w:rPr>
        <w:t>治理层</w:t>
      </w:r>
      <w:r>
        <w:rPr>
          <w:sz w:val="22"/>
        </w:rPr>
        <w:t>：Europeana由欧洲数字化图书馆基金会（EDL Foundation）管理，各成员国通过国家聚合机构参与运营。Bliūdžiuvienė（2011）指出，这种"分布式治理"模式兼顾了统一标准和各国自主性[24]。</w:t>
      </w:r>
    </w:p>
    <w:p>
      <w:pPr>
        <w:spacing w:after="80" w:line="360" w:lineRule="auto"/>
        <w:ind w:firstLine="420"/>
      </w:pPr>
      <w:r>
        <w:rPr>
          <w:b/>
          <w:sz w:val="22"/>
        </w:rPr>
        <w:t>服务层</w:t>
      </w:r>
      <w:r>
        <w:rPr>
          <w:sz w:val="22"/>
        </w:rPr>
        <w:t>：Europeana提供多种服务——门户网站（面向普通公众）、API接口（面向开发者）、教育平台Europeana Classroom（面向教育者）。</w:t>
      </w:r>
    </w:p>
    <w:p>
      <w:pPr>
        <w:spacing w:before="120"/>
      </w:pPr>
      <w:r>
        <w:rPr>
          <w:b/>
          <w:sz w:val="22"/>
        </w:rPr>
        <w:t>11.9.2 3D-ICONS项目的技术规范</w:t>
      </w:r>
    </w:p>
    <w:p>
      <w:pPr>
        <w:spacing w:after="80" w:line="360" w:lineRule="auto"/>
        <w:ind w:firstLine="420"/>
      </w:pPr>
      <w:r>
        <w:rPr>
          <w:sz w:val="22"/>
        </w:rPr>
        <w:t>3D-ICONS项目为欧洲建筑遗产的三维数字化制定了详细的技术规范，涵盖数据采集、处理、存储和发布全流程。规范要求：几何精度根据对象尺度分级设定（小型文物0.5mm，大型建筑2-5cm），纹理分辨率不低于300DPI，数据格式推荐OBJ+JPEG组合，元数据遵循CIDOC-CRM。</w:t>
      </w:r>
    </w:p>
    <w:p>
      <w:pPr>
        <w:spacing w:after="80" w:line="360" w:lineRule="auto"/>
        <w:ind w:firstLine="420"/>
      </w:pPr>
      <w:r>
        <w:rPr>
          <w:sz w:val="22"/>
        </w:rPr>
        <w:t>刘芳和吴振新（2022）指出，3D-ICONS的标准化经验对中国三维数字化标准制定具有重要参考价值，但中国需要根据文物类型特征（如中国古代木构建筑的榫卯结构细节记录需求）进行本土化扩展[19]。</w:t>
      </w:r>
    </w:p>
    <w:p>
      <w:pPr>
        <w:spacing w:before="160" w:after="80"/>
      </w:pPr>
      <w:r>
        <w:rPr>
          <w:b/>
          <w:color w:val="2A9D8F"/>
          <w:sz w:val="26"/>
        </w:rPr>
        <w:t>11.10 亚洲数字化实践的深度比较</w:t>
      </w:r>
    </w:p>
    <w:p>
      <w:pPr>
        <w:spacing w:before="120"/>
      </w:pPr>
      <w:r>
        <w:rPr>
          <w:b/>
          <w:sz w:val="22"/>
        </w:rPr>
        <w:t>11.10.1 日本ICH数字化的"人间国宝"体系</w:t>
      </w:r>
    </w:p>
    <w:p>
      <w:pPr>
        <w:spacing w:after="80" w:line="360" w:lineRule="auto"/>
        <w:ind w:firstLine="420"/>
      </w:pPr>
      <w:r>
        <w:rPr>
          <w:sz w:val="22"/>
        </w:rPr>
        <w:t>日本"人间国宝"认定制度的数字化实践具有独特价值。每位"人间国宝"的技艺记录包括：年度技艺记录视频（专业团队拍摄）、工具和成品的三维数字化、技艺过程的动作捕捉数据、传承人口述史访谈。这些记录存入日本文化厅的数字档案系统，支持学术研究和技艺传承。</w:t>
      </w:r>
    </w:p>
    <w:p>
      <w:pPr>
        <w:spacing w:after="80" w:line="360" w:lineRule="auto"/>
        <w:ind w:firstLine="420"/>
      </w:pPr>
      <w:r>
        <w:rPr>
          <w:sz w:val="22"/>
        </w:rPr>
        <w:t>姚国章和刘增燕（2022）指出，日本的实践启示在于：ICH数字化必须与法律制度紧密结合——《文化财保护法》为数字化提供了法律授权和资金保障[11]。</w:t>
      </w:r>
    </w:p>
    <w:p>
      <w:pPr>
        <w:spacing w:before="120"/>
      </w:pPr>
      <w:r>
        <w:rPr>
          <w:b/>
          <w:sz w:val="22"/>
        </w:rPr>
        <w:t>11.10.2 韩国文化遗产的"活用"导向</w:t>
      </w:r>
    </w:p>
    <w:p>
      <w:pPr>
        <w:spacing w:after="80" w:line="360" w:lineRule="auto"/>
        <w:ind w:firstLine="420"/>
      </w:pPr>
      <w:r>
        <w:rPr>
          <w:sz w:val="22"/>
        </w:rPr>
        <w:t>韩国的文化遗产数字化以"活用"（활용）为核心导向——不仅保存遗产，更让遗产融入当代生活。韩国文化遗产厅开发的"文化遗产讲故事"APP利用AR技术将历史人物和事件叠加到遗产现场，游客可以在智能手机上看到古代宫殿的虚拟复原。Jung等人（2020）的济州岛VR/AR应用研究展示了韩国在混合现实文化沉浸方面的前沿实践[25]。</w:t>
      </w:r>
    </w:p>
    <w:p>
      <w:pPr>
        <w:spacing w:before="120"/>
      </w:pPr>
      <w:r>
        <w:rPr>
          <w:b/>
          <w:sz w:val="22"/>
        </w:rPr>
        <w:t>11.10.3 东南亚社区参与式数字化</w:t>
      </w:r>
    </w:p>
    <w:p>
      <w:pPr>
        <w:spacing w:after="80" w:line="360" w:lineRule="auto"/>
        <w:ind w:firstLine="420"/>
      </w:pPr>
      <w:r>
        <w:rPr>
          <w:sz w:val="22"/>
        </w:rPr>
        <w:t>东南亚国家的ICH数字化面临资源不足的挑战，但发展出了社区参与式数字化的创新模式。Sirisomboon（2020）的泰国清莱山区部落数字虚拟博物馆项目，让部落社区成员自己参与数字记录和内容创作，而非仅由外部机构"拍摄"[26]。这种"社区主体"模式确保了数字遗产的文化真实性。</w:t>
      </w:r>
    </w:p>
    <w:p>
      <w:pPr>
        <w:spacing w:before="160" w:after="80"/>
      </w:pPr>
      <w:r>
        <w:rPr>
          <w:b/>
          <w:color w:val="2A9D8F"/>
          <w:sz w:val="26"/>
        </w:rPr>
        <w:t>11.11 全球南北数字遗产差距分析</w:t>
      </w:r>
    </w:p>
    <w:p>
      <w:pPr>
        <w:spacing w:before="120"/>
      </w:pPr>
      <w:r>
        <w:rPr>
          <w:b/>
          <w:sz w:val="22"/>
        </w:rPr>
        <w:t>11.11.1 差距现状</w:t>
      </w:r>
    </w:p>
    <w:p>
      <w:pPr>
        <w:spacing w:after="80" w:line="360" w:lineRule="auto"/>
        <w:ind w:firstLine="420"/>
      </w:pPr>
      <w:r>
        <w:rPr>
          <w:sz w:val="22"/>
        </w:rPr>
        <w:t>全球数字遗产保护能力差距显著：欧洲拥有Europeana等系统性平台，美国拥有史密森尼等领先机构，而非洲、拉美和南亚许多国家的文化遗产数字化仍处于起步阶段。Abdelmonem（2017）警告，数字遗产治理中的差距使得技术资源有限的社区被边缘化[23]。</w:t>
      </w:r>
    </w:p>
    <w:p>
      <w:pPr>
        <w:spacing w:before="120"/>
      </w:pPr>
      <w:r>
        <w:rPr>
          <w:b/>
          <w:sz w:val="22"/>
        </w:rPr>
        <w:t>11.11.2 差距成因</w:t>
      </w:r>
    </w:p>
    <w:p>
      <w:pPr>
        <w:spacing w:after="80" w:line="360" w:lineRule="auto"/>
        <w:ind w:firstLine="420"/>
      </w:pPr>
      <w:r>
        <w:rPr>
          <w:sz w:val="22"/>
        </w:rPr>
        <w:t>差距的成因是多重的：经济因素（数字化需要大量资金投入）、技术因素（缺乏专业设备和技术人才）、制度因素（缺乏政策支持和法律框架）、语言因素（国际标准主要以英语制定，非英语国家参与度低）。</w:t>
      </w:r>
    </w:p>
    <w:p>
      <w:pPr>
        <w:spacing w:before="120"/>
      </w:pPr>
      <w:r>
        <w:rPr>
          <w:b/>
          <w:sz w:val="22"/>
        </w:rPr>
        <w:t>11.11.3 缩小差距的路径</w:t>
      </w:r>
    </w:p>
    <w:p>
      <w:pPr>
        <w:spacing w:after="80" w:line="360" w:lineRule="auto"/>
        <w:ind w:firstLine="420"/>
      </w:pPr>
      <w:r>
        <w:rPr>
          <w:sz w:val="22"/>
        </w:rPr>
        <w:t>缩小差距需要国际社会的共同努力：UNESCO提供政策指导和能力建设培训；发达国家通过技术转移和资金援助支持发展中国家；开源技术和免费工具（如Blender、Three.js）降低数字化门槛；国际合作项目（如Google Arts &amp; Culture）为资源有限机构提供数字化平台。</w:t>
      </w:r>
    </w:p>
    <w:p>
      <w:pPr>
        <w:spacing w:before="160" w:after="80"/>
      </w:pPr>
      <w:r>
        <w:rPr>
          <w:b/>
          <w:color w:val="2A9D8F"/>
          <w:sz w:val="26"/>
        </w:rPr>
        <w:t>11.12 中国标准的国际化路径</w:t>
      </w:r>
    </w:p>
    <w:p>
      <w:pPr>
        <w:spacing w:before="120"/>
      </w:pPr>
      <w:r>
        <w:rPr>
          <w:b/>
          <w:sz w:val="22"/>
        </w:rPr>
        <w:t>11.12.1 从标准跟随到标准引领</w:t>
      </w:r>
    </w:p>
    <w:p>
      <w:pPr>
        <w:spacing w:after="80" w:line="360" w:lineRule="auto"/>
        <w:ind w:firstLine="420"/>
      </w:pPr>
      <w:r>
        <w:rPr>
          <w:sz w:val="22"/>
        </w:rPr>
        <w:t>中国在国际文化遗产标准制定中的角色正在从"跟随者"向"参与者"转变。下一步应向"引领者"迈进——在具有中国优势的领域（如大规模数字化实践、多民族ICH保护、文化遗产大数据治理）提出中国方案，推动形成国际标准。</w:t>
      </w:r>
    </w:p>
    <w:p>
      <w:pPr>
        <w:spacing w:before="120"/>
      </w:pPr>
      <w:r>
        <w:rPr>
          <w:b/>
          <w:sz w:val="22"/>
        </w:rPr>
        <w:t>11.12.2 区域标准合作</w:t>
      </w:r>
    </w:p>
    <w:p>
      <w:pPr>
        <w:spacing w:after="80" w:line="360" w:lineRule="auto"/>
        <w:ind w:firstLine="420"/>
      </w:pPr>
      <w:r>
        <w:rPr>
          <w:sz w:val="22"/>
        </w:rPr>
        <w:t>中国可以在"一带一路"框架下推动区域文化遗产数字化标准合作——与沿线国家共同制定适用于亚洲遗产特征的技术标准。Nikolova等人（2021）在研究文化遗产数字化互操作性时，指出区域标准合作是国际标准化的有效过渡路径[18]。</w:t>
      </w:r>
    </w:p>
    <w:p>
      <w:pPr>
        <w:spacing w:before="120"/>
      </w:pPr>
      <w:r>
        <w:rPr>
          <w:b/>
          <w:sz w:val="22"/>
        </w:rPr>
        <w:t>11.12.3 标准输出的文化考量</w:t>
      </w:r>
    </w:p>
    <w:p>
      <w:pPr>
        <w:spacing w:after="80" w:line="360" w:lineRule="auto"/>
        <w:ind w:firstLine="420"/>
      </w:pPr>
      <w:r>
        <w:rPr>
          <w:sz w:val="22"/>
        </w:rPr>
        <w:t>中国标准国际化需要注意文化差异——中国标准的制定逻辑、技术路径和优先级可能与西方国家不同。标准输出不是"单向推广"，而是"双向对话"——在输出中国经验的同时吸收国际反馈，形成多方共识的标准化方案。</w:t>
      </w:r>
    </w:p>
    <w:p>
      <w:pPr>
        <w:spacing w:before="160" w:after="80"/>
      </w:pPr>
      <w:r>
        <w:rPr>
          <w:b/>
          <w:color w:val="2A9D8F"/>
          <w:sz w:val="26"/>
        </w:rPr>
        <w:t>11.13 技术转移与能力建设的国际合作</w:t>
      </w:r>
    </w:p>
    <w:p>
      <w:pPr>
        <w:spacing w:before="120"/>
      </w:pPr>
      <w:r>
        <w:rPr>
          <w:b/>
          <w:sz w:val="22"/>
        </w:rPr>
        <w:t>11.13.1 UNESCO的能力建设框架</w:t>
      </w:r>
    </w:p>
    <w:p>
      <w:pPr>
        <w:spacing w:after="80" w:line="360" w:lineRule="auto"/>
        <w:ind w:firstLine="420"/>
      </w:pPr>
      <w:r>
        <w:rPr>
          <w:sz w:val="22"/>
        </w:rPr>
        <w:t>UNESCO在数字遗产保护能力建设方面建立了系统框架，包括：政策指导（发布《数字遗产保护宪章》等政策文件）、技术培训（组织区域性培训工作坊）、知识共享（建立数字遗产保护最佳实践数据库）和南南合作（促进发展中国家之间的经验交流）。</w:t>
      </w:r>
    </w:p>
    <w:p>
      <w:pPr>
        <w:spacing w:after="80" w:line="360" w:lineRule="auto"/>
        <w:ind w:firstLine="420"/>
      </w:pPr>
      <w:r>
        <w:rPr>
          <w:sz w:val="22"/>
        </w:rPr>
        <w:t>Abid（2005）指出，UNESCO的能力建设框架为发展中国家提供了数字遗产保护的"起步模板"，但需要各国根据自身情况进行本土化适配[36]。</w:t>
      </w:r>
    </w:p>
    <w:p>
      <w:pPr>
        <w:spacing w:before="120"/>
      </w:pPr>
      <w:r>
        <w:rPr>
          <w:b/>
          <w:sz w:val="22"/>
        </w:rPr>
        <w:t>11.13.2 双边技术转移</w:t>
      </w:r>
    </w:p>
    <w:p>
      <w:pPr>
        <w:spacing w:after="80" w:line="360" w:lineRule="auto"/>
        <w:ind w:firstLine="420"/>
      </w:pPr>
      <w:r>
        <w:rPr>
          <w:sz w:val="22"/>
        </w:rPr>
        <w:t>中国在国际文化遗产数字化技术转移中可以扮演重要角色——中国在大规模数字化实践、多模态数据融合和IoT遗产监测方面积累了丰富经验，这些经验对"一带一路"沿线国家具有参考价值。张卫东等人（2013）在研究欧美图书档案数字化融合服务实践时，指出技术转移应遵循"适应性原则"——技术方案需要根据目标国家的资源条件、文化特征和制度环境进行调整[20]。</w:t>
      </w:r>
    </w:p>
    <w:p>
      <w:pPr>
        <w:spacing w:before="120"/>
      </w:pPr>
      <w:r>
        <w:rPr>
          <w:b/>
          <w:sz w:val="22"/>
        </w:rPr>
        <w:t>11.13.3 开源工具与降低门槛</w:t>
      </w:r>
    </w:p>
    <w:p>
      <w:pPr>
        <w:spacing w:after="80" w:line="360" w:lineRule="auto"/>
        <w:ind w:firstLine="420"/>
      </w:pPr>
      <w:r>
        <w:rPr>
          <w:sz w:val="22"/>
        </w:rPr>
        <w:t>开源工具是降低文化遗产数字化门槛的关键。Blender（三维建模）、Three.js（Web3D开发）、Neo4j（图数据库）等开源工具使资源有限的机构也能开展数字化工作。刘芳和吴振新（2022）指出，国外先进机构在开发开源工具方面的经验值得借鉴——史密森尼学会、Europeana等机构都将部分数字化工具开源，促进了全球数字遗产保护能力的提升[19]。</w:t>
      </w:r>
    </w:p>
    <w:p>
      <w:pPr>
        <w:spacing w:before="160" w:after="80"/>
      </w:pPr>
      <w:r>
        <w:rPr>
          <w:b/>
          <w:color w:val="2A9D8F"/>
          <w:sz w:val="26"/>
        </w:rPr>
        <w:t>11.14 数字遗产的全球治理</w:t>
      </w:r>
    </w:p>
    <w:p>
      <w:pPr>
        <w:spacing w:before="120"/>
      </w:pPr>
      <w:r>
        <w:rPr>
          <w:b/>
          <w:sz w:val="22"/>
        </w:rPr>
        <w:t>11.14.1 全球数字遗产治理的挑战</w:t>
      </w:r>
    </w:p>
    <w:p>
      <w:pPr>
        <w:spacing w:after="80" w:line="360" w:lineRule="auto"/>
        <w:ind w:firstLine="420"/>
      </w:pPr>
      <w:r>
        <w:rPr>
          <w:sz w:val="22"/>
        </w:rPr>
        <w:t>全球数字遗产治理面临核心张力：文化遗产是国家主权范围内的资源，但数字技术无国界——数字遗产数据在全球网络中流动，需要跨国治理。当前缺乏有效的全球数字遗产治理机制——UNESCO的政策约束力有限，各国标准不统一，跨国数据共享缺乏法律基础。</w:t>
      </w:r>
    </w:p>
    <w:p>
      <w:pPr>
        <w:spacing w:before="120"/>
      </w:pPr>
      <w:r>
        <w:rPr>
          <w:b/>
          <w:sz w:val="22"/>
        </w:rPr>
        <w:t>11.14.2 全球治理的可能路径</w:t>
      </w:r>
    </w:p>
    <w:p>
      <w:pPr>
        <w:spacing w:after="80" w:line="360" w:lineRule="auto"/>
        <w:ind w:firstLine="420"/>
      </w:pPr>
      <w:r>
        <w:rPr>
          <w:sz w:val="22"/>
        </w:rPr>
        <w:t>全球数字遗产治理的可能路径包括：制定《数字遗产保护国际公约》提供法律框架；建立全球数字遗产登记制度确保重要数字遗产不被丢失；设立全球数字遗产基金支持发展中国家数字化能力建设；建立全球数字遗产应急响应机制应对战争和灾害中的遗产损失。Pshenychnyi和Zinchenko（2025）指出，UNESCO正在推动从物质到数字的保护方法论转变，全球治理机制需要随之更新[22]。</w:t>
      </w:r>
    </w:p>
    <w:p>
      <w:pPr>
        <w:spacing w:before="160" w:after="80"/>
      </w:pPr>
      <w:r>
        <w:rPr>
          <w:b/>
          <w:color w:val="2A9D8F"/>
          <w:sz w:val="26"/>
        </w:rPr>
        <w:t>11.15 文化遗产数字化标准体系的发展趋势</w:t>
      </w:r>
    </w:p>
    <w:p>
      <w:pPr>
        <w:spacing w:before="120"/>
      </w:pPr>
      <w:r>
        <w:rPr>
          <w:b/>
          <w:sz w:val="22"/>
        </w:rPr>
        <w:t>11.15.1 从数据标准到知识标准</w:t>
      </w:r>
    </w:p>
    <w:p>
      <w:pPr>
        <w:spacing w:after="80" w:line="360" w:lineRule="auto"/>
        <w:ind w:firstLine="420"/>
      </w:pPr>
      <w:r>
        <w:rPr>
          <w:sz w:val="22"/>
        </w:rPr>
        <w:t>文化遗产数字化的标准化经历了三个阶段：元数据标准阶段（如Dublin Core、CIDOC CRM）解决资源描述问题；数据交换标准阶段（如OAI-PMH、IIIF）解决资源互操作问题；当前正在进入知识表示标准阶段——通过本体论和知识图谱技术实现文化遗产知识的机器可理解。Nikolova等人（2021）在研究欧洲文化遗产数字化能力建设时指出，标准化的重心正在从"格式统一"转向"语义互通"——不仅要让不同系统的数据格式兼容，更要让不同文化语境中的概念语义对齐[4]。</w:t>
      </w:r>
    </w:p>
    <w:p>
      <w:pPr>
        <w:spacing w:before="120"/>
      </w:pPr>
      <w:r>
        <w:rPr>
          <w:b/>
          <w:sz w:val="22"/>
        </w:rPr>
        <w:t>11.15.2 中国标准体系的建设进展</w:t>
      </w:r>
    </w:p>
    <w:p>
      <w:pPr>
        <w:spacing w:after="80" w:line="360" w:lineRule="auto"/>
        <w:ind w:firstLine="420"/>
      </w:pPr>
      <w:r>
        <w:rPr>
          <w:sz w:val="22"/>
        </w:rPr>
        <w:t>中国在文化遗产数字化标准制定方面取得了显著进展。国家标准《信息技术 文化遗产信息元数据参考模型》（GB/T 35650-2017）借鉴CIDOC CRM建立了中国文化遗产元数据框架；行业标准《文物数字化的对象与质量要求》（WW/T 0080-2017）规范了文物数字化的技术指标；团体标准《博物馆数字资源管理规范》对数字资源的采集、存储、使用提出了系统要求。然而，标准之间的衔接仍不紧密——不同标准由不同机构制定，覆盖范围有交叉也有空白。刘芳和吴振新（2022）建议建立文化遗产数字化标准体系的顶层设计，明确各标准之间的关系和适用范围[19]。</w:t>
      </w:r>
    </w:p>
    <w:p>
      <w:pPr>
        <w:spacing w:before="120"/>
      </w:pPr>
      <w:r>
        <w:rPr>
          <w:b/>
          <w:sz w:val="22"/>
        </w:rPr>
        <w:t>11.15.3 标准的国际化挑战</w:t>
      </w:r>
    </w:p>
    <w:p>
      <w:pPr>
        <w:spacing w:after="80" w:line="360" w:lineRule="auto"/>
        <w:ind w:firstLine="420"/>
      </w:pPr>
      <w:r>
        <w:rPr>
          <w:sz w:val="22"/>
        </w:rPr>
        <w:t>中国文化遗产数字化标准的国际化面临语言障碍和文化差异——CIDOC CRM等国际标准以西方博物馆学概念体系为基础，中国传统文物分类体系（如金石书画、器用典籍等）难以直接映射。推动中国标准的国际化需要：将中国特色概念纳入国际标准体系（如在国际本体中增加中国文物分类类别），同时将国际标准本地化适配（如将CIDOC CRM扩展以容纳中国文化遗产的特殊属性）。</w:t>
      </w:r>
    </w:p>
    <w:p>
      <w:pPr>
        <w:spacing w:before="160" w:after="80"/>
      </w:pPr>
      <w:r>
        <w:rPr>
          <w:b/>
          <w:color w:val="2A9D8F"/>
          <w:sz w:val="26"/>
        </w:rPr>
        <w:t>11.16 发展中国家数字遗产能力建设</w:t>
      </w:r>
    </w:p>
    <w:p>
      <w:pPr>
        <w:spacing w:before="120"/>
      </w:pPr>
      <w:r>
        <w:rPr>
          <w:b/>
          <w:sz w:val="22"/>
        </w:rPr>
        <w:t>11.16.1 数字鸿沟与遗产保护不平等</w:t>
      </w:r>
    </w:p>
    <w:p>
      <w:pPr>
        <w:spacing w:after="80" w:line="360" w:lineRule="auto"/>
        <w:ind w:firstLine="420"/>
      </w:pPr>
      <w:r>
        <w:rPr>
          <w:sz w:val="22"/>
        </w:rPr>
        <w:t>全球文化遗产数字化保护存在显著的数字鸿沟——发达国家已进入大规模数字化和智能分析阶段，而许多发展中国家仍处于数字化起步阶段。非洲世界遗产基金会的报告显示，非洲世界遗产地的数字化覆盖率不足20%，远低于欧洲的70%以上。这种不平等不仅体现在技术能力上，也体现在资金、人才和基础设施等维度。</w:t>
      </w:r>
    </w:p>
    <w:p>
      <w:pPr>
        <w:spacing w:before="120"/>
      </w:pPr>
      <w:r>
        <w:rPr>
          <w:b/>
          <w:sz w:val="22"/>
        </w:rPr>
        <w:t>11.16.2 能力建设的国际协作模式</w:t>
      </w:r>
    </w:p>
    <w:p>
      <w:pPr>
        <w:spacing w:after="80" w:line="360" w:lineRule="auto"/>
        <w:ind w:firstLine="420"/>
      </w:pPr>
      <w:r>
        <w:rPr>
          <w:sz w:val="22"/>
        </w:rPr>
        <w:t>国际协作是缩小数字遗产鸿沟的重要途径。UNESCO的"数字遗产能力建设计划"为发展中国家提供技术培训和设备支持；Europeana的"国际合作项目"与非洲和拉美国家分享数字化经验；中国的"一带一路"文化遗产数字化合作向沿线国家提供技术援助。有效的能力建设应遵循"需求导向—本地适配—可持续"原则——根据目标国家的实际需求设计方案，适配本地条件，确保项目结束后本地团队能独立运营。</w:t>
      </w:r>
    </w:p>
    <w:p>
      <w:pPr>
        <w:spacing w:after="80" w:line="360" w:lineRule="auto"/>
        <w:ind w:firstLine="420"/>
      </w:pPr>
      <w:r>
        <w:rPr>
          <w:sz w:val="22"/>
        </w:rPr>
        <w:t>Pshenychnyi和Zinchenko（2025）在研究UNESCO数字遗产保护方法论时强调，能力建设不能仅停留在技术转移层面，更需要制度建设和人才培养——发展中国家需要建立自己的数字遗产政策框架和专业人才队伍[22]。</w:t>
      </w:r>
    </w:p>
    <w:p>
      <w:pPr>
        <w:spacing w:before="160" w:after="80"/>
      </w:pPr>
      <w:r>
        <w:rPr>
          <w:b/>
          <w:color w:val="2A9D8F"/>
          <w:sz w:val="26"/>
        </w:rPr>
        <w:t>11.17 数字遗产伦理的国际共识构建</w:t>
      </w:r>
    </w:p>
    <w:p>
      <w:pPr>
        <w:spacing w:after="80" w:line="360" w:lineRule="auto"/>
        <w:ind w:firstLine="420"/>
      </w:pPr>
      <w:r>
        <w:rPr>
          <w:sz w:val="22"/>
        </w:rPr>
        <w:t>数字遗产保护中的伦理问题——文化挪用、数据主权、社区知情同意、数字殖民主义——需要国际层面的共识和规范。当前，UNESCO的《数字遗产保护指南》和IFLA的《数字保存声明》提供了初步的伦理框架，但约束力有限。构建数字遗产伦理的国际共识需要：建立多方参与的协商机制（政府、机构、源社区、技术专家共同参与）、制定具体可操作的伦理准则（而非抽象原则）、建立监督和问责机制。</w:t>
      </w:r>
    </w:p>
    <w:p>
      <w:pPr>
        <w:spacing w:after="80" w:line="360" w:lineRule="auto"/>
        <w:ind w:firstLine="420"/>
      </w:pPr>
      <w:r>
        <w:rPr>
          <w:sz w:val="22"/>
        </w:rPr>
        <w:t>特别值得关注的是"数字殖民主义"问题——发达国家的大型科技公司和发展中国家采集文化遗产数字数据时，数据控制权往往流向技术提供方而非源社区。Sayers（2022）在研究数字遗产的殖民性时指出，真正的数字遗产保护必须赋权于源社区——让社区成为数字化项目的决策者而非被动的信息提供者[23]。</w:t>
      </w:r>
    </w:p>
    <w:p>
      <w:pPr>
        <w:spacing w:before="200" w:after="120"/>
      </w:pPr>
      <w:r>
        <w:rPr>
          <w:b/>
          <w:color w:val="457B9D"/>
          <w:sz w:val="30"/>
        </w:rPr>
        <w:t>参考文献</w:t>
      </w:r>
    </w:p>
    <w:p>
      <w:pPr>
        <w:spacing w:after="40"/>
        <w:ind w:left="425" w:hanging="425"/>
      </w:pPr>
      <w:r>
        <w:rPr>
          <w:sz w:val="20"/>
        </w:rPr>
        <w:t>[1] Borin E, Donato F. Financial Sustainability of Digitizing Cultural Heritage: The International Platform Europeana[J]. Journal of Risk and Financial Management, 2023, 16(10): 421. DOI: 10.3390/jrfm16100421.</w:t>
      </w:r>
    </w:p>
    <w:p>
      <w:pPr>
        <w:spacing w:after="40"/>
        <w:ind w:left="425" w:hanging="425"/>
      </w:pPr>
      <w:r>
        <w:rPr>
          <w:sz w:val="20"/>
        </w:rPr>
        <w:t>[2] Marinković A, Mirić A, Mirić F. European Policy on Digitisation of Cultural Heritage from 2005. Onwards[C]. 2016. Semantic Scholar.</w:t>
      </w:r>
    </w:p>
    <w:p>
      <w:pPr>
        <w:spacing w:after="40"/>
        <w:ind w:left="425" w:hanging="425"/>
      </w:pPr>
      <w:r>
        <w:rPr>
          <w:sz w:val="20"/>
        </w:rPr>
        <w:t>[3] Gasmi G, Prlja D. Perspectives of Digitization of Cultural Heritage in European Countries[C]. 2020. Semantic Scholar.</w:t>
      </w:r>
    </w:p>
    <w:p>
      <w:pPr>
        <w:spacing w:after="40"/>
        <w:ind w:left="425" w:hanging="425"/>
      </w:pPr>
      <w:r>
        <w:rPr>
          <w:sz w:val="20"/>
        </w:rPr>
        <w:t>[4] Nikolova E, Zhelev Y, Monova-Zheleva M. Digitisation of Cultural Heritage and Interoperability in the Context of Competences of the Culture Industry Human Resources[J]. 2021. DOI: 10.55630/dipp.2021.11.13.</w:t>
      </w:r>
    </w:p>
    <w:p>
      <w:pPr>
        <w:spacing w:after="40"/>
        <w:ind w:left="425" w:hanging="425"/>
      </w:pPr>
      <w:r>
        <w:rPr>
          <w:sz w:val="20"/>
        </w:rPr>
        <w:t>[5] 汪静. Europeana发展现状及启示[J]. 2017. 维普期刊.</w:t>
      </w:r>
    </w:p>
    <w:p>
      <w:pPr>
        <w:spacing w:after="40"/>
        <w:ind w:left="425" w:hanging="425"/>
      </w:pPr>
      <w:r>
        <w:rPr>
          <w:sz w:val="20"/>
        </w:rPr>
        <w:t>[6] Bliūdžiuvienė N. Standardization Dimension in Building an Integrated Digital Cultural Heritage Environment[C]. 2011. Semantic Scholar.</w:t>
      </w:r>
    </w:p>
    <w:p>
      <w:pPr>
        <w:spacing w:after="40"/>
        <w:ind w:left="425" w:hanging="425"/>
      </w:pPr>
      <w:r>
        <w:rPr>
          <w:sz w:val="20"/>
        </w:rPr>
        <w:t>[7] Borowiecki K J, Forbes N, Fresa A. Cultural Heritage in a Changing World[M]. Springer, 2017. DOI: 10.1007/s10824-017-9301-5.</w:t>
      </w:r>
    </w:p>
    <w:p>
      <w:pPr>
        <w:spacing w:after="40"/>
        <w:ind w:left="425" w:hanging="425"/>
      </w:pPr>
      <w:r>
        <w:rPr>
          <w:sz w:val="20"/>
        </w:rPr>
        <w:t>[8] Guccio C, Martorana M F, Mazza I, et al. Technology and Public Access to Cultural Heritage: The Italian Experience on ICT for Public Historical Archives[C]. 2016. DOI: 10.1007/978-3-319-29544-2_4.</w:t>
      </w:r>
    </w:p>
    <w:p>
      <w:pPr>
        <w:spacing w:after="40"/>
        <w:ind w:left="425" w:hanging="425"/>
      </w:pPr>
      <w:r>
        <w:rPr>
          <w:sz w:val="20"/>
        </w:rPr>
        <w:t>[9] 刘芳, 吴振新. 三维数字化在国外文化遗产领域的应用[J]. 2022. 万方数据.</w:t>
      </w:r>
    </w:p>
    <w:p>
      <w:pPr>
        <w:spacing w:after="40"/>
        <w:ind w:left="425" w:hanging="425"/>
      </w:pPr>
      <w:r>
        <w:rPr>
          <w:sz w:val="20"/>
        </w:rPr>
        <w:t>[10] Lanaro M. Aggregate Cultural Portals: un'analisi comparata dei casi Europeana e Google Cultural Institute[C]. 2015. Semantic Scholar.</w:t>
      </w:r>
    </w:p>
    <w:p>
      <w:pPr>
        <w:spacing w:after="40"/>
        <w:ind w:left="425" w:hanging="425"/>
      </w:pPr>
      <w:r>
        <w:rPr>
          <w:sz w:val="20"/>
        </w:rPr>
        <w:t>[11] 姚国章, 刘增燕. 国外非物质文化遗产数字化保护与传承实践借鉴[J]. 2022. 维普期刊.</w:t>
      </w:r>
    </w:p>
    <w:p>
      <w:pPr>
        <w:spacing w:after="40"/>
        <w:ind w:left="425" w:hanging="425"/>
      </w:pPr>
      <w:r>
        <w:rPr>
          <w:sz w:val="20"/>
        </w:rPr>
        <w:t>[12] Jung K, Nguyen V T, Piscarac D, et al. Meet the Virtual Jeju Dol Harubang—The Mixed VR/AR Application for Cultural Immersion in Korea's Main Heritage[J]. ISPRS International Journal of Geo-Information, 2020, 9(6): 367. DOI: 10.3390/ijgi9060367.</w:t>
      </w:r>
    </w:p>
    <w:p>
      <w:pPr>
        <w:spacing w:after="40"/>
        <w:ind w:left="425" w:hanging="425"/>
      </w:pPr>
      <w:r>
        <w:rPr>
          <w:sz w:val="20"/>
        </w:rPr>
        <w:t>[13] Sirisomboon S. Digital Virtual Museum to Preserve Hilltribe Cultural Heritage in Chiang Rai Province[C]. Semantic Scholar, 2020.</w:t>
      </w:r>
    </w:p>
    <w:p>
      <w:pPr>
        <w:spacing w:after="40"/>
        <w:ind w:left="425" w:hanging="425"/>
      </w:pPr>
      <w:r>
        <w:rPr>
          <w:sz w:val="20"/>
        </w:rPr>
        <w:t>[14] 张文亮, 彭媛媛, 张桐. 国外古籍数字化标准实践进展及其启示[J]. 2019. 万方数据.</w:t>
      </w:r>
    </w:p>
    <w:p>
      <w:pPr>
        <w:spacing w:after="40"/>
        <w:ind w:left="425" w:hanging="425"/>
      </w:pPr>
      <w:r>
        <w:rPr>
          <w:sz w:val="20"/>
        </w:rPr>
        <w:t>[15] 孔凡运. 文化遗产数字化保存的策略与挑战[J]. 2025. 万方数据.</w:t>
      </w:r>
    </w:p>
    <w:p>
      <w:pPr>
        <w:spacing w:after="40"/>
        <w:ind w:left="425" w:hanging="425"/>
      </w:pPr>
      <w:r>
        <w:rPr>
          <w:sz w:val="20"/>
        </w:rPr>
        <w:t>[16] 张卫东, 赵红颖, 李洋. 欧美图书档案数字化融合服务实践及启示[J]. 2013. 万方数据.</w:t>
      </w:r>
    </w:p>
    <w:p>
      <w:pPr>
        <w:spacing w:after="40"/>
        <w:ind w:left="425" w:hanging="425"/>
      </w:pPr>
      <w:r>
        <w:rPr>
          <w:sz w:val="20"/>
        </w:rPr>
        <w:t>[17] [作者不详]. 文化遗产数字资源建设发展进程研究——以Europeana实践为基础的研究[J]. 2026. 万方数据.</w:t>
      </w:r>
    </w:p>
    <w:p>
      <w:pPr>
        <w:spacing w:after="40"/>
        <w:ind w:left="425" w:hanging="425"/>
      </w:pPr>
      <w:r>
        <w:rPr>
          <w:sz w:val="20"/>
        </w:rPr>
        <w:t>[18] Nikolova E, Zhelev Y, Monova-Zheleva M. Digitisation of Cultural Heritage and Interoperability[J]. 2021. DOI: 10.55630/dipp.2021.11.13.</w:t>
      </w:r>
    </w:p>
    <w:p>
      <w:pPr>
        <w:spacing w:after="40"/>
        <w:ind w:left="425" w:hanging="425"/>
      </w:pPr>
      <w:r>
        <w:rPr>
          <w:sz w:val="20"/>
        </w:rPr>
        <w:t>[19] 刘芳, 吴振新. 三维数字化在国外文化遗产领域的应用[J]. 2022. 万方数据.</w:t>
      </w:r>
    </w:p>
    <w:p>
      <w:pPr>
        <w:spacing w:after="40"/>
        <w:ind w:left="425" w:hanging="425"/>
      </w:pPr>
      <w:r>
        <w:rPr>
          <w:sz w:val="20"/>
        </w:rPr>
        <w:t>[20] 张卫东, 赵红颖, 李洋. 欧美图书档案数字化融合服务实践及启示[J]. 2013. 万方数据.</w:t>
      </w:r>
    </w:p>
    <w:p>
      <w:pPr>
        <w:spacing w:after="40"/>
        <w:ind w:left="425" w:hanging="425"/>
      </w:pPr>
      <w:r>
        <w:rPr>
          <w:sz w:val="20"/>
        </w:rPr>
        <w:t>[21] 汪静. Europeana发展现状及启示[J]. 2017. 维普期刊.</w:t>
      </w:r>
    </w:p>
    <w:p>
      <w:pPr>
        <w:spacing w:after="40"/>
        <w:ind w:left="425" w:hanging="425"/>
      </w:pPr>
      <w:r>
        <w:rPr>
          <w:sz w:val="20"/>
        </w:rPr>
        <w:t>[22] Pshenychnyi T, Zinchenko V. From Material to Digital: The Transformation of UNESCO's Approaches[J]. 2025. DOI: 10.17721/2524-048x.2025.32.12.</w:t>
      </w:r>
    </w:p>
    <w:p>
      <w:pPr>
        <w:spacing w:after="40"/>
        <w:ind w:left="425" w:hanging="425"/>
      </w:pPr>
      <w:r>
        <w:rPr>
          <w:sz w:val="20"/>
        </w:rPr>
        <w:t>[23] Abdelmonem M G. Managing Cultural Heritage in the Digital Age[C]. Semantic Scholar, 2017.</w:t>
      </w:r>
    </w:p>
    <w:p>
      <w:pPr>
        <w:spacing w:after="40"/>
        <w:ind w:left="425" w:hanging="425"/>
      </w:pPr>
      <w:r>
        <w:rPr>
          <w:sz w:val="20"/>
        </w:rPr>
        <w:t>[11] 姚国章, 刘增燕. 国外非物质文化遗产数字化保护与传承实践借鉴[J]. 2022. 维普期刊.</w:t>
      </w:r>
    </w:p>
    <w:p>
      <w:pPr>
        <w:spacing w:after="40"/>
        <w:ind w:left="425" w:hanging="425"/>
      </w:pPr>
      <w:r>
        <w:rPr>
          <w:sz w:val="20"/>
        </w:rPr>
        <w:t>[19] 刘芳, 吴振新. 三维数字化在国外文化遗产领域的应用[J]. 2022. 万方数据.</w:t>
      </w:r>
    </w:p>
    <w:p>
      <w:pPr>
        <w:spacing w:after="40"/>
        <w:ind w:left="425" w:hanging="425"/>
      </w:pPr>
      <w:r>
        <w:rPr>
          <w:sz w:val="20"/>
        </w:rPr>
        <w:t>[24] Bliūdžiuvienė N. Standardization Dimension in Building an Integrated Digital Cultural Heritage Environment[C]. 2011. Semantic Scholar.</w:t>
      </w:r>
    </w:p>
    <w:p>
      <w:pPr>
        <w:spacing w:after="40"/>
        <w:ind w:left="425" w:hanging="425"/>
      </w:pPr>
      <w:r>
        <w:rPr>
          <w:sz w:val="20"/>
        </w:rPr>
        <w:t>[25] Jung K, et al. Meet the Virtual Jeju Dol Harubang—The Mixed VR/AR Application[J]. 2020. DOI: 10.3390/ijgi9060367.</w:t>
      </w:r>
    </w:p>
    <w:p>
      <w:pPr>
        <w:spacing w:after="40"/>
        <w:ind w:left="425" w:hanging="425"/>
      </w:pPr>
      <w:r>
        <w:rPr>
          <w:sz w:val="20"/>
        </w:rPr>
        <w:t>[26] Sirisomboon S. Digital Virtual Museum to Preserve Hilltribe Cultural Heritage in Chiang Rai Province[C]. 2020. Semantic Scholar.</w:t>
      </w:r>
    </w:p>
    <w:p>
      <w:pPr>
        <w:spacing w:after="40"/>
        <w:ind w:left="425" w:hanging="425"/>
      </w:pPr>
      <w:r>
        <w:rPr>
          <w:sz w:val="20"/>
        </w:rPr>
        <w:t>[18] Nikolova E, et al. Digitisation of Cultural Heritage and Interoperability[J]. 2021. DOI: 10.55630/dipp.2021.11.13.</w:t>
      </w:r>
    </w:p>
    <w:p>
      <w:pPr>
        <w:spacing w:after="40"/>
        <w:ind w:left="425" w:hanging="425"/>
      </w:pPr>
      <w:r>
        <w:rPr>
          <w:sz w:val="20"/>
        </w:rPr>
        <w:t>[23] Abdelmonem M G. Managing Cultural Heritage in the Digital Age[C]. Semantic Scholar, 2017.</w:t>
      </w:r>
    </w:p>
    <w:p>
      <w:pPr>
        <w:spacing w:after="40"/>
        <w:ind w:left="425" w:hanging="425"/>
      </w:pPr>
      <w:r>
        <w:rPr>
          <w:sz w:val="20"/>
        </w:rPr>
        <w:t>[19] 刘芳, 吴振新. 三维数字化在国外文化遗产领域的应用[J]. 2022. 万方数据.</w:t>
      </w:r>
    </w:p>
    <w:p>
      <w:pPr>
        <w:spacing w:after="40"/>
        <w:ind w:left="425" w:hanging="425"/>
      </w:pPr>
      <w:r>
        <w:rPr>
          <w:sz w:val="20"/>
        </w:rPr>
        <w:t>[20] 张卫东, 等. 欧美图书档案数字化融合服务实践及启示[J]. 2013. 万方数据.</w:t>
      </w:r>
    </w:p>
    <w:p>
      <w:pPr>
        <w:spacing w:after="40"/>
        <w:ind w:left="425" w:hanging="425"/>
      </w:pPr>
      <w:r>
        <w:rPr>
          <w:sz w:val="20"/>
        </w:rPr>
        <w:t>[22] Pshenychnyi T, Zinchenko V. From Material to Digital: The Transformation of UNESCO's Approaches[J]. 2025. DOI: 10.17721/2524-048x.2025.32.12.</w:t>
      </w:r>
    </w:p>
    <w:p>
      <w:pPr>
        <w:spacing w:after="40"/>
        <w:ind w:left="425" w:hanging="425"/>
      </w:pPr>
      <w:r>
        <w:rPr>
          <w:sz w:val="20"/>
        </w:rPr>
        <w:t>[36] Abid A. Preserving Our Digital Heritage: A UNESCO Perspective[J]. 2005. DOI: 10.14404/JKSARM.2005.5.2.183.</w:t>
      </w:r>
    </w:p>
    <w:p>
      <w:pPr>
        <w:spacing w:after="40"/>
        <w:ind w:left="425" w:hanging="425"/>
      </w:pPr>
      <w:r>
        <w:rPr>
          <w:sz w:val="20"/>
        </w:rPr>
        <w:t>[23] Sayers J. Decolonising Digital Heritage[J]. 2022. Semantic Scholar.</w:t>
      </w:r>
    </w:p>
    <w:p>
      <w:r>
        <w:br w:type="page"/>
      </w:r>
    </w:p>
    <w:p>
      <w:pPr>
        <w:spacing w:before="240" w:after="160"/>
      </w:pPr>
      <w:r>
        <w:rPr>
          <w:b/>
          <w:color w:val="264653"/>
          <w:sz w:val="36"/>
        </w:rPr>
        <w:t>第12章 文化遗产数字传播与未来展望</w:t>
      </w:r>
    </w:p>
    <w:p>
      <w:pPr>
        <w:jc w:val="center"/>
      </w:pPr>
      <w:r>
        <w:drawing>
          <wp:inline xmlns:a="http://schemas.openxmlformats.org/drawingml/2006/main" xmlns:pic="http://schemas.openxmlformats.org/drawingml/2006/picture">
            <wp:extent cx="5029200" cy="2072960"/>
            <wp:docPr id="8" name="Picture 8"/>
            <wp:cNvGraphicFramePr>
              <a:graphicFrameLocks noChangeAspect="1"/>
            </wp:cNvGraphicFramePr>
            <a:graphic>
              <a:graphicData uri="http://schemas.openxmlformats.org/drawingml/2006/picture">
                <pic:pic>
                  <pic:nvPicPr>
                    <pic:cNvPr id="0" name="fig12_1_timeline.png"/>
                    <pic:cNvPicPr/>
                  </pic:nvPicPr>
                  <pic:blipFill>
                    <a:blip r:embed="rId16"/>
                    <a:stretch>
                      <a:fillRect/>
                    </a:stretch>
                  </pic:blipFill>
                  <pic:spPr>
                    <a:xfrm>
                      <a:off x="0" y="0"/>
                      <a:ext cx="5029200" cy="2072960"/>
                    </a:xfrm>
                    <a:prstGeom prst="rect"/>
                  </pic:spPr>
                </pic:pic>
              </a:graphicData>
            </a:graphic>
          </wp:inline>
        </w:drawing>
      </w:r>
    </w:p>
    <w:p>
      <w:pPr>
        <w:spacing w:before="200" w:after="120"/>
      </w:pPr>
      <w:r>
        <w:rPr>
          <w:b/>
          <w:color w:val="457B9D"/>
          <w:sz w:val="30"/>
        </w:rPr>
        <w:t>学习目标</w:t>
      </w:r>
    </w:p>
    <w:p>
      <w:pPr>
        <w:pStyle w:val="ListBullet"/>
      </w:pPr>
      <w:r>
        <w:rPr>
          <w:sz w:val="22"/>
        </w:rPr>
        <w:t>理解文化遗产数字传播的理论与策略</w:t>
      </w:r>
    </w:p>
    <w:p>
      <w:pPr>
        <w:pStyle w:val="ListBullet"/>
      </w:pPr>
      <w:r>
        <w:rPr>
          <w:sz w:val="22"/>
        </w:rPr>
        <w:t>掌握社交媒体在遗产传播中的作用机制</w:t>
      </w:r>
    </w:p>
    <w:p>
      <w:pPr>
        <w:pStyle w:val="ListBullet"/>
      </w:pPr>
      <w:r>
        <w:rPr>
          <w:sz w:val="22"/>
        </w:rPr>
        <w:t>了解文化遗产数字化保护的前沿趋势</w:t>
      </w:r>
    </w:p>
    <w:p>
      <w:pPr>
        <w:pStyle w:val="ListBullet"/>
      </w:pPr>
      <w:r>
        <w:rPr>
          <w:sz w:val="22"/>
        </w:rPr>
        <w:t>能够构建文化遗产可持续发展的生态框架</w:t>
      </w:r>
    </w:p>
    <w:p>
      <w:pPr>
        <w:spacing w:before="200" w:after="120"/>
      </w:pPr>
      <w:r>
        <w:rPr>
          <w:b/>
          <w:color w:val="457B9D"/>
          <w:sz w:val="30"/>
        </w:rPr>
        <w:t>导入案例：安阳文化遗产新媒体传播——数字传播与保存的新媒体语境实践</w:t>
      </w:r>
    </w:p>
    <w:p>
      <w:pPr>
        <w:spacing w:after="80" w:line="360" w:lineRule="auto"/>
        <w:ind w:firstLine="420"/>
      </w:pPr>
      <w:r>
        <w:rPr>
          <w:sz w:val="22"/>
        </w:rPr>
        <w:t>Li和Yu（2024）在研究新媒体语境下文化遗产数字传播与保存时，以安阳（殷墟所在地）为案例，展示了数字传播如何为文化遗产保护注入新活力[1]。安阳通过短视频、直播、社交媒体互动等新媒体手段，将沉睡在博物馆和遗址中的文化遗产转化为公众可感知、可参与、可分享的数字内容，显著提升了殷墟文化的公众认知度和社会影响力。</w:t>
      </w:r>
    </w:p>
    <w:p>
      <w:pPr>
        <w:spacing w:after="80" w:line="360" w:lineRule="auto"/>
        <w:ind w:firstLine="420"/>
      </w:pPr>
      <w:r>
        <w:rPr>
          <w:sz w:val="22"/>
        </w:rPr>
        <w:t>这一案例引出了一个核心命题：数字化保护的价值不仅在于"保存"，更在于"传播"——如果数字化的成果只存储在数据库中而不被公众接触，其文化价值就无法实现。这正是D.I.G.I.T.框架中T（传承与可持续发展）维度的核心关切。</w:t>
      </w:r>
    </w:p>
    <w:p>
      <w:pPr>
        <w:spacing w:before="200" w:after="120"/>
      </w:pPr>
      <w:r>
        <w:rPr>
          <w:b/>
          <w:color w:val="457B9D"/>
          <w:sz w:val="30"/>
        </w:rPr>
        <w:t>12.1 文化遗产数字传播理论</w:t>
      </w:r>
    </w:p>
    <w:p>
      <w:pPr>
        <w:spacing w:before="160" w:after="80"/>
      </w:pPr>
      <w:r>
        <w:rPr>
          <w:b/>
          <w:color w:val="2A9D8F"/>
          <w:sz w:val="26"/>
        </w:rPr>
        <w:t>12.1.1 传播学视角下的文化遗产</w:t>
      </w:r>
    </w:p>
    <w:p>
      <w:pPr>
        <w:spacing w:after="80" w:line="360" w:lineRule="auto"/>
        <w:ind w:firstLine="420"/>
      </w:pPr>
      <w:r>
        <w:rPr>
          <w:sz w:val="22"/>
        </w:rPr>
        <w:t>传播学为文化遗产数字传播提供了理论框架。拉斯韦尔（Lasswell）的"5W"传播模型——谁（Who）通过什么渠道（Which channel）说了什么（Says what）对谁（To whom）产生了什么效果（With what effect）——可以直接应用于文化遗产传播分析：</w:t>
      </w:r>
    </w:p>
    <w:p>
      <w:pPr>
        <w:pStyle w:val="ListBullet"/>
      </w:pPr>
      <w:r>
        <w:rPr>
          <w:b/>
          <w:sz w:val="22"/>
        </w:rPr>
        <w:t>传播者</w:t>
      </w:r>
      <w:r>
        <w:rPr>
          <w:sz w:val="22"/>
        </w:rPr>
        <w:t>：博物馆、遗产机构、社区传承人、自媒体创作者</w:t>
      </w:r>
    </w:p>
    <w:p>
      <w:pPr>
        <w:pStyle w:val="ListBullet"/>
      </w:pPr>
      <w:r>
        <w:rPr>
          <w:b/>
          <w:sz w:val="22"/>
        </w:rPr>
        <w:t>渠道</w:t>
      </w:r>
      <w:r>
        <w:rPr>
          <w:sz w:val="22"/>
        </w:rPr>
        <w:t>：社交媒体、虚拟博物馆、数字展览、移动应用</w:t>
      </w:r>
    </w:p>
    <w:p>
      <w:pPr>
        <w:pStyle w:val="ListBullet"/>
      </w:pPr>
      <w:r>
        <w:rPr>
          <w:b/>
          <w:sz w:val="22"/>
        </w:rPr>
        <w:t>内容</w:t>
      </w:r>
      <w:r>
        <w:rPr>
          <w:sz w:val="22"/>
        </w:rPr>
        <w:t>：文物故事、技艺展示、历史叙事、互动体验</w:t>
      </w:r>
    </w:p>
    <w:p>
      <w:pPr>
        <w:pStyle w:val="ListBullet"/>
      </w:pPr>
      <w:r>
        <w:rPr>
          <w:b/>
          <w:sz w:val="22"/>
        </w:rPr>
        <w:t>受众</w:t>
      </w:r>
      <w:r>
        <w:rPr>
          <w:sz w:val="22"/>
        </w:rPr>
        <w:t>：本地社区、全国公众、国际受众、年轻一代</w:t>
      </w:r>
    </w:p>
    <w:p>
      <w:pPr>
        <w:pStyle w:val="ListBullet"/>
      </w:pPr>
      <w:r>
        <w:rPr>
          <w:b/>
          <w:sz w:val="22"/>
        </w:rPr>
        <w:t>效果</w:t>
      </w:r>
      <w:r>
        <w:rPr>
          <w:sz w:val="22"/>
        </w:rPr>
        <w:t>：认知提升、情感认同、行为参与、文化传承</w:t>
      </w:r>
    </w:p>
    <w:p>
      <w:pPr>
        <w:spacing w:before="160" w:after="80"/>
      </w:pPr>
      <w:r>
        <w:rPr>
          <w:b/>
          <w:color w:val="2A9D8F"/>
          <w:sz w:val="26"/>
        </w:rPr>
        <w:t>12.1.2 媒介化与文化遗产：多元声音和新平台</w:t>
      </w:r>
    </w:p>
    <w:p>
      <w:pPr>
        <w:spacing w:after="80" w:line="360" w:lineRule="auto"/>
        <w:ind w:firstLine="420"/>
      </w:pPr>
      <w:r>
        <w:rPr>
          <w:sz w:val="22"/>
        </w:rPr>
        <w:t>Svensson（2016）在研究遗产与社交媒体的关系时指出，社交媒体为公民分享记忆、身份认同和地方文化提供了新的可能性，构成了更加参与式的遗产实践[2]。媒介化（Mediatization）理论认为，数字媒介不仅是传播工具，更是重塑文化实践逻辑的环境——文化遗产在数字媒介环境中的存在方式、感知模式和参与机制都发生了根本变化。</w:t>
      </w:r>
    </w:p>
    <w:p>
      <w:pPr>
        <w:spacing w:before="160" w:after="80"/>
      </w:pPr>
      <w:r>
        <w:rPr>
          <w:b/>
          <w:color w:val="2A9D8F"/>
          <w:sz w:val="26"/>
        </w:rPr>
        <w:t>12.1.3 从单向传播到参与式传播</w:t>
      </w:r>
    </w:p>
    <w:p>
      <w:pPr>
        <w:spacing w:after="80" w:line="360" w:lineRule="auto"/>
        <w:ind w:firstLine="420"/>
      </w:pPr>
      <w:r>
        <w:rPr>
          <w:sz w:val="22"/>
        </w:rPr>
        <w:t>传统文化遗产传播以"单向传播"为主——博物馆向观众传递信息，观众被动接收。数字技术推动了"参与式传播"的兴起——公众不再只是信息接收者，更是内容创作者和传播者。Nofal（2023）在研究数字遗产项目的参与式设计工作坊时，提出跨学科参与式设计为数字遗产项目带来了多元视角，使遗产传播从"自上而下"转向"自下而上"[3]。</w:t>
      </w:r>
    </w:p>
    <w:p>
      <w:pPr>
        <w:spacing w:before="200" w:after="120"/>
      </w:pPr>
      <w:r>
        <w:rPr>
          <w:b/>
          <w:color w:val="457B9D"/>
          <w:sz w:val="30"/>
        </w:rPr>
        <w:t>12.2 社交媒体与文化遗产传播</w:t>
      </w:r>
    </w:p>
    <w:p>
      <w:pPr>
        <w:spacing w:before="160" w:after="80"/>
      </w:pPr>
      <w:r>
        <w:rPr>
          <w:b/>
          <w:color w:val="2A9D8F"/>
          <w:sz w:val="26"/>
        </w:rPr>
        <w:t>12.2.1 社交媒体在文化遗产教育传播中的影响因素</w:t>
      </w:r>
    </w:p>
    <w:p>
      <w:pPr>
        <w:spacing w:after="80" w:line="360" w:lineRule="auto"/>
        <w:ind w:firstLine="420"/>
      </w:pPr>
      <w:r>
        <w:rPr>
          <w:sz w:val="22"/>
        </w:rPr>
        <w:t>Shao等人（2023）在系统梳理社交媒体在文化遗产教育传播中的影响因素时，识别出内容质量、互动设计、平台特性和用户特征四个维度的影响因素[4]。Liang等人（2020）在回顾社交媒体对文化遗产可持续性作用的研究时，指出社交媒体已成为文化遗产传播的核心渠道，其影响机制需要更系统的研究[5]。</w:t>
      </w:r>
    </w:p>
    <w:p>
      <w:pPr>
        <w:spacing w:before="160" w:after="80"/>
      </w:pPr>
      <w:r>
        <w:rPr>
          <w:b/>
          <w:color w:val="2A9D8F"/>
          <w:sz w:val="26"/>
        </w:rPr>
        <w:t>12.2.2 遗产机构社交媒体活动与受众参与</w:t>
      </w:r>
    </w:p>
    <w:p>
      <w:pPr>
        <w:spacing w:after="80" w:line="360" w:lineRule="auto"/>
        <w:ind w:firstLine="420"/>
      </w:pPr>
      <w:r>
        <w:rPr>
          <w:sz w:val="22"/>
        </w:rPr>
        <w:t>Cui等人（2022）在研究遗产机构社交媒体活动与受众参与的关联时，发现不同类型的内容策略对参与度有显著影响——互动型内容（问答、投票）比信息型内容（展品介绍）获得更多参与，而情感型内容（故事、人物）则在分享和评论方面表现更好[6]。</w:t>
      </w:r>
    </w:p>
    <w:p>
      <w:pPr>
        <w:spacing w:before="160" w:after="80"/>
      </w:pPr>
      <w:r>
        <w:rPr>
          <w:b/>
          <w:color w:val="2A9D8F"/>
          <w:sz w:val="26"/>
        </w:rPr>
        <w:t>12.2.3 参与式设计与数字遗产项目</w:t>
      </w:r>
    </w:p>
    <w:p>
      <w:pPr>
        <w:spacing w:after="80" w:line="360" w:lineRule="auto"/>
        <w:ind w:firstLine="420"/>
      </w:pPr>
      <w:r>
        <w:rPr>
          <w:sz w:val="22"/>
        </w:rPr>
        <w:t>Nofal（2023）进一步提出，参与式设计工作坊是促进多元利益相关者参与数字遗产项目的有效方法——通过让社区成员、设计师、学者和管理者共同参与设计过程，确保数字遗产项目反映多元声音和需求[3]。</w:t>
      </w:r>
    </w:p>
    <w:p>
      <w:pPr>
        <w:spacing w:before="160" w:after="80"/>
      </w:pPr>
      <w:r>
        <w:rPr>
          <w:b/>
          <w:color w:val="2A9D8F"/>
          <w:sz w:val="26"/>
        </w:rPr>
        <w:t>12.2.4 用户在线参与数字遗产收藏的分析框架</w:t>
      </w:r>
    </w:p>
    <w:p>
      <w:pPr>
        <w:spacing w:after="80" w:line="360" w:lineRule="auto"/>
        <w:ind w:firstLine="420"/>
      </w:pPr>
      <w:r>
        <w:rPr>
          <w:sz w:val="22"/>
        </w:rPr>
        <w:t>Clari（2012）在研究用户在线参与数字遗产收藏的分析框架时，提出了"参与层次"模型——从浏览、搜索到标注、评论再到创作、策展，不同层次的参与对应不同的用户角色和价值创造机制[7]。</w:t>
      </w:r>
    </w:p>
    <w:p>
      <w:pPr>
        <w:spacing w:before="200" w:after="120"/>
      </w:pPr>
      <w:r>
        <w:rPr>
          <w:b/>
          <w:color w:val="457B9D"/>
          <w:sz w:val="30"/>
        </w:rPr>
        <w:t>12.3 文化遗产数字传播的创新路径</w:t>
      </w:r>
    </w:p>
    <w:p>
      <w:pPr>
        <w:spacing w:before="160" w:after="80"/>
      </w:pPr>
      <w:r>
        <w:rPr>
          <w:b/>
          <w:color w:val="2A9D8F"/>
          <w:sz w:val="26"/>
        </w:rPr>
        <w:t>12.3.1 跨媒介叙事与文化传播</w:t>
      </w:r>
    </w:p>
    <w:p>
      <w:pPr>
        <w:spacing w:after="80" w:line="360" w:lineRule="auto"/>
        <w:ind w:firstLine="420"/>
      </w:pPr>
      <w:r>
        <w:rPr>
          <w:sz w:val="22"/>
        </w:rPr>
        <w:t>跨媒介叙事（Transmedia Storytelling）将一个文化故事分散在多种媒介中讲述——博物馆展览、短视频系列、VR体验、社交媒体话题、文创产品——每种媒介贡献故事的不同维度，共同构成完整的文化叙事。中国传媒大学非遗传播研究中心（2023）报道的哈佛CAMLab Cave实践即体现了跨媒介叙事的理念——融合VR、AR、全息投影、动作捕捉等多种媒介讲述中国建筑与艺术故事[8]。</w:t>
      </w:r>
    </w:p>
    <w:p>
      <w:pPr>
        <w:spacing w:before="160" w:after="80"/>
      </w:pPr>
      <w:r>
        <w:rPr>
          <w:b/>
          <w:color w:val="2A9D8F"/>
          <w:sz w:val="26"/>
        </w:rPr>
        <w:t>12.3.2 游戏化传播与年轻群体参与</w:t>
      </w:r>
    </w:p>
    <w:p>
      <w:pPr>
        <w:spacing w:after="80" w:line="360" w:lineRule="auto"/>
        <w:ind w:firstLine="420"/>
      </w:pPr>
      <w:r>
        <w:rPr>
          <w:sz w:val="22"/>
        </w:rPr>
        <w:t>游戏化（Gamification）将游戏设计元素（积分、徽章、排行榜、任务）引入非游戏场景，是吸引年轻群体参与文化遗产传播的有效策略。中国学者（2025）在研究ICH数字化保护与传播方式时，探索了游戏化传播等数字化传播手段的创新办法[9]。</w:t>
      </w:r>
    </w:p>
    <w:p>
      <w:pPr>
        <w:spacing w:before="160" w:after="80"/>
      </w:pPr>
      <w:r>
        <w:rPr>
          <w:b/>
          <w:color w:val="2A9D8F"/>
          <w:sz w:val="26"/>
        </w:rPr>
        <w:t>12.3.3 元宇宙场景下的文化遗产传播</w:t>
      </w:r>
    </w:p>
    <w:p>
      <w:pPr>
        <w:spacing w:after="80" w:line="360" w:lineRule="auto"/>
        <w:ind w:firstLine="420"/>
      </w:pPr>
      <w:r>
        <w:rPr>
          <w:sz w:val="22"/>
        </w:rPr>
        <w:t>元宇宙概念为文化遗产传播提供了超越物理限制的新空间。在元宇宙中，不同地域的文化遗产可以在同一虚拟空间中"并置"，用户可以自由"穿越"不同遗产场景。Banfi等人（2023）在展示VR/AR语义增强虚拟博物馆时，预示了博物馆从"物理空间"向"混合空间"的演进趋势[10]。</w:t>
      </w:r>
    </w:p>
    <w:p>
      <w:pPr>
        <w:spacing w:before="160" w:after="80"/>
      </w:pPr>
      <w:r>
        <w:rPr>
          <w:b/>
          <w:color w:val="2A9D8F"/>
          <w:sz w:val="26"/>
        </w:rPr>
        <w:t>12.3.4 增强中华文明传播力影响力的实践</w:t>
      </w:r>
    </w:p>
    <w:p>
      <w:pPr>
        <w:spacing w:after="80" w:line="360" w:lineRule="auto"/>
        <w:ind w:firstLine="420"/>
      </w:pPr>
      <w:r>
        <w:rPr>
          <w:sz w:val="22"/>
        </w:rPr>
        <w:t>中国学者（2023）在分析增强中华文明传播力影响力的路径时，指出数字技术为中华文化遗产的全球传播提供了新通道——通过沉浸式数字体验、跨文化叙事和互动参与，让国际受众在"体验"中理解中华文化[8]。Costa等人（2018）在研究与文化遗产关联的公共开放空间数字实践重构时，提出数字技术能够为文化遗产的公共空间体验注入新的互动维度[11]。</w:t>
      </w:r>
    </w:p>
    <w:p>
      <w:pPr>
        <w:spacing w:before="200" w:after="120"/>
      </w:pPr>
      <w:r>
        <w:rPr>
          <w:b/>
          <w:color w:val="457B9D"/>
          <w:sz w:val="30"/>
        </w:rPr>
        <w:t>12.4 文化遗产数字化保护的前沿趋势</w:t>
      </w:r>
    </w:p>
    <w:p>
      <w:pPr>
        <w:spacing w:before="160" w:after="80"/>
      </w:pPr>
      <w:r>
        <w:rPr>
          <w:b/>
          <w:color w:val="2A9D8F"/>
          <w:sz w:val="26"/>
        </w:rPr>
        <w:t>12.4.1 数字化→数据化→数智化的三阶段演进</w:t>
      </w:r>
    </w:p>
    <w:p>
      <w:pPr>
        <w:spacing w:after="80" w:line="360" w:lineRule="auto"/>
        <w:ind w:firstLine="420"/>
      </w:pPr>
      <w:r>
        <w:rPr>
          <w:sz w:val="22"/>
        </w:rPr>
        <w:t>中国学者（2026）以Europeana实践为基础，从数据来源、处理对象、建设内容、建设结果、建设重点、技术方法和标准规范、建设目的以及用户服务8个维度对比分析了数字化、数据化和数智化三个阶段的特征[12]。当前前沿趋势是从数据化向数智化迈进——利用AI实现文化遗产数据的智能分析和知识自动发现。</w:t>
      </w:r>
    </w:p>
    <w:p>
      <w:pPr>
        <w:spacing w:before="160" w:after="80"/>
      </w:pPr>
      <w:r>
        <w:rPr>
          <w:b/>
          <w:color w:val="2A9D8F"/>
          <w:sz w:val="26"/>
        </w:rPr>
        <w:t>12.4.2 多技术融合：AI+区块链+IoT+VR/AR</w:t>
      </w:r>
    </w:p>
    <w:p>
      <w:pPr>
        <w:spacing w:after="80" w:line="360" w:lineRule="auto"/>
        <w:ind w:firstLine="420"/>
      </w:pPr>
      <w:r>
        <w:rPr>
          <w:sz w:val="22"/>
        </w:rPr>
        <w:t>单一技术已无法满足文化遗产保护的综合需求，多技术融合是必然趋势。D.I.G.I.T.框架本身就是多技术融合的方法论——D维度的三维扫描与数字典藏、I维度的AI智能分析、G维度的区块链版权治理、I维度的VR/AR沉浸体验和T维度的数字传播，五个维度相互支撑构成完整的技术生态。</w:t>
      </w:r>
    </w:p>
    <w:p>
      <w:pPr>
        <w:spacing w:after="80" w:line="360" w:lineRule="auto"/>
        <w:ind w:firstLine="420"/>
      </w:pPr>
      <w:r>
        <w:rPr>
          <w:sz w:val="22"/>
        </w:rPr>
        <w:t>Furferi等人（2024）在研究传统博物馆数字化体验增强技术时，指出博物馆数字化的新兴趋势是"集成化"——将3D扫描、AR/VR、AI推荐、IoT监测等技术整合为统一的数字生态系统[13]。</w:t>
      </w:r>
    </w:p>
    <w:p>
      <w:pPr>
        <w:spacing w:before="160" w:after="80"/>
      </w:pPr>
      <w:r>
        <w:rPr>
          <w:b/>
          <w:color w:val="2A9D8F"/>
          <w:sz w:val="26"/>
        </w:rPr>
        <w:t>12.4.3 从技术驱动到生态构建</w:t>
      </w:r>
    </w:p>
    <w:p>
      <w:pPr>
        <w:spacing w:after="80" w:line="360" w:lineRule="auto"/>
        <w:ind w:firstLine="420"/>
      </w:pPr>
      <w:r>
        <w:rPr>
          <w:sz w:val="22"/>
        </w:rPr>
        <w:t>早期文化遗产数字化以"技术驱动"为主——新技术出现就尝试应用于遗产保护。当前趋势是走向"生态构建"——以可持续性为核心目标，建立包含技术基础设施、人才梯队、资金保障、标准规范和协作机制的完整生态。Borin和Donato（2023）对Europeana财务可持续性的研究表明，数字遗产平台的长期运营需要超越项目制的一次性投入，建立可持续的商业模式[14]。</w:t>
      </w:r>
    </w:p>
    <w:p>
      <w:pPr>
        <w:spacing w:before="160" w:after="80"/>
      </w:pPr>
      <w:r>
        <w:rPr>
          <w:b/>
          <w:color w:val="2A9D8F"/>
          <w:sz w:val="26"/>
        </w:rPr>
        <w:t>12.4.4 文化遗产的数字永续性挑战</w:t>
      </w:r>
    </w:p>
    <w:p>
      <w:pPr>
        <w:spacing w:after="80" w:line="360" w:lineRule="auto"/>
        <w:ind w:firstLine="420"/>
      </w:pPr>
      <w:r>
        <w:rPr>
          <w:sz w:val="22"/>
        </w:rPr>
        <w:t>数字永续性（Digital Perpetuity）是文化遗产数字化保护的终极挑战——数字数据能否真正"永久"保存？技术过时、格式淘汰、存储介质老化都是数字永续性的威胁。Koščík和Myška（2019）指出，"原生数字"内容的保存面临独特的法律和技术挑战[15]。PrakashTribhuvan和Abdullah（2025）在对数字遗产保护方法的全面审查中，呼吁建立全球性的数字遗产保存协作网络[16]。</w:t>
      </w:r>
    </w:p>
    <w:p>
      <w:pPr>
        <w:spacing w:before="200" w:after="120"/>
      </w:pPr>
      <w:r>
        <w:rPr>
          <w:b/>
          <w:color w:val="457B9D"/>
          <w:sz w:val="30"/>
        </w:rPr>
        <w:t>12.5 D.I.G.I.T.框架的实践总结与未来展望</w:t>
      </w:r>
    </w:p>
    <w:p>
      <w:pPr>
        <w:spacing w:before="160" w:after="80"/>
      </w:pPr>
      <w:r>
        <w:rPr>
          <w:b/>
          <w:color w:val="2A9D8F"/>
          <w:sz w:val="26"/>
        </w:rPr>
        <w:t>12.5.1 五维框架的实践验证与反馈</w:t>
      </w:r>
    </w:p>
    <w:p>
      <w:pPr>
        <w:spacing w:after="80" w:line="360" w:lineRule="auto"/>
        <w:ind w:firstLine="420"/>
      </w:pPr>
      <w:r>
        <w:rPr>
          <w:sz w:val="22"/>
        </w:rPr>
        <w:t>D.I.G.I.T.框架在本书各章中得到了不同维度的实践验证：</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D9E2EC"/>
          </w:tcPr>
          <w:p>
            <w:pPr>
              <w:spacing w:before="40" w:after="40"/>
            </w:pPr>
            <w:r>
              <w:rPr>
                <w:b/>
                <w:sz w:val="20"/>
              </w:rPr>
            </w:r>
            <w:r>
              <w:rPr>
                <w:b/>
                <w:sz w:val="20"/>
              </w:rPr>
              <w:t>维度</w:t>
            </w:r>
          </w:p>
        </w:tc>
        <w:tc>
          <w:tcPr>
            <w:tcW w:type="dxa" w:w="2126"/>
            <w:shd w:val="clear" w:color="auto" w:fill="D9E2EC"/>
          </w:tcPr>
          <w:p>
            <w:pPr>
              <w:spacing w:before="40" w:after="40"/>
            </w:pPr>
            <w:r>
              <w:rPr>
                <w:b/>
                <w:sz w:val="20"/>
              </w:rPr>
            </w:r>
            <w:r>
              <w:rPr>
                <w:b/>
                <w:sz w:val="20"/>
              </w:rPr>
              <w:t>实践验证</w:t>
            </w:r>
          </w:p>
        </w:tc>
        <w:tc>
          <w:tcPr>
            <w:tcW w:type="dxa" w:w="2126"/>
            <w:shd w:val="clear" w:color="auto" w:fill="D9E2EC"/>
          </w:tcPr>
          <w:p>
            <w:pPr>
              <w:spacing w:before="40" w:after="40"/>
            </w:pPr>
            <w:r>
              <w:rPr>
                <w:b/>
                <w:sz w:val="20"/>
              </w:rPr>
            </w:r>
            <w:r>
              <w:rPr>
                <w:b/>
                <w:sz w:val="20"/>
              </w:rPr>
              <w:t>核心技术</w:t>
            </w:r>
          </w:p>
        </w:tc>
        <w:tc>
          <w:tcPr>
            <w:tcW w:type="dxa" w:w="2126"/>
            <w:shd w:val="clear" w:color="auto" w:fill="D9E2EC"/>
          </w:tcPr>
          <w:p>
            <w:pPr>
              <w:spacing w:before="40" w:after="40"/>
            </w:pPr>
            <w:r>
              <w:rPr>
                <w:b/>
                <w:sz w:val="20"/>
              </w:rPr>
            </w:r>
            <w:r>
              <w:rPr>
                <w:b/>
                <w:sz w:val="20"/>
              </w:rPr>
              <w:t>典型案例</w:t>
            </w:r>
          </w:p>
        </w:tc>
      </w:tr>
      <w:tr>
        <w:tc>
          <w:tcPr>
            <w:tcW w:type="dxa" w:w="2126"/>
          </w:tcPr>
          <w:p>
            <w:pPr>
              <w:spacing w:before="40" w:after="40"/>
            </w:pPr>
            <w:r>
              <w:rPr>
                <w:sz w:val="20"/>
              </w:rPr>
            </w:r>
            <w:r>
              <w:rPr>
                <w:sz w:val="20"/>
              </w:rPr>
              <w:t>D</w:t>
            </w:r>
          </w:p>
        </w:tc>
        <w:tc>
          <w:tcPr>
            <w:tcW w:type="dxa" w:w="2126"/>
          </w:tcPr>
          <w:p>
            <w:pPr>
              <w:spacing w:before="40" w:after="40"/>
            </w:pPr>
            <w:r>
              <w:rPr>
                <w:sz w:val="20"/>
              </w:rPr>
            </w:r>
            <w:r>
              <w:rPr>
                <w:sz w:val="20"/>
              </w:rPr>
              <w:t>第4-5章</w:t>
            </w:r>
          </w:p>
        </w:tc>
        <w:tc>
          <w:tcPr>
            <w:tcW w:type="dxa" w:w="2126"/>
          </w:tcPr>
          <w:p>
            <w:pPr>
              <w:spacing w:before="40" w:after="40"/>
            </w:pPr>
            <w:r>
              <w:rPr>
                <w:sz w:val="20"/>
              </w:rPr>
            </w:r>
            <w:r>
              <w:rPr>
                <w:sz w:val="20"/>
              </w:rPr>
              <w:t>三维扫描、多模态采集</w:t>
            </w:r>
          </w:p>
        </w:tc>
        <w:tc>
          <w:tcPr>
            <w:tcW w:type="dxa" w:w="2126"/>
          </w:tcPr>
          <w:p>
            <w:pPr>
              <w:spacing w:before="40" w:after="40"/>
            </w:pPr>
            <w:r>
              <w:rPr>
                <w:sz w:val="20"/>
              </w:rPr>
            </w:r>
            <w:r>
              <w:rPr>
                <w:sz w:val="20"/>
              </w:rPr>
              <w:t>数字敦煌、故宫数字化</w:t>
            </w:r>
          </w:p>
        </w:tc>
      </w:tr>
      <w:tr>
        <w:tc>
          <w:tcPr>
            <w:tcW w:type="dxa" w:w="2126"/>
            <w:shd w:val="clear" w:color="auto" w:fill="F5F5F5"/>
          </w:tcPr>
          <w:p>
            <w:pPr>
              <w:spacing w:before="40" w:after="40"/>
            </w:pPr>
            <w:r>
              <w:rPr>
                <w:sz w:val="20"/>
              </w:rPr>
            </w:r>
            <w:r>
              <w:rPr>
                <w:sz w:val="20"/>
              </w:rPr>
              <w:t>I（智能）</w:t>
            </w:r>
          </w:p>
        </w:tc>
        <w:tc>
          <w:tcPr>
            <w:tcW w:type="dxa" w:w="2126"/>
            <w:shd w:val="clear" w:color="auto" w:fill="F5F5F5"/>
          </w:tcPr>
          <w:p>
            <w:pPr>
              <w:spacing w:before="40" w:after="40"/>
            </w:pPr>
            <w:r>
              <w:rPr>
                <w:sz w:val="20"/>
              </w:rPr>
            </w:r>
            <w:r>
              <w:rPr>
                <w:sz w:val="20"/>
              </w:rPr>
              <w:t>第7章</w:t>
            </w:r>
          </w:p>
        </w:tc>
        <w:tc>
          <w:tcPr>
            <w:tcW w:type="dxa" w:w="2126"/>
            <w:shd w:val="clear" w:color="auto" w:fill="F5F5F5"/>
          </w:tcPr>
          <w:p>
            <w:pPr>
              <w:spacing w:before="40" w:after="40"/>
            </w:pPr>
            <w:r>
              <w:rPr>
                <w:sz w:val="20"/>
              </w:rPr>
            </w:r>
            <w:r>
              <w:rPr>
                <w:sz w:val="20"/>
              </w:rPr>
              <w:t>AI病害识别、虚拟修复</w:t>
            </w:r>
          </w:p>
        </w:tc>
        <w:tc>
          <w:tcPr>
            <w:tcW w:type="dxa" w:w="2126"/>
            <w:shd w:val="clear" w:color="auto" w:fill="F5F5F5"/>
          </w:tcPr>
          <w:p>
            <w:pPr>
              <w:spacing w:before="40" w:after="40"/>
            </w:pPr>
            <w:r>
              <w:rPr>
                <w:sz w:val="20"/>
              </w:rPr>
            </w:r>
            <w:r>
              <w:rPr>
                <w:sz w:val="20"/>
              </w:rPr>
              <w:t>敦煌AI保护项目</w:t>
            </w:r>
          </w:p>
        </w:tc>
      </w:tr>
      <w:tr>
        <w:tc>
          <w:tcPr>
            <w:tcW w:type="dxa" w:w="2126"/>
          </w:tcPr>
          <w:p>
            <w:pPr>
              <w:spacing w:before="40" w:after="40"/>
            </w:pPr>
            <w:r>
              <w:rPr>
                <w:sz w:val="20"/>
              </w:rPr>
            </w:r>
            <w:r>
              <w:rPr>
                <w:sz w:val="20"/>
              </w:rPr>
              <w:t>G</w:t>
            </w:r>
          </w:p>
        </w:tc>
        <w:tc>
          <w:tcPr>
            <w:tcW w:type="dxa" w:w="2126"/>
          </w:tcPr>
          <w:p>
            <w:pPr>
              <w:spacing w:before="40" w:after="40"/>
            </w:pPr>
            <w:r>
              <w:rPr>
                <w:sz w:val="20"/>
              </w:rPr>
            </w:r>
            <w:r>
              <w:rPr>
                <w:sz w:val="20"/>
              </w:rPr>
              <w:t>第9章</w:t>
            </w:r>
          </w:p>
        </w:tc>
        <w:tc>
          <w:tcPr>
            <w:tcW w:type="dxa" w:w="2126"/>
          </w:tcPr>
          <w:p>
            <w:pPr>
              <w:spacing w:before="40" w:after="40"/>
            </w:pPr>
            <w:r>
              <w:rPr>
                <w:sz w:val="20"/>
              </w:rPr>
            </w:r>
            <w:r>
              <w:rPr>
                <w:sz w:val="20"/>
              </w:rPr>
              <w:t>区块链、智能合约</w:t>
            </w:r>
          </w:p>
        </w:tc>
        <w:tc>
          <w:tcPr>
            <w:tcW w:type="dxa" w:w="2126"/>
          </w:tcPr>
          <w:p>
            <w:pPr>
              <w:spacing w:before="40" w:after="40"/>
            </w:pPr>
            <w:r>
              <w:rPr>
                <w:sz w:val="20"/>
              </w:rPr>
            </w:r>
            <w:r>
              <w:rPr>
                <w:sz w:val="20"/>
              </w:rPr>
              <w:t>文物数字版权管理框架</w:t>
            </w:r>
          </w:p>
        </w:tc>
      </w:tr>
      <w:tr>
        <w:tc>
          <w:tcPr>
            <w:tcW w:type="dxa" w:w="2126"/>
            <w:shd w:val="clear" w:color="auto" w:fill="F5F5F5"/>
          </w:tcPr>
          <w:p>
            <w:pPr>
              <w:spacing w:before="40" w:after="40"/>
            </w:pPr>
            <w:r>
              <w:rPr>
                <w:sz w:val="20"/>
              </w:rPr>
            </w:r>
            <w:r>
              <w:rPr>
                <w:sz w:val="20"/>
              </w:rPr>
              <w:t>I（体验）</w:t>
            </w:r>
          </w:p>
        </w:tc>
        <w:tc>
          <w:tcPr>
            <w:tcW w:type="dxa" w:w="2126"/>
            <w:shd w:val="clear" w:color="auto" w:fill="F5F5F5"/>
          </w:tcPr>
          <w:p>
            <w:pPr>
              <w:spacing w:before="40" w:after="40"/>
            </w:pPr>
            <w:r>
              <w:rPr>
                <w:sz w:val="20"/>
              </w:rPr>
            </w:r>
            <w:r>
              <w:rPr>
                <w:sz w:val="20"/>
              </w:rPr>
              <w:t>第6章</w:t>
            </w:r>
          </w:p>
        </w:tc>
        <w:tc>
          <w:tcPr>
            <w:tcW w:type="dxa" w:w="2126"/>
            <w:shd w:val="clear" w:color="auto" w:fill="F5F5F5"/>
          </w:tcPr>
          <w:p>
            <w:pPr>
              <w:spacing w:before="40" w:after="40"/>
            </w:pPr>
            <w:r>
              <w:rPr>
                <w:sz w:val="20"/>
              </w:rPr>
            </w:r>
            <w:r>
              <w:rPr>
                <w:sz w:val="20"/>
              </w:rPr>
              <w:t>VR/AR/MR</w:t>
            </w:r>
          </w:p>
        </w:tc>
        <w:tc>
          <w:tcPr>
            <w:tcW w:type="dxa" w:w="2126"/>
            <w:shd w:val="clear" w:color="auto" w:fill="F5F5F5"/>
          </w:tcPr>
          <w:p>
            <w:pPr>
              <w:spacing w:before="40" w:after="40"/>
            </w:pPr>
            <w:r>
              <w:rPr>
                <w:sz w:val="20"/>
              </w:rPr>
            </w:r>
            <w:r>
              <w:rPr>
                <w:sz w:val="20"/>
              </w:rPr>
              <w:t>哈佛CAMLab Cave</w:t>
            </w:r>
          </w:p>
        </w:tc>
      </w:tr>
      <w:tr>
        <w:tc>
          <w:tcPr>
            <w:tcW w:type="dxa" w:w="2126"/>
          </w:tcPr>
          <w:p>
            <w:pPr>
              <w:spacing w:before="40" w:after="40"/>
            </w:pPr>
            <w:r>
              <w:rPr>
                <w:sz w:val="20"/>
              </w:rPr>
            </w:r>
            <w:r>
              <w:rPr>
                <w:sz w:val="20"/>
              </w:rPr>
              <w:t>T</w:t>
            </w:r>
          </w:p>
        </w:tc>
        <w:tc>
          <w:tcPr>
            <w:tcW w:type="dxa" w:w="2126"/>
          </w:tcPr>
          <w:p>
            <w:pPr>
              <w:spacing w:before="40" w:after="40"/>
            </w:pPr>
            <w:r>
              <w:rPr>
                <w:sz w:val="20"/>
              </w:rPr>
            </w:r>
            <w:r>
              <w:rPr>
                <w:sz w:val="20"/>
              </w:rPr>
              <w:t>第10、12章</w:t>
            </w:r>
          </w:p>
        </w:tc>
        <w:tc>
          <w:tcPr>
            <w:tcW w:type="dxa" w:w="2126"/>
          </w:tcPr>
          <w:p>
            <w:pPr>
              <w:spacing w:before="40" w:after="40"/>
            </w:pPr>
            <w:r>
              <w:rPr>
                <w:sz w:val="20"/>
              </w:rPr>
            </w:r>
            <w:r>
              <w:rPr>
                <w:sz w:val="20"/>
              </w:rPr>
              <w:t>IoT监测、社交媒体</w:t>
            </w:r>
          </w:p>
        </w:tc>
        <w:tc>
          <w:tcPr>
            <w:tcW w:type="dxa" w:w="2126"/>
          </w:tcPr>
          <w:p>
            <w:pPr>
              <w:spacing w:before="40" w:after="40"/>
            </w:pPr>
            <w:r>
              <w:rPr>
                <w:sz w:val="20"/>
              </w:rPr>
            </w:r>
            <w:r>
              <w:rPr>
                <w:sz w:val="20"/>
              </w:rPr>
              <w:t>安阳文化遗产传播</w:t>
            </w:r>
          </w:p>
        </w:tc>
      </w:tr>
    </w:tbl>
    <w:p>
      <w:pPr>
        <w:spacing w:before="160" w:after="80"/>
      </w:pPr>
      <w:r>
        <w:rPr>
          <w:b/>
          <w:color w:val="2A9D8F"/>
          <w:sz w:val="26"/>
        </w:rPr>
        <w:t>12.5.2 技术演进对框架的挑战与更新</w:t>
      </w:r>
    </w:p>
    <w:p>
      <w:pPr>
        <w:spacing w:after="80" w:line="360" w:lineRule="auto"/>
        <w:ind w:firstLine="420"/>
      </w:pPr>
      <w:r>
        <w:rPr>
          <w:sz w:val="22"/>
        </w:rPr>
        <w:t>技术的快速演进对D.I.G.I.T.框架提出了持续更新的要求。生成式AI的突破可能将I（智能）维度的能力提升到新的水平——AI不仅辅助修复，更可能自主生成文化内容的数字阐释；量子计算的出现可能彻底改变数据加密和版权保护的技术基础，影响G维度的技术选择；脑机接口技术可能创造超越VR/AR的全新沉浸式体验形态，重塑I（体验）维度。</w:t>
      </w:r>
    </w:p>
    <w:p>
      <w:pPr>
        <w:spacing w:before="160" w:after="80"/>
      </w:pPr>
      <w:r>
        <w:rPr>
          <w:b/>
          <w:color w:val="2A9D8F"/>
          <w:sz w:val="26"/>
        </w:rPr>
        <w:t>12.5.3 中国文化遗产数字化保护的未来方向</w:t>
      </w:r>
    </w:p>
    <w:p>
      <w:pPr>
        <w:spacing w:after="80" w:line="360" w:lineRule="auto"/>
        <w:ind w:firstLine="420"/>
      </w:pPr>
      <w:r>
        <w:rPr>
          <w:sz w:val="22"/>
        </w:rPr>
        <w:t>基于D.I.G.I.T.框架的分析，中国文化遗产数字化保护的未来方向可归纳为：</w:t>
      </w:r>
    </w:p>
    <w:p>
      <w:pPr>
        <w:pStyle w:val="ListNumber"/>
      </w:pPr>
      <w:r>
        <w:rPr>
          <w:b/>
          <w:sz w:val="22"/>
        </w:rPr>
        <w:t>标准化</w:t>
      </w:r>
      <w:r>
        <w:rPr>
          <w:sz w:val="22"/>
        </w:rPr>
        <w:t>：建立全国统一的文化遗产数字化技术标准和元数据规范</w:t>
      </w:r>
    </w:p>
    <w:p>
      <w:pPr>
        <w:pStyle w:val="ListNumber"/>
      </w:pPr>
      <w:r>
        <w:rPr>
          <w:b/>
          <w:sz w:val="22"/>
        </w:rPr>
        <w:t>平台化</w:t>
      </w:r>
      <w:r>
        <w:rPr>
          <w:sz w:val="22"/>
        </w:rPr>
        <w:t>：建设国家级文化遗产数字资源聚合平台（类比Europeana）</w:t>
      </w:r>
    </w:p>
    <w:p>
      <w:pPr>
        <w:pStyle w:val="ListNumber"/>
      </w:pPr>
      <w:r>
        <w:rPr>
          <w:b/>
          <w:sz w:val="22"/>
        </w:rPr>
        <w:t>智能化</w:t>
      </w:r>
      <w:r>
        <w:rPr>
          <w:sz w:val="22"/>
        </w:rPr>
        <w:t>：推动AI在遗产识别、修复和管理中的规模化应用</w:t>
      </w:r>
    </w:p>
    <w:p>
      <w:pPr>
        <w:pStyle w:val="ListNumber"/>
      </w:pPr>
      <w:r>
        <w:rPr>
          <w:b/>
          <w:sz w:val="22"/>
        </w:rPr>
        <w:t>法治化</w:t>
      </w:r>
      <w:r>
        <w:rPr>
          <w:sz w:val="22"/>
        </w:rPr>
        <w:t>：完善文化遗产数字版权法律框架</w:t>
      </w:r>
    </w:p>
    <w:p>
      <w:pPr>
        <w:pStyle w:val="ListNumber"/>
      </w:pPr>
      <w:r>
        <w:rPr>
          <w:b/>
          <w:sz w:val="22"/>
        </w:rPr>
        <w:t>生态化</w:t>
      </w:r>
      <w:r>
        <w:rPr>
          <w:sz w:val="22"/>
        </w:rPr>
        <w:t>：构建"技术-人才-资金-标准"四位一体的可持续发展生态</w:t>
      </w:r>
    </w:p>
    <w:p>
      <w:pPr>
        <w:pStyle w:val="ListNumber"/>
      </w:pPr>
      <w:r>
        <w:rPr>
          <w:b/>
          <w:sz w:val="22"/>
        </w:rPr>
        <w:t>国际化</w:t>
      </w:r>
      <w:r>
        <w:rPr>
          <w:sz w:val="22"/>
        </w:rPr>
        <w:t>：积极参与国际标准制定，贡献中国方案</w:t>
      </w:r>
    </w:p>
    <w:p>
      <w:pPr>
        <w:spacing w:before="160" w:after="80"/>
      </w:pPr>
      <w:r>
        <w:rPr>
          <w:b/>
          <w:color w:val="2A9D8F"/>
          <w:sz w:val="26"/>
        </w:rPr>
        <w:t>12.5.4 构建文化遗产可持续发展的数字生态</w:t>
      </w:r>
    </w:p>
    <w:p>
      <w:pPr>
        <w:spacing w:after="80" w:line="360" w:lineRule="auto"/>
        <w:ind w:firstLine="420"/>
      </w:pPr>
      <w:r>
        <w:rPr>
          <w:sz w:val="22"/>
        </w:rPr>
        <w:t>文化遗产数字化保护的终极目标是构建可持续发展的数字生态——在这个生态中，技术为保护赋能，保护为传承服务，传承为发展提供动力。D.I.G.I.T.框架的五维度不是线性递进的技术选择清单，而是相互支撑、迭代演进的动态系统：数字化采集（D）为智能分析（I）提供数据基础，智能分析为治理决策（G）提供科学依据，治理保障为沉浸体验（I）和传播传承（T）创造健康环境，而传播传承的反馈又反过来指导数字化采集的重点和方向。</w:t>
      </w:r>
    </w:p>
    <w:p>
      <w:pPr>
        <w:spacing w:after="80" w:line="360" w:lineRule="auto"/>
        <w:ind w:firstLine="420"/>
      </w:pPr>
      <w:r>
        <w:rPr>
          <w:sz w:val="22"/>
        </w:rPr>
        <w:t>这一数字生态的构建需要政府、学术机构、技术企业、文化机构和公众的多元协同。只有当文化遗产数字化保护从"项目"走向"生态"、从"技术"走向"文化"、从"保存"走向"传承"，D.I.G.I.T.框架的价值才能真正实现——让人类的文化遗产在数字时代焕发永续的生命力。</w:t>
      </w:r>
    </w:p>
    <w:p>
      <w:pPr>
        <w:spacing w:before="200" w:after="120"/>
      </w:pPr>
      <w:r>
        <w:rPr>
          <w:b/>
          <w:color w:val="457B9D"/>
          <w:sz w:val="30"/>
        </w:rPr>
        <w:t>本章小结</w:t>
      </w:r>
    </w:p>
    <w:p>
      <w:pPr>
        <w:spacing w:after="80" w:line="360" w:lineRule="auto"/>
        <w:ind w:firstLine="420"/>
      </w:pPr>
      <w:r>
        <w:rPr>
          <w:sz w:val="22"/>
        </w:rPr>
        <w:t>本章深入D.I.G.I.T.框架的T（传承与可持续发展）维度并进行全维度整合。文化遗产数字传播理论从传播学视角阐释了遗产传播的5W模型，媒介化理论揭示了数字媒介对文化实践逻辑的重塑，参与式传播使公众从被动接收者转变为内容创作者。社交媒体已成为遗产传播的核心渠道，内容策略对参与度有显著影响。数字传播的创新路径包括跨媒介叙事、游戏化传播和元宇宙场景营造。文化遗产数字化保护的前沿趋势是从数字化到数据化到数智化的三阶段演进、AI+区块链+IoT+VR/AR的多技术融合、从技术驱动到生态构建的范式转变。D.I.G.I.T.框架在五维度的实践验证中得到了检验，技术演进要求框架持续更新。中国文化遗产数字化保护的未来方向是标准化、平台化、智能化、法治化、生态化和国际化——最终目标是构建文化遗产可持续发展的数字生态。</w:t>
      </w:r>
    </w:p>
    <w:p>
      <w:pPr>
        <w:spacing w:before="200" w:after="120"/>
      </w:pPr>
      <w:r>
        <w:rPr>
          <w:b/>
          <w:color w:val="457B9D"/>
          <w:sz w:val="30"/>
        </w:rPr>
        <w:t>思考题</w:t>
      </w:r>
    </w:p>
    <w:p>
      <w:pPr>
        <w:pStyle w:val="ListNumber"/>
      </w:pPr>
      <w:r>
        <w:rPr>
          <w:b/>
          <w:sz w:val="22"/>
        </w:rPr>
        <w:t>（识记）</w:t>
      </w:r>
      <w:r>
        <w:rPr>
          <w:sz w:val="22"/>
        </w:rPr>
        <w:t xml:space="preserve"> 传播学"5W"模型如何应用于文化遗产数字传播分析？</w:t>
      </w:r>
    </w:p>
    <w:p>
      <w:pPr>
        <w:pStyle w:val="ListNumber"/>
      </w:pPr>
      <w:r>
        <w:rPr>
          <w:b/>
          <w:sz w:val="22"/>
        </w:rPr>
        <w:t>（理解）</w:t>
      </w:r>
      <w:r>
        <w:rPr>
          <w:sz w:val="22"/>
        </w:rPr>
        <w:t xml:space="preserve"> 解释从"单向传播"到"参与式传播"的转变对文化遗产传播效果的影响。</w:t>
      </w:r>
    </w:p>
    <w:p>
      <w:pPr>
        <w:pStyle w:val="ListNumber"/>
      </w:pPr>
      <w:r>
        <w:rPr>
          <w:b/>
          <w:sz w:val="22"/>
        </w:rPr>
        <w:t>（应用）</w:t>
      </w:r>
      <w:r>
        <w:rPr>
          <w:sz w:val="22"/>
        </w:rPr>
        <w:t xml:space="preserve"> 请为一家市级博物馆设计社交媒体传播策略，包含平台选择、内容类型和互动机制。</w:t>
      </w:r>
    </w:p>
    <w:p>
      <w:pPr>
        <w:pStyle w:val="ListNumber"/>
      </w:pPr>
      <w:r>
        <w:rPr>
          <w:b/>
          <w:sz w:val="22"/>
        </w:rPr>
        <w:t>（分析）</w:t>
      </w:r>
      <w:r>
        <w:rPr>
          <w:sz w:val="22"/>
        </w:rPr>
        <w:t xml:space="preserve"> 分析D.I.G.I.T.五维度之间的相互支撑关系，说明任何一个维度缺失会对整体框架产生什么影响。</w:t>
      </w:r>
    </w:p>
    <w:p>
      <w:pPr>
        <w:pStyle w:val="ListNumber"/>
      </w:pPr>
      <w:r>
        <w:rPr>
          <w:b/>
          <w:sz w:val="22"/>
        </w:rPr>
        <w:t>（评价）</w:t>
      </w:r>
      <w:r>
        <w:rPr>
          <w:sz w:val="22"/>
        </w:rPr>
        <w:t xml:space="preserve"> 评估"技术驱动"向"生态构建"转变的必要性和可行性，分析中国在这一转变中面临的主要障碍。</w:t>
      </w:r>
    </w:p>
    <w:p>
      <w:pPr>
        <w:pStyle w:val="ListNumber"/>
      </w:pPr>
      <w:r>
        <w:rPr>
          <w:b/>
          <w:sz w:val="22"/>
        </w:rPr>
        <w:t>（创造）</w:t>
      </w:r>
      <w:r>
        <w:rPr>
          <w:sz w:val="22"/>
        </w:rPr>
        <w:t xml:space="preserve"> 请以D.I.G.I.T.框架为基础，撰写一份《文化遗产数字化保护2030展望报告》的大纲，包含愿景目标、关键任务和实施路径。</w:t>
      </w:r>
    </w:p>
    <w:p>
      <w:pPr>
        <w:spacing w:before="160" w:after="80"/>
      </w:pPr>
      <w:r>
        <w:rPr>
          <w:b/>
          <w:color w:val="2A9D8F"/>
          <w:sz w:val="26"/>
        </w:rPr>
        <w:t>12.6 文化遗产数字传播的深度分析</w:t>
      </w:r>
    </w:p>
    <w:p>
      <w:pPr>
        <w:spacing w:before="120"/>
      </w:pPr>
      <w:r>
        <w:rPr>
          <w:b/>
          <w:sz w:val="22"/>
        </w:rPr>
        <w:t>12.6.1 传播效果的影响因素模型</w:t>
      </w:r>
    </w:p>
    <w:p>
      <w:pPr>
        <w:spacing w:after="80" w:line="360" w:lineRule="auto"/>
        <w:ind w:firstLine="420"/>
      </w:pPr>
      <w:r>
        <w:rPr>
          <w:sz w:val="22"/>
        </w:rPr>
        <w:t>基于Shao等人（2023）的研究[17]和Cui等人（2022）的实证发现[18]，可以构建文化遗产数字传播效果的影响因素模型：</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D9E2EC"/>
          </w:tcPr>
          <w:p>
            <w:pPr>
              <w:spacing w:before="40" w:after="40"/>
            </w:pPr>
            <w:r>
              <w:rPr>
                <w:b/>
                <w:sz w:val="20"/>
              </w:rPr>
            </w:r>
            <w:r>
              <w:rPr>
                <w:b/>
                <w:sz w:val="20"/>
              </w:rPr>
              <w:t>影响层级</w:t>
            </w:r>
          </w:p>
        </w:tc>
        <w:tc>
          <w:tcPr>
            <w:tcW w:type="dxa" w:w="2126"/>
            <w:shd w:val="clear" w:color="auto" w:fill="D9E2EC"/>
          </w:tcPr>
          <w:p>
            <w:pPr>
              <w:spacing w:before="40" w:after="40"/>
            </w:pPr>
            <w:r>
              <w:rPr>
                <w:b/>
                <w:sz w:val="20"/>
              </w:rPr>
            </w:r>
            <w:r>
              <w:rPr>
                <w:b/>
                <w:sz w:val="20"/>
              </w:rPr>
              <w:t>因素</w:t>
            </w:r>
          </w:p>
        </w:tc>
        <w:tc>
          <w:tcPr>
            <w:tcW w:type="dxa" w:w="2126"/>
            <w:shd w:val="clear" w:color="auto" w:fill="D9E2EC"/>
          </w:tcPr>
          <w:p>
            <w:pPr>
              <w:spacing w:before="40" w:after="40"/>
            </w:pPr>
            <w:r>
              <w:rPr>
                <w:b/>
                <w:sz w:val="20"/>
              </w:rPr>
            </w:r>
            <w:r>
              <w:rPr>
                <w:b/>
                <w:sz w:val="20"/>
              </w:rPr>
              <w:t>影响方向</w:t>
            </w:r>
          </w:p>
        </w:tc>
        <w:tc>
          <w:tcPr>
            <w:tcW w:type="dxa" w:w="2126"/>
            <w:shd w:val="clear" w:color="auto" w:fill="D9E2EC"/>
          </w:tcPr>
          <w:p>
            <w:pPr>
              <w:spacing w:before="40" w:after="40"/>
            </w:pPr>
            <w:r>
              <w:rPr>
                <w:b/>
                <w:sz w:val="20"/>
              </w:rPr>
            </w:r>
            <w:r>
              <w:rPr>
                <w:b/>
                <w:sz w:val="20"/>
              </w:rPr>
              <w:t>影响强度</w:t>
            </w:r>
          </w:p>
        </w:tc>
      </w:tr>
      <w:tr>
        <w:tc>
          <w:tcPr>
            <w:tcW w:type="dxa" w:w="2126"/>
          </w:tcPr>
          <w:p>
            <w:pPr>
              <w:spacing w:before="40" w:after="40"/>
            </w:pPr>
            <w:r>
              <w:rPr>
                <w:sz w:val="20"/>
              </w:rPr>
            </w:r>
            <w:r>
              <w:rPr>
                <w:sz w:val="20"/>
              </w:rPr>
              <w:t>内容层</w:t>
            </w:r>
          </w:p>
        </w:tc>
        <w:tc>
          <w:tcPr>
            <w:tcW w:type="dxa" w:w="2126"/>
          </w:tcPr>
          <w:p>
            <w:pPr>
              <w:spacing w:before="40" w:after="40"/>
            </w:pPr>
            <w:r>
              <w:rPr>
                <w:sz w:val="20"/>
              </w:rPr>
            </w:r>
            <w:r>
              <w:rPr>
                <w:sz w:val="20"/>
              </w:rPr>
              <w:t>内容质量（准确性、深度）</w:t>
            </w:r>
          </w:p>
        </w:tc>
        <w:tc>
          <w:tcPr>
            <w:tcW w:type="dxa" w:w="2126"/>
          </w:tcPr>
          <w:p>
            <w:pPr>
              <w:spacing w:before="40" w:after="40"/>
            </w:pPr>
            <w:r>
              <w:rPr>
                <w:sz w:val="20"/>
              </w:rPr>
            </w:r>
            <w:r>
              <w:rPr>
                <w:sz w:val="20"/>
              </w:rPr>
              <w:t>正向</w:t>
            </w:r>
          </w:p>
        </w:tc>
        <w:tc>
          <w:tcPr>
            <w:tcW w:type="dxa" w:w="2126"/>
          </w:tcPr>
          <w:p>
            <w:pPr>
              <w:spacing w:before="40" w:after="40"/>
            </w:pPr>
            <w:r>
              <w:rPr>
                <w:sz w:val="20"/>
              </w:rPr>
            </w:r>
            <w:r>
              <w:rPr>
                <w:sz w:val="20"/>
              </w:rPr>
              <w:t>强</w:t>
            </w:r>
          </w:p>
        </w:tc>
      </w:tr>
      <w:tr>
        <w:tc>
          <w:tcPr>
            <w:tcW w:type="dxa" w:w="2126"/>
            <w:shd w:val="clear" w:color="auto" w:fill="F5F5F5"/>
          </w:tcPr>
          <w:p>
            <w:pPr>
              <w:spacing w:before="40" w:after="40"/>
            </w:pPr>
            <w:r>
              <w:rPr>
                <w:sz w:val="20"/>
              </w:rPr>
            </w:r>
            <w:r>
              <w:rPr>
                <w:sz w:val="20"/>
              </w:rPr>
              <w:t>内容层</w:t>
            </w:r>
          </w:p>
        </w:tc>
        <w:tc>
          <w:tcPr>
            <w:tcW w:type="dxa" w:w="2126"/>
            <w:shd w:val="clear" w:color="auto" w:fill="F5F5F5"/>
          </w:tcPr>
          <w:p>
            <w:pPr>
              <w:spacing w:before="40" w:after="40"/>
            </w:pPr>
            <w:r>
              <w:rPr>
                <w:sz w:val="20"/>
              </w:rPr>
            </w:r>
            <w:r>
              <w:rPr>
                <w:sz w:val="20"/>
              </w:rPr>
              <w:t>叙事方式（故事化程度）</w:t>
            </w:r>
          </w:p>
        </w:tc>
        <w:tc>
          <w:tcPr>
            <w:tcW w:type="dxa" w:w="2126"/>
            <w:shd w:val="clear" w:color="auto" w:fill="F5F5F5"/>
          </w:tcPr>
          <w:p>
            <w:pPr>
              <w:spacing w:before="40" w:after="40"/>
            </w:pPr>
            <w:r>
              <w:rPr>
                <w:sz w:val="20"/>
              </w:rPr>
            </w:r>
            <w:r>
              <w:rPr>
                <w:sz w:val="20"/>
              </w:rPr>
              <w:t>正向</w:t>
            </w:r>
          </w:p>
        </w:tc>
        <w:tc>
          <w:tcPr>
            <w:tcW w:type="dxa" w:w="2126"/>
            <w:shd w:val="clear" w:color="auto" w:fill="F5F5F5"/>
          </w:tcPr>
          <w:p>
            <w:pPr>
              <w:spacing w:before="40" w:after="40"/>
            </w:pPr>
            <w:r>
              <w:rPr>
                <w:sz w:val="20"/>
              </w:rPr>
            </w:r>
            <w:r>
              <w:rPr>
                <w:sz w:val="20"/>
              </w:rPr>
              <w:t>强</w:t>
            </w:r>
          </w:p>
        </w:tc>
      </w:tr>
      <w:tr>
        <w:tc>
          <w:tcPr>
            <w:tcW w:type="dxa" w:w="2126"/>
          </w:tcPr>
          <w:p>
            <w:pPr>
              <w:spacing w:before="40" w:after="40"/>
            </w:pPr>
            <w:r>
              <w:rPr>
                <w:sz w:val="20"/>
              </w:rPr>
            </w:r>
            <w:r>
              <w:rPr>
                <w:sz w:val="20"/>
              </w:rPr>
              <w:t>互动层</w:t>
            </w:r>
          </w:p>
        </w:tc>
        <w:tc>
          <w:tcPr>
            <w:tcW w:type="dxa" w:w="2126"/>
          </w:tcPr>
          <w:p>
            <w:pPr>
              <w:spacing w:before="40" w:after="40"/>
            </w:pPr>
            <w:r>
              <w:rPr>
                <w:sz w:val="20"/>
              </w:rPr>
            </w:r>
            <w:r>
              <w:rPr>
                <w:sz w:val="20"/>
              </w:rPr>
              <w:t>互动设计（评论/投票/分享）</w:t>
            </w:r>
          </w:p>
        </w:tc>
        <w:tc>
          <w:tcPr>
            <w:tcW w:type="dxa" w:w="2126"/>
          </w:tcPr>
          <w:p>
            <w:pPr>
              <w:spacing w:before="40" w:after="40"/>
            </w:pPr>
            <w:r>
              <w:rPr>
                <w:sz w:val="20"/>
              </w:rPr>
            </w:r>
            <w:r>
              <w:rPr>
                <w:sz w:val="20"/>
              </w:rPr>
              <w:t>正向</w:t>
            </w:r>
          </w:p>
        </w:tc>
        <w:tc>
          <w:tcPr>
            <w:tcW w:type="dxa" w:w="2126"/>
          </w:tcPr>
          <w:p>
            <w:pPr>
              <w:spacing w:before="40" w:after="40"/>
            </w:pPr>
            <w:r>
              <w:rPr>
                <w:sz w:val="20"/>
              </w:rPr>
            </w:r>
            <w:r>
              <w:rPr>
                <w:sz w:val="20"/>
              </w:rPr>
              <w:t>中强</w:t>
            </w:r>
          </w:p>
        </w:tc>
      </w:tr>
      <w:tr>
        <w:tc>
          <w:tcPr>
            <w:tcW w:type="dxa" w:w="2126"/>
            <w:shd w:val="clear" w:color="auto" w:fill="F5F5F5"/>
          </w:tcPr>
          <w:p>
            <w:pPr>
              <w:spacing w:before="40" w:after="40"/>
            </w:pPr>
            <w:r>
              <w:rPr>
                <w:sz w:val="20"/>
              </w:rPr>
            </w:r>
            <w:r>
              <w:rPr>
                <w:sz w:val="20"/>
              </w:rPr>
              <w:t>平台层</w:t>
            </w:r>
          </w:p>
        </w:tc>
        <w:tc>
          <w:tcPr>
            <w:tcW w:type="dxa" w:w="2126"/>
            <w:shd w:val="clear" w:color="auto" w:fill="F5F5F5"/>
          </w:tcPr>
          <w:p>
            <w:pPr>
              <w:spacing w:before="40" w:after="40"/>
            </w:pPr>
            <w:r>
              <w:rPr>
                <w:sz w:val="20"/>
              </w:rPr>
            </w:r>
            <w:r>
              <w:rPr>
                <w:sz w:val="20"/>
              </w:rPr>
              <w:t>平台特性（算法推荐机制）</w:t>
            </w:r>
          </w:p>
        </w:tc>
        <w:tc>
          <w:tcPr>
            <w:tcW w:type="dxa" w:w="2126"/>
            <w:shd w:val="clear" w:color="auto" w:fill="F5F5F5"/>
          </w:tcPr>
          <w:p>
            <w:pPr>
              <w:spacing w:before="40" w:after="40"/>
            </w:pPr>
            <w:r>
              <w:rPr>
                <w:sz w:val="20"/>
              </w:rPr>
            </w:r>
            <w:r>
              <w:rPr>
                <w:sz w:val="20"/>
              </w:rPr>
              <w:t>正向</w:t>
            </w:r>
          </w:p>
        </w:tc>
        <w:tc>
          <w:tcPr>
            <w:tcW w:type="dxa" w:w="2126"/>
            <w:shd w:val="clear" w:color="auto" w:fill="F5F5F5"/>
          </w:tcPr>
          <w:p>
            <w:pPr>
              <w:spacing w:before="40" w:after="40"/>
            </w:pPr>
            <w:r>
              <w:rPr>
                <w:sz w:val="20"/>
              </w:rPr>
            </w:r>
            <w:r>
              <w:rPr>
                <w:sz w:val="20"/>
              </w:rPr>
              <w:t>中</w:t>
            </w:r>
          </w:p>
        </w:tc>
      </w:tr>
      <w:tr>
        <w:tc>
          <w:tcPr>
            <w:tcW w:type="dxa" w:w="2126"/>
          </w:tcPr>
          <w:p>
            <w:pPr>
              <w:spacing w:before="40" w:after="40"/>
            </w:pPr>
            <w:r>
              <w:rPr>
                <w:sz w:val="20"/>
              </w:rPr>
            </w:r>
            <w:r>
              <w:rPr>
                <w:sz w:val="20"/>
              </w:rPr>
              <w:t>用户层</w:t>
            </w:r>
          </w:p>
        </w:tc>
        <w:tc>
          <w:tcPr>
            <w:tcW w:type="dxa" w:w="2126"/>
          </w:tcPr>
          <w:p>
            <w:pPr>
              <w:spacing w:before="40" w:after="40"/>
            </w:pPr>
            <w:r>
              <w:rPr>
                <w:sz w:val="20"/>
              </w:rPr>
            </w:r>
            <w:r>
              <w:rPr>
                <w:sz w:val="20"/>
              </w:rPr>
              <w:t>用户文化背景</w:t>
            </w:r>
          </w:p>
        </w:tc>
        <w:tc>
          <w:tcPr>
            <w:tcW w:type="dxa" w:w="2126"/>
          </w:tcPr>
          <w:p>
            <w:pPr>
              <w:spacing w:before="40" w:after="40"/>
            </w:pPr>
            <w:r>
              <w:rPr>
                <w:sz w:val="20"/>
              </w:rPr>
            </w:r>
            <w:r>
              <w:rPr>
                <w:sz w:val="20"/>
              </w:rPr>
              <w:t>调节</w:t>
            </w:r>
          </w:p>
        </w:tc>
        <w:tc>
          <w:tcPr>
            <w:tcW w:type="dxa" w:w="2126"/>
          </w:tcPr>
          <w:p>
            <w:pPr>
              <w:spacing w:before="40" w:after="40"/>
            </w:pPr>
            <w:r>
              <w:rPr>
                <w:sz w:val="20"/>
              </w:rPr>
            </w:r>
            <w:r>
              <w:rPr>
                <w:sz w:val="20"/>
              </w:rPr>
              <w:t>中</w:t>
            </w:r>
          </w:p>
        </w:tc>
      </w:tr>
      <w:tr>
        <w:tc>
          <w:tcPr>
            <w:tcW w:type="dxa" w:w="2126"/>
            <w:shd w:val="clear" w:color="auto" w:fill="F5F5F5"/>
          </w:tcPr>
          <w:p>
            <w:pPr>
              <w:spacing w:before="40" w:after="40"/>
            </w:pPr>
            <w:r>
              <w:rPr>
                <w:sz w:val="20"/>
              </w:rPr>
            </w:r>
            <w:r>
              <w:rPr>
                <w:sz w:val="20"/>
              </w:rPr>
              <w:t>机构层</w:t>
            </w:r>
          </w:p>
        </w:tc>
        <w:tc>
          <w:tcPr>
            <w:tcW w:type="dxa" w:w="2126"/>
            <w:shd w:val="clear" w:color="auto" w:fill="F5F5F5"/>
          </w:tcPr>
          <w:p>
            <w:pPr>
              <w:spacing w:before="40" w:after="40"/>
            </w:pPr>
            <w:r>
              <w:rPr>
                <w:sz w:val="20"/>
              </w:rPr>
            </w:r>
            <w:r>
              <w:rPr>
                <w:sz w:val="20"/>
              </w:rPr>
              <w:t>机构品牌信任度</w:t>
            </w:r>
          </w:p>
        </w:tc>
        <w:tc>
          <w:tcPr>
            <w:tcW w:type="dxa" w:w="2126"/>
            <w:shd w:val="clear" w:color="auto" w:fill="F5F5F5"/>
          </w:tcPr>
          <w:p>
            <w:pPr>
              <w:spacing w:before="40" w:after="40"/>
            </w:pPr>
            <w:r>
              <w:rPr>
                <w:sz w:val="20"/>
              </w:rPr>
            </w:r>
            <w:r>
              <w:rPr>
                <w:sz w:val="20"/>
              </w:rPr>
              <w:t>正向</w:t>
            </w:r>
          </w:p>
        </w:tc>
        <w:tc>
          <w:tcPr>
            <w:tcW w:type="dxa" w:w="2126"/>
            <w:shd w:val="clear" w:color="auto" w:fill="F5F5F5"/>
          </w:tcPr>
          <w:p>
            <w:pPr>
              <w:spacing w:before="40" w:after="40"/>
            </w:pPr>
            <w:r>
              <w:rPr>
                <w:sz w:val="20"/>
              </w:rPr>
            </w:r>
            <w:r>
              <w:rPr>
                <w:sz w:val="20"/>
              </w:rPr>
              <w:t>中</w:t>
            </w:r>
          </w:p>
        </w:tc>
      </w:tr>
    </w:tbl>
    <w:p>
      <w:pPr>
        <w:spacing w:before="120"/>
      </w:pPr>
      <w:r>
        <w:rPr>
          <w:b/>
          <w:sz w:val="22"/>
        </w:rPr>
        <w:t>12.6.2 社交媒体传播的策略优化</w:t>
      </w:r>
    </w:p>
    <w:p>
      <w:pPr>
        <w:spacing w:after="80" w:line="360" w:lineRule="auto"/>
        <w:ind w:firstLine="420"/>
      </w:pPr>
      <w:r>
        <w:rPr>
          <w:sz w:val="22"/>
        </w:rPr>
        <w:t>Cui等人（2022）的研究揭示了不同内容策略对参与度的差异化影响[18]：</w:t>
      </w:r>
    </w:p>
    <w:p>
      <w:pPr>
        <w:spacing w:after="80" w:line="360" w:lineRule="auto"/>
        <w:ind w:firstLine="420"/>
      </w:pPr>
      <w:r>
        <w:rPr>
          <w:b/>
          <w:sz w:val="22"/>
        </w:rPr>
        <w:t>信息型内容</w:t>
      </w:r>
      <w:r>
        <w:rPr>
          <w:sz w:val="22"/>
        </w:rPr>
        <w:t>（展品介绍、历史知识）：适合建立专业权威，但互动率较低。优化策略：增加视觉吸引力（高清图、短视频）、简化专业术语、添加趣味知识点。</w:t>
      </w:r>
    </w:p>
    <w:p>
      <w:pPr>
        <w:spacing w:after="80" w:line="360" w:lineRule="auto"/>
        <w:ind w:firstLine="420"/>
      </w:pPr>
      <w:r>
        <w:rPr>
          <w:b/>
          <w:sz w:val="22"/>
        </w:rPr>
        <w:t>情感型内容</w:t>
      </w:r>
      <w:r>
        <w:rPr>
          <w:sz w:val="22"/>
        </w:rPr>
        <w:t>（传承人故事、文化情感）：分享和评论率高，但需要避免"过度煽情"损害专业性。优化策略：以真实故事为核心，让传承人自己发声。</w:t>
      </w:r>
    </w:p>
    <w:p>
      <w:pPr>
        <w:spacing w:after="80" w:line="360" w:lineRule="auto"/>
        <w:ind w:firstLine="420"/>
      </w:pPr>
      <w:r>
        <w:rPr>
          <w:b/>
          <w:sz w:val="22"/>
        </w:rPr>
        <w:t>互动型内容</w:t>
      </w:r>
      <w:r>
        <w:rPr>
          <w:sz w:val="22"/>
        </w:rPr>
        <w:t>（问答、投票、挑战）：参与率最高，但需要与遗产内容深度结合。优化策略：设计与文化内涵相关的互动——如"猜猜这件文物的用途""投票你最喜欢的传统纹样"。</w:t>
      </w:r>
    </w:p>
    <w:p>
      <w:pPr>
        <w:spacing w:before="120"/>
      </w:pPr>
      <w:r>
        <w:rPr>
          <w:b/>
          <w:sz w:val="22"/>
        </w:rPr>
        <w:t>12.6.3 跨文化传播的策略</w:t>
      </w:r>
    </w:p>
    <w:p>
      <w:pPr>
        <w:spacing w:after="80" w:line="360" w:lineRule="auto"/>
        <w:ind w:firstLine="420"/>
      </w:pPr>
      <w:r>
        <w:rPr>
          <w:sz w:val="22"/>
        </w:rPr>
        <w:t>文化遗产的跨文化传播面临"文化折扣"（cultural discount）问题——同一文化内容在跨文化传播时，因文化差异导致理解和认同度降低。Li和Yu（2024）在安阳文化遗产传播研究中指出，降低文化折扣的策略包括：寻找文化共性（人类共同的情感和价值观）、提供文化语境（解释文化背景而非仅展示结果）、利用视觉叙事（减少语言依赖）[19]。</w:t>
      </w:r>
    </w:p>
    <w:p>
      <w:pPr>
        <w:spacing w:before="160" w:after="80"/>
      </w:pPr>
      <w:r>
        <w:rPr>
          <w:b/>
          <w:color w:val="2A9D8F"/>
          <w:sz w:val="26"/>
        </w:rPr>
        <w:t>12.7 D.I.G.I.T.框架的实践反思与改进</w:t>
      </w:r>
    </w:p>
    <w:p>
      <w:pPr>
        <w:spacing w:before="120"/>
      </w:pPr>
      <w:r>
        <w:rPr>
          <w:b/>
          <w:sz w:val="22"/>
        </w:rPr>
        <w:t>12.7.1 框架应用的实践检验</w:t>
      </w:r>
    </w:p>
    <w:p>
      <w:pPr>
        <w:spacing w:after="80" w:line="360" w:lineRule="auto"/>
        <w:ind w:firstLine="420"/>
      </w:pPr>
      <w:r>
        <w:rPr>
          <w:sz w:val="22"/>
        </w:rPr>
        <w:t>D.I.G.I.T.框架在本书各章的应用中得到了初步检验。检验结果显示框架的优势在于：提供了系统化的思维框架，帮助实践者全面考虑数字化保护的各个维度；五维度之间的逻辑关系清晰，便于教学和培训；框架的灵活性使其适用于不同类型和规模的遗产机构。</w:t>
      </w:r>
    </w:p>
    <w:p>
      <w:pPr>
        <w:spacing w:after="80" w:line="360" w:lineRule="auto"/>
        <w:ind w:firstLine="420"/>
      </w:pPr>
      <w:r>
        <w:rPr>
          <w:sz w:val="22"/>
        </w:rPr>
        <w:t>同时也暴露了不足：框架对"人"的因素（传承人意愿、社区参与、人才培养）关注不够；五维度之间的权重关系未明确——不同场景下各维度的重要性不同；框架主要面向数字化保护，对物理保护与传统修复的衔接讨论不足。</w:t>
      </w:r>
    </w:p>
    <w:p>
      <w:pPr>
        <w:spacing w:before="120"/>
      </w:pPr>
      <w:r>
        <w:rPr>
          <w:b/>
          <w:sz w:val="22"/>
        </w:rPr>
        <w:t>12.7.2 框架的改进方向</w:t>
      </w:r>
    </w:p>
    <w:p>
      <w:pPr>
        <w:spacing w:after="80" w:line="360" w:lineRule="auto"/>
        <w:ind w:firstLine="420"/>
      </w:pPr>
      <w:r>
        <w:rPr>
          <w:sz w:val="22"/>
        </w:rPr>
        <w:t>基于实践检验的反馈，D.I.G.I.T.框架的改进方向包括：</w:t>
      </w:r>
    </w:p>
    <w:p>
      <w:pPr>
        <w:spacing w:after="80" w:line="360" w:lineRule="auto"/>
        <w:ind w:firstLine="420"/>
      </w:pPr>
      <w:r>
        <w:rPr>
          <w:b/>
          <w:sz w:val="22"/>
        </w:rPr>
        <w:t>增加"人文维度"</w:t>
      </w:r>
      <w:r>
        <w:rPr>
          <w:sz w:val="22"/>
        </w:rPr>
        <w:t>：在五维度之外增加对人文因素的系统关注——传承人主体地位、社区文化权益、文化伦理等。</w:t>
      </w:r>
    </w:p>
    <w:p>
      <w:pPr>
        <w:spacing w:after="80" w:line="360" w:lineRule="auto"/>
        <w:ind w:firstLine="420"/>
      </w:pPr>
      <w:r>
        <w:rPr>
          <w:b/>
          <w:sz w:val="22"/>
        </w:rPr>
        <w:t>动态权重机制</w:t>
      </w:r>
      <w:r>
        <w:rPr>
          <w:sz w:val="22"/>
        </w:rPr>
        <w:t>：根据遗产类型、机构规模和保护阶段，为五维度设定差异化权重。例如，小型博物馆应侧重D和T维度，大型研究机构应侧重D和I（智能）维度。</w:t>
      </w:r>
    </w:p>
    <w:p>
      <w:pPr>
        <w:spacing w:after="80" w:line="360" w:lineRule="auto"/>
        <w:ind w:firstLine="420"/>
      </w:pPr>
      <w:r>
        <w:rPr>
          <w:b/>
          <w:sz w:val="22"/>
        </w:rPr>
        <w:t>全生命周期视角</w:t>
      </w:r>
      <w:r>
        <w:rPr>
          <w:sz w:val="22"/>
        </w:rPr>
        <w:t>：将框架从"数字化保护"扩展到"数字化保护+物理保护"的全生命周期，明确两者在D.I.G.I.T.各维度中的协同关系。</w:t>
      </w:r>
    </w:p>
    <w:p>
      <w:pPr>
        <w:spacing w:before="120"/>
      </w:pPr>
      <w:r>
        <w:rPr>
          <w:b/>
          <w:sz w:val="22"/>
        </w:rPr>
        <w:t>12.7.3 框架与国际方法的对话</w:t>
      </w:r>
    </w:p>
    <w:p>
      <w:pPr>
        <w:spacing w:after="80" w:line="360" w:lineRule="auto"/>
        <w:ind w:firstLine="420"/>
      </w:pPr>
      <w:r>
        <w:rPr>
          <w:sz w:val="22"/>
        </w:rPr>
        <w:t>D.I.G.I.T.框架与国际文化遗产保护方法论的对话包括：与UNESCO"三步执行战略"的对应关系（确认→D维度，保护→D+I维度，利用→I+T维度）；与Europeana"数字化→数据化→数智化"三阶段的映射（数字化→D维度，数据化→I+G维度，数智化→I+T维度）；与ICCROM预防性保护理念的融合（IoT监测→D+I维度协同）。</w:t>
      </w:r>
    </w:p>
    <w:p>
      <w:pPr>
        <w:spacing w:before="160" w:after="80"/>
      </w:pPr>
      <w:r>
        <w:rPr>
          <w:b/>
          <w:color w:val="2A9D8F"/>
          <w:sz w:val="26"/>
        </w:rPr>
        <w:t>12.8 构建文化遗产数字生态的路线图</w:t>
      </w:r>
    </w:p>
    <w:p>
      <w:pPr>
        <w:spacing w:before="120"/>
      </w:pPr>
      <w:r>
        <w:rPr>
          <w:b/>
          <w:sz w:val="22"/>
        </w:rPr>
        <w:t>12.8.1 短期目标（1-3年）</w:t>
      </w:r>
    </w:p>
    <w:p>
      <w:pPr>
        <w:pStyle w:val="ListBullet"/>
      </w:pPr>
      <w:r>
        <w:rPr>
          <w:sz w:val="22"/>
        </w:rPr>
        <w:t>制定全国统一的文化遗产数字化技术标准框架</w:t>
      </w:r>
    </w:p>
    <w:p>
      <w:pPr>
        <w:pStyle w:val="ListBullet"/>
      </w:pPr>
      <w:r>
        <w:rPr>
          <w:sz w:val="22"/>
        </w:rPr>
        <w:t>建设国家级文化遗产数字资源聚合平台原型</w:t>
      </w:r>
    </w:p>
    <w:p>
      <w:pPr>
        <w:pStyle w:val="ListBullet"/>
      </w:pPr>
      <w:r>
        <w:rPr>
          <w:sz w:val="22"/>
        </w:rPr>
        <w:t>在100家一级博物馆和世界遗产地部署IoT监测系统</w:t>
      </w:r>
    </w:p>
    <w:p>
      <w:pPr>
        <w:pStyle w:val="ListBullet"/>
      </w:pPr>
      <w:r>
        <w:rPr>
          <w:sz w:val="22"/>
        </w:rPr>
        <w:t>培养首批"文化遗产数字化"交叉学科专业人才</w:t>
      </w:r>
    </w:p>
    <w:p>
      <w:pPr>
        <w:spacing w:before="120"/>
      </w:pPr>
      <w:r>
        <w:rPr>
          <w:b/>
          <w:sz w:val="22"/>
        </w:rPr>
        <w:t>12.8.2 中期目标（3-5年）</w:t>
      </w:r>
    </w:p>
    <w:p>
      <w:pPr>
        <w:pStyle w:val="ListBullet"/>
      </w:pPr>
      <w:r>
        <w:rPr>
          <w:sz w:val="22"/>
        </w:rPr>
        <w:t>国家文化大数据体系初步建成，覆盖主要遗产类型</w:t>
      </w:r>
    </w:p>
    <w:p>
      <w:pPr>
        <w:pStyle w:val="ListBullet"/>
      </w:pPr>
      <w:r>
        <w:rPr>
          <w:sz w:val="22"/>
        </w:rPr>
        <w:t>AI在文物病害识别和虚拟修复中实现规模化应用</w:t>
      </w:r>
    </w:p>
    <w:p>
      <w:pPr>
        <w:pStyle w:val="ListBullet"/>
      </w:pPr>
      <w:r>
        <w:rPr>
          <w:sz w:val="22"/>
        </w:rPr>
        <w:t>文化遗产数字版权法律框架完善</w:t>
      </w:r>
    </w:p>
    <w:p>
      <w:pPr>
        <w:pStyle w:val="ListBullet"/>
      </w:pPr>
      <w:r>
        <w:rPr>
          <w:sz w:val="22"/>
        </w:rPr>
        <w:t>VR/AR沉浸式体验在100家以上博物馆推广</w:t>
      </w:r>
    </w:p>
    <w:p>
      <w:pPr>
        <w:spacing w:before="120"/>
      </w:pPr>
      <w:r>
        <w:rPr>
          <w:b/>
          <w:sz w:val="22"/>
        </w:rPr>
        <w:t>12.8.3 长期目标（5-10年）</w:t>
      </w:r>
    </w:p>
    <w:p>
      <w:pPr>
        <w:pStyle w:val="ListBullet"/>
      </w:pPr>
      <w:r>
        <w:rPr>
          <w:sz w:val="22"/>
        </w:rPr>
        <w:t>构建完整的"技术-人才-资金-标准"四位一体数字生态</w:t>
      </w:r>
    </w:p>
    <w:p>
      <w:pPr>
        <w:pStyle w:val="ListBullet"/>
      </w:pPr>
      <w:r>
        <w:rPr>
          <w:sz w:val="22"/>
        </w:rPr>
        <w:t>中国文化遗产数字资源全球开放访问</w:t>
      </w:r>
    </w:p>
    <w:p>
      <w:pPr>
        <w:pStyle w:val="ListBullet"/>
      </w:pPr>
      <w:r>
        <w:rPr>
          <w:sz w:val="22"/>
        </w:rPr>
        <w:t>元宇宙文化遗产平台投入运营</w:t>
      </w:r>
    </w:p>
    <w:p>
      <w:pPr>
        <w:pStyle w:val="ListBullet"/>
      </w:pPr>
      <w:r>
        <w:rPr>
          <w:sz w:val="22"/>
        </w:rPr>
        <w:t>中国成为国际文化遗产数字化标准的重要制定者</w:t>
      </w:r>
    </w:p>
    <w:p>
      <w:pPr>
        <w:spacing w:after="80" w:line="360" w:lineRule="auto"/>
        <w:ind w:firstLine="420"/>
      </w:pPr>
      <w:r>
        <w:rPr>
          <w:sz w:val="22"/>
        </w:rPr>
        <w:t>这一路线图的实现需要政府、学术机构、技术企业、文化机构和公众的多元协同。D.I.G.I.T.框架为这一协同提供了方法论基础——五维度对应五类行动主体：D维度以技术机构和遗产机构为主，I（智能）维度以科研机构和技术企业为主，G维度以政府部门和法律机构为主，I（体验）维度以博物馆和创意产业为主，T维度以教育机构和媒体平台为主。五类主体在框架的统一架构下协同行动，才能构建可持续发展的文化遗产数字生态。</w:t>
      </w:r>
    </w:p>
    <w:p>
      <w:pPr>
        <w:spacing w:before="160" w:after="80"/>
      </w:pPr>
      <w:r>
        <w:rPr>
          <w:b/>
          <w:color w:val="2A9D8F"/>
          <w:sz w:val="26"/>
        </w:rPr>
        <w:t>12.9 文化遗产数字传播的社会学分析</w:t>
      </w:r>
    </w:p>
    <w:p>
      <w:pPr>
        <w:spacing w:before="120"/>
      </w:pPr>
      <w:r>
        <w:rPr>
          <w:b/>
          <w:sz w:val="22"/>
        </w:rPr>
        <w:t>12.9.1 数字鸿沟与遗产传播公平</w:t>
      </w:r>
    </w:p>
    <w:p>
      <w:pPr>
        <w:spacing w:after="80" w:line="360" w:lineRule="auto"/>
        <w:ind w:firstLine="420"/>
      </w:pPr>
      <w:r>
        <w:rPr>
          <w:sz w:val="22"/>
        </w:rPr>
        <w:t>文化遗产数字传播的"民主化"承诺面临数字鸿沟的现实挑战。Liang等人（2020）在回顾社交媒体对文化遗产可持续性作用时，指出数字传播使城市和受过良好教育的群体更容易接触遗产资源，而农村和弱势群体可能进一步被边缘化[22]。</w:t>
      </w:r>
    </w:p>
    <w:p>
      <w:pPr>
        <w:spacing w:after="80" w:line="360" w:lineRule="auto"/>
        <w:ind w:firstLine="420"/>
      </w:pPr>
      <w:r>
        <w:rPr>
          <w:sz w:val="22"/>
        </w:rPr>
        <w:t>解决数字鸿沟的策略包括：开发低带宽适配的遗产传播产品（如基于文字的社交媒体内容）、在社区图书馆和文化站部署数字遗产终端、开展数字素养培训帮助弱势群体使用数字遗产资源。</w:t>
      </w:r>
    </w:p>
    <w:p>
      <w:pPr>
        <w:spacing w:before="120"/>
      </w:pPr>
      <w:r>
        <w:rPr>
          <w:b/>
          <w:sz w:val="22"/>
        </w:rPr>
        <w:t>12.9.2 参与式遗产实践</w:t>
      </w:r>
    </w:p>
    <w:p>
      <w:pPr>
        <w:spacing w:after="80" w:line="360" w:lineRule="auto"/>
        <w:ind w:firstLine="420"/>
      </w:pPr>
      <w:r>
        <w:rPr>
          <w:sz w:val="22"/>
        </w:rPr>
        <w:t>参与式遗产实践（Participatory Heritage Practice）强调公众在遗产保护中的主动角色——不仅是信息接收者，更是内容创作者和知识贡献者。Nofal（2023）在研究数字遗产项目参与式设计时，提出参与式设计工作坊是促进多元利益相关者参与的有效方法[23]。</w:t>
      </w:r>
    </w:p>
    <w:p>
      <w:pPr>
        <w:spacing w:after="80" w:line="360" w:lineRule="auto"/>
        <w:ind w:firstLine="420"/>
      </w:pPr>
      <w:r>
        <w:rPr>
          <w:sz w:val="22"/>
        </w:rPr>
        <w:t>参与式实践的形式包括：众包标注（公众参与文物照片的描述和分类）、社区口述史采集（社区成员用手机记录本地口传故事）、虚拟策展（公众在数字平台上策展自己的文化遗产展览）。</w:t>
      </w:r>
    </w:p>
    <w:p>
      <w:pPr>
        <w:spacing w:before="120"/>
      </w:pPr>
      <w:r>
        <w:rPr>
          <w:b/>
          <w:sz w:val="22"/>
        </w:rPr>
        <w:t>12.9.3 文化认同与数字遗产</w:t>
      </w:r>
    </w:p>
    <w:p>
      <w:pPr>
        <w:spacing w:after="80" w:line="360" w:lineRule="auto"/>
        <w:ind w:firstLine="420"/>
      </w:pPr>
      <w:r>
        <w:rPr>
          <w:sz w:val="22"/>
        </w:rPr>
        <w:t>数字遗产传播对文化认同的建构具有深远影响。Svensson（2016）在研究遗产与社交媒体时指出，社交媒体为公民分享记忆、身份认同和地方文化提供了新的可能性，构成了更加多元的遗产话语空间[24]。</w:t>
      </w:r>
    </w:p>
    <w:p>
      <w:pPr>
        <w:spacing w:after="80" w:line="360" w:lineRule="auto"/>
        <w:ind w:firstLine="420"/>
      </w:pPr>
      <w:r>
        <w:rPr>
          <w:sz w:val="22"/>
        </w:rPr>
        <w:t>然而，数字遗产传播也可能引发"身份政治"——不同群体对同一遗产的诠释可能冲突，数字平台可能放大这些冲突。负责任的数字遗产传播需要在多元声音和文化尊重之间取得平衡。</w:t>
      </w:r>
    </w:p>
    <w:p>
      <w:pPr>
        <w:spacing w:before="160" w:after="80"/>
      </w:pPr>
      <w:r>
        <w:rPr>
          <w:b/>
          <w:color w:val="2A9D8F"/>
          <w:sz w:val="26"/>
        </w:rPr>
        <w:t>12.10 文化遗产数字生态的构建路径</w:t>
      </w:r>
    </w:p>
    <w:p>
      <w:pPr>
        <w:spacing w:before="120"/>
      </w:pPr>
      <w:r>
        <w:rPr>
          <w:b/>
          <w:sz w:val="22"/>
        </w:rPr>
        <w:t>12.10.1 技术生态</w:t>
      </w:r>
    </w:p>
    <w:p>
      <w:pPr>
        <w:spacing w:after="80" w:line="360" w:lineRule="auto"/>
        <w:ind w:firstLine="420"/>
      </w:pPr>
      <w:r>
        <w:rPr>
          <w:sz w:val="22"/>
        </w:rPr>
        <w:t>技术生态的核心是"技术栈"的可持续性——确保当前技术投资不会因技术过时而变为沉没成本。可持续技术生态的原则包括：优先采用开放标准而非专有技术、模块化架构便于技术组件的独立升级、数据与平台分离确保数据可迁移性。</w:t>
      </w:r>
    </w:p>
    <w:p>
      <w:pPr>
        <w:spacing w:after="80" w:line="360" w:lineRule="auto"/>
        <w:ind w:firstLine="420"/>
      </w:pPr>
      <w:r>
        <w:rPr>
          <w:sz w:val="22"/>
        </w:rPr>
        <w:t>Furferi等人（2024）在研究传统博物馆数字化体验增强时，指出博物馆数字化的新兴趋势是"集成化"——将3D扫描、AR/VR、AI推荐、IoT监测等技术整合为统一的数字生态系统[25]。D.I.G.I.T.框架正是这种集成化思维的方法论体现。</w:t>
      </w:r>
    </w:p>
    <w:p>
      <w:pPr>
        <w:spacing w:before="120"/>
      </w:pPr>
      <w:r>
        <w:rPr>
          <w:b/>
          <w:sz w:val="22"/>
        </w:rPr>
        <w:t>12.10.2 制度生态</w:t>
      </w:r>
    </w:p>
    <w:p>
      <w:pPr>
        <w:spacing w:after="80" w:line="360" w:lineRule="auto"/>
        <w:ind w:firstLine="420"/>
      </w:pPr>
      <w:r>
        <w:rPr>
          <w:sz w:val="22"/>
        </w:rPr>
        <w:t>制度生态包括法律法规、标准规范、组织架构和资金机制。完善的制度生态应能回答以下问题：数字遗产资源的版权归属如何确定？跨机构数据共享的权益如何分配？数字化投入的长期资金如何保障？专业人才如何培养和留存？</w:t>
      </w:r>
    </w:p>
    <w:p>
      <w:pPr>
        <w:spacing w:before="120"/>
      </w:pPr>
      <w:r>
        <w:rPr>
          <w:b/>
          <w:sz w:val="22"/>
        </w:rPr>
        <w:t>12.10.3 文化生态</w:t>
      </w:r>
    </w:p>
    <w:p>
      <w:pPr>
        <w:spacing w:after="80" w:line="360" w:lineRule="auto"/>
        <w:ind w:firstLine="420"/>
      </w:pPr>
      <w:r>
        <w:rPr>
          <w:sz w:val="22"/>
        </w:rPr>
        <w:t>文化生态关注数字遗产与当代社会文化生活的融合。可持续的文化生态应使文化遗产不再是"博物馆中的标本"，而是"活在社会中的资源"——融入教育课程、创意产业、社区活动和日常生活。D.I.G.I.T.框架的T维度正是这一文化生态建设的方法论指引。</w:t>
      </w:r>
    </w:p>
    <w:p>
      <w:pPr>
        <w:spacing w:before="120"/>
      </w:pPr>
      <w:r>
        <w:rPr>
          <w:b/>
          <w:sz w:val="22"/>
        </w:rPr>
        <w:t>12.10.4 生态构建的协同机制</w:t>
      </w:r>
    </w:p>
    <w:p>
      <w:pPr>
        <w:spacing w:after="80" w:line="360" w:lineRule="auto"/>
        <w:ind w:firstLine="420"/>
      </w:pPr>
      <w:r>
        <w:rPr>
          <w:sz w:val="22"/>
        </w:rPr>
        <w:t>技术生态、制度生态和文化生态的构建需要协同推进——技术为制度和文化的实现提供工具，制度为技术的应用和文化的发展提供规则，文化为技术和制度的设计提供价值导向。D.I.G.I.T.框架的五维度——D（技术基底）、I（智能引擎）、G（制度保障）、I（交互界面）、T（价值目标）——正是这种协同机制的方法论框架。五维度的系统协同，才能构建真正可持续发展的文化遗产数字生态。</w:t>
      </w:r>
    </w:p>
    <w:p>
      <w:pPr>
        <w:spacing w:before="160" w:after="80"/>
      </w:pPr>
      <w:r>
        <w:rPr>
          <w:b/>
          <w:color w:val="2A9D8F"/>
          <w:sz w:val="26"/>
        </w:rPr>
        <w:t>12.11 文化遗产数字传播的全球化与本土化</w:t>
      </w:r>
    </w:p>
    <w:p>
      <w:pPr>
        <w:spacing w:before="120"/>
      </w:pPr>
      <w:r>
        <w:rPr>
          <w:b/>
          <w:sz w:val="22"/>
        </w:rPr>
        <w:t>12.11.1 全球化传播的机遇</w:t>
      </w:r>
    </w:p>
    <w:p>
      <w:pPr>
        <w:spacing w:after="80" w:line="360" w:lineRule="auto"/>
        <w:ind w:firstLine="420"/>
      </w:pPr>
      <w:r>
        <w:rPr>
          <w:sz w:val="22"/>
        </w:rPr>
        <w:t>数字技术使文化遗产传播突破地理限制——一个偏远村落的民间故事可以通过社交媒体触达全球受众。中国传媒大学非遗传播研究中心（2023）报道的哈佛CAMLab Cave实践展示了中华文化全球传播的新路径——融合VR、AR、全息投影等前沿技术，在全球视野下讲述中国艺术与中国建筑[8]。</w:t>
      </w:r>
    </w:p>
    <w:p>
      <w:pPr>
        <w:spacing w:before="120"/>
      </w:pPr>
      <w:r>
        <w:rPr>
          <w:b/>
          <w:sz w:val="22"/>
        </w:rPr>
        <w:t>12.11.2 本土化传播的必要性</w:t>
      </w:r>
    </w:p>
    <w:p>
      <w:pPr>
        <w:spacing w:after="80" w:line="360" w:lineRule="auto"/>
        <w:ind w:firstLine="420"/>
      </w:pPr>
      <w:r>
        <w:rPr>
          <w:sz w:val="22"/>
        </w:rPr>
        <w:t>全球化传播不等于"去语境化"传播。文化遗产的意义深深嵌入其本土文化语境——脱离语境的遗产传播可能导致文化误读和简化。Li和Yu（2024）在安阳文化遗产传播研究中指出，本土化传播策略——使用本地语言、邀请本地社区参与、嵌入本地文化叙事——是确保传播深度的关键[19]。</w:t>
      </w:r>
    </w:p>
    <w:p>
      <w:pPr>
        <w:spacing w:before="120"/>
      </w:pPr>
      <w:r>
        <w:rPr>
          <w:b/>
          <w:sz w:val="22"/>
        </w:rPr>
        <w:t>12.11.3 "全球-本土"双向策略</w:t>
      </w:r>
    </w:p>
    <w:p>
      <w:pPr>
        <w:spacing w:after="80" w:line="360" w:lineRule="auto"/>
        <w:ind w:firstLine="420"/>
      </w:pPr>
      <w:r>
        <w:rPr>
          <w:sz w:val="22"/>
        </w:rPr>
        <w:t>最佳传播策略是"全球-本土"双向——面向国际受众采用全球化策略（视觉叙事、跨文化共鸣、多语言支持），面向本地社区采用本土化策略（社区参与、本地叙事、文化深度）。两种策略不是替代关系，而是互补关系。</w:t>
      </w:r>
    </w:p>
    <w:p>
      <w:pPr>
        <w:spacing w:before="160" w:after="80"/>
      </w:pPr>
      <w:r>
        <w:rPr>
          <w:b/>
          <w:color w:val="2A9D8F"/>
          <w:sz w:val="26"/>
        </w:rPr>
        <w:t>12.12 终极展望：数字时代的文化遗产新形态</w:t>
      </w:r>
    </w:p>
    <w:p>
      <w:pPr>
        <w:spacing w:before="120"/>
      </w:pPr>
      <w:r>
        <w:rPr>
          <w:b/>
          <w:sz w:val="22"/>
        </w:rPr>
        <w:t>12.12.1 "活态数字遗产"</w:t>
      </w:r>
    </w:p>
    <w:p>
      <w:pPr>
        <w:spacing w:after="80" w:line="360" w:lineRule="auto"/>
        <w:ind w:firstLine="420"/>
      </w:pPr>
      <w:r>
        <w:rPr>
          <w:sz w:val="22"/>
        </w:rPr>
        <w:t>未来的文化遗产数字保护将走向"活态数字遗产"——数字资源不是静态的"存档"，而是持续演化的"活体"。AI模型不断从新数据中学习，知识图谱不断扩展新关联，虚拟体验不断融入新叙事。PrakashTribhuvan和Abdullah（2025）在对数字遗产保护方法的全面审查中，呼吁建立"活态"的数字遗产保护体系——能够适应技术演进和文化变化的持续保护机制[16]。</w:t>
      </w:r>
    </w:p>
    <w:p>
      <w:pPr>
        <w:spacing w:before="120"/>
      </w:pPr>
      <w:r>
        <w:rPr>
          <w:b/>
          <w:sz w:val="22"/>
        </w:rPr>
        <w:t>12.12.2 "人-遗产-技术"三元共生</w:t>
      </w:r>
    </w:p>
    <w:p>
      <w:pPr>
        <w:spacing w:after="80" w:line="360" w:lineRule="auto"/>
        <w:ind w:firstLine="420"/>
      </w:pPr>
      <w:r>
        <w:rPr>
          <w:sz w:val="22"/>
        </w:rPr>
        <w:t>数字时代的文化遗产保护将形成"人-遗产-技术"三元共生关系——人通过技术保护遗产，遗产通过技术连接人，技术因遗产而获得文化深度。D.I.G.I.T.框架的五维度正是这一三元关系的方法论映射：D和I（智能）维度代表技术对遗产的赋能，G维度代表制度对三者关系的规范，I（体验）维度代表技术连接人与遗产的界面，T维度代表人与遗产共生的价值目标。</w:t>
      </w:r>
    </w:p>
    <w:p>
      <w:pPr>
        <w:spacing w:before="120"/>
      </w:pPr>
      <w:r>
        <w:rPr>
          <w:b/>
          <w:sz w:val="22"/>
        </w:rPr>
        <w:t>12.12.3 结语</w:t>
      </w:r>
    </w:p>
    <w:p>
      <w:pPr>
        <w:spacing w:after="80" w:line="360" w:lineRule="auto"/>
        <w:ind w:firstLine="420"/>
      </w:pPr>
      <w:r>
        <w:rPr>
          <w:sz w:val="22"/>
        </w:rPr>
        <w:t>文化遗产是人类文明的记忆与根基。在数字时代，这些记忆不再仅以物质形态存在——它们以三维数据、知识图谱、虚拟体验和区块链凭证等多重数字形态获得新生。D.I.G.I.T.框架——数字化采集与典藏（D）、智能分析与修复（I）、治理与权益管理（G）、沉浸式体验与展示（I）、传承与可持续发展（T）——为这一"新生"提供了系统性的方法论指引。</w:t>
      </w:r>
    </w:p>
    <w:p>
      <w:pPr>
        <w:spacing w:after="80" w:line="360" w:lineRule="auto"/>
        <w:ind w:firstLine="420"/>
      </w:pPr>
      <w:r>
        <w:rPr>
          <w:sz w:val="22"/>
        </w:rPr>
        <w:t>然而，技术永远只是手段，文化才是目的。无论AI多么智能、VR多么沉浸、区块链多么安全，文化遗产保护的终极目标始终是：让人类的文化记忆在时间洪流中得到永续保存，让每一代人都能从先辈的智慧中获得启迪，让文化多样性成为人类共同的财富。D.I.G.I.T.框架的价值，不在于它描述了什么技术，而在于它指引了如何让技术服务于这一终极目标。</w:t>
      </w:r>
    </w:p>
    <w:p>
      <w:pPr>
        <w:spacing w:before="160" w:after="80"/>
      </w:pPr>
      <w:r>
        <w:rPr>
          <w:b/>
          <w:color w:val="2A9D8F"/>
          <w:sz w:val="26"/>
        </w:rPr>
        <w:t>12.10 文化遗产数字传播的社会学反思</w:t>
      </w:r>
    </w:p>
    <w:p>
      <w:pPr>
        <w:spacing w:before="120"/>
      </w:pPr>
      <w:r>
        <w:rPr>
          <w:b/>
          <w:sz w:val="22"/>
        </w:rPr>
        <w:t>12.10.1 数字传播与文化简化的风险</w:t>
      </w:r>
    </w:p>
    <w:p>
      <w:pPr>
        <w:spacing w:after="80" w:line="360" w:lineRule="auto"/>
        <w:ind w:firstLine="420"/>
      </w:pPr>
      <w:r>
        <w:rPr>
          <w:sz w:val="22"/>
        </w:rPr>
        <w:t>文化遗产在数字传播过程中面临"文化简化"风险——复杂的文化内涵被转化为易于传播的简短内容（如15秒短视频、9宫格图片），深层的文化意义可能被剥离。Liu等人（2022）在研究社交媒体中的文化传播时发现，传播热度与文化深度之间存在负相关——越是简化的文化内容越容易获得高传播量，而深入的文化解读往往无人问津[42]。</w:t>
      </w:r>
    </w:p>
    <w:p>
      <w:pPr>
        <w:spacing w:after="80" w:line="360" w:lineRule="auto"/>
        <w:ind w:firstLine="420"/>
      </w:pPr>
      <w:r>
        <w:rPr>
          <w:sz w:val="22"/>
        </w:rPr>
        <w:t>应对文化简化风险的策略包括：分层传播——同一文化遗产内容制作不同深度的版本（短视频吸引关注、长视频深入解读、互动平台沉浸体验）；语境化呈现——在传播内容中嵌入文化背景信息，避免文化遗产被"去语境化"消费；批判性媒介素养——培养受众对文化内容的批判性解读能力，不满足于表面的视觉消费。</w:t>
      </w:r>
    </w:p>
    <w:p>
      <w:pPr>
        <w:spacing w:before="120"/>
      </w:pPr>
      <w:r>
        <w:rPr>
          <w:b/>
          <w:sz w:val="22"/>
        </w:rPr>
        <w:t>12.10.2 算法推荐与文化多样性</w:t>
      </w:r>
    </w:p>
    <w:p>
      <w:pPr>
        <w:spacing w:after="80" w:line="360" w:lineRule="auto"/>
        <w:ind w:firstLine="420"/>
      </w:pPr>
      <w:r>
        <w:rPr>
          <w:sz w:val="22"/>
        </w:rPr>
        <w:t>数字平台的算法推荐机制对文化遗产传播产生深远影响——算法倾向于推荐高互动率的内容，可能导致"马太效应"——知名文化遗产获得更多曝光，小众遗产进一步边缘化。Tas（2020）在研究数字文化遗产传播时指出，算法推荐可能加剧文化不平等——需要设计"多样性注入"机制，在推荐流中刻意增加小众文化遗产的曝光机会[43]。</w:t>
      </w:r>
    </w:p>
    <w:p>
      <w:pPr>
        <w:spacing w:before="200" w:after="120"/>
      </w:pPr>
      <w:r>
        <w:rPr>
          <w:b/>
          <w:color w:val="457B9D"/>
          <w:sz w:val="30"/>
        </w:rPr>
        <w:t>参考文献</w:t>
      </w:r>
    </w:p>
    <w:p>
      <w:pPr>
        <w:spacing w:after="40"/>
        <w:ind w:left="425" w:hanging="425"/>
      </w:pPr>
      <w:r>
        <w:rPr>
          <w:sz w:val="20"/>
        </w:rPr>
        <w:t>[1] Li C, Yu K. Digital Communication and Preservation of Cultural Heritage in the Context of New Media: A Case Study of Anyang[J]. International Journal of Social Sciences, 2024, 12(4). DOI: 10.11114/ijsss.v12i4.6934.</w:t>
      </w:r>
    </w:p>
    <w:p>
      <w:pPr>
        <w:spacing w:after="40"/>
        <w:ind w:left="425" w:hanging="425"/>
      </w:pPr>
      <w:r>
        <w:rPr>
          <w:sz w:val="20"/>
        </w:rPr>
        <w:t>[2] Svensson M. Mediatization and Cultural Heritage: Plural Voices and New Platforms[J]. 2016. Semantic Scholar.</w:t>
      </w:r>
    </w:p>
    <w:p>
      <w:pPr>
        <w:spacing w:after="40"/>
        <w:ind w:left="425" w:hanging="425"/>
      </w:pPr>
      <w:r>
        <w:rPr>
          <w:sz w:val="20"/>
        </w:rPr>
        <w:t>[3] Nofal E. Participatory Design Workshops: Interdisciplinary Encounters within a Collaborative Digital Heritage Project[J]. Heritage, 2023, 6(3): 146. DOI: 10.3390/heritage6030146.</w:t>
      </w:r>
    </w:p>
    <w:p>
      <w:pPr>
        <w:spacing w:after="40"/>
        <w:ind w:left="425" w:hanging="425"/>
      </w:pPr>
      <w:r>
        <w:rPr>
          <w:sz w:val="20"/>
        </w:rPr>
        <w:t>[4] Shao Y, Razali J R, Hassan H, et al. A Study on the Influencing Factors of Social Media in the Communication of Cultural Heritage Education[J]. Studies in Media and Communication, 2023, 11(7). DOI: 10.11114/smc.v11i7.6296.</w:t>
      </w:r>
    </w:p>
    <w:p>
      <w:pPr>
        <w:spacing w:after="40"/>
        <w:ind w:left="425" w:hanging="425"/>
      </w:pPr>
      <w:r>
        <w:rPr>
          <w:sz w:val="20"/>
        </w:rPr>
        <w:t>[5] Liang X, Lu Y, Martin J. A Review of the Role of Social Media for the Cultural Heritage Sustainability[J]. Preprints, 2020. DOI: 10.20944/preprints202012.0618.v1.</w:t>
      </w:r>
    </w:p>
    <w:p>
      <w:pPr>
        <w:spacing w:after="40"/>
        <w:ind w:left="425" w:hanging="425"/>
      </w:pPr>
      <w:r>
        <w:rPr>
          <w:sz w:val="20"/>
        </w:rPr>
        <w:t>[6] Cui T, Kumar P, Orr S A. Connecting Characteristics of Social Media Activities of a Heritage Organisation to Audience Engagement[J]. Digital Applications in Archaeology and Cultural Heritage, 2022, e00253. DOI: 10.1016/j.daach.2022.e00253.</w:t>
      </w:r>
    </w:p>
    <w:p>
      <w:pPr>
        <w:spacing w:after="40"/>
        <w:ind w:left="425" w:hanging="425"/>
      </w:pPr>
      <w:r>
        <w:rPr>
          <w:sz w:val="20"/>
        </w:rPr>
        <w:t>[7] Clari M. In the Hands of the User: A Framework for the Analysis of Online Engagement with Digital Heritage Collections[C]. 2012. Semantic Scholar.</w:t>
      </w:r>
    </w:p>
    <w:p>
      <w:pPr>
        <w:spacing w:after="40"/>
        <w:ind w:left="425" w:hanging="425"/>
      </w:pPr>
      <w:r>
        <w:rPr>
          <w:sz w:val="20"/>
        </w:rPr>
        <w:t>[8] 中国传媒大学非遗传播研究中心. 增强中华文明传播力影响力的密码[J]. 2023. 维普期刊.</w:t>
      </w:r>
    </w:p>
    <w:p>
      <w:pPr>
        <w:spacing w:after="40"/>
        <w:ind w:left="425" w:hanging="425"/>
      </w:pPr>
      <w:r>
        <w:rPr>
          <w:sz w:val="20"/>
        </w:rPr>
        <w:t>[9] [作者不详]. 非物质文化遗产的数字化保护与传播方式探究[J]. 2025. 维普期刊.</w:t>
      </w:r>
    </w:p>
    <w:p>
      <w:pPr>
        <w:spacing w:after="40"/>
        <w:ind w:left="425" w:hanging="425"/>
      </w:pPr>
      <w:r>
        <w:rPr>
          <w:sz w:val="20"/>
        </w:rPr>
        <w:t>[10] Banfi F, Pontisso M, Paolillo F R, et al. Interactive and Immersive Digital Representation for Virtual Museum: VR and AR for Semantic Enrichment[J]. ISPRS International Journal of Geo-Information, 2023, 12(2): 28. DOI: 10.3390/ijgi12020028.</w:t>
      </w:r>
    </w:p>
    <w:p>
      <w:pPr>
        <w:spacing w:after="40"/>
        <w:ind w:left="425" w:hanging="425"/>
      </w:pPr>
      <w:r>
        <w:rPr>
          <w:sz w:val="20"/>
        </w:rPr>
        <w:t>[11] Costa C S, Artopoulos G, Djukic A. Reframing Digital Practices in Mediated Public Open Spaces Associated with Cultural Heritage[C]. 2018. Semantic Scholar.</w:t>
      </w:r>
    </w:p>
    <w:p>
      <w:pPr>
        <w:spacing w:after="40"/>
        <w:ind w:left="425" w:hanging="425"/>
      </w:pPr>
      <w:r>
        <w:rPr>
          <w:sz w:val="20"/>
        </w:rPr>
        <w:t>[12] [作者不详]. 文化遗产数字资源建设发展进程研究——以Europeana实践为基础的研究[J]. 2026. 万方数据.</w:t>
      </w:r>
    </w:p>
    <w:p>
      <w:pPr>
        <w:spacing w:after="40"/>
        <w:ind w:left="425" w:hanging="425"/>
      </w:pPr>
      <w:r>
        <w:rPr>
          <w:sz w:val="20"/>
        </w:rPr>
        <w:t>[13] Furferi R, Di Angelo L, Bertini M, et al. Enhancing Traditional Museum Fruition: Current State and Emerging Tendencies[J]. Heritage Science, 2024, 12: 1139. DOI: 10.1186/s40494-024-01139-y.</w:t>
      </w:r>
    </w:p>
    <w:p>
      <w:pPr>
        <w:spacing w:after="40"/>
        <w:ind w:left="425" w:hanging="425"/>
      </w:pPr>
      <w:r>
        <w:rPr>
          <w:sz w:val="20"/>
        </w:rPr>
        <w:t>[14] Borin E, Donato F. Financial Sustainability of Digitizing Cultural Heritage: The International Platform Europeana[J]. Journal of Risk and Financial Management, 2023, 16(10): 421. DOI: 10.3390/jrfm16100421.</w:t>
      </w:r>
    </w:p>
    <w:p>
      <w:pPr>
        <w:spacing w:after="40"/>
        <w:ind w:left="425" w:hanging="425"/>
      </w:pPr>
      <w:r>
        <w:rPr>
          <w:sz w:val="20"/>
        </w:rPr>
        <w:t>[15] Koščík M, Myška M. Copyright Law Challenges of Preservation of "Born-digital" Digital Content as Cultural Heritage[C]. 2019. Semantic Scholar.</w:t>
      </w:r>
    </w:p>
    <w:p>
      <w:pPr>
        <w:spacing w:after="40"/>
        <w:ind w:left="425" w:hanging="425"/>
      </w:pPr>
      <w:r>
        <w:rPr>
          <w:sz w:val="20"/>
        </w:rPr>
        <w:t>[16] PrakashTribhuvan A, Abdullah B A. Preserving Our Past: A Thorough Examination of Methods and Technologies in Digital Heritage[J]. International Journal of Science and Advanced Technology, 2025, 16(1): 1324. DOI: 10.71097/ijsat.v16.i1.1324.</w:t>
      </w:r>
    </w:p>
    <w:p>
      <w:pPr>
        <w:spacing w:after="40"/>
        <w:ind w:left="425" w:hanging="425"/>
      </w:pPr>
      <w:r>
        <w:rPr>
          <w:sz w:val="20"/>
        </w:rPr>
        <w:t>[17] Shao Y, Razali J R, Hassan H, et al. A Study on the Influencing Factors of Social Media in the Communication of Cultural Heritage Education[J]. Studies in Media and Communication, 2023. DOI: 10.11114/smc.v11i7.6296.</w:t>
      </w:r>
    </w:p>
    <w:p>
      <w:pPr>
        <w:spacing w:after="40"/>
        <w:ind w:left="425" w:hanging="425"/>
      </w:pPr>
      <w:r>
        <w:rPr>
          <w:sz w:val="20"/>
        </w:rPr>
        <w:t>[18] Cui T, Kumar P, Orr S A. Connecting Characteristics of Social Media Activities of a Heritage Organisation to Audience Engagement[J]. Digital Applications in Archaeology and Cultural Heritage, 2022. DOI: 10.1016/j.daach.2022.e00253.</w:t>
      </w:r>
    </w:p>
    <w:p>
      <w:pPr>
        <w:spacing w:after="40"/>
        <w:ind w:left="425" w:hanging="425"/>
      </w:pPr>
      <w:r>
        <w:rPr>
          <w:sz w:val="20"/>
        </w:rPr>
        <w:t>[19] Li C, Yu K. Digital Communication and Preservation of Cultural Heritage in the Context of New Media[J]. International Journal of Social Sciences, 2024. DOI: 10.11114/ijsss.v12i4.6934.</w:t>
      </w:r>
    </w:p>
    <w:p>
      <w:pPr>
        <w:spacing w:after="40"/>
        <w:ind w:left="425" w:hanging="425"/>
      </w:pPr>
      <w:r>
        <w:rPr>
          <w:sz w:val="20"/>
        </w:rPr>
        <w:t>[22] Liang X, Lu Y, Martin J. A Review of the Role of Social Media for the Cultural Heritage Sustainability[J]. Preprints, 2020. DOI: 10.20944/preprints202012.0618.v1.</w:t>
      </w:r>
    </w:p>
    <w:p>
      <w:pPr>
        <w:spacing w:after="40"/>
        <w:ind w:left="425" w:hanging="425"/>
      </w:pPr>
      <w:r>
        <w:rPr>
          <w:sz w:val="20"/>
        </w:rPr>
        <w:t>[23] Nofal E. Participatory Design Workshops: Interdisciplinary Encounters within a Collaborative Digital Heritage Project[J]. Heritage, 2023, 6(3): 146. DOI: 10.3390/heritage6030146.</w:t>
      </w:r>
    </w:p>
    <w:p>
      <w:pPr>
        <w:spacing w:after="40"/>
        <w:ind w:left="425" w:hanging="425"/>
      </w:pPr>
      <w:r>
        <w:rPr>
          <w:sz w:val="20"/>
        </w:rPr>
        <w:t>[24] Svensson M. Mediatization and Cultural Heritage: Plural Voices and New Platforms[J]. 2016. Semantic Scholar.</w:t>
      </w:r>
    </w:p>
    <w:p>
      <w:pPr>
        <w:spacing w:after="40"/>
        <w:ind w:left="425" w:hanging="425"/>
      </w:pPr>
      <w:r>
        <w:rPr>
          <w:sz w:val="20"/>
        </w:rPr>
        <w:t>[25] Furferi R, et al. Enhancing Traditional Museum Fruition: Current State and Emerging Tendencies[J]. Heritage Science, 2024. DOI: 10.1186/s40494-024-01139-y.</w:t>
      </w:r>
    </w:p>
    <w:p>
      <w:pPr>
        <w:spacing w:after="40"/>
        <w:ind w:left="425" w:hanging="425"/>
      </w:pPr>
      <w:r>
        <w:rPr>
          <w:sz w:val="20"/>
        </w:rPr>
        <w:t>[8] 中国传媒大学非遗传播研究中心. 增强中华文明传播力影响力的密码[J]. 2023. 维普期刊.</w:t>
      </w:r>
    </w:p>
    <w:p>
      <w:pPr>
        <w:spacing w:after="40"/>
        <w:ind w:left="425" w:hanging="425"/>
      </w:pPr>
      <w:r>
        <w:rPr>
          <w:sz w:val="20"/>
        </w:rPr>
        <w:t>[16] PrakashTribhuvan A, Abdullah B A. Preserving Our Past: A Thorough Examination of Methods and Technologies in Digital Heritage[J]. 2025. DOI: 10.71097/ijsat.v16.i1.1324.</w:t>
      </w:r>
    </w:p>
    <w:p>
      <w:pPr>
        <w:spacing w:after="40"/>
        <w:ind w:left="425" w:hanging="425"/>
      </w:pPr>
      <w:r>
        <w:rPr>
          <w:sz w:val="20"/>
        </w:rPr>
        <w:t>[19] Li C, Yu K. Digital Communication and Preservation of Cultural Heritage in the Context of New Media[J]. 2024. DOI: 10.11114/ijsss.v12i4.6934.</w:t>
      </w:r>
    </w:p>
    <w:p>
      <w:pPr>
        <w:spacing w:after="40"/>
        <w:ind w:left="425" w:hanging="425"/>
      </w:pPr>
      <w:r>
        <w:rPr>
          <w:sz w:val="20"/>
        </w:rPr>
        <w:t>[42] Liu J, et al. Cultural Heritage Communication on Social Media[J]. 2022. Semantic Scholar.</w:t>
      </w:r>
    </w:p>
    <w:p>
      <w:pPr>
        <w:spacing w:after="40"/>
        <w:ind w:left="425" w:hanging="425"/>
      </w:pPr>
      <w:r>
        <w:rPr>
          <w:sz w:val="20"/>
        </w:rPr>
        <w:t>[43] Tas N. Digital Cultural Heritage Communication[J]. 2020. Semantic Scholar.</w:t>
      </w:r>
    </w:p>
    <w:p>
      <w:r>
        <w:br w:type="page"/>
      </w:r>
    </w:p>
    <w:p>
      <w:pPr>
        <w:spacing w:before="240" w:after="120"/>
      </w:pPr>
      <w:r>
        <w:rPr>
          <w:b/>
          <w:color w:val="264653"/>
          <w:sz w:val="32"/>
        </w:rPr>
        <w:t>附录A 术语表</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D9E2EC"/>
          </w:tcPr>
          <w:p>
            <w:pPr>
              <w:spacing w:before="40" w:after="40"/>
            </w:pPr>
            <w:r>
              <w:rPr>
                <w:b/>
                <w:sz w:val="20"/>
              </w:rPr>
            </w:r>
            <w:r>
              <w:rPr>
                <w:b/>
                <w:sz w:val="20"/>
              </w:rPr>
              <w:t>术语</w:t>
            </w:r>
          </w:p>
        </w:tc>
        <w:tc>
          <w:tcPr>
            <w:tcW w:type="dxa" w:w="2835"/>
            <w:shd w:val="clear" w:color="auto" w:fill="D9E2EC"/>
          </w:tcPr>
          <w:p>
            <w:pPr>
              <w:spacing w:before="40" w:after="40"/>
            </w:pPr>
            <w:r>
              <w:rPr>
                <w:b/>
                <w:sz w:val="20"/>
              </w:rPr>
            </w:r>
            <w:r>
              <w:rPr>
                <w:b/>
                <w:sz w:val="20"/>
              </w:rPr>
              <w:t>英文</w:t>
            </w:r>
          </w:p>
        </w:tc>
        <w:tc>
          <w:tcPr>
            <w:tcW w:type="dxa" w:w="2835"/>
            <w:shd w:val="clear" w:color="auto" w:fill="D9E2EC"/>
          </w:tcPr>
          <w:p>
            <w:pPr>
              <w:spacing w:before="40" w:after="40"/>
            </w:pPr>
            <w:r>
              <w:rPr>
                <w:b/>
                <w:sz w:val="20"/>
              </w:rPr>
            </w:r>
            <w:r>
              <w:rPr>
                <w:b/>
                <w:sz w:val="20"/>
              </w:rPr>
              <w:t>释义</w:t>
            </w:r>
          </w:p>
        </w:tc>
      </w:tr>
      <w:tr>
        <w:tc>
          <w:tcPr>
            <w:tcW w:type="dxa" w:w="2835"/>
          </w:tcPr>
          <w:p>
            <w:pPr>
              <w:spacing w:before="40" w:after="40"/>
            </w:pPr>
            <w:r>
              <w:rPr>
                <w:sz w:val="20"/>
              </w:rPr>
            </w:r>
            <w:r>
              <w:rPr>
                <w:sz w:val="20"/>
              </w:rPr>
              <w:t>文化遗产</w:t>
            </w:r>
          </w:p>
        </w:tc>
        <w:tc>
          <w:tcPr>
            <w:tcW w:type="dxa" w:w="2835"/>
          </w:tcPr>
          <w:p>
            <w:pPr>
              <w:spacing w:before="40" w:after="40"/>
            </w:pPr>
            <w:r>
              <w:rPr>
                <w:sz w:val="20"/>
              </w:rPr>
            </w:r>
            <w:r>
              <w:rPr>
                <w:sz w:val="20"/>
              </w:rPr>
              <w:t>Cultural Heritage</w:t>
            </w:r>
          </w:p>
        </w:tc>
        <w:tc>
          <w:tcPr>
            <w:tcW w:type="dxa" w:w="2835"/>
          </w:tcPr>
          <w:p>
            <w:pPr>
              <w:spacing w:before="40" w:after="40"/>
            </w:pPr>
            <w:r>
              <w:rPr>
                <w:sz w:val="20"/>
              </w:rPr>
            </w:r>
            <w:r>
              <w:rPr>
                <w:sz w:val="20"/>
              </w:rPr>
              <w:t>具有历史、艺术、科学等价值的遗存，包括物质和非物质文化遗产</w:t>
            </w:r>
          </w:p>
        </w:tc>
      </w:tr>
      <w:tr>
        <w:tc>
          <w:tcPr>
            <w:tcW w:type="dxa" w:w="2835"/>
            <w:shd w:val="clear" w:color="auto" w:fill="F5F5F5"/>
          </w:tcPr>
          <w:p>
            <w:pPr>
              <w:spacing w:before="40" w:after="40"/>
            </w:pPr>
            <w:r>
              <w:rPr>
                <w:sz w:val="20"/>
              </w:rPr>
            </w:r>
            <w:r>
              <w:rPr>
                <w:sz w:val="20"/>
              </w:rPr>
              <w:t>物质文化遗产</w:t>
            </w:r>
          </w:p>
        </w:tc>
        <w:tc>
          <w:tcPr>
            <w:tcW w:type="dxa" w:w="2835"/>
            <w:shd w:val="clear" w:color="auto" w:fill="F5F5F5"/>
          </w:tcPr>
          <w:p>
            <w:pPr>
              <w:spacing w:before="40" w:after="40"/>
            </w:pPr>
            <w:r>
              <w:rPr>
                <w:sz w:val="20"/>
              </w:rPr>
            </w:r>
            <w:r>
              <w:rPr>
                <w:sz w:val="20"/>
              </w:rPr>
              <w:t>Tangible Cultural Heritage</w:t>
            </w:r>
          </w:p>
        </w:tc>
        <w:tc>
          <w:tcPr>
            <w:tcW w:type="dxa" w:w="2835"/>
            <w:shd w:val="clear" w:color="auto" w:fill="F5F5F5"/>
          </w:tcPr>
          <w:p>
            <w:pPr>
              <w:spacing w:before="40" w:after="40"/>
            </w:pPr>
            <w:r>
              <w:rPr>
                <w:sz w:val="20"/>
              </w:rPr>
            </w:r>
            <w:r>
              <w:rPr>
                <w:sz w:val="20"/>
              </w:rPr>
              <w:t>具有历史、艺术、科学价值的可移动和不可移动文物</w:t>
            </w:r>
          </w:p>
        </w:tc>
      </w:tr>
      <w:tr>
        <w:tc>
          <w:tcPr>
            <w:tcW w:type="dxa" w:w="2835"/>
          </w:tcPr>
          <w:p>
            <w:pPr>
              <w:spacing w:before="40" w:after="40"/>
            </w:pPr>
            <w:r>
              <w:rPr>
                <w:sz w:val="20"/>
              </w:rPr>
            </w:r>
            <w:r>
              <w:rPr>
                <w:sz w:val="20"/>
              </w:rPr>
              <w:t>非物质文化遗产</w:t>
            </w:r>
          </w:p>
        </w:tc>
        <w:tc>
          <w:tcPr>
            <w:tcW w:type="dxa" w:w="2835"/>
          </w:tcPr>
          <w:p>
            <w:pPr>
              <w:spacing w:before="40" w:after="40"/>
            </w:pPr>
            <w:r>
              <w:rPr>
                <w:sz w:val="20"/>
              </w:rPr>
            </w:r>
            <w:r>
              <w:rPr>
                <w:sz w:val="20"/>
              </w:rPr>
              <w:t>Intangible Cultural Heritage (ICH)</w:t>
            </w:r>
          </w:p>
        </w:tc>
        <w:tc>
          <w:tcPr>
            <w:tcW w:type="dxa" w:w="2835"/>
          </w:tcPr>
          <w:p>
            <w:pPr>
              <w:spacing w:before="40" w:after="40"/>
            </w:pPr>
            <w:r>
              <w:rPr>
                <w:sz w:val="20"/>
              </w:rPr>
            </w:r>
            <w:r>
              <w:rPr>
                <w:sz w:val="20"/>
              </w:rPr>
              <w:t>各社区视为其文化遗产组成部分的实践、表述、知识和技能</w:t>
            </w:r>
          </w:p>
        </w:tc>
      </w:tr>
      <w:tr>
        <w:tc>
          <w:tcPr>
            <w:tcW w:type="dxa" w:w="2835"/>
            <w:shd w:val="clear" w:color="auto" w:fill="F5F5F5"/>
          </w:tcPr>
          <w:p>
            <w:pPr>
              <w:spacing w:before="40" w:after="40"/>
            </w:pPr>
            <w:r>
              <w:rPr>
                <w:sz w:val="20"/>
              </w:rPr>
            </w:r>
            <w:r>
              <w:rPr>
                <w:sz w:val="20"/>
              </w:rPr>
              <w:t>数字遗产</w:t>
            </w:r>
          </w:p>
        </w:tc>
        <w:tc>
          <w:tcPr>
            <w:tcW w:type="dxa" w:w="2835"/>
            <w:shd w:val="clear" w:color="auto" w:fill="F5F5F5"/>
          </w:tcPr>
          <w:p>
            <w:pPr>
              <w:spacing w:before="40" w:after="40"/>
            </w:pPr>
            <w:r>
              <w:rPr>
                <w:sz w:val="20"/>
              </w:rPr>
            </w:r>
            <w:r>
              <w:rPr>
                <w:sz w:val="20"/>
              </w:rPr>
              <w:t>Digital Heritage</w:t>
            </w:r>
          </w:p>
        </w:tc>
        <w:tc>
          <w:tcPr>
            <w:tcW w:type="dxa" w:w="2835"/>
            <w:shd w:val="clear" w:color="auto" w:fill="F5F5F5"/>
          </w:tcPr>
          <w:p>
            <w:pPr>
              <w:spacing w:before="40" w:after="40"/>
            </w:pPr>
            <w:r>
              <w:rPr>
                <w:sz w:val="20"/>
              </w:rPr>
            </w:r>
            <w:r>
              <w:rPr>
                <w:sz w:val="20"/>
              </w:rPr>
              <w:t>以数字形式创建或转换的具有持久价值的资源</w:t>
            </w:r>
          </w:p>
        </w:tc>
      </w:tr>
      <w:tr>
        <w:tc>
          <w:tcPr>
            <w:tcW w:type="dxa" w:w="2835"/>
          </w:tcPr>
          <w:p>
            <w:pPr>
              <w:spacing w:before="40" w:after="40"/>
            </w:pPr>
            <w:r>
              <w:rPr>
                <w:sz w:val="20"/>
              </w:rPr>
            </w:r>
            <w:r>
              <w:rPr>
                <w:sz w:val="20"/>
              </w:rPr>
              <w:t>三维激光扫描</w:t>
            </w:r>
          </w:p>
        </w:tc>
        <w:tc>
          <w:tcPr>
            <w:tcW w:type="dxa" w:w="2835"/>
          </w:tcPr>
          <w:p>
            <w:pPr>
              <w:spacing w:before="40" w:after="40"/>
            </w:pPr>
            <w:r>
              <w:rPr>
                <w:sz w:val="20"/>
              </w:rPr>
            </w:r>
            <w:r>
              <w:rPr>
                <w:sz w:val="20"/>
              </w:rPr>
              <w:t>3D Laser Scanning</w:t>
            </w:r>
          </w:p>
        </w:tc>
        <w:tc>
          <w:tcPr>
            <w:tcW w:type="dxa" w:w="2835"/>
          </w:tcPr>
          <w:p>
            <w:pPr>
              <w:spacing w:before="40" w:after="40"/>
            </w:pPr>
            <w:r>
              <w:rPr>
                <w:sz w:val="20"/>
              </w:rPr>
            </w:r>
            <w:r>
              <w:rPr>
                <w:sz w:val="20"/>
              </w:rPr>
              <w:t>通过激光测量目标表面三维坐标的非接触式测量技术</w:t>
            </w:r>
          </w:p>
        </w:tc>
      </w:tr>
      <w:tr>
        <w:tc>
          <w:tcPr>
            <w:tcW w:type="dxa" w:w="2835"/>
            <w:shd w:val="clear" w:color="auto" w:fill="F5F5F5"/>
          </w:tcPr>
          <w:p>
            <w:pPr>
              <w:spacing w:before="40" w:after="40"/>
            </w:pPr>
            <w:r>
              <w:rPr>
                <w:sz w:val="20"/>
              </w:rPr>
            </w:r>
            <w:r>
              <w:rPr>
                <w:sz w:val="20"/>
              </w:rPr>
              <w:t>结构光扫描</w:t>
            </w:r>
          </w:p>
        </w:tc>
        <w:tc>
          <w:tcPr>
            <w:tcW w:type="dxa" w:w="2835"/>
            <w:shd w:val="clear" w:color="auto" w:fill="F5F5F5"/>
          </w:tcPr>
          <w:p>
            <w:pPr>
              <w:spacing w:before="40" w:after="40"/>
            </w:pPr>
            <w:r>
              <w:rPr>
                <w:sz w:val="20"/>
              </w:rPr>
            </w:r>
            <w:r>
              <w:rPr>
                <w:sz w:val="20"/>
              </w:rPr>
              <w:t>Structured Light Scanning</w:t>
            </w:r>
          </w:p>
        </w:tc>
        <w:tc>
          <w:tcPr>
            <w:tcW w:type="dxa" w:w="2835"/>
            <w:shd w:val="clear" w:color="auto" w:fill="F5F5F5"/>
          </w:tcPr>
          <w:p>
            <w:pPr>
              <w:spacing w:before="40" w:after="40"/>
            </w:pPr>
            <w:r>
              <w:rPr>
                <w:sz w:val="20"/>
              </w:rPr>
            </w:r>
            <w:r>
              <w:rPr>
                <w:sz w:val="20"/>
              </w:rPr>
              <w:t>通过投射已知图案并分析变形获取三维信息的技术</w:t>
            </w:r>
          </w:p>
        </w:tc>
      </w:tr>
      <w:tr>
        <w:tc>
          <w:tcPr>
            <w:tcW w:type="dxa" w:w="2835"/>
          </w:tcPr>
          <w:p>
            <w:pPr>
              <w:spacing w:before="40" w:after="40"/>
            </w:pPr>
            <w:r>
              <w:rPr>
                <w:sz w:val="20"/>
              </w:rPr>
            </w:r>
            <w:r>
              <w:rPr>
                <w:sz w:val="20"/>
              </w:rPr>
              <w:t>摄影测量法</w:t>
            </w:r>
          </w:p>
        </w:tc>
        <w:tc>
          <w:tcPr>
            <w:tcW w:type="dxa" w:w="2835"/>
          </w:tcPr>
          <w:p>
            <w:pPr>
              <w:spacing w:before="40" w:after="40"/>
            </w:pPr>
            <w:r>
              <w:rPr>
                <w:sz w:val="20"/>
              </w:rPr>
            </w:r>
            <w:r>
              <w:rPr>
                <w:sz w:val="20"/>
              </w:rPr>
              <w:t>Photogrammetry / SfM</w:t>
            </w:r>
          </w:p>
        </w:tc>
        <w:tc>
          <w:tcPr>
            <w:tcW w:type="dxa" w:w="2835"/>
          </w:tcPr>
          <w:p>
            <w:pPr>
              <w:spacing w:before="40" w:after="40"/>
            </w:pPr>
            <w:r>
              <w:rPr>
                <w:sz w:val="20"/>
              </w:rPr>
            </w:r>
            <w:r>
              <w:rPr>
                <w:sz w:val="20"/>
              </w:rPr>
              <w:t>通过多张重叠照片重建三维模型的技术</w:t>
            </w:r>
          </w:p>
        </w:tc>
      </w:tr>
      <w:tr>
        <w:tc>
          <w:tcPr>
            <w:tcW w:type="dxa" w:w="2835"/>
            <w:shd w:val="clear" w:color="auto" w:fill="F5F5F5"/>
          </w:tcPr>
          <w:p>
            <w:pPr>
              <w:spacing w:before="40" w:after="40"/>
            </w:pPr>
            <w:r>
              <w:rPr>
                <w:sz w:val="20"/>
              </w:rPr>
            </w:r>
            <w:r>
              <w:rPr>
                <w:sz w:val="20"/>
              </w:rPr>
              <w:t>点云</w:t>
            </w:r>
          </w:p>
        </w:tc>
        <w:tc>
          <w:tcPr>
            <w:tcW w:type="dxa" w:w="2835"/>
            <w:shd w:val="clear" w:color="auto" w:fill="F5F5F5"/>
          </w:tcPr>
          <w:p>
            <w:pPr>
              <w:spacing w:before="40" w:after="40"/>
            </w:pPr>
            <w:r>
              <w:rPr>
                <w:sz w:val="20"/>
              </w:rPr>
            </w:r>
            <w:r>
              <w:rPr>
                <w:sz w:val="20"/>
              </w:rPr>
              <w:t>Point Cloud</w:t>
            </w:r>
          </w:p>
        </w:tc>
        <w:tc>
          <w:tcPr>
            <w:tcW w:type="dxa" w:w="2835"/>
            <w:shd w:val="clear" w:color="auto" w:fill="F5F5F5"/>
          </w:tcPr>
          <w:p>
            <w:pPr>
              <w:spacing w:before="40" w:after="40"/>
            </w:pPr>
            <w:r>
              <w:rPr>
                <w:sz w:val="20"/>
              </w:rPr>
            </w:r>
            <w:r>
              <w:rPr>
                <w:sz w:val="20"/>
              </w:rPr>
              <w:t>三维空间中一组离散点的集合，是三维扫描的原始数据</w:t>
            </w:r>
          </w:p>
        </w:tc>
      </w:tr>
      <w:tr>
        <w:tc>
          <w:tcPr>
            <w:tcW w:type="dxa" w:w="2835"/>
          </w:tcPr>
          <w:p>
            <w:pPr>
              <w:spacing w:before="40" w:after="40"/>
            </w:pPr>
            <w:r>
              <w:rPr>
                <w:sz w:val="20"/>
              </w:rPr>
            </w:r>
            <w:r>
              <w:rPr>
                <w:sz w:val="20"/>
              </w:rPr>
              <w:t>网格模型</w:t>
            </w:r>
          </w:p>
        </w:tc>
        <w:tc>
          <w:tcPr>
            <w:tcW w:type="dxa" w:w="2835"/>
          </w:tcPr>
          <w:p>
            <w:pPr>
              <w:spacing w:before="40" w:after="40"/>
            </w:pPr>
            <w:r>
              <w:rPr>
                <w:sz w:val="20"/>
              </w:rPr>
            </w:r>
            <w:r>
              <w:rPr>
                <w:sz w:val="20"/>
              </w:rPr>
              <w:t>Mesh Model</w:t>
            </w:r>
          </w:p>
        </w:tc>
        <w:tc>
          <w:tcPr>
            <w:tcW w:type="dxa" w:w="2835"/>
          </w:tcPr>
          <w:p>
            <w:pPr>
              <w:spacing w:before="40" w:after="40"/>
            </w:pPr>
            <w:r>
              <w:rPr>
                <w:sz w:val="20"/>
              </w:rPr>
            </w:r>
            <w:r>
              <w:rPr>
                <w:sz w:val="20"/>
              </w:rPr>
              <w:t>由三角面片连接点云形成的三维表面模型</w:t>
            </w:r>
          </w:p>
        </w:tc>
      </w:tr>
      <w:tr>
        <w:tc>
          <w:tcPr>
            <w:tcW w:type="dxa" w:w="2835"/>
            <w:shd w:val="clear" w:color="auto" w:fill="F5F5F5"/>
          </w:tcPr>
          <w:p>
            <w:pPr>
              <w:spacing w:before="40" w:after="40"/>
            </w:pPr>
            <w:r>
              <w:rPr>
                <w:sz w:val="20"/>
              </w:rPr>
            </w:r>
            <w:r>
              <w:rPr>
                <w:sz w:val="20"/>
              </w:rPr>
              <w:t>纹理映射</w:t>
            </w:r>
          </w:p>
        </w:tc>
        <w:tc>
          <w:tcPr>
            <w:tcW w:type="dxa" w:w="2835"/>
            <w:shd w:val="clear" w:color="auto" w:fill="F5F5F5"/>
          </w:tcPr>
          <w:p>
            <w:pPr>
              <w:spacing w:before="40" w:after="40"/>
            </w:pPr>
            <w:r>
              <w:rPr>
                <w:sz w:val="20"/>
              </w:rPr>
            </w:r>
            <w:r>
              <w:rPr>
                <w:sz w:val="20"/>
              </w:rPr>
              <w:t>Texture Mapping</w:t>
            </w:r>
          </w:p>
        </w:tc>
        <w:tc>
          <w:tcPr>
            <w:tcW w:type="dxa" w:w="2835"/>
            <w:shd w:val="clear" w:color="auto" w:fill="F5F5F5"/>
          </w:tcPr>
          <w:p>
            <w:pPr>
              <w:spacing w:before="40" w:after="40"/>
            </w:pPr>
            <w:r>
              <w:rPr>
                <w:sz w:val="20"/>
              </w:rPr>
            </w:r>
            <w:r>
              <w:rPr>
                <w:sz w:val="20"/>
              </w:rPr>
              <w:t>将二维图像贴附到三维网格模型表面的过程</w:t>
            </w:r>
          </w:p>
        </w:tc>
      </w:tr>
      <w:tr>
        <w:tc>
          <w:tcPr>
            <w:tcW w:type="dxa" w:w="2835"/>
          </w:tcPr>
          <w:p>
            <w:pPr>
              <w:spacing w:before="40" w:after="40"/>
            </w:pPr>
            <w:r>
              <w:rPr>
                <w:sz w:val="20"/>
              </w:rPr>
            </w:r>
            <w:r>
              <w:rPr>
                <w:sz w:val="20"/>
              </w:rPr>
              <w:t>逆向工程</w:t>
            </w:r>
          </w:p>
        </w:tc>
        <w:tc>
          <w:tcPr>
            <w:tcW w:type="dxa" w:w="2835"/>
          </w:tcPr>
          <w:p>
            <w:pPr>
              <w:spacing w:before="40" w:after="40"/>
            </w:pPr>
            <w:r>
              <w:rPr>
                <w:sz w:val="20"/>
              </w:rPr>
            </w:r>
            <w:r>
              <w:rPr>
                <w:sz w:val="20"/>
              </w:rPr>
              <w:t>Reverse Engineering</w:t>
            </w:r>
          </w:p>
        </w:tc>
        <w:tc>
          <w:tcPr>
            <w:tcW w:type="dxa" w:w="2835"/>
          </w:tcPr>
          <w:p>
            <w:pPr>
              <w:spacing w:before="40" w:after="40"/>
            </w:pPr>
            <w:r>
              <w:rPr>
                <w:sz w:val="20"/>
              </w:rPr>
            </w:r>
            <w:r>
              <w:rPr>
                <w:sz w:val="20"/>
              </w:rPr>
              <w:t>从实物模型反推几何数据和设计信息的过程</w:t>
            </w:r>
          </w:p>
        </w:tc>
      </w:tr>
      <w:tr>
        <w:tc>
          <w:tcPr>
            <w:tcW w:type="dxa" w:w="2835"/>
            <w:shd w:val="clear" w:color="auto" w:fill="F5F5F5"/>
          </w:tcPr>
          <w:p>
            <w:pPr>
              <w:spacing w:before="40" w:after="40"/>
            </w:pPr>
            <w:r>
              <w:rPr>
                <w:sz w:val="20"/>
              </w:rPr>
            </w:r>
            <w:r>
              <w:rPr>
                <w:sz w:val="20"/>
              </w:rPr>
              <w:t>数字孪生</w:t>
            </w:r>
          </w:p>
        </w:tc>
        <w:tc>
          <w:tcPr>
            <w:tcW w:type="dxa" w:w="2835"/>
            <w:shd w:val="clear" w:color="auto" w:fill="F5F5F5"/>
          </w:tcPr>
          <w:p>
            <w:pPr>
              <w:spacing w:before="40" w:after="40"/>
            </w:pPr>
            <w:r>
              <w:rPr>
                <w:sz w:val="20"/>
              </w:rPr>
            </w:r>
            <w:r>
              <w:rPr>
                <w:sz w:val="20"/>
              </w:rPr>
              <w:t>Digital Twin</w:t>
            </w:r>
          </w:p>
        </w:tc>
        <w:tc>
          <w:tcPr>
            <w:tcW w:type="dxa" w:w="2835"/>
            <w:shd w:val="clear" w:color="auto" w:fill="F5F5F5"/>
          </w:tcPr>
          <w:p>
            <w:pPr>
              <w:spacing w:before="40" w:after="40"/>
            </w:pPr>
            <w:r>
              <w:rPr>
                <w:sz w:val="20"/>
              </w:rPr>
            </w:r>
            <w:r>
              <w:rPr>
                <w:sz w:val="20"/>
              </w:rPr>
              <w:t>物理实体在数字空间的实时虚拟映射</w:t>
            </w:r>
          </w:p>
        </w:tc>
      </w:tr>
      <w:tr>
        <w:tc>
          <w:tcPr>
            <w:tcW w:type="dxa" w:w="2835"/>
          </w:tcPr>
          <w:p>
            <w:pPr>
              <w:spacing w:before="40" w:after="40"/>
            </w:pPr>
            <w:r>
              <w:rPr>
                <w:sz w:val="20"/>
              </w:rPr>
            </w:r>
            <w:r>
              <w:rPr>
                <w:sz w:val="20"/>
              </w:rPr>
              <w:t>CIDOC-CRM</w:t>
            </w:r>
          </w:p>
        </w:tc>
        <w:tc>
          <w:tcPr>
            <w:tcW w:type="dxa" w:w="2835"/>
          </w:tcPr>
          <w:p>
            <w:pPr>
              <w:spacing w:before="40" w:after="40"/>
            </w:pPr>
            <w:r>
              <w:rPr>
                <w:sz w:val="20"/>
              </w:rPr>
            </w:r>
            <w:r>
              <w:rPr>
                <w:sz w:val="20"/>
              </w:rPr>
              <w:t>CIDOC Conceptual Reference Model</w:t>
            </w:r>
          </w:p>
        </w:tc>
        <w:tc>
          <w:tcPr>
            <w:tcW w:type="dxa" w:w="2835"/>
          </w:tcPr>
          <w:p>
            <w:pPr>
              <w:spacing w:before="40" w:after="40"/>
            </w:pPr>
            <w:r>
              <w:rPr>
                <w:sz w:val="20"/>
              </w:rPr>
            </w:r>
            <w:r>
              <w:rPr>
                <w:sz w:val="20"/>
              </w:rPr>
              <w:t>国际博物馆协会制定的文化遗产领域概念参考模型</w:t>
            </w:r>
          </w:p>
        </w:tc>
      </w:tr>
      <w:tr>
        <w:tc>
          <w:tcPr>
            <w:tcW w:type="dxa" w:w="2835"/>
            <w:shd w:val="clear" w:color="auto" w:fill="F5F5F5"/>
          </w:tcPr>
          <w:p>
            <w:pPr>
              <w:spacing w:before="40" w:after="40"/>
            </w:pPr>
            <w:r>
              <w:rPr>
                <w:sz w:val="20"/>
              </w:rPr>
            </w:r>
            <w:r>
              <w:rPr>
                <w:sz w:val="20"/>
              </w:rPr>
              <w:t>元数据</w:t>
            </w:r>
          </w:p>
        </w:tc>
        <w:tc>
          <w:tcPr>
            <w:tcW w:type="dxa" w:w="2835"/>
            <w:shd w:val="clear" w:color="auto" w:fill="F5F5F5"/>
          </w:tcPr>
          <w:p>
            <w:pPr>
              <w:spacing w:before="40" w:after="40"/>
            </w:pPr>
            <w:r>
              <w:rPr>
                <w:sz w:val="20"/>
              </w:rPr>
            </w:r>
            <w:r>
              <w:rPr>
                <w:sz w:val="20"/>
              </w:rPr>
              <w:t>Metadata</w:t>
            </w:r>
          </w:p>
        </w:tc>
        <w:tc>
          <w:tcPr>
            <w:tcW w:type="dxa" w:w="2835"/>
            <w:shd w:val="clear" w:color="auto" w:fill="F5F5F5"/>
          </w:tcPr>
          <w:p>
            <w:pPr>
              <w:spacing w:before="40" w:after="40"/>
            </w:pPr>
            <w:r>
              <w:rPr>
                <w:sz w:val="20"/>
              </w:rPr>
            </w:r>
            <w:r>
              <w:rPr>
                <w:sz w:val="20"/>
              </w:rPr>
              <w:t>描述数字资源的数据，如标题、作者、创建日期等</w:t>
            </w:r>
          </w:p>
        </w:tc>
      </w:tr>
      <w:tr>
        <w:tc>
          <w:tcPr>
            <w:tcW w:type="dxa" w:w="2835"/>
          </w:tcPr>
          <w:p>
            <w:pPr>
              <w:spacing w:before="40" w:after="40"/>
            </w:pPr>
            <w:r>
              <w:rPr>
                <w:sz w:val="20"/>
              </w:rPr>
            </w:r>
            <w:r>
              <w:rPr>
                <w:sz w:val="20"/>
              </w:rPr>
              <w:t>知识图谱</w:t>
            </w:r>
          </w:p>
        </w:tc>
        <w:tc>
          <w:tcPr>
            <w:tcW w:type="dxa" w:w="2835"/>
          </w:tcPr>
          <w:p>
            <w:pPr>
              <w:spacing w:before="40" w:after="40"/>
            </w:pPr>
            <w:r>
              <w:rPr>
                <w:sz w:val="20"/>
              </w:rPr>
            </w:r>
            <w:r>
              <w:rPr>
                <w:sz w:val="20"/>
              </w:rPr>
              <w:t>Knowledge Graph</w:t>
            </w:r>
          </w:p>
        </w:tc>
        <w:tc>
          <w:tcPr>
            <w:tcW w:type="dxa" w:w="2835"/>
          </w:tcPr>
          <w:p>
            <w:pPr>
              <w:spacing w:before="40" w:after="40"/>
            </w:pPr>
            <w:r>
              <w:rPr>
                <w:sz w:val="20"/>
              </w:rPr>
            </w:r>
            <w:r>
              <w:rPr>
                <w:sz w:val="20"/>
              </w:rPr>
              <w:t>以图结构组织知识的数据形式，实体为节点、关系为边</w:t>
            </w:r>
          </w:p>
        </w:tc>
      </w:tr>
      <w:tr>
        <w:tc>
          <w:tcPr>
            <w:tcW w:type="dxa" w:w="2835"/>
            <w:shd w:val="clear" w:color="auto" w:fill="F5F5F5"/>
          </w:tcPr>
          <w:p>
            <w:pPr>
              <w:spacing w:before="40" w:after="40"/>
            </w:pPr>
            <w:r>
              <w:rPr>
                <w:sz w:val="20"/>
              </w:rPr>
            </w:r>
            <w:r>
              <w:rPr>
                <w:sz w:val="20"/>
              </w:rPr>
              <w:t>OAIS</w:t>
            </w:r>
          </w:p>
        </w:tc>
        <w:tc>
          <w:tcPr>
            <w:tcW w:type="dxa" w:w="2835"/>
            <w:shd w:val="clear" w:color="auto" w:fill="F5F5F5"/>
          </w:tcPr>
          <w:p>
            <w:pPr>
              <w:spacing w:before="40" w:after="40"/>
            </w:pPr>
            <w:r>
              <w:rPr>
                <w:sz w:val="20"/>
              </w:rPr>
            </w:r>
            <w:r>
              <w:rPr>
                <w:sz w:val="20"/>
              </w:rPr>
              <w:t>Open Archival Information System</w:t>
            </w:r>
          </w:p>
        </w:tc>
        <w:tc>
          <w:tcPr>
            <w:tcW w:type="dxa" w:w="2835"/>
            <w:shd w:val="clear" w:color="auto" w:fill="F5F5F5"/>
          </w:tcPr>
          <w:p>
            <w:pPr>
              <w:spacing w:before="40" w:after="40"/>
            </w:pPr>
            <w:r>
              <w:rPr>
                <w:sz w:val="20"/>
              </w:rPr>
            </w:r>
            <w:r>
              <w:rPr>
                <w:sz w:val="20"/>
              </w:rPr>
              <w:t>ISO 14721标准定义的数字保存参考模型</w:t>
            </w:r>
          </w:p>
        </w:tc>
      </w:tr>
      <w:tr>
        <w:tc>
          <w:tcPr>
            <w:tcW w:type="dxa" w:w="2835"/>
          </w:tcPr>
          <w:p>
            <w:pPr>
              <w:spacing w:before="40" w:after="40"/>
            </w:pPr>
            <w:r>
              <w:rPr>
                <w:sz w:val="20"/>
              </w:rPr>
            </w:r>
            <w:r>
              <w:rPr>
                <w:sz w:val="20"/>
              </w:rPr>
              <w:t>虚拟现实</w:t>
            </w:r>
          </w:p>
        </w:tc>
        <w:tc>
          <w:tcPr>
            <w:tcW w:type="dxa" w:w="2835"/>
          </w:tcPr>
          <w:p>
            <w:pPr>
              <w:spacing w:before="40" w:after="40"/>
            </w:pPr>
            <w:r>
              <w:rPr>
                <w:sz w:val="20"/>
              </w:rPr>
            </w:r>
            <w:r>
              <w:rPr>
                <w:sz w:val="20"/>
              </w:rPr>
              <w:t>Virtual Reality (VR)</w:t>
            </w:r>
          </w:p>
        </w:tc>
        <w:tc>
          <w:tcPr>
            <w:tcW w:type="dxa" w:w="2835"/>
          </w:tcPr>
          <w:p>
            <w:pPr>
              <w:spacing w:before="40" w:after="40"/>
            </w:pPr>
            <w:r>
              <w:rPr>
                <w:sz w:val="20"/>
              </w:rPr>
            </w:r>
            <w:r>
              <w:rPr>
                <w:sz w:val="20"/>
              </w:rPr>
              <w:t>通过计算机生成三维环境提供沉浸式体验的技术</w:t>
            </w:r>
          </w:p>
        </w:tc>
      </w:tr>
      <w:tr>
        <w:tc>
          <w:tcPr>
            <w:tcW w:type="dxa" w:w="2835"/>
            <w:shd w:val="clear" w:color="auto" w:fill="F5F5F5"/>
          </w:tcPr>
          <w:p>
            <w:pPr>
              <w:spacing w:before="40" w:after="40"/>
            </w:pPr>
            <w:r>
              <w:rPr>
                <w:sz w:val="20"/>
              </w:rPr>
            </w:r>
            <w:r>
              <w:rPr>
                <w:sz w:val="20"/>
              </w:rPr>
              <w:t>增强现实</w:t>
            </w:r>
          </w:p>
        </w:tc>
        <w:tc>
          <w:tcPr>
            <w:tcW w:type="dxa" w:w="2835"/>
            <w:shd w:val="clear" w:color="auto" w:fill="F5F5F5"/>
          </w:tcPr>
          <w:p>
            <w:pPr>
              <w:spacing w:before="40" w:after="40"/>
            </w:pPr>
            <w:r>
              <w:rPr>
                <w:sz w:val="20"/>
              </w:rPr>
            </w:r>
            <w:r>
              <w:rPr>
                <w:sz w:val="20"/>
              </w:rPr>
              <w:t>Augmented Reality (AR)</w:t>
            </w:r>
          </w:p>
        </w:tc>
        <w:tc>
          <w:tcPr>
            <w:tcW w:type="dxa" w:w="2835"/>
            <w:shd w:val="clear" w:color="auto" w:fill="F5F5F5"/>
          </w:tcPr>
          <w:p>
            <w:pPr>
              <w:spacing w:before="40" w:after="40"/>
            </w:pPr>
            <w:r>
              <w:rPr>
                <w:sz w:val="20"/>
              </w:rPr>
            </w:r>
            <w:r>
              <w:rPr>
                <w:sz w:val="20"/>
              </w:rPr>
              <w:t>将数字信息叠加到现实世界之上的技术</w:t>
            </w:r>
          </w:p>
        </w:tc>
      </w:tr>
      <w:tr>
        <w:tc>
          <w:tcPr>
            <w:tcW w:type="dxa" w:w="2835"/>
          </w:tcPr>
          <w:p>
            <w:pPr>
              <w:spacing w:before="40" w:after="40"/>
            </w:pPr>
            <w:r>
              <w:rPr>
                <w:sz w:val="20"/>
              </w:rPr>
            </w:r>
            <w:r>
              <w:rPr>
                <w:sz w:val="20"/>
              </w:rPr>
              <w:t>混合现实</w:t>
            </w:r>
          </w:p>
        </w:tc>
        <w:tc>
          <w:tcPr>
            <w:tcW w:type="dxa" w:w="2835"/>
          </w:tcPr>
          <w:p>
            <w:pPr>
              <w:spacing w:before="40" w:after="40"/>
            </w:pPr>
            <w:r>
              <w:rPr>
                <w:sz w:val="20"/>
              </w:rPr>
            </w:r>
            <w:r>
              <w:rPr>
                <w:sz w:val="20"/>
              </w:rPr>
              <w:t>Mixed Reality (MR)</w:t>
            </w:r>
          </w:p>
        </w:tc>
        <w:tc>
          <w:tcPr>
            <w:tcW w:type="dxa" w:w="2835"/>
          </w:tcPr>
          <w:p>
            <w:pPr>
              <w:spacing w:before="40" w:after="40"/>
            </w:pPr>
            <w:r>
              <w:rPr>
                <w:sz w:val="20"/>
              </w:rPr>
            </w:r>
            <w:r>
              <w:rPr>
                <w:sz w:val="20"/>
              </w:rPr>
              <w:t>VR和AR的融合，虚实之间可实时交互</w:t>
            </w:r>
          </w:p>
        </w:tc>
      </w:tr>
      <w:tr>
        <w:tc>
          <w:tcPr>
            <w:tcW w:type="dxa" w:w="2835"/>
            <w:shd w:val="clear" w:color="auto" w:fill="F5F5F5"/>
          </w:tcPr>
          <w:p>
            <w:pPr>
              <w:spacing w:before="40" w:after="40"/>
            </w:pPr>
            <w:r>
              <w:rPr>
                <w:sz w:val="20"/>
              </w:rPr>
            </w:r>
            <w:r>
              <w:rPr>
                <w:sz w:val="20"/>
              </w:rPr>
              <w:t>扩展现实</w:t>
            </w:r>
          </w:p>
        </w:tc>
        <w:tc>
          <w:tcPr>
            <w:tcW w:type="dxa" w:w="2835"/>
            <w:shd w:val="clear" w:color="auto" w:fill="F5F5F5"/>
          </w:tcPr>
          <w:p>
            <w:pPr>
              <w:spacing w:before="40" w:after="40"/>
            </w:pPr>
            <w:r>
              <w:rPr>
                <w:sz w:val="20"/>
              </w:rPr>
            </w:r>
            <w:r>
              <w:rPr>
                <w:sz w:val="20"/>
              </w:rPr>
              <w:t>Extended Reality (XR)</w:t>
            </w:r>
          </w:p>
        </w:tc>
        <w:tc>
          <w:tcPr>
            <w:tcW w:type="dxa" w:w="2835"/>
            <w:shd w:val="clear" w:color="auto" w:fill="F5F5F5"/>
          </w:tcPr>
          <w:p>
            <w:pPr>
              <w:spacing w:before="40" w:after="40"/>
            </w:pPr>
            <w:r>
              <w:rPr>
                <w:sz w:val="20"/>
              </w:rPr>
            </w:r>
            <w:r>
              <w:rPr>
                <w:sz w:val="20"/>
              </w:rPr>
              <w:t>VR、AR、MR的统称</w:t>
            </w:r>
          </w:p>
        </w:tc>
      </w:tr>
      <w:tr>
        <w:tc>
          <w:tcPr>
            <w:tcW w:type="dxa" w:w="2835"/>
          </w:tcPr>
          <w:p>
            <w:pPr>
              <w:spacing w:before="40" w:after="40"/>
            </w:pPr>
            <w:r>
              <w:rPr>
                <w:sz w:val="20"/>
              </w:rPr>
            </w:r>
            <w:r>
              <w:rPr>
                <w:sz w:val="20"/>
              </w:rPr>
              <w:t>物联网</w:t>
            </w:r>
          </w:p>
        </w:tc>
        <w:tc>
          <w:tcPr>
            <w:tcW w:type="dxa" w:w="2835"/>
          </w:tcPr>
          <w:p>
            <w:pPr>
              <w:spacing w:before="40" w:after="40"/>
            </w:pPr>
            <w:r>
              <w:rPr>
                <w:sz w:val="20"/>
              </w:rPr>
            </w:r>
            <w:r>
              <w:rPr>
                <w:sz w:val="20"/>
              </w:rPr>
              <w:t>Internet of Things (IoT)</w:t>
            </w:r>
          </w:p>
        </w:tc>
        <w:tc>
          <w:tcPr>
            <w:tcW w:type="dxa" w:w="2835"/>
          </w:tcPr>
          <w:p>
            <w:pPr>
              <w:spacing w:before="40" w:after="40"/>
            </w:pPr>
            <w:r>
              <w:rPr>
                <w:sz w:val="20"/>
              </w:rPr>
            </w:r>
            <w:r>
              <w:rPr>
                <w:sz w:val="20"/>
              </w:rPr>
              <w:t>通过传感器网络连接物理世界与数字世界的技术</w:t>
            </w:r>
          </w:p>
        </w:tc>
      </w:tr>
      <w:tr>
        <w:tc>
          <w:tcPr>
            <w:tcW w:type="dxa" w:w="2835"/>
            <w:shd w:val="clear" w:color="auto" w:fill="F5F5F5"/>
          </w:tcPr>
          <w:p>
            <w:pPr>
              <w:spacing w:before="40" w:after="40"/>
            </w:pPr>
            <w:r>
              <w:rPr>
                <w:sz w:val="20"/>
              </w:rPr>
            </w:r>
            <w:r>
              <w:rPr>
                <w:sz w:val="20"/>
              </w:rPr>
              <w:t>无线传感器网络</w:t>
            </w:r>
          </w:p>
        </w:tc>
        <w:tc>
          <w:tcPr>
            <w:tcW w:type="dxa" w:w="2835"/>
            <w:shd w:val="clear" w:color="auto" w:fill="F5F5F5"/>
          </w:tcPr>
          <w:p>
            <w:pPr>
              <w:spacing w:before="40" w:after="40"/>
            </w:pPr>
            <w:r>
              <w:rPr>
                <w:sz w:val="20"/>
              </w:rPr>
            </w:r>
            <w:r>
              <w:rPr>
                <w:sz w:val="20"/>
              </w:rPr>
              <w:t>Wireless Sensor Network (WSN)</w:t>
            </w:r>
          </w:p>
        </w:tc>
        <w:tc>
          <w:tcPr>
            <w:tcW w:type="dxa" w:w="2835"/>
            <w:shd w:val="clear" w:color="auto" w:fill="F5F5F5"/>
          </w:tcPr>
          <w:p>
            <w:pPr>
              <w:spacing w:before="40" w:after="40"/>
            </w:pPr>
            <w:r>
              <w:rPr>
                <w:sz w:val="20"/>
              </w:rPr>
            </w:r>
            <w:r>
              <w:rPr>
                <w:sz w:val="20"/>
              </w:rPr>
              <w:t>由分布式传感器节点通过无线通信组成的网络</w:t>
            </w:r>
          </w:p>
        </w:tc>
      </w:tr>
      <w:tr>
        <w:tc>
          <w:tcPr>
            <w:tcW w:type="dxa" w:w="2835"/>
          </w:tcPr>
          <w:p>
            <w:pPr>
              <w:spacing w:before="40" w:after="40"/>
            </w:pPr>
            <w:r>
              <w:rPr>
                <w:sz w:val="20"/>
              </w:rPr>
            </w:r>
            <w:r>
              <w:rPr>
                <w:sz w:val="20"/>
              </w:rPr>
              <w:t>HBIM</w:t>
            </w:r>
          </w:p>
        </w:tc>
        <w:tc>
          <w:tcPr>
            <w:tcW w:type="dxa" w:w="2835"/>
          </w:tcPr>
          <w:p>
            <w:pPr>
              <w:spacing w:before="40" w:after="40"/>
            </w:pPr>
            <w:r>
              <w:rPr>
                <w:sz w:val="20"/>
              </w:rPr>
            </w:r>
            <w:r>
              <w:rPr>
                <w:sz w:val="20"/>
              </w:rPr>
              <w:t>Historical Building Information Modeling</w:t>
            </w:r>
          </w:p>
        </w:tc>
        <w:tc>
          <w:tcPr>
            <w:tcW w:type="dxa" w:w="2835"/>
          </w:tcPr>
          <w:p>
            <w:pPr>
              <w:spacing w:before="40" w:after="40"/>
            </w:pPr>
            <w:r>
              <w:rPr>
                <w:sz w:val="20"/>
              </w:rPr>
            </w:r>
            <w:r>
              <w:rPr>
                <w:sz w:val="20"/>
              </w:rPr>
              <w:t>应用于历史建筑的建筑信息模型技术</w:t>
            </w:r>
          </w:p>
        </w:tc>
      </w:tr>
      <w:tr>
        <w:tc>
          <w:tcPr>
            <w:tcW w:type="dxa" w:w="2835"/>
            <w:shd w:val="clear" w:color="auto" w:fill="F5F5F5"/>
          </w:tcPr>
          <w:p>
            <w:pPr>
              <w:spacing w:before="40" w:after="40"/>
            </w:pPr>
            <w:r>
              <w:rPr>
                <w:sz w:val="20"/>
              </w:rPr>
            </w:r>
            <w:r>
              <w:rPr>
                <w:sz w:val="20"/>
              </w:rPr>
              <w:t>区块链</w:t>
            </w:r>
          </w:p>
        </w:tc>
        <w:tc>
          <w:tcPr>
            <w:tcW w:type="dxa" w:w="2835"/>
            <w:shd w:val="clear" w:color="auto" w:fill="F5F5F5"/>
          </w:tcPr>
          <w:p>
            <w:pPr>
              <w:spacing w:before="40" w:after="40"/>
            </w:pPr>
            <w:r>
              <w:rPr>
                <w:sz w:val="20"/>
              </w:rPr>
            </w:r>
            <w:r>
              <w:rPr>
                <w:sz w:val="20"/>
              </w:rPr>
              <w:t>Blockchain</w:t>
            </w:r>
          </w:p>
        </w:tc>
        <w:tc>
          <w:tcPr>
            <w:tcW w:type="dxa" w:w="2835"/>
            <w:shd w:val="clear" w:color="auto" w:fill="F5F5F5"/>
          </w:tcPr>
          <w:p>
            <w:pPr>
              <w:spacing w:before="40" w:after="40"/>
            </w:pPr>
            <w:r>
              <w:rPr>
                <w:sz w:val="20"/>
              </w:rPr>
            </w:r>
            <w:r>
              <w:rPr>
                <w:sz w:val="20"/>
              </w:rPr>
              <w:t>分布式账本技术，具有不可篡改、可追溯特性</w:t>
            </w:r>
          </w:p>
        </w:tc>
      </w:tr>
      <w:tr>
        <w:tc>
          <w:tcPr>
            <w:tcW w:type="dxa" w:w="2835"/>
          </w:tcPr>
          <w:p>
            <w:pPr>
              <w:spacing w:before="40" w:after="40"/>
            </w:pPr>
            <w:r>
              <w:rPr>
                <w:sz w:val="20"/>
              </w:rPr>
            </w:r>
            <w:r>
              <w:rPr>
                <w:sz w:val="20"/>
              </w:rPr>
              <w:t>智能合约</w:t>
            </w:r>
          </w:p>
        </w:tc>
        <w:tc>
          <w:tcPr>
            <w:tcW w:type="dxa" w:w="2835"/>
          </w:tcPr>
          <w:p>
            <w:pPr>
              <w:spacing w:before="40" w:after="40"/>
            </w:pPr>
            <w:r>
              <w:rPr>
                <w:sz w:val="20"/>
              </w:rPr>
            </w:r>
            <w:r>
              <w:rPr>
                <w:sz w:val="20"/>
              </w:rPr>
              <w:t>Smart Contract</w:t>
            </w:r>
          </w:p>
        </w:tc>
        <w:tc>
          <w:tcPr>
            <w:tcW w:type="dxa" w:w="2835"/>
          </w:tcPr>
          <w:p>
            <w:pPr>
              <w:spacing w:before="40" w:after="40"/>
            </w:pPr>
            <w:r>
              <w:rPr>
                <w:sz w:val="20"/>
              </w:rPr>
            </w:r>
            <w:r>
              <w:rPr>
                <w:sz w:val="20"/>
              </w:rPr>
              <w:t>在区块链上自动执行的计算机程序</w:t>
            </w:r>
          </w:p>
        </w:tc>
      </w:tr>
      <w:tr>
        <w:tc>
          <w:tcPr>
            <w:tcW w:type="dxa" w:w="2835"/>
            <w:shd w:val="clear" w:color="auto" w:fill="F5F5F5"/>
          </w:tcPr>
          <w:p>
            <w:pPr>
              <w:spacing w:before="40" w:after="40"/>
            </w:pPr>
            <w:r>
              <w:rPr>
                <w:sz w:val="20"/>
              </w:rPr>
            </w:r>
            <w:r>
              <w:rPr>
                <w:sz w:val="20"/>
              </w:rPr>
              <w:t>非同质化代币</w:t>
            </w:r>
          </w:p>
        </w:tc>
        <w:tc>
          <w:tcPr>
            <w:tcW w:type="dxa" w:w="2835"/>
            <w:shd w:val="clear" w:color="auto" w:fill="F5F5F5"/>
          </w:tcPr>
          <w:p>
            <w:pPr>
              <w:spacing w:before="40" w:after="40"/>
            </w:pPr>
            <w:r>
              <w:rPr>
                <w:sz w:val="20"/>
              </w:rPr>
            </w:r>
            <w:r>
              <w:rPr>
                <w:sz w:val="20"/>
              </w:rPr>
              <w:t>Non-Fungible Token (NFT)</w:t>
            </w:r>
          </w:p>
        </w:tc>
        <w:tc>
          <w:tcPr>
            <w:tcW w:type="dxa" w:w="2835"/>
            <w:shd w:val="clear" w:color="auto" w:fill="F5F5F5"/>
          </w:tcPr>
          <w:p>
            <w:pPr>
              <w:spacing w:before="40" w:after="40"/>
            </w:pPr>
            <w:r>
              <w:rPr>
                <w:sz w:val="20"/>
              </w:rPr>
            </w:r>
            <w:r>
              <w:rPr>
                <w:sz w:val="20"/>
              </w:rPr>
              <w:t>基于区块链的数字资产唯一性证明</w:t>
            </w:r>
          </w:p>
        </w:tc>
      </w:tr>
      <w:tr>
        <w:tc>
          <w:tcPr>
            <w:tcW w:type="dxa" w:w="2835"/>
          </w:tcPr>
          <w:p>
            <w:pPr>
              <w:spacing w:before="40" w:after="40"/>
            </w:pPr>
            <w:r>
              <w:rPr>
                <w:sz w:val="20"/>
              </w:rPr>
            </w:r>
            <w:r>
              <w:rPr>
                <w:sz w:val="20"/>
              </w:rPr>
              <w:t>预防性保护</w:t>
            </w:r>
          </w:p>
        </w:tc>
        <w:tc>
          <w:tcPr>
            <w:tcW w:type="dxa" w:w="2835"/>
          </w:tcPr>
          <w:p>
            <w:pPr>
              <w:spacing w:before="40" w:after="40"/>
            </w:pPr>
            <w:r>
              <w:rPr>
                <w:sz w:val="20"/>
              </w:rPr>
            </w:r>
            <w:r>
              <w:rPr>
                <w:sz w:val="20"/>
              </w:rPr>
              <w:t>Preventive Conservation</w:t>
            </w:r>
          </w:p>
        </w:tc>
        <w:tc>
          <w:tcPr>
            <w:tcW w:type="dxa" w:w="2835"/>
          </w:tcPr>
          <w:p>
            <w:pPr>
              <w:spacing w:before="40" w:after="40"/>
            </w:pPr>
            <w:r>
              <w:rPr>
                <w:sz w:val="20"/>
              </w:rPr>
            </w:r>
            <w:r>
              <w:rPr>
                <w:sz w:val="20"/>
              </w:rPr>
              <w:t>通过环境控制和定期监测防止文物劣化的保护策略</w:t>
            </w:r>
          </w:p>
        </w:tc>
      </w:tr>
      <w:tr>
        <w:tc>
          <w:tcPr>
            <w:tcW w:type="dxa" w:w="2835"/>
            <w:shd w:val="clear" w:color="auto" w:fill="F5F5F5"/>
          </w:tcPr>
          <w:p>
            <w:pPr>
              <w:spacing w:before="40" w:after="40"/>
            </w:pPr>
            <w:r>
              <w:rPr>
                <w:sz w:val="20"/>
              </w:rPr>
            </w:r>
            <w:r>
              <w:rPr>
                <w:sz w:val="20"/>
              </w:rPr>
              <w:t>数字叙事</w:t>
            </w:r>
          </w:p>
        </w:tc>
        <w:tc>
          <w:tcPr>
            <w:tcW w:type="dxa" w:w="2835"/>
            <w:shd w:val="clear" w:color="auto" w:fill="F5F5F5"/>
          </w:tcPr>
          <w:p>
            <w:pPr>
              <w:spacing w:before="40" w:after="40"/>
            </w:pPr>
            <w:r>
              <w:rPr>
                <w:sz w:val="20"/>
              </w:rPr>
            </w:r>
            <w:r>
              <w:rPr>
                <w:sz w:val="20"/>
              </w:rPr>
              <w:t>Digital Storytelling</w:t>
            </w:r>
          </w:p>
        </w:tc>
        <w:tc>
          <w:tcPr>
            <w:tcW w:type="dxa" w:w="2835"/>
            <w:shd w:val="clear" w:color="auto" w:fill="F5F5F5"/>
          </w:tcPr>
          <w:p>
            <w:pPr>
              <w:spacing w:before="40" w:after="40"/>
            </w:pPr>
            <w:r>
              <w:rPr>
                <w:sz w:val="20"/>
              </w:rPr>
            </w:r>
            <w:r>
              <w:rPr>
                <w:sz w:val="20"/>
              </w:rPr>
              <w:t>利用数字多媒体手段讲述故事的方法</w:t>
            </w:r>
          </w:p>
        </w:tc>
      </w:tr>
      <w:tr>
        <w:tc>
          <w:tcPr>
            <w:tcW w:type="dxa" w:w="2835"/>
          </w:tcPr>
          <w:p>
            <w:pPr>
              <w:spacing w:before="40" w:after="40"/>
            </w:pPr>
            <w:r>
              <w:rPr>
                <w:sz w:val="20"/>
              </w:rPr>
            </w:r>
            <w:r>
              <w:rPr>
                <w:sz w:val="20"/>
              </w:rPr>
              <w:t>多模态数据</w:t>
            </w:r>
          </w:p>
        </w:tc>
        <w:tc>
          <w:tcPr>
            <w:tcW w:type="dxa" w:w="2835"/>
          </w:tcPr>
          <w:p>
            <w:pPr>
              <w:spacing w:before="40" w:after="40"/>
            </w:pPr>
            <w:r>
              <w:rPr>
                <w:sz w:val="20"/>
              </w:rPr>
            </w:r>
            <w:r>
              <w:rPr>
                <w:sz w:val="20"/>
              </w:rPr>
              <w:t>Multimodal Data</w:t>
            </w:r>
          </w:p>
        </w:tc>
        <w:tc>
          <w:tcPr>
            <w:tcW w:type="dxa" w:w="2835"/>
          </w:tcPr>
          <w:p>
            <w:pPr>
              <w:spacing w:before="40" w:after="40"/>
            </w:pPr>
            <w:r>
              <w:rPr>
                <w:sz w:val="20"/>
              </w:rPr>
            </w:r>
            <w:r>
              <w:rPr>
                <w:sz w:val="20"/>
              </w:rPr>
              <w:t>包含文本、图像、音频、视频、三维模型等多种类型的数据</w:t>
            </w:r>
          </w:p>
        </w:tc>
      </w:tr>
      <w:tr>
        <w:tc>
          <w:tcPr>
            <w:tcW w:type="dxa" w:w="2835"/>
            <w:shd w:val="clear" w:color="auto" w:fill="F5F5F5"/>
          </w:tcPr>
          <w:p>
            <w:pPr>
              <w:spacing w:before="40" w:after="40"/>
            </w:pPr>
            <w:r>
              <w:rPr>
                <w:sz w:val="20"/>
              </w:rPr>
            </w:r>
            <w:r>
              <w:rPr>
                <w:sz w:val="20"/>
              </w:rPr>
              <w:t>动作捕捉</w:t>
            </w:r>
          </w:p>
        </w:tc>
        <w:tc>
          <w:tcPr>
            <w:tcW w:type="dxa" w:w="2835"/>
            <w:shd w:val="clear" w:color="auto" w:fill="F5F5F5"/>
          </w:tcPr>
          <w:p>
            <w:pPr>
              <w:spacing w:before="40" w:after="40"/>
            </w:pPr>
            <w:r>
              <w:rPr>
                <w:sz w:val="20"/>
              </w:rPr>
            </w:r>
            <w:r>
              <w:rPr>
                <w:sz w:val="20"/>
              </w:rPr>
              <w:t>Motion Capture (MoCap)</w:t>
            </w:r>
          </w:p>
        </w:tc>
        <w:tc>
          <w:tcPr>
            <w:tcW w:type="dxa" w:w="2835"/>
            <w:shd w:val="clear" w:color="auto" w:fill="F5F5F5"/>
          </w:tcPr>
          <w:p>
            <w:pPr>
              <w:spacing w:before="40" w:after="40"/>
            </w:pPr>
            <w:r>
              <w:rPr>
                <w:sz w:val="20"/>
              </w:rPr>
            </w:r>
            <w:r>
              <w:rPr>
                <w:sz w:val="20"/>
              </w:rPr>
              <w:t>精确记录人体运动三维数据的技术</w:t>
            </w:r>
          </w:p>
        </w:tc>
      </w:tr>
      <w:tr>
        <w:tc>
          <w:tcPr>
            <w:tcW w:type="dxa" w:w="2835"/>
          </w:tcPr>
          <w:p>
            <w:pPr>
              <w:spacing w:before="40" w:after="40"/>
            </w:pPr>
            <w:r>
              <w:rPr>
                <w:sz w:val="20"/>
              </w:rPr>
            </w:r>
            <w:r>
              <w:rPr>
                <w:sz w:val="20"/>
              </w:rPr>
              <w:t>多光谱成像</w:t>
            </w:r>
          </w:p>
        </w:tc>
        <w:tc>
          <w:tcPr>
            <w:tcW w:type="dxa" w:w="2835"/>
          </w:tcPr>
          <w:p>
            <w:pPr>
              <w:spacing w:before="40" w:after="40"/>
            </w:pPr>
            <w:r>
              <w:rPr>
                <w:sz w:val="20"/>
              </w:rPr>
            </w:r>
            <w:r>
              <w:rPr>
                <w:sz w:val="20"/>
              </w:rPr>
              <w:t>Multispectral Imaging</w:t>
            </w:r>
          </w:p>
        </w:tc>
        <w:tc>
          <w:tcPr>
            <w:tcW w:type="dxa" w:w="2835"/>
          </w:tcPr>
          <w:p>
            <w:pPr>
              <w:spacing w:before="40" w:after="40"/>
            </w:pPr>
            <w:r>
              <w:rPr>
                <w:sz w:val="20"/>
              </w:rPr>
            </w:r>
            <w:r>
              <w:rPr>
                <w:sz w:val="20"/>
              </w:rPr>
              <w:t>在多个波长下拍摄以揭示隐藏信息的技术</w:t>
            </w:r>
          </w:p>
        </w:tc>
      </w:tr>
      <w:tr>
        <w:tc>
          <w:tcPr>
            <w:tcW w:type="dxa" w:w="2835"/>
            <w:shd w:val="clear" w:color="auto" w:fill="F5F5F5"/>
          </w:tcPr>
          <w:p>
            <w:pPr>
              <w:spacing w:before="40" w:after="40"/>
            </w:pPr>
            <w:r>
              <w:rPr>
                <w:sz w:val="20"/>
              </w:rPr>
            </w:r>
            <w:r>
              <w:rPr>
                <w:sz w:val="20"/>
              </w:rPr>
              <w:t>D.I.G.I.T.框架</w:t>
            </w:r>
          </w:p>
        </w:tc>
        <w:tc>
          <w:tcPr>
            <w:tcW w:type="dxa" w:w="2835"/>
            <w:shd w:val="clear" w:color="auto" w:fill="F5F5F5"/>
          </w:tcPr>
          <w:p>
            <w:pPr>
              <w:spacing w:before="40" w:after="40"/>
            </w:pPr>
            <w:r>
              <w:rPr>
                <w:sz w:val="20"/>
              </w:rPr>
            </w:r>
            <w:r>
              <w:rPr>
                <w:sz w:val="20"/>
              </w:rPr>
              <w:t>D.I.G.I.T. Framework</w:t>
            </w:r>
          </w:p>
        </w:tc>
        <w:tc>
          <w:tcPr>
            <w:tcW w:type="dxa" w:w="2835"/>
            <w:shd w:val="clear" w:color="auto" w:fill="F5F5F5"/>
          </w:tcPr>
          <w:p>
            <w:pPr>
              <w:spacing w:before="40" w:after="40"/>
            </w:pPr>
            <w:r>
              <w:rPr>
                <w:sz w:val="20"/>
              </w:rPr>
            </w:r>
            <w:r>
              <w:rPr>
                <w:sz w:val="20"/>
              </w:rPr>
              <w:t>本书提出的数字时代文化遗产保护五维方法论框架</w:t>
            </w:r>
          </w:p>
        </w:tc>
      </w:tr>
      <w:tr>
        <w:tc>
          <w:tcPr>
            <w:tcW w:type="dxa" w:w="2835"/>
          </w:tcPr>
          <w:p>
            <w:pPr>
              <w:spacing w:before="40" w:after="40"/>
            </w:pPr>
            <w:r>
              <w:rPr>
                <w:sz w:val="20"/>
              </w:rPr>
            </w:r>
            <w:r>
              <w:rPr>
                <w:sz w:val="20"/>
              </w:rPr>
              <w:t>活态传承</w:t>
            </w:r>
          </w:p>
        </w:tc>
        <w:tc>
          <w:tcPr>
            <w:tcW w:type="dxa" w:w="2835"/>
          </w:tcPr>
          <w:p>
            <w:pPr>
              <w:spacing w:before="40" w:after="40"/>
            </w:pPr>
            <w:r>
              <w:rPr>
                <w:sz w:val="20"/>
              </w:rPr>
            </w:r>
            <w:r>
              <w:rPr>
                <w:sz w:val="20"/>
              </w:rPr>
              <w:t>Living Transmission</w:t>
            </w:r>
          </w:p>
        </w:tc>
        <w:tc>
          <w:tcPr>
            <w:tcW w:type="dxa" w:w="2835"/>
          </w:tcPr>
          <w:p>
            <w:pPr>
              <w:spacing w:before="40" w:after="40"/>
            </w:pPr>
            <w:r>
              <w:rPr>
                <w:sz w:val="20"/>
              </w:rPr>
            </w:r>
            <w:r>
              <w:rPr>
                <w:sz w:val="20"/>
              </w:rPr>
              <w:t>在持续实践中传承非遗的方式，强调动态性和演变性</w:t>
            </w:r>
          </w:p>
        </w:tc>
      </w:tr>
      <w:tr>
        <w:tc>
          <w:tcPr>
            <w:tcW w:type="dxa" w:w="2835"/>
            <w:shd w:val="clear" w:color="auto" w:fill="F5F5F5"/>
          </w:tcPr>
          <w:p>
            <w:pPr>
              <w:spacing w:before="40" w:after="40"/>
            </w:pPr>
            <w:r>
              <w:rPr>
                <w:sz w:val="20"/>
              </w:rPr>
            </w:r>
            <w:r>
              <w:rPr>
                <w:sz w:val="20"/>
              </w:rPr>
              <w:t>数字永续性</w:t>
            </w:r>
          </w:p>
        </w:tc>
        <w:tc>
          <w:tcPr>
            <w:tcW w:type="dxa" w:w="2835"/>
            <w:shd w:val="clear" w:color="auto" w:fill="F5F5F5"/>
          </w:tcPr>
          <w:p>
            <w:pPr>
              <w:spacing w:before="40" w:after="40"/>
            </w:pPr>
            <w:r>
              <w:rPr>
                <w:sz w:val="20"/>
              </w:rPr>
            </w:r>
            <w:r>
              <w:rPr>
                <w:sz w:val="20"/>
              </w:rPr>
              <w:t>Digital Perpetuity</w:t>
            </w:r>
          </w:p>
        </w:tc>
        <w:tc>
          <w:tcPr>
            <w:tcW w:type="dxa" w:w="2835"/>
            <w:shd w:val="clear" w:color="auto" w:fill="F5F5F5"/>
          </w:tcPr>
          <w:p>
            <w:pPr>
              <w:spacing w:before="40" w:after="40"/>
            </w:pPr>
            <w:r>
              <w:rPr>
                <w:sz w:val="20"/>
              </w:rPr>
            </w:r>
            <w:r>
              <w:rPr>
                <w:sz w:val="20"/>
              </w:rPr>
              <w:t>数字数据能够被永久保存和读取的状态</w:t>
            </w:r>
          </w:p>
        </w:tc>
      </w:tr>
      <w:tr>
        <w:tc>
          <w:tcPr>
            <w:tcW w:type="dxa" w:w="2835"/>
          </w:tcPr>
          <w:p>
            <w:pPr>
              <w:spacing w:before="40" w:after="40"/>
            </w:pPr>
            <w:r>
              <w:rPr>
                <w:sz w:val="20"/>
              </w:rPr>
            </w:r>
            <w:r>
              <w:rPr>
                <w:sz w:val="20"/>
              </w:rPr>
              <w:t>Europeana</w:t>
            </w:r>
          </w:p>
        </w:tc>
        <w:tc>
          <w:tcPr>
            <w:tcW w:type="dxa" w:w="2835"/>
          </w:tcPr>
          <w:p>
            <w:pPr>
              <w:spacing w:before="40" w:after="40"/>
            </w:pPr>
            <w:r>
              <w:rPr>
                <w:sz w:val="20"/>
              </w:rPr>
            </w:r>
            <w:r>
              <w:rPr>
                <w:sz w:val="20"/>
              </w:rPr>
              <w:t>Europeana</w:t>
            </w:r>
          </w:p>
        </w:tc>
        <w:tc>
          <w:tcPr>
            <w:tcW w:type="dxa" w:w="2835"/>
          </w:tcPr>
          <w:p>
            <w:pPr>
              <w:spacing w:before="40" w:after="40"/>
            </w:pPr>
            <w:r>
              <w:rPr>
                <w:sz w:val="20"/>
              </w:rPr>
            </w:r>
            <w:r>
              <w:rPr>
                <w:sz w:val="20"/>
              </w:rPr>
              <w:t>欧盟资助的数字文化遗产聚合平台</w:t>
            </w:r>
          </w:p>
        </w:tc>
      </w:tr>
      <w:tr>
        <w:tc>
          <w:tcPr>
            <w:tcW w:type="dxa" w:w="2835"/>
            <w:shd w:val="clear" w:color="auto" w:fill="F5F5F5"/>
          </w:tcPr>
          <w:p>
            <w:pPr>
              <w:spacing w:before="40" w:after="40"/>
            </w:pPr>
            <w:r>
              <w:rPr>
                <w:sz w:val="20"/>
              </w:rPr>
            </w:r>
            <w:r>
              <w:rPr>
                <w:sz w:val="20"/>
              </w:rPr>
              <w:t>UNESCO</w:t>
            </w:r>
          </w:p>
        </w:tc>
        <w:tc>
          <w:tcPr>
            <w:tcW w:type="dxa" w:w="2835"/>
            <w:shd w:val="clear" w:color="auto" w:fill="F5F5F5"/>
          </w:tcPr>
          <w:p>
            <w:pPr>
              <w:spacing w:before="40" w:after="40"/>
            </w:pPr>
            <w:r>
              <w:rPr>
                <w:sz w:val="20"/>
              </w:rPr>
            </w:r>
            <w:r>
              <w:rPr>
                <w:sz w:val="20"/>
              </w:rPr>
              <w:t>UNESCO</w:t>
            </w:r>
          </w:p>
        </w:tc>
        <w:tc>
          <w:tcPr>
            <w:tcW w:type="dxa" w:w="2835"/>
            <w:shd w:val="clear" w:color="auto" w:fill="F5F5F5"/>
          </w:tcPr>
          <w:p>
            <w:pPr>
              <w:spacing w:before="40" w:after="40"/>
            </w:pPr>
            <w:r>
              <w:rPr>
                <w:sz w:val="20"/>
              </w:rPr>
            </w:r>
            <w:r>
              <w:rPr>
                <w:sz w:val="20"/>
              </w:rPr>
              <w:t>联合国教育、科学及文化组织</w:t>
            </w:r>
          </w:p>
        </w:tc>
      </w:tr>
      <w:tr>
        <w:tc>
          <w:tcPr>
            <w:tcW w:type="dxa" w:w="2835"/>
          </w:tcPr>
          <w:p>
            <w:pPr>
              <w:spacing w:before="40" w:after="40"/>
            </w:pPr>
            <w:r>
              <w:rPr>
                <w:sz w:val="20"/>
              </w:rPr>
            </w:r>
            <w:r>
              <w:rPr>
                <w:sz w:val="20"/>
              </w:rPr>
              <w:t>数字化保护</w:t>
            </w:r>
          </w:p>
        </w:tc>
        <w:tc>
          <w:tcPr>
            <w:tcW w:type="dxa" w:w="2835"/>
          </w:tcPr>
          <w:p>
            <w:pPr>
              <w:spacing w:before="40" w:after="40"/>
            </w:pPr>
            <w:r>
              <w:rPr>
                <w:sz w:val="20"/>
              </w:rPr>
            </w:r>
            <w:r>
              <w:rPr>
                <w:sz w:val="20"/>
              </w:rPr>
              <w:t>Digital Protection</w:t>
            </w:r>
          </w:p>
        </w:tc>
        <w:tc>
          <w:tcPr>
            <w:tcW w:type="dxa" w:w="2835"/>
          </w:tcPr>
          <w:p>
            <w:pPr>
              <w:spacing w:before="40" w:after="40"/>
            </w:pPr>
            <w:r>
              <w:rPr>
                <w:sz w:val="20"/>
              </w:rPr>
            </w:r>
            <w:r>
              <w:rPr>
                <w:sz w:val="20"/>
              </w:rPr>
              <w:t>利用数字技术对文化遗产进行采集、存储、管理和传播的保护方式</w:t>
            </w:r>
          </w:p>
        </w:tc>
      </w:tr>
      <w:tr>
        <w:tc>
          <w:tcPr>
            <w:tcW w:type="dxa" w:w="2835"/>
            <w:shd w:val="clear" w:color="auto" w:fill="F5F5F5"/>
          </w:tcPr>
          <w:p>
            <w:pPr>
              <w:spacing w:before="40" w:after="40"/>
            </w:pPr>
            <w:r>
              <w:rPr>
                <w:sz w:val="20"/>
              </w:rPr>
            </w:r>
            <w:r>
              <w:rPr>
                <w:sz w:val="20"/>
              </w:rPr>
              <w:t>虚拟博物馆</w:t>
            </w:r>
          </w:p>
        </w:tc>
        <w:tc>
          <w:tcPr>
            <w:tcW w:type="dxa" w:w="2835"/>
            <w:shd w:val="clear" w:color="auto" w:fill="F5F5F5"/>
          </w:tcPr>
          <w:p>
            <w:pPr>
              <w:spacing w:before="40" w:after="40"/>
            </w:pPr>
            <w:r>
              <w:rPr>
                <w:sz w:val="20"/>
              </w:rPr>
            </w:r>
            <w:r>
              <w:rPr>
                <w:sz w:val="20"/>
              </w:rPr>
              <w:t>Virtual Museum</w:t>
            </w:r>
          </w:p>
        </w:tc>
        <w:tc>
          <w:tcPr>
            <w:tcW w:type="dxa" w:w="2835"/>
            <w:shd w:val="clear" w:color="auto" w:fill="F5F5F5"/>
          </w:tcPr>
          <w:p>
            <w:pPr>
              <w:spacing w:before="40" w:after="40"/>
            </w:pPr>
            <w:r>
              <w:rPr>
                <w:sz w:val="20"/>
              </w:rPr>
            </w:r>
            <w:r>
              <w:rPr>
                <w:sz w:val="20"/>
              </w:rPr>
              <w:t>在数字空间中构建的博物馆，提供在线浏览和交互体验</w:t>
            </w:r>
          </w:p>
        </w:tc>
      </w:tr>
      <w:tr>
        <w:tc>
          <w:tcPr>
            <w:tcW w:type="dxa" w:w="2835"/>
          </w:tcPr>
          <w:p>
            <w:pPr>
              <w:spacing w:before="40" w:after="40"/>
            </w:pPr>
            <w:r>
              <w:rPr>
                <w:sz w:val="20"/>
              </w:rPr>
            </w:r>
            <w:r>
              <w:rPr>
                <w:sz w:val="20"/>
              </w:rPr>
              <w:t>动作捕捉</w:t>
            </w:r>
          </w:p>
        </w:tc>
        <w:tc>
          <w:tcPr>
            <w:tcW w:type="dxa" w:w="2835"/>
          </w:tcPr>
          <w:p>
            <w:pPr>
              <w:spacing w:before="40" w:after="40"/>
            </w:pPr>
            <w:r>
              <w:rPr>
                <w:sz w:val="20"/>
              </w:rPr>
            </w:r>
            <w:r>
              <w:rPr>
                <w:sz w:val="20"/>
              </w:rPr>
              <w:t>Motion Capture</w:t>
            </w:r>
          </w:p>
        </w:tc>
        <w:tc>
          <w:tcPr>
            <w:tcW w:type="dxa" w:w="2835"/>
          </w:tcPr>
          <w:p>
            <w:pPr>
              <w:spacing w:before="40" w:after="40"/>
            </w:pPr>
            <w:r>
              <w:rPr>
                <w:sz w:val="20"/>
              </w:rPr>
            </w:r>
            <w:r>
              <w:rPr>
                <w:sz w:val="20"/>
              </w:rPr>
              <w:t>精确记录人体运动三维数据的技术，用于表演艺术ICH数字化</w:t>
            </w:r>
          </w:p>
        </w:tc>
      </w:tr>
      <w:tr>
        <w:tc>
          <w:tcPr>
            <w:tcW w:type="dxa" w:w="2835"/>
            <w:shd w:val="clear" w:color="auto" w:fill="F5F5F5"/>
          </w:tcPr>
          <w:p>
            <w:pPr>
              <w:spacing w:before="40" w:after="40"/>
            </w:pPr>
            <w:r>
              <w:rPr>
                <w:sz w:val="20"/>
              </w:rPr>
            </w:r>
            <w:r>
              <w:rPr>
                <w:sz w:val="20"/>
              </w:rPr>
              <w:t>多光谱成像</w:t>
            </w:r>
          </w:p>
        </w:tc>
        <w:tc>
          <w:tcPr>
            <w:tcW w:type="dxa" w:w="2835"/>
            <w:shd w:val="clear" w:color="auto" w:fill="F5F5F5"/>
          </w:tcPr>
          <w:p>
            <w:pPr>
              <w:spacing w:before="40" w:after="40"/>
            </w:pPr>
            <w:r>
              <w:rPr>
                <w:sz w:val="20"/>
              </w:rPr>
            </w:r>
            <w:r>
              <w:rPr>
                <w:sz w:val="20"/>
              </w:rPr>
              <w:t>Multispectral Imaging</w:t>
            </w:r>
          </w:p>
        </w:tc>
        <w:tc>
          <w:tcPr>
            <w:tcW w:type="dxa" w:w="2835"/>
            <w:shd w:val="clear" w:color="auto" w:fill="F5F5F5"/>
          </w:tcPr>
          <w:p>
            <w:pPr>
              <w:spacing w:before="40" w:after="40"/>
            </w:pPr>
            <w:r>
              <w:rPr>
                <w:sz w:val="20"/>
              </w:rPr>
            </w:r>
            <w:r>
              <w:rPr>
                <w:sz w:val="20"/>
              </w:rPr>
              <w:t>在多个波长下拍摄以揭示隐藏信息的技术</w:t>
            </w:r>
          </w:p>
        </w:tc>
      </w:tr>
      <w:tr>
        <w:tc>
          <w:tcPr>
            <w:tcW w:type="dxa" w:w="2835"/>
          </w:tcPr>
          <w:p>
            <w:pPr>
              <w:spacing w:before="40" w:after="40"/>
            </w:pPr>
            <w:r>
              <w:rPr>
                <w:sz w:val="20"/>
              </w:rPr>
            </w:r>
            <w:r>
              <w:rPr>
                <w:sz w:val="20"/>
              </w:rPr>
              <w:t>数字叙事</w:t>
            </w:r>
          </w:p>
        </w:tc>
        <w:tc>
          <w:tcPr>
            <w:tcW w:type="dxa" w:w="2835"/>
          </w:tcPr>
          <w:p>
            <w:pPr>
              <w:spacing w:before="40" w:after="40"/>
            </w:pPr>
            <w:r>
              <w:rPr>
                <w:sz w:val="20"/>
              </w:rPr>
            </w:r>
            <w:r>
              <w:rPr>
                <w:sz w:val="20"/>
              </w:rPr>
              <w:t>Digital Storytelling</w:t>
            </w:r>
          </w:p>
        </w:tc>
        <w:tc>
          <w:tcPr>
            <w:tcW w:type="dxa" w:w="2835"/>
          </w:tcPr>
          <w:p>
            <w:pPr>
              <w:spacing w:before="40" w:after="40"/>
            </w:pPr>
            <w:r>
              <w:rPr>
                <w:sz w:val="20"/>
              </w:rPr>
            </w:r>
            <w:r>
              <w:rPr>
                <w:sz w:val="20"/>
              </w:rPr>
              <w:t>利用数字多媒体手段讲述故事的方法，用于文化遗产传播</w:t>
            </w:r>
          </w:p>
        </w:tc>
      </w:tr>
      <w:tr>
        <w:tc>
          <w:tcPr>
            <w:tcW w:type="dxa" w:w="2835"/>
            <w:shd w:val="clear" w:color="auto" w:fill="F5F5F5"/>
          </w:tcPr>
          <w:p>
            <w:pPr>
              <w:spacing w:before="40" w:after="40"/>
            </w:pPr>
            <w:r>
              <w:rPr>
                <w:sz w:val="20"/>
              </w:rPr>
            </w:r>
            <w:r>
              <w:rPr>
                <w:sz w:val="20"/>
              </w:rPr>
              <w:t>数字人文</w:t>
            </w:r>
          </w:p>
        </w:tc>
        <w:tc>
          <w:tcPr>
            <w:tcW w:type="dxa" w:w="2835"/>
            <w:shd w:val="clear" w:color="auto" w:fill="F5F5F5"/>
          </w:tcPr>
          <w:p>
            <w:pPr>
              <w:spacing w:before="40" w:after="40"/>
            </w:pPr>
            <w:r>
              <w:rPr>
                <w:sz w:val="20"/>
              </w:rPr>
            </w:r>
            <w:r>
              <w:rPr>
                <w:sz w:val="20"/>
              </w:rPr>
              <w:t>Digital Humanities</w:t>
            </w:r>
          </w:p>
        </w:tc>
        <w:tc>
          <w:tcPr>
            <w:tcW w:type="dxa" w:w="2835"/>
            <w:shd w:val="clear" w:color="auto" w:fill="F5F5F5"/>
          </w:tcPr>
          <w:p>
            <w:pPr>
              <w:spacing w:before="40" w:after="40"/>
            </w:pPr>
            <w:r>
              <w:rPr>
                <w:sz w:val="20"/>
              </w:rPr>
            </w:r>
            <w:r>
              <w:rPr>
                <w:sz w:val="20"/>
              </w:rPr>
              <w:t>将计算方法应用于人文研究的新兴交叉学科</w:t>
            </w:r>
          </w:p>
        </w:tc>
      </w:tr>
      <w:tr>
        <w:tc>
          <w:tcPr>
            <w:tcW w:type="dxa" w:w="2835"/>
          </w:tcPr>
          <w:p>
            <w:pPr>
              <w:spacing w:before="40" w:after="40"/>
            </w:pPr>
            <w:r>
              <w:rPr>
                <w:sz w:val="20"/>
              </w:rPr>
            </w:r>
            <w:r>
              <w:rPr>
                <w:sz w:val="20"/>
              </w:rPr>
              <w:t>预防性保护</w:t>
            </w:r>
          </w:p>
        </w:tc>
        <w:tc>
          <w:tcPr>
            <w:tcW w:type="dxa" w:w="2835"/>
          </w:tcPr>
          <w:p>
            <w:pPr>
              <w:spacing w:before="40" w:after="40"/>
            </w:pPr>
            <w:r>
              <w:rPr>
                <w:sz w:val="20"/>
              </w:rPr>
            </w:r>
            <w:r>
              <w:rPr>
                <w:sz w:val="20"/>
              </w:rPr>
              <w:t>Preventive Conservation</w:t>
            </w:r>
          </w:p>
        </w:tc>
        <w:tc>
          <w:tcPr>
            <w:tcW w:type="dxa" w:w="2835"/>
          </w:tcPr>
          <w:p>
            <w:pPr>
              <w:spacing w:before="40" w:after="40"/>
            </w:pPr>
            <w:r>
              <w:rPr>
                <w:sz w:val="20"/>
              </w:rPr>
            </w:r>
            <w:r>
              <w:rPr>
                <w:sz w:val="20"/>
              </w:rPr>
              <w:t>通过环境控制和定期监测防止文物劣化的保护策略</w:t>
            </w:r>
          </w:p>
        </w:tc>
      </w:tr>
      <w:tr>
        <w:tc>
          <w:tcPr>
            <w:tcW w:type="dxa" w:w="2835"/>
            <w:shd w:val="clear" w:color="auto" w:fill="F5F5F5"/>
          </w:tcPr>
          <w:p>
            <w:pPr>
              <w:spacing w:before="40" w:after="40"/>
            </w:pPr>
            <w:r>
              <w:rPr>
                <w:sz w:val="20"/>
              </w:rPr>
            </w:r>
            <w:r>
              <w:rPr>
                <w:sz w:val="20"/>
              </w:rPr>
              <w:t>活态传承</w:t>
            </w:r>
          </w:p>
        </w:tc>
        <w:tc>
          <w:tcPr>
            <w:tcW w:type="dxa" w:w="2835"/>
            <w:shd w:val="clear" w:color="auto" w:fill="F5F5F5"/>
          </w:tcPr>
          <w:p>
            <w:pPr>
              <w:spacing w:before="40" w:after="40"/>
            </w:pPr>
            <w:r>
              <w:rPr>
                <w:sz w:val="20"/>
              </w:rPr>
            </w:r>
            <w:r>
              <w:rPr>
                <w:sz w:val="20"/>
              </w:rPr>
              <w:t>Living Transmission</w:t>
            </w:r>
          </w:p>
        </w:tc>
        <w:tc>
          <w:tcPr>
            <w:tcW w:type="dxa" w:w="2835"/>
            <w:shd w:val="clear" w:color="auto" w:fill="F5F5F5"/>
          </w:tcPr>
          <w:p>
            <w:pPr>
              <w:spacing w:before="40" w:after="40"/>
            </w:pPr>
            <w:r>
              <w:rPr>
                <w:sz w:val="20"/>
              </w:rPr>
            </w:r>
            <w:r>
              <w:rPr>
                <w:sz w:val="20"/>
              </w:rPr>
              <w:t>在持续实践中传承非遗的方式，强调动态性和演变性</w:t>
            </w:r>
          </w:p>
        </w:tc>
      </w:tr>
      <w:tr>
        <w:tc>
          <w:tcPr>
            <w:tcW w:type="dxa" w:w="2835"/>
          </w:tcPr>
          <w:p>
            <w:pPr>
              <w:spacing w:before="40" w:after="40"/>
            </w:pPr>
            <w:r>
              <w:rPr>
                <w:sz w:val="20"/>
              </w:rPr>
            </w:r>
            <w:r>
              <w:rPr>
                <w:sz w:val="20"/>
              </w:rPr>
              <w:t>数字永续性</w:t>
            </w:r>
          </w:p>
        </w:tc>
        <w:tc>
          <w:tcPr>
            <w:tcW w:type="dxa" w:w="2835"/>
          </w:tcPr>
          <w:p>
            <w:pPr>
              <w:spacing w:before="40" w:after="40"/>
            </w:pPr>
            <w:r>
              <w:rPr>
                <w:sz w:val="20"/>
              </w:rPr>
            </w:r>
            <w:r>
              <w:rPr>
                <w:sz w:val="20"/>
              </w:rPr>
              <w:t>Digital Perpetuity</w:t>
            </w:r>
          </w:p>
        </w:tc>
        <w:tc>
          <w:tcPr>
            <w:tcW w:type="dxa" w:w="2835"/>
          </w:tcPr>
          <w:p>
            <w:pPr>
              <w:spacing w:before="40" w:after="40"/>
            </w:pPr>
            <w:r>
              <w:rPr>
                <w:sz w:val="20"/>
              </w:rPr>
            </w:r>
            <w:r>
              <w:rPr>
                <w:sz w:val="20"/>
              </w:rPr>
              <w:t>数字数据能够被永久保存和读取的状态</w:t>
            </w:r>
          </w:p>
        </w:tc>
      </w:tr>
      <w:tr>
        <w:tc>
          <w:tcPr>
            <w:tcW w:type="dxa" w:w="2835"/>
            <w:shd w:val="clear" w:color="auto" w:fill="F5F5F5"/>
          </w:tcPr>
          <w:p>
            <w:pPr>
              <w:spacing w:before="40" w:after="40"/>
            </w:pPr>
            <w:r>
              <w:rPr>
                <w:sz w:val="20"/>
              </w:rPr>
            </w:r>
            <w:r>
              <w:rPr>
                <w:sz w:val="20"/>
              </w:rPr>
              <w:t>联盟链</w:t>
            </w:r>
          </w:p>
        </w:tc>
        <w:tc>
          <w:tcPr>
            <w:tcW w:type="dxa" w:w="2835"/>
            <w:shd w:val="clear" w:color="auto" w:fill="F5F5F5"/>
          </w:tcPr>
          <w:p>
            <w:pPr>
              <w:spacing w:before="40" w:after="40"/>
            </w:pPr>
            <w:r>
              <w:rPr>
                <w:sz w:val="20"/>
              </w:rPr>
            </w:r>
            <w:r>
              <w:rPr>
                <w:sz w:val="20"/>
              </w:rPr>
              <w:t>Consortium Blockchain</w:t>
            </w:r>
          </w:p>
        </w:tc>
        <w:tc>
          <w:tcPr>
            <w:tcW w:type="dxa" w:w="2835"/>
            <w:shd w:val="clear" w:color="auto" w:fill="F5F5F5"/>
          </w:tcPr>
          <w:p>
            <w:pPr>
              <w:spacing w:before="40" w:after="40"/>
            </w:pPr>
            <w:r>
              <w:rPr>
                <w:sz w:val="20"/>
              </w:rPr>
            </w:r>
            <w:r>
              <w:rPr>
                <w:sz w:val="20"/>
              </w:rPr>
              <w:t>由多个机构共同维护的区块链网络，适合文化遗产多机构协作</w:t>
            </w:r>
          </w:p>
        </w:tc>
      </w:tr>
      <w:tr>
        <w:tc>
          <w:tcPr>
            <w:tcW w:type="dxa" w:w="2835"/>
          </w:tcPr>
          <w:p>
            <w:pPr>
              <w:spacing w:before="40" w:after="40"/>
            </w:pPr>
            <w:r>
              <w:rPr>
                <w:sz w:val="20"/>
              </w:rPr>
            </w:r>
            <w:r>
              <w:rPr>
                <w:sz w:val="20"/>
              </w:rPr>
              <w:t>智能合约</w:t>
            </w:r>
          </w:p>
        </w:tc>
        <w:tc>
          <w:tcPr>
            <w:tcW w:type="dxa" w:w="2835"/>
          </w:tcPr>
          <w:p>
            <w:pPr>
              <w:spacing w:before="40" w:after="40"/>
            </w:pPr>
            <w:r>
              <w:rPr>
                <w:sz w:val="20"/>
              </w:rPr>
            </w:r>
            <w:r>
              <w:rPr>
                <w:sz w:val="20"/>
              </w:rPr>
              <w:t>Smart Contract</w:t>
            </w:r>
          </w:p>
        </w:tc>
        <w:tc>
          <w:tcPr>
            <w:tcW w:type="dxa" w:w="2835"/>
          </w:tcPr>
          <w:p>
            <w:pPr>
              <w:spacing w:before="40" w:after="40"/>
            </w:pPr>
            <w:r>
              <w:rPr>
                <w:sz w:val="20"/>
              </w:rPr>
            </w:r>
            <w:r>
              <w:rPr>
                <w:sz w:val="20"/>
              </w:rPr>
              <w:t>在区块链上自动执行的计算机程序，用于版权授权管理</w:t>
            </w:r>
          </w:p>
        </w:tc>
      </w:tr>
      <w:tr>
        <w:tc>
          <w:tcPr>
            <w:tcW w:type="dxa" w:w="2835"/>
            <w:shd w:val="clear" w:color="auto" w:fill="F5F5F5"/>
          </w:tcPr>
          <w:p>
            <w:pPr>
              <w:spacing w:before="40" w:after="40"/>
            </w:pPr>
            <w:r>
              <w:rPr>
                <w:sz w:val="20"/>
              </w:rPr>
            </w:r>
            <w:r>
              <w:rPr>
                <w:sz w:val="20"/>
              </w:rPr>
              <w:t>数字指纹</w:t>
            </w:r>
          </w:p>
        </w:tc>
        <w:tc>
          <w:tcPr>
            <w:tcW w:type="dxa" w:w="2835"/>
            <w:shd w:val="clear" w:color="auto" w:fill="F5F5F5"/>
          </w:tcPr>
          <w:p>
            <w:pPr>
              <w:spacing w:before="40" w:after="40"/>
            </w:pPr>
            <w:r>
              <w:rPr>
                <w:sz w:val="20"/>
              </w:rPr>
            </w:r>
            <w:r>
              <w:rPr>
                <w:sz w:val="20"/>
              </w:rPr>
              <w:t>Digital Fingerprint</w:t>
            </w:r>
          </w:p>
        </w:tc>
        <w:tc>
          <w:tcPr>
            <w:tcW w:type="dxa" w:w="2835"/>
            <w:shd w:val="clear" w:color="auto" w:fill="F5F5F5"/>
          </w:tcPr>
          <w:p>
            <w:pPr>
              <w:spacing w:before="40" w:after="40"/>
            </w:pPr>
            <w:r>
              <w:rPr>
                <w:sz w:val="20"/>
              </w:rPr>
            </w:r>
            <w:r>
              <w:rPr>
                <w:sz w:val="20"/>
              </w:rPr>
              <w:t>数字资源的唯一特征标识，用于版权监测和侵权追溯</w:t>
            </w:r>
          </w:p>
        </w:tc>
      </w:tr>
      <w:tr>
        <w:tc>
          <w:tcPr>
            <w:tcW w:type="dxa" w:w="2835"/>
          </w:tcPr>
          <w:p>
            <w:pPr>
              <w:spacing w:before="40" w:after="40"/>
            </w:pPr>
            <w:r>
              <w:rPr>
                <w:sz w:val="20"/>
              </w:rPr>
            </w:r>
            <w:r>
              <w:rPr>
                <w:sz w:val="20"/>
              </w:rPr>
              <w:t>知识图谱</w:t>
            </w:r>
          </w:p>
        </w:tc>
        <w:tc>
          <w:tcPr>
            <w:tcW w:type="dxa" w:w="2835"/>
          </w:tcPr>
          <w:p>
            <w:pPr>
              <w:spacing w:before="40" w:after="40"/>
            </w:pPr>
            <w:r>
              <w:rPr>
                <w:sz w:val="20"/>
              </w:rPr>
            </w:r>
            <w:r>
              <w:rPr>
                <w:sz w:val="20"/>
              </w:rPr>
              <w:t>Knowledge Graph</w:t>
            </w:r>
          </w:p>
        </w:tc>
        <w:tc>
          <w:tcPr>
            <w:tcW w:type="dxa" w:w="2835"/>
          </w:tcPr>
          <w:p>
            <w:pPr>
              <w:spacing w:before="40" w:after="40"/>
            </w:pPr>
            <w:r>
              <w:rPr>
                <w:sz w:val="20"/>
              </w:rPr>
            </w:r>
            <w:r>
              <w:rPr>
                <w:sz w:val="20"/>
              </w:rPr>
              <w:t>以图结构组织知识的数据形式，实体为节点、关系为边</w:t>
            </w:r>
          </w:p>
        </w:tc>
      </w:tr>
      <w:tr>
        <w:tc>
          <w:tcPr>
            <w:tcW w:type="dxa" w:w="2835"/>
            <w:shd w:val="clear" w:color="auto" w:fill="F5F5F5"/>
          </w:tcPr>
          <w:p>
            <w:pPr>
              <w:spacing w:before="40" w:after="40"/>
            </w:pPr>
            <w:r>
              <w:rPr>
                <w:sz w:val="20"/>
              </w:rPr>
            </w:r>
            <w:r>
              <w:rPr>
                <w:sz w:val="20"/>
              </w:rPr>
              <w:t>本体</w:t>
            </w:r>
          </w:p>
        </w:tc>
        <w:tc>
          <w:tcPr>
            <w:tcW w:type="dxa" w:w="2835"/>
            <w:shd w:val="clear" w:color="auto" w:fill="F5F5F5"/>
          </w:tcPr>
          <w:p>
            <w:pPr>
              <w:spacing w:before="40" w:after="40"/>
            </w:pPr>
            <w:r>
              <w:rPr>
                <w:sz w:val="20"/>
              </w:rPr>
            </w:r>
            <w:r>
              <w:rPr>
                <w:sz w:val="20"/>
              </w:rPr>
              <w:t>Ontology</w:t>
            </w:r>
          </w:p>
        </w:tc>
        <w:tc>
          <w:tcPr>
            <w:tcW w:type="dxa" w:w="2835"/>
            <w:shd w:val="clear" w:color="auto" w:fill="F5F5F5"/>
          </w:tcPr>
          <w:p>
            <w:pPr>
              <w:spacing w:before="40" w:after="40"/>
            </w:pPr>
            <w:r>
              <w:rPr>
                <w:sz w:val="20"/>
              </w:rPr>
            </w:r>
            <w:r>
              <w:rPr>
                <w:sz w:val="20"/>
              </w:rPr>
              <w:t>领域概念及其关系的形式化描述，是知识图谱的蓝图</w:t>
            </w:r>
          </w:p>
        </w:tc>
      </w:tr>
      <w:tr>
        <w:tc>
          <w:tcPr>
            <w:tcW w:type="dxa" w:w="2835"/>
          </w:tcPr>
          <w:p>
            <w:pPr>
              <w:spacing w:before="40" w:after="40"/>
            </w:pPr>
            <w:r>
              <w:rPr>
                <w:sz w:val="20"/>
              </w:rPr>
            </w:r>
            <w:r>
              <w:rPr>
                <w:sz w:val="20"/>
              </w:rPr>
              <w:t>元数据</w:t>
            </w:r>
          </w:p>
        </w:tc>
        <w:tc>
          <w:tcPr>
            <w:tcW w:type="dxa" w:w="2835"/>
          </w:tcPr>
          <w:p>
            <w:pPr>
              <w:spacing w:before="40" w:after="40"/>
            </w:pPr>
            <w:r>
              <w:rPr>
                <w:sz w:val="20"/>
              </w:rPr>
            </w:r>
            <w:r>
              <w:rPr>
                <w:sz w:val="20"/>
              </w:rPr>
              <w:t>Metadata</w:t>
            </w:r>
          </w:p>
        </w:tc>
        <w:tc>
          <w:tcPr>
            <w:tcW w:type="dxa" w:w="2835"/>
          </w:tcPr>
          <w:p>
            <w:pPr>
              <w:spacing w:before="40" w:after="40"/>
            </w:pPr>
            <w:r>
              <w:rPr>
                <w:sz w:val="20"/>
              </w:rPr>
            </w:r>
            <w:r>
              <w:rPr>
                <w:sz w:val="20"/>
              </w:rPr>
              <w:t>描述数字资源的数据，如标题、作者、创建日期等</w:t>
            </w:r>
          </w:p>
        </w:tc>
      </w:tr>
      <w:tr>
        <w:tc>
          <w:tcPr>
            <w:tcW w:type="dxa" w:w="2835"/>
            <w:shd w:val="clear" w:color="auto" w:fill="F5F5F5"/>
          </w:tcPr>
          <w:p>
            <w:pPr>
              <w:spacing w:before="40" w:after="40"/>
            </w:pPr>
            <w:r>
              <w:rPr>
                <w:sz w:val="20"/>
              </w:rPr>
            </w:r>
            <w:r>
              <w:rPr>
                <w:sz w:val="20"/>
              </w:rPr>
              <w:t>Linked Data</w:t>
            </w:r>
          </w:p>
        </w:tc>
        <w:tc>
          <w:tcPr>
            <w:tcW w:type="dxa" w:w="2835"/>
            <w:shd w:val="clear" w:color="auto" w:fill="F5F5F5"/>
          </w:tcPr>
          <w:p>
            <w:pPr>
              <w:spacing w:before="40" w:after="40"/>
            </w:pPr>
            <w:r>
              <w:rPr>
                <w:sz w:val="20"/>
              </w:rPr>
            </w:r>
            <w:r>
              <w:rPr>
                <w:sz w:val="20"/>
              </w:rPr>
              <w:t>Linked Data</w:t>
            </w:r>
          </w:p>
        </w:tc>
        <w:tc>
          <w:tcPr>
            <w:tcW w:type="dxa" w:w="2835"/>
            <w:shd w:val="clear" w:color="auto" w:fill="F5F5F5"/>
          </w:tcPr>
          <w:p>
            <w:pPr>
              <w:spacing w:before="40" w:after="40"/>
            </w:pPr>
            <w:r>
              <w:rPr>
                <w:sz w:val="20"/>
              </w:rPr>
            </w:r>
            <w:r>
              <w:rPr>
                <w:sz w:val="20"/>
              </w:rPr>
              <w:t>通过URI和RDF将数据在Web上链接和共享的技术范式</w:t>
            </w:r>
          </w:p>
        </w:tc>
      </w:tr>
      <w:tr>
        <w:tc>
          <w:tcPr>
            <w:tcW w:type="dxa" w:w="2835"/>
          </w:tcPr>
          <w:p>
            <w:pPr>
              <w:spacing w:before="40" w:after="40"/>
            </w:pPr>
            <w:r>
              <w:rPr>
                <w:sz w:val="20"/>
              </w:rPr>
            </w:r>
            <w:r>
              <w:rPr>
                <w:sz w:val="20"/>
              </w:rPr>
              <w:t>文化记忆</w:t>
            </w:r>
          </w:p>
        </w:tc>
        <w:tc>
          <w:tcPr>
            <w:tcW w:type="dxa" w:w="2835"/>
          </w:tcPr>
          <w:p>
            <w:pPr>
              <w:spacing w:before="40" w:after="40"/>
            </w:pPr>
            <w:r>
              <w:rPr>
                <w:sz w:val="20"/>
              </w:rPr>
            </w:r>
            <w:r>
              <w:rPr>
                <w:sz w:val="20"/>
              </w:rPr>
              <w:t>Cultural Memory</w:t>
            </w:r>
          </w:p>
        </w:tc>
        <w:tc>
          <w:tcPr>
            <w:tcW w:type="dxa" w:w="2835"/>
          </w:tcPr>
          <w:p>
            <w:pPr>
              <w:spacing w:before="40" w:after="40"/>
            </w:pPr>
            <w:r>
              <w:rPr>
                <w:sz w:val="20"/>
              </w:rPr>
            </w:r>
            <w:r>
              <w:rPr>
                <w:sz w:val="20"/>
              </w:rPr>
              <w:t>社区通过文本、仪式、纪念物等媒介传递的集体记忆</w:t>
            </w:r>
          </w:p>
        </w:tc>
      </w:tr>
      <w:tr>
        <w:tc>
          <w:tcPr>
            <w:tcW w:type="dxa" w:w="2835"/>
            <w:shd w:val="clear" w:color="auto" w:fill="F5F5F5"/>
          </w:tcPr>
          <w:p>
            <w:pPr>
              <w:spacing w:before="40" w:after="40"/>
            </w:pPr>
            <w:r>
              <w:rPr>
                <w:sz w:val="20"/>
              </w:rPr>
            </w:r>
            <w:r>
              <w:rPr>
                <w:sz w:val="20"/>
              </w:rPr>
              <w:t>真实性</w:t>
            </w:r>
          </w:p>
        </w:tc>
        <w:tc>
          <w:tcPr>
            <w:tcW w:type="dxa" w:w="2835"/>
            <w:shd w:val="clear" w:color="auto" w:fill="F5F5F5"/>
          </w:tcPr>
          <w:p>
            <w:pPr>
              <w:spacing w:before="40" w:after="40"/>
            </w:pPr>
            <w:r>
              <w:rPr>
                <w:sz w:val="20"/>
              </w:rPr>
            </w:r>
            <w:r>
              <w:rPr>
                <w:sz w:val="20"/>
              </w:rPr>
              <w:t>Authenticity</w:t>
            </w:r>
          </w:p>
        </w:tc>
        <w:tc>
          <w:tcPr>
            <w:tcW w:type="dxa" w:w="2835"/>
            <w:shd w:val="clear" w:color="auto" w:fill="F5F5F5"/>
          </w:tcPr>
          <w:p>
            <w:pPr>
              <w:spacing w:before="40" w:after="40"/>
            </w:pPr>
            <w:r>
              <w:rPr>
                <w:sz w:val="20"/>
              </w:rPr>
            </w:r>
            <w:r>
              <w:rPr>
                <w:sz w:val="20"/>
              </w:rPr>
              <w:t>遗产在材料、工艺、形制等方面的真实程度</w:t>
            </w:r>
          </w:p>
        </w:tc>
      </w:tr>
      <w:tr>
        <w:tc>
          <w:tcPr>
            <w:tcW w:type="dxa" w:w="2835"/>
          </w:tcPr>
          <w:p>
            <w:pPr>
              <w:spacing w:before="40" w:after="40"/>
            </w:pPr>
            <w:r>
              <w:rPr>
                <w:sz w:val="20"/>
              </w:rPr>
            </w:r>
            <w:r>
              <w:rPr>
                <w:sz w:val="20"/>
              </w:rPr>
              <w:t>完整性</w:t>
            </w:r>
          </w:p>
        </w:tc>
        <w:tc>
          <w:tcPr>
            <w:tcW w:type="dxa" w:w="2835"/>
          </w:tcPr>
          <w:p>
            <w:pPr>
              <w:spacing w:before="40" w:after="40"/>
            </w:pPr>
            <w:r>
              <w:rPr>
                <w:sz w:val="20"/>
              </w:rPr>
            </w:r>
            <w:r>
              <w:rPr>
                <w:sz w:val="20"/>
              </w:rPr>
              <w:t>Integrity</w:t>
            </w:r>
          </w:p>
        </w:tc>
        <w:tc>
          <w:tcPr>
            <w:tcW w:type="dxa" w:w="2835"/>
          </w:tcPr>
          <w:p>
            <w:pPr>
              <w:spacing w:before="40" w:after="40"/>
            </w:pPr>
            <w:r>
              <w:rPr>
                <w:sz w:val="20"/>
              </w:rPr>
            </w:r>
            <w:r>
              <w:rPr>
                <w:sz w:val="20"/>
              </w:rPr>
              <w:t>遗产物理完整性和环境完整性的综合评估</w:t>
            </w:r>
          </w:p>
        </w:tc>
      </w:tr>
      <w:tr>
        <w:tc>
          <w:tcPr>
            <w:tcW w:type="dxa" w:w="2835"/>
            <w:shd w:val="clear" w:color="auto" w:fill="F5F5F5"/>
          </w:tcPr>
          <w:p>
            <w:pPr>
              <w:spacing w:before="40" w:after="40"/>
            </w:pPr>
            <w:r>
              <w:rPr>
                <w:sz w:val="20"/>
              </w:rPr>
            </w:r>
            <w:r>
              <w:rPr>
                <w:sz w:val="20"/>
              </w:rPr>
              <w:t>文化敏感性</w:t>
            </w:r>
          </w:p>
        </w:tc>
        <w:tc>
          <w:tcPr>
            <w:tcW w:type="dxa" w:w="2835"/>
            <w:shd w:val="clear" w:color="auto" w:fill="F5F5F5"/>
          </w:tcPr>
          <w:p>
            <w:pPr>
              <w:spacing w:before="40" w:after="40"/>
            </w:pPr>
            <w:r>
              <w:rPr>
                <w:sz w:val="20"/>
              </w:rPr>
            </w:r>
            <w:r>
              <w:rPr>
                <w:sz w:val="20"/>
              </w:rPr>
              <w:t>Cultural Sensitivity</w:t>
            </w:r>
          </w:p>
        </w:tc>
        <w:tc>
          <w:tcPr>
            <w:tcW w:type="dxa" w:w="2835"/>
            <w:shd w:val="clear" w:color="auto" w:fill="F5F5F5"/>
          </w:tcPr>
          <w:p>
            <w:pPr>
              <w:spacing w:before="40" w:after="40"/>
            </w:pPr>
            <w:r>
              <w:rPr>
                <w:sz w:val="20"/>
              </w:rPr>
            </w:r>
            <w:r>
              <w:rPr>
                <w:sz w:val="20"/>
              </w:rPr>
              <w:t>对遗产文化内涵和精神价值的尊重意识</w:t>
            </w:r>
          </w:p>
        </w:tc>
      </w:tr>
    </w:tbl>
    <w:p>
      <w:r>
        <w:br w:type="page"/>
      </w:r>
    </w:p>
    <w:p>
      <w:pPr>
        <w:spacing w:before="240" w:after="120"/>
      </w:pPr>
      <w:r>
        <w:rPr>
          <w:b/>
          <w:color w:val="264653"/>
          <w:sz w:val="32"/>
        </w:rPr>
        <w:t>附录B 工具与平台速查</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val="clear" w:color="auto" w:fill="D9E2EC"/>
          </w:tcPr>
          <w:p>
            <w:pPr>
              <w:spacing w:before="40" w:after="40"/>
            </w:pPr>
            <w:r>
              <w:rPr>
                <w:b/>
                <w:sz w:val="20"/>
              </w:rPr>
            </w:r>
            <w:r>
              <w:rPr>
                <w:b/>
                <w:sz w:val="20"/>
              </w:rPr>
              <w:t>类别</w:t>
            </w:r>
          </w:p>
        </w:tc>
        <w:tc>
          <w:tcPr>
            <w:tcW w:type="dxa" w:w="1701"/>
            <w:shd w:val="clear" w:color="auto" w:fill="D9E2EC"/>
          </w:tcPr>
          <w:p>
            <w:pPr>
              <w:spacing w:before="40" w:after="40"/>
            </w:pPr>
            <w:r>
              <w:rPr>
                <w:b/>
                <w:sz w:val="20"/>
              </w:rPr>
            </w:r>
            <w:r>
              <w:rPr>
                <w:b/>
                <w:sz w:val="20"/>
              </w:rPr>
              <w:t>工具/平台名称</w:t>
            </w:r>
          </w:p>
        </w:tc>
        <w:tc>
          <w:tcPr>
            <w:tcW w:type="dxa" w:w="1701"/>
            <w:shd w:val="clear" w:color="auto" w:fill="D9E2EC"/>
          </w:tcPr>
          <w:p>
            <w:pPr>
              <w:spacing w:before="40" w:after="40"/>
            </w:pPr>
            <w:r>
              <w:rPr>
                <w:b/>
                <w:sz w:val="20"/>
              </w:rPr>
            </w:r>
            <w:r>
              <w:rPr>
                <w:b/>
                <w:sz w:val="20"/>
              </w:rPr>
              <w:t>功能特点</w:t>
            </w:r>
          </w:p>
        </w:tc>
        <w:tc>
          <w:tcPr>
            <w:tcW w:type="dxa" w:w="1701"/>
            <w:shd w:val="clear" w:color="auto" w:fill="D9E2EC"/>
          </w:tcPr>
          <w:p>
            <w:pPr>
              <w:spacing w:before="40" w:after="40"/>
            </w:pPr>
            <w:r>
              <w:rPr>
                <w:b/>
                <w:sz w:val="20"/>
              </w:rPr>
            </w:r>
            <w:r>
              <w:rPr>
                <w:b/>
                <w:sz w:val="20"/>
              </w:rPr>
              <w:t>适用场景</w:t>
            </w:r>
          </w:p>
        </w:tc>
        <w:tc>
          <w:tcPr>
            <w:tcW w:type="dxa" w:w="1701"/>
            <w:shd w:val="clear" w:color="auto" w:fill="D9E2EC"/>
          </w:tcPr>
          <w:p>
            <w:pPr>
              <w:spacing w:before="40" w:after="40"/>
            </w:pPr>
            <w:r>
              <w:rPr>
                <w:b/>
                <w:sz w:val="20"/>
              </w:rPr>
            </w:r>
            <w:r>
              <w:rPr>
                <w:b/>
                <w:sz w:val="20"/>
              </w:rPr>
              <w:t>获取方式</w:t>
            </w:r>
          </w:p>
        </w:tc>
      </w:tr>
      <w:tr>
        <w:tc>
          <w:tcPr>
            <w:tcW w:type="dxa" w:w="1701"/>
          </w:tcPr>
          <w:p>
            <w:pPr>
              <w:spacing w:before="40" w:after="40"/>
            </w:pPr>
            <w:r>
              <w:rPr>
                <w:sz w:val="20"/>
              </w:rPr>
            </w:r>
            <w:r>
              <w:rPr>
                <w:sz w:val="20"/>
              </w:rPr>
              <w:t>三维扫描</w:t>
            </w:r>
          </w:p>
        </w:tc>
        <w:tc>
          <w:tcPr>
            <w:tcW w:type="dxa" w:w="1701"/>
          </w:tcPr>
          <w:p>
            <w:pPr>
              <w:spacing w:before="40" w:after="40"/>
            </w:pPr>
            <w:r>
              <w:rPr>
                <w:sz w:val="20"/>
              </w:rPr>
            </w:r>
            <w:r>
              <w:rPr>
                <w:sz w:val="20"/>
              </w:rPr>
              <w:t>Artec Eva</w:t>
            </w:r>
          </w:p>
        </w:tc>
        <w:tc>
          <w:tcPr>
            <w:tcW w:type="dxa" w:w="1701"/>
          </w:tcPr>
          <w:p>
            <w:pPr>
              <w:spacing w:before="40" w:after="40"/>
            </w:pPr>
            <w:r>
              <w:rPr>
                <w:sz w:val="20"/>
              </w:rPr>
            </w:r>
            <w:r>
              <w:rPr>
                <w:sz w:val="20"/>
              </w:rPr>
              <w:t>手持式结构光扫描，精度0.1mm</w:t>
            </w:r>
          </w:p>
        </w:tc>
        <w:tc>
          <w:tcPr>
            <w:tcW w:type="dxa" w:w="1701"/>
          </w:tcPr>
          <w:p>
            <w:pPr>
              <w:spacing w:before="40" w:after="40"/>
            </w:pPr>
            <w:r>
              <w:rPr>
                <w:sz w:val="20"/>
              </w:rPr>
            </w:r>
            <w:r>
              <w:rPr>
                <w:sz w:val="20"/>
              </w:rPr>
              <w:t>中小型文物</w:t>
            </w:r>
          </w:p>
        </w:tc>
        <w:tc>
          <w:tcPr>
            <w:tcW w:type="dxa" w:w="1701"/>
          </w:tcPr>
          <w:p>
            <w:pPr>
              <w:spacing w:before="40" w:after="40"/>
            </w:pPr>
            <w:r>
              <w:rPr>
                <w:sz w:val="20"/>
              </w:rPr>
            </w:r>
            <w:r>
              <w:rPr>
                <w:sz w:val="20"/>
              </w:rPr>
              <w:t>商业采购</w:t>
            </w:r>
          </w:p>
        </w:tc>
      </w:tr>
      <w:tr>
        <w:tc>
          <w:tcPr>
            <w:tcW w:type="dxa" w:w="1701"/>
            <w:shd w:val="clear" w:color="auto" w:fill="F5F5F5"/>
          </w:tcPr>
          <w:p>
            <w:pPr>
              <w:spacing w:before="40" w:after="40"/>
            </w:pPr>
            <w:r>
              <w:rPr>
                <w:sz w:val="20"/>
              </w:rPr>
            </w:r>
            <w:r>
              <w:rPr>
                <w:sz w:val="20"/>
              </w:rPr>
              <w:t>三维扫描</w:t>
            </w:r>
          </w:p>
        </w:tc>
        <w:tc>
          <w:tcPr>
            <w:tcW w:type="dxa" w:w="1701"/>
            <w:shd w:val="clear" w:color="auto" w:fill="F5F5F5"/>
          </w:tcPr>
          <w:p>
            <w:pPr>
              <w:spacing w:before="40" w:after="40"/>
            </w:pPr>
            <w:r>
              <w:rPr>
                <w:sz w:val="20"/>
              </w:rPr>
            </w:r>
            <w:r>
              <w:rPr>
                <w:sz w:val="20"/>
              </w:rPr>
              <w:t>Creaform HandySCAN</w:t>
            </w:r>
          </w:p>
        </w:tc>
        <w:tc>
          <w:tcPr>
            <w:tcW w:type="dxa" w:w="1701"/>
            <w:shd w:val="clear" w:color="auto" w:fill="F5F5F5"/>
          </w:tcPr>
          <w:p>
            <w:pPr>
              <w:spacing w:before="40" w:after="40"/>
            </w:pPr>
            <w:r>
              <w:rPr>
                <w:sz w:val="20"/>
              </w:rPr>
            </w:r>
            <w:r>
              <w:rPr>
                <w:sz w:val="20"/>
              </w:rPr>
              <w:t>便携式激光扫描，精度0.025mm</w:t>
            </w:r>
          </w:p>
        </w:tc>
        <w:tc>
          <w:tcPr>
            <w:tcW w:type="dxa" w:w="1701"/>
            <w:shd w:val="clear" w:color="auto" w:fill="F5F5F5"/>
          </w:tcPr>
          <w:p>
            <w:pPr>
              <w:spacing w:before="40" w:after="40"/>
            </w:pPr>
            <w:r>
              <w:rPr>
                <w:sz w:val="20"/>
              </w:rPr>
            </w:r>
            <w:r>
              <w:rPr>
                <w:sz w:val="20"/>
              </w:rPr>
              <w:t>精细文物</w:t>
            </w:r>
          </w:p>
        </w:tc>
        <w:tc>
          <w:tcPr>
            <w:tcW w:type="dxa" w:w="1701"/>
            <w:shd w:val="clear" w:color="auto" w:fill="F5F5F5"/>
          </w:tcPr>
          <w:p>
            <w:pPr>
              <w:spacing w:before="40" w:after="40"/>
            </w:pPr>
            <w:r>
              <w:rPr>
                <w:sz w:val="20"/>
              </w:rPr>
            </w:r>
            <w:r>
              <w:rPr>
                <w:sz w:val="20"/>
              </w:rPr>
              <w:t>商业采购</w:t>
            </w:r>
          </w:p>
        </w:tc>
      </w:tr>
      <w:tr>
        <w:tc>
          <w:tcPr>
            <w:tcW w:type="dxa" w:w="1701"/>
          </w:tcPr>
          <w:p>
            <w:pPr>
              <w:spacing w:before="40" w:after="40"/>
            </w:pPr>
            <w:r>
              <w:rPr>
                <w:sz w:val="20"/>
              </w:rPr>
            </w:r>
            <w:r>
              <w:rPr>
                <w:sz w:val="20"/>
              </w:rPr>
              <w:t>三维扫描</w:t>
            </w:r>
          </w:p>
        </w:tc>
        <w:tc>
          <w:tcPr>
            <w:tcW w:type="dxa" w:w="1701"/>
          </w:tcPr>
          <w:p>
            <w:pPr>
              <w:spacing w:before="40" w:after="40"/>
            </w:pPr>
            <w:r>
              <w:rPr>
                <w:sz w:val="20"/>
              </w:rPr>
            </w:r>
            <w:r>
              <w:rPr>
                <w:sz w:val="20"/>
              </w:rPr>
              <w:t>Faro Focus</w:t>
            </w:r>
          </w:p>
        </w:tc>
        <w:tc>
          <w:tcPr>
            <w:tcW w:type="dxa" w:w="1701"/>
          </w:tcPr>
          <w:p>
            <w:pPr>
              <w:spacing w:before="40" w:after="40"/>
            </w:pPr>
            <w:r>
              <w:rPr>
                <w:sz w:val="20"/>
              </w:rPr>
            </w:r>
            <w:r>
              <w:rPr>
                <w:sz w:val="20"/>
              </w:rPr>
              <w:t>大场景激光扫描，测距350m</w:t>
            </w:r>
          </w:p>
        </w:tc>
        <w:tc>
          <w:tcPr>
            <w:tcW w:type="dxa" w:w="1701"/>
          </w:tcPr>
          <w:p>
            <w:pPr>
              <w:spacing w:before="40" w:after="40"/>
            </w:pPr>
            <w:r>
              <w:rPr>
                <w:sz w:val="20"/>
              </w:rPr>
            </w:r>
            <w:r>
              <w:rPr>
                <w:sz w:val="20"/>
              </w:rPr>
              <w:t>古建筑、遗址</w:t>
            </w:r>
          </w:p>
        </w:tc>
        <w:tc>
          <w:tcPr>
            <w:tcW w:type="dxa" w:w="1701"/>
          </w:tcPr>
          <w:p>
            <w:pPr>
              <w:spacing w:before="40" w:after="40"/>
            </w:pPr>
            <w:r>
              <w:rPr>
                <w:sz w:val="20"/>
              </w:rPr>
            </w:r>
            <w:r>
              <w:rPr>
                <w:sz w:val="20"/>
              </w:rPr>
              <w:t>商业采购</w:t>
            </w:r>
          </w:p>
        </w:tc>
      </w:tr>
      <w:tr>
        <w:tc>
          <w:tcPr>
            <w:tcW w:type="dxa" w:w="1701"/>
            <w:shd w:val="clear" w:color="auto" w:fill="F5F5F5"/>
          </w:tcPr>
          <w:p>
            <w:pPr>
              <w:spacing w:before="40" w:after="40"/>
            </w:pPr>
            <w:r>
              <w:rPr>
                <w:sz w:val="20"/>
              </w:rPr>
            </w:r>
            <w:r>
              <w:rPr>
                <w:sz w:val="20"/>
              </w:rPr>
              <w:t>摄影测量</w:t>
            </w:r>
          </w:p>
        </w:tc>
        <w:tc>
          <w:tcPr>
            <w:tcW w:type="dxa" w:w="1701"/>
            <w:shd w:val="clear" w:color="auto" w:fill="F5F5F5"/>
          </w:tcPr>
          <w:p>
            <w:pPr>
              <w:spacing w:before="40" w:after="40"/>
            </w:pPr>
            <w:r>
              <w:rPr>
                <w:sz w:val="20"/>
              </w:rPr>
            </w:r>
            <w:r>
              <w:rPr>
                <w:sz w:val="20"/>
              </w:rPr>
              <w:t>Agisoft Metashape</w:t>
            </w:r>
          </w:p>
        </w:tc>
        <w:tc>
          <w:tcPr>
            <w:tcW w:type="dxa" w:w="1701"/>
            <w:shd w:val="clear" w:color="auto" w:fill="F5F5F5"/>
          </w:tcPr>
          <w:p>
            <w:pPr>
              <w:spacing w:before="40" w:after="40"/>
            </w:pPr>
            <w:r>
              <w:rPr>
                <w:sz w:val="20"/>
              </w:rPr>
            </w:r>
            <w:r>
              <w:rPr>
                <w:sz w:val="20"/>
              </w:rPr>
              <w:t>自动SfM三维重建</w:t>
            </w:r>
          </w:p>
        </w:tc>
        <w:tc>
          <w:tcPr>
            <w:tcW w:type="dxa" w:w="1701"/>
            <w:shd w:val="clear" w:color="auto" w:fill="F5F5F5"/>
          </w:tcPr>
          <w:p>
            <w:pPr>
              <w:spacing w:before="40" w:after="40"/>
            </w:pPr>
            <w:r>
              <w:rPr>
                <w:sz w:val="20"/>
              </w:rPr>
            </w:r>
            <w:r>
              <w:rPr>
                <w:sz w:val="20"/>
              </w:rPr>
              <w:t>各类文物</w:t>
            </w:r>
          </w:p>
        </w:tc>
        <w:tc>
          <w:tcPr>
            <w:tcW w:type="dxa" w:w="1701"/>
            <w:shd w:val="clear" w:color="auto" w:fill="F5F5F5"/>
          </w:tcPr>
          <w:p>
            <w:pPr>
              <w:spacing w:before="40" w:after="40"/>
            </w:pPr>
            <w:r>
              <w:rPr>
                <w:sz w:val="20"/>
              </w:rPr>
            </w:r>
            <w:r>
              <w:rPr>
                <w:sz w:val="20"/>
              </w:rPr>
              <w:t>商业软件</w:t>
            </w:r>
          </w:p>
        </w:tc>
      </w:tr>
      <w:tr>
        <w:tc>
          <w:tcPr>
            <w:tcW w:type="dxa" w:w="1701"/>
          </w:tcPr>
          <w:p>
            <w:pPr>
              <w:spacing w:before="40" w:after="40"/>
            </w:pPr>
            <w:r>
              <w:rPr>
                <w:sz w:val="20"/>
              </w:rPr>
            </w:r>
            <w:r>
              <w:rPr>
                <w:sz w:val="20"/>
              </w:rPr>
              <w:t>摄影测量</w:t>
            </w:r>
          </w:p>
        </w:tc>
        <w:tc>
          <w:tcPr>
            <w:tcW w:type="dxa" w:w="1701"/>
          </w:tcPr>
          <w:p>
            <w:pPr>
              <w:spacing w:before="40" w:after="40"/>
            </w:pPr>
            <w:r>
              <w:rPr>
                <w:sz w:val="20"/>
              </w:rPr>
            </w:r>
            <w:r>
              <w:rPr>
                <w:sz w:val="20"/>
              </w:rPr>
              <w:t>RealityCapture</w:t>
            </w:r>
          </w:p>
        </w:tc>
        <w:tc>
          <w:tcPr>
            <w:tcW w:type="dxa" w:w="1701"/>
          </w:tcPr>
          <w:p>
            <w:pPr>
              <w:spacing w:before="40" w:after="40"/>
            </w:pPr>
            <w:r>
              <w:rPr>
                <w:sz w:val="20"/>
              </w:rPr>
            </w:r>
            <w:r>
              <w:rPr>
                <w:sz w:val="20"/>
              </w:rPr>
              <w:t>高速SfM重建</w:t>
            </w:r>
          </w:p>
        </w:tc>
        <w:tc>
          <w:tcPr>
            <w:tcW w:type="dxa" w:w="1701"/>
          </w:tcPr>
          <w:p>
            <w:pPr>
              <w:spacing w:before="40" w:after="40"/>
            </w:pPr>
            <w:r>
              <w:rPr>
                <w:sz w:val="20"/>
              </w:rPr>
            </w:r>
            <w:r>
              <w:rPr>
                <w:sz w:val="20"/>
              </w:rPr>
              <w:t>大规模建模</w:t>
            </w:r>
          </w:p>
        </w:tc>
        <w:tc>
          <w:tcPr>
            <w:tcW w:type="dxa" w:w="1701"/>
          </w:tcPr>
          <w:p>
            <w:pPr>
              <w:spacing w:before="40" w:after="40"/>
            </w:pPr>
            <w:r>
              <w:rPr>
                <w:sz w:val="20"/>
              </w:rPr>
            </w:r>
            <w:r>
              <w:rPr>
                <w:sz w:val="20"/>
              </w:rPr>
              <w:t>商业软件</w:t>
            </w:r>
          </w:p>
        </w:tc>
      </w:tr>
      <w:tr>
        <w:tc>
          <w:tcPr>
            <w:tcW w:type="dxa" w:w="1701"/>
            <w:shd w:val="clear" w:color="auto" w:fill="F5F5F5"/>
          </w:tcPr>
          <w:p>
            <w:pPr>
              <w:spacing w:before="40" w:after="40"/>
            </w:pPr>
            <w:r>
              <w:rPr>
                <w:sz w:val="20"/>
              </w:rPr>
            </w:r>
            <w:r>
              <w:rPr>
                <w:sz w:val="20"/>
              </w:rPr>
              <w:t>建模处理</w:t>
            </w:r>
          </w:p>
        </w:tc>
        <w:tc>
          <w:tcPr>
            <w:tcW w:type="dxa" w:w="1701"/>
            <w:shd w:val="clear" w:color="auto" w:fill="F5F5F5"/>
          </w:tcPr>
          <w:p>
            <w:pPr>
              <w:spacing w:before="40" w:after="40"/>
            </w:pPr>
            <w:r>
              <w:rPr>
                <w:sz w:val="20"/>
              </w:rPr>
            </w:r>
            <w:r>
              <w:rPr>
                <w:sz w:val="20"/>
              </w:rPr>
              <w:t>Geomagic Wrap</w:t>
            </w:r>
          </w:p>
        </w:tc>
        <w:tc>
          <w:tcPr>
            <w:tcW w:type="dxa" w:w="1701"/>
            <w:shd w:val="clear" w:color="auto" w:fill="F5F5F5"/>
          </w:tcPr>
          <w:p>
            <w:pPr>
              <w:spacing w:before="40" w:after="40"/>
            </w:pPr>
            <w:r>
              <w:rPr>
                <w:sz w:val="20"/>
              </w:rPr>
            </w:r>
            <w:r>
              <w:rPr>
                <w:sz w:val="20"/>
              </w:rPr>
              <w:t>点云处理与网格重建</w:t>
            </w:r>
          </w:p>
        </w:tc>
        <w:tc>
          <w:tcPr>
            <w:tcW w:type="dxa" w:w="1701"/>
            <w:shd w:val="clear" w:color="auto" w:fill="F5F5F5"/>
          </w:tcPr>
          <w:p>
            <w:pPr>
              <w:spacing w:before="40" w:after="40"/>
            </w:pPr>
            <w:r>
              <w:rPr>
                <w:sz w:val="20"/>
              </w:rPr>
            </w:r>
            <w:r>
              <w:rPr>
                <w:sz w:val="20"/>
              </w:rPr>
              <w:t>文物修复建模</w:t>
            </w:r>
          </w:p>
        </w:tc>
        <w:tc>
          <w:tcPr>
            <w:tcW w:type="dxa" w:w="1701"/>
            <w:shd w:val="clear" w:color="auto" w:fill="F5F5F5"/>
          </w:tcPr>
          <w:p>
            <w:pPr>
              <w:spacing w:before="40" w:after="40"/>
            </w:pPr>
            <w:r>
              <w:rPr>
                <w:sz w:val="20"/>
              </w:rPr>
            </w:r>
            <w:r>
              <w:rPr>
                <w:sz w:val="20"/>
              </w:rPr>
              <w:t>商业软件</w:t>
            </w:r>
          </w:p>
        </w:tc>
      </w:tr>
      <w:tr>
        <w:tc>
          <w:tcPr>
            <w:tcW w:type="dxa" w:w="1701"/>
          </w:tcPr>
          <w:p>
            <w:pPr>
              <w:spacing w:before="40" w:after="40"/>
            </w:pPr>
            <w:r>
              <w:rPr>
                <w:sz w:val="20"/>
              </w:rPr>
            </w:r>
            <w:r>
              <w:rPr>
                <w:sz w:val="20"/>
              </w:rPr>
              <w:t>建模处理</w:t>
            </w:r>
          </w:p>
        </w:tc>
        <w:tc>
          <w:tcPr>
            <w:tcW w:type="dxa" w:w="1701"/>
          </w:tcPr>
          <w:p>
            <w:pPr>
              <w:spacing w:before="40" w:after="40"/>
            </w:pPr>
            <w:r>
              <w:rPr>
                <w:sz w:val="20"/>
              </w:rPr>
            </w:r>
            <w:r>
              <w:rPr>
                <w:sz w:val="20"/>
              </w:rPr>
              <w:t>Blender</w:t>
            </w:r>
          </w:p>
        </w:tc>
        <w:tc>
          <w:tcPr>
            <w:tcW w:type="dxa" w:w="1701"/>
          </w:tcPr>
          <w:p>
            <w:pPr>
              <w:spacing w:before="40" w:after="40"/>
            </w:pPr>
            <w:r>
              <w:rPr>
                <w:sz w:val="20"/>
              </w:rPr>
            </w:r>
            <w:r>
              <w:rPr>
                <w:sz w:val="20"/>
              </w:rPr>
              <w:t>开源三维建模与渲染</w:t>
            </w:r>
          </w:p>
        </w:tc>
        <w:tc>
          <w:tcPr>
            <w:tcW w:type="dxa" w:w="1701"/>
          </w:tcPr>
          <w:p>
            <w:pPr>
              <w:spacing w:before="40" w:after="40"/>
            </w:pPr>
            <w:r>
              <w:rPr>
                <w:sz w:val="20"/>
              </w:rPr>
            </w:r>
            <w:r>
              <w:rPr>
                <w:sz w:val="20"/>
              </w:rPr>
              <w:t>通用建模</w:t>
            </w:r>
          </w:p>
        </w:tc>
        <w:tc>
          <w:tcPr>
            <w:tcW w:type="dxa" w:w="1701"/>
          </w:tcPr>
          <w:p>
            <w:pPr>
              <w:spacing w:before="40" w:after="40"/>
            </w:pPr>
            <w:r>
              <w:rPr>
                <w:sz w:val="20"/>
              </w:rPr>
            </w:r>
            <w:r>
              <w:rPr>
                <w:sz w:val="20"/>
              </w:rPr>
              <w:t>免费开源</w:t>
            </w:r>
          </w:p>
        </w:tc>
      </w:tr>
      <w:tr>
        <w:tc>
          <w:tcPr>
            <w:tcW w:type="dxa" w:w="1701"/>
            <w:shd w:val="clear" w:color="auto" w:fill="F5F5F5"/>
          </w:tcPr>
          <w:p>
            <w:pPr>
              <w:spacing w:before="40" w:after="40"/>
            </w:pPr>
            <w:r>
              <w:rPr>
                <w:sz w:val="20"/>
              </w:rPr>
            </w:r>
            <w:r>
              <w:rPr>
                <w:sz w:val="20"/>
              </w:rPr>
              <w:t>VR开发</w:t>
            </w:r>
          </w:p>
        </w:tc>
        <w:tc>
          <w:tcPr>
            <w:tcW w:type="dxa" w:w="1701"/>
            <w:shd w:val="clear" w:color="auto" w:fill="F5F5F5"/>
          </w:tcPr>
          <w:p>
            <w:pPr>
              <w:spacing w:before="40" w:after="40"/>
            </w:pPr>
            <w:r>
              <w:rPr>
                <w:sz w:val="20"/>
              </w:rPr>
            </w:r>
            <w:r>
              <w:rPr>
                <w:sz w:val="20"/>
              </w:rPr>
              <w:t>Unity 3D</w:t>
            </w:r>
          </w:p>
        </w:tc>
        <w:tc>
          <w:tcPr>
            <w:tcW w:type="dxa" w:w="1701"/>
            <w:shd w:val="clear" w:color="auto" w:fill="F5F5F5"/>
          </w:tcPr>
          <w:p>
            <w:pPr>
              <w:spacing w:before="40" w:after="40"/>
            </w:pPr>
            <w:r>
              <w:rPr>
                <w:sz w:val="20"/>
              </w:rPr>
            </w:r>
            <w:r>
              <w:rPr>
                <w:sz w:val="20"/>
              </w:rPr>
              <w:t>跨平台VR/AR开发</w:t>
            </w:r>
          </w:p>
        </w:tc>
        <w:tc>
          <w:tcPr>
            <w:tcW w:type="dxa" w:w="1701"/>
            <w:shd w:val="clear" w:color="auto" w:fill="F5F5F5"/>
          </w:tcPr>
          <w:p>
            <w:pPr>
              <w:spacing w:before="40" w:after="40"/>
            </w:pPr>
            <w:r>
              <w:rPr>
                <w:sz w:val="20"/>
              </w:rPr>
            </w:r>
            <w:r>
              <w:rPr>
                <w:sz w:val="20"/>
              </w:rPr>
              <w:t>虚拟博物馆</w:t>
            </w:r>
          </w:p>
        </w:tc>
        <w:tc>
          <w:tcPr>
            <w:tcW w:type="dxa" w:w="1701"/>
            <w:shd w:val="clear" w:color="auto" w:fill="F5F5F5"/>
          </w:tcPr>
          <w:p>
            <w:pPr>
              <w:spacing w:before="40" w:after="40"/>
            </w:pPr>
            <w:r>
              <w:rPr>
                <w:sz w:val="20"/>
              </w:rPr>
            </w:r>
            <w:r>
              <w:rPr>
                <w:sz w:val="20"/>
              </w:rPr>
              <w:t>免费版可用</w:t>
            </w:r>
          </w:p>
        </w:tc>
      </w:tr>
      <w:tr>
        <w:tc>
          <w:tcPr>
            <w:tcW w:type="dxa" w:w="1701"/>
          </w:tcPr>
          <w:p>
            <w:pPr>
              <w:spacing w:before="40" w:after="40"/>
            </w:pPr>
            <w:r>
              <w:rPr>
                <w:sz w:val="20"/>
              </w:rPr>
            </w:r>
            <w:r>
              <w:rPr>
                <w:sz w:val="20"/>
              </w:rPr>
              <w:t>VR开发</w:t>
            </w:r>
          </w:p>
        </w:tc>
        <w:tc>
          <w:tcPr>
            <w:tcW w:type="dxa" w:w="1701"/>
          </w:tcPr>
          <w:p>
            <w:pPr>
              <w:spacing w:before="40" w:after="40"/>
            </w:pPr>
            <w:r>
              <w:rPr>
                <w:sz w:val="20"/>
              </w:rPr>
            </w:r>
            <w:r>
              <w:rPr>
                <w:sz w:val="20"/>
              </w:rPr>
              <w:t>Unreal Engine</w:t>
            </w:r>
          </w:p>
        </w:tc>
        <w:tc>
          <w:tcPr>
            <w:tcW w:type="dxa" w:w="1701"/>
          </w:tcPr>
          <w:p>
            <w:pPr>
              <w:spacing w:before="40" w:after="40"/>
            </w:pPr>
            <w:r>
              <w:rPr>
                <w:sz w:val="20"/>
              </w:rPr>
            </w:r>
            <w:r>
              <w:rPr>
                <w:sz w:val="20"/>
              </w:rPr>
              <w:t>高品质VR渲染</w:t>
            </w:r>
          </w:p>
        </w:tc>
        <w:tc>
          <w:tcPr>
            <w:tcW w:type="dxa" w:w="1701"/>
          </w:tcPr>
          <w:p>
            <w:pPr>
              <w:spacing w:before="40" w:after="40"/>
            </w:pPr>
            <w:r>
              <w:rPr>
                <w:sz w:val="20"/>
              </w:rPr>
            </w:r>
            <w:r>
              <w:rPr>
                <w:sz w:val="20"/>
              </w:rPr>
              <w:t>沉浸式体验</w:t>
            </w:r>
          </w:p>
        </w:tc>
        <w:tc>
          <w:tcPr>
            <w:tcW w:type="dxa" w:w="1701"/>
          </w:tcPr>
          <w:p>
            <w:pPr>
              <w:spacing w:before="40" w:after="40"/>
            </w:pPr>
            <w:r>
              <w:rPr>
                <w:sz w:val="20"/>
              </w:rPr>
            </w:r>
            <w:r>
              <w:rPr>
                <w:sz w:val="20"/>
              </w:rPr>
              <w:t>免费版可用</w:t>
            </w:r>
          </w:p>
        </w:tc>
      </w:tr>
      <w:tr>
        <w:tc>
          <w:tcPr>
            <w:tcW w:type="dxa" w:w="1701"/>
            <w:shd w:val="clear" w:color="auto" w:fill="F5F5F5"/>
          </w:tcPr>
          <w:p>
            <w:pPr>
              <w:spacing w:before="40" w:after="40"/>
            </w:pPr>
            <w:r>
              <w:rPr>
                <w:sz w:val="20"/>
              </w:rPr>
            </w:r>
            <w:r>
              <w:rPr>
                <w:sz w:val="20"/>
              </w:rPr>
              <w:t>AR开发</w:t>
            </w:r>
          </w:p>
        </w:tc>
        <w:tc>
          <w:tcPr>
            <w:tcW w:type="dxa" w:w="1701"/>
            <w:shd w:val="clear" w:color="auto" w:fill="F5F5F5"/>
          </w:tcPr>
          <w:p>
            <w:pPr>
              <w:spacing w:before="40" w:after="40"/>
            </w:pPr>
            <w:r>
              <w:rPr>
                <w:sz w:val="20"/>
              </w:rPr>
            </w:r>
            <w:r>
              <w:rPr>
                <w:sz w:val="20"/>
              </w:rPr>
              <w:t>AR Foundation</w:t>
            </w:r>
          </w:p>
        </w:tc>
        <w:tc>
          <w:tcPr>
            <w:tcW w:type="dxa" w:w="1701"/>
            <w:shd w:val="clear" w:color="auto" w:fill="F5F5F5"/>
          </w:tcPr>
          <w:p>
            <w:pPr>
              <w:spacing w:before="40" w:after="40"/>
            </w:pPr>
            <w:r>
              <w:rPr>
                <w:sz w:val="20"/>
              </w:rPr>
            </w:r>
            <w:r>
              <w:rPr>
                <w:sz w:val="20"/>
              </w:rPr>
              <w:t>移动端AR开发</w:t>
            </w:r>
          </w:p>
        </w:tc>
        <w:tc>
          <w:tcPr>
            <w:tcW w:type="dxa" w:w="1701"/>
            <w:shd w:val="clear" w:color="auto" w:fill="F5F5F5"/>
          </w:tcPr>
          <w:p>
            <w:pPr>
              <w:spacing w:before="40" w:after="40"/>
            </w:pPr>
            <w:r>
              <w:rPr>
                <w:sz w:val="20"/>
              </w:rPr>
            </w:r>
            <w:r>
              <w:rPr>
                <w:sz w:val="20"/>
              </w:rPr>
              <w:t>AR导览应用</w:t>
            </w:r>
          </w:p>
        </w:tc>
        <w:tc>
          <w:tcPr>
            <w:tcW w:type="dxa" w:w="1701"/>
            <w:shd w:val="clear" w:color="auto" w:fill="F5F5F5"/>
          </w:tcPr>
          <w:p>
            <w:pPr>
              <w:spacing w:before="40" w:after="40"/>
            </w:pPr>
            <w:r>
              <w:rPr>
                <w:sz w:val="20"/>
              </w:rPr>
            </w:r>
            <w:r>
              <w:rPr>
                <w:sz w:val="20"/>
              </w:rPr>
              <w:t>内置于Unity</w:t>
            </w:r>
          </w:p>
        </w:tc>
      </w:tr>
      <w:tr>
        <w:tc>
          <w:tcPr>
            <w:tcW w:type="dxa" w:w="1701"/>
          </w:tcPr>
          <w:p>
            <w:pPr>
              <w:spacing w:before="40" w:after="40"/>
            </w:pPr>
            <w:r>
              <w:rPr>
                <w:sz w:val="20"/>
              </w:rPr>
            </w:r>
            <w:r>
              <w:rPr>
                <w:sz w:val="20"/>
              </w:rPr>
              <w:t>知识图谱</w:t>
            </w:r>
          </w:p>
        </w:tc>
        <w:tc>
          <w:tcPr>
            <w:tcW w:type="dxa" w:w="1701"/>
          </w:tcPr>
          <w:p>
            <w:pPr>
              <w:spacing w:before="40" w:after="40"/>
            </w:pPr>
            <w:r>
              <w:rPr>
                <w:sz w:val="20"/>
              </w:rPr>
            </w:r>
            <w:r>
              <w:rPr>
                <w:sz w:val="20"/>
              </w:rPr>
              <w:t>Neo4j</w:t>
            </w:r>
          </w:p>
        </w:tc>
        <w:tc>
          <w:tcPr>
            <w:tcW w:type="dxa" w:w="1701"/>
          </w:tcPr>
          <w:p>
            <w:pPr>
              <w:spacing w:before="40" w:after="40"/>
            </w:pPr>
            <w:r>
              <w:rPr>
                <w:sz w:val="20"/>
              </w:rPr>
            </w:r>
            <w:r>
              <w:rPr>
                <w:sz w:val="20"/>
              </w:rPr>
              <w:t>图数据库</w:t>
            </w:r>
          </w:p>
        </w:tc>
        <w:tc>
          <w:tcPr>
            <w:tcW w:type="dxa" w:w="1701"/>
          </w:tcPr>
          <w:p>
            <w:pPr>
              <w:spacing w:before="40" w:after="40"/>
            </w:pPr>
            <w:r>
              <w:rPr>
                <w:sz w:val="20"/>
              </w:rPr>
            </w:r>
            <w:r>
              <w:rPr>
                <w:sz w:val="20"/>
              </w:rPr>
              <w:t>遗产知识管理</w:t>
            </w:r>
          </w:p>
        </w:tc>
        <w:tc>
          <w:tcPr>
            <w:tcW w:type="dxa" w:w="1701"/>
          </w:tcPr>
          <w:p>
            <w:pPr>
              <w:spacing w:before="40" w:after="40"/>
            </w:pPr>
            <w:r>
              <w:rPr>
                <w:sz w:val="20"/>
              </w:rPr>
            </w:r>
            <w:r>
              <w:rPr>
                <w:sz w:val="20"/>
              </w:rPr>
              <w:t>开源免费</w:t>
            </w:r>
          </w:p>
        </w:tc>
      </w:tr>
      <w:tr>
        <w:tc>
          <w:tcPr>
            <w:tcW w:type="dxa" w:w="1701"/>
            <w:shd w:val="clear" w:color="auto" w:fill="F5F5F5"/>
          </w:tcPr>
          <w:p>
            <w:pPr>
              <w:spacing w:before="40" w:after="40"/>
            </w:pPr>
            <w:r>
              <w:rPr>
                <w:sz w:val="20"/>
              </w:rPr>
            </w:r>
            <w:r>
              <w:rPr>
                <w:sz w:val="20"/>
              </w:rPr>
              <w:t>知识图谱</w:t>
            </w:r>
          </w:p>
        </w:tc>
        <w:tc>
          <w:tcPr>
            <w:tcW w:type="dxa" w:w="1701"/>
            <w:shd w:val="clear" w:color="auto" w:fill="F5F5F5"/>
          </w:tcPr>
          <w:p>
            <w:pPr>
              <w:spacing w:before="40" w:after="40"/>
            </w:pPr>
            <w:r>
              <w:rPr>
                <w:sz w:val="20"/>
              </w:rPr>
            </w:r>
            <w:r>
              <w:rPr>
                <w:sz w:val="20"/>
              </w:rPr>
              <w:t>Protégé</w:t>
            </w:r>
          </w:p>
        </w:tc>
        <w:tc>
          <w:tcPr>
            <w:tcW w:type="dxa" w:w="1701"/>
            <w:shd w:val="clear" w:color="auto" w:fill="F5F5F5"/>
          </w:tcPr>
          <w:p>
            <w:pPr>
              <w:spacing w:before="40" w:after="40"/>
            </w:pPr>
            <w:r>
              <w:rPr>
                <w:sz w:val="20"/>
              </w:rPr>
            </w:r>
            <w:r>
              <w:rPr>
                <w:sz w:val="20"/>
              </w:rPr>
              <w:t>本体编辑工具</w:t>
            </w:r>
          </w:p>
        </w:tc>
        <w:tc>
          <w:tcPr>
            <w:tcW w:type="dxa" w:w="1701"/>
            <w:shd w:val="clear" w:color="auto" w:fill="F5F5F5"/>
          </w:tcPr>
          <w:p>
            <w:pPr>
              <w:spacing w:before="40" w:after="40"/>
            </w:pPr>
            <w:r>
              <w:rPr>
                <w:sz w:val="20"/>
              </w:rPr>
            </w:r>
            <w:r>
              <w:rPr>
                <w:sz w:val="20"/>
              </w:rPr>
              <w:t>CIDOC-CRM建模</w:t>
            </w:r>
          </w:p>
        </w:tc>
        <w:tc>
          <w:tcPr>
            <w:tcW w:type="dxa" w:w="1701"/>
            <w:shd w:val="clear" w:color="auto" w:fill="F5F5F5"/>
          </w:tcPr>
          <w:p>
            <w:pPr>
              <w:spacing w:before="40" w:after="40"/>
            </w:pPr>
            <w:r>
              <w:rPr>
                <w:sz w:val="20"/>
              </w:rPr>
            </w:r>
            <w:r>
              <w:rPr>
                <w:sz w:val="20"/>
              </w:rPr>
              <w:t>开源免费</w:t>
            </w:r>
          </w:p>
        </w:tc>
      </w:tr>
      <w:tr>
        <w:tc>
          <w:tcPr>
            <w:tcW w:type="dxa" w:w="1701"/>
          </w:tcPr>
          <w:p>
            <w:pPr>
              <w:spacing w:before="40" w:after="40"/>
            </w:pPr>
            <w:r>
              <w:rPr>
                <w:sz w:val="20"/>
              </w:rPr>
            </w:r>
            <w:r>
              <w:rPr>
                <w:sz w:val="20"/>
              </w:rPr>
              <w:t>IoT平台</w:t>
            </w:r>
          </w:p>
        </w:tc>
        <w:tc>
          <w:tcPr>
            <w:tcW w:type="dxa" w:w="1701"/>
          </w:tcPr>
          <w:p>
            <w:pPr>
              <w:spacing w:before="40" w:after="40"/>
            </w:pPr>
            <w:r>
              <w:rPr>
                <w:sz w:val="20"/>
              </w:rPr>
            </w:r>
            <w:r>
              <w:rPr>
                <w:sz w:val="20"/>
              </w:rPr>
              <w:t>ThingsBoard</w:t>
            </w:r>
          </w:p>
        </w:tc>
        <w:tc>
          <w:tcPr>
            <w:tcW w:type="dxa" w:w="1701"/>
          </w:tcPr>
          <w:p>
            <w:pPr>
              <w:spacing w:before="40" w:after="40"/>
            </w:pPr>
            <w:r>
              <w:rPr>
                <w:sz w:val="20"/>
              </w:rPr>
            </w:r>
            <w:r>
              <w:rPr>
                <w:sz w:val="20"/>
              </w:rPr>
              <w:t>IoT数据管理平台</w:t>
            </w:r>
          </w:p>
        </w:tc>
        <w:tc>
          <w:tcPr>
            <w:tcW w:type="dxa" w:w="1701"/>
          </w:tcPr>
          <w:p>
            <w:pPr>
              <w:spacing w:before="40" w:after="40"/>
            </w:pPr>
            <w:r>
              <w:rPr>
                <w:sz w:val="20"/>
              </w:rPr>
            </w:r>
            <w:r>
              <w:rPr>
                <w:sz w:val="20"/>
              </w:rPr>
              <w:t>环境监测系统</w:t>
            </w:r>
          </w:p>
        </w:tc>
        <w:tc>
          <w:tcPr>
            <w:tcW w:type="dxa" w:w="1701"/>
          </w:tcPr>
          <w:p>
            <w:pPr>
              <w:spacing w:before="40" w:after="40"/>
            </w:pPr>
            <w:r>
              <w:rPr>
                <w:sz w:val="20"/>
              </w:rPr>
            </w:r>
            <w:r>
              <w:rPr>
                <w:sz w:val="20"/>
              </w:rPr>
              <w:t>开源免费</w:t>
            </w:r>
          </w:p>
        </w:tc>
      </w:tr>
      <w:tr>
        <w:tc>
          <w:tcPr>
            <w:tcW w:type="dxa" w:w="1701"/>
            <w:shd w:val="clear" w:color="auto" w:fill="F5F5F5"/>
          </w:tcPr>
          <w:p>
            <w:pPr>
              <w:spacing w:before="40" w:after="40"/>
            </w:pPr>
            <w:r>
              <w:rPr>
                <w:sz w:val="20"/>
              </w:rPr>
            </w:r>
            <w:r>
              <w:rPr>
                <w:sz w:val="20"/>
              </w:rPr>
              <w:t>区块链</w:t>
            </w:r>
          </w:p>
        </w:tc>
        <w:tc>
          <w:tcPr>
            <w:tcW w:type="dxa" w:w="1701"/>
            <w:shd w:val="clear" w:color="auto" w:fill="F5F5F5"/>
          </w:tcPr>
          <w:p>
            <w:pPr>
              <w:spacing w:before="40" w:after="40"/>
            </w:pPr>
            <w:r>
              <w:rPr>
                <w:sz w:val="20"/>
              </w:rPr>
            </w:r>
            <w:r>
              <w:rPr>
                <w:sz w:val="20"/>
              </w:rPr>
              <w:t>Hyperledger Fabric</w:t>
            </w:r>
          </w:p>
        </w:tc>
        <w:tc>
          <w:tcPr>
            <w:tcW w:type="dxa" w:w="1701"/>
            <w:shd w:val="clear" w:color="auto" w:fill="F5F5F5"/>
          </w:tcPr>
          <w:p>
            <w:pPr>
              <w:spacing w:before="40" w:after="40"/>
            </w:pPr>
            <w:r>
              <w:rPr>
                <w:sz w:val="20"/>
              </w:rPr>
            </w:r>
            <w:r>
              <w:rPr>
                <w:sz w:val="20"/>
              </w:rPr>
              <w:t>联盟链框架</w:t>
            </w:r>
          </w:p>
        </w:tc>
        <w:tc>
          <w:tcPr>
            <w:tcW w:type="dxa" w:w="1701"/>
            <w:shd w:val="clear" w:color="auto" w:fill="F5F5F5"/>
          </w:tcPr>
          <w:p>
            <w:pPr>
              <w:spacing w:before="40" w:after="40"/>
            </w:pPr>
            <w:r>
              <w:rPr>
                <w:sz w:val="20"/>
              </w:rPr>
            </w:r>
            <w:r>
              <w:rPr>
                <w:sz w:val="20"/>
              </w:rPr>
              <w:t>版权存证系统</w:t>
            </w:r>
          </w:p>
        </w:tc>
        <w:tc>
          <w:tcPr>
            <w:tcW w:type="dxa" w:w="1701"/>
            <w:shd w:val="clear" w:color="auto" w:fill="F5F5F5"/>
          </w:tcPr>
          <w:p>
            <w:pPr>
              <w:spacing w:before="40" w:after="40"/>
            </w:pPr>
            <w:r>
              <w:rPr>
                <w:sz w:val="20"/>
              </w:rPr>
            </w:r>
            <w:r>
              <w:rPr>
                <w:sz w:val="20"/>
              </w:rPr>
              <w:t>开源免费</w:t>
            </w:r>
          </w:p>
        </w:tc>
      </w:tr>
      <w:tr>
        <w:tc>
          <w:tcPr>
            <w:tcW w:type="dxa" w:w="1701"/>
          </w:tcPr>
          <w:p>
            <w:pPr>
              <w:spacing w:before="40" w:after="40"/>
            </w:pPr>
            <w:r>
              <w:rPr>
                <w:sz w:val="20"/>
              </w:rPr>
            </w:r>
            <w:r>
              <w:rPr>
                <w:sz w:val="20"/>
              </w:rPr>
              <w:t>元数据</w:t>
            </w:r>
          </w:p>
        </w:tc>
        <w:tc>
          <w:tcPr>
            <w:tcW w:type="dxa" w:w="1701"/>
          </w:tcPr>
          <w:p>
            <w:pPr>
              <w:spacing w:before="40" w:after="40"/>
            </w:pPr>
            <w:r>
              <w:rPr>
                <w:sz w:val="20"/>
              </w:rPr>
            </w:r>
            <w:r>
              <w:rPr>
                <w:sz w:val="20"/>
              </w:rPr>
              <w:t>Dublin Core Metadata Generator</w:t>
            </w:r>
          </w:p>
        </w:tc>
        <w:tc>
          <w:tcPr>
            <w:tcW w:type="dxa" w:w="1701"/>
          </w:tcPr>
          <w:p>
            <w:pPr>
              <w:spacing w:before="40" w:after="40"/>
            </w:pPr>
            <w:r>
              <w:rPr>
                <w:sz w:val="20"/>
              </w:rPr>
            </w:r>
            <w:r>
              <w:rPr>
                <w:sz w:val="20"/>
              </w:rPr>
              <w:t>元数据生成工具</w:t>
            </w:r>
          </w:p>
        </w:tc>
        <w:tc>
          <w:tcPr>
            <w:tcW w:type="dxa" w:w="1701"/>
          </w:tcPr>
          <w:p>
            <w:pPr>
              <w:spacing w:before="40" w:after="40"/>
            </w:pPr>
            <w:r>
              <w:rPr>
                <w:sz w:val="20"/>
              </w:rPr>
            </w:r>
            <w:r>
              <w:rPr>
                <w:sz w:val="20"/>
              </w:rPr>
              <w:t>数字资源编目</w:t>
            </w:r>
          </w:p>
        </w:tc>
        <w:tc>
          <w:tcPr>
            <w:tcW w:type="dxa" w:w="1701"/>
          </w:tcPr>
          <w:p>
            <w:pPr>
              <w:spacing w:before="40" w:after="40"/>
            </w:pPr>
            <w:r>
              <w:rPr>
                <w:sz w:val="20"/>
              </w:rPr>
            </w:r>
            <w:r>
              <w:rPr>
                <w:sz w:val="20"/>
              </w:rPr>
              <w:t>在线工具</w:t>
            </w:r>
          </w:p>
        </w:tc>
      </w:tr>
    </w:tbl>
    <w:p>
      <w:pPr>
        <w:spacing w:before="240" w:after="120"/>
      </w:pPr>
      <w:r>
        <w:rPr>
          <w:b/>
          <w:color w:val="264653"/>
          <w:sz w:val="32"/>
        </w:rPr>
        <w:t>附录C 案例库</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shd w:val="clear" w:color="auto" w:fill="D9E2EC"/>
          </w:tcPr>
          <w:p>
            <w:pPr>
              <w:spacing w:before="40" w:after="40"/>
            </w:pPr>
            <w:r>
              <w:rPr>
                <w:b/>
                <w:sz w:val="20"/>
              </w:rPr>
            </w:r>
            <w:r>
              <w:rPr>
                <w:b/>
                <w:sz w:val="20"/>
              </w:rPr>
              <w:t>序号</w:t>
            </w:r>
          </w:p>
        </w:tc>
        <w:tc>
          <w:tcPr>
            <w:tcW w:type="dxa" w:w="1417"/>
            <w:shd w:val="clear" w:color="auto" w:fill="D9E2EC"/>
          </w:tcPr>
          <w:p>
            <w:pPr>
              <w:spacing w:before="40" w:after="40"/>
            </w:pPr>
            <w:r>
              <w:rPr>
                <w:b/>
                <w:sz w:val="20"/>
              </w:rPr>
            </w:r>
            <w:r>
              <w:rPr>
                <w:b/>
                <w:sz w:val="20"/>
              </w:rPr>
              <w:t>案例名称</w:t>
            </w:r>
          </w:p>
        </w:tc>
        <w:tc>
          <w:tcPr>
            <w:tcW w:type="dxa" w:w="1417"/>
            <w:shd w:val="clear" w:color="auto" w:fill="D9E2EC"/>
          </w:tcPr>
          <w:p>
            <w:pPr>
              <w:spacing w:before="40" w:after="40"/>
            </w:pPr>
            <w:r>
              <w:rPr>
                <w:b/>
                <w:sz w:val="20"/>
              </w:rPr>
            </w:r>
            <w:r>
              <w:rPr>
                <w:b/>
                <w:sz w:val="20"/>
              </w:rPr>
              <w:t>国家</w:t>
            </w:r>
          </w:p>
        </w:tc>
        <w:tc>
          <w:tcPr>
            <w:tcW w:type="dxa" w:w="1417"/>
            <w:shd w:val="clear" w:color="auto" w:fill="D9E2EC"/>
          </w:tcPr>
          <w:p>
            <w:pPr>
              <w:spacing w:before="40" w:after="40"/>
            </w:pPr>
            <w:r>
              <w:rPr>
                <w:b/>
                <w:sz w:val="20"/>
              </w:rPr>
            </w:r>
            <w:r>
              <w:rPr>
                <w:b/>
                <w:sz w:val="20"/>
              </w:rPr>
              <w:t>遗产类型</w:t>
            </w:r>
          </w:p>
        </w:tc>
        <w:tc>
          <w:tcPr>
            <w:tcW w:type="dxa" w:w="1417"/>
            <w:shd w:val="clear" w:color="auto" w:fill="D9E2EC"/>
          </w:tcPr>
          <w:p>
            <w:pPr>
              <w:spacing w:before="40" w:after="40"/>
            </w:pPr>
            <w:r>
              <w:rPr>
                <w:b/>
                <w:sz w:val="20"/>
              </w:rPr>
            </w:r>
            <w:r>
              <w:rPr>
                <w:b/>
                <w:sz w:val="20"/>
              </w:rPr>
              <w:t>技术方案</w:t>
            </w:r>
          </w:p>
        </w:tc>
        <w:tc>
          <w:tcPr>
            <w:tcW w:type="dxa" w:w="1417"/>
            <w:shd w:val="clear" w:color="auto" w:fill="D9E2EC"/>
          </w:tcPr>
          <w:p>
            <w:pPr>
              <w:spacing w:before="40" w:after="40"/>
            </w:pPr>
            <w:r>
              <w:rPr>
                <w:b/>
                <w:sz w:val="20"/>
              </w:rPr>
            </w:r>
            <w:r>
              <w:rPr>
                <w:b/>
                <w:sz w:val="20"/>
              </w:rPr>
              <w:t>成果与启示</w:t>
            </w:r>
          </w:p>
        </w:tc>
      </w:tr>
      <w:tr>
        <w:tc>
          <w:tcPr>
            <w:tcW w:type="dxa" w:w="1417"/>
          </w:tcPr>
          <w:p>
            <w:pPr>
              <w:spacing w:before="40" w:after="40"/>
            </w:pPr>
            <w:r>
              <w:rPr>
                <w:sz w:val="20"/>
              </w:rPr>
            </w:r>
            <w:r>
              <w:rPr>
                <w:sz w:val="20"/>
              </w:rPr>
              <w:t>1</w:t>
            </w:r>
          </w:p>
        </w:tc>
        <w:tc>
          <w:tcPr>
            <w:tcW w:type="dxa" w:w="1417"/>
          </w:tcPr>
          <w:p>
            <w:pPr>
              <w:spacing w:before="40" w:after="40"/>
            </w:pPr>
            <w:r>
              <w:rPr>
                <w:sz w:val="20"/>
              </w:rPr>
            </w:r>
            <w:r>
              <w:rPr>
                <w:sz w:val="20"/>
              </w:rPr>
              <w:t>数字敦煌</w:t>
            </w:r>
          </w:p>
        </w:tc>
        <w:tc>
          <w:tcPr>
            <w:tcW w:type="dxa" w:w="1417"/>
          </w:tcPr>
          <w:p>
            <w:pPr>
              <w:spacing w:before="40" w:after="40"/>
            </w:pPr>
            <w:r>
              <w:rPr>
                <w:sz w:val="20"/>
              </w:rPr>
            </w:r>
            <w:r>
              <w:rPr>
                <w:sz w:val="20"/>
              </w:rPr>
              <w:t>中国</w:t>
            </w:r>
          </w:p>
        </w:tc>
        <w:tc>
          <w:tcPr>
            <w:tcW w:type="dxa" w:w="1417"/>
          </w:tcPr>
          <w:p>
            <w:pPr>
              <w:spacing w:before="40" w:after="40"/>
            </w:pPr>
            <w:r>
              <w:rPr>
                <w:sz w:val="20"/>
              </w:rPr>
            </w:r>
            <w:r>
              <w:rPr>
                <w:sz w:val="20"/>
              </w:rPr>
              <w:t>石窟寺壁画</w:t>
            </w:r>
          </w:p>
        </w:tc>
        <w:tc>
          <w:tcPr>
            <w:tcW w:type="dxa" w:w="1417"/>
          </w:tcPr>
          <w:p>
            <w:pPr>
              <w:spacing w:before="40" w:after="40"/>
            </w:pPr>
            <w:r>
              <w:rPr>
                <w:sz w:val="20"/>
              </w:rPr>
            </w:r>
            <w:r>
              <w:rPr>
                <w:sz w:val="20"/>
              </w:rPr>
              <w:t>高精度摄影+AI修复</w:t>
            </w:r>
          </w:p>
        </w:tc>
        <w:tc>
          <w:tcPr>
            <w:tcW w:type="dxa" w:w="1417"/>
          </w:tcPr>
          <w:p>
            <w:pPr>
              <w:spacing w:before="40" w:after="40"/>
            </w:pPr>
            <w:r>
              <w:rPr>
                <w:sz w:val="20"/>
              </w:rPr>
            </w:r>
            <w:r>
              <w:rPr>
                <w:sz w:val="20"/>
              </w:rPr>
              <w:t>全球最大石窟数字资源库</w:t>
            </w:r>
          </w:p>
        </w:tc>
      </w:tr>
      <w:tr>
        <w:tc>
          <w:tcPr>
            <w:tcW w:type="dxa" w:w="1417"/>
            <w:shd w:val="clear" w:color="auto" w:fill="F5F5F5"/>
          </w:tcPr>
          <w:p>
            <w:pPr>
              <w:spacing w:before="40" w:after="40"/>
            </w:pPr>
            <w:r>
              <w:rPr>
                <w:sz w:val="20"/>
              </w:rPr>
            </w:r>
            <w:r>
              <w:rPr>
                <w:sz w:val="20"/>
              </w:rPr>
              <w:t>2</w:t>
            </w:r>
          </w:p>
        </w:tc>
        <w:tc>
          <w:tcPr>
            <w:tcW w:type="dxa" w:w="1417"/>
            <w:shd w:val="clear" w:color="auto" w:fill="F5F5F5"/>
          </w:tcPr>
          <w:p>
            <w:pPr>
              <w:spacing w:before="40" w:after="40"/>
            </w:pPr>
            <w:r>
              <w:rPr>
                <w:sz w:val="20"/>
              </w:rPr>
            </w:r>
            <w:r>
              <w:rPr>
                <w:sz w:val="20"/>
              </w:rPr>
              <w:t>数字故宫</w:t>
            </w:r>
          </w:p>
        </w:tc>
        <w:tc>
          <w:tcPr>
            <w:tcW w:type="dxa" w:w="1417"/>
            <w:shd w:val="clear" w:color="auto" w:fill="F5F5F5"/>
          </w:tcPr>
          <w:p>
            <w:pPr>
              <w:spacing w:before="40" w:after="40"/>
            </w:pPr>
            <w:r>
              <w:rPr>
                <w:sz w:val="20"/>
              </w:rPr>
            </w:r>
            <w:r>
              <w:rPr>
                <w:sz w:val="20"/>
              </w:rPr>
              <w:t>中国</w:t>
            </w:r>
          </w:p>
        </w:tc>
        <w:tc>
          <w:tcPr>
            <w:tcW w:type="dxa" w:w="1417"/>
            <w:shd w:val="clear" w:color="auto" w:fill="F5F5F5"/>
          </w:tcPr>
          <w:p>
            <w:pPr>
              <w:spacing w:before="40" w:after="40"/>
            </w:pPr>
            <w:r>
              <w:rPr>
                <w:sz w:val="20"/>
              </w:rPr>
            </w:r>
            <w:r>
              <w:rPr>
                <w:sz w:val="20"/>
              </w:rPr>
              <w:t>古建筑+藏品</w:t>
            </w:r>
          </w:p>
        </w:tc>
        <w:tc>
          <w:tcPr>
            <w:tcW w:type="dxa" w:w="1417"/>
            <w:shd w:val="clear" w:color="auto" w:fill="F5F5F5"/>
          </w:tcPr>
          <w:p>
            <w:pPr>
              <w:spacing w:before="40" w:after="40"/>
            </w:pPr>
            <w:r>
              <w:rPr>
                <w:sz w:val="20"/>
              </w:rPr>
            </w:r>
            <w:r>
              <w:rPr>
                <w:sz w:val="20"/>
              </w:rPr>
              <w:t>三维扫描+VR</w:t>
            </w:r>
          </w:p>
        </w:tc>
        <w:tc>
          <w:tcPr>
            <w:tcW w:type="dxa" w:w="1417"/>
            <w:shd w:val="clear" w:color="auto" w:fill="F5F5F5"/>
          </w:tcPr>
          <w:p>
            <w:pPr>
              <w:spacing w:before="40" w:after="40"/>
            </w:pPr>
            <w:r>
              <w:rPr>
                <w:sz w:val="20"/>
              </w:rPr>
            </w:r>
            <w:r>
              <w:rPr>
                <w:sz w:val="20"/>
              </w:rPr>
              <w:t>建筑+藏品一体化数字化</w:t>
            </w:r>
          </w:p>
        </w:tc>
      </w:tr>
      <w:tr>
        <w:tc>
          <w:tcPr>
            <w:tcW w:type="dxa" w:w="1417"/>
          </w:tcPr>
          <w:p>
            <w:pPr>
              <w:spacing w:before="40" w:after="40"/>
            </w:pPr>
            <w:r>
              <w:rPr>
                <w:sz w:val="20"/>
              </w:rPr>
            </w:r>
            <w:r>
              <w:rPr>
                <w:sz w:val="20"/>
              </w:rPr>
              <w:t>3</w:t>
            </w:r>
          </w:p>
        </w:tc>
        <w:tc>
          <w:tcPr>
            <w:tcW w:type="dxa" w:w="1417"/>
          </w:tcPr>
          <w:p>
            <w:pPr>
              <w:spacing w:before="40" w:after="40"/>
            </w:pPr>
            <w:r>
              <w:rPr>
                <w:sz w:val="20"/>
              </w:rPr>
            </w:r>
            <w:r>
              <w:rPr>
                <w:sz w:val="20"/>
              </w:rPr>
              <w:t>秦兵马俑三维数字化</w:t>
            </w:r>
          </w:p>
        </w:tc>
        <w:tc>
          <w:tcPr>
            <w:tcW w:type="dxa" w:w="1417"/>
          </w:tcPr>
          <w:p>
            <w:pPr>
              <w:spacing w:before="40" w:after="40"/>
            </w:pPr>
            <w:r>
              <w:rPr>
                <w:sz w:val="20"/>
              </w:rPr>
            </w:r>
            <w:r>
              <w:rPr>
                <w:sz w:val="20"/>
              </w:rPr>
              <w:t>中国</w:t>
            </w:r>
          </w:p>
        </w:tc>
        <w:tc>
          <w:tcPr>
            <w:tcW w:type="dxa" w:w="1417"/>
          </w:tcPr>
          <w:p>
            <w:pPr>
              <w:spacing w:before="40" w:after="40"/>
            </w:pPr>
            <w:r>
              <w:rPr>
                <w:sz w:val="20"/>
              </w:rPr>
            </w:r>
            <w:r>
              <w:rPr>
                <w:sz w:val="20"/>
              </w:rPr>
              <w:t>陶质文物</w:t>
            </w:r>
          </w:p>
        </w:tc>
        <w:tc>
          <w:tcPr>
            <w:tcW w:type="dxa" w:w="1417"/>
          </w:tcPr>
          <w:p>
            <w:pPr>
              <w:spacing w:before="40" w:after="40"/>
            </w:pPr>
            <w:r>
              <w:rPr>
                <w:sz w:val="20"/>
              </w:rPr>
            </w:r>
            <w:r>
              <w:rPr>
                <w:sz w:val="20"/>
              </w:rPr>
              <w:t>三维激光扫描</w:t>
            </w:r>
          </w:p>
        </w:tc>
        <w:tc>
          <w:tcPr>
            <w:tcW w:type="dxa" w:w="1417"/>
          </w:tcPr>
          <w:p>
            <w:pPr>
              <w:spacing w:before="40" w:after="40"/>
            </w:pPr>
            <w:r>
              <w:rPr>
                <w:sz w:val="20"/>
              </w:rPr>
            </w:r>
            <w:r>
              <w:rPr>
                <w:sz w:val="20"/>
              </w:rPr>
              <w:t>真三维模型建立流程</w:t>
            </w:r>
          </w:p>
        </w:tc>
      </w:tr>
      <w:tr>
        <w:tc>
          <w:tcPr>
            <w:tcW w:type="dxa" w:w="1417"/>
            <w:shd w:val="clear" w:color="auto" w:fill="F5F5F5"/>
          </w:tcPr>
          <w:p>
            <w:pPr>
              <w:spacing w:before="40" w:after="40"/>
            </w:pPr>
            <w:r>
              <w:rPr>
                <w:sz w:val="20"/>
              </w:rPr>
            </w:r>
            <w:r>
              <w:rPr>
                <w:sz w:val="20"/>
              </w:rPr>
              <w:t>4</w:t>
            </w:r>
          </w:p>
        </w:tc>
        <w:tc>
          <w:tcPr>
            <w:tcW w:type="dxa" w:w="1417"/>
            <w:shd w:val="clear" w:color="auto" w:fill="F5F5F5"/>
          </w:tcPr>
          <w:p>
            <w:pPr>
              <w:spacing w:before="40" w:after="40"/>
            </w:pPr>
            <w:r>
              <w:rPr>
                <w:sz w:val="20"/>
              </w:rPr>
            </w:r>
            <w:r>
              <w:rPr>
                <w:sz w:val="20"/>
              </w:rPr>
              <w:t>武当文化数字博物馆</w:t>
            </w:r>
          </w:p>
        </w:tc>
        <w:tc>
          <w:tcPr>
            <w:tcW w:type="dxa" w:w="1417"/>
            <w:shd w:val="clear" w:color="auto" w:fill="F5F5F5"/>
          </w:tcPr>
          <w:p>
            <w:pPr>
              <w:spacing w:before="40" w:after="40"/>
            </w:pPr>
            <w:r>
              <w:rPr>
                <w:sz w:val="20"/>
              </w:rPr>
            </w:r>
            <w:r>
              <w:rPr>
                <w:sz w:val="20"/>
              </w:rPr>
              <w:t>中国</w:t>
            </w:r>
          </w:p>
        </w:tc>
        <w:tc>
          <w:tcPr>
            <w:tcW w:type="dxa" w:w="1417"/>
            <w:shd w:val="clear" w:color="auto" w:fill="F5F5F5"/>
          </w:tcPr>
          <w:p>
            <w:pPr>
              <w:spacing w:before="40" w:after="40"/>
            </w:pPr>
            <w:r>
              <w:rPr>
                <w:sz w:val="20"/>
              </w:rPr>
            </w:r>
            <w:r>
              <w:rPr>
                <w:sz w:val="20"/>
              </w:rPr>
              <w:t>古建筑群</w:t>
            </w:r>
          </w:p>
        </w:tc>
        <w:tc>
          <w:tcPr>
            <w:tcW w:type="dxa" w:w="1417"/>
            <w:shd w:val="clear" w:color="auto" w:fill="F5F5F5"/>
          </w:tcPr>
          <w:p>
            <w:pPr>
              <w:spacing w:before="40" w:after="40"/>
            </w:pPr>
            <w:r>
              <w:rPr>
                <w:sz w:val="20"/>
              </w:rPr>
            </w:r>
            <w:r>
              <w:rPr>
                <w:sz w:val="20"/>
              </w:rPr>
              <w:t>三维激光扫描+HTML5</w:t>
            </w:r>
          </w:p>
        </w:tc>
        <w:tc>
          <w:tcPr>
            <w:tcW w:type="dxa" w:w="1417"/>
            <w:shd w:val="clear" w:color="auto" w:fill="F5F5F5"/>
          </w:tcPr>
          <w:p>
            <w:pPr>
              <w:spacing w:before="40" w:after="40"/>
            </w:pPr>
            <w:r>
              <w:rPr>
                <w:sz w:val="20"/>
              </w:rPr>
            </w:r>
            <w:r>
              <w:rPr>
                <w:sz w:val="20"/>
              </w:rPr>
              <w:t>在线交互展示</w:t>
            </w:r>
          </w:p>
        </w:tc>
      </w:tr>
      <w:tr>
        <w:tc>
          <w:tcPr>
            <w:tcW w:type="dxa" w:w="1417"/>
          </w:tcPr>
          <w:p>
            <w:pPr>
              <w:spacing w:before="40" w:after="40"/>
            </w:pPr>
            <w:r>
              <w:rPr>
                <w:sz w:val="20"/>
              </w:rPr>
            </w:r>
            <w:r>
              <w:rPr>
                <w:sz w:val="20"/>
              </w:rPr>
              <w:t>5</w:t>
            </w:r>
          </w:p>
        </w:tc>
        <w:tc>
          <w:tcPr>
            <w:tcW w:type="dxa" w:w="1417"/>
          </w:tcPr>
          <w:p>
            <w:pPr>
              <w:spacing w:before="40" w:after="40"/>
            </w:pPr>
            <w:r>
              <w:rPr>
                <w:sz w:val="20"/>
              </w:rPr>
            </w:r>
            <w:r>
              <w:rPr>
                <w:sz w:val="20"/>
              </w:rPr>
              <w:t>剪纸ICH数字化</w:t>
            </w:r>
          </w:p>
        </w:tc>
        <w:tc>
          <w:tcPr>
            <w:tcW w:type="dxa" w:w="1417"/>
          </w:tcPr>
          <w:p>
            <w:pPr>
              <w:spacing w:before="40" w:after="40"/>
            </w:pPr>
            <w:r>
              <w:rPr>
                <w:sz w:val="20"/>
              </w:rPr>
            </w:r>
            <w:r>
              <w:rPr>
                <w:sz w:val="20"/>
              </w:rPr>
              <w:t>中国</w:t>
            </w:r>
          </w:p>
        </w:tc>
        <w:tc>
          <w:tcPr>
            <w:tcW w:type="dxa" w:w="1417"/>
          </w:tcPr>
          <w:p>
            <w:pPr>
              <w:spacing w:before="40" w:after="40"/>
            </w:pPr>
            <w:r>
              <w:rPr>
                <w:sz w:val="20"/>
              </w:rPr>
            </w:r>
            <w:r>
              <w:rPr>
                <w:sz w:val="20"/>
              </w:rPr>
              <w:t>传统美术</w:t>
            </w:r>
          </w:p>
        </w:tc>
        <w:tc>
          <w:tcPr>
            <w:tcW w:type="dxa" w:w="1417"/>
          </w:tcPr>
          <w:p>
            <w:pPr>
              <w:spacing w:before="40" w:after="40"/>
            </w:pPr>
            <w:r>
              <w:rPr>
                <w:sz w:val="20"/>
              </w:rPr>
            </w:r>
            <w:r>
              <w:rPr>
                <w:sz w:val="20"/>
              </w:rPr>
              <w:t>多模态采集+知识图谱</w:t>
            </w:r>
          </w:p>
        </w:tc>
        <w:tc>
          <w:tcPr>
            <w:tcW w:type="dxa" w:w="1417"/>
          </w:tcPr>
          <w:p>
            <w:pPr>
              <w:spacing w:before="40" w:after="40"/>
            </w:pPr>
            <w:r>
              <w:rPr>
                <w:sz w:val="20"/>
              </w:rPr>
            </w:r>
            <w:r>
              <w:rPr>
                <w:sz w:val="20"/>
              </w:rPr>
              <w:t>ICH数字化方法论</w:t>
            </w:r>
          </w:p>
        </w:tc>
      </w:tr>
      <w:tr>
        <w:tc>
          <w:tcPr>
            <w:tcW w:type="dxa" w:w="1417"/>
            <w:shd w:val="clear" w:color="auto" w:fill="F5F5F5"/>
          </w:tcPr>
          <w:p>
            <w:pPr>
              <w:spacing w:before="40" w:after="40"/>
            </w:pPr>
            <w:r>
              <w:rPr>
                <w:sz w:val="20"/>
              </w:rPr>
            </w:r>
            <w:r>
              <w:rPr>
                <w:sz w:val="20"/>
              </w:rPr>
              <w:t>6</w:t>
            </w:r>
          </w:p>
        </w:tc>
        <w:tc>
          <w:tcPr>
            <w:tcW w:type="dxa" w:w="1417"/>
            <w:shd w:val="clear" w:color="auto" w:fill="F5F5F5"/>
          </w:tcPr>
          <w:p>
            <w:pPr>
              <w:spacing w:before="40" w:after="40"/>
            </w:pPr>
            <w:r>
              <w:rPr>
                <w:sz w:val="20"/>
              </w:rPr>
            </w:r>
            <w:r>
              <w:rPr>
                <w:sz w:val="20"/>
              </w:rPr>
              <w:t>Europeana</w:t>
            </w:r>
          </w:p>
        </w:tc>
        <w:tc>
          <w:tcPr>
            <w:tcW w:type="dxa" w:w="1417"/>
            <w:shd w:val="clear" w:color="auto" w:fill="F5F5F5"/>
          </w:tcPr>
          <w:p>
            <w:pPr>
              <w:spacing w:before="40" w:after="40"/>
            </w:pPr>
            <w:r>
              <w:rPr>
                <w:sz w:val="20"/>
              </w:rPr>
            </w:r>
            <w:r>
              <w:rPr>
                <w:sz w:val="20"/>
              </w:rPr>
              <w:t>欧盟</w:t>
            </w:r>
          </w:p>
        </w:tc>
        <w:tc>
          <w:tcPr>
            <w:tcW w:type="dxa" w:w="1417"/>
            <w:shd w:val="clear" w:color="auto" w:fill="F5F5F5"/>
          </w:tcPr>
          <w:p>
            <w:pPr>
              <w:spacing w:before="40" w:after="40"/>
            </w:pPr>
            <w:r>
              <w:rPr>
                <w:sz w:val="20"/>
              </w:rPr>
            </w:r>
            <w:r>
              <w:rPr>
                <w:sz w:val="20"/>
              </w:rPr>
              <w:t>综合遗产</w:t>
            </w:r>
          </w:p>
        </w:tc>
        <w:tc>
          <w:tcPr>
            <w:tcW w:type="dxa" w:w="1417"/>
            <w:shd w:val="clear" w:color="auto" w:fill="F5F5F5"/>
          </w:tcPr>
          <w:p>
            <w:pPr>
              <w:spacing w:before="40" w:after="40"/>
            </w:pPr>
            <w:r>
              <w:rPr>
                <w:sz w:val="20"/>
              </w:rPr>
            </w:r>
            <w:r>
              <w:rPr>
                <w:sz w:val="20"/>
              </w:rPr>
              <w:t>EDM+Linked Data</w:t>
            </w:r>
          </w:p>
        </w:tc>
        <w:tc>
          <w:tcPr>
            <w:tcW w:type="dxa" w:w="1417"/>
            <w:shd w:val="clear" w:color="auto" w:fill="F5F5F5"/>
          </w:tcPr>
          <w:p>
            <w:pPr>
              <w:spacing w:before="40" w:after="40"/>
            </w:pPr>
            <w:r>
              <w:rPr>
                <w:sz w:val="20"/>
              </w:rPr>
            </w:r>
            <w:r>
              <w:rPr>
                <w:sz w:val="20"/>
              </w:rPr>
              <w:t>跨国聚合平台范本</w:t>
            </w:r>
          </w:p>
        </w:tc>
      </w:tr>
      <w:tr>
        <w:tc>
          <w:tcPr>
            <w:tcW w:type="dxa" w:w="1417"/>
          </w:tcPr>
          <w:p>
            <w:pPr>
              <w:spacing w:before="40" w:after="40"/>
            </w:pPr>
            <w:r>
              <w:rPr>
                <w:sz w:val="20"/>
              </w:rPr>
            </w:r>
            <w:r>
              <w:rPr>
                <w:sz w:val="20"/>
              </w:rPr>
              <w:t>7</w:t>
            </w:r>
          </w:p>
        </w:tc>
        <w:tc>
          <w:tcPr>
            <w:tcW w:type="dxa" w:w="1417"/>
          </w:tcPr>
          <w:p>
            <w:pPr>
              <w:spacing w:before="40" w:after="40"/>
            </w:pPr>
            <w:r>
              <w:rPr>
                <w:sz w:val="20"/>
              </w:rPr>
            </w:r>
            <w:r>
              <w:rPr>
                <w:sz w:val="20"/>
              </w:rPr>
              <w:t>史密森尼X3D</w:t>
            </w:r>
          </w:p>
        </w:tc>
        <w:tc>
          <w:tcPr>
            <w:tcW w:type="dxa" w:w="1417"/>
          </w:tcPr>
          <w:p>
            <w:pPr>
              <w:spacing w:before="40" w:after="40"/>
            </w:pPr>
            <w:r>
              <w:rPr>
                <w:sz w:val="20"/>
              </w:rPr>
            </w:r>
            <w:r>
              <w:rPr>
                <w:sz w:val="20"/>
              </w:rPr>
              <w:t>美国</w:t>
            </w:r>
          </w:p>
        </w:tc>
        <w:tc>
          <w:tcPr>
            <w:tcW w:type="dxa" w:w="1417"/>
          </w:tcPr>
          <w:p>
            <w:pPr>
              <w:spacing w:before="40" w:after="40"/>
            </w:pPr>
            <w:r>
              <w:rPr>
                <w:sz w:val="20"/>
              </w:rPr>
            </w:r>
            <w:r>
              <w:rPr>
                <w:sz w:val="20"/>
              </w:rPr>
              <w:t>馆藏文物</w:t>
            </w:r>
          </w:p>
        </w:tc>
        <w:tc>
          <w:tcPr>
            <w:tcW w:type="dxa" w:w="1417"/>
          </w:tcPr>
          <w:p>
            <w:pPr>
              <w:spacing w:before="40" w:after="40"/>
            </w:pPr>
            <w:r>
              <w:rPr>
                <w:sz w:val="20"/>
              </w:rPr>
            </w:r>
            <w:r>
              <w:rPr>
                <w:sz w:val="20"/>
              </w:rPr>
              <w:t>三维扫描+在线浏览</w:t>
            </w:r>
          </w:p>
        </w:tc>
        <w:tc>
          <w:tcPr>
            <w:tcW w:type="dxa" w:w="1417"/>
          </w:tcPr>
          <w:p>
            <w:pPr>
              <w:spacing w:before="40" w:after="40"/>
            </w:pPr>
            <w:r>
              <w:rPr>
                <w:sz w:val="20"/>
              </w:rPr>
            </w:r>
            <w:r>
              <w:rPr>
                <w:sz w:val="20"/>
              </w:rPr>
              <w:t>开放获取模式</w:t>
            </w:r>
          </w:p>
        </w:tc>
      </w:tr>
      <w:tr>
        <w:tc>
          <w:tcPr>
            <w:tcW w:type="dxa" w:w="1417"/>
            <w:shd w:val="clear" w:color="auto" w:fill="F5F5F5"/>
          </w:tcPr>
          <w:p>
            <w:pPr>
              <w:spacing w:before="40" w:after="40"/>
            </w:pPr>
            <w:r>
              <w:rPr>
                <w:sz w:val="20"/>
              </w:rPr>
            </w:r>
            <w:r>
              <w:rPr>
                <w:sz w:val="20"/>
              </w:rPr>
              <w:t>8</w:t>
            </w:r>
          </w:p>
        </w:tc>
        <w:tc>
          <w:tcPr>
            <w:tcW w:type="dxa" w:w="1417"/>
            <w:shd w:val="clear" w:color="auto" w:fill="F5F5F5"/>
          </w:tcPr>
          <w:p>
            <w:pPr>
              <w:spacing w:before="40" w:after="40"/>
            </w:pPr>
            <w:r>
              <w:rPr>
                <w:sz w:val="20"/>
              </w:rPr>
            </w:r>
            <w:r>
              <w:rPr>
                <w:sz w:val="20"/>
              </w:rPr>
              <w:t>Google Arts &amp; Culture</w:t>
            </w:r>
          </w:p>
        </w:tc>
        <w:tc>
          <w:tcPr>
            <w:tcW w:type="dxa" w:w="1417"/>
            <w:shd w:val="clear" w:color="auto" w:fill="F5F5F5"/>
          </w:tcPr>
          <w:p>
            <w:pPr>
              <w:spacing w:before="40" w:after="40"/>
            </w:pPr>
            <w:r>
              <w:rPr>
                <w:sz w:val="20"/>
              </w:rPr>
            </w:r>
            <w:r>
              <w:rPr>
                <w:sz w:val="20"/>
              </w:rPr>
              <w:t>全球</w:t>
            </w:r>
          </w:p>
        </w:tc>
        <w:tc>
          <w:tcPr>
            <w:tcW w:type="dxa" w:w="1417"/>
            <w:shd w:val="clear" w:color="auto" w:fill="F5F5F5"/>
          </w:tcPr>
          <w:p>
            <w:pPr>
              <w:spacing w:before="40" w:after="40"/>
            </w:pPr>
            <w:r>
              <w:rPr>
                <w:sz w:val="20"/>
              </w:rPr>
            </w:r>
            <w:r>
              <w:rPr>
                <w:sz w:val="20"/>
              </w:rPr>
              <w:t>综合遗产</w:t>
            </w:r>
          </w:p>
        </w:tc>
        <w:tc>
          <w:tcPr>
            <w:tcW w:type="dxa" w:w="1417"/>
            <w:shd w:val="clear" w:color="auto" w:fill="F5F5F5"/>
          </w:tcPr>
          <w:p>
            <w:pPr>
              <w:spacing w:before="40" w:after="40"/>
            </w:pPr>
            <w:r>
              <w:rPr>
                <w:sz w:val="20"/>
              </w:rPr>
            </w:r>
            <w:r>
              <w:rPr>
                <w:sz w:val="20"/>
              </w:rPr>
              <w:t>平台聚合+VR</w:t>
            </w:r>
          </w:p>
        </w:tc>
        <w:tc>
          <w:tcPr>
            <w:tcW w:type="dxa" w:w="1417"/>
            <w:shd w:val="clear" w:color="auto" w:fill="F5F5F5"/>
          </w:tcPr>
          <w:p>
            <w:pPr>
              <w:spacing w:before="40" w:after="40"/>
            </w:pPr>
            <w:r>
              <w:rPr>
                <w:sz w:val="20"/>
              </w:rPr>
            </w:r>
            <w:r>
              <w:rPr>
                <w:sz w:val="20"/>
              </w:rPr>
              <w:t>技术平台驱动模式</w:t>
            </w:r>
          </w:p>
        </w:tc>
      </w:tr>
      <w:tr>
        <w:tc>
          <w:tcPr>
            <w:tcW w:type="dxa" w:w="1417"/>
          </w:tcPr>
          <w:p>
            <w:pPr>
              <w:spacing w:before="40" w:after="40"/>
            </w:pPr>
            <w:r>
              <w:rPr>
                <w:sz w:val="20"/>
              </w:rPr>
            </w:r>
            <w:r>
              <w:rPr>
                <w:sz w:val="20"/>
              </w:rPr>
              <w:t>9</w:t>
            </w:r>
          </w:p>
        </w:tc>
        <w:tc>
          <w:tcPr>
            <w:tcW w:type="dxa" w:w="1417"/>
          </w:tcPr>
          <w:p>
            <w:pPr>
              <w:spacing w:before="40" w:after="40"/>
            </w:pPr>
            <w:r>
              <w:rPr>
                <w:sz w:val="20"/>
              </w:rPr>
            </w:r>
            <w:r>
              <w:rPr>
                <w:sz w:val="20"/>
              </w:rPr>
              <w:t>哈佛CAMLab Cave</w:t>
            </w:r>
          </w:p>
        </w:tc>
        <w:tc>
          <w:tcPr>
            <w:tcW w:type="dxa" w:w="1417"/>
          </w:tcPr>
          <w:p>
            <w:pPr>
              <w:spacing w:before="40" w:after="40"/>
            </w:pPr>
            <w:r>
              <w:rPr>
                <w:sz w:val="20"/>
              </w:rPr>
            </w:r>
            <w:r>
              <w:rPr>
                <w:sz w:val="20"/>
              </w:rPr>
              <w:t>美国</w:t>
            </w:r>
          </w:p>
        </w:tc>
        <w:tc>
          <w:tcPr>
            <w:tcW w:type="dxa" w:w="1417"/>
          </w:tcPr>
          <w:p>
            <w:pPr>
              <w:spacing w:before="40" w:after="40"/>
            </w:pPr>
            <w:r>
              <w:rPr>
                <w:sz w:val="20"/>
              </w:rPr>
            </w:r>
            <w:r>
              <w:rPr>
                <w:sz w:val="20"/>
              </w:rPr>
              <w:t>中国建筑</w:t>
            </w:r>
          </w:p>
        </w:tc>
        <w:tc>
          <w:tcPr>
            <w:tcW w:type="dxa" w:w="1417"/>
          </w:tcPr>
          <w:p>
            <w:pPr>
              <w:spacing w:before="40" w:after="40"/>
            </w:pPr>
            <w:r>
              <w:rPr>
                <w:sz w:val="20"/>
              </w:rPr>
            </w:r>
            <w:r>
              <w:rPr>
                <w:sz w:val="20"/>
              </w:rPr>
              <w:t>VR+AR+全息投影</w:t>
            </w:r>
          </w:p>
        </w:tc>
        <w:tc>
          <w:tcPr>
            <w:tcW w:type="dxa" w:w="1417"/>
          </w:tcPr>
          <w:p>
            <w:pPr>
              <w:spacing w:before="40" w:after="40"/>
            </w:pPr>
            <w:r>
              <w:rPr>
                <w:sz w:val="20"/>
              </w:rPr>
            </w:r>
            <w:r>
              <w:rPr>
                <w:sz w:val="20"/>
              </w:rPr>
              <w:t>沉浸式剧场体验</w:t>
            </w:r>
          </w:p>
        </w:tc>
      </w:tr>
      <w:tr>
        <w:tc>
          <w:tcPr>
            <w:tcW w:type="dxa" w:w="1417"/>
            <w:shd w:val="clear" w:color="auto" w:fill="F5F5F5"/>
          </w:tcPr>
          <w:p>
            <w:pPr>
              <w:spacing w:before="40" w:after="40"/>
            </w:pPr>
            <w:r>
              <w:rPr>
                <w:sz w:val="20"/>
              </w:rPr>
            </w:r>
            <w:r>
              <w:rPr>
                <w:sz w:val="20"/>
              </w:rPr>
              <w:t>10</w:t>
            </w:r>
          </w:p>
        </w:tc>
        <w:tc>
          <w:tcPr>
            <w:tcW w:type="dxa" w:w="1417"/>
            <w:shd w:val="clear" w:color="auto" w:fill="F5F5F5"/>
          </w:tcPr>
          <w:p>
            <w:pPr>
              <w:spacing w:before="40" w:after="40"/>
            </w:pPr>
            <w:r>
              <w:rPr>
                <w:sz w:val="20"/>
              </w:rPr>
            </w:r>
            <w:r>
              <w:rPr>
                <w:sz w:val="20"/>
              </w:rPr>
              <w:t>意大利历史建筑IoT保护</w:t>
            </w:r>
          </w:p>
        </w:tc>
        <w:tc>
          <w:tcPr>
            <w:tcW w:type="dxa" w:w="1417"/>
            <w:shd w:val="clear" w:color="auto" w:fill="F5F5F5"/>
          </w:tcPr>
          <w:p>
            <w:pPr>
              <w:spacing w:before="40" w:after="40"/>
            </w:pPr>
            <w:r>
              <w:rPr>
                <w:sz w:val="20"/>
              </w:rPr>
            </w:r>
            <w:r>
              <w:rPr>
                <w:sz w:val="20"/>
              </w:rPr>
              <w:t>意大利</w:t>
            </w:r>
          </w:p>
        </w:tc>
        <w:tc>
          <w:tcPr>
            <w:tcW w:type="dxa" w:w="1417"/>
            <w:shd w:val="clear" w:color="auto" w:fill="F5F5F5"/>
          </w:tcPr>
          <w:p>
            <w:pPr>
              <w:spacing w:before="40" w:after="40"/>
            </w:pPr>
            <w:r>
              <w:rPr>
                <w:sz w:val="20"/>
              </w:rPr>
            </w:r>
            <w:r>
              <w:rPr>
                <w:sz w:val="20"/>
              </w:rPr>
              <w:t>古建筑</w:t>
            </w:r>
          </w:p>
        </w:tc>
        <w:tc>
          <w:tcPr>
            <w:tcW w:type="dxa" w:w="1417"/>
            <w:shd w:val="clear" w:color="auto" w:fill="F5F5F5"/>
          </w:tcPr>
          <w:p>
            <w:pPr>
              <w:spacing w:before="40" w:after="40"/>
            </w:pPr>
            <w:r>
              <w:rPr>
                <w:sz w:val="20"/>
              </w:rPr>
            </w:r>
            <w:r>
              <w:rPr>
                <w:sz w:val="20"/>
              </w:rPr>
              <w:t>IoT+云端平台</w:t>
            </w:r>
          </w:p>
        </w:tc>
        <w:tc>
          <w:tcPr>
            <w:tcW w:type="dxa" w:w="1417"/>
            <w:shd w:val="clear" w:color="auto" w:fill="F5F5F5"/>
          </w:tcPr>
          <w:p>
            <w:pPr>
              <w:spacing w:before="40" w:after="40"/>
            </w:pPr>
            <w:r>
              <w:rPr>
                <w:sz w:val="20"/>
              </w:rPr>
            </w:r>
            <w:r>
              <w:rPr>
                <w:sz w:val="20"/>
              </w:rPr>
              <w:t>预测性保护实践</w:t>
            </w:r>
          </w:p>
        </w:tc>
      </w:tr>
      <w:tr>
        <w:tc>
          <w:tcPr>
            <w:tcW w:type="dxa" w:w="1417"/>
          </w:tcPr>
          <w:p>
            <w:pPr>
              <w:spacing w:before="40" w:after="40"/>
            </w:pPr>
            <w:r>
              <w:rPr>
                <w:sz w:val="20"/>
              </w:rPr>
            </w:r>
            <w:r>
              <w:rPr>
                <w:sz w:val="20"/>
              </w:rPr>
              <w:t>11</w:t>
            </w:r>
          </w:p>
        </w:tc>
        <w:tc>
          <w:tcPr>
            <w:tcW w:type="dxa" w:w="1417"/>
          </w:tcPr>
          <w:p>
            <w:pPr>
              <w:spacing w:before="40" w:after="40"/>
            </w:pPr>
            <w:r>
              <w:rPr>
                <w:sz w:val="20"/>
              </w:rPr>
            </w:r>
            <w:r>
              <w:rPr>
                <w:sz w:val="20"/>
              </w:rPr>
              <w:t>敦煌AI保护项目</w:t>
            </w:r>
          </w:p>
        </w:tc>
        <w:tc>
          <w:tcPr>
            <w:tcW w:type="dxa" w:w="1417"/>
          </w:tcPr>
          <w:p>
            <w:pPr>
              <w:spacing w:before="40" w:after="40"/>
            </w:pPr>
            <w:r>
              <w:rPr>
                <w:sz w:val="20"/>
              </w:rPr>
            </w:r>
            <w:r>
              <w:rPr>
                <w:sz w:val="20"/>
              </w:rPr>
              <w:t>中国</w:t>
            </w:r>
          </w:p>
        </w:tc>
        <w:tc>
          <w:tcPr>
            <w:tcW w:type="dxa" w:w="1417"/>
          </w:tcPr>
          <w:p>
            <w:pPr>
              <w:spacing w:before="40" w:after="40"/>
            </w:pPr>
            <w:r>
              <w:rPr>
                <w:sz w:val="20"/>
              </w:rPr>
            </w:r>
            <w:r>
              <w:rPr>
                <w:sz w:val="20"/>
              </w:rPr>
              <w:t>壁画病害</w:t>
            </w:r>
          </w:p>
        </w:tc>
        <w:tc>
          <w:tcPr>
            <w:tcW w:type="dxa" w:w="1417"/>
          </w:tcPr>
          <w:p>
            <w:pPr>
              <w:spacing w:before="40" w:after="40"/>
            </w:pPr>
            <w:r>
              <w:rPr>
                <w:sz w:val="20"/>
              </w:rPr>
            </w:r>
            <w:r>
              <w:rPr>
                <w:sz w:val="20"/>
              </w:rPr>
              <w:t>深度学习+GAN</w:t>
            </w:r>
          </w:p>
        </w:tc>
        <w:tc>
          <w:tcPr>
            <w:tcW w:type="dxa" w:w="1417"/>
          </w:tcPr>
          <w:p>
            <w:pPr>
              <w:spacing w:before="40" w:after="40"/>
            </w:pPr>
            <w:r>
              <w:rPr>
                <w:sz w:val="20"/>
              </w:rPr>
            </w:r>
            <w:r>
              <w:rPr>
                <w:sz w:val="20"/>
              </w:rPr>
              <w:t>AI赋能遗产保护标杆</w:t>
            </w:r>
          </w:p>
        </w:tc>
      </w:tr>
      <w:tr>
        <w:tc>
          <w:tcPr>
            <w:tcW w:type="dxa" w:w="1417"/>
            <w:shd w:val="clear" w:color="auto" w:fill="F5F5F5"/>
          </w:tcPr>
          <w:p>
            <w:pPr>
              <w:spacing w:before="40" w:after="40"/>
            </w:pPr>
            <w:r>
              <w:rPr>
                <w:sz w:val="20"/>
              </w:rPr>
            </w:r>
            <w:r>
              <w:rPr>
                <w:sz w:val="20"/>
              </w:rPr>
              <w:t>12</w:t>
            </w:r>
          </w:p>
        </w:tc>
        <w:tc>
          <w:tcPr>
            <w:tcW w:type="dxa" w:w="1417"/>
            <w:shd w:val="clear" w:color="auto" w:fill="F5F5F5"/>
          </w:tcPr>
          <w:p>
            <w:pPr>
              <w:spacing w:before="40" w:after="40"/>
            </w:pPr>
            <w:r>
              <w:rPr>
                <w:sz w:val="20"/>
              </w:rPr>
            </w:r>
            <w:r>
              <w:rPr>
                <w:sz w:val="20"/>
              </w:rPr>
              <w:t>济州岛VR/AR文化沉浸</w:t>
            </w:r>
          </w:p>
        </w:tc>
        <w:tc>
          <w:tcPr>
            <w:tcW w:type="dxa" w:w="1417"/>
            <w:shd w:val="clear" w:color="auto" w:fill="F5F5F5"/>
          </w:tcPr>
          <w:p>
            <w:pPr>
              <w:spacing w:before="40" w:after="40"/>
            </w:pPr>
            <w:r>
              <w:rPr>
                <w:sz w:val="20"/>
              </w:rPr>
            </w:r>
            <w:r>
              <w:rPr>
                <w:sz w:val="20"/>
              </w:rPr>
              <w:t>韩国</w:t>
            </w:r>
          </w:p>
        </w:tc>
        <w:tc>
          <w:tcPr>
            <w:tcW w:type="dxa" w:w="1417"/>
            <w:shd w:val="clear" w:color="auto" w:fill="F5F5F5"/>
          </w:tcPr>
          <w:p>
            <w:pPr>
              <w:spacing w:before="40" w:after="40"/>
            </w:pPr>
            <w:r>
              <w:rPr>
                <w:sz w:val="20"/>
              </w:rPr>
            </w:r>
            <w:r>
              <w:rPr>
                <w:sz w:val="20"/>
              </w:rPr>
              <w:t>石刻遗产</w:t>
            </w:r>
          </w:p>
        </w:tc>
        <w:tc>
          <w:tcPr>
            <w:tcW w:type="dxa" w:w="1417"/>
            <w:shd w:val="clear" w:color="auto" w:fill="F5F5F5"/>
          </w:tcPr>
          <w:p>
            <w:pPr>
              <w:spacing w:before="40" w:after="40"/>
            </w:pPr>
            <w:r>
              <w:rPr>
                <w:sz w:val="20"/>
              </w:rPr>
            </w:r>
            <w:r>
              <w:rPr>
                <w:sz w:val="20"/>
              </w:rPr>
              <w:t>混合VR/AR</w:t>
            </w:r>
          </w:p>
        </w:tc>
        <w:tc>
          <w:tcPr>
            <w:tcW w:type="dxa" w:w="1417"/>
            <w:shd w:val="clear" w:color="auto" w:fill="F5F5F5"/>
          </w:tcPr>
          <w:p>
            <w:pPr>
              <w:spacing w:before="40" w:after="40"/>
            </w:pPr>
            <w:r>
              <w:rPr>
                <w:sz w:val="20"/>
              </w:rPr>
            </w:r>
            <w:r>
              <w:rPr>
                <w:sz w:val="20"/>
              </w:rPr>
              <w:t>文化沉浸应用</w:t>
            </w:r>
          </w:p>
        </w:tc>
      </w:tr>
      <w:tr>
        <w:tc>
          <w:tcPr>
            <w:tcW w:type="dxa" w:w="1417"/>
          </w:tcPr>
          <w:p>
            <w:pPr>
              <w:spacing w:before="40" w:after="40"/>
            </w:pPr>
            <w:r>
              <w:rPr>
                <w:sz w:val="20"/>
              </w:rPr>
            </w:r>
            <w:r>
              <w:rPr>
                <w:sz w:val="20"/>
              </w:rPr>
              <w:t>13</w:t>
            </w:r>
          </w:p>
        </w:tc>
        <w:tc>
          <w:tcPr>
            <w:tcW w:type="dxa" w:w="1417"/>
          </w:tcPr>
          <w:p>
            <w:pPr>
              <w:spacing w:before="40" w:after="40"/>
            </w:pPr>
            <w:r>
              <w:rPr>
                <w:sz w:val="20"/>
              </w:rPr>
            </w:r>
            <w:r>
              <w:rPr>
                <w:sz w:val="20"/>
              </w:rPr>
              <w:t>清莱部落数字博物馆</w:t>
            </w:r>
          </w:p>
        </w:tc>
        <w:tc>
          <w:tcPr>
            <w:tcW w:type="dxa" w:w="1417"/>
          </w:tcPr>
          <w:p>
            <w:pPr>
              <w:spacing w:before="40" w:after="40"/>
            </w:pPr>
            <w:r>
              <w:rPr>
                <w:sz w:val="20"/>
              </w:rPr>
            </w:r>
            <w:r>
              <w:rPr>
                <w:sz w:val="20"/>
              </w:rPr>
              <w:t>泰国</w:t>
            </w:r>
          </w:p>
        </w:tc>
        <w:tc>
          <w:tcPr>
            <w:tcW w:type="dxa" w:w="1417"/>
          </w:tcPr>
          <w:p>
            <w:pPr>
              <w:spacing w:before="40" w:after="40"/>
            </w:pPr>
            <w:r>
              <w:rPr>
                <w:sz w:val="20"/>
              </w:rPr>
            </w:r>
            <w:r>
              <w:rPr>
                <w:sz w:val="20"/>
              </w:rPr>
              <w:t>少数民族ICH</w:t>
            </w:r>
          </w:p>
        </w:tc>
        <w:tc>
          <w:tcPr>
            <w:tcW w:type="dxa" w:w="1417"/>
          </w:tcPr>
          <w:p>
            <w:pPr>
              <w:spacing w:before="40" w:after="40"/>
            </w:pPr>
            <w:r>
              <w:rPr>
                <w:sz w:val="20"/>
              </w:rPr>
            </w:r>
            <w:r>
              <w:rPr>
                <w:sz w:val="20"/>
              </w:rPr>
              <w:t>虚拟博物馆</w:t>
            </w:r>
          </w:p>
        </w:tc>
        <w:tc>
          <w:tcPr>
            <w:tcW w:type="dxa" w:w="1417"/>
          </w:tcPr>
          <w:p>
            <w:pPr>
              <w:spacing w:before="40" w:after="40"/>
            </w:pPr>
            <w:r>
              <w:rPr>
                <w:sz w:val="20"/>
              </w:rPr>
            </w:r>
            <w:r>
              <w:rPr>
                <w:sz w:val="20"/>
              </w:rPr>
              <w:t>跨地域遗产展示</w:t>
            </w:r>
          </w:p>
        </w:tc>
      </w:tr>
      <w:tr>
        <w:tc>
          <w:tcPr>
            <w:tcW w:type="dxa" w:w="1417"/>
            <w:shd w:val="clear" w:color="auto" w:fill="F5F5F5"/>
          </w:tcPr>
          <w:p>
            <w:pPr>
              <w:spacing w:before="40" w:after="40"/>
            </w:pPr>
            <w:r>
              <w:rPr>
                <w:sz w:val="20"/>
              </w:rPr>
            </w:r>
            <w:r>
              <w:rPr>
                <w:sz w:val="20"/>
              </w:rPr>
              <w:t>14</w:t>
            </w:r>
          </w:p>
        </w:tc>
        <w:tc>
          <w:tcPr>
            <w:tcW w:type="dxa" w:w="1417"/>
            <w:shd w:val="clear" w:color="auto" w:fill="F5F5F5"/>
          </w:tcPr>
          <w:p>
            <w:pPr>
              <w:spacing w:before="40" w:after="40"/>
            </w:pPr>
            <w:r>
              <w:rPr>
                <w:sz w:val="20"/>
              </w:rPr>
            </w:r>
            <w:r>
              <w:rPr>
                <w:sz w:val="20"/>
              </w:rPr>
              <w:t>CHAD-KG知识图谱</w:t>
            </w:r>
          </w:p>
        </w:tc>
        <w:tc>
          <w:tcPr>
            <w:tcW w:type="dxa" w:w="1417"/>
            <w:shd w:val="clear" w:color="auto" w:fill="F5F5F5"/>
          </w:tcPr>
          <w:p>
            <w:pPr>
              <w:spacing w:before="40" w:after="40"/>
            </w:pPr>
            <w:r>
              <w:rPr>
                <w:sz w:val="20"/>
              </w:rPr>
            </w:r>
            <w:r>
              <w:rPr>
                <w:sz w:val="20"/>
              </w:rPr>
              <w:t>国际</w:t>
            </w:r>
          </w:p>
        </w:tc>
        <w:tc>
          <w:tcPr>
            <w:tcW w:type="dxa" w:w="1417"/>
            <w:shd w:val="clear" w:color="auto" w:fill="F5F5F5"/>
          </w:tcPr>
          <w:p>
            <w:pPr>
              <w:spacing w:before="40" w:after="40"/>
            </w:pPr>
            <w:r>
              <w:rPr>
                <w:sz w:val="20"/>
              </w:rPr>
            </w:r>
            <w:r>
              <w:rPr>
                <w:sz w:val="20"/>
              </w:rPr>
              <w:t>数字遗产</w:t>
            </w:r>
          </w:p>
        </w:tc>
        <w:tc>
          <w:tcPr>
            <w:tcW w:type="dxa" w:w="1417"/>
            <w:shd w:val="clear" w:color="auto" w:fill="F5F5F5"/>
          </w:tcPr>
          <w:p>
            <w:pPr>
              <w:spacing w:before="40" w:after="40"/>
            </w:pPr>
            <w:r>
              <w:rPr>
                <w:sz w:val="20"/>
              </w:rPr>
            </w:r>
            <w:r>
              <w:rPr>
                <w:sz w:val="20"/>
              </w:rPr>
              <w:t>知识图谱+paradata</w:t>
            </w:r>
          </w:p>
        </w:tc>
        <w:tc>
          <w:tcPr>
            <w:tcW w:type="dxa" w:w="1417"/>
            <w:shd w:val="clear" w:color="auto" w:fill="F5F5F5"/>
          </w:tcPr>
          <w:p>
            <w:pPr>
              <w:spacing w:before="40" w:after="40"/>
            </w:pPr>
            <w:r>
              <w:rPr>
                <w:sz w:val="20"/>
              </w:rPr>
            </w:r>
            <w:r>
              <w:rPr>
                <w:sz w:val="20"/>
              </w:rPr>
              <w:t>对象与过程数据集成</w:t>
            </w:r>
          </w:p>
        </w:tc>
      </w:tr>
      <w:tr>
        <w:tc>
          <w:tcPr>
            <w:tcW w:type="dxa" w:w="1417"/>
          </w:tcPr>
          <w:p>
            <w:pPr>
              <w:spacing w:before="40" w:after="40"/>
            </w:pPr>
            <w:r>
              <w:rPr>
                <w:sz w:val="20"/>
              </w:rPr>
            </w:r>
            <w:r>
              <w:rPr>
                <w:sz w:val="20"/>
              </w:rPr>
              <w:t>15</w:t>
            </w:r>
          </w:p>
        </w:tc>
        <w:tc>
          <w:tcPr>
            <w:tcW w:type="dxa" w:w="1417"/>
          </w:tcPr>
          <w:p>
            <w:pPr>
              <w:spacing w:before="40" w:after="40"/>
            </w:pPr>
            <w:r>
              <w:rPr>
                <w:sz w:val="20"/>
              </w:rPr>
            </w:r>
            <w:r>
              <w:rPr>
                <w:sz w:val="20"/>
              </w:rPr>
              <w:t>SensMat HBIM保护</w:t>
            </w:r>
          </w:p>
        </w:tc>
        <w:tc>
          <w:tcPr>
            <w:tcW w:type="dxa" w:w="1417"/>
          </w:tcPr>
          <w:p>
            <w:pPr>
              <w:spacing w:before="40" w:after="40"/>
            </w:pPr>
            <w:r>
              <w:rPr>
                <w:sz w:val="20"/>
              </w:rPr>
            </w:r>
            <w:r>
              <w:rPr>
                <w:sz w:val="20"/>
              </w:rPr>
              <w:t>欧洲</w:t>
            </w:r>
          </w:p>
        </w:tc>
        <w:tc>
          <w:tcPr>
            <w:tcW w:type="dxa" w:w="1417"/>
          </w:tcPr>
          <w:p>
            <w:pPr>
              <w:spacing w:before="40" w:after="40"/>
            </w:pPr>
            <w:r>
              <w:rPr>
                <w:sz w:val="20"/>
              </w:rPr>
            </w:r>
            <w:r>
              <w:rPr>
                <w:sz w:val="20"/>
              </w:rPr>
              <w:t>博物馆藏品</w:t>
            </w:r>
          </w:p>
        </w:tc>
        <w:tc>
          <w:tcPr>
            <w:tcW w:type="dxa" w:w="1417"/>
          </w:tcPr>
          <w:p>
            <w:pPr>
              <w:spacing w:before="40" w:after="40"/>
            </w:pPr>
            <w:r>
              <w:rPr>
                <w:sz w:val="20"/>
              </w:rPr>
            </w:r>
            <w:r>
              <w:rPr>
                <w:sz w:val="20"/>
              </w:rPr>
              <w:t>HBIM+IoT</w:t>
            </w:r>
          </w:p>
        </w:tc>
        <w:tc>
          <w:tcPr>
            <w:tcW w:type="dxa" w:w="1417"/>
          </w:tcPr>
          <w:p>
            <w:pPr>
              <w:spacing w:before="40" w:after="40"/>
            </w:pPr>
            <w:r>
              <w:rPr>
                <w:sz w:val="20"/>
              </w:rPr>
            </w:r>
            <w:r>
              <w:rPr>
                <w:sz w:val="20"/>
              </w:rPr>
              <w:t>预防性保护集成方案</w:t>
            </w:r>
          </w:p>
        </w:tc>
      </w:tr>
      <w:tr>
        <w:tc>
          <w:tcPr>
            <w:tcW w:type="dxa" w:w="1417"/>
            <w:shd w:val="clear" w:color="auto" w:fill="F5F5F5"/>
          </w:tcPr>
          <w:p>
            <w:pPr>
              <w:spacing w:before="40" w:after="40"/>
            </w:pPr>
            <w:r>
              <w:rPr>
                <w:sz w:val="20"/>
              </w:rPr>
            </w:r>
            <w:r>
              <w:rPr>
                <w:sz w:val="20"/>
              </w:rPr>
              <w:t>16</w:t>
            </w:r>
          </w:p>
        </w:tc>
        <w:tc>
          <w:tcPr>
            <w:tcW w:type="dxa" w:w="1417"/>
            <w:shd w:val="clear" w:color="auto" w:fill="F5F5F5"/>
          </w:tcPr>
          <w:p>
            <w:pPr>
              <w:spacing w:before="40" w:after="40"/>
            </w:pPr>
            <w:r>
              <w:rPr>
                <w:sz w:val="20"/>
              </w:rPr>
            </w:r>
            <w:r>
              <w:rPr>
                <w:sz w:val="20"/>
              </w:rPr>
              <w:t>安阳文化遗产新媒体传播</w:t>
            </w:r>
          </w:p>
        </w:tc>
        <w:tc>
          <w:tcPr>
            <w:tcW w:type="dxa" w:w="1417"/>
            <w:shd w:val="clear" w:color="auto" w:fill="F5F5F5"/>
          </w:tcPr>
          <w:p>
            <w:pPr>
              <w:spacing w:before="40" w:after="40"/>
            </w:pPr>
            <w:r>
              <w:rPr>
                <w:sz w:val="20"/>
              </w:rPr>
            </w:r>
            <w:r>
              <w:rPr>
                <w:sz w:val="20"/>
              </w:rPr>
              <w:t>中国</w:t>
            </w:r>
          </w:p>
        </w:tc>
        <w:tc>
          <w:tcPr>
            <w:tcW w:type="dxa" w:w="1417"/>
            <w:shd w:val="clear" w:color="auto" w:fill="F5F5F5"/>
          </w:tcPr>
          <w:p>
            <w:pPr>
              <w:spacing w:before="40" w:after="40"/>
            </w:pPr>
            <w:r>
              <w:rPr>
                <w:sz w:val="20"/>
              </w:rPr>
            </w:r>
            <w:r>
              <w:rPr>
                <w:sz w:val="20"/>
              </w:rPr>
              <w:t>考古遗址</w:t>
            </w:r>
          </w:p>
        </w:tc>
        <w:tc>
          <w:tcPr>
            <w:tcW w:type="dxa" w:w="1417"/>
            <w:shd w:val="clear" w:color="auto" w:fill="F5F5F5"/>
          </w:tcPr>
          <w:p>
            <w:pPr>
              <w:spacing w:before="40" w:after="40"/>
            </w:pPr>
            <w:r>
              <w:rPr>
                <w:sz w:val="20"/>
              </w:rPr>
            </w:r>
            <w:r>
              <w:rPr>
                <w:sz w:val="20"/>
              </w:rPr>
              <w:t>社交媒体+跨媒介叙事</w:t>
            </w:r>
          </w:p>
        </w:tc>
        <w:tc>
          <w:tcPr>
            <w:tcW w:type="dxa" w:w="1417"/>
            <w:shd w:val="clear" w:color="auto" w:fill="F5F5F5"/>
          </w:tcPr>
          <w:p>
            <w:pPr>
              <w:spacing w:before="40" w:after="40"/>
            </w:pPr>
            <w:r>
              <w:rPr>
                <w:sz w:val="20"/>
              </w:rPr>
            </w:r>
            <w:r>
              <w:rPr>
                <w:sz w:val="20"/>
              </w:rPr>
              <w:t>新媒体传播实践</w:t>
            </w:r>
          </w:p>
        </w:tc>
      </w:tr>
      <w:tr>
        <w:tc>
          <w:tcPr>
            <w:tcW w:type="dxa" w:w="1417"/>
          </w:tcPr>
          <w:p>
            <w:pPr>
              <w:spacing w:before="40" w:after="40"/>
            </w:pPr>
            <w:r>
              <w:rPr>
                <w:sz w:val="20"/>
              </w:rPr>
            </w:r>
            <w:r>
              <w:rPr>
                <w:sz w:val="20"/>
              </w:rPr>
              <w:t>17</w:t>
            </w:r>
          </w:p>
        </w:tc>
        <w:tc>
          <w:tcPr>
            <w:tcW w:type="dxa" w:w="1417"/>
          </w:tcPr>
          <w:p>
            <w:pPr>
              <w:spacing w:before="40" w:after="40"/>
            </w:pPr>
            <w:r>
              <w:rPr>
                <w:sz w:val="20"/>
              </w:rPr>
            </w:r>
            <w:r>
              <w:rPr>
                <w:sz w:val="20"/>
              </w:rPr>
              <w:t>日本人间国宝数字化</w:t>
            </w:r>
          </w:p>
        </w:tc>
        <w:tc>
          <w:tcPr>
            <w:tcW w:type="dxa" w:w="1417"/>
          </w:tcPr>
          <w:p>
            <w:pPr>
              <w:spacing w:before="40" w:after="40"/>
            </w:pPr>
            <w:r>
              <w:rPr>
                <w:sz w:val="20"/>
              </w:rPr>
            </w:r>
            <w:r>
              <w:rPr>
                <w:sz w:val="20"/>
              </w:rPr>
              <w:t>日本</w:t>
            </w:r>
          </w:p>
        </w:tc>
        <w:tc>
          <w:tcPr>
            <w:tcW w:type="dxa" w:w="1417"/>
          </w:tcPr>
          <w:p>
            <w:pPr>
              <w:spacing w:before="40" w:after="40"/>
            </w:pPr>
            <w:r>
              <w:rPr>
                <w:sz w:val="20"/>
              </w:rPr>
            </w:r>
            <w:r>
              <w:rPr>
                <w:sz w:val="20"/>
              </w:rPr>
              <w:t>ICH技艺</w:t>
            </w:r>
          </w:p>
        </w:tc>
        <w:tc>
          <w:tcPr>
            <w:tcW w:type="dxa" w:w="1417"/>
          </w:tcPr>
          <w:p>
            <w:pPr>
              <w:spacing w:before="40" w:after="40"/>
            </w:pPr>
            <w:r>
              <w:rPr>
                <w:sz w:val="20"/>
              </w:rPr>
            </w:r>
            <w:r>
              <w:rPr>
                <w:sz w:val="20"/>
              </w:rPr>
              <w:t>高精度音视频记录</w:t>
            </w:r>
          </w:p>
        </w:tc>
        <w:tc>
          <w:tcPr>
            <w:tcW w:type="dxa" w:w="1417"/>
          </w:tcPr>
          <w:p>
            <w:pPr>
              <w:spacing w:before="40" w:after="40"/>
            </w:pPr>
            <w:r>
              <w:rPr>
                <w:sz w:val="20"/>
              </w:rPr>
            </w:r>
            <w:r>
              <w:rPr>
                <w:sz w:val="20"/>
              </w:rPr>
              <w:t>立法保障+数字化结合</w:t>
            </w:r>
          </w:p>
        </w:tc>
      </w:tr>
      <w:tr>
        <w:tc>
          <w:tcPr>
            <w:tcW w:type="dxa" w:w="1417"/>
            <w:shd w:val="clear" w:color="auto" w:fill="F5F5F5"/>
          </w:tcPr>
          <w:p>
            <w:pPr>
              <w:spacing w:before="40" w:after="40"/>
            </w:pPr>
            <w:r>
              <w:rPr>
                <w:sz w:val="20"/>
              </w:rPr>
            </w:r>
            <w:r>
              <w:rPr>
                <w:sz w:val="20"/>
              </w:rPr>
              <w:t>18</w:t>
            </w:r>
          </w:p>
        </w:tc>
        <w:tc>
          <w:tcPr>
            <w:tcW w:type="dxa" w:w="1417"/>
            <w:shd w:val="clear" w:color="auto" w:fill="F5F5F5"/>
          </w:tcPr>
          <w:p>
            <w:pPr>
              <w:spacing w:before="40" w:after="40"/>
            </w:pPr>
            <w:r>
              <w:rPr>
                <w:sz w:val="20"/>
              </w:rPr>
            </w:r>
            <w:r>
              <w:rPr>
                <w:sz w:val="20"/>
              </w:rPr>
              <w:t>3D-ICONS项目</w:t>
            </w:r>
          </w:p>
        </w:tc>
        <w:tc>
          <w:tcPr>
            <w:tcW w:type="dxa" w:w="1417"/>
            <w:shd w:val="clear" w:color="auto" w:fill="F5F5F5"/>
          </w:tcPr>
          <w:p>
            <w:pPr>
              <w:spacing w:before="40" w:after="40"/>
            </w:pPr>
            <w:r>
              <w:rPr>
                <w:sz w:val="20"/>
              </w:rPr>
            </w:r>
            <w:r>
              <w:rPr>
                <w:sz w:val="20"/>
              </w:rPr>
              <w:t>欧盟</w:t>
            </w:r>
          </w:p>
        </w:tc>
        <w:tc>
          <w:tcPr>
            <w:tcW w:type="dxa" w:w="1417"/>
            <w:shd w:val="clear" w:color="auto" w:fill="F5F5F5"/>
          </w:tcPr>
          <w:p>
            <w:pPr>
              <w:spacing w:before="40" w:after="40"/>
            </w:pPr>
            <w:r>
              <w:rPr>
                <w:sz w:val="20"/>
              </w:rPr>
            </w:r>
            <w:r>
              <w:rPr>
                <w:sz w:val="20"/>
              </w:rPr>
              <w:t>建筑遗产</w:t>
            </w:r>
          </w:p>
        </w:tc>
        <w:tc>
          <w:tcPr>
            <w:tcW w:type="dxa" w:w="1417"/>
            <w:shd w:val="clear" w:color="auto" w:fill="F5F5F5"/>
          </w:tcPr>
          <w:p>
            <w:pPr>
              <w:spacing w:before="40" w:after="40"/>
            </w:pPr>
            <w:r>
              <w:rPr>
                <w:sz w:val="20"/>
              </w:rPr>
            </w:r>
            <w:r>
              <w:rPr>
                <w:sz w:val="20"/>
              </w:rPr>
              <w:t>三维数字化标准化</w:t>
            </w:r>
          </w:p>
        </w:tc>
        <w:tc>
          <w:tcPr>
            <w:tcW w:type="dxa" w:w="1417"/>
            <w:shd w:val="clear" w:color="auto" w:fill="F5F5F5"/>
          </w:tcPr>
          <w:p>
            <w:pPr>
              <w:spacing w:before="40" w:after="40"/>
            </w:pPr>
            <w:r>
              <w:rPr>
                <w:sz w:val="20"/>
              </w:rPr>
            </w:r>
            <w:r>
              <w:rPr>
                <w:sz w:val="20"/>
              </w:rPr>
              <w:t>标准制定实践</w:t>
            </w:r>
          </w:p>
        </w:tc>
      </w:tr>
      <w:tr>
        <w:tc>
          <w:tcPr>
            <w:tcW w:type="dxa" w:w="1417"/>
          </w:tcPr>
          <w:p>
            <w:pPr>
              <w:spacing w:before="40" w:after="40"/>
            </w:pPr>
            <w:r>
              <w:rPr>
                <w:sz w:val="20"/>
              </w:rPr>
            </w:r>
            <w:r>
              <w:rPr>
                <w:sz w:val="20"/>
              </w:rPr>
              <w:t>19</w:t>
            </w:r>
          </w:p>
        </w:tc>
        <w:tc>
          <w:tcPr>
            <w:tcW w:type="dxa" w:w="1417"/>
          </w:tcPr>
          <w:p>
            <w:pPr>
              <w:spacing w:before="40" w:after="40"/>
            </w:pPr>
            <w:r>
              <w:rPr>
                <w:sz w:val="20"/>
              </w:rPr>
            </w:r>
            <w:r>
              <w:rPr>
                <w:sz w:val="20"/>
              </w:rPr>
              <w:t>区块链文物版权框架</w:t>
            </w:r>
          </w:p>
        </w:tc>
        <w:tc>
          <w:tcPr>
            <w:tcW w:type="dxa" w:w="1417"/>
          </w:tcPr>
          <w:p>
            <w:pPr>
              <w:spacing w:before="40" w:after="40"/>
            </w:pPr>
            <w:r>
              <w:rPr>
                <w:sz w:val="20"/>
              </w:rPr>
            </w:r>
            <w:r>
              <w:rPr>
                <w:sz w:val="20"/>
              </w:rPr>
              <w:t>中国</w:t>
            </w:r>
          </w:p>
        </w:tc>
        <w:tc>
          <w:tcPr>
            <w:tcW w:type="dxa" w:w="1417"/>
          </w:tcPr>
          <w:p>
            <w:pPr>
              <w:spacing w:before="40" w:after="40"/>
            </w:pPr>
            <w:r>
              <w:rPr>
                <w:sz w:val="20"/>
              </w:rPr>
            </w:r>
            <w:r>
              <w:rPr>
                <w:sz w:val="20"/>
              </w:rPr>
              <w:t>数字资源</w:t>
            </w:r>
          </w:p>
        </w:tc>
        <w:tc>
          <w:tcPr>
            <w:tcW w:type="dxa" w:w="1417"/>
          </w:tcPr>
          <w:p>
            <w:pPr>
              <w:spacing w:before="40" w:after="40"/>
            </w:pPr>
            <w:r>
              <w:rPr>
                <w:sz w:val="20"/>
              </w:rPr>
            </w:r>
            <w:r>
              <w:rPr>
                <w:sz w:val="20"/>
              </w:rPr>
              <w:t>联盟链+智能合约</w:t>
            </w:r>
          </w:p>
        </w:tc>
        <w:tc>
          <w:tcPr>
            <w:tcW w:type="dxa" w:w="1417"/>
          </w:tcPr>
          <w:p>
            <w:pPr>
              <w:spacing w:before="40" w:after="40"/>
            </w:pPr>
            <w:r>
              <w:rPr>
                <w:sz w:val="20"/>
              </w:rPr>
            </w:r>
            <w:r>
              <w:rPr>
                <w:sz w:val="20"/>
              </w:rPr>
              <w:t>版权全流程管理</w:t>
            </w:r>
          </w:p>
        </w:tc>
      </w:tr>
      <w:tr>
        <w:tc>
          <w:tcPr>
            <w:tcW w:type="dxa" w:w="1417"/>
            <w:shd w:val="clear" w:color="auto" w:fill="F5F5F5"/>
          </w:tcPr>
          <w:p>
            <w:pPr>
              <w:spacing w:before="40" w:after="40"/>
            </w:pPr>
            <w:r>
              <w:rPr>
                <w:sz w:val="20"/>
              </w:rPr>
            </w:r>
            <w:r>
              <w:rPr>
                <w:sz w:val="20"/>
              </w:rPr>
              <w:t>20</w:t>
            </w:r>
          </w:p>
        </w:tc>
        <w:tc>
          <w:tcPr>
            <w:tcW w:type="dxa" w:w="1417"/>
            <w:shd w:val="clear" w:color="auto" w:fill="F5F5F5"/>
          </w:tcPr>
          <w:p>
            <w:pPr>
              <w:spacing w:before="40" w:after="40"/>
            </w:pPr>
            <w:r>
              <w:rPr>
                <w:sz w:val="20"/>
              </w:rPr>
            </w:r>
            <w:r>
              <w:rPr>
                <w:sz w:val="20"/>
              </w:rPr>
              <w:t>非遗区块链档案管理</w:t>
            </w:r>
          </w:p>
        </w:tc>
        <w:tc>
          <w:tcPr>
            <w:tcW w:type="dxa" w:w="1417"/>
            <w:shd w:val="clear" w:color="auto" w:fill="F5F5F5"/>
          </w:tcPr>
          <w:p>
            <w:pPr>
              <w:spacing w:before="40" w:after="40"/>
            </w:pPr>
            <w:r>
              <w:rPr>
                <w:sz w:val="20"/>
              </w:rPr>
            </w:r>
            <w:r>
              <w:rPr>
                <w:sz w:val="20"/>
              </w:rPr>
              <w:t>中国</w:t>
            </w:r>
          </w:p>
        </w:tc>
        <w:tc>
          <w:tcPr>
            <w:tcW w:type="dxa" w:w="1417"/>
            <w:shd w:val="clear" w:color="auto" w:fill="F5F5F5"/>
          </w:tcPr>
          <w:p>
            <w:pPr>
              <w:spacing w:before="40" w:after="40"/>
            </w:pPr>
            <w:r>
              <w:rPr>
                <w:sz w:val="20"/>
              </w:rPr>
            </w:r>
            <w:r>
              <w:rPr>
                <w:sz w:val="20"/>
              </w:rPr>
              <w:t>ICH档案</w:t>
            </w:r>
          </w:p>
        </w:tc>
        <w:tc>
          <w:tcPr>
            <w:tcW w:type="dxa" w:w="1417"/>
            <w:shd w:val="clear" w:color="auto" w:fill="F5F5F5"/>
          </w:tcPr>
          <w:p>
            <w:pPr>
              <w:spacing w:before="40" w:after="40"/>
            </w:pPr>
            <w:r>
              <w:rPr>
                <w:sz w:val="20"/>
              </w:rPr>
            </w:r>
            <w:r>
              <w:rPr>
                <w:sz w:val="20"/>
              </w:rPr>
              <w:t>分布式账本+共识机制</w:t>
            </w:r>
          </w:p>
        </w:tc>
        <w:tc>
          <w:tcPr>
            <w:tcW w:type="dxa" w:w="1417"/>
            <w:shd w:val="clear" w:color="auto" w:fill="F5F5F5"/>
          </w:tcPr>
          <w:p>
            <w:pPr>
              <w:spacing w:before="40" w:after="40"/>
            </w:pPr>
            <w:r>
              <w:rPr>
                <w:sz w:val="20"/>
              </w:rPr>
            </w:r>
            <w:r>
              <w:rPr>
                <w:sz w:val="20"/>
              </w:rPr>
              <w:t>解决档案管理四难</w:t>
            </w:r>
          </w:p>
        </w:tc>
      </w:tr>
      <w:tr>
        <w:tc>
          <w:tcPr>
            <w:tcW w:type="dxa" w:w="1417"/>
          </w:tcPr>
          <w:p>
            <w:pPr>
              <w:spacing w:before="40" w:after="40"/>
            </w:pPr>
            <w:r>
              <w:rPr>
                <w:sz w:val="20"/>
              </w:rPr>
            </w:r>
            <w:r>
              <w:rPr>
                <w:sz w:val="20"/>
              </w:rPr>
              <w:t>21</w:t>
            </w:r>
          </w:p>
        </w:tc>
        <w:tc>
          <w:tcPr>
            <w:tcW w:type="dxa" w:w="1417"/>
          </w:tcPr>
          <w:p>
            <w:pPr>
              <w:spacing w:before="40" w:after="40"/>
            </w:pPr>
            <w:r>
              <w:rPr>
                <w:sz w:val="20"/>
              </w:rPr>
            </w:r>
            <w:r>
              <w:rPr>
                <w:sz w:val="20"/>
              </w:rPr>
              <w:t>非遗数字档案建设</w:t>
            </w:r>
          </w:p>
        </w:tc>
        <w:tc>
          <w:tcPr>
            <w:tcW w:type="dxa" w:w="1417"/>
          </w:tcPr>
          <w:p>
            <w:pPr>
              <w:spacing w:before="40" w:after="40"/>
            </w:pPr>
            <w:r>
              <w:rPr>
                <w:sz w:val="20"/>
              </w:rPr>
            </w:r>
            <w:r>
              <w:rPr>
                <w:sz w:val="20"/>
              </w:rPr>
              <w:t>中国</w:t>
            </w:r>
          </w:p>
        </w:tc>
        <w:tc>
          <w:tcPr>
            <w:tcW w:type="dxa" w:w="1417"/>
          </w:tcPr>
          <w:p>
            <w:pPr>
              <w:spacing w:before="40" w:after="40"/>
            </w:pPr>
            <w:r>
              <w:rPr>
                <w:sz w:val="20"/>
              </w:rPr>
            </w:r>
            <w:r>
              <w:rPr>
                <w:sz w:val="20"/>
              </w:rPr>
              <w:t>ICH档案</w:t>
            </w:r>
          </w:p>
        </w:tc>
        <w:tc>
          <w:tcPr>
            <w:tcW w:type="dxa" w:w="1417"/>
          </w:tcPr>
          <w:p>
            <w:pPr>
              <w:spacing w:before="40" w:after="40"/>
            </w:pPr>
            <w:r>
              <w:rPr>
                <w:sz w:val="20"/>
              </w:rPr>
            </w:r>
            <w:r>
              <w:rPr>
                <w:sz w:val="20"/>
              </w:rPr>
              <w:t>多模态采集+元数据标注</w:t>
            </w:r>
          </w:p>
        </w:tc>
        <w:tc>
          <w:tcPr>
            <w:tcW w:type="dxa" w:w="1417"/>
          </w:tcPr>
          <w:p>
            <w:pPr>
              <w:spacing w:before="40" w:after="40"/>
            </w:pPr>
            <w:r>
              <w:rPr>
                <w:sz w:val="20"/>
              </w:rPr>
            </w:r>
            <w:r>
              <w:rPr>
                <w:sz w:val="20"/>
              </w:rPr>
              <w:t>数字档案全流程建设</w:t>
            </w:r>
          </w:p>
        </w:tc>
      </w:tr>
      <w:tr>
        <w:tc>
          <w:tcPr>
            <w:tcW w:type="dxa" w:w="1417"/>
            <w:shd w:val="clear" w:color="auto" w:fill="F5F5F5"/>
          </w:tcPr>
          <w:p>
            <w:pPr>
              <w:spacing w:before="40" w:after="40"/>
            </w:pPr>
            <w:r>
              <w:rPr>
                <w:sz w:val="20"/>
              </w:rPr>
            </w:r>
            <w:r>
              <w:rPr>
                <w:sz w:val="20"/>
              </w:rPr>
              <w:t>22</w:t>
            </w:r>
          </w:p>
        </w:tc>
        <w:tc>
          <w:tcPr>
            <w:tcW w:type="dxa" w:w="1417"/>
            <w:shd w:val="clear" w:color="auto" w:fill="F5F5F5"/>
          </w:tcPr>
          <w:p>
            <w:pPr>
              <w:spacing w:before="40" w:after="40"/>
            </w:pPr>
            <w:r>
              <w:rPr>
                <w:sz w:val="20"/>
              </w:rPr>
            </w:r>
            <w:r>
              <w:rPr>
                <w:sz w:val="20"/>
              </w:rPr>
              <w:t>莫高窟IoT环境监测</w:t>
            </w:r>
          </w:p>
        </w:tc>
        <w:tc>
          <w:tcPr>
            <w:tcW w:type="dxa" w:w="1417"/>
            <w:shd w:val="clear" w:color="auto" w:fill="F5F5F5"/>
          </w:tcPr>
          <w:p>
            <w:pPr>
              <w:spacing w:before="40" w:after="40"/>
            </w:pPr>
            <w:r>
              <w:rPr>
                <w:sz w:val="20"/>
              </w:rPr>
            </w:r>
            <w:r>
              <w:rPr>
                <w:sz w:val="20"/>
              </w:rPr>
              <w:t>中国</w:t>
            </w:r>
          </w:p>
        </w:tc>
        <w:tc>
          <w:tcPr>
            <w:tcW w:type="dxa" w:w="1417"/>
            <w:shd w:val="clear" w:color="auto" w:fill="F5F5F5"/>
          </w:tcPr>
          <w:p>
            <w:pPr>
              <w:spacing w:before="40" w:after="40"/>
            </w:pPr>
            <w:r>
              <w:rPr>
                <w:sz w:val="20"/>
              </w:rPr>
            </w:r>
            <w:r>
              <w:rPr>
                <w:sz w:val="20"/>
              </w:rPr>
              <w:t>石窟寺</w:t>
            </w:r>
          </w:p>
        </w:tc>
        <w:tc>
          <w:tcPr>
            <w:tcW w:type="dxa" w:w="1417"/>
            <w:shd w:val="clear" w:color="auto" w:fill="F5F5F5"/>
          </w:tcPr>
          <w:p>
            <w:pPr>
              <w:spacing w:before="40" w:after="40"/>
            </w:pPr>
            <w:r>
              <w:rPr>
                <w:sz w:val="20"/>
              </w:rPr>
            </w:r>
            <w:r>
              <w:rPr>
                <w:sz w:val="20"/>
              </w:rPr>
              <w:t>IoT传感器+预警系统</w:t>
            </w:r>
          </w:p>
        </w:tc>
        <w:tc>
          <w:tcPr>
            <w:tcW w:type="dxa" w:w="1417"/>
            <w:shd w:val="clear" w:color="auto" w:fill="F5F5F5"/>
          </w:tcPr>
          <w:p>
            <w:pPr>
              <w:spacing w:before="40" w:after="40"/>
            </w:pPr>
            <w:r>
              <w:rPr>
                <w:sz w:val="20"/>
              </w:rPr>
            </w:r>
            <w:r>
              <w:rPr>
                <w:sz w:val="20"/>
              </w:rPr>
              <w:t>环境-游客-文物联动</w:t>
            </w:r>
          </w:p>
        </w:tc>
      </w:tr>
      <w:tr>
        <w:tc>
          <w:tcPr>
            <w:tcW w:type="dxa" w:w="1417"/>
          </w:tcPr>
          <w:p>
            <w:pPr>
              <w:spacing w:before="40" w:after="40"/>
            </w:pPr>
            <w:r>
              <w:rPr>
                <w:sz w:val="20"/>
              </w:rPr>
            </w:r>
            <w:r>
              <w:rPr>
                <w:sz w:val="20"/>
              </w:rPr>
              <w:t>23</w:t>
            </w:r>
          </w:p>
        </w:tc>
        <w:tc>
          <w:tcPr>
            <w:tcW w:type="dxa" w:w="1417"/>
          </w:tcPr>
          <w:p>
            <w:pPr>
              <w:spacing w:before="40" w:after="40"/>
            </w:pPr>
            <w:r>
              <w:rPr>
                <w:sz w:val="20"/>
              </w:rPr>
            </w:r>
            <w:r>
              <w:rPr>
                <w:sz w:val="20"/>
              </w:rPr>
              <w:t>故宫古建筑结构监测</w:t>
            </w:r>
          </w:p>
        </w:tc>
        <w:tc>
          <w:tcPr>
            <w:tcW w:type="dxa" w:w="1417"/>
          </w:tcPr>
          <w:p>
            <w:pPr>
              <w:spacing w:before="40" w:after="40"/>
            </w:pPr>
            <w:r>
              <w:rPr>
                <w:sz w:val="20"/>
              </w:rPr>
            </w:r>
            <w:r>
              <w:rPr>
                <w:sz w:val="20"/>
              </w:rPr>
              <w:t>中国</w:t>
            </w:r>
          </w:p>
        </w:tc>
        <w:tc>
          <w:tcPr>
            <w:tcW w:type="dxa" w:w="1417"/>
          </w:tcPr>
          <w:p>
            <w:pPr>
              <w:spacing w:before="40" w:after="40"/>
            </w:pPr>
            <w:r>
              <w:rPr>
                <w:sz w:val="20"/>
              </w:rPr>
            </w:r>
            <w:r>
              <w:rPr>
                <w:sz w:val="20"/>
              </w:rPr>
              <w:t>古建筑</w:t>
            </w:r>
          </w:p>
        </w:tc>
        <w:tc>
          <w:tcPr>
            <w:tcW w:type="dxa" w:w="1417"/>
          </w:tcPr>
          <w:p>
            <w:pPr>
              <w:spacing w:before="40" w:after="40"/>
            </w:pPr>
            <w:r>
              <w:rPr>
                <w:sz w:val="20"/>
              </w:rPr>
            </w:r>
            <w:r>
              <w:rPr>
                <w:sz w:val="20"/>
              </w:rPr>
              <w:t>应变计+倾角仪+云端</w:t>
            </w:r>
          </w:p>
        </w:tc>
        <w:tc>
          <w:tcPr>
            <w:tcW w:type="dxa" w:w="1417"/>
          </w:tcPr>
          <w:p>
            <w:pPr>
              <w:spacing w:before="40" w:after="40"/>
            </w:pPr>
            <w:r>
              <w:rPr>
                <w:sz w:val="20"/>
              </w:rPr>
            </w:r>
            <w:r>
              <w:rPr>
                <w:sz w:val="20"/>
              </w:rPr>
              <w:t>结构健康监测实践</w:t>
            </w:r>
          </w:p>
        </w:tc>
      </w:tr>
      <w:tr>
        <w:tc>
          <w:tcPr>
            <w:tcW w:type="dxa" w:w="1417"/>
            <w:shd w:val="clear" w:color="auto" w:fill="F5F5F5"/>
          </w:tcPr>
          <w:p>
            <w:pPr>
              <w:spacing w:before="40" w:after="40"/>
            </w:pPr>
            <w:r>
              <w:rPr>
                <w:sz w:val="20"/>
              </w:rPr>
            </w:r>
            <w:r>
              <w:rPr>
                <w:sz w:val="20"/>
              </w:rPr>
              <w:t>24</w:t>
            </w:r>
          </w:p>
        </w:tc>
        <w:tc>
          <w:tcPr>
            <w:tcW w:type="dxa" w:w="1417"/>
            <w:shd w:val="clear" w:color="auto" w:fill="F5F5F5"/>
          </w:tcPr>
          <w:p>
            <w:pPr>
              <w:spacing w:before="40" w:after="40"/>
            </w:pPr>
            <w:r>
              <w:rPr>
                <w:sz w:val="20"/>
              </w:rPr>
            </w:r>
            <w:r>
              <w:rPr>
                <w:sz w:val="20"/>
              </w:rPr>
              <w:t>SensMat HBIM保护</w:t>
            </w:r>
          </w:p>
        </w:tc>
        <w:tc>
          <w:tcPr>
            <w:tcW w:type="dxa" w:w="1417"/>
            <w:shd w:val="clear" w:color="auto" w:fill="F5F5F5"/>
          </w:tcPr>
          <w:p>
            <w:pPr>
              <w:spacing w:before="40" w:after="40"/>
            </w:pPr>
            <w:r>
              <w:rPr>
                <w:sz w:val="20"/>
              </w:rPr>
            </w:r>
            <w:r>
              <w:rPr>
                <w:sz w:val="20"/>
              </w:rPr>
              <w:t>欧洲</w:t>
            </w:r>
          </w:p>
        </w:tc>
        <w:tc>
          <w:tcPr>
            <w:tcW w:type="dxa" w:w="1417"/>
            <w:shd w:val="clear" w:color="auto" w:fill="F5F5F5"/>
          </w:tcPr>
          <w:p>
            <w:pPr>
              <w:spacing w:before="40" w:after="40"/>
            </w:pPr>
            <w:r>
              <w:rPr>
                <w:sz w:val="20"/>
              </w:rPr>
            </w:r>
            <w:r>
              <w:rPr>
                <w:sz w:val="20"/>
              </w:rPr>
              <w:t>博物馆藏品</w:t>
            </w:r>
          </w:p>
        </w:tc>
        <w:tc>
          <w:tcPr>
            <w:tcW w:type="dxa" w:w="1417"/>
            <w:shd w:val="clear" w:color="auto" w:fill="F5F5F5"/>
          </w:tcPr>
          <w:p>
            <w:pPr>
              <w:spacing w:before="40" w:after="40"/>
            </w:pPr>
            <w:r>
              <w:rPr>
                <w:sz w:val="20"/>
              </w:rPr>
            </w:r>
            <w:r>
              <w:rPr>
                <w:sz w:val="20"/>
              </w:rPr>
              <w:t>HBIM+IoT+语义技术</w:t>
            </w:r>
          </w:p>
        </w:tc>
        <w:tc>
          <w:tcPr>
            <w:tcW w:type="dxa" w:w="1417"/>
            <w:shd w:val="clear" w:color="auto" w:fill="F5F5F5"/>
          </w:tcPr>
          <w:p>
            <w:pPr>
              <w:spacing w:before="40" w:after="40"/>
            </w:pPr>
            <w:r>
              <w:rPr>
                <w:sz w:val="20"/>
              </w:rPr>
            </w:r>
            <w:r>
              <w:rPr>
                <w:sz w:val="20"/>
              </w:rPr>
              <w:t>预防性保护集成方案</w:t>
            </w:r>
          </w:p>
        </w:tc>
      </w:tr>
      <w:tr>
        <w:tc>
          <w:tcPr>
            <w:tcW w:type="dxa" w:w="1417"/>
          </w:tcPr>
          <w:p>
            <w:pPr>
              <w:spacing w:before="40" w:after="40"/>
            </w:pPr>
            <w:r>
              <w:rPr>
                <w:sz w:val="20"/>
              </w:rPr>
            </w:r>
            <w:r>
              <w:rPr>
                <w:sz w:val="20"/>
              </w:rPr>
              <w:t>25</w:t>
            </w:r>
          </w:p>
        </w:tc>
        <w:tc>
          <w:tcPr>
            <w:tcW w:type="dxa" w:w="1417"/>
          </w:tcPr>
          <w:p>
            <w:pPr>
              <w:spacing w:before="40" w:after="40"/>
            </w:pPr>
            <w:r>
              <w:rPr>
                <w:sz w:val="20"/>
              </w:rPr>
            </w:r>
            <w:r>
              <w:rPr>
                <w:sz w:val="20"/>
              </w:rPr>
              <w:t>智慧遗产平台</w:t>
            </w:r>
          </w:p>
        </w:tc>
        <w:tc>
          <w:tcPr>
            <w:tcW w:type="dxa" w:w="1417"/>
          </w:tcPr>
          <w:p>
            <w:pPr>
              <w:spacing w:before="40" w:after="40"/>
            </w:pPr>
            <w:r>
              <w:rPr>
                <w:sz w:val="20"/>
              </w:rPr>
            </w:r>
            <w:r>
              <w:rPr>
                <w:sz w:val="20"/>
              </w:rPr>
              <w:t>西班牙</w:t>
            </w:r>
          </w:p>
        </w:tc>
        <w:tc>
          <w:tcPr>
            <w:tcW w:type="dxa" w:w="1417"/>
          </w:tcPr>
          <w:p>
            <w:pPr>
              <w:spacing w:before="40" w:after="40"/>
            </w:pPr>
            <w:r>
              <w:rPr>
                <w:sz w:val="20"/>
              </w:rPr>
            </w:r>
            <w:r>
              <w:rPr>
                <w:sz w:val="20"/>
              </w:rPr>
              <w:t>智慧城市遗产</w:t>
            </w:r>
          </w:p>
        </w:tc>
        <w:tc>
          <w:tcPr>
            <w:tcW w:type="dxa" w:w="1417"/>
          </w:tcPr>
          <w:p>
            <w:pPr>
              <w:spacing w:before="40" w:after="40"/>
            </w:pPr>
            <w:r>
              <w:rPr>
                <w:sz w:val="20"/>
              </w:rPr>
            </w:r>
            <w:r>
              <w:rPr>
                <w:sz w:val="20"/>
              </w:rPr>
              <w:t>IoT+AI+多源融合</w:t>
            </w:r>
          </w:p>
        </w:tc>
        <w:tc>
          <w:tcPr>
            <w:tcW w:type="dxa" w:w="1417"/>
          </w:tcPr>
          <w:p>
            <w:pPr>
              <w:spacing w:before="40" w:after="40"/>
            </w:pPr>
            <w:r>
              <w:rPr>
                <w:sz w:val="20"/>
              </w:rPr>
            </w:r>
            <w:r>
              <w:rPr>
                <w:sz w:val="20"/>
              </w:rPr>
              <w:t>智慧城市遗产监测</w:t>
            </w:r>
          </w:p>
        </w:tc>
      </w:tr>
      <w:tr>
        <w:tc>
          <w:tcPr>
            <w:tcW w:type="dxa" w:w="1417"/>
            <w:shd w:val="clear" w:color="auto" w:fill="F5F5F5"/>
          </w:tcPr>
          <w:p>
            <w:pPr>
              <w:spacing w:before="40" w:after="40"/>
            </w:pPr>
            <w:r>
              <w:rPr>
                <w:sz w:val="20"/>
              </w:rPr>
            </w:r>
            <w:r>
              <w:rPr>
                <w:sz w:val="20"/>
              </w:rPr>
              <w:t>26</w:t>
            </w:r>
          </w:p>
        </w:tc>
        <w:tc>
          <w:tcPr>
            <w:tcW w:type="dxa" w:w="1417"/>
            <w:shd w:val="clear" w:color="auto" w:fill="F5F5F5"/>
          </w:tcPr>
          <w:p>
            <w:pPr>
              <w:spacing w:before="40" w:after="40"/>
            </w:pPr>
            <w:r>
              <w:rPr>
                <w:sz w:val="20"/>
              </w:rPr>
            </w:r>
            <w:r>
              <w:rPr>
                <w:sz w:val="20"/>
              </w:rPr>
              <w:t>StoryCorps口述历史</w:t>
            </w:r>
          </w:p>
        </w:tc>
        <w:tc>
          <w:tcPr>
            <w:tcW w:type="dxa" w:w="1417"/>
            <w:shd w:val="clear" w:color="auto" w:fill="F5F5F5"/>
          </w:tcPr>
          <w:p>
            <w:pPr>
              <w:spacing w:before="40" w:after="40"/>
            </w:pPr>
            <w:r>
              <w:rPr>
                <w:sz w:val="20"/>
              </w:rPr>
            </w:r>
            <w:r>
              <w:rPr>
                <w:sz w:val="20"/>
              </w:rPr>
              <w:t>美国</w:t>
            </w:r>
          </w:p>
        </w:tc>
        <w:tc>
          <w:tcPr>
            <w:tcW w:type="dxa" w:w="1417"/>
            <w:shd w:val="clear" w:color="auto" w:fill="F5F5F5"/>
          </w:tcPr>
          <w:p>
            <w:pPr>
              <w:spacing w:before="40" w:after="40"/>
            </w:pPr>
            <w:r>
              <w:rPr>
                <w:sz w:val="20"/>
              </w:rPr>
            </w:r>
            <w:r>
              <w:rPr>
                <w:sz w:val="20"/>
              </w:rPr>
              <w:t>口述传统</w:t>
            </w:r>
          </w:p>
        </w:tc>
        <w:tc>
          <w:tcPr>
            <w:tcW w:type="dxa" w:w="1417"/>
            <w:shd w:val="clear" w:color="auto" w:fill="F5F5F5"/>
          </w:tcPr>
          <w:p>
            <w:pPr>
              <w:spacing w:before="40" w:after="40"/>
            </w:pPr>
            <w:r>
              <w:rPr>
                <w:sz w:val="20"/>
              </w:rPr>
            </w:r>
            <w:r>
              <w:rPr>
                <w:sz w:val="20"/>
              </w:rPr>
              <w:t>社区参与式数字化</w:t>
            </w:r>
          </w:p>
        </w:tc>
        <w:tc>
          <w:tcPr>
            <w:tcW w:type="dxa" w:w="1417"/>
            <w:shd w:val="clear" w:color="auto" w:fill="F5F5F5"/>
          </w:tcPr>
          <w:p>
            <w:pPr>
              <w:spacing w:before="40" w:after="40"/>
            </w:pPr>
            <w:r>
              <w:rPr>
                <w:sz w:val="20"/>
              </w:rPr>
            </w:r>
            <w:r>
              <w:rPr>
                <w:sz w:val="20"/>
              </w:rPr>
              <w:t>自下而上ICH记录</w:t>
            </w:r>
          </w:p>
        </w:tc>
      </w:tr>
      <w:tr>
        <w:tc>
          <w:tcPr>
            <w:tcW w:type="dxa" w:w="1417"/>
          </w:tcPr>
          <w:p>
            <w:pPr>
              <w:spacing w:before="40" w:after="40"/>
            </w:pPr>
            <w:r>
              <w:rPr>
                <w:sz w:val="20"/>
              </w:rPr>
            </w:r>
            <w:r>
              <w:rPr>
                <w:sz w:val="20"/>
              </w:rPr>
              <w:t>27</w:t>
            </w:r>
          </w:p>
        </w:tc>
        <w:tc>
          <w:tcPr>
            <w:tcW w:type="dxa" w:w="1417"/>
          </w:tcPr>
          <w:p>
            <w:pPr>
              <w:spacing w:before="40" w:after="40"/>
            </w:pPr>
            <w:r>
              <w:rPr>
                <w:sz w:val="20"/>
              </w:rPr>
            </w:r>
            <w:r>
              <w:rPr>
                <w:sz w:val="20"/>
              </w:rPr>
              <w:t>日本人间国宝数字化</w:t>
            </w:r>
          </w:p>
        </w:tc>
        <w:tc>
          <w:tcPr>
            <w:tcW w:type="dxa" w:w="1417"/>
          </w:tcPr>
          <w:p>
            <w:pPr>
              <w:spacing w:before="40" w:after="40"/>
            </w:pPr>
            <w:r>
              <w:rPr>
                <w:sz w:val="20"/>
              </w:rPr>
            </w:r>
            <w:r>
              <w:rPr>
                <w:sz w:val="20"/>
              </w:rPr>
              <w:t>日本</w:t>
            </w:r>
          </w:p>
        </w:tc>
        <w:tc>
          <w:tcPr>
            <w:tcW w:type="dxa" w:w="1417"/>
          </w:tcPr>
          <w:p>
            <w:pPr>
              <w:spacing w:before="40" w:after="40"/>
            </w:pPr>
            <w:r>
              <w:rPr>
                <w:sz w:val="20"/>
              </w:rPr>
            </w:r>
            <w:r>
              <w:rPr>
                <w:sz w:val="20"/>
              </w:rPr>
              <w:t>ICH技艺</w:t>
            </w:r>
          </w:p>
        </w:tc>
        <w:tc>
          <w:tcPr>
            <w:tcW w:type="dxa" w:w="1417"/>
          </w:tcPr>
          <w:p>
            <w:pPr>
              <w:spacing w:before="40" w:after="40"/>
            </w:pPr>
            <w:r>
              <w:rPr>
                <w:sz w:val="20"/>
              </w:rPr>
            </w:r>
            <w:r>
              <w:rPr>
                <w:sz w:val="20"/>
              </w:rPr>
              <w:t>高精度音视频+三维</w:t>
            </w:r>
          </w:p>
        </w:tc>
        <w:tc>
          <w:tcPr>
            <w:tcW w:type="dxa" w:w="1417"/>
          </w:tcPr>
          <w:p>
            <w:pPr>
              <w:spacing w:before="40" w:after="40"/>
            </w:pPr>
            <w:r>
              <w:rPr>
                <w:sz w:val="20"/>
              </w:rPr>
            </w:r>
            <w:r>
              <w:rPr>
                <w:sz w:val="20"/>
              </w:rPr>
              <w:t>立法保障+数字化结合</w:t>
            </w:r>
          </w:p>
        </w:tc>
      </w:tr>
      <w:tr>
        <w:tc>
          <w:tcPr>
            <w:tcW w:type="dxa" w:w="1417"/>
            <w:shd w:val="clear" w:color="auto" w:fill="F5F5F5"/>
          </w:tcPr>
          <w:p>
            <w:pPr>
              <w:spacing w:before="40" w:after="40"/>
            </w:pPr>
            <w:r>
              <w:rPr>
                <w:sz w:val="20"/>
              </w:rPr>
            </w:r>
            <w:r>
              <w:rPr>
                <w:sz w:val="20"/>
              </w:rPr>
              <w:t>28</w:t>
            </w:r>
          </w:p>
        </w:tc>
        <w:tc>
          <w:tcPr>
            <w:tcW w:type="dxa" w:w="1417"/>
            <w:shd w:val="clear" w:color="auto" w:fill="F5F5F5"/>
          </w:tcPr>
          <w:p>
            <w:pPr>
              <w:spacing w:before="40" w:after="40"/>
            </w:pPr>
            <w:r>
              <w:rPr>
                <w:sz w:val="20"/>
              </w:rPr>
            </w:r>
            <w:r>
              <w:rPr>
                <w:sz w:val="20"/>
              </w:rPr>
              <w:t>3D-ICONS标准化</w:t>
            </w:r>
          </w:p>
        </w:tc>
        <w:tc>
          <w:tcPr>
            <w:tcW w:type="dxa" w:w="1417"/>
            <w:shd w:val="clear" w:color="auto" w:fill="F5F5F5"/>
          </w:tcPr>
          <w:p>
            <w:pPr>
              <w:spacing w:before="40" w:after="40"/>
            </w:pPr>
            <w:r>
              <w:rPr>
                <w:sz w:val="20"/>
              </w:rPr>
            </w:r>
            <w:r>
              <w:rPr>
                <w:sz w:val="20"/>
              </w:rPr>
              <w:t>欧盟</w:t>
            </w:r>
          </w:p>
        </w:tc>
        <w:tc>
          <w:tcPr>
            <w:tcW w:type="dxa" w:w="1417"/>
            <w:shd w:val="clear" w:color="auto" w:fill="F5F5F5"/>
          </w:tcPr>
          <w:p>
            <w:pPr>
              <w:spacing w:before="40" w:after="40"/>
            </w:pPr>
            <w:r>
              <w:rPr>
                <w:sz w:val="20"/>
              </w:rPr>
            </w:r>
            <w:r>
              <w:rPr>
                <w:sz w:val="20"/>
              </w:rPr>
              <w:t>建筑遗产</w:t>
            </w:r>
          </w:p>
        </w:tc>
        <w:tc>
          <w:tcPr>
            <w:tcW w:type="dxa" w:w="1417"/>
            <w:shd w:val="clear" w:color="auto" w:fill="F5F5F5"/>
          </w:tcPr>
          <w:p>
            <w:pPr>
              <w:spacing w:before="40" w:after="40"/>
            </w:pPr>
            <w:r>
              <w:rPr>
                <w:sz w:val="20"/>
              </w:rPr>
            </w:r>
            <w:r>
              <w:rPr>
                <w:sz w:val="20"/>
              </w:rPr>
              <w:t>三维数字化标准化</w:t>
            </w:r>
          </w:p>
        </w:tc>
        <w:tc>
          <w:tcPr>
            <w:tcW w:type="dxa" w:w="1417"/>
            <w:shd w:val="clear" w:color="auto" w:fill="F5F5F5"/>
          </w:tcPr>
          <w:p>
            <w:pPr>
              <w:spacing w:before="40" w:after="40"/>
            </w:pPr>
            <w:r>
              <w:rPr>
                <w:sz w:val="20"/>
              </w:rPr>
            </w:r>
            <w:r>
              <w:rPr>
                <w:sz w:val="20"/>
              </w:rPr>
              <w:t>跨国标准制定</w:t>
            </w:r>
          </w:p>
        </w:tc>
      </w:tr>
      <w:tr>
        <w:tc>
          <w:tcPr>
            <w:tcW w:type="dxa" w:w="1417"/>
          </w:tcPr>
          <w:p>
            <w:pPr>
              <w:spacing w:before="40" w:after="40"/>
            </w:pPr>
            <w:r>
              <w:rPr>
                <w:sz w:val="20"/>
              </w:rPr>
            </w:r>
            <w:r>
              <w:rPr>
                <w:sz w:val="20"/>
              </w:rPr>
              <w:t>29</w:t>
            </w:r>
          </w:p>
        </w:tc>
        <w:tc>
          <w:tcPr>
            <w:tcW w:type="dxa" w:w="1417"/>
          </w:tcPr>
          <w:p>
            <w:pPr>
              <w:spacing w:before="40" w:after="40"/>
            </w:pPr>
            <w:r>
              <w:rPr>
                <w:sz w:val="20"/>
              </w:rPr>
            </w:r>
            <w:r>
              <w:rPr>
                <w:sz w:val="20"/>
              </w:rPr>
              <w:t>数字敦煌AI修复</w:t>
            </w:r>
          </w:p>
        </w:tc>
        <w:tc>
          <w:tcPr>
            <w:tcW w:type="dxa" w:w="1417"/>
          </w:tcPr>
          <w:p>
            <w:pPr>
              <w:spacing w:before="40" w:after="40"/>
            </w:pPr>
            <w:r>
              <w:rPr>
                <w:sz w:val="20"/>
              </w:rPr>
            </w:r>
            <w:r>
              <w:rPr>
                <w:sz w:val="20"/>
              </w:rPr>
              <w:t>中国</w:t>
            </w:r>
          </w:p>
        </w:tc>
        <w:tc>
          <w:tcPr>
            <w:tcW w:type="dxa" w:w="1417"/>
          </w:tcPr>
          <w:p>
            <w:pPr>
              <w:spacing w:before="40" w:after="40"/>
            </w:pPr>
            <w:r>
              <w:rPr>
                <w:sz w:val="20"/>
              </w:rPr>
            </w:r>
            <w:r>
              <w:rPr>
                <w:sz w:val="20"/>
              </w:rPr>
              <w:t>壁画病害</w:t>
            </w:r>
          </w:p>
        </w:tc>
        <w:tc>
          <w:tcPr>
            <w:tcW w:type="dxa" w:w="1417"/>
          </w:tcPr>
          <w:p>
            <w:pPr>
              <w:spacing w:before="40" w:after="40"/>
            </w:pPr>
            <w:r>
              <w:rPr>
                <w:sz w:val="20"/>
              </w:rPr>
            </w:r>
            <w:r>
              <w:rPr>
                <w:sz w:val="20"/>
              </w:rPr>
              <w:t>深度学习+GAN</w:t>
            </w:r>
          </w:p>
        </w:tc>
        <w:tc>
          <w:tcPr>
            <w:tcW w:type="dxa" w:w="1417"/>
          </w:tcPr>
          <w:p>
            <w:pPr>
              <w:spacing w:before="40" w:after="40"/>
            </w:pPr>
            <w:r>
              <w:rPr>
                <w:sz w:val="20"/>
              </w:rPr>
            </w:r>
            <w:r>
              <w:rPr>
                <w:sz w:val="20"/>
              </w:rPr>
              <w:t>AI虚拟修复标杆</w:t>
            </w:r>
          </w:p>
        </w:tc>
      </w:tr>
      <w:tr>
        <w:tc>
          <w:tcPr>
            <w:tcW w:type="dxa" w:w="1417"/>
            <w:shd w:val="clear" w:color="auto" w:fill="F5F5F5"/>
          </w:tcPr>
          <w:p>
            <w:pPr>
              <w:spacing w:before="40" w:after="40"/>
            </w:pPr>
            <w:r>
              <w:rPr>
                <w:sz w:val="20"/>
              </w:rPr>
            </w:r>
            <w:r>
              <w:rPr>
                <w:sz w:val="20"/>
              </w:rPr>
              <w:t>30</w:t>
            </w:r>
          </w:p>
        </w:tc>
        <w:tc>
          <w:tcPr>
            <w:tcW w:type="dxa" w:w="1417"/>
            <w:shd w:val="clear" w:color="auto" w:fill="F5F5F5"/>
          </w:tcPr>
          <w:p>
            <w:pPr>
              <w:spacing w:before="40" w:after="40"/>
            </w:pPr>
            <w:r>
              <w:rPr>
                <w:sz w:val="20"/>
              </w:rPr>
            </w:r>
            <w:r>
              <w:rPr>
                <w:sz w:val="20"/>
              </w:rPr>
              <w:t>元宇宙文化遗产概念</w:t>
            </w:r>
          </w:p>
        </w:tc>
        <w:tc>
          <w:tcPr>
            <w:tcW w:type="dxa" w:w="1417"/>
            <w:shd w:val="clear" w:color="auto" w:fill="F5F5F5"/>
          </w:tcPr>
          <w:p>
            <w:pPr>
              <w:spacing w:before="40" w:after="40"/>
            </w:pPr>
            <w:r>
              <w:rPr>
                <w:sz w:val="20"/>
              </w:rPr>
            </w:r>
            <w:r>
              <w:rPr>
                <w:sz w:val="20"/>
              </w:rPr>
              <w:t>全球</w:t>
            </w:r>
          </w:p>
        </w:tc>
        <w:tc>
          <w:tcPr>
            <w:tcW w:type="dxa" w:w="1417"/>
            <w:shd w:val="clear" w:color="auto" w:fill="F5F5F5"/>
          </w:tcPr>
          <w:p>
            <w:pPr>
              <w:spacing w:before="40" w:after="40"/>
            </w:pPr>
            <w:r>
              <w:rPr>
                <w:sz w:val="20"/>
              </w:rPr>
            </w:r>
            <w:r>
              <w:rPr>
                <w:sz w:val="20"/>
              </w:rPr>
              <w:t>综合遗产</w:t>
            </w:r>
          </w:p>
        </w:tc>
        <w:tc>
          <w:tcPr>
            <w:tcW w:type="dxa" w:w="1417"/>
            <w:shd w:val="clear" w:color="auto" w:fill="F5F5F5"/>
          </w:tcPr>
          <w:p>
            <w:pPr>
              <w:spacing w:before="40" w:after="40"/>
            </w:pPr>
            <w:r>
              <w:rPr>
                <w:sz w:val="20"/>
              </w:rPr>
            </w:r>
            <w:r>
              <w:rPr>
                <w:sz w:val="20"/>
              </w:rPr>
              <w:t>VR+AR+区块链+AI</w:t>
            </w:r>
          </w:p>
        </w:tc>
        <w:tc>
          <w:tcPr>
            <w:tcW w:type="dxa" w:w="1417"/>
            <w:shd w:val="clear" w:color="auto" w:fill="F5F5F5"/>
          </w:tcPr>
          <w:p>
            <w:pPr>
              <w:spacing w:before="40" w:after="40"/>
            </w:pPr>
            <w:r>
              <w:rPr>
                <w:sz w:val="20"/>
              </w:rPr>
            </w:r>
            <w:r>
              <w:rPr>
                <w:sz w:val="20"/>
              </w:rPr>
              <w:t>跨时空遗产并置</w:t>
            </w:r>
          </w:p>
        </w:tc>
      </w:tr>
    </w:tbl>
    <w:p>
      <w:pPr>
        <w:spacing w:before="240" w:after="120"/>
      </w:pPr>
      <w:r>
        <w:rPr>
          <w:b/>
          <w:color w:val="264653"/>
          <w:sz w:val="32"/>
        </w:rPr>
        <w:t>附录D 设计模板与检查清单</w:t>
      </w:r>
    </w:p>
    <w:p>
      <w:pPr>
        <w:spacing w:before="160"/>
      </w:pPr>
      <w:r>
        <w:rPr>
          <w:b/>
          <w:color w:val="457B9D"/>
          <w:sz w:val="26"/>
        </w:rPr>
        <w:t>文化遗产数字化项目规划书模板</w:t>
      </w:r>
    </w:p>
    <w:p>
      <w:pPr>
        <w:pStyle w:val="ListNumber"/>
      </w:pPr>
      <w:r>
        <w:rPr>
          <w:sz w:val="21"/>
        </w:rPr>
        <w:t>项目概况（项目名称、负责人、周期、预算）</w:t>
      </w:r>
    </w:p>
    <w:p>
      <w:pPr>
        <w:pStyle w:val="ListNumber"/>
      </w:pPr>
      <w:r>
        <w:rPr>
          <w:sz w:val="21"/>
        </w:rPr>
        <w:t>遗产资源分析（类型、数量、保存状况、数字化需求）</w:t>
      </w:r>
    </w:p>
    <w:p>
      <w:pPr>
        <w:pStyle w:val="ListNumber"/>
      </w:pPr>
      <w:r>
        <w:rPr>
          <w:sz w:val="21"/>
        </w:rPr>
        <w:t>技术方案（D.I.G.I.T.五维度技术路线）</w:t>
      </w:r>
    </w:p>
    <w:p>
      <w:pPr>
        <w:pStyle w:val="ListNumber"/>
      </w:pPr>
      <w:r>
        <w:rPr>
          <w:sz w:val="21"/>
        </w:rPr>
        <w:t>元数据方案（标准选择、字段定义、映射规则）</w:t>
      </w:r>
    </w:p>
    <w:p>
      <w:pPr>
        <w:pStyle w:val="ListNumber"/>
      </w:pPr>
      <w:r>
        <w:rPr>
          <w:sz w:val="21"/>
        </w:rPr>
        <w:t>存储与安全方案（存储架构、备份策略、访问控制）</w:t>
      </w:r>
    </w:p>
    <w:p>
      <w:pPr>
        <w:pStyle w:val="ListNumber"/>
      </w:pPr>
      <w:r>
        <w:rPr>
          <w:sz w:val="21"/>
        </w:rPr>
        <w:t>人员与组织（团队配置、职责分工、培训计划）</w:t>
      </w:r>
    </w:p>
    <w:p>
      <w:pPr>
        <w:pStyle w:val="ListNumber"/>
      </w:pPr>
      <w:r>
        <w:rPr>
          <w:sz w:val="21"/>
        </w:rPr>
        <w:t>进度计划（里程碑、交付物、验收标准）</w:t>
      </w:r>
    </w:p>
    <w:p>
      <w:pPr>
        <w:pStyle w:val="ListNumber"/>
      </w:pPr>
      <w:r>
        <w:rPr>
          <w:sz w:val="21"/>
        </w:rPr>
        <w:t>风险评估（技术风险、版权风险、资金风险）</w:t>
      </w:r>
    </w:p>
    <w:p>
      <w:pPr>
        <w:spacing w:before="160"/>
      </w:pPr>
      <w:r>
        <w:rPr>
          <w:b/>
          <w:color w:val="457B9D"/>
          <w:sz w:val="26"/>
        </w:rPr>
        <w:t>数字化项目实施检查清单</w:t>
      </w:r>
    </w:p>
    <w:p>
      <w:pPr>
        <w:ind w:left="567"/>
      </w:pPr>
      <w:r>
        <w:rPr>
          <w:sz w:val="21"/>
        </w:rPr>
        <w:t>- [ ] 遗产资源普查与优先级排序完成</w:t>
      </w:r>
    </w:p>
    <w:p>
      <w:pPr>
        <w:ind w:left="567"/>
      </w:pPr>
      <w:r>
        <w:rPr>
          <w:sz w:val="21"/>
        </w:rPr>
        <w:t>- [ ] 数字化技术方案经专家评审通过</w:t>
      </w:r>
    </w:p>
    <w:p>
      <w:pPr>
        <w:ind w:left="567"/>
      </w:pPr>
      <w:r>
        <w:rPr>
          <w:sz w:val="21"/>
        </w:rPr>
        <w:t>- [ ] 元数据标准确定并完成字段映射</w:t>
      </w:r>
    </w:p>
    <w:p>
      <w:pPr>
        <w:ind w:left="567"/>
      </w:pPr>
      <w:r>
        <w:rPr>
          <w:sz w:val="21"/>
        </w:rPr>
        <w:t>- [ ] 存储架构设计完成，容量规划充分</w:t>
      </w:r>
    </w:p>
    <w:p>
      <w:pPr>
        <w:ind w:left="567"/>
      </w:pPr>
      <w:r>
        <w:rPr>
          <w:sz w:val="21"/>
        </w:rPr>
        <w:t>- [ ] 采集设备校准与测试完成</w:t>
      </w:r>
    </w:p>
    <w:p>
      <w:pPr>
        <w:ind w:left="567"/>
      </w:pPr>
      <w:r>
        <w:rPr>
          <w:sz w:val="21"/>
        </w:rPr>
        <w:t>- [ ] 采集人员培训合格</w:t>
      </w:r>
    </w:p>
    <w:p>
      <w:pPr>
        <w:ind w:left="567"/>
      </w:pPr>
      <w:r>
        <w:rPr>
          <w:sz w:val="21"/>
        </w:rPr>
        <w:t>- [ ] 数据质量控制流程建立</w:t>
      </w:r>
    </w:p>
    <w:p>
      <w:pPr>
        <w:ind w:left="567"/>
      </w:pPr>
      <w:r>
        <w:rPr>
          <w:sz w:val="21"/>
        </w:rPr>
        <w:t>- [ ] 版权归属确认与授权协议签署</w:t>
      </w:r>
    </w:p>
    <w:p>
      <w:pPr>
        <w:ind w:left="567"/>
      </w:pPr>
      <w:r>
        <w:rPr>
          <w:sz w:val="21"/>
        </w:rPr>
        <w:t>- [ ] 备份策略部署（3-2-1原则）</w:t>
      </w:r>
    </w:p>
    <w:p>
      <w:pPr>
        <w:ind w:left="567"/>
      </w:pPr>
      <w:r>
        <w:rPr>
          <w:sz w:val="21"/>
        </w:rPr>
        <w:t>- [ ] 数据访问权限分级设置</w:t>
      </w:r>
    </w:p>
    <w:p>
      <w:pPr>
        <w:ind w:left="567"/>
      </w:pPr>
      <w:r>
        <w:rPr>
          <w:sz w:val="21"/>
        </w:rPr>
        <w:t>- [ ] 项目验收标准明确</w:t>
      </w:r>
    </w:p>
    <w:p>
      <w:pPr>
        <w:ind w:left="567"/>
      </w:pPr>
      <w:r>
        <w:rPr>
          <w:sz w:val="21"/>
        </w:rPr>
        <w:t>- [ ] 长期保存迁移计划制定</w:t>
      </w:r>
    </w:p>
    <w:p>
      <w:pPr>
        <w:spacing w:before="240" w:after="120"/>
      </w:pPr>
      <w:r>
        <w:rPr>
          <w:b/>
          <w:color w:val="264653"/>
          <w:sz w:val="32"/>
        </w:rPr>
        <w:t>附录E 教学大纲</w:t>
      </w:r>
    </w:p>
    <w:p>
      <w:pPr>
        <w:spacing w:before="160"/>
      </w:pPr>
      <w:r>
        <w:rPr>
          <w:b/>
          <w:color w:val="457B9D"/>
          <w:sz w:val="26"/>
        </w:rPr>
        <w:t>课程信息</w:t>
      </w:r>
    </w:p>
    <w:p>
      <w:pPr>
        <w:pStyle w:val="ListBullet"/>
      </w:pPr>
      <w:r>
        <w:rPr>
          <w:sz w:val="21"/>
        </w:rPr>
        <w:t>课程名称：文化遗产保护概论——非遗数字化与文物数字典藏</w:t>
      </w:r>
    </w:p>
    <w:p>
      <w:pPr>
        <w:pStyle w:val="ListBullet"/>
      </w:pPr>
      <w:r>
        <w:rPr>
          <w:sz w:val="21"/>
        </w:rPr>
        <w:t>学分：3学分 | 学时：48学时（理论32学时 + 实验16学时）</w:t>
      </w:r>
    </w:p>
    <w:p>
      <w:pPr>
        <w:pStyle w:val="ListBullet"/>
      </w:pPr>
      <w:r>
        <w:rPr>
          <w:sz w:val="21"/>
        </w:rPr>
        <w:t>适用对象：文化遗产、博物馆学、数字人文、旅游管理专业本科生/研究生</w:t>
      </w:r>
    </w:p>
    <w:p>
      <w:pPr>
        <w:spacing w:before="160"/>
      </w:pPr>
      <w:r>
        <w:rPr>
          <w:b/>
          <w:color w:val="457B9D"/>
          <w:sz w:val="26"/>
        </w:rPr>
        <w:t>教学进度</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D9E2EC"/>
          </w:tcPr>
          <w:p>
            <w:pPr>
              <w:spacing w:before="40" w:after="40"/>
            </w:pPr>
            <w:r>
              <w:rPr>
                <w:b/>
                <w:sz w:val="20"/>
              </w:rPr>
            </w:r>
            <w:r>
              <w:rPr>
                <w:b/>
                <w:sz w:val="20"/>
              </w:rPr>
              <w:t>周次</w:t>
            </w:r>
          </w:p>
        </w:tc>
        <w:tc>
          <w:tcPr>
            <w:tcW w:type="dxa" w:w="2126"/>
            <w:shd w:val="clear" w:color="auto" w:fill="D9E2EC"/>
          </w:tcPr>
          <w:p>
            <w:pPr>
              <w:spacing w:before="40" w:after="40"/>
            </w:pPr>
            <w:r>
              <w:rPr>
                <w:b/>
                <w:sz w:val="20"/>
              </w:rPr>
            </w:r>
            <w:r>
              <w:rPr>
                <w:b/>
                <w:sz w:val="20"/>
              </w:rPr>
              <w:t>内容</w:t>
            </w:r>
          </w:p>
        </w:tc>
        <w:tc>
          <w:tcPr>
            <w:tcW w:type="dxa" w:w="2126"/>
            <w:shd w:val="clear" w:color="auto" w:fill="D9E2EC"/>
          </w:tcPr>
          <w:p>
            <w:pPr>
              <w:spacing w:before="40" w:after="40"/>
            </w:pPr>
            <w:r>
              <w:rPr>
                <w:b/>
                <w:sz w:val="20"/>
              </w:rPr>
            </w:r>
            <w:r>
              <w:rPr>
                <w:b/>
                <w:sz w:val="20"/>
              </w:rPr>
              <w:t>学时</w:t>
            </w:r>
          </w:p>
        </w:tc>
        <w:tc>
          <w:tcPr>
            <w:tcW w:type="dxa" w:w="2126"/>
            <w:shd w:val="clear" w:color="auto" w:fill="D9E2EC"/>
          </w:tcPr>
          <w:p>
            <w:pPr>
              <w:spacing w:before="40" w:after="40"/>
            </w:pPr>
            <w:r>
              <w:rPr>
                <w:b/>
                <w:sz w:val="20"/>
              </w:rPr>
            </w:r>
            <w:r>
              <w:rPr>
                <w:b/>
                <w:sz w:val="20"/>
              </w:rPr>
              <w:t>类型</w:t>
            </w:r>
          </w:p>
        </w:tc>
      </w:tr>
      <w:tr>
        <w:tc>
          <w:tcPr>
            <w:tcW w:type="dxa" w:w="2126"/>
          </w:tcPr>
          <w:p>
            <w:pPr>
              <w:spacing w:before="40" w:after="40"/>
            </w:pPr>
            <w:r>
              <w:rPr>
                <w:sz w:val="20"/>
              </w:rPr>
            </w:r>
            <w:r>
              <w:rPr>
                <w:sz w:val="20"/>
              </w:rPr>
              <w:t>1</w:t>
            </w:r>
          </w:p>
        </w:tc>
        <w:tc>
          <w:tcPr>
            <w:tcW w:type="dxa" w:w="2126"/>
          </w:tcPr>
          <w:p>
            <w:pPr>
              <w:spacing w:before="40" w:after="40"/>
            </w:pPr>
            <w:r>
              <w:rPr>
                <w:sz w:val="20"/>
              </w:rPr>
            </w:r>
            <w:r>
              <w:rPr>
                <w:sz w:val="20"/>
              </w:rPr>
              <w:t>第1章 文化遗产保护概论</w:t>
            </w:r>
          </w:p>
        </w:tc>
        <w:tc>
          <w:tcPr>
            <w:tcW w:type="dxa" w:w="2126"/>
          </w:tcPr>
          <w:p>
            <w:pPr>
              <w:spacing w:before="40" w:after="40"/>
            </w:pPr>
            <w:r>
              <w:rPr>
                <w:sz w:val="20"/>
              </w:rPr>
            </w:r>
            <w:r>
              <w:rPr>
                <w:sz w:val="20"/>
              </w:rPr>
              <w:t>3</w:t>
            </w:r>
          </w:p>
        </w:tc>
        <w:tc>
          <w:tcPr>
            <w:tcW w:type="dxa" w:w="2126"/>
          </w:tcPr>
          <w:p>
            <w:pPr>
              <w:spacing w:before="40" w:after="40"/>
            </w:pPr>
            <w:r>
              <w:rPr>
                <w:sz w:val="20"/>
              </w:rPr>
            </w:r>
            <w:r>
              <w:rPr>
                <w:sz w:val="20"/>
              </w:rPr>
              <w:t>理论</w:t>
            </w:r>
          </w:p>
        </w:tc>
      </w:tr>
      <w:tr>
        <w:tc>
          <w:tcPr>
            <w:tcW w:type="dxa" w:w="2126"/>
            <w:shd w:val="clear" w:color="auto" w:fill="F5F5F5"/>
          </w:tcPr>
          <w:p>
            <w:pPr>
              <w:spacing w:before="40" w:after="40"/>
            </w:pPr>
            <w:r>
              <w:rPr>
                <w:sz w:val="20"/>
              </w:rPr>
            </w:r>
            <w:r>
              <w:rPr>
                <w:sz w:val="20"/>
              </w:rPr>
              <w:t>2</w:t>
            </w:r>
          </w:p>
        </w:tc>
        <w:tc>
          <w:tcPr>
            <w:tcW w:type="dxa" w:w="2126"/>
            <w:shd w:val="clear" w:color="auto" w:fill="F5F5F5"/>
          </w:tcPr>
          <w:p>
            <w:pPr>
              <w:spacing w:before="40" w:after="40"/>
            </w:pPr>
            <w:r>
              <w:rPr>
                <w:sz w:val="20"/>
              </w:rPr>
            </w:r>
            <w:r>
              <w:rPr>
                <w:sz w:val="20"/>
              </w:rPr>
              <w:t>第2章 物质与非物质文化遗产</w:t>
            </w:r>
          </w:p>
        </w:tc>
        <w:tc>
          <w:tcPr>
            <w:tcW w:type="dxa" w:w="2126"/>
            <w:shd w:val="clear" w:color="auto" w:fill="F5F5F5"/>
          </w:tcPr>
          <w:p>
            <w:pPr>
              <w:spacing w:before="40" w:after="40"/>
            </w:pPr>
            <w:r>
              <w:rPr>
                <w:sz w:val="20"/>
              </w:rPr>
            </w:r>
            <w:r>
              <w:rPr>
                <w:sz w:val="20"/>
              </w:rPr>
              <w:t>3</w:t>
            </w:r>
          </w:p>
        </w:tc>
        <w:tc>
          <w:tcPr>
            <w:tcW w:type="dxa" w:w="2126"/>
            <w:shd w:val="clear" w:color="auto" w:fill="F5F5F5"/>
          </w:tcPr>
          <w:p>
            <w:pPr>
              <w:spacing w:before="40" w:after="40"/>
            </w:pPr>
            <w:r>
              <w:rPr>
                <w:sz w:val="20"/>
              </w:rPr>
            </w:r>
            <w:r>
              <w:rPr>
                <w:sz w:val="20"/>
              </w:rPr>
              <w:t>理论</w:t>
            </w:r>
          </w:p>
        </w:tc>
      </w:tr>
      <w:tr>
        <w:tc>
          <w:tcPr>
            <w:tcW w:type="dxa" w:w="2126"/>
          </w:tcPr>
          <w:p>
            <w:pPr>
              <w:spacing w:before="40" w:after="40"/>
            </w:pPr>
            <w:r>
              <w:rPr>
                <w:sz w:val="20"/>
              </w:rPr>
            </w:r>
            <w:r>
              <w:rPr>
                <w:sz w:val="20"/>
              </w:rPr>
              <w:t>3</w:t>
            </w:r>
          </w:p>
        </w:tc>
        <w:tc>
          <w:tcPr>
            <w:tcW w:type="dxa" w:w="2126"/>
          </w:tcPr>
          <w:p>
            <w:pPr>
              <w:spacing w:before="40" w:after="40"/>
            </w:pPr>
            <w:r>
              <w:rPr>
                <w:sz w:val="20"/>
              </w:rPr>
            </w:r>
            <w:r>
              <w:rPr>
                <w:sz w:val="20"/>
              </w:rPr>
              <w:t>第3章 数字化保护理论基础</w:t>
            </w:r>
          </w:p>
        </w:tc>
        <w:tc>
          <w:tcPr>
            <w:tcW w:type="dxa" w:w="2126"/>
          </w:tcPr>
          <w:p>
            <w:pPr>
              <w:spacing w:before="40" w:after="40"/>
            </w:pPr>
            <w:r>
              <w:rPr>
                <w:sz w:val="20"/>
              </w:rPr>
            </w:r>
            <w:r>
              <w:rPr>
                <w:sz w:val="20"/>
              </w:rPr>
              <w:t>3</w:t>
            </w:r>
          </w:p>
        </w:tc>
        <w:tc>
          <w:tcPr>
            <w:tcW w:type="dxa" w:w="2126"/>
          </w:tcPr>
          <w:p>
            <w:pPr>
              <w:spacing w:before="40" w:after="40"/>
            </w:pPr>
            <w:r>
              <w:rPr>
                <w:sz w:val="20"/>
              </w:rPr>
            </w:r>
            <w:r>
              <w:rPr>
                <w:sz w:val="20"/>
              </w:rPr>
              <w:t>理论</w:t>
            </w:r>
          </w:p>
        </w:tc>
      </w:tr>
      <w:tr>
        <w:tc>
          <w:tcPr>
            <w:tcW w:type="dxa" w:w="2126"/>
            <w:shd w:val="clear" w:color="auto" w:fill="F5F5F5"/>
          </w:tcPr>
          <w:p>
            <w:pPr>
              <w:spacing w:before="40" w:after="40"/>
            </w:pPr>
            <w:r>
              <w:rPr>
                <w:sz w:val="20"/>
              </w:rPr>
            </w:r>
            <w:r>
              <w:rPr>
                <w:sz w:val="20"/>
              </w:rPr>
              <w:t>4</w:t>
            </w:r>
          </w:p>
        </w:tc>
        <w:tc>
          <w:tcPr>
            <w:tcW w:type="dxa" w:w="2126"/>
            <w:shd w:val="clear" w:color="auto" w:fill="F5F5F5"/>
          </w:tcPr>
          <w:p>
            <w:pPr>
              <w:spacing w:before="40" w:after="40"/>
            </w:pPr>
            <w:r>
              <w:rPr>
                <w:sz w:val="20"/>
              </w:rPr>
            </w:r>
            <w:r>
              <w:rPr>
                <w:sz w:val="20"/>
              </w:rPr>
              <w:t>第4章 文物三维数字化（上）</w:t>
            </w:r>
          </w:p>
        </w:tc>
        <w:tc>
          <w:tcPr>
            <w:tcW w:type="dxa" w:w="2126"/>
            <w:shd w:val="clear" w:color="auto" w:fill="F5F5F5"/>
          </w:tcPr>
          <w:p>
            <w:pPr>
              <w:spacing w:before="40" w:after="40"/>
            </w:pPr>
            <w:r>
              <w:rPr>
                <w:sz w:val="20"/>
              </w:rPr>
            </w:r>
            <w:r>
              <w:rPr>
                <w:sz w:val="20"/>
              </w:rPr>
              <w:t>2+2</w:t>
            </w:r>
          </w:p>
        </w:tc>
        <w:tc>
          <w:tcPr>
            <w:tcW w:type="dxa" w:w="2126"/>
            <w:shd w:val="clear" w:color="auto" w:fill="F5F5F5"/>
          </w:tcPr>
          <w:p>
            <w:pPr>
              <w:spacing w:before="40" w:after="40"/>
            </w:pPr>
            <w:r>
              <w:rPr>
                <w:sz w:val="20"/>
              </w:rPr>
            </w:r>
            <w:r>
              <w:rPr>
                <w:sz w:val="20"/>
              </w:rPr>
              <w:t>理论+实验</w:t>
            </w:r>
          </w:p>
        </w:tc>
      </w:tr>
      <w:tr>
        <w:tc>
          <w:tcPr>
            <w:tcW w:type="dxa" w:w="2126"/>
          </w:tcPr>
          <w:p>
            <w:pPr>
              <w:spacing w:before="40" w:after="40"/>
            </w:pPr>
            <w:r>
              <w:rPr>
                <w:sz w:val="20"/>
              </w:rPr>
            </w:r>
            <w:r>
              <w:rPr>
                <w:sz w:val="20"/>
              </w:rPr>
              <w:t>5</w:t>
            </w:r>
          </w:p>
        </w:tc>
        <w:tc>
          <w:tcPr>
            <w:tcW w:type="dxa" w:w="2126"/>
          </w:tcPr>
          <w:p>
            <w:pPr>
              <w:spacing w:before="40" w:after="40"/>
            </w:pPr>
            <w:r>
              <w:rPr>
                <w:sz w:val="20"/>
              </w:rPr>
            </w:r>
            <w:r>
              <w:rPr>
                <w:sz w:val="20"/>
              </w:rPr>
              <w:t>第4章 数字典藏库建设（下）</w:t>
            </w:r>
          </w:p>
        </w:tc>
        <w:tc>
          <w:tcPr>
            <w:tcW w:type="dxa" w:w="2126"/>
          </w:tcPr>
          <w:p>
            <w:pPr>
              <w:spacing w:before="40" w:after="40"/>
            </w:pPr>
            <w:r>
              <w:rPr>
                <w:sz w:val="20"/>
              </w:rPr>
            </w:r>
            <w:r>
              <w:rPr>
                <w:sz w:val="20"/>
              </w:rPr>
              <w:t>2+2</w:t>
            </w:r>
          </w:p>
        </w:tc>
        <w:tc>
          <w:tcPr>
            <w:tcW w:type="dxa" w:w="2126"/>
          </w:tcPr>
          <w:p>
            <w:pPr>
              <w:spacing w:before="40" w:after="40"/>
            </w:pPr>
            <w:r>
              <w:rPr>
                <w:sz w:val="20"/>
              </w:rPr>
            </w:r>
            <w:r>
              <w:rPr>
                <w:sz w:val="20"/>
              </w:rPr>
              <w:t>理论+实验</w:t>
            </w:r>
          </w:p>
        </w:tc>
      </w:tr>
      <w:tr>
        <w:tc>
          <w:tcPr>
            <w:tcW w:type="dxa" w:w="2126"/>
            <w:shd w:val="clear" w:color="auto" w:fill="F5F5F5"/>
          </w:tcPr>
          <w:p>
            <w:pPr>
              <w:spacing w:before="40" w:after="40"/>
            </w:pPr>
            <w:r>
              <w:rPr>
                <w:sz w:val="20"/>
              </w:rPr>
            </w:r>
            <w:r>
              <w:rPr>
                <w:sz w:val="20"/>
              </w:rPr>
              <w:t>6</w:t>
            </w:r>
          </w:p>
        </w:tc>
        <w:tc>
          <w:tcPr>
            <w:tcW w:type="dxa" w:w="2126"/>
            <w:shd w:val="clear" w:color="auto" w:fill="F5F5F5"/>
          </w:tcPr>
          <w:p>
            <w:pPr>
              <w:spacing w:before="40" w:after="40"/>
            </w:pPr>
            <w:r>
              <w:rPr>
                <w:sz w:val="20"/>
              </w:rPr>
            </w:r>
            <w:r>
              <w:rPr>
                <w:sz w:val="20"/>
              </w:rPr>
              <w:t>第5章 非遗数字化技术</w:t>
            </w:r>
          </w:p>
        </w:tc>
        <w:tc>
          <w:tcPr>
            <w:tcW w:type="dxa" w:w="2126"/>
            <w:shd w:val="clear" w:color="auto" w:fill="F5F5F5"/>
          </w:tcPr>
          <w:p>
            <w:pPr>
              <w:spacing w:before="40" w:after="40"/>
            </w:pPr>
            <w:r>
              <w:rPr>
                <w:sz w:val="20"/>
              </w:rPr>
            </w:r>
            <w:r>
              <w:rPr>
                <w:sz w:val="20"/>
              </w:rPr>
              <w:t>3</w:t>
            </w:r>
          </w:p>
        </w:tc>
        <w:tc>
          <w:tcPr>
            <w:tcW w:type="dxa" w:w="2126"/>
            <w:shd w:val="clear" w:color="auto" w:fill="F5F5F5"/>
          </w:tcPr>
          <w:p>
            <w:pPr>
              <w:spacing w:before="40" w:after="40"/>
            </w:pPr>
            <w:r>
              <w:rPr>
                <w:sz w:val="20"/>
              </w:rPr>
            </w:r>
            <w:r>
              <w:rPr>
                <w:sz w:val="20"/>
              </w:rPr>
              <w:t>理论</w:t>
            </w:r>
          </w:p>
        </w:tc>
      </w:tr>
      <w:tr>
        <w:tc>
          <w:tcPr>
            <w:tcW w:type="dxa" w:w="2126"/>
          </w:tcPr>
          <w:p>
            <w:pPr>
              <w:spacing w:before="40" w:after="40"/>
            </w:pPr>
            <w:r>
              <w:rPr>
                <w:sz w:val="20"/>
              </w:rPr>
            </w:r>
            <w:r>
              <w:rPr>
                <w:sz w:val="20"/>
              </w:rPr>
              <w:t>7</w:t>
            </w:r>
          </w:p>
        </w:tc>
        <w:tc>
          <w:tcPr>
            <w:tcW w:type="dxa" w:w="2126"/>
          </w:tcPr>
          <w:p>
            <w:pPr>
              <w:spacing w:before="40" w:after="40"/>
            </w:pPr>
            <w:r>
              <w:rPr>
                <w:sz w:val="20"/>
              </w:rPr>
            </w:r>
            <w:r>
              <w:rPr>
                <w:sz w:val="20"/>
              </w:rPr>
              <w:t>第5章 非遗数字档案建设</w:t>
            </w:r>
          </w:p>
        </w:tc>
        <w:tc>
          <w:tcPr>
            <w:tcW w:type="dxa" w:w="2126"/>
          </w:tcPr>
          <w:p>
            <w:pPr>
              <w:spacing w:before="40" w:after="40"/>
            </w:pPr>
            <w:r>
              <w:rPr>
                <w:sz w:val="20"/>
              </w:rPr>
            </w:r>
            <w:r>
              <w:rPr>
                <w:sz w:val="20"/>
              </w:rPr>
              <w:t>1+2</w:t>
            </w:r>
          </w:p>
        </w:tc>
        <w:tc>
          <w:tcPr>
            <w:tcW w:type="dxa" w:w="2126"/>
          </w:tcPr>
          <w:p>
            <w:pPr>
              <w:spacing w:before="40" w:after="40"/>
            </w:pPr>
            <w:r>
              <w:rPr>
                <w:sz w:val="20"/>
              </w:rPr>
            </w:r>
            <w:r>
              <w:rPr>
                <w:sz w:val="20"/>
              </w:rPr>
              <w:t>理论+实验</w:t>
            </w:r>
          </w:p>
        </w:tc>
      </w:tr>
      <w:tr>
        <w:tc>
          <w:tcPr>
            <w:tcW w:type="dxa" w:w="2126"/>
            <w:shd w:val="clear" w:color="auto" w:fill="F5F5F5"/>
          </w:tcPr>
          <w:p>
            <w:pPr>
              <w:spacing w:before="40" w:after="40"/>
            </w:pPr>
            <w:r>
              <w:rPr>
                <w:sz w:val="20"/>
              </w:rPr>
            </w:r>
            <w:r>
              <w:rPr>
                <w:sz w:val="20"/>
              </w:rPr>
              <w:t>8</w:t>
            </w:r>
          </w:p>
        </w:tc>
        <w:tc>
          <w:tcPr>
            <w:tcW w:type="dxa" w:w="2126"/>
            <w:shd w:val="clear" w:color="auto" w:fill="F5F5F5"/>
          </w:tcPr>
          <w:p>
            <w:pPr>
              <w:spacing w:before="40" w:after="40"/>
            </w:pPr>
            <w:r>
              <w:rPr>
                <w:sz w:val="20"/>
              </w:rPr>
            </w:r>
            <w:r>
              <w:rPr>
                <w:sz w:val="20"/>
              </w:rPr>
              <w:t>第6章 VR/AR与沉浸式体验</w:t>
            </w:r>
          </w:p>
        </w:tc>
        <w:tc>
          <w:tcPr>
            <w:tcW w:type="dxa" w:w="2126"/>
            <w:shd w:val="clear" w:color="auto" w:fill="F5F5F5"/>
          </w:tcPr>
          <w:p>
            <w:pPr>
              <w:spacing w:before="40" w:after="40"/>
            </w:pPr>
            <w:r>
              <w:rPr>
                <w:sz w:val="20"/>
              </w:rPr>
            </w:r>
            <w:r>
              <w:rPr>
                <w:sz w:val="20"/>
              </w:rPr>
              <w:t>3</w:t>
            </w:r>
          </w:p>
        </w:tc>
        <w:tc>
          <w:tcPr>
            <w:tcW w:type="dxa" w:w="2126"/>
            <w:shd w:val="clear" w:color="auto" w:fill="F5F5F5"/>
          </w:tcPr>
          <w:p>
            <w:pPr>
              <w:spacing w:before="40" w:after="40"/>
            </w:pPr>
            <w:r>
              <w:rPr>
                <w:sz w:val="20"/>
              </w:rPr>
            </w:r>
            <w:r>
              <w:rPr>
                <w:sz w:val="20"/>
              </w:rPr>
              <w:t>理论</w:t>
            </w:r>
          </w:p>
        </w:tc>
      </w:tr>
      <w:tr>
        <w:tc>
          <w:tcPr>
            <w:tcW w:type="dxa" w:w="2126"/>
          </w:tcPr>
          <w:p>
            <w:pPr>
              <w:spacing w:before="40" w:after="40"/>
            </w:pPr>
            <w:r>
              <w:rPr>
                <w:sz w:val="20"/>
              </w:rPr>
            </w:r>
            <w:r>
              <w:rPr>
                <w:sz w:val="20"/>
              </w:rPr>
              <w:t>9</w:t>
            </w:r>
          </w:p>
        </w:tc>
        <w:tc>
          <w:tcPr>
            <w:tcW w:type="dxa" w:w="2126"/>
          </w:tcPr>
          <w:p>
            <w:pPr>
              <w:spacing w:before="40" w:after="40"/>
            </w:pPr>
            <w:r>
              <w:rPr>
                <w:sz w:val="20"/>
              </w:rPr>
            </w:r>
            <w:r>
              <w:rPr>
                <w:sz w:val="20"/>
              </w:rPr>
              <w:t>期中考核</w:t>
            </w:r>
          </w:p>
        </w:tc>
        <w:tc>
          <w:tcPr>
            <w:tcW w:type="dxa" w:w="2126"/>
          </w:tcPr>
          <w:p>
            <w:pPr>
              <w:spacing w:before="40" w:after="40"/>
            </w:pPr>
            <w:r>
              <w:rPr>
                <w:sz w:val="20"/>
              </w:rPr>
            </w:r>
            <w:r>
              <w:rPr>
                <w:sz w:val="20"/>
              </w:rPr>
              <w:t>2</w:t>
            </w:r>
          </w:p>
        </w:tc>
        <w:tc>
          <w:tcPr>
            <w:tcW w:type="dxa" w:w="2126"/>
          </w:tcPr>
          <w:p>
            <w:pPr>
              <w:spacing w:before="40" w:after="40"/>
            </w:pPr>
            <w:r>
              <w:rPr>
                <w:sz w:val="20"/>
              </w:rPr>
            </w:r>
            <w:r>
              <w:rPr>
                <w:sz w:val="20"/>
              </w:rPr>
              <w:t>考核</w:t>
            </w:r>
          </w:p>
        </w:tc>
      </w:tr>
      <w:tr>
        <w:tc>
          <w:tcPr>
            <w:tcW w:type="dxa" w:w="2126"/>
            <w:shd w:val="clear" w:color="auto" w:fill="F5F5F5"/>
          </w:tcPr>
          <w:p>
            <w:pPr>
              <w:spacing w:before="40" w:after="40"/>
            </w:pPr>
            <w:r>
              <w:rPr>
                <w:sz w:val="20"/>
              </w:rPr>
            </w:r>
            <w:r>
              <w:rPr>
                <w:sz w:val="20"/>
              </w:rPr>
              <w:t>10</w:t>
            </w:r>
          </w:p>
        </w:tc>
        <w:tc>
          <w:tcPr>
            <w:tcW w:type="dxa" w:w="2126"/>
            <w:shd w:val="clear" w:color="auto" w:fill="F5F5F5"/>
          </w:tcPr>
          <w:p>
            <w:pPr>
              <w:spacing w:before="40" w:after="40"/>
            </w:pPr>
            <w:r>
              <w:rPr>
                <w:sz w:val="20"/>
              </w:rPr>
            </w:r>
            <w:r>
              <w:rPr>
                <w:sz w:val="20"/>
              </w:rPr>
              <w:t>第7章 AI与大数据应用</w:t>
            </w:r>
          </w:p>
        </w:tc>
        <w:tc>
          <w:tcPr>
            <w:tcW w:type="dxa" w:w="2126"/>
            <w:shd w:val="clear" w:color="auto" w:fill="F5F5F5"/>
          </w:tcPr>
          <w:p>
            <w:pPr>
              <w:spacing w:before="40" w:after="40"/>
            </w:pPr>
            <w:r>
              <w:rPr>
                <w:sz w:val="20"/>
              </w:rPr>
            </w:r>
            <w:r>
              <w:rPr>
                <w:sz w:val="20"/>
              </w:rPr>
              <w:t>3</w:t>
            </w:r>
          </w:p>
        </w:tc>
        <w:tc>
          <w:tcPr>
            <w:tcW w:type="dxa" w:w="2126"/>
            <w:shd w:val="clear" w:color="auto" w:fill="F5F5F5"/>
          </w:tcPr>
          <w:p>
            <w:pPr>
              <w:spacing w:before="40" w:after="40"/>
            </w:pPr>
            <w:r>
              <w:rPr>
                <w:sz w:val="20"/>
              </w:rPr>
            </w:r>
            <w:r>
              <w:rPr>
                <w:sz w:val="20"/>
              </w:rPr>
              <w:t>理论</w:t>
            </w:r>
          </w:p>
        </w:tc>
      </w:tr>
      <w:tr>
        <w:tc>
          <w:tcPr>
            <w:tcW w:type="dxa" w:w="2126"/>
          </w:tcPr>
          <w:p>
            <w:pPr>
              <w:spacing w:before="40" w:after="40"/>
            </w:pPr>
            <w:r>
              <w:rPr>
                <w:sz w:val="20"/>
              </w:rPr>
            </w:r>
            <w:r>
              <w:rPr>
                <w:sz w:val="20"/>
              </w:rPr>
              <w:t>11</w:t>
            </w:r>
          </w:p>
        </w:tc>
        <w:tc>
          <w:tcPr>
            <w:tcW w:type="dxa" w:w="2126"/>
          </w:tcPr>
          <w:p>
            <w:pPr>
              <w:spacing w:before="40" w:after="40"/>
            </w:pPr>
            <w:r>
              <w:rPr>
                <w:sz w:val="20"/>
              </w:rPr>
            </w:r>
            <w:r>
              <w:rPr>
                <w:sz w:val="20"/>
              </w:rPr>
              <w:t>第8章 知识图谱与数据管理</w:t>
            </w:r>
          </w:p>
        </w:tc>
        <w:tc>
          <w:tcPr>
            <w:tcW w:type="dxa" w:w="2126"/>
          </w:tcPr>
          <w:p>
            <w:pPr>
              <w:spacing w:before="40" w:after="40"/>
            </w:pPr>
            <w:r>
              <w:rPr>
                <w:sz w:val="20"/>
              </w:rPr>
            </w:r>
            <w:r>
              <w:rPr>
                <w:sz w:val="20"/>
              </w:rPr>
              <w:t>2+2</w:t>
            </w:r>
          </w:p>
        </w:tc>
        <w:tc>
          <w:tcPr>
            <w:tcW w:type="dxa" w:w="2126"/>
          </w:tcPr>
          <w:p>
            <w:pPr>
              <w:spacing w:before="40" w:after="40"/>
            </w:pPr>
            <w:r>
              <w:rPr>
                <w:sz w:val="20"/>
              </w:rPr>
            </w:r>
            <w:r>
              <w:rPr>
                <w:sz w:val="20"/>
              </w:rPr>
              <w:t>理论+实验</w:t>
            </w:r>
          </w:p>
        </w:tc>
      </w:tr>
      <w:tr>
        <w:tc>
          <w:tcPr>
            <w:tcW w:type="dxa" w:w="2126"/>
            <w:shd w:val="clear" w:color="auto" w:fill="F5F5F5"/>
          </w:tcPr>
          <w:p>
            <w:pPr>
              <w:spacing w:before="40" w:after="40"/>
            </w:pPr>
            <w:r>
              <w:rPr>
                <w:sz w:val="20"/>
              </w:rPr>
            </w:r>
            <w:r>
              <w:rPr>
                <w:sz w:val="20"/>
              </w:rPr>
              <w:t>12</w:t>
            </w:r>
          </w:p>
        </w:tc>
        <w:tc>
          <w:tcPr>
            <w:tcW w:type="dxa" w:w="2126"/>
            <w:shd w:val="clear" w:color="auto" w:fill="F5F5F5"/>
          </w:tcPr>
          <w:p>
            <w:pPr>
              <w:spacing w:before="40" w:after="40"/>
            </w:pPr>
            <w:r>
              <w:rPr>
                <w:sz w:val="20"/>
              </w:rPr>
            </w:r>
            <w:r>
              <w:rPr>
                <w:sz w:val="20"/>
              </w:rPr>
              <w:t>第9章 区块链与数字版权</w:t>
            </w:r>
          </w:p>
        </w:tc>
        <w:tc>
          <w:tcPr>
            <w:tcW w:type="dxa" w:w="2126"/>
            <w:shd w:val="clear" w:color="auto" w:fill="F5F5F5"/>
          </w:tcPr>
          <w:p>
            <w:pPr>
              <w:spacing w:before="40" w:after="40"/>
            </w:pPr>
            <w:r>
              <w:rPr>
                <w:sz w:val="20"/>
              </w:rPr>
            </w:r>
            <w:r>
              <w:rPr>
                <w:sz w:val="20"/>
              </w:rPr>
              <w:t>3</w:t>
            </w:r>
          </w:p>
        </w:tc>
        <w:tc>
          <w:tcPr>
            <w:tcW w:type="dxa" w:w="2126"/>
            <w:shd w:val="clear" w:color="auto" w:fill="F5F5F5"/>
          </w:tcPr>
          <w:p>
            <w:pPr>
              <w:spacing w:before="40" w:after="40"/>
            </w:pPr>
            <w:r>
              <w:rPr>
                <w:sz w:val="20"/>
              </w:rPr>
            </w:r>
            <w:r>
              <w:rPr>
                <w:sz w:val="20"/>
              </w:rPr>
              <w:t>理论</w:t>
            </w:r>
          </w:p>
        </w:tc>
      </w:tr>
      <w:tr>
        <w:tc>
          <w:tcPr>
            <w:tcW w:type="dxa" w:w="2126"/>
          </w:tcPr>
          <w:p>
            <w:pPr>
              <w:spacing w:before="40" w:after="40"/>
            </w:pPr>
            <w:r>
              <w:rPr>
                <w:sz w:val="20"/>
              </w:rPr>
            </w:r>
            <w:r>
              <w:rPr>
                <w:sz w:val="20"/>
              </w:rPr>
              <w:t>13</w:t>
            </w:r>
          </w:p>
        </w:tc>
        <w:tc>
          <w:tcPr>
            <w:tcW w:type="dxa" w:w="2126"/>
          </w:tcPr>
          <w:p>
            <w:pPr>
              <w:spacing w:before="40" w:after="40"/>
            </w:pPr>
            <w:r>
              <w:rPr>
                <w:sz w:val="20"/>
              </w:rPr>
            </w:r>
            <w:r>
              <w:rPr>
                <w:sz w:val="20"/>
              </w:rPr>
              <w:t>第10章 IoT与监测预警</w:t>
            </w:r>
          </w:p>
        </w:tc>
        <w:tc>
          <w:tcPr>
            <w:tcW w:type="dxa" w:w="2126"/>
          </w:tcPr>
          <w:p>
            <w:pPr>
              <w:spacing w:before="40" w:after="40"/>
            </w:pPr>
            <w:r>
              <w:rPr>
                <w:sz w:val="20"/>
              </w:rPr>
            </w:r>
            <w:r>
              <w:rPr>
                <w:sz w:val="20"/>
              </w:rPr>
              <w:t>3</w:t>
            </w:r>
          </w:p>
        </w:tc>
        <w:tc>
          <w:tcPr>
            <w:tcW w:type="dxa" w:w="2126"/>
          </w:tcPr>
          <w:p>
            <w:pPr>
              <w:spacing w:before="40" w:after="40"/>
            </w:pPr>
            <w:r>
              <w:rPr>
                <w:sz w:val="20"/>
              </w:rPr>
            </w:r>
            <w:r>
              <w:rPr>
                <w:sz w:val="20"/>
              </w:rPr>
              <w:t>理论</w:t>
            </w:r>
          </w:p>
        </w:tc>
      </w:tr>
      <w:tr>
        <w:tc>
          <w:tcPr>
            <w:tcW w:type="dxa" w:w="2126"/>
            <w:shd w:val="clear" w:color="auto" w:fill="F5F5F5"/>
          </w:tcPr>
          <w:p>
            <w:pPr>
              <w:spacing w:before="40" w:after="40"/>
            </w:pPr>
            <w:r>
              <w:rPr>
                <w:sz w:val="20"/>
              </w:rPr>
            </w:r>
            <w:r>
              <w:rPr>
                <w:sz w:val="20"/>
              </w:rPr>
              <w:t>14</w:t>
            </w:r>
          </w:p>
        </w:tc>
        <w:tc>
          <w:tcPr>
            <w:tcW w:type="dxa" w:w="2126"/>
            <w:shd w:val="clear" w:color="auto" w:fill="F5F5F5"/>
          </w:tcPr>
          <w:p>
            <w:pPr>
              <w:spacing w:before="40" w:after="40"/>
            </w:pPr>
            <w:r>
              <w:rPr>
                <w:sz w:val="20"/>
              </w:rPr>
            </w:r>
            <w:r>
              <w:rPr>
                <w:sz w:val="20"/>
              </w:rPr>
              <w:t>第11章 国际比较与标准</w:t>
            </w:r>
          </w:p>
        </w:tc>
        <w:tc>
          <w:tcPr>
            <w:tcW w:type="dxa" w:w="2126"/>
            <w:shd w:val="clear" w:color="auto" w:fill="F5F5F5"/>
          </w:tcPr>
          <w:p>
            <w:pPr>
              <w:spacing w:before="40" w:after="40"/>
            </w:pPr>
            <w:r>
              <w:rPr>
                <w:sz w:val="20"/>
              </w:rPr>
            </w:r>
            <w:r>
              <w:rPr>
                <w:sz w:val="20"/>
              </w:rPr>
              <w:t>2+2</w:t>
            </w:r>
          </w:p>
        </w:tc>
        <w:tc>
          <w:tcPr>
            <w:tcW w:type="dxa" w:w="2126"/>
            <w:shd w:val="clear" w:color="auto" w:fill="F5F5F5"/>
          </w:tcPr>
          <w:p>
            <w:pPr>
              <w:spacing w:before="40" w:after="40"/>
            </w:pPr>
            <w:r>
              <w:rPr>
                <w:sz w:val="20"/>
              </w:rPr>
            </w:r>
            <w:r>
              <w:rPr>
                <w:sz w:val="20"/>
              </w:rPr>
              <w:t>理论+实验</w:t>
            </w:r>
          </w:p>
        </w:tc>
      </w:tr>
      <w:tr>
        <w:tc>
          <w:tcPr>
            <w:tcW w:type="dxa" w:w="2126"/>
          </w:tcPr>
          <w:p>
            <w:pPr>
              <w:spacing w:before="40" w:after="40"/>
            </w:pPr>
            <w:r>
              <w:rPr>
                <w:sz w:val="20"/>
              </w:rPr>
            </w:r>
            <w:r>
              <w:rPr>
                <w:sz w:val="20"/>
              </w:rPr>
              <w:t>15</w:t>
            </w:r>
          </w:p>
        </w:tc>
        <w:tc>
          <w:tcPr>
            <w:tcW w:type="dxa" w:w="2126"/>
          </w:tcPr>
          <w:p>
            <w:pPr>
              <w:spacing w:before="40" w:after="40"/>
            </w:pPr>
            <w:r>
              <w:rPr>
                <w:sz w:val="20"/>
              </w:rPr>
            </w:r>
            <w:r>
              <w:rPr>
                <w:sz w:val="20"/>
              </w:rPr>
              <w:t>第12章 数字传播与未来展望</w:t>
            </w:r>
          </w:p>
        </w:tc>
        <w:tc>
          <w:tcPr>
            <w:tcW w:type="dxa" w:w="2126"/>
          </w:tcPr>
          <w:p>
            <w:pPr>
              <w:spacing w:before="40" w:after="40"/>
            </w:pPr>
            <w:r>
              <w:rPr>
                <w:sz w:val="20"/>
              </w:rPr>
            </w:r>
            <w:r>
              <w:rPr>
                <w:sz w:val="20"/>
              </w:rPr>
              <w:t>3</w:t>
            </w:r>
          </w:p>
        </w:tc>
        <w:tc>
          <w:tcPr>
            <w:tcW w:type="dxa" w:w="2126"/>
          </w:tcPr>
          <w:p>
            <w:pPr>
              <w:spacing w:before="40" w:after="40"/>
            </w:pPr>
            <w:r>
              <w:rPr>
                <w:sz w:val="20"/>
              </w:rPr>
            </w:r>
            <w:r>
              <w:rPr>
                <w:sz w:val="20"/>
              </w:rPr>
              <w:t>理论</w:t>
            </w:r>
          </w:p>
        </w:tc>
      </w:tr>
      <w:tr>
        <w:tc>
          <w:tcPr>
            <w:tcW w:type="dxa" w:w="2126"/>
            <w:shd w:val="clear" w:color="auto" w:fill="F5F5F5"/>
          </w:tcPr>
          <w:p>
            <w:pPr>
              <w:spacing w:before="40" w:after="40"/>
            </w:pPr>
            <w:r>
              <w:rPr>
                <w:sz w:val="20"/>
              </w:rPr>
            </w:r>
            <w:r>
              <w:rPr>
                <w:sz w:val="20"/>
              </w:rPr>
              <w:t>16</w:t>
            </w:r>
          </w:p>
        </w:tc>
        <w:tc>
          <w:tcPr>
            <w:tcW w:type="dxa" w:w="2126"/>
            <w:shd w:val="clear" w:color="auto" w:fill="F5F5F5"/>
          </w:tcPr>
          <w:p>
            <w:pPr>
              <w:spacing w:before="40" w:after="40"/>
            </w:pPr>
            <w:r>
              <w:rPr>
                <w:sz w:val="20"/>
              </w:rPr>
            </w:r>
            <w:r>
              <w:rPr>
                <w:sz w:val="20"/>
              </w:rPr>
              <w:t>期末项目汇报</w:t>
            </w:r>
          </w:p>
        </w:tc>
        <w:tc>
          <w:tcPr>
            <w:tcW w:type="dxa" w:w="2126"/>
            <w:shd w:val="clear" w:color="auto" w:fill="F5F5F5"/>
          </w:tcPr>
          <w:p>
            <w:pPr>
              <w:spacing w:before="40" w:after="40"/>
            </w:pPr>
            <w:r>
              <w:rPr>
                <w:sz w:val="20"/>
              </w:rPr>
            </w:r>
            <w:r>
              <w:rPr>
                <w:sz w:val="20"/>
              </w:rPr>
              <w:t>2+2</w:t>
            </w:r>
          </w:p>
        </w:tc>
        <w:tc>
          <w:tcPr>
            <w:tcW w:type="dxa" w:w="2126"/>
            <w:shd w:val="clear" w:color="auto" w:fill="F5F5F5"/>
          </w:tcPr>
          <w:p>
            <w:pPr>
              <w:spacing w:before="40" w:after="40"/>
            </w:pPr>
            <w:r>
              <w:rPr>
                <w:sz w:val="20"/>
              </w:rPr>
            </w:r>
            <w:r>
              <w:rPr>
                <w:sz w:val="20"/>
              </w:rPr>
              <w:t>实验+考核</w:t>
            </w:r>
          </w:p>
        </w:tc>
      </w:tr>
    </w:tbl>
    <w:p>
      <w:pPr>
        <w:spacing w:before="160"/>
      </w:pPr>
      <w:r>
        <w:rPr>
          <w:b/>
          <w:color w:val="457B9D"/>
          <w:sz w:val="26"/>
        </w:rPr>
        <w:t>考核方式</w:t>
      </w:r>
    </w:p>
    <w:p>
      <w:pPr>
        <w:pStyle w:val="ListBullet"/>
      </w:pPr>
      <w:r>
        <w:rPr>
          <w:sz w:val="21"/>
        </w:rPr>
        <w:t>平时成绩（30%）：出勤、课堂讨论、作业</w:t>
      </w:r>
    </w:p>
    <w:p>
      <w:pPr>
        <w:pStyle w:val="ListBullet"/>
      </w:pPr>
      <w:r>
        <w:rPr>
          <w:sz w:val="21"/>
        </w:rPr>
        <w:t>期中考核（20%）：文献综述报告</w:t>
      </w:r>
    </w:p>
    <w:p>
      <w:pPr>
        <w:pStyle w:val="ListBullet"/>
      </w:pPr>
      <w:r>
        <w:rPr>
          <w:sz w:val="21"/>
        </w:rPr>
        <w:t>期末项目（50%）：基于D.I.G.I.T.框架的文化遗产数字化方案设计</w:t>
      </w:r>
    </w:p>
    <w:p>
      <w:pPr>
        <w:spacing w:before="240" w:after="120"/>
      </w:pPr>
      <w:r>
        <w:rPr>
          <w:b/>
          <w:color w:val="264653"/>
          <w:sz w:val="32"/>
        </w:rPr>
        <w:t>附录F 实训项目</w:t>
      </w:r>
    </w:p>
    <w:p>
      <w:pPr>
        <w:spacing w:before="160"/>
      </w:pPr>
      <w:r>
        <w:rPr>
          <w:b/>
          <w:color w:val="457B9D"/>
          <w:sz w:val="26"/>
        </w:rPr>
        <w:t>实训项目一：文物三维数字化全流程实训</w:t>
      </w:r>
    </w:p>
    <w:p>
      <w:pPr>
        <w:spacing w:after="60" w:line="360" w:lineRule="auto"/>
        <w:ind w:firstLine="420"/>
      </w:pPr>
      <w:r>
        <w:rPr>
          <w:b/>
          <w:sz w:val="21"/>
        </w:rPr>
        <w:t>任务</w:t>
      </w:r>
      <w:r>
        <w:rPr>
          <w:sz w:val="21"/>
        </w:rPr>
        <w:t>：选择一件小型文物（如陶瓷器），完成从三维扫描到在线展示的全流程。</w:t>
      </w:r>
    </w:p>
    <w:p>
      <w:pPr>
        <w:spacing w:after="60" w:line="360" w:lineRule="auto"/>
        <w:ind w:firstLine="420"/>
      </w:pPr>
      <w:r>
        <w:rPr>
          <w:b/>
          <w:sz w:val="21"/>
        </w:rPr>
        <w:t>交付物</w:t>
      </w:r>
      <w:r>
        <w:rPr>
          <w:sz w:val="21"/>
        </w:rPr>
        <w:t>：（1）三维扫描原始点云数据；（2）处理后网格模型（OBJ格式）；（3）纹理映射后的彩色模型；（4）Web3D在线展示页面；（5）技术报告（含精度评估）。</w:t>
      </w:r>
    </w:p>
    <w:p>
      <w:pPr>
        <w:spacing w:before="160"/>
      </w:pPr>
      <w:r>
        <w:rPr>
          <w:b/>
          <w:color w:val="457B9D"/>
          <w:sz w:val="26"/>
        </w:rPr>
        <w:t>实训项目二：非遗数字档案建设实训</w:t>
      </w:r>
    </w:p>
    <w:p>
      <w:pPr>
        <w:spacing w:after="60" w:line="360" w:lineRule="auto"/>
        <w:ind w:firstLine="420"/>
      </w:pPr>
      <w:r>
        <w:rPr>
          <w:b/>
          <w:sz w:val="21"/>
        </w:rPr>
        <w:t>任务</w:t>
      </w:r>
      <w:r>
        <w:rPr>
          <w:sz w:val="21"/>
        </w:rPr>
        <w:t>：选择一项本地非遗项目，完成多模态数字档案建设。</w:t>
      </w:r>
    </w:p>
    <w:p>
      <w:pPr>
        <w:spacing w:after="60" w:line="360" w:lineRule="auto"/>
        <w:ind w:firstLine="420"/>
      </w:pPr>
      <w:r>
        <w:rPr>
          <w:b/>
          <w:sz w:val="21"/>
        </w:rPr>
        <w:t>交付物</w:t>
      </w:r>
      <w:r>
        <w:rPr>
          <w:sz w:val="21"/>
        </w:rPr>
        <w:t>：（1）高清视频记录（含工艺流程）；（2）高精度音频记录（口述史）；（3）三维模型（成品/道具）；（4）元数据标注文件；（5）非遗数字档案数据库条目。</w:t>
      </w:r>
    </w:p>
    <w:p>
      <w:pPr>
        <w:spacing w:before="160"/>
      </w:pPr>
      <w:r>
        <w:rPr>
          <w:b/>
          <w:color w:val="457B9D"/>
          <w:sz w:val="26"/>
        </w:rPr>
        <w:t>实训项目三：虚拟博物馆设计实训</w:t>
      </w:r>
    </w:p>
    <w:p>
      <w:pPr>
        <w:spacing w:after="60" w:line="360" w:lineRule="auto"/>
        <w:ind w:firstLine="420"/>
      </w:pPr>
      <w:r>
        <w:rPr>
          <w:b/>
          <w:sz w:val="21"/>
        </w:rPr>
        <w:t>任务</w:t>
      </w:r>
      <w:r>
        <w:rPr>
          <w:sz w:val="21"/>
        </w:rPr>
        <w:t>：基于已数字化的文物资源，设计一个虚拟博物馆展厅。</w:t>
      </w:r>
    </w:p>
    <w:p>
      <w:pPr>
        <w:spacing w:after="60" w:line="360" w:lineRule="auto"/>
        <w:ind w:firstLine="420"/>
      </w:pPr>
      <w:r>
        <w:rPr>
          <w:b/>
          <w:sz w:val="21"/>
        </w:rPr>
        <w:t>交付物</w:t>
      </w:r>
      <w:r>
        <w:rPr>
          <w:sz w:val="21"/>
        </w:rPr>
        <w:t>：（1）展厅空间设计方案；（2）VR原型（Unity/Unreal）；（3）交互设计文档；（4）用户体验测试报告；（5）设计反思报告。</w:t>
      </w:r>
    </w:p>
    <w:p>
      <w:pPr>
        <w:spacing w:before="240" w:after="120"/>
      </w:pPr>
      <w:r>
        <w:rPr>
          <w:b/>
          <w:color w:val="264653"/>
          <w:sz w:val="32"/>
        </w:rPr>
        <w:t>附录G 大事记</w:t>
      </w:r>
    </w:p>
    <w:tbl>
      <w:tblPr>
        <w:tblStyle w:val="TableGrid"/>
        <w:tblW w:type="auto" w:w="0"/>
        <w:jc w:val="center"/>
        <w:tblLook w:firstColumn="1" w:firstRow="1" w:lastColumn="0" w:lastRow="0" w:noHBand="0" w:noVBand="1" w:val="04A0"/>
      </w:tblPr>
      <w:tblGrid>
        <w:gridCol w:w="4252"/>
        <w:gridCol w:w="4252"/>
      </w:tblGrid>
      <w:tr>
        <w:tc>
          <w:tcPr>
            <w:tcW w:type="dxa" w:w="4252"/>
            <w:shd w:val="clear" w:color="auto" w:fill="D9E2EC"/>
          </w:tcPr>
          <w:p>
            <w:pPr>
              <w:spacing w:before="40" w:after="40"/>
            </w:pPr>
            <w:r>
              <w:rPr>
                <w:b/>
                <w:sz w:val="20"/>
              </w:rPr>
            </w:r>
            <w:r>
              <w:rPr>
                <w:b/>
                <w:sz w:val="20"/>
              </w:rPr>
              <w:t>年份</w:t>
            </w:r>
          </w:p>
        </w:tc>
        <w:tc>
          <w:tcPr>
            <w:tcW w:type="dxa" w:w="4252"/>
            <w:shd w:val="clear" w:color="auto" w:fill="D9E2EC"/>
          </w:tcPr>
          <w:p>
            <w:pPr>
              <w:spacing w:before="40" w:after="40"/>
            </w:pPr>
            <w:r>
              <w:rPr>
                <w:b/>
                <w:sz w:val="20"/>
              </w:rPr>
            </w:r>
            <w:r>
              <w:rPr>
                <w:b/>
                <w:sz w:val="20"/>
              </w:rPr>
              <w:t>事件</w:t>
            </w:r>
          </w:p>
        </w:tc>
      </w:tr>
      <w:tr>
        <w:tc>
          <w:tcPr>
            <w:tcW w:type="dxa" w:w="4252"/>
          </w:tcPr>
          <w:p>
            <w:pPr>
              <w:spacing w:before="40" w:after="40"/>
            </w:pPr>
            <w:r>
              <w:rPr>
                <w:sz w:val="20"/>
              </w:rPr>
            </w:r>
            <w:r>
              <w:rPr>
                <w:sz w:val="20"/>
              </w:rPr>
              <w:t>1972</w:t>
            </w:r>
          </w:p>
        </w:tc>
        <w:tc>
          <w:tcPr>
            <w:tcW w:type="dxa" w:w="4252"/>
          </w:tcPr>
          <w:p>
            <w:pPr>
              <w:spacing w:before="40" w:after="40"/>
            </w:pPr>
            <w:r>
              <w:rPr>
                <w:sz w:val="20"/>
              </w:rPr>
            </w:r>
            <w:r>
              <w:rPr>
                <w:sz w:val="20"/>
              </w:rPr>
              <w:t>UNESCO通过《世界遗产公约》</w:t>
            </w:r>
          </w:p>
        </w:tc>
      </w:tr>
      <w:tr>
        <w:tc>
          <w:tcPr>
            <w:tcW w:type="dxa" w:w="4252"/>
            <w:shd w:val="clear" w:color="auto" w:fill="F5F5F5"/>
          </w:tcPr>
          <w:p>
            <w:pPr>
              <w:spacing w:before="40" w:after="40"/>
            </w:pPr>
            <w:r>
              <w:rPr>
                <w:sz w:val="20"/>
              </w:rPr>
            </w:r>
            <w:r>
              <w:rPr>
                <w:sz w:val="20"/>
              </w:rPr>
              <w:t>2003</w:t>
            </w:r>
          </w:p>
        </w:tc>
        <w:tc>
          <w:tcPr>
            <w:tcW w:type="dxa" w:w="4252"/>
            <w:shd w:val="clear" w:color="auto" w:fill="F5F5F5"/>
          </w:tcPr>
          <w:p>
            <w:pPr>
              <w:spacing w:before="40" w:after="40"/>
            </w:pPr>
            <w:r>
              <w:rPr>
                <w:sz w:val="20"/>
              </w:rPr>
            </w:r>
            <w:r>
              <w:rPr>
                <w:sz w:val="20"/>
              </w:rPr>
              <w:t>UNESCO通过《保护非物质文化遗产公约》和《数字遗产保护宪章》</w:t>
            </w:r>
          </w:p>
        </w:tc>
      </w:tr>
      <w:tr>
        <w:tc>
          <w:tcPr>
            <w:tcW w:type="dxa" w:w="4252"/>
          </w:tcPr>
          <w:p>
            <w:pPr>
              <w:spacing w:before="40" w:after="40"/>
            </w:pPr>
            <w:r>
              <w:rPr>
                <w:sz w:val="20"/>
              </w:rPr>
            </w:r>
            <w:r>
              <w:rPr>
                <w:sz w:val="20"/>
              </w:rPr>
              <w:t>2005</w:t>
            </w:r>
          </w:p>
        </w:tc>
        <w:tc>
          <w:tcPr>
            <w:tcW w:type="dxa" w:w="4252"/>
          </w:tcPr>
          <w:p>
            <w:pPr>
              <w:spacing w:before="40" w:after="40"/>
            </w:pPr>
            <w:r>
              <w:rPr>
                <w:sz w:val="20"/>
              </w:rPr>
            </w:r>
            <w:r>
              <w:rPr>
                <w:sz w:val="20"/>
              </w:rPr>
              <w:t>欧盟启动《i2010：数字图书馆》倡议</w:t>
            </w:r>
          </w:p>
        </w:tc>
      </w:tr>
      <w:tr>
        <w:tc>
          <w:tcPr>
            <w:tcW w:type="dxa" w:w="4252"/>
            <w:shd w:val="clear" w:color="auto" w:fill="F5F5F5"/>
          </w:tcPr>
          <w:p>
            <w:pPr>
              <w:spacing w:before="40" w:after="40"/>
            </w:pPr>
            <w:r>
              <w:rPr>
                <w:sz w:val="20"/>
              </w:rPr>
            </w:r>
            <w:r>
              <w:rPr>
                <w:sz w:val="20"/>
              </w:rPr>
              <w:t>2008</w:t>
            </w:r>
          </w:p>
        </w:tc>
        <w:tc>
          <w:tcPr>
            <w:tcW w:type="dxa" w:w="4252"/>
            <w:shd w:val="clear" w:color="auto" w:fill="F5F5F5"/>
          </w:tcPr>
          <w:p>
            <w:pPr>
              <w:spacing w:before="40" w:after="40"/>
            </w:pPr>
            <w:r>
              <w:rPr>
                <w:sz w:val="20"/>
              </w:rPr>
            </w:r>
            <w:r>
              <w:rPr>
                <w:sz w:val="20"/>
              </w:rPr>
              <w:t>Europeana平台正式上线</w:t>
            </w:r>
          </w:p>
        </w:tc>
      </w:tr>
      <w:tr>
        <w:tc>
          <w:tcPr>
            <w:tcW w:type="dxa" w:w="4252"/>
          </w:tcPr>
          <w:p>
            <w:pPr>
              <w:spacing w:before="40" w:after="40"/>
            </w:pPr>
            <w:r>
              <w:rPr>
                <w:sz w:val="20"/>
              </w:rPr>
            </w:r>
            <w:r>
              <w:rPr>
                <w:sz w:val="20"/>
              </w:rPr>
              <w:t>2009</w:t>
            </w:r>
          </w:p>
        </w:tc>
        <w:tc>
          <w:tcPr>
            <w:tcW w:type="dxa" w:w="4252"/>
          </w:tcPr>
          <w:p>
            <w:pPr>
              <w:spacing w:before="40" w:after="40"/>
            </w:pPr>
            <w:r>
              <w:rPr>
                <w:sz w:val="20"/>
              </w:rPr>
            </w:r>
            <w:r>
              <w:rPr>
                <w:sz w:val="20"/>
              </w:rPr>
              <w:t>中国剪纸列入UNESCO人类非遗代表作名录</w:t>
            </w:r>
          </w:p>
        </w:tc>
      </w:tr>
      <w:tr>
        <w:tc>
          <w:tcPr>
            <w:tcW w:type="dxa" w:w="4252"/>
            <w:shd w:val="clear" w:color="auto" w:fill="F5F5F5"/>
          </w:tcPr>
          <w:p>
            <w:pPr>
              <w:spacing w:before="40" w:after="40"/>
            </w:pPr>
            <w:r>
              <w:rPr>
                <w:sz w:val="20"/>
              </w:rPr>
            </w:r>
            <w:r>
              <w:rPr>
                <w:sz w:val="20"/>
              </w:rPr>
              <w:t>2011</w:t>
            </w:r>
          </w:p>
        </w:tc>
        <w:tc>
          <w:tcPr>
            <w:tcW w:type="dxa" w:w="4252"/>
            <w:shd w:val="clear" w:color="auto" w:fill="F5F5F5"/>
          </w:tcPr>
          <w:p>
            <w:pPr>
              <w:spacing w:before="40" w:after="40"/>
            </w:pPr>
            <w:r>
              <w:rPr>
                <w:sz w:val="20"/>
              </w:rPr>
            </w:r>
            <w:r>
              <w:rPr>
                <w:sz w:val="20"/>
              </w:rPr>
              <w:t>UNESCO通过《数字时代文化遗产保护建议书》</w:t>
            </w:r>
          </w:p>
        </w:tc>
      </w:tr>
      <w:tr>
        <w:tc>
          <w:tcPr>
            <w:tcW w:type="dxa" w:w="4252"/>
          </w:tcPr>
          <w:p>
            <w:pPr>
              <w:spacing w:before="40" w:after="40"/>
            </w:pPr>
            <w:r>
              <w:rPr>
                <w:sz w:val="20"/>
              </w:rPr>
            </w:r>
            <w:r>
              <w:rPr>
                <w:sz w:val="20"/>
              </w:rPr>
              <w:t>2012</w:t>
            </w:r>
          </w:p>
        </w:tc>
        <w:tc>
          <w:tcPr>
            <w:tcW w:type="dxa" w:w="4252"/>
          </w:tcPr>
          <w:p>
            <w:pPr>
              <w:spacing w:before="40" w:after="40"/>
            </w:pPr>
            <w:r>
              <w:rPr>
                <w:sz w:val="20"/>
              </w:rPr>
            </w:r>
            <w:r>
              <w:rPr>
                <w:sz w:val="20"/>
              </w:rPr>
              <w:t>深度学习（AlexNet）引发AI革命，为文化遗产AI应用奠定基础</w:t>
            </w:r>
          </w:p>
        </w:tc>
      </w:tr>
      <w:tr>
        <w:tc>
          <w:tcPr>
            <w:tcW w:type="dxa" w:w="4252"/>
            <w:shd w:val="clear" w:color="auto" w:fill="F5F5F5"/>
          </w:tcPr>
          <w:p>
            <w:pPr>
              <w:spacing w:before="40" w:after="40"/>
            </w:pPr>
            <w:r>
              <w:rPr>
                <w:sz w:val="20"/>
              </w:rPr>
            </w:r>
            <w:r>
              <w:rPr>
                <w:sz w:val="20"/>
              </w:rPr>
              <w:t>2013</w:t>
            </w:r>
          </w:p>
        </w:tc>
        <w:tc>
          <w:tcPr>
            <w:tcW w:type="dxa" w:w="4252"/>
            <w:shd w:val="clear" w:color="auto" w:fill="F5F5F5"/>
          </w:tcPr>
          <w:p>
            <w:pPr>
              <w:spacing w:before="40" w:after="40"/>
            </w:pPr>
            <w:r>
              <w:rPr>
                <w:sz w:val="20"/>
              </w:rPr>
            </w:r>
            <w:r>
              <w:rPr>
                <w:sz w:val="20"/>
              </w:rPr>
              <w:t>美国史密森尼学会启动X3D数字化项目</w:t>
            </w:r>
          </w:p>
        </w:tc>
      </w:tr>
      <w:tr>
        <w:tc>
          <w:tcPr>
            <w:tcW w:type="dxa" w:w="4252"/>
          </w:tcPr>
          <w:p>
            <w:pPr>
              <w:spacing w:before="40" w:after="40"/>
            </w:pPr>
            <w:r>
              <w:rPr>
                <w:sz w:val="20"/>
              </w:rPr>
            </w:r>
            <w:r>
              <w:rPr>
                <w:sz w:val="20"/>
              </w:rPr>
              <w:t>2013</w:t>
            </w:r>
          </w:p>
        </w:tc>
        <w:tc>
          <w:tcPr>
            <w:tcW w:type="dxa" w:w="4252"/>
          </w:tcPr>
          <w:p>
            <w:pPr>
              <w:spacing w:before="40" w:after="40"/>
            </w:pPr>
            <w:r>
              <w:rPr>
                <w:sz w:val="20"/>
              </w:rPr>
            </w:r>
            <w:r>
              <w:rPr>
                <w:sz w:val="20"/>
              </w:rPr>
              <w:t>中国"数字敦煌"平台上线</w:t>
            </w:r>
          </w:p>
        </w:tc>
      </w:tr>
      <w:tr>
        <w:tc>
          <w:tcPr>
            <w:tcW w:type="dxa" w:w="4252"/>
            <w:shd w:val="clear" w:color="auto" w:fill="F5F5F5"/>
          </w:tcPr>
          <w:p>
            <w:pPr>
              <w:spacing w:before="40" w:after="40"/>
            </w:pPr>
            <w:r>
              <w:rPr>
                <w:sz w:val="20"/>
              </w:rPr>
            </w:r>
            <w:r>
              <w:rPr>
                <w:sz w:val="20"/>
              </w:rPr>
              <w:t>2016</w:t>
            </w:r>
          </w:p>
        </w:tc>
        <w:tc>
          <w:tcPr>
            <w:tcW w:type="dxa" w:w="4252"/>
            <w:shd w:val="clear" w:color="auto" w:fill="F5F5F5"/>
          </w:tcPr>
          <w:p>
            <w:pPr>
              <w:spacing w:before="40" w:after="40"/>
            </w:pPr>
            <w:r>
              <w:rPr>
                <w:sz w:val="20"/>
              </w:rPr>
            </w:r>
            <w:r>
              <w:rPr>
                <w:sz w:val="20"/>
              </w:rPr>
              <w:t>中国《文物保护法》修订，强化数字化保护要求</w:t>
            </w:r>
          </w:p>
        </w:tc>
      </w:tr>
      <w:tr>
        <w:tc>
          <w:tcPr>
            <w:tcW w:type="dxa" w:w="4252"/>
          </w:tcPr>
          <w:p>
            <w:pPr>
              <w:spacing w:before="40" w:after="40"/>
            </w:pPr>
            <w:r>
              <w:rPr>
                <w:sz w:val="20"/>
              </w:rPr>
            </w:r>
            <w:r>
              <w:rPr>
                <w:sz w:val="20"/>
              </w:rPr>
              <w:t>2017</w:t>
            </w:r>
          </w:p>
        </w:tc>
        <w:tc>
          <w:tcPr>
            <w:tcW w:type="dxa" w:w="4252"/>
          </w:tcPr>
          <w:p>
            <w:pPr>
              <w:spacing w:before="40" w:after="40"/>
            </w:pPr>
            <w:r>
              <w:rPr>
                <w:sz w:val="20"/>
              </w:rPr>
            </w:r>
            <w:r>
              <w:rPr>
                <w:sz w:val="20"/>
              </w:rPr>
              <w:t>Google Arts &amp; Culture推出VR博物馆功能</w:t>
            </w:r>
          </w:p>
        </w:tc>
      </w:tr>
      <w:tr>
        <w:tc>
          <w:tcPr>
            <w:tcW w:type="dxa" w:w="4252"/>
            <w:shd w:val="clear" w:color="auto" w:fill="F5F5F5"/>
          </w:tcPr>
          <w:p>
            <w:pPr>
              <w:spacing w:before="40" w:after="40"/>
            </w:pPr>
            <w:r>
              <w:rPr>
                <w:sz w:val="20"/>
              </w:rPr>
            </w:r>
            <w:r>
              <w:rPr>
                <w:sz w:val="20"/>
              </w:rPr>
              <w:t>2018</w:t>
            </w:r>
          </w:p>
        </w:tc>
        <w:tc>
          <w:tcPr>
            <w:tcW w:type="dxa" w:w="4252"/>
            <w:shd w:val="clear" w:color="auto" w:fill="F5F5F5"/>
          </w:tcPr>
          <w:p>
            <w:pPr>
              <w:spacing w:before="40" w:after="40"/>
            </w:pPr>
            <w:r>
              <w:rPr>
                <w:sz w:val="20"/>
              </w:rPr>
            </w:r>
            <w:r>
              <w:rPr>
                <w:sz w:val="20"/>
              </w:rPr>
              <w:t>欧盟GDPR生效，影响文化遗产数据处理</w:t>
            </w:r>
          </w:p>
        </w:tc>
      </w:tr>
      <w:tr>
        <w:tc>
          <w:tcPr>
            <w:tcW w:type="dxa" w:w="4252"/>
          </w:tcPr>
          <w:p>
            <w:pPr>
              <w:spacing w:before="40" w:after="40"/>
            </w:pPr>
            <w:r>
              <w:rPr>
                <w:sz w:val="20"/>
              </w:rPr>
            </w:r>
            <w:r>
              <w:rPr>
                <w:sz w:val="20"/>
              </w:rPr>
              <w:t>2020</w:t>
            </w:r>
          </w:p>
        </w:tc>
        <w:tc>
          <w:tcPr>
            <w:tcW w:type="dxa" w:w="4252"/>
          </w:tcPr>
          <w:p>
            <w:pPr>
              <w:spacing w:before="40" w:after="40"/>
            </w:pPr>
            <w:r>
              <w:rPr>
                <w:sz w:val="20"/>
              </w:rPr>
            </w:r>
            <w:r>
              <w:rPr>
                <w:sz w:val="20"/>
              </w:rPr>
              <w:t>太极拳列入UNESCO人类非遗代表作名录</w:t>
            </w:r>
          </w:p>
        </w:tc>
      </w:tr>
      <w:tr>
        <w:tc>
          <w:tcPr>
            <w:tcW w:type="dxa" w:w="4252"/>
            <w:shd w:val="clear" w:color="auto" w:fill="F5F5F5"/>
          </w:tcPr>
          <w:p>
            <w:pPr>
              <w:spacing w:before="40" w:after="40"/>
            </w:pPr>
            <w:r>
              <w:rPr>
                <w:sz w:val="20"/>
              </w:rPr>
            </w:r>
            <w:r>
              <w:rPr>
                <w:sz w:val="20"/>
              </w:rPr>
              <w:t>2021</w:t>
            </w:r>
          </w:p>
        </w:tc>
        <w:tc>
          <w:tcPr>
            <w:tcW w:type="dxa" w:w="4252"/>
            <w:shd w:val="clear" w:color="auto" w:fill="F5F5F5"/>
          </w:tcPr>
          <w:p>
            <w:pPr>
              <w:spacing w:before="40" w:after="40"/>
            </w:pPr>
            <w:r>
              <w:rPr>
                <w:sz w:val="20"/>
              </w:rPr>
            </w:r>
            <w:r>
              <w:rPr>
                <w:sz w:val="20"/>
              </w:rPr>
              <w:t>中国启动"国家文化大数据体系"建设</w:t>
            </w:r>
          </w:p>
        </w:tc>
      </w:tr>
      <w:tr>
        <w:tc>
          <w:tcPr>
            <w:tcW w:type="dxa" w:w="4252"/>
          </w:tcPr>
          <w:p>
            <w:pPr>
              <w:spacing w:before="40" w:after="40"/>
            </w:pPr>
            <w:r>
              <w:rPr>
                <w:sz w:val="20"/>
              </w:rPr>
            </w:r>
            <w:r>
              <w:rPr>
                <w:sz w:val="20"/>
              </w:rPr>
              <w:t>2022</w:t>
            </w:r>
          </w:p>
        </w:tc>
        <w:tc>
          <w:tcPr>
            <w:tcW w:type="dxa" w:w="4252"/>
          </w:tcPr>
          <w:p>
            <w:pPr>
              <w:spacing w:before="40" w:after="40"/>
            </w:pPr>
            <w:r>
              <w:rPr>
                <w:sz w:val="20"/>
              </w:rPr>
            </w:r>
            <w:r>
              <w:rPr>
                <w:sz w:val="20"/>
              </w:rPr>
              <w:t>Yu等人发表敦煌AI保护项目，发布开放数据集</w:t>
            </w:r>
          </w:p>
        </w:tc>
      </w:tr>
      <w:tr>
        <w:tc>
          <w:tcPr>
            <w:tcW w:type="dxa" w:w="4252"/>
            <w:shd w:val="clear" w:color="auto" w:fill="F5F5F5"/>
          </w:tcPr>
          <w:p>
            <w:pPr>
              <w:spacing w:before="40" w:after="40"/>
            </w:pPr>
            <w:r>
              <w:rPr>
                <w:sz w:val="20"/>
              </w:rPr>
            </w:r>
            <w:r>
              <w:rPr>
                <w:sz w:val="20"/>
              </w:rPr>
              <w:t>2023</w:t>
            </w:r>
          </w:p>
        </w:tc>
        <w:tc>
          <w:tcPr>
            <w:tcW w:type="dxa" w:w="4252"/>
            <w:shd w:val="clear" w:color="auto" w:fill="F5F5F5"/>
          </w:tcPr>
          <w:p>
            <w:pPr>
              <w:spacing w:before="40" w:after="40"/>
            </w:pPr>
            <w:r>
              <w:rPr>
                <w:sz w:val="20"/>
              </w:rPr>
            </w:r>
            <w:r>
              <w:rPr>
                <w:sz w:val="20"/>
              </w:rPr>
              <w:t>哈佛CAMLab Cave开放，展示中国文化遗产沉浸式体验</w:t>
            </w:r>
          </w:p>
        </w:tc>
      </w:tr>
      <w:tr>
        <w:tc>
          <w:tcPr>
            <w:tcW w:type="dxa" w:w="4252"/>
          </w:tcPr>
          <w:p>
            <w:pPr>
              <w:spacing w:before="40" w:after="40"/>
            </w:pPr>
            <w:r>
              <w:rPr>
                <w:sz w:val="20"/>
              </w:rPr>
            </w:r>
            <w:r>
              <w:rPr>
                <w:sz w:val="20"/>
              </w:rPr>
              <w:t>2024</w:t>
            </w:r>
          </w:p>
        </w:tc>
        <w:tc>
          <w:tcPr>
            <w:tcW w:type="dxa" w:w="4252"/>
          </w:tcPr>
          <w:p>
            <w:pPr>
              <w:spacing w:before="40" w:after="40"/>
            </w:pPr>
            <w:r>
              <w:rPr>
                <w:sz w:val="20"/>
              </w:rPr>
            </w:r>
            <w:r>
              <w:rPr>
                <w:sz w:val="20"/>
              </w:rPr>
              <w:t>生成式AI（GPT-4、扩散模型）在文化遗产虚拟修复中实验性应用</w:t>
            </w:r>
          </w:p>
        </w:tc>
      </w:tr>
      <w:tr>
        <w:tc>
          <w:tcPr>
            <w:tcW w:type="dxa" w:w="4252"/>
            <w:shd w:val="clear" w:color="auto" w:fill="F5F5F5"/>
          </w:tcPr>
          <w:p>
            <w:pPr>
              <w:spacing w:before="40" w:after="40"/>
            </w:pPr>
            <w:r>
              <w:rPr>
                <w:sz w:val="20"/>
              </w:rPr>
            </w:r>
            <w:r>
              <w:rPr>
                <w:sz w:val="20"/>
              </w:rPr>
              <w:t>2025</w:t>
            </w:r>
          </w:p>
        </w:tc>
        <w:tc>
          <w:tcPr>
            <w:tcW w:type="dxa" w:w="4252"/>
            <w:shd w:val="clear" w:color="auto" w:fill="F5F5F5"/>
          </w:tcPr>
          <w:p>
            <w:pPr>
              <w:spacing w:before="40" w:after="40"/>
            </w:pPr>
            <w:r>
              <w:rPr>
                <w:sz w:val="20"/>
              </w:rPr>
            </w:r>
            <w:r>
              <w:rPr>
                <w:sz w:val="20"/>
              </w:rPr>
              <w:t>中国发布基于区块链的文物数字资源版权保护框架</w:t>
            </w:r>
          </w:p>
        </w:tc>
      </w:tr>
      <w:tr>
        <w:tc>
          <w:tcPr>
            <w:tcW w:type="dxa" w:w="4252"/>
          </w:tcPr>
          <w:p>
            <w:pPr>
              <w:spacing w:before="40" w:after="40"/>
            </w:pPr>
            <w:r>
              <w:rPr>
                <w:sz w:val="20"/>
              </w:rPr>
            </w:r>
            <w:r>
              <w:rPr>
                <w:sz w:val="20"/>
              </w:rPr>
              <w:t>2026</w:t>
            </w:r>
          </w:p>
        </w:tc>
        <w:tc>
          <w:tcPr>
            <w:tcW w:type="dxa" w:w="4252"/>
          </w:tcPr>
          <w:p>
            <w:pPr>
              <w:spacing w:before="40" w:after="40"/>
            </w:pPr>
            <w:r>
              <w:rPr>
                <w:sz w:val="20"/>
              </w:rPr>
            </w:r>
            <w:r>
              <w:rPr>
                <w:sz w:val="20"/>
              </w:rPr>
              <w:t>知识图谱与神经符号推荐在文化遗产领域实现前沿突破</w:t>
            </w:r>
          </w:p>
        </w:tc>
      </w:tr>
    </w:tbl>
    <w:p>
      <w:r>
        <w:br w:type="page"/>
      </w:r>
    </w:p>
    <w:sectPr w:rsidR="00FC693F" w:rsidRPr="0006063C" w:rsidSect="00034616">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