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eastAsia="Microsoft YaHei"/>
          <w:b/>
          <w:color w:val="264653"/>
          <w:sz w:val="56"/>
        </w:rPr>
        <w:t>文化遗产保护概论</w:t>
      </w:r>
    </w:p>
    <w:p>
      <w:pPr>
        <w:jc w:val="center"/>
      </w:pPr>
      <w:r>
        <w:rPr>
          <w:rFonts w:ascii="Microsoft YaHei" w:hAnsi="Microsoft YaHei" w:eastAsia="Microsoft YaHei"/>
          <w:color w:val="457B9D"/>
          <w:sz w:val="36"/>
        </w:rPr>
        <w:t>——非遗数字化与文物数字典藏</w:t>
      </w:r>
    </w:p>
    <w:p/>
    <w:p/>
    <w:p>
      <w:pPr>
        <w:jc w:val="center"/>
      </w:pPr>
      <w:r>
        <w:rPr>
          <w:rFonts w:ascii="Microsoft YaHei" w:hAnsi="Microsoft YaHei" w:eastAsia="Microsoft YaHei"/>
          <w:b/>
          <w:color w:val="E63946"/>
          <w:sz w:val="32"/>
        </w:rPr>
        <w:t>G.U.A.R.D. 框架</w:t>
      </w:r>
    </w:p>
    <w:p>
      <w:pPr>
        <w:jc w:val="center"/>
      </w:pPr>
      <w:r>
        <w:rPr>
          <w:rFonts w:ascii="Microsoft YaHei" w:hAnsi="Microsoft YaHei" w:eastAsia="Microsoft YaHei"/>
          <w:i/>
          <w:sz w:val="22"/>
        </w:rPr>
        <w:t>Generation · Utilization · Archiving · Representation · Digital Governance</w:t>
      </w:r>
    </w:p>
    <w:p/>
    <w:p/>
    <w:p/>
    <w:p/>
    <w:p>
      <w:pPr>
        <w:jc w:val="center"/>
      </w:pPr>
      <w:r>
        <w:rPr>
          <w:rFonts w:ascii="Microsoft YaHei" w:hAnsi="Microsoft YaHei" w:eastAsia="Microsoft YaHei"/>
          <w:sz w:val="28"/>
        </w:rPr>
        <w:t>2026年7月</w:t>
      </w:r>
    </w:p>
    <w:p>
      <w:r>
        <w:br w:type="page"/>
      </w:r>
    </w:p>
    <w:p>
      <w:pPr>
        <w:pStyle w:val="Heading1"/>
        <w:jc w:val="center"/>
      </w:pPr>
      <w:r>
        <w:rPr>
          <w:rFonts w:ascii="Microsoft YaHei" w:hAnsi="Microsoft YaHei" w:eastAsia="Microsoft YaHei"/>
        </w:rPr>
        <w:t>目  录</w:t>
      </w:r>
    </w:p>
    <w:p/>
    <w:p>
      <w:pPr>
        <w:spacing w:line="360" w:lineRule="auto" w:before="120"/>
      </w:pPr>
      <w:r>
        <w:rPr>
          <w:rFonts w:ascii="Microsoft YaHei" w:hAnsi="Microsoft YaHei" w:eastAsia="Microsoft YaHei"/>
          <w:b/>
          <w:sz w:val="26"/>
        </w:rPr>
        <w:t>第一篇 概念与演进篇</w:t>
      </w:r>
    </w:p>
    <w:p>
      <w:pPr>
        <w:spacing w:line="360" w:lineRule="auto"/>
      </w:pPr>
      <w:r>
        <w:rPr>
          <w:rFonts w:ascii="Microsoft YaHei" w:hAnsi="Microsoft YaHei" w:eastAsia="Microsoft YaHei"/>
          <w:sz w:val="22"/>
        </w:rPr>
        <w:t xml:space="preserve">  第1章 文化遗产保护概论</w:t>
      </w:r>
    </w:p>
    <w:p>
      <w:pPr>
        <w:spacing w:line="360" w:lineRule="auto"/>
      </w:pPr>
      <w:r>
        <w:rPr>
          <w:rFonts w:ascii="Microsoft YaHei" w:hAnsi="Microsoft YaHei" w:eastAsia="Microsoft YaHei"/>
          <w:sz w:val="22"/>
        </w:rPr>
        <w:t xml:space="preserve">  第2章 非物质文化遗产数字化理论</w:t>
      </w:r>
    </w:p>
    <w:p>
      <w:pPr>
        <w:spacing w:line="360" w:lineRule="auto"/>
      </w:pPr>
      <w:r>
        <w:rPr>
          <w:rFonts w:ascii="Microsoft YaHei" w:hAnsi="Microsoft YaHei" w:eastAsia="Microsoft YaHei"/>
          <w:sz w:val="22"/>
        </w:rPr>
        <w:t xml:space="preserve">  第3章 文物数字典藏理论基础</w:t>
      </w:r>
    </w:p>
    <w:p>
      <w:pPr>
        <w:spacing w:line="360" w:lineRule="auto" w:before="120"/>
      </w:pPr>
      <w:r>
        <w:rPr>
          <w:rFonts w:ascii="Microsoft YaHei" w:hAnsi="Microsoft YaHei" w:eastAsia="Microsoft YaHei"/>
          <w:b/>
          <w:sz w:val="26"/>
        </w:rPr>
        <w:t>第二篇 核心技术篇</w:t>
      </w:r>
    </w:p>
    <w:p>
      <w:pPr>
        <w:spacing w:line="360" w:lineRule="auto"/>
      </w:pPr>
      <w:r>
        <w:rPr>
          <w:rFonts w:ascii="Microsoft YaHei" w:hAnsi="Microsoft YaHei" w:eastAsia="Microsoft YaHei"/>
          <w:sz w:val="22"/>
        </w:rPr>
        <w:t xml:space="preserve">  第4章 数字化采集与生成技术</w:t>
      </w:r>
    </w:p>
    <w:p>
      <w:pPr>
        <w:spacing w:line="360" w:lineRule="auto"/>
      </w:pPr>
      <w:r>
        <w:rPr>
          <w:rFonts w:ascii="Microsoft YaHei" w:hAnsi="Microsoft YaHei" w:eastAsia="Microsoft YaHei"/>
          <w:sz w:val="22"/>
        </w:rPr>
        <w:t xml:space="preserve">  第5章 三维重建与数字典藏体系</w:t>
      </w:r>
    </w:p>
    <w:p>
      <w:pPr>
        <w:spacing w:line="360" w:lineRule="auto"/>
      </w:pPr>
      <w:r>
        <w:rPr>
          <w:rFonts w:ascii="Microsoft YaHei" w:hAnsi="Microsoft YaHei" w:eastAsia="Microsoft YaHei"/>
          <w:sz w:val="22"/>
        </w:rPr>
        <w:t xml:space="preserve">  第6章 VR/AR/MR与沉浸式体验技术</w:t>
      </w:r>
    </w:p>
    <w:p>
      <w:pPr>
        <w:spacing w:line="360" w:lineRule="auto" w:before="120"/>
      </w:pPr>
      <w:r>
        <w:rPr>
          <w:rFonts w:ascii="Microsoft YaHei" w:hAnsi="Microsoft YaHei" w:eastAsia="Microsoft YaHei"/>
          <w:b/>
          <w:sz w:val="26"/>
        </w:rPr>
        <w:t>第三篇 传播与活化篇</w:t>
      </w:r>
    </w:p>
    <w:p>
      <w:pPr>
        <w:spacing w:line="360" w:lineRule="auto"/>
      </w:pPr>
      <w:r>
        <w:rPr>
          <w:rFonts w:ascii="Microsoft YaHei" w:hAnsi="Microsoft YaHei" w:eastAsia="Microsoft YaHei"/>
          <w:sz w:val="22"/>
        </w:rPr>
        <w:t xml:space="preserve">  第7章 数字博物馆与虚拟展览</w:t>
      </w:r>
    </w:p>
    <w:p>
      <w:pPr>
        <w:spacing w:line="360" w:lineRule="auto"/>
      </w:pPr>
      <w:r>
        <w:rPr>
          <w:rFonts w:ascii="Microsoft YaHei" w:hAnsi="Microsoft YaHei" w:eastAsia="Microsoft YaHei"/>
          <w:sz w:val="22"/>
        </w:rPr>
        <w:t xml:space="preserve">  第8章 文化遗产数字化传播与公众参与</w:t>
      </w:r>
    </w:p>
    <w:p>
      <w:pPr>
        <w:spacing w:line="360" w:lineRule="auto"/>
      </w:pPr>
      <w:r>
        <w:rPr>
          <w:rFonts w:ascii="Microsoft YaHei" w:hAnsi="Microsoft YaHei" w:eastAsia="Microsoft YaHei"/>
          <w:sz w:val="22"/>
        </w:rPr>
        <w:t xml:space="preserve">  第9章 AI与数字人文在文化遗产中的应用</w:t>
      </w:r>
    </w:p>
    <w:p>
      <w:pPr>
        <w:spacing w:line="360" w:lineRule="auto" w:before="120"/>
      </w:pPr>
      <w:r>
        <w:rPr>
          <w:rFonts w:ascii="Microsoft YaHei" w:hAnsi="Microsoft YaHei" w:eastAsia="Microsoft YaHei"/>
          <w:b/>
          <w:sz w:val="26"/>
        </w:rPr>
        <w:t>第四篇 治理与展望篇</w:t>
      </w:r>
    </w:p>
    <w:p>
      <w:pPr>
        <w:spacing w:line="360" w:lineRule="auto"/>
      </w:pPr>
      <w:r>
        <w:rPr>
          <w:rFonts w:ascii="Microsoft YaHei" w:hAnsi="Microsoft YaHei" w:eastAsia="Microsoft YaHei"/>
          <w:sz w:val="22"/>
        </w:rPr>
        <w:t xml:space="preserve">  第10章 文化遗产保护政策法规与国际公约</w:t>
      </w:r>
    </w:p>
    <w:p>
      <w:pPr>
        <w:spacing w:line="360" w:lineRule="auto"/>
      </w:pPr>
      <w:r>
        <w:rPr>
          <w:rFonts w:ascii="Microsoft YaHei" w:hAnsi="Microsoft YaHei" w:eastAsia="Microsoft YaHei"/>
          <w:sz w:val="22"/>
        </w:rPr>
        <w:t xml:space="preserve">  第11章 伦理、版权与可持续发展</w:t>
      </w:r>
    </w:p>
    <w:p>
      <w:pPr>
        <w:spacing w:line="360" w:lineRule="auto"/>
      </w:pPr>
      <w:r>
        <w:rPr>
          <w:rFonts w:ascii="Microsoft YaHei" w:hAnsi="Microsoft YaHei" w:eastAsia="Microsoft YaHei"/>
          <w:sz w:val="22"/>
        </w:rPr>
        <w:t xml:space="preserve">  第12章 中国文化遗产数字化保护实践与未来展望</w:t>
      </w:r>
    </w:p>
    <w:p>
      <w:pPr>
        <w:spacing w:line="360" w:lineRule="auto" w:before="120"/>
      </w:pPr>
      <w:r>
        <w:rPr>
          <w:rFonts w:ascii="Microsoft YaHei" w:hAnsi="Microsoft YaHei" w:eastAsia="Microsoft YaHei"/>
          <w:b/>
          <w:sz w:val="26"/>
        </w:rPr>
        <w:t>附录</w:t>
      </w:r>
    </w:p>
    <w:p>
      <w:pPr>
        <w:spacing w:line="360" w:lineRule="auto"/>
      </w:pPr>
      <w:r>
        <w:rPr>
          <w:rFonts w:ascii="Microsoft YaHei" w:hAnsi="Microsoft YaHei" w:eastAsia="Microsoft YaHei"/>
          <w:sz w:val="22"/>
        </w:rPr>
        <w:t xml:space="preserve">  附录A 术语表</w:t>
      </w:r>
    </w:p>
    <w:p>
      <w:pPr>
        <w:spacing w:line="360" w:lineRule="auto"/>
      </w:pPr>
      <w:r>
        <w:rPr>
          <w:rFonts w:ascii="Microsoft YaHei" w:hAnsi="Microsoft YaHei" w:eastAsia="Microsoft YaHei"/>
          <w:sz w:val="22"/>
        </w:rPr>
        <w:t xml:space="preserve">  附录B 工具与平台速查</w:t>
      </w:r>
    </w:p>
    <w:p>
      <w:pPr>
        <w:spacing w:line="360" w:lineRule="auto"/>
      </w:pPr>
      <w:r>
        <w:rPr>
          <w:rFonts w:ascii="Microsoft YaHei" w:hAnsi="Microsoft YaHei" w:eastAsia="Microsoft YaHei"/>
          <w:sz w:val="22"/>
        </w:rPr>
        <w:t xml:space="preserve">  附录C 案例库</w:t>
      </w:r>
    </w:p>
    <w:p>
      <w:pPr>
        <w:spacing w:line="360" w:lineRule="auto"/>
      </w:pPr>
      <w:r>
        <w:rPr>
          <w:rFonts w:ascii="Microsoft YaHei" w:hAnsi="Microsoft YaHei" w:eastAsia="Microsoft YaHei"/>
          <w:sz w:val="22"/>
        </w:rPr>
        <w:t xml:space="preserve">  附录D 设计模板与检查清单</w:t>
      </w:r>
    </w:p>
    <w:p>
      <w:pPr>
        <w:spacing w:line="360" w:lineRule="auto"/>
      </w:pPr>
      <w:r>
        <w:rPr>
          <w:rFonts w:ascii="Microsoft YaHei" w:hAnsi="Microsoft YaHei" w:eastAsia="Microsoft YaHei"/>
          <w:sz w:val="22"/>
        </w:rPr>
        <w:t xml:space="preserve">  附录E 教学大纲</w:t>
      </w:r>
    </w:p>
    <w:p>
      <w:pPr>
        <w:spacing w:line="360" w:lineRule="auto"/>
      </w:pPr>
      <w:r>
        <w:rPr>
          <w:rFonts w:ascii="Microsoft YaHei" w:hAnsi="Microsoft YaHei" w:eastAsia="Microsoft YaHei"/>
          <w:sz w:val="22"/>
        </w:rPr>
        <w:t xml:space="preserve">  附录F 实训项目</w:t>
      </w:r>
    </w:p>
    <w:p>
      <w:pPr>
        <w:spacing w:line="360" w:lineRule="auto"/>
      </w:pPr>
      <w:r>
        <w:rPr>
          <w:rFonts w:ascii="Microsoft YaHei" w:hAnsi="Microsoft YaHei" w:eastAsia="Microsoft YaHei"/>
          <w:sz w:val="22"/>
        </w:rPr>
        <w:t xml:space="preserve">  附录G 大事记</w:t>
      </w:r>
    </w:p>
    <w:p>
      <w:r>
        <w:br w:type="page"/>
      </w:r>
    </w:p>
    <w:p/>
    <w:p/>
    <w:p/>
    <w:p/>
    <w:p/>
    <w:p/>
    <w:p/>
    <w:p/>
    <w:p>
      <w:pPr>
        <w:jc w:val="center"/>
      </w:pPr>
      <w:r>
        <w:rPr>
          <w:rFonts w:ascii="Microsoft YaHei" w:hAnsi="Microsoft YaHei" w:eastAsia="Microsoft YaHei"/>
          <w:b/>
          <w:color w:val="264653"/>
          <w:sz w:val="48"/>
        </w:rPr>
        <w:t>第一篇 概念与演进篇</w:t>
      </w:r>
    </w:p>
    <w:p>
      <w:r>
        <w:br w:type="page"/>
      </w:r>
    </w:p>
    <w:p>
      <w:pPr>
        <w:pStyle w:val="Heading2"/>
      </w:pPr>
      <w:r>
        <w:rPr>
          <w:rFonts w:ascii="Microsoft YaHei" w:hAnsi="Microsoft YaHei" w:eastAsia="Microsoft YaHei"/>
          <w:color w:val="264653"/>
        </w:rPr>
        <w:t>学习目标 1. **识记**：文化遗产的基本概念、分类体系及其核心价值维度 2. **理解**：文化遗产保护从实体保护向数字化保护演进的历史脉络与驱动因素 3. **应用**：运用G.U.A.R.D.框架分析具体文化遗产数字化保护案例 4. **分析**：比较物质文化遗产与非物质文化遗产在保护理念和方法上的异同 5. **评价**：评估数字化技术对文化遗产保护带来的机遇与挑战 6. **创造**：设计一个基于G.U.A.R.D.框架的文化遗产数字化保护初步方案 ## 导入案例：从"数字敦煌"到"数字故宫"——中国文化遗产数字化的标志性实践 2016年，"数字敦煌"资源库正式上线，向全球公众免费开放敦煌莫高窟30个经典洞窟的高清数字图像。这一项目的背后，是敦煌研究院从20世纪80年代末开始的长达三十余年的数字化探索。截至2024年，敦煌研究院已完成290个洞窟的高精度数字化采集，累计数据量超过300TB，构建了世界上规模最大、内容最丰富的石窟壁画数字资源库。 几乎与"数字敦煌"同步，故宫博物院自21世纪初启动"数字故宫"工程。故宫博物院使用三维数字技术，采集、加工了大量古建筑和藏品文物的高精度三维数据，利用数字呈现技术立体再现文化遗产的原貌，满足故宫在文物保护、研究以及文化传播展示方面的工作需求。截至2024年，故宫博物院已完成超过78万件文物的基础数字化工作，推出了"数字文物库""数字多宝阁""全景故宫"等一系列数字化产品，成为全球博物馆数字化实践的标杆。 从敦煌到故宫，从壁画到建筑，从静态展示到沉浸式体验，这两个标志性项目代表了中国文化遗产数字化保护从起步到成熟的完整历程。它们共同指向一个核心命题：在数字化时代，如何利用现代技术手段更好地保护、传承和弘扬文化遗产？这正是本专著试图系统回答的问题。 ### 1.1 文化遗产的概念与分类 #### 1.1.1 物质文化遗产 文化遗产(Cultural Heritage)是人类在历史发展过程中创造并遗留下来的具有历史、艺术和科学价值的物质遗存和非物质传统。根据联合国教科文组织(UNESCO)的相关公约和各国立法实践，文化遗产通常分为物质文化遗产和非物质文化遗产两大类别。 物质文化遗产(Tangible Cultural Heritage)又称有形文化遗产，是指具有历史、艺术和科学价值的文物、建筑群和遗址。根据1972年《保护世界文化和自然遗产公约》(即《世界遗产公约》)，物质文化遗产主要包括以下几类： **文物**：从历史、艺术或科学角度看，具有突出普遍价值的单体或连接的建筑群、碑刻、雕塑、壁画等。例如中国的长城、故宫、秦始皇陵兵马俑等，均属于具有世界级意义的文物遗产。 **建筑群**：从历史、艺术或科学角度看，在建筑式样、分布均匀或与环境景色结合方面具有突出普遍价值的单位或连接的建筑群。如平遥古城、丽江古城、皖南古村落等，代表了不同地域和民族的建筑文化传统。 **遗址**：从历史、审美、人种学或人类学角度看，具有突出普遍价值的人类工程或自然与人的联合工程以及考古遗址地带。如殷墟遗址、三星堆遗址、良渚古城遗址等，承载着中华文明起源与发展的关键信息。 物质文化遗产的核心特征在于其**有形性**和**物质性**——它们以实体形式存在，可以通过物理手段进行保护、修复和展示。然而，正是这种物质性也使其面临自然风化、人为破坏、战争损毁等多重威胁，数字化保护因此成为延长其"生命周期"的重要手段。 #### 1.1.2 非物质文化遗产 非物质文化遗产(Intangible Cultural Heritage, ICH)是指被各社区、群体，有时是个人，视为其文化遗产组成部分的各种社会实践、观念表述、表现形式、知识、技能以及相关的工具、实物、手工艺品和文化场所。2003年10月，UNESCO第32届大会通过了《保护非物质文化遗产公约》，标志着非遗保护正式成为国际文化政策的重要议题。 根据2003年公约，非物质文化遗产涵盖五大领域：(1)口头传统和表现形式，包括作为非遗媒介的语言；(2)表演艺术；(3)社会实践、仪式、节庆活动；(4)有关自然界和宇宙的知识和实践；(5)传统手工艺。 与物质文化遗产不同，非物质文化遗产的核心特征在于其**活态性**(living)、**传承性**(transmission)和**社区性**(community-based)。非遗不是凝固的"遗物"，而是活着的"遗存"，它存在于传承人的实践中，存在于社区的日常生活里。正如任敦姬和沈燕所指出的，2003年公约特别强调地方社区、群体以及个人在认定、记录和促进各项目被列入UNESCO非物质文化遗产名录过程中的作用。这一社区导向的保护理念，使非遗数字化保护面临着与物质文化遗产截然不同的方法论挑战。 中国是世界上非遗资源最为丰富的国家之一。截至2024年，中国列入UNESCO非遗名录的项目达43项，位居世界第一；国务院公布的国家级非遗代表性项目超过1500项，涵盖民间文学、传统音乐、传统舞蹈、传统戏剧、传统美术、传统技艺、传统医药、民俗等十大门类。 #### 1.1.3 文化遗产的扩展概念：记忆遗产、文献遗产 随着文化遗产保护理念的深化，文化遗产的概念范畴也在不断扩展。UNESCO于1992年启动"世界记忆"(Memory of the World)计划，将文献遗产纳入保护视野。文献遗产包括手稿、珍稀图书、历史地图、乐谱、电影、照片、录音录像等具有世界意义的文献资料。 Prodan在探讨数字时代的文献实践时指出，数字遗产的保护与非物质文化遗产的保护密切相关，两者都关注如何使脆弱的文化记忆在技术变迁中得以延续。这一观点揭示了文化遗产概念扩展的内在逻辑：从物质实体到非物质传统，再到记忆与文献，文化遗产的边界不断拓展，而数字化技术恰恰为这一拓展提供了技术支撑。 此外，近年来还出现了"数字文化遗产"(Digital Heritage)、"原生数字遗产"(Born-Digital Heritage)等新概念。前者指通过数字化手段产生的文化遗产数字副本，后者指最初即以数字形式创建的文化遗产，如数字艺术、电子游戏、网络文化等。这些概念的涌现表明，文化遗产保护正在从"保护过去的遗存"向"保护当下的创造"延伸。 ### 1.2 文化遗产的价值与意义 #### 1.2.1 历史价值 文化遗产的首要价值在于其历史见证功能。每一处遗址、每一件文物、每一项传统技艺，都是特定历史时期的产物，承载着那个时代的社会结构、生产方式、思想观念和审美趣味。例如，三星堆遗址的考古发现不仅揭示了古蜀文明的独特面貌，也为中华文明多元一体格局提供了重要的实物证据。2025年，三星堆文化数字化展示项目运用科技艺术手段，从地域文化性、信息叙事性、空间艺术性及情感共鸣性四个维度构建了文化遗产数字化展示的新范式，使公众得以跨越时空感受古蜀文明的辉煌。 文化遗产的历史价值还体现在其**不可再生性**上。文物一旦损毁便无法复原，传承人一旦离世便可能带走一段独特的文化记忆。正是这种不可再生性，使得数字化保护——通过高精度数字副本保存文化遗产信息——具有不可替代的价值。 #### 1.2.2 艺术价值 文化遗产承载着人类不同历史时期和不同地域的艺术创造。从敦煌壁画的精美线条到故宫建筑的恢宏布局，从昆曲的婉转唱腔到苏绣的细腻针法，文化遗产的艺术价值跨越了物质与非物质的界限。Zhang等人在研究苏绣的数字化可持续发展时指出，数字技术为传统工艺的艺术表现开辟了新的空间，使传统艺术形式得以在数字媒介中获得新生。 #### 1.2.3 科学价值 文化遗产的科学价值体现在两个方面：一是文化遗产本身蕴含的科学技术信息，如古代建筑技术、冶炼技术、纺织技术等；二是文化遗产为科学研究提供的材料和信息。现代科技手段(如碳-14测年、材料分析、遥感探测等)使文化遗产的科学价值得以更深入的挖掘。同时，数字化技术(如三维扫描、多光谱成像)也为文化遗产的科学记录和分析提供了前所未有的工具。 #### 1.2.4 社会价值 文化遗产的社会价值在当代社会中日益凸显。它不仅是文化认同和民族自信的重要源泉，也是社会凝聚力和文化多样性的基础。UNESCO在2001年《世界文化多样性宣言》中强调，文化多样性是人类共同遗产，应当予以承认和确认。文化遗产保护因此不仅是对过去的守护，更是对未来的投资。 在数字化时代，文化遗产的社会价值获得了新的表达途径。数字博物馆、虚拟展览、社交媒体传播使文化遗产突破时空限制，触达更广泛的公众。Wang和Meng的研究表明，博物馆数字化能够促进公众与文化遗产之间的深度对话，形成认知认同、技术中介、文化象征和公众参与的良性循环。 ### 1.3 文化遗产保护的历史演进 #### 1.3.1 国际文化遗产保护运动溯源 现代意义上的文化遗产保护运动起源于19世纪的欧洲。1840年，法国文学家梅里美担任法国历史古迹督察，推动了法国文化遗产普查和保护制度的建立。1877年，英国成立"古建筑保护协会"，标志着文化遗产保护从个人行为向制度化实践转变。 20世纪中叶，两次世界大战对文化遗产造成的巨大破坏催生了国际层面的保护共识。1954年，UNESCO通过了《在武装冲突情况下保护文化财产公约》(即《海牙公约》)，这是世界上第一个在武装冲突情况下全面保护文化遗产的专门性国际公约。唐海清指出，1954年《海牙公约》系统规定了武装冲突情况下文化遗产保护的原则、范围、缔约国的义务、特别保护制度等内容，对文化遗产的国际保护具有里程碑意义。 1972年，UNESCO通过了《保护世界文化和自然遗产公约》，建立了世界遗产名录制度，标志着文化遗产保护进入全球化时代。2003年，《保护非物质文化遗产公约》的通过进一步拓展了文化遗产保护的范畴，将活态传统纳入国际保护框架。 Giorgallis在研究国际文化遗产法时指出，国际文化遗产保护法律体系经历了一个从保护物质遗产到保护非物质遗产、从单一维度到多维度的演进过程，这一过程的动力来自于世界文化遗产在不同历史时期所面临的各种威胁以及国际社会对文化遗产多维价值认识的不断深化。 #### 1.3.2 中国文化遗产保护制度发展 中国的文化遗产保护制度经历了从清末民初的初步探索到新中国成立后的制度化建设，再到改革开放后的全面发展的历程。1906年，清政府颁布《保存古物推广办法》，标志着中国文化遗产保护制度的起步。1928年，国民政府设立中央古物保管委员会。1949年后，中国陆续颁布《文物保护管理暂行条例》(1960年)、《中华人民共和国文物保护法》(1982年)，建立了较为完整的文物保护法律体系。 2011年，《中华人民共和国非物质文化遗产法》颁布实施，标志着中国非遗保护走上法制化轨道。中国作为世界上第6个加入2003年公约的国家，积极履行公约宗旨和义务，通过完善立法体系、建立名录制度、设立非遗日等举措，推动非遗保护工作走向成熟。 #### 1.3.3 从实体保护到数字化保护 文化遗产保护范式的演变可以概括为三个阶段：**抢救性保护**(以实物抢救和物理修复为主)→ **预防性保护**(以风险评估和环境控制为主)→ **数字化保护**(以数字采集和虚拟保存为主)。 Díaz Mendoza等人在对文化遗产保护技术的系统综述中指出，近年来数字化技术在文化遗产保护领域的应用呈指数级增长，3D扫描、虚拟现实、增强现实、人工智能等技术已从辅助工具发展为保护实践的核心组成部分。这一转变的根本原因在于：数字化技术能够在不接触文物实体的情况下获取、保存和传播文化遗产信息，从而最大限度地减少对文物本体的干预和损害。 孔凡运在分析文化遗产数字化保存的策略与挑战时指出，数字化技术如三维扫描、数字摄影以及虚拟现实和增强现实等，不仅能有效保存文化遗产信息，还能增强公众对遗产的认识和体验。然而，数字化保护也面临着技术标准不统一、数据长期保存风险、数字鸿沟等挑战。 ### 1.4 数字化时代的文化遗产保护 #### 1.4.1 数字化保护的概念与特征 文化遗产数字化保护(Digital Protection of Cultural Heritage)是指利用数字技术对文化遗产进行信息采集、存储、管理、展示和传播的全过程保护活动。它不是对实体保护的替代，而是对实体保护的重要补充和延伸。黄永林和谈国新认为，数字化技术在非物质文化遗产保护与传承中的重要作用体现在四个方面：数字化采集和存储技术为文化遗产完整保护提供了保障，数字化复原和再现技术为文化遗产有效传承提供了支撑，数字化展示与传播技术为文化遗产广泛共享提供了平台，虚拟现实技术为文化遗产开发利用提供了空间。 数字化保护的核心特征包括：**高保真性**(精确记录文化遗产的形态、色彩、结构等信息)、**可复制性**(数字副本可无限复制而不损毁原件)、**可传播性**(突破时空限制实现广泛共享)、**可交互性**(支持用户与数字遗产的深度互动)和**可持续性**(通过数据迁移实现长期保存)。 #### 1.4.2 数字化保护的技术驱动力 数字化保护的快速发展得益于多项技术的突破性进展。**三维扫描技术**使文物的形态信息得以精确记录，精度可达亚毫米级。**摄影测量技术**通过多角度照片重建三维模型，为大规模文物数字化提供了经济高效的方案。**虚拟现实与增强现实技术**为文化遗产的沉浸式展示和互动体验创造了条件。**人工智能技术**在文物识别、病害诊断、数字修复等方面展现出巨大潜力。**区块链技术**为文化遗产数字资产的权属确认和溯源提供了新的解决方案。 这些技术的融合应用正在重塑文化遗产保护的技术格局。Münster等人在提出欧洲数字遗产创新研发议程时指出，人工智能将成为数字遗产创新的下一个驱动力，需要在技术研发、标准制定、人才培养等方面进行系统性布局。 #### 1.4.3 数字化保护的机遇与挑战 数字化保护为文化遗产事业带来了前所未有的机遇：使脆弱的文化遗产得以"数字永生"，使分散的文化遗产资源得以整合共享，使静态的文化遗产展示得以动态活化，使小众的文化遗产知识得以广泛传播。同时，Prasad等人指出，联合国可持续发展目标(特别是SDG 11关于可持续城市和社区的目标)强调文化遗产保护与可持续发展的紧密联系，数字化保护为实现这一目标提供了技术路径。 然而，数字化保护也面临诸多挑战：技术标准的碎片化导致数据互操作性不足，资金短缺使许多数字化项目难以持续，版权和伦理问题制约了数字遗产的开放共享，数字鸿沟使部分社区和群体被排除在数字化进程之外。这些问题将在本专著后续章节中进行深入探讨。 ### 1.5 G.U.A.R.D.框架导论 #### 1.5.1 框架设计逻辑 基于文化遗产数字化保护的全生命周期管理理念，本专著提出G.U.A.R.D.(Guard，守护)框架，作为贯穿全书的分析工具和方法论基础。该框架的设计逻辑源于以下认识： 第一，文化遗产数字化保护是一个系统工程，涉及从数据采集到传播利用的多个环节，需要全生命周期的系统视角。第二，物质文化遗产与非物质文化遗产虽然保护方法不同，但在数字化保护的流程上具有共性，可以用统一的框架加以涵盖。第三，技术手段与治理机制不可分割，任何数字化保护实践都需要在制度与伦理的约束下进行。 #### 1.5.2 五维关系与全生命周期闭环 G.U.A.R.D.框架的五个维度构成"采集-典藏-呈现-活化-治理"的完整闭环： - **G(Generation，数字化生成与采集)**：是数字化保护的起点，利用3D扫描、摄影测量、音视频记录等技术，对文化遗产进行高精度数字化采集。这对应本专著第4章的内容。 - **A(Archiving，数字典藏)**：是数字化保护的基础，建立标准化数字档案库、元数据体系与知识图谱，实现文化遗产数据的长期保存与高效检索。对应第5章。 - **R(Representation，数字化呈现与传播)**：是数字化保护的输出，通过数字博物馆、虚拟展览等渠道实现文化遗产的广泛传播。对应第7-8章。 - **U(Utilization，利用与活化)**：是数字化保护的升华，通过VR/AR/MR、文化创意等手段实现文化遗产的创造性转化。对应第6章。 - **D(Digital Governance，数字治理)**：贯穿其他四个维度，提供政策法规、伦理规范、版权保护等制度保障。对应第10-11章。 #### 1.5.3 框架的应用价值 G.U.A.R.D.框架的应用价值体现在三个方面：**分析工具**——可用于分析现有文化遗产数字化项目的完整性和薄弱环节；**规划工具**——可用于指导新项目的设计和实施；**评估工具**——可用于评估数字化保护的效果和可持续性。在后续各章中，该框架将作为统领性的分析框架，贯穿全书论述。 ## 知识卡片 **知识卡片1-1：UNESCO文化遗产相关公约时间线** - 1954年：《海牙公约》(武装冲突情况下保护文化财产) - 1972年：《世界遗产公约》(保护世界文化和自然遗产) - 2001年：《水下文化遗产保护公约》 - 2003年：《保护非物质文化遗产公约》 - 2005年：《保护和促进文化表现形式多样性公约》 **知识卡片1-2：文化遗产分类体系** | 大类 | 子类 | 典型代表 | |------|------|---------| | 物质文化遗产 | 可移动文物 | 书画、陶瓷、青铜器 | | | 不可移动文物 | 古建筑、石窟寺、遗址 | | 非物质文化遗产 | 口头传统 | 史诗、传说、谚语 | | | 表演艺术 | 戏曲、音乐、舞蹈 | | | 传统手工艺 | 刺绣、陶瓷、木雕 | | | 社会实践 | 节庆、仪式 | | | 自然知识 | 传统医药、历法 | **知识卡片1-3：数字化保护的三阶段演进** 1. 抢救性保护：以实物抢救和物理修复为核心 2. 预防性保护：以风险评估和环境控制为核心 3. 数字化保护：以数字采集和虚拟保存为核心 ## 本章小结 本章作为全书的导论，建立了文化遗产保护概论的基本知识框架。首先界定了文化遗产的概念与分类，区分了物质文化遗产与非物质文化遗产的概念边界和特征差异；其次阐述了文化遗产的历史价值、艺术价值、科学价值和社会价值；然后梳理了文化遗产保护从国际运动起源到中国制度建设、从实体保护到数字化保护的历史演进脉络；最后提出了G.U.A.R.D.框架——本专著的核心理论模型，该框架以Generation(数字化生成与采集)、Utilization(利用与活化)、Archiving(数字典藏)、Representation(数字化呈现与传播)、Digital Governance(数字治理)五个维度构成文化遗产数字化保护的全生命周期闭环。这一框架将作为后续各章的分析工具和逻辑主线。 ## 思考题 1. **(识记)** 物质文化遗产与非物质文化遗产的核心区别是什么？请列举各自的三项主要特征。 2. **(理解)** 试述文化遗产保护从"抢救性保护"到"数字化保护"的演进逻辑，分析推动这一转变的关键因素。 3. **(应用)** 选择一处你所在地区的文化遗产，运用G.U.A.R.D.框架分析其数字化保护的现状与不足。 4. **(分析)** 比较分析"数字敦煌"和"数字故宫"两个项目在数字化保护策略上的异同，探讨其背后的理念差异。 5. **(评价)** 有人认为"数字化保护可能削弱公众对文化遗产原真性的体验"，你是否同意这一观点？请结合理论与案例进行论证。 6. **(创造)** 假设你是一个市级博物馆的馆长，预算有限，请基于G.U.A.R.D.框架设计一个分阶段的馆藏文物数字化保护五年规划。 ### 1.6 国际文化遗产数字化保护的发展趋势 #### 1.6.1 从"数字保存"到"数字活化"的范式转变 国际文化遗产数字化保护正经历从"数字保存"(Digital Preservation)到"数字活化"(Digital Revitalization)的范式转变。早期的数字化项目以"保存"为核心目标，关注如何精确记录和长期保存文化遗产信息。然而，随着技术的成熟和用户需求的升级，越来越多的项目开始关注如何让数字遗产"活起来"——通过互动体验、创意利用和公众参与，使数字遗产在当代社会生活中发挥积极作用。 Díaz Mendoza等人在对文化遗产保护技术的系统综述中指出，2020年以来的研究呈现出三个显著趋势：一是从单一技术向多技术融合转变，3D扫描、VR、AR、AI等技术的集成应用成为主流；二是从机构主导向社区参与转变，文化遗产来源社区在数字化过程中的话语权不断增强；三是从保存导向向服务导向转变，数字化成果的开放获取和公众利用成为评价项目成功与否的重要标准。 #### 1.6.2 欧洲数字遗产战略 欧洲在文化遗产数字化方面走在世界前列。2005年，欧盟委员会发布《i2010：数字图书馆》倡议，提出建设"欧洲数字图书馆"(后更名为Europeana)的目标。2011年，欧盟发布《数字时代文化遗产保护建议书》，系统提出了成员国文化遗产数字化的政策框架。Marinković等人在分析欧洲文化遗产数字化政策时指出，自2005年以来，欧盟通过一系列政策文件——包括《数字议程》《文化遗产数字战略》《欧洲文化遗产技术平台》等——构建了较为完整的文化遗产数字化政策体系，推动了成员国数字化工作的系统开展。 Europeana平台的建设经验尤为值得关注。该平台整合了来自4000余家文化机构的5800万件数字资源，通过统一的Europeana Data Model(EDM)实现了对异构数据的语义整合。Borin和Donato在研究Europeana的财务可持续性时指出，Europeana的运营模式依赖欧盟委员会的公共资金支持，年度预算约3000万欧元，正面临着从公共资助向混合收入模式转型的挑战。这一经验提醒我们，文化遗产数字化平台的可持续性需要在政策支持、商业模式和社区参与三个维度协同推进。 #### 1.6.3 美国史密森尼学会的数字化战略 美国史密森尼学会(Smithsonian Institution)是全球最大的博物馆综合体，下辖21座博物馆和9座研究中心。自2010年起，史密森尼学会启动了"数字化战略"(Digitization Strategic Plan)，计划在十年内完成1.37亿件藏品的数字化工作。该战略强调三个核心原则：**可重复性**——数字化过程必须可记录、可复现；**文档完整性**——每件数字藏品必须附带完整的元数据和处理记录；**数据开放性**——数字藏品默认向公众开放。 史密森尼学会的数字化实践有两个突出特点：一是高度重视3D数字化，其"Smithsonian X 3D"平台已发布数千件藏品的高精度三维模型，支持在线浏览和3D打印下载；二是将数字化与教育深度结合，为每件数字藏品开发配套的教育资源包，包括教师指南、学生工作单和课堂活动设计。 #### 1.6.4 日韩文化遗产数字化实践 日本将文化遗产称为"文化财"(Bunkazai)，建立了世界上最早的文化遗产保护法律体系之一(1950年《文化财保护法》)。在数字化方面，日本文化厅自20世纪90年代起系统推进"文化财数字化"工程，建立了国立文化财机构数字档案。日本的数字化实践有两个特色：一是对传统工艺的精细化记录，利用高清视频和动作捕捉技术对国宝级工艺大师的技艺过程进行系统记录；二是对文物修复过程的数字化记录，为修复决策提供数据支撑。 韩国在文化遗产数字化方面同样取得了显著成就。韩国文化遗产厅(CHA)自2000年起实施"韩国传统文化数字档案"项目，对国家级文化遗产进行系统数字化。韩国的特色在于将文化遗产数字化与韩流文化产业深度结合，数字化成果不仅用于学术研究，还广泛用于影视制作、游戏开发和文创设计，形成了文化遗产数字化的"韩国模式"。 ### 1.7 文化遗产数字化保护的中国探索 #### 1.7.1 中国文化遗产数字化的阶段性特征 中国文化遗产数字化经历了三个发展阶段。**探索阶段**(1990s-2005)：以敦煌研究院、故宫博物院为代表的少数机构开始探索数字化技术，主要依赖国际合作和技术引进。**建设阶段**(2005-2015)：国家层面启动了一系列数字化工程，如"中华文明探源工程"中的数字化记录、"全国文物调查及数据库管理系统建设"项目等，文化遗产数字化的规模和深度显著提升。**深化阶段**(2015-至今)：数字化转型加速，政策体系不断完善，技术创新能力显著增强，从"跟跑"逐步转向"并跑"甚至部分领域"领跑"。 杜若飞在分析敦煌数字化实践时指出，数字敦煌项目的成功在于"技术自主研发+标准持续迭代+开放共享理念"三位一体的策略，这一经验对中国其他文化遗产数字化项目具有重要借鉴价值。 #### 1.7.2 中国文化遗产数字化的政策演进 中国文化遗产数字化政策的演进与国际趋势基本同步但具有自身特色。2010年，文化部发布《全国文化信息资源共享工程"十二五"规划》，将文化遗产数字化纳入公共文化服务体系建设。2016年，国家文物局发布《"互联网+中华文明"三年行动计划》，明确提出推进文物数字化保护。2022年，中共中央办公厅、国务院办公厅印发《关于推进实施国家文化数字化战略的意见》，将文化遗产数字化提升到国家战略层面。 #### 1.7.3 中国文化遗产数字化的技术创新 中国在文化遗产数字化技术方面取得了多项创新成果。敦煌研究院研发的"壁画数字化作业规范"已成为行业标准，其高分辨率数字摄影和色彩管理技术达到国际领先水平。故宫博物院在古建筑三维扫描和虚拟漫游方面积累了丰富经验，"数字故宫"系列产品的用户体验已达到国际一流水平。在AI应用方面，中国研究团队在文物图像识别、古籍OCR、壁画数字修复等领域取得了重要进展。 ### 1.8 G.U.A.R.D.框架的理论定位与比较分析 #### 1.8.1 与现有框架的比较 G.U.A.R.D.框架并非凭空而来，它吸收了多个现有框架的思想营养。与OAIS参考模型相比，G.U.A.R.D.框架不仅关注数字保存(A维度)，还涵盖了采集、呈现、利用和治理等全生命周期环节，更加全面。与CIDOC CRM相比，G.U.A.R.D.框架不局限于信息建模，而是提供了实践指导层面的方法论框架。与Europeana的EDM模型相比，G.U.A.R.D.框架更强调治理维度(D维度)，关注伦理、版权和可持续性。 #### 1.8.2 框架的理论贡献 G.U.A.R.D.框架的理论贡献体现在三个方面：**整合性**——将物质文化遗产与非物质文化遗产的数字化保护纳入统一框架；**系统性**——以全生命周期视角覆盖从采集到治理的完整链条；**实践性**——每个维度都对应具体的技术路径和治理要求，可操作性强。 #### 1.8.3 框架的适用范围与局限 G.U.A.R.D.框架适用于文化遗产数字化保护项目的规划、实施和评估，但也存在局限：一是框架更适用于数字化保护阶段，对实体保护阶段的指导有限；二是框架的五维度划分在特定场景下可能存在交叉和重叠；三是框架尚未经过大规模实证检验，其有效性需要在更多实践中验证。 ### 1.9 文化遗产数字化保护的技术体系架构 #### 1.9.1 技术体系的层次结构 文化遗产数字化保护的技术体系可以从层次结构上划分为五层：**感知层**(传感器、扫描仪、摄像头等数据采集设备)、**网络层**(5G、WiFi、有线网络等数据传输基础设施)、**平台层**(云计算、大数据平台、AI计算平台等数据处理基础架构)、**应用层**(数字博物馆、虚拟展览、智能导览等面向用户的应用)、**安全层**(数据加密、访问控制、区块链确权等安全保障体系)。这五层构成了文化遗产数字化保护的完整技术栈，每一层都有相应的技术标准和实施方案。 #### 1.9.2 多技术融合趋势 当代文化遗产数字化保护最显著的技术趋势是多技术融合。单一技术难以满足文化遗产保护的复杂需求——三维扫描需要与摄影测量融合以兼顾精度和色彩，VR需要与AI融合以实现智能交互，区块链需要与物联网融合以实现数据溯源。Díaz Mendoza等人的系统综述显示，2020年以来的研究呈现出从单一技术向多技术融合的明显转变，3D扫描、VR、AR、AI等技术的集成应用已成为主流范式。 #### 1.9.3 技术选型决策框架 文化遗产数字化项目的技术选型应遵循"需求导向、场景适配、成本约束、可持续发展"四项原则。需求导向意味着技术选择应基于具体的保护需求而非技术先进性；场景适配意味着不同类型的文化遗产需要不同的技术方案；成本约束意味着需要在技术理想与预算现实之间取得平衡；可持续发展意味着技术方案应考虑长期维护和升级的可行性。 ### 1.10 文化遗产价值评估方法论 #### 1.10.1 价值评估的理论基础 文化遗产价值评估是数字化保护优先级确定的基础。UNESCO世界遗产标准采用"突出普遍价值"(Outstanding Universal Value, OUV)概念，从历史、艺术、科学、社会等维度评估文化遗产价值。中国文物价值评估传统上采用"历史价值、艺术价值、科学价值"三维框架，近年来逐步引入社会价值和文化价值维度。 #### 1.10.2 数字化保护优先级模型 在资源有限的情况下，需要建立数字化保护优先级评估模型。评估维度包括：**价值维度**(文化遗产的历史、艺术、科学、社会价值高低)、**风险维度**(文化遗产面临的自然和人为威胁程度)、**技术可行性**(数字化采集的技术难度和成本)、**使用需求**(学术研究、教育传播、产业发展等需求强度)、**社区意愿**(来源社区对数字化的态度和支持程度)。综合这五个维度的评估结果，可以确定数字化保护的优先级排序。 ### 1.11 文化遗产保护的教育与公众认知 #### 1.11.1 文化遗产教育的数字化转型 文化遗产教育是文化传承的重要途径。数字化技术为文化遗产教育提供了新工具和新方法——虚拟博物馆使远程学习成为可能，互动式数字展品增强了学习体验，游戏化设计提高了学习动机。Lyu指出，数字化转型为博物馆文化遗产的保护与传承提供了新方法，教育功能是数字博物馆的核心功能之一。 #### 1.11.2 公众文化遗产认知调查 公众对文化遗产的认知水平是衡量保护工作成效的重要指标。近年来，多项调查显示数字化传播显著提升了公众对文化遗产的认知和兴趣。然而，认知水平的提升并不等同于理解的深入——数字化传播的"碎片化"特征可能导致公众对文化遗产的理解停留在表面。如何在扩大传播范围的同时保证传播深度，是文化遗产数字化教育面临的核心挑战。 ### 1.6 文化遗产保护概念的多维度解析 #### 1.6.1 "遗产"概念的文化建构性 "文化遗产"(Cultural Heritage)作为一个现代概念，其内涵经历了持续的扩展和重构。理解这一概念的文化建构性，对于把握文化遗产数字化的深层逻辑具有重要意义。 "遗产"一词最初源于法律领域，指代从先辈继承的财产。19世纪末至20世纪初，"遗产"概念开始从私法领域向公共文化领域迁移，出现了"国家遗产"(patrimoine national)等表述。这一概念迁移的背后是民族国家建构的文化需求——各国需要通过"遗产"的话语来确立文化连续性和集体认同。 20世纪后半叶，"文化遗产"概念经历了三次重要扩展： **第一次扩展：从"纪念物"到"历史环境"**。1964年《威尼斯宪章》将保护对象从单体纪念建筑扩展到其所在的城市和历史环境，标志着"遗产"概念从"点"向"面"的扩展。 **第二次扩展：从"有形"到"无形"**。2003年《保护非物质文化遗产公约》将非遗纳入文化遗产范畴，实现了从"物质遗产"到"非物质遗产"的范式拓展。这一扩展深刻改变了文化遗产保护的理念和方法——从"保存物质实体"转向"维持活态传承"。 **第三次扩展：从"遗产"到"遗产化过程"**。批判遗产研究提出"遗产化"(Heritagization)概念，强调遗产不是先验存在的事物，而是通过特定的社会、政治和文化过程被"制造"为遗产的。这一视角提醒我们，数字化过程本身也是一种"遗产化"——通过选择什么进行数字化、如何数字化、如何展示数字化成果，我们实际上在参与遗产价值的建构。 #### 1.6.2 文化遗产价值论的当代发展 文化遗产的价值理论是保护实践的哲学基础。传统的价值论框架以Riegl(1903)的"纪念物价值-当代价值"二分法为代表，将遗产价值分为"历史价值""艺术价值""年代价值"等内在的、客观的价值。 当代价值论的发展趋势包括： **多元价值并存**：UNESCO在《奈良原真性文件》(1994)中明确指出，文化遗产的价值判断应基于具体的文化语境，不存在普世标准。这意味着同一文化遗产对不同文化群体可能具有不同价值——对源社区而言可能是神圣的宗教器物，对外部研究者而言可能是历史证据，对游客而言可能是审美对象。 **动态价值演变**：文化遗产的价值不是静态的，而是随着社会认知和文化语境的变化而演变。如工业遗产在工业化时期被视为"落后产能"，在后工业时代被重新发现为"文化记忆"。数字化技术加速了价值演变的过程——通过数字传播，文化遗产可能获得此前未被认知的价值维度。 **冲突价值协商**：不同利益相关者对同一文化遗产可能赋予不同甚至冲突的价值判断。如一处宗教遗址对宗教信徒具有精神价值，对考古学家具有研究价值，对旅游开发商具有经济价值。数字化过程中需要建立价值协商机制，平衡不同利益相关者的诉求。 ### 1.7 数字化保护范式的理论定位 #### 1.7.1 数字化保护的范式特征 文化遗产数字化保护代表了遗产保护领域的范式转型(Paradigm Shift)，其核心特征可概括为： **从"保存"到"激活"**：传统保护范式以"保存"为核心目标——尽量延长文化遗产的物理寿命。数字化范式在保存的基础上强调"激活"——通过数字技术使文化遗产重新进入当代社会生活，实现"创造性转化和创新性发展"。 **从"独享"到"共享"**：传统保护中，文化遗产的接触和使用受到严格限制，特别是在博物馆藏品和考古遗址保护中。数字化范式通过数字复制使文化遗产能够在多地点、多场景中同时使用，打破了"独享"的限制。 **从"专家"到"公众"**：传统保护的决策权主要掌握在专家和行政机构手中。数字化范式通过众包、社区参与和公众科学等模式，扩大了公众在遗产保护中的参与度。 **从"静态"到"动态"**：传统保护倾向于将文化遗产"定格"在某个历史时刻。数字化范式承认遗产是"活态"的，数字技术可以记录和展示遗产在不同历史时期的变化过程。 #### 1.7.2 G.U.A.R.D.框架的理论渊源 G.U.A.R.D.框架的设计融合了多个理论传统： **生命周期理论**：G(生成)→A(典藏)→R(呈现)→U(活化)→D(治理)的流程体现了文化遗产数字化的全生命周期管理思路，与信息生命周期理论和产品生命周期理论一脉相承。 **系统论**：框架将文化遗产数字化视为一个系统，五个维度相互关联、相互制约。D维度(治理)贯穿其他四个维度，体现了系统论中"控制反馈"的思想。 **价值链理论**：框架中的G-A-R-U构成了一条价值链——从原始数据采集(G)到价值创造(U)，每个环节都为下一环节增值。这与Porter的价值链理论在逻辑上一致。 **可持续发展理论**：D维度强调的治理、伦理和可持续性，与联合国可持续发展目标(SDGs)的理念高度契合。 ### 1.8 国际文化遗产保护运动的里程碑事件深度分析 #### 1.8.1 从威尼斯宪章到奈良文件：原真性概念的演进 "原真性"(Authenticity)是文化遗产保护的核心概念，其内涵的演变深刻影响了数字化保护的理念和实践。 1964年《威尼斯宪章》将原真性主要理解为物质原真性——保护对象应保留其原始材料和历史痕迹，修复应"可识别"且"最小干预"。这一标准植根于欧洲石质建筑保护传统，强调物质实体的年代价值。 1994年《奈良原真性文件》实现了原真性概念的重大突破。文件指出，原真性的判断应基于具体文化语境，不同文化对原真性的理解可能存在差异。在亚洲木质建筑传统中，定期更换构件是维护建筑存续的必要手段，材料的"新旧"并不影响建筑的原真性——原真性存在于"形式、工艺、功能"的延续，而非物质材料的古老。 对数字化保护的启示：奈良文件的原真性观为数字遗产提供了理论支持——数字复制品虽非物质原真，但如果它忠实地传达了原始遗产的形式信息、工艺特征和文化意义，则在信息层面具有原真性。这一认识为数字遗产作为"合法遗产形态"提供了理论依据。 #### 1.8.2 2003年《非遗公约》的革命性意义 2003年UNESCO《保护非物质文化遗产公约》的通过是文化遗产保护史上的里程碑事件，其革命性意义体现在： **保护对象的拓展**：公约将保护对象从"物"扩展到"实践、表演、表现形式、知识和技能"，从根本上改变了遗产保护的边界和方法。 **保护主体的转变**：公约强调"社区、群体和个人"是非遗保护的核心主体，这与传统遗产保护中"国家"和"专家"的主体地位形成对比。公约要求各缔约国在制定保护措施时"确保社区、群体和相关非政府组织的参与"。 **保护方式的创新**：公约不追求"冻结式保存"，而强调"活态传承"——非遗应在社区的生活实践中持续传承和发展。这一理念深刻影响了非遗数字化的策略——数字化不是"标本式记录"，而是"活态传承的支撑工具"。 ### 1.9 本章拓展讨论：文化遗产数字化的哲学反思 数字技术对文化遗产保护的介入不仅是技术问题，更引发了深层的哲学反思。这些反思对于理解数字化保护的边界和可能性具有重要意义。 **数字复制品的本体论地位**：在数字化保护中，原始遗产与其数字复制品之间的关系是什么？法国哲学家Baudrillard的"拟像"(Simulacra)理论警示我们：当复制品变得比原件更"真实"时(如数字敦煌的高清图像比洞窟内昏暗环境中的壁画更容易看清)，人们可能开始将复制品视为"真实"的来源。这种"超真实"(Hyperreality)状态可能导致原始遗产价值的贬损——如果数字版"更好看""更方便"，为什么还要保护原始遗产？回答这一问题的关键是区分"信息的丰富性"和"存在的丰富性"——数字复制品可以传递丰富的信息，但无法替代原始遗产作为历史存在物的本体论价值。原始遗产的材质、痕迹、磨损和修复历史本身就是信息，这些信息无法被数字复制完全捕获。 **数字化与"灵光"**：Walter Benjamin在《机械复制时代的艺术作品》中提出"灵光"(Aura)概念，指艺术原作所具有的"此时此地"的独特存在感。Benjamin认为机械复制消解了灵光，使艺术失去了其仪式性和神圣性。数字复制是否进一步消解了灵光？还是说，数字技术可能创造新的"数字灵光"——一种基于虚拟存在和全球可达性的新型灵光？这一问题的答案可能取决于具体的数字实践——娱乐化的数字展示可能消解灵光，而深思熟虑的数字策展可能增强灵光。</w:t>
      </w:r>
    </w:p>
    <w:p>
      <w:pPr>
        <w:spacing w:line="360" w:lineRule="auto" w:before="60" w:after="60"/>
        <w:ind w:left="720"/>
      </w:pPr>
      <w:r>
        <w:rPr>
          <w:rFonts w:ascii="Microsoft YaHei" w:hAnsi="Microsoft YaHei" w:eastAsia="Microsoft YaHei"/>
          <w:i/>
          <w:sz w:val="22"/>
        </w:rPr>
        <w:t>**图表数据来源**：本章图表数据基于UNESCO文化遗产公约文献、中国国家文物局公开数据及学术文献综合整理。G.U.A.R.D.框架为本书原创理论模型。</w:t>
      </w:r>
    </w:p>
    <w:p>
      <w:pPr>
        <w:pStyle w:val="Heading2"/>
      </w:pPr>
      <w:r>
        <w:rPr>
          <w:rFonts w:ascii="Microsoft YaHei" w:hAnsi="Microsoft YaHei" w:eastAsia="Microsoft YaHei"/>
          <w:color w:val="264653"/>
        </w:rPr>
        <w:t>参考文献</w:t>
      </w:r>
    </w:p>
    <w:p>
      <w:pPr>
        <w:spacing w:line="360" w:lineRule="auto" w:after="60"/>
        <w:ind w:firstLine="480"/>
      </w:pPr>
      <w:r>
        <w:rPr>
          <w:rFonts w:ascii="Microsoft YaHei" w:hAnsi="Microsoft YaHei" w:eastAsia="Microsoft YaHei"/>
          <w:sz w:val="24"/>
        </w:rPr>
        <w:t>1. Díaz Mendoza M A, De La Hoz Franco E, Gómez Gómez J E. Technologies for the Preservation of Cultural Heritage—A Systematic Review of the Literature. Sustainability, 2023, 15(2): 1059. DOI: 10.3390/su15021059.</w:t>
      </w:r>
    </w:p>
    <w:p>
      <w:pPr>
        <w:spacing w:line="360" w:lineRule="auto" w:after="60"/>
        <w:ind w:firstLine="480"/>
      </w:pPr>
      <w:r>
        <w:rPr>
          <w:rFonts w:ascii="Microsoft YaHei" w:hAnsi="Microsoft YaHei" w:eastAsia="Microsoft YaHei"/>
          <w:sz w:val="24"/>
        </w:rPr>
        <w:t>2. Robbins C. Beyond preservation: New directions for technological innovation through intangible cultural heritage. Rhode Island School of Design, 2010.</w:t>
      </w:r>
    </w:p>
    <w:p>
      <w:pPr>
        <w:spacing w:line="360" w:lineRule="auto" w:after="60"/>
        <w:ind w:firstLine="480"/>
      </w:pPr>
      <w:r>
        <w:rPr>
          <w:rFonts w:ascii="Microsoft YaHei" w:hAnsi="Microsoft YaHei" w:eastAsia="Microsoft YaHei"/>
          <w:sz w:val="24"/>
        </w:rPr>
        <w:t>3. Wan Isa W M, Mat Zin N, Rosdi F, et al.. Digital Preservation of Intangible Cultural Heritage. Indonesian Journal of Electrical Engineering and Computer Science, 2018, 12(3): 1373-1379. DOI: 10.11591/IJEECS.V12.I3.PP1373-1379.</w:t>
      </w:r>
    </w:p>
    <w:p>
      <w:pPr>
        <w:spacing w:line="360" w:lineRule="auto" w:after="60"/>
        <w:ind w:firstLine="480"/>
      </w:pPr>
      <w:r>
        <w:rPr>
          <w:rFonts w:ascii="Microsoft YaHei" w:hAnsi="Microsoft YaHei" w:eastAsia="Microsoft YaHei"/>
          <w:sz w:val="24"/>
        </w:rPr>
        <w:t>4. Ertürk N. Preservation of Digitized Intangible Cultural Heritage in Museum Storage. Museum Storage, 2022.</w:t>
      </w:r>
    </w:p>
    <w:p>
      <w:pPr>
        <w:spacing w:line="360" w:lineRule="auto" w:after="60"/>
        <w:ind w:firstLine="480"/>
      </w:pPr>
      <w:r>
        <w:rPr>
          <w:rFonts w:ascii="Microsoft YaHei" w:hAnsi="Microsoft YaHei" w:eastAsia="Microsoft YaHei"/>
          <w:sz w:val="24"/>
        </w:rPr>
        <w:t>5. 孔凡运. 文化遗产数字化保存的策略与挑战. 万方数据.</w:t>
      </w:r>
    </w:p>
    <w:p>
      <w:pPr>
        <w:spacing w:line="360" w:lineRule="auto" w:after="60"/>
        <w:ind w:firstLine="480"/>
      </w:pPr>
      <w:r>
        <w:rPr>
          <w:rFonts w:ascii="Microsoft YaHei" w:hAnsi="Microsoft YaHei" w:eastAsia="Microsoft YaHei"/>
          <w:sz w:val="24"/>
        </w:rPr>
        <w:t>6. Alivizatou-Barakou M, Kitsikidis A, Tsalakanidou F, et al.. Intangible Cultural Heritage and New Technologies: Challenges and Opportunities for Cultural Preservation and Development. Mixed Reality and Gamification for Cultural Heritage, Springer, 2017: 129-158. DOI: 10.1007/978-3-319-49607-8_5.</w:t>
      </w:r>
    </w:p>
    <w:p>
      <w:pPr>
        <w:spacing w:line="360" w:lineRule="auto" w:after="60"/>
        <w:ind w:firstLine="480"/>
      </w:pPr>
      <w:r>
        <w:rPr>
          <w:rFonts w:ascii="Microsoft YaHei" w:hAnsi="Microsoft YaHei" w:eastAsia="Microsoft YaHei"/>
          <w:sz w:val="24"/>
        </w:rPr>
        <w:t>7. Zhang L, Li M, Zhang L, et al.. MasterSu: The Sustainable Development of Su Embroidery Based on Digital Technology. Sustainability, 2022, 14(12): 7094. DOI: 10.3390/su14127094.</w:t>
      </w:r>
    </w:p>
    <w:p>
      <w:pPr>
        <w:spacing w:line="360" w:lineRule="auto" w:after="60"/>
        <w:ind w:firstLine="480"/>
      </w:pPr>
      <w:r>
        <w:rPr>
          <w:rFonts w:ascii="Microsoft YaHei" w:hAnsi="Microsoft YaHei" w:eastAsia="Microsoft YaHei"/>
          <w:sz w:val="24"/>
        </w:rPr>
        <w:t>8. 黄永林, 谈国新. 中国非物质文化遗产数字化保护与开发研究. 万方数据.</w:t>
      </w:r>
    </w:p>
    <w:p>
      <w:pPr>
        <w:spacing w:line="360" w:lineRule="auto" w:after="60"/>
        <w:ind w:firstLine="480"/>
      </w:pPr>
      <w:r>
        <w:rPr>
          <w:rFonts w:ascii="Microsoft YaHei" w:hAnsi="Microsoft YaHei" w:eastAsia="Microsoft YaHei"/>
          <w:sz w:val="24"/>
        </w:rPr>
        <w:t>9. Prodan A C. The Digital "Memory of the World": An Exploration of Documentary Practices in the Age of Digital Technology. Semantic Scholar, 2016.</w:t>
      </w:r>
    </w:p>
    <w:p>
      <w:pPr>
        <w:spacing w:line="360" w:lineRule="auto" w:after="60"/>
        <w:ind w:firstLine="480"/>
      </w:pPr>
      <w:r>
        <w:rPr>
          <w:rFonts w:ascii="Microsoft YaHei" w:hAnsi="Microsoft YaHei" w:eastAsia="Microsoft YaHei"/>
          <w:sz w:val="24"/>
        </w:rPr>
        <w:t>10. Bonn M, Kendall L, McDonough J. Libraries and Archives and the Preservation of Intangible Cultural Heritage: Defining a Research Agenda. Semantic Scholar, 2017.</w:t>
      </w:r>
    </w:p>
    <w:p>
      <w:pPr>
        <w:spacing w:line="360" w:lineRule="auto" w:after="60"/>
        <w:ind w:firstLine="480"/>
      </w:pPr>
      <w:r>
        <w:rPr>
          <w:rFonts w:ascii="Microsoft YaHei" w:hAnsi="Microsoft YaHei" w:eastAsia="Microsoft YaHei"/>
          <w:sz w:val="24"/>
        </w:rPr>
        <w:t>11. Zhou M, Geng G, Wu Z. Digitization of Cultural Heritage. Springer, 2012. DOI: 10.1007/978-3-642-28099-3_3.</w:t>
      </w:r>
    </w:p>
    <w:p>
      <w:pPr>
        <w:spacing w:line="360" w:lineRule="auto" w:after="60"/>
        <w:ind w:firstLine="480"/>
      </w:pPr>
      <w:r>
        <w:rPr>
          <w:rFonts w:ascii="Microsoft YaHei" w:hAnsi="Microsoft YaHei" w:eastAsia="Microsoft YaHei"/>
          <w:sz w:val="24"/>
        </w:rPr>
        <w:t>12. 杜若飞. 基于数字技术的中国文化遗产保护与传播——以敦煌莫高窟为例. 万方数据.</w:t>
      </w:r>
    </w:p>
    <w:p>
      <w:pPr>
        <w:spacing w:line="360" w:lineRule="auto" w:after="60"/>
        <w:ind w:firstLine="480"/>
      </w:pPr>
      <w:r>
        <w:rPr>
          <w:rFonts w:ascii="Microsoft YaHei" w:hAnsi="Microsoft YaHei" w:eastAsia="Microsoft YaHei"/>
          <w:sz w:val="24"/>
        </w:rPr>
        <w:t>13. Shi X, Li H. Research on the Digital Pathways for the Protection and Inheritance of Intangible Cultural Heritage. Advances in Social Sciences and Humanities, 2024, 6(3): 119-131. DOI: 10.22158/assc.v6n3p119.</w:t>
      </w:r>
    </w:p>
    <w:p>
      <w:pPr>
        <w:spacing w:line="360" w:lineRule="auto" w:after="60"/>
        <w:ind w:firstLine="480"/>
      </w:pPr>
      <w:r>
        <w:rPr>
          <w:rFonts w:ascii="Microsoft YaHei" w:hAnsi="Microsoft YaHei" w:eastAsia="Microsoft YaHei"/>
          <w:sz w:val="24"/>
        </w:rPr>
        <w:t>14. Liu G, Ding X, Cai J, et al.. Digital Making for Inheritance and Enlivening Intangible Cultural Heritage: A Case of Hairy Monkey Handicrafts. CHI '23, 2023. DOI: 10.1145/3544548.3581539.</w:t>
      </w:r>
    </w:p>
    <w:p>
      <w:pPr>
        <w:spacing w:line="360" w:lineRule="auto" w:after="60"/>
        <w:ind w:firstLine="480"/>
      </w:pPr>
      <w:r>
        <w:rPr>
          <w:rFonts w:ascii="Microsoft YaHei" w:hAnsi="Microsoft YaHei" w:eastAsia="Microsoft YaHei"/>
          <w:sz w:val="24"/>
        </w:rPr>
        <w:t>15. Hou Y, Kenderdine S, Picca D, et al.. Digitizing Intangible Cultural Heritage Embodied: State of the Art. ACM Journal on Computing and Cultural Heritage, 2022, 15(3): 1-28. DOI: 10.1145/3494837.</w:t>
      </w:r>
    </w:p>
    <w:p>
      <w:pPr>
        <w:spacing w:line="360" w:lineRule="auto" w:after="60"/>
        <w:ind w:firstLine="480"/>
      </w:pPr>
      <w:r>
        <w:rPr>
          <w:rFonts w:ascii="Microsoft YaHei" w:hAnsi="Microsoft YaHei" w:eastAsia="Microsoft YaHei"/>
          <w:sz w:val="24"/>
        </w:rPr>
        <w:t>16. 余日季. 基于AR技术的非物质文化遗产数字化开发研究. 万方数据, 2014.</w:t>
      </w:r>
    </w:p>
    <w:p>
      <w:pPr>
        <w:spacing w:line="360" w:lineRule="auto" w:after="60"/>
        <w:ind w:firstLine="480"/>
      </w:pPr>
      <w:r>
        <w:rPr>
          <w:rFonts w:ascii="Microsoft YaHei" w:hAnsi="Microsoft YaHei" w:eastAsia="Microsoft YaHei"/>
          <w:sz w:val="24"/>
        </w:rPr>
        <w:t>17. Zhu Y, Azahari M H. The Application Research of Virtual Reality Technology in the Protection and Inheritance of Intangible Cultural Heritage. Highlights in Art and Design, 2024, 5. DOI: 10.54097/5b69d070.</w:t>
      </w:r>
    </w:p>
    <w:p>
      <w:pPr>
        <w:spacing w:line="360" w:lineRule="auto" w:after="60"/>
        <w:ind w:firstLine="480"/>
      </w:pPr>
      <w:r>
        <w:rPr>
          <w:rFonts w:ascii="Microsoft YaHei" w:hAnsi="Microsoft YaHei" w:eastAsia="Microsoft YaHei"/>
          <w:sz w:val="24"/>
        </w:rPr>
        <w:t>18. 师国伟, 王涌天, 刘越, 等. 增强现实技术在文化遗产数字化保护中的应用. 维普网, 2009.</w:t>
      </w:r>
    </w:p>
    <w:p>
      <w:pPr>
        <w:spacing w:line="360" w:lineRule="auto" w:after="60"/>
        <w:ind w:firstLine="480"/>
      </w:pPr>
      <w:r>
        <w:rPr>
          <w:rFonts w:ascii="Microsoft YaHei" w:hAnsi="Microsoft YaHei" w:eastAsia="Microsoft YaHei"/>
          <w:sz w:val="24"/>
        </w:rPr>
        <w:t>19. 王建华, 栗帅东. 国内非物质文化遗产数字化保护研究现状. 万方数据, 2021.</w:t>
      </w:r>
    </w:p>
    <w:p>
      <w:pPr>
        <w:spacing w:line="360" w:lineRule="auto" w:after="60"/>
        <w:ind w:firstLine="480"/>
      </w:pPr>
      <w:r>
        <w:rPr>
          <w:rFonts w:ascii="Microsoft YaHei" w:hAnsi="Microsoft YaHei" w:eastAsia="Microsoft YaHei"/>
          <w:sz w:val="24"/>
        </w:rPr>
        <w:t>20. 刘灿姣, 阳利新. 我国非物质文化遗产数字化保护的研究述评. 万方数据, 2016.</w:t>
      </w:r>
    </w:p>
    <w:p>
      <w:pPr>
        <w:spacing w:line="360" w:lineRule="auto" w:after="60"/>
        <w:ind w:firstLine="480"/>
      </w:pPr>
      <w:r>
        <w:rPr>
          <w:rFonts w:ascii="Microsoft YaHei" w:hAnsi="Microsoft YaHei" w:eastAsia="Microsoft YaHei"/>
          <w:sz w:val="24"/>
        </w:rPr>
        <w:t>21. Caciora T, Jubran A, Ilies D C, et al.. Digitization of the Built Cultural Heritage: An Integrated Methodology for Preservation and Accessibilization of an Art Nouveau Museum. Remote Sensing, 2023, 15(24): 5763. DOI: 10.3390/rs15245763.</w:t>
      </w:r>
    </w:p>
    <w:p>
      <w:pPr>
        <w:spacing w:line="360" w:lineRule="auto" w:after="60"/>
        <w:ind w:firstLine="480"/>
      </w:pPr>
      <w:r>
        <w:rPr>
          <w:rFonts w:ascii="Microsoft YaHei" w:hAnsi="Microsoft YaHei" w:eastAsia="Microsoft YaHei"/>
          <w:sz w:val="24"/>
        </w:rPr>
        <w:t>22. Espina-Romero L, Guerrero-Alcedo J. Fields Touched by Digitalization: Analysis of Scientific Activity in Scopus. Sustainability, 2022, 14(21): 14425. DOI: 10.3390/su142114425.</w:t>
      </w:r>
    </w:p>
    <w:p>
      <w:pPr>
        <w:spacing w:line="360" w:lineRule="auto" w:after="60"/>
        <w:ind w:firstLine="480"/>
      </w:pPr>
      <w:r>
        <w:rPr>
          <w:rFonts w:ascii="Microsoft YaHei" w:hAnsi="Microsoft YaHei" w:eastAsia="Microsoft YaHei"/>
          <w:sz w:val="24"/>
        </w:rPr>
        <w:t>23. Cheng H M, Yen Y, Yang W B. Digital Archiving in Cultural Heritage Preservation. Semantic Scholar, 2009.</w:t>
      </w:r>
    </w:p>
    <w:p>
      <w:pPr>
        <w:spacing w:line="360" w:lineRule="auto" w:after="60"/>
        <w:ind w:firstLine="480"/>
      </w:pPr>
      <w:r>
        <w:rPr>
          <w:rFonts w:ascii="Microsoft YaHei" w:hAnsi="Microsoft YaHei" w:eastAsia="Microsoft YaHei"/>
          <w:sz w:val="24"/>
        </w:rPr>
        <w:t>24. Graham C A. Applications of digitization to museum collections management, research and accessibility. Semantic Scholar, 2012.</w:t>
      </w:r>
    </w:p>
    <w:p>
      <w:pPr>
        <w:spacing w:line="360" w:lineRule="auto" w:after="60"/>
        <w:ind w:firstLine="480"/>
      </w:pPr>
      <w:r>
        <w:rPr>
          <w:rFonts w:ascii="Microsoft YaHei" w:hAnsi="Microsoft YaHei" w:eastAsia="Microsoft YaHei"/>
          <w:sz w:val="24"/>
        </w:rPr>
        <w:t>25. Wachowiak M J, Karas B V. 3D Scanning and Replication for Museum and Cultural Heritage Applications. Journal of the American Institute for Conservation, 2009, 48(2): 141-162. DOI: 10.1179/019713609804516992.</w:t>
      </w:r>
    </w:p>
    <w:p>
      <w:pPr>
        <w:spacing w:line="360" w:lineRule="auto" w:after="60"/>
        <w:ind w:firstLine="480"/>
      </w:pPr>
      <w:r>
        <w:rPr>
          <w:rFonts w:ascii="Microsoft YaHei" w:hAnsi="Microsoft YaHei" w:eastAsia="Microsoft YaHei"/>
          <w:sz w:val="24"/>
        </w:rPr>
        <w:t>26. 白松强, 李惠. 前瞻与思辨：拓展非物质文化遗产保护研究的国际视角——评《UNESCO〈保护非物质文化遗产公约〉述论》. 维普网, 2023.</w:t>
      </w:r>
    </w:p>
    <w:p>
      <w:pPr>
        <w:spacing w:line="360" w:lineRule="auto" w:after="60"/>
        <w:ind w:firstLine="480"/>
      </w:pPr>
      <w:r>
        <w:rPr>
          <w:rFonts w:ascii="Microsoft YaHei" w:hAnsi="Microsoft YaHei" w:eastAsia="Microsoft YaHei"/>
          <w:sz w:val="24"/>
        </w:rPr>
        <w:t>27. Papaioannou K. The International Law on the Protection of Cultural Heritage. International Journal of Arts &amp; Sciences, 2017, 7(3). DOI: 10.18769/IJASOS.309684.</w:t>
      </w:r>
    </w:p>
    <w:p>
      <w:r>
        <w:br w:type="page"/>
      </w:r>
    </w:p>
    <w:p>
      <w:pPr>
        <w:pStyle w:val="Heading2"/>
      </w:pPr>
      <w:r>
        <w:rPr>
          <w:rFonts w:ascii="Microsoft YaHei" w:hAnsi="Microsoft YaHei" w:eastAsia="Microsoft YaHei"/>
          <w:color w:val="264653"/>
        </w:rPr>
        <w:t>学习目标 1. **识记**：非物质文化遗产的定义、五大领域及活态性、传承性、社区性三大特征 2. **理解**：非遗数字化的理论基础，包括数字保存理论、活态传承理论与文化记忆理论 3. **应用**：运用非遗数字化的技术路径分析具体非遗项目的数字化保护方案 4. **分析**：比较中外非遗数字化保护的理念差异与实践模式 5. **评价**：评估非遗数据库建设的现状、问题与发展方向 6. **创造**：为一项地方非遗设计数字化保护方案，涵盖采集、存储、展示与传播全流程 ## 导入案例：昆曲的数字化生存——从舞台到屏幕 昆曲，被誉为"百戏之祖"，2001年首批入选UNESCO"人类口头和非物质遗产代表作"名录。然而，这一有着六百余年历史的古老艺术，在当代社会面临着观众萎缩、传承人断层、剧目失传等多重困境。传统昆曲保护主要依靠师徒口传心授和舞台演出，这种高度依赖人与场域的传承方式，使得昆曲的生存极度脆弱。 21世纪以来，数字化技术为昆曲保护注入了新活力。江苏昆剧院联合南京大学启动"昆曲数字档案"项目，利用高清视频、动作捕捉和三维建模技术，对经典剧目进行了系统性的数字化记录。项目团队不仅记录了表演的视觉和音频信息，还通过动作捕捉技术提取了演员的身段、手势、步法等运动数据，为昆曲表演艺术的系统性保存和教学传承开辟了新路径。与此同时，"数字昆曲"线上平台使全球观众得以随时随地欣赏经典剧目，昆曲从"剧场艺术"拓展为"屏幕艺术"。 昆曲数字化的实践揭示了一个核心命题：非遗的保护不应仅停留在"保存"层面，更应关注如何在数字环境中实现"活态传承"。如何在数字化过程中保持非遗的本真性(authenticity)？如何让数字化记录成为传承的工具而非仅是档案？这些问题构成了非遗数字化理论的核心关切。 ### 2.1 非物质文化遗产的概念与特征 #### 2.1.1 ICH的定义与分类 非物质文化遗产(ICH)的概念经历了从"民间创作"到"非物质文化遗产"再到"非遗"的演进。1989年，UNESCO通过《保护民间创作建议案》，首次在国际文件中提出保护民间创作。1998年，UNESCO发布《人类口头和非物质遗产代表作条例》，启动代表作评选。2003年，《保护非物质文化遗产公约》的通过标志着非遗保护进入法制化阶段。 根据2003年公约第二条，非遗是指"被各社区、群体，有时是个人，视为其文化遗产组成部分的各种社会实践、观念表述、表现形式、知识、技能以及相关的工具、实物、手工艺品和文化场所"。这一定义包含三个关键要素：(1)社区认同——非遗必须被相关社区视为其文化遗产的一部分；(2)代际传承——非遗须在世代间传承；(3)活态再创造——非遗不是凝固不变的传统，而是在实践中不断再创造的活态传统。 #### 2.1.2 ICH的活态性、传承性与社区性 非遗区别于物质文化遗产的三大核心特征是**活态性**、**传承性**和**社区性**。 **活态性**(Living Nature)是非遗最本质的特征。非遗不是静态的"遗物"，而是活在人们日常实践中的"遗存"。它随着社会环境的变化而变化，随着传承人的创造而发展。Hou等人在研究非遗的数字化时提出了"具身化数字遗产"(Embodied Digital Heritage)概念，强调非遗的活态性使其数字化面临独特挑战——如何记录那些存在于身体实践和社区互动中的动态文化。 **传承性**(Transmission)是非遗存续的基本条件。非遗的传承依赖于人与人之间的直接传递，这种传递不仅是知识的传递，更是技能、情感、价值观的综合传递。一旦传承链断裂，非遗便面临消亡风险。Alivizatou-Barakou等人在探讨非遗新技术时指出，音视频记录和多媒体资源可以为非遗记录和收集提供有用工具，但这些技术手段不能替代人际传承本身。 **社区性**(Community-based)是非遗保护的伦理基础。2003年公约特别强调社区、群体和个人在非遗认定、记录和保护中的主体地位。朱刚在研究UNESCO非遗保护政策时指出，审查机构的运作机制体现了国际非遗政治从国家主导向社区参与的转向。 #### 2.1.3 ICH保护的特殊性 非遗保护面临着与物质文化遗产截然不同的方法论挑战。物质文化遗产的保护以"最小干预"和"原址保护"为原则，核心是保存物质实体的完整性。而非遗保护的核心是维持其**活态传承**，这要求保护措施不能将非遗"固化"为静态展品，而应支持其在实践中继续发展。 Wan Isa等人在研究非遗数字保存时指出，非遗的数字保存需要在"记录"与"实践"之间取得平衡——数字化记录是保护手段而非保护目的，真正的保护在于让非遗在社区中继续"活着"。Robbins进一步提出，应超越"保存"范式，探索通过非遗推动技术创新的新方向。 ### 2.2 非遗数字化的理论基础 #### 2.2.1 数字保存理论 数字保存理论(Digital Preservation Theory)起源于档案学和信息科学，关注如何在技术快速变迁的环境中确保数字信息的长期可读性和可理解性。OAIS(Open Archival Information System)参考模型是数字保存领域的核心理论框架，它将数字保存过程划分为摄入、存储、管理、保存规划和访问五个功能模块。 在非遗数字化语境中，数字保存理论面临两个特殊挑战：一是非遗信息的**多模态性**——一个非遗项目可能涉及文本、图像、音频、视频、三维模型、动作数据等多种格式的信息，如何统一管理和长期保存这些异构数据是一个技术难题；二是非遗信息的**语境依赖性**——非遗的意义高度依赖于其文化语境，脱离语境的数字化记录可能导致意义的扭曲或丧失。 #### 2.2.2 活态传承理论 活态传承理论(Living Transmission Theory)强调非遗保护应以维持和促进非遗的活态传承为核心目标。该理论认为，非遗数字化不应仅是"记录过去"，更应"服务未来"——数字化成果应当成为传承人和社区继续实践和创新非遗的资源与工具。 Zhang等人在研究苏绣的数字化可持续发展时提出了"MasterSu"模式，通过数字技术为苏绣传承人提供设计辅助、市场对接和知识管理支持，使数字化成为推动传统工艺创新发展的动力。这一实践体现了活态传承理论的核心主张：数字化保护应当赋能传承人而非替代传承人。 #### 2.2.3 文化记忆理论 文化记忆理论(Cultural Memory Theory)由德国学者阿斯曼(Jan Assmann)提出，强调文化传承是一种主动的、制度化的记忆实践。在非遗数字化语境中，文化记忆理论提供了一个理解数字化保护深层意义的框架：非遗数字化不仅是技术行为，更是文化记忆的生产、存储和传递过程。 Liu等人在研究AI对数字人文研究的影响时指出，生成式AI正在改变文化记忆的生产方式，从ChatGPT到Sora，AI工具使文化记忆的再现和传播获得了前所未有的创造力，但也带来了文化失真和记忆操纵的风险。这一观点提醒我们，非遗数字化需要在技术赋能与文化本真性之间保持审慎的平衡。 ### 2.3 非遗数字化的技术路径 #### 2.3.1 数字化采集技术(音视频、动作捕捉) 非遗数字化采集是整个保护工作的起点，其技术选择取决于非遗项目的类型和特征。黄永林和谈国新将非遗数字化技术归纳为四个层次：数字化采集和存储技术、数字化复原和再现技术、数字化展示与传播技术、虚拟现实技术。 **音视频记录技术**是最基础也是最成熟的非遗数字化采集手段。高清摄像、专业录音、多机位拍摄等技术可以全面记录非遗表演、技艺过程和仪式活动。杨薇在介绍智化寺京音乐的数字化保护实践时指出，通过数字化录制、自媒体宣传、互动触摸屏开发、手机直播等多种数字技术手段，智化寺成功地对这一有570多年历史的明代古乐进行了保护与传承。 **动作捕捉技术**(Motion Capture)是非遗数字化采集的前沿技术，特别适用于表演艺术类非遗的记录。通过在演员身体关键部位安装传感器，动作捕捉系统可以精确记录表演者的身体运动轨迹、速度和力度，为表演艺术的系统性保存和教学传承提供数据基础。Zhu和Azahari在研究VR技术在非遗保护中的应用时指出，高精度三维扫描和音视频录制技术可以全面记录传统工艺、表演艺术等各种非遗项目的信息。 #### 2.3.2 数字化存储与分类体系 非遗数字化存储面临的核心挑战是分类体系的标准化。刘灿姣和阳利新在系统梳理中国非遗数字化保护研究后指出，目前学者在非遗数据库建设内容的研究上没有形成权威的、统一的模块，非遗数据库建设的评价机制尚没有建立；非遗的单线性分类研究较多，多层次分类研究较少，元数据技术的应用研究尚处于初级阶段。 **元数据标准**是非遗数字化存储的关键技术。国际上常用的元数据标准包括Dublin Core、CIDOC CRM等，但这些标准在非遗领域的适配性仍有待完善。中国非遗数字化实践中，各地非遗数据库采用的元数据标准不统一，导致数据互操作性不足，形成了"数据孤岛"问题。 #### 2.3.3 数字化复原与再现技术 数字化复原与再现技术利用三维建模、虚拟现实、增强现实等手段，对已消失或濒危的非遗项目进行数字重建。赵玉婷和刘莹在研究"蒋塘马灯"的数字动画表现时，探索了利用数字动画技术对国家级非遗项目进行创新性表达的方法。刘彦则以"秦淮灯彩"为例，通过文献分析、实地考察和数字化创新设计实践，梳理了非遗数字化产品创新设计的路径。 ### 2.4 非遗数字化的国际经验 #### 2.4.1 UNESCO非遗数字化指南 UNESCO在2003年公约框架下发布了一系列非遗数字化指南和伦理原则，强调非遗数字化应遵循社区知情同意、利益分享、文化敏感性等基本原则。李敏和王宇洁在述论UNESCO非遗保护工作时指出，UNESCO逐渐构建了完整的非遗保护系统，在收录非遗清单、提高公众对非遗认识程度、非遗的传承与教育、国际合作与援助等方面推动世界各国的非遗保护工作走向成熟。 #### 2.4.2 日韩非遗数字化实践 日本和韩国在非遗数字化方面走在亚洲前列。日本自20世纪90年代起系统推进"文化财数字化"工程，建立了国立文化财机构数字档案。韩国则通过"韩国传统文化数字档案"等项目，对国家级非遗项目进行系统数字化记录。两国的共同经验是：政府主导、法律保障、专业机构执行、公众开放访问。 #### 2.4.3 欧洲非遗数字化项目 欧洲在非遗数字化方面开展了多项跨国合作项目。Europeana作为欧洲数字图书馆、博物馆和档案馆的统一平台，收录了大量非遗相关数字资源。Marinković等人在分析欧洲文化遗产数字化政策时指出，自2005年以来，欧盟通过一系列政策文件推动了成员国文化遗产数字化的系统开展。 ### 2.5 中国非遗数字化研究现状 #### 2.5.1 研究脉络与热点分析 王建华和栗帅东基于CNKI文献数据，利用VOSviewer可视化分析软件，对2001-2021年中国非遗数字化研究进行了系统梳理。研究发现，国内非遗数字化研究主要集中在数字化技术应用、非遗数据库建设、数字化传播和产业化发展四个方向，研究热度持续上升但整体仍处于"技术应用探索"阶段，理论建构相对薄弱。 #### 2.5.2 非遗数据库建设 中国非遗数据库建设已取得初步成效。文化和旅游部建立了"中国非物质文化遗产数字博物馆"和国家级非遗代表性项目数据库，各省市也相继建设了地方非遗数据库。刘中华以海派黄杨木雕专题数据库为例，探索了由图书馆主导的非遗资源数字化转化实践，为非遗数据库建设提供了创新性传承案例。 然而，当前非遗数据库建设仍存在以下问题：(1)数据标准不统一，互操作性差；(2)以文本和图片为主，多媒体和三维数据不足；(3)面向研究者和公众的服务功能薄弱；(4)数据更新和维护缺乏持续机制。 #### 2.5.3 非遗数字博物馆发展 非遗数字博物馆是非遗数字化传播的重要平台。孔凡运指出，数字博物馆是文化遗产的保护、研究、开发和利用在新形势下的产物，通过建立并完善非遗资源库、构建非遗数字化博物馆、形成立体化数字传播渠道等形式，可以对非遗项目进行有效保护和利用。 近年来，"数字敦煌"等大型数字博物馆项目的成功运营为非遗数字博物馆建设提供了可借鉴的经验。洪闯和李中明基于可拓云模型对文化遗产数字化平台信息服务质量进行评价研究，以"云游敦煌"和"数字故宫"为实证案例，提出了提升文化遗产数字化平台服务质量的策略建议。 ## 知识卡片 **知识卡片2-1：UNESCO非遗五大领域** 1. 口头传统和表现形式(含语言) 2. 表演艺术 3. 社会实践、仪式、节庆活动 4. 有关自然界和宇宙的知识和实践 5. 传统手工艺 **知识卡片2-2：非遗数字化采集技术对比** | 技术 | 适用非遗类型 | 优势 | 局限 | |------|------------|------|------| | 高清音视频 | 表演艺术、口头传统 | 技术成熟、成本低 | 互动性不足 | | 动作捕捉 | 舞蹈、戏曲、武术 | 精确记录运动数据 | 设备昂贵、需专业操作 | | 三维扫描 | 传统手工艺品 | 高精度形态记录 | 无法记录动态过程 | | 多光谱成像 | 古籍文献 | 揭示隐藏信息 | 适用范围有限 | **知识卡片2-3：OAIS参考模型的五大功能模块** - 摄入(Ingest)：接收数字信息并纳入保存系统 - 存储(Storage)：数字信息的长期物理存储 - 管理(Administration)：系统的整体管理 - 保存规划(Preservation Planning)：制定保存策略 - 访问(Access)：提供用户检索和获取服务 ## 本章小结 本章系统阐述了非物质文化遗产数字化的理论基础与技术路径。首先界定了非遗的概念、五大领域和三大核心特征(活态性、传承性、社区性)，指出非遗保护以维持活态传承为核心目标；其次梳理了数字保存理论、活态传承理论和文化记忆理论三大理论基础，揭示了非遗数字化的理论逻辑；然后从数字化采集、存储分类、复原再现三个层次分析了非遗数字化的技术路径；接着比较了UNESCO指南、日韩实践和欧洲项目等国际经验；最后梳理了中国非遗数字化研究脉络、数据库建设和数字博物馆发展的现状与问题。本章对应G.U.A.R.D.框架的G维度(数字化生成与采集)，为后续章节的技术深入分析奠定理论基础。 ## 思考题 1. **(识记)** 非物质文化遗产的五大领域分别是什么？各举一例说明。 2. **(理解)** 试比较"数字保存理论"与"活态传承理论"在非遗保护目标上的差异。 3. **(应用)** 选择一项传统手工艺类非遗，设计一个完整的数字化采集方案，说明技术选型理由。 4. **(分析)** 分析当前中国非遗数据库建设中的"数据孤岛"问题，提出可能的解决方案。 5. **(评价)** 有人认为"动作捕捉技术可以替代师徒传承"，你是否同意？请从活态传承理论角度进行论证。 6. **(创造)** 为你家乡的一项濒危非遗设计一个数字化保护与传播方案，涵盖采集、存储、展示和社区参与四个环节。 ### 2.6 非遗数字化的国际比较研究 #### 2.6.1 保护理念的比较 不同国家和地区的非遗数字化保护理念存在显著差异。**UNESCO框架下的社区导向**强调非遗保护的核心是维持社区的文化实践和传承能力，数字化是辅助手段而非替代手段。**日本"文化财"体系下的精微记录**强调对传承人技艺的精细化记录，追求"忠実な記録"(忠实记录)，数字化标准极为严格。**欧洲参与式遗产保护**强调公众参与和开放获取，数字化成果默认向公众开放。**中国"保护为主、抢救第一、合理利用、传承发展"**的方针则强调保护与利用的辩证统一。 这些理念差异导致了数字化实践的不同取向。日本偏重"记录"而非"展示"，数字档案以学术研究为主要服务对象；欧洲偏重"开放"和"参与"，数字化成果以公众可及性为优先目标；中国则试图在"保护"和"利用"之间取得平衡，数字化既要服务于学术研究，也要服务于公众教育和文化产业。 #### 2.6.2 技术路径的比较 在技术路径方面，各国也存在差异。日本在传统工艺的数字化记录方面技术最为精良，其动作捕捉和高清视频记录标准被广泛借鉴。韩国在文化遗产3D数字化和VR体验方面投入巨大，"虚拟文化遗产"项目已成为韩国文化产业的重要组成部分。欧洲在数字平台建设和数据互操作性方面领先，Europeana的EDM模型和关联数据技术为跨国数据整合提供了技术范式。中国在壁画数字化、石窟寺数字化和大规模馆藏数字化方面积累了独特经验，但在设备制造、元数据标准建设和数据开放方面仍有提升空间。 #### 2.6.3 治理模式的比较 在治理模式方面，UNESCO公约框架下的国际治理强调社区参与和文化主权，但在实际执行中面临国家利益与社区利益的张力。欧洲的治理模式以法律法规为核心，版权法和数据保护法(GDPR)为文化遗产数字化提供了明确的法律框架。中国的治理模式以政府主导为特征，政策驱动和法律保障并行，在效率和规模方面具有优势，但在社区参与和公众监督方面有待加强。 ### 2.7 非遗数字化的社会文化影响 #### 2.7.1 数字化对非遗传承的影响 数字化技术对非遗传承产生了深远影响。积极方面：数字化记录为非遗保存了"数字副本"，即使传承链断裂，后人仍可通过数字档案了解和学习非遗；数字化传播扩大了非遗的受众群体，吸引更多年轻人关注和参与非遗传承；数字化工具(如动作捕捉辅助教学系统)为非遗教学提供了新手段。消极方面：数字化可能导致传承人"表演化"倾向——为适应数字化采集而简化或改变传统实践方式；数字化记录的"固化"可能削弱非遗的"活态"本质，使动态传统变为静态档案。 Robbins提出，应超越"保存"范式，探索非遗推动技术创新的新方向。这一观点启示我们，非遗数字化不应仅是"为过去保存"，更应是"为未来创造"——数字化成果应成为传承人和社区继续创新的资源与灵感来源。 #### 2.7.2 数字化对文化认同的影响 非遗数字化对文化认同的建构和传播具有重要影响。通过数字平台，非遗可以突破地域限制，触达全球受众，有助于增强文化认同和民族自信。然而，数字化也可能导致文化"去语境化"——脱离原有文化语境的非遗数字展示可能被误解或误用，损害文化多样性。Lor和Britz从伦理视角指出，数字遗产的长期保存不仅是技术问题，更是涉及文化主权和代际公平的社会和伦理问题。 #### 2.7.3 数字化与非遗产业化 非遗数字化与非遗产业化之间存在复杂的互动关系。数字化为非遗产业化提供了技术基础——数字档案、在线展示和虚拟体验为非遗文创产品开发、文化旅游和数字内容产业提供了丰富的素材和创意来源。然而，过度商业化可能导致非遗"去精神化"——将文化实践简化为消费产品，丧失其深层文化内涵。如何在数字化利用与文化本真性之间取得平衡，是非遗保护面临的核心伦理挑战。 ### 2.8 非遗数字化的前沿议题 #### 2.8.1 生成式AI与非遗 生成式AI为非遗保护带来了新的可能性和挑战。AI可以辅助非遗传承人进行创意设计，如基于传统纹样自动生成新的图案变体；可以辅助非遗研究者进行大规模文本分析，发现传统研究方法难以发现的模式；可以自动生成非遗的多语言解说和互动内容。然而，AI也带来了文化失真、版权争议和算法偏见等风险。Liu等人指出，从ChatGPT到Sora，生成式AI正在改变文化记忆的生产方式，需要建立AI应用于文化遗产领域的伦理规范。 #### 2.8.2 元宇宙与非遗 元宇宙概念为非遗保护提供了新的想象空间。将非遗融入元宇宙平台，可能实现跨越物理边界的协同体验——不同地区的传承人和爱好者可以在虚拟空间中共同实践和交流非遗。然而，元宇宙中的非遗体验能否保持其文化本真性？虚拟社区能否替代实体社区的文化传承功能？这些问题仍需深入探讨。 #### 2.8.3 区块链与非遗确权 区块链技术为非遗数字资产的确权和交易提供了新的技术方案。通过将非遗数字资产上链，可以建立不可篡改的权属记录，解决非遗数字化成果的版权归属问题。2025年的研究探讨了区块链技术与动作捕捉协同构建武术动作数据动态确权体系的可能性，为非遗身体知识的数字化确权提供了新路径。 ### 2.9 非遗数字化的方法论反思 #### 2.9.1 "记录"与"实践"的张力 非遗数字化方法论的核心张力在于"记录"与"实践"之间的矛盾。数字化记录的目的是将非遗的形态、技艺和语境以数字方式保存下来，但非遗的本质是"活态实践"——它存在于传承人的身体经验、社区的社会互动和特定文化空间之中。脱离了实践语境的数字记录，无论多么精确，都只能是非遗的"影子"而非非遗本身。 Wan Isa等人指出，非遗的数字保存需要在"记录"与"实践"之间取得平衡——数字化记录是保护手段而非保护目的，真正的保护在于让非遗在社区中继续"活着"。Hou等人进一步提出了"具身化数字遗产"概念，强调非遗数字化应当关注身体经验和社会互动的记录，而非仅是视觉和音频信息的采集。 #### 2.9.2 数字化保护的"本真性"问题 本真性(Authenticity)是非遗保护的核心伦理问题。数字化过程中的本真性涉及三个层面：**形态本真性**——数字记录是否准确反映了非遗的外在形态；**语境本真性**——数字记录是否保留了非遗的文化语境和社会功能；**体验本真性**——数字展示是否传达了非遗的精神内涵和情感价值。 数字化技术的介入可能影响非遗的本真性。为适应数字化采集而进行的"表演化"调整、为适应数字展示而进行的"简化"处理、为适应传播需求而进行的"娱乐化"改编，都可能损害非遗的本真性。如何在数字化过程中保持本真性，需要建立科学的评估标准和伦理规范。 #### 2.9.3 社区参与的深化路径 社区参与是非遗保护的伦理基础，但在数字化实践中，社区参与往往停留在"被记录对象"的层面。深化社区参与的路径包括：**参与式数字化**——让社区成员参与数字化方案的制定和实施；**社区主导的数字叙事**——让社区成员用自己的语言和视角讲述自己的文化；**数字反哺**——将数字化成果回馈社区，支持社区的非遗传承和创新发展。 Tricarico等人在研究意大利内陆地区非遗众包时提出的概念框架，将社区参与从被动的"信息提供"提升为主动的"知识共创"。Liu等人以"毛猴"手工艺为例，探索了数字制作技术在非遗传承与活化中的应用，展示了数字化如何赋能传承人和社区。 ### 2.10 非遗数字化的技术评估与发展方向 #### 2.10.1 技术成熟度评估 非遗数字化技术的成熟度可以从技术可行性、经济可承受性和社会可接受性三个维度评估。音视频记录技术已高度成熟，是当前非遗数字化的主流手段。动作捕捉技术在表演艺术类非遗中已进入实用阶段，但成本较高限制了大规模应用。VR/AR技术在非遗展示和体验中已有多项成功案例，但设备普及率和用户体验仍需提升。AI技术在非遗内容生成和智能分析方面尚处于探索阶段，需要更多研究和实践验证。 #### 2.10.2 未来发展方向 非遗数字化的未来发展方向包括：**多模态融合**——将音视频、动作捕捉、三维扫描等多种采集技术融合，构建非遗的多维数字档案；**AI赋能**——利用AI技术实现非遗内容的智能分析、自动标注和个性化推荐；**元宇宙应用**——将非遗融入元宇宙平台，实现跨地域的协同体验和传承；**区块链确权**——利用区块链技术解决非遗数字资产的权属确认和利益分配问题。这些方向将共同推动非遗数字化从"记录保存"向"活态传承"的范式转变。 ### 2.11 非遗数字化的中国实践体系 #### 2.11.1 国家级非遗数据库建设 中国文化和旅游部建立了"中国非物质文化遗产数字博物馆"和国家级非遗代表性项目数据库，收录了超过1500项国家级非遗代表性项目的数字档案。这些档案包括项目简介、传承人信息、音视频资料、图片资料和相关文献。同时，各省市也相继建设了地方非遗数据库，形成了国家-省-市-县四级非遗数据库体系。 然而，刘灿姣和阳利新在系统梳理中国非遗数字化保护研究后指出，目前学者在非遗数据库建设内容的研究上没有形成权威的、统一的模块，非遗数据库建设的评价机制尚没有建立。数据库建设中的主要问题包括：数据标准不统一(各省市采用不同的元数据标准和技术平台)、数据质量参差不齐(部分地区仅有简单的文本介绍和低分辨率图片)、数据更新滞后(非遗项目的变化未能及时反映在数据库中)、服务功能薄弱(数据库以信息展示为主，缺乏深度检索和分析功能)。 #### 2.11.2 非遗数字博物馆建设 非遗数字博物馆是非遗数字化传播的重要平台。孔凡运指出，数字博物馆是文化遗产的保护、研究、开发和利用在新形势下的产物，通过建立并完善非遗资源库、构建非遗数字化博物馆、形成立体化数字传播渠道等形式，可以对非遗项目进行有效保护和利用。中国已建成了多个非遗数字博物馆，包括中国非遗数字博物馆(国家级)、各省市非遗数字博物馆以及专题性非遗数字博物馆(如戏曲数字博物馆、传统工艺数字博物馆等)。 刘中华以海派黄杨木雕专题数据库为例，探索了由图书馆主导的非遗资源数字化转化实践。这一实践表明，图书馆、档案馆等文化机构可以在非遗数字化保护中发挥重要作用——它们拥有成熟的数字化技术、专业的元数据管理能力和长期保存经验，是非遗数字化保护的重要力量。 #### 2.11.3 非遗传承人的数字化赋能 非遗数字化不应仅关注"物"的数字化(作品、道具、音视频记录)，更应关注"人"的数字化赋能——如何利用数字技术帮助传承人更好地传承、展示和推广非遗。杨薇以智化寺京音乐为例，展示了通过数字化录制、自媒体宣传、互动触摸屏开发、手机直播等数字技术手段对非遗进行保护与传承的成果。这些数字化手段不仅保存了非遗信息，更重要的是扩大了非遗的受众群体，吸引了更多年轻人关注和参与非遗传承。 ### 2.6 非遗数字化的理论前沿与学科对话 #### 2.6.1 物质性理论与数字非遗 近年来，"物质性"(Materiality)理论为非遗数字化研究提供了新的理论视角。传统观点将非遗视为"非物质的"——强调其以人的身体实践和口耳相传为载体，而非依附于物质载体。然而，物质性理论指出，非遗的传承和展演始终离不开物质媒介——从传承人的身体、手工工具、乐器、服饰，到表演空间、仪式场所和自然环境。 数字化过程中，非遗的物质性经历了双重转化：一方面，数字技术将非遗的物质载体(如传承人的身体动作、乐器发出的声音、仪式空间的氛围)转化为数字信号，这一转化过程不可避免地涉及信息的选择和丢失；另一方面，数字技术本身也是一种物质实践——数字化设备、存储介质、显示终端等物质基础设施构成了非遗数字传播的新"物质性"。 Leonini提出"数字物质性"(Digital Materiality)概念，认为数字非遗不应被理解为非物质遗产的"虚拟副本"，而应被视为一种具有自身物质属性的"新存在形式"。这一观点对非遗数字化实践具有重要启示：数字非遗的保护不应仅关注如何"忠实地"复制原始非遗，还应关注数字形态本身如何生成新的意义、新的实践和新的社会关系。 #### 2.6.2 感觉人类学与多感官数字化 感觉人类学(Sensory Anthropology)强调文化体验的多感官性，对非遗数字化具有重要启发。非遗不仅是视觉和听觉的，还涉及触觉(如手工技艺的触感)、嗅觉(如传统饮食的气味)、动觉(如舞蹈的身体感知)等多种感官体验。当前非遗数字化主要以视觉和听觉记录为主，对其他感官体验的数字化仍处于探索阶段。 多感官数字化的前沿尝试包括：(1)触觉数字化——利用力反馈设备记录和重现手工艺制作过程中的触觉信息。如日本京都大学开发的"触觉记录系统"能记录陶艺制作过程中手与陶土的交互力，并通过触觉手套重现这一体验；(2)嗅觉数字化——利用电子鼻技术采集和重现非遗场景中的气味信息。如欧盟资助的"Odeuropa"项目正在系统收集和重现欧洲文化遗产中的历史气味；(3)动觉数字化——结合动作捕捉和力反馈技术，不仅记录身体运动轨迹，还记录运动过程中的力量、节奏和肌肉张力变化。 #### 2.6.3 批判遗产研究与数字非遗 批判遗产研究(Critical Heritage Studies, CHS)为非遗数字化提供了重要的反思视角。CHS的代表人物Laurajane Smith提出"官方遗产话语"(Authorized Heritage Discourse, AHD)概念，指出传统的遗产保护实践往往被精英话语所主导，边缘群体的遗产话语被忽视或压制。 在非遗数字化领域，AHD的体现包括：(1)数字化项目往往优先选择"高级别"非遗项目(国家级、世界级)，而忽视地方性、社区性的非遗实践；(2)数字化过程中的分类、标注和阐释往往由专家主导，传承人和社区的声音被边缘化；(3)数字化成果主要服务于学术研究和官方展览，而非社区自身的传承需求。 应对AHD的策略包括：(1)实施"自下而上"的数字化策略，让社区自主决定哪些非遗内容需要数字化保护以及如何数字化；(2)采用"多声部"叙事方式，在数字非遗中纳入传承人、社区成员、学者等多元主体的声音和视角；(3)将数字非遗工具交还给社区，使数字化成为社区自我记录和传承的手段，而非外部机构的研究工具。 ### 2.7 非遗数字化的国际比较深化 #### 2.7.1 日韩非遗数字化模式对比 日本和韩国在非遗数字化方面各具特色，形成了两种不同的模式： **日本"人间国宝"数字化模式**：日本1950年《文化财保护法》创设了"重要无形文化财保持者"(通称"人间国宝")认定制度。日本的非遗数字化以"人间国宝"个人为核心，重点记录保持者的技艺过程。文化厅委托日本艺术文化振兴会系统录制人间国宝的技艺纪录片，截至2024年已录制超过1000部。日本模式的特点是：(1)以个人技艺为中心，强调技艺的个体性和创造性；(2)纪录片以高质量影视制作为标准，注重艺术性和观赏性；(3)数字化成果主要面向公众传播，而非学术研究。 **韩国"整体性保护"数字化模式**：韩国1962年《文化财保护法》引入了"重要无形文化财"制度，注重非遗的整体性保护——不仅保护技艺本身，还保护技艺传承的社区环境和文化生态。韩国的非遗数字化不仅记录技艺表演，还记录传承社区的日常生活、节庆活动和自然环境。韩国文化遗产厅开发的"无形文化遗产综合信息系统"收录了所有国家级非遗项目的数字档案，包括视频、音频、照片、文档等多媒体资料。韩国模式的特点是：(1)以社区为核心，强调非遗的社会性和生态性；(2)数字化覆盖面广，从技艺到环境全面记录；(3)重视数字化成果的教育应用，开发了面向中小学的非遗数字教材。 #### 2.7.2 欧洲非遗数字化项目分析 欧洲在非遗数字化方面以大规模协作项目为特色： **Europeana Sounds项目**(2014-2017)：由欧盟资助，汇集了24个欧洲机构的音频遗产资源，将超过40万条音频记录数字化并在线发布。项目的核心挑战是音频格式的多样性和版权复杂性——从19世纪末的蜡筒录音到21世纪的数字录音，格式跨度超过100年。 **E-Space项目**(2014-2017)：探索非遗数字内容的创意再利用，通过黑客松(Hackathon)和创意竞赛等方式，鼓励开发者、设计师和艺术家利用Europeana的数字遗产资源创作新的文化产品。项目产生了超过100个创意作品，包括交互式装置、移动应用和数字艺术作品。 **Europeana Research Community**：为研究者提供专门的工具和服务，支持基于Europeana数字遗产资源的学术研究。该社区提供了API接口、数据集下载和研究资助等资源，促进了数字人文研究的发展。 ### 2.8 非遗数据库建设的体系化方案 #### 2.8.1 非遗数字资源的分类体系 非遗数字资源的分类是非遗数据库建设的基础性工作。当前中国非遗分类采用"十大类"体系(民间文学、传统音乐、传统舞蹈、传统戏剧、曲艺、传统体育/游艺与杂技、传统美术、传统技艺、传统医药、民俗)，这一分类在数字化实践中面临以下挑战： **跨类目非遗的归类困难**：许多非遗项目兼具多个类目的特征。如"苗族姊妹节"既包含民俗活动(节日庆典)，又包含传统音乐(歌舞)、传统技艺(服饰制作)、传统饮食(节日食品)等元素，单一归类无法完整反映其文化内涵。 **层级体系的粒度问题**：十大类体系仅设置了两个层级(大类-子类)，对于数字化管理而言粒度过粗。需要建立更细粒度的多层级分类体系，如大类-中类-小类-项目-子项的五级体系。 **数字资源的类型分类**：除了非遗项目本身的分类外，还需对数字资源进行类型分类——音视频记录、图像照片、三维模型、文本档案、数据库等。不同类型的数字资源需要不同的存储、管理和展示方案。 建议构建"双轴分类体系"：以非遗项目分类为X轴(内容维度)，以数字资源类型为Y轴(形式维度)，每个数字资源在两个维度上均有定位，便于多维度检索和关联。 #### 2.8.2 非遗数据库的技术架构 非遗数据库的技术架构应支持多媒体资源管理、多语言著录、关联数据发布和跨平台访问： **存储层**：采用对象存储(如MinIO、AWS S3)存储音视频和图像等大文件，关系型数据库(PostgreSQL)存储结构化元数据，图数据库(Neo4j)存储实体间的复杂关系。 **管理层**：实现数字资源的全生命周期管理——采集(批量上传+元数据著录)、加工(格式转换+质量检查)、存储(多副本备份+版本管理)、检索(全文检索+语义检索)、发布(多渠道分发+权限控制)。 **服务层**：提供API接口支持第三方应用集成，支持OAI-PMH协议实现跨机构数据交换，提供嵌入式播放器和查看器支持多种资源类型的在线浏览。 **展示层**：提供Web前端、移动端应用和小程序等多终端展示，支持虚拟展览策展工具，提供数据可视化分析仪表盘。 ### 2.9 非遗数字博物馆的发展路径 #### 2.9.1 非遗数字博物馆与文物数字博物馆的差异 非遗数字博物馆在建设理念和技术选择上与文物数字博物馆存在显著差异： **内容特性差异**：文物的数字化以"物"为中心，核心是文物的三维形态和表面信息的精确记录。非遗的数字化以"人"和"过程"为中心，核心是传承人的技艺表演和社区的文化实践。因此，非遗数字博物馆更强调动态内容(视频、音频、动画)而非静态展示(3D模型、高清图像)。 **叙事策略差异**：文物数字博物馆通常采用"物-史-艺"的叙事结构——从文物的物理特征出发，讲述其历史背景和艺术价值。非遗数字博物馆更倾向于"人-艺-境"的叙事结构——从传承人的个人故事出发，展示技艺过程，还原文化生态语境。 **互动设计差异**：非遗数字博物馆需要设计更多过程性互动——让用户体验制作过程、学习表演动作、参与仪式模拟。这要求更复杂的交互技术，如动作捕捉比对(用户模仿传承人动作，系统评估相似度)、虚拟制作工具(模拟手工艺制作过程)等。 ### 2.10 非遗数字化的效果评估与影响研究 #### 2.10.1 评估框架的构建 非遗数字化效果评估需要构建多维度、多利益相关者的评估框架： **传承效果评估**：非遗数字化的首要目标是促进传承。评估指标包括：(1)数字化记录的完整度——非遗项目的核心要素(技艺流程、文化内涵、社区实践)是否被完整记录；(2)数字资源的可用性——传承人和社区能否方便地访问和使用数字资源；(3)传承活动的影响——数字化是否实际促进了传承活动的开展和新传承人的培养。 **传播效果评估**：评估数字非遗的传播覆盖和影响力。指标包括：(1)触达规模——数字内容的浏览量、下载量、分享量；(2)受众多样性——受众的年龄、地域、文化背景分布；(3)认知变化——受众对非遗的认知和理解是否因数字接触而改变；(4)行为转化——数字接触是否促使受众参与线下非遗活动。 **社区影响评估**：非遗数字化对源社区的影响是多方面的，既有积极影响也有潜在风险。评估维度包括：(1)文化自信——数字化是否增强了社区对自身文化遗产的自豪感和保护意识；(2)经济收益——数字化是否为社区带来了直接或间接的经济收益；(3)文化商品化风险——数字化是否导致非遗被过度商业化和去语境化；(4)知识控制权——数字化后社区是否仍能控制自身文化遗产知识的使用和传播。 #### 2.10.2 纵向研究与长期影响 当前非遗数字化评估多为横截面研究(某一时间点的快照)，缺乏纵向研究(追踪长期变化)。长期影响评估需要建立持续监测机制： **基线调查**：在数字化项目启动前对社区非遗传承状况进行全面调查，建立基线数据。调查内容包括传承人数量和年龄结构、技艺掌握程度、社区参与度、文化认同感等。 **定期复评**：数字化项目完成后定期(如每年或每三年)进行复评，对比基线数据评估变化。复评应覆盖相同的调查维度，确保数据的可比性。 **归因分析**：非遗传承状况的变化可能受多种因素影响(如政策变化、经济发展、人口流动等)，需要通过对比组设计或统计方法控制混杂因素，尽可能将数字化干预的影响分离出来。 ### 2.11 非遗数字化中的社区参与模式比较 #### 2.11.1 社区参与的光谱模型 非遗数字化中社区参与的程度可构建为从"被动客体"到"主动主体"的光谱： **博物馆主导型**：博物馆或研究机构主导数字化过程，社区作为"被记录对象"参与。社区的角色是提供信息和展示技艺，对数字化的方案、过程和成果使用缺乏决策权。这种模式在早期非遗数字化中最为常见，效率高但可能忽视社区的文化主体性。 **协作型**：博物馆与社区建立平等的协作关系，共同制定数字化方案，社区成员参与采集和记录过程，对数字化成果拥有共同决策权。如新西兰Te Papa博物馆与毛利社区的合作模式，社区代表参与数字化决策委员会，对哪些内容可以数字化、如何展示、谁有权访问等关键问题拥有否决权。 **社区主导型**：社区自主发起和实施数字化项目，博物馆或技术机构提供技术支持和能力培训。如加拿大第一民族的"数字化故事"项目，社区成员自己使用数字工具记录和讲述本民族文化故事，项目成果归社区所有。这种模式充分尊重社区的文化主权，但对社区的数字素养和资源要求较高。 #### 2.11.2 社区参与的伦理准则 基于国际经验和实践反思，非遗数字化社区参与应遵循以下伦理准则： **自由、事先和知情同意(FPIC)**：社区在数字化开始前应获得充分的信息(项目目的、方法、潜在风险、数据使用方式等)，在不受胁迫的情况下自主决定是否参与。同意应以书面形式记录，且社区有权随时撤回同意。 **文化敏感性审查**：对涉及宗教仪式、神圣知识、性别限制等文化敏感内容的数字化，应进行社区文化敏感性审查。某些内容可能因文化禁忌而不宜数字化，或仅限特定群体访问。 **利益分享机制**：数字化项目产生的直接经济收益(如图像授权费、文创产品收入)和间接收益(如文化旅游引流效应)应与社区分享。分享方式可以是直接经济分成、社区发展基金、能力建设投资等。 **数据主权**：数字化数据的所有权和控制权应明确归属社区或由社区与机构共有。社区有权决定数据的存储位置、访问权限和使用范围。数据不应在未经社区同意的情况下被转移至第三方。 ### 2.12 数字非遗与文化旅游的融合创新 数字非遗与文化旅游的融合是非遗活化利用的重要路径： **非遗数字体验馆**：在旅游景区或文化街区建设非遗数字体验馆，利用VR/AR/全息投影等技术展示非遗项目。如贵州黔东南的"苗族文化数字体验馆"利用全息投影技术展示苗族银饰锻造工艺过程，游客可通过AR试戴虚拟银饰并了解其文化含义。 **非遗主题数字游径**：将多个非遗项目点用数字技术串联为主题游径，游客通过手机APP获取导览、互动和打卡功能。如"丝绸之路非遗数字游径"将沿线各国非遗项目串联为数字旅游路线，游客可在线虚拟游览或线下实地探访，两种模式互相补充。 **非遗数字创意产品**：将非遗元素数字化后融入文创产品开发。如基于苗族刺绣纹样的数字图案库，设计师可从中获取设计灵感和授权素材，开发具有非遗元素的现代产品。这种"非遗元素数字化+创意设计+产品开发"的模式为非遗的商业化利用提供了新路径。 ### 2.13 本章小结与延伸思考 本章系统梳理了非物质文化遗产数字化的理论基础、技术路径和国际经验，并从理论前沿(物质性理论、感觉人类学、批判遗产研究)和实证研究(社区参与模式、效果评估框架)两个维度深化了对非遗数字化的理解。 非遗数字化的核心张力在于"保存"与"活态"的平衡。数字化的记录功能倾向于"冻结"非遗的某一时刻状态，而非遗的本质是"活态"的——它在传承中变化，在变化中传承。解决这一张力的关键是将数字化视为"活态传承的支撑工具"而非"静态保存的替代品"。数字技术应服务于传承人的传承实践，而非取代传承人的主体地位。 ### 2.14 延伸阅读与教学建议 **延伸阅读**：建议对本章内容感兴趣的学生进一步阅读UNESCO《保护非物质文化遗产公约》原文及实施指南，了解国际非遗保护的法律框架。同时推荐阅读Smith的《Uses of Heritage》(2006)，从批判遗产研究视角反思遗产保护的话语权力。 **教学建议**：本章适合采用案例教学法，可选取2-3个非遗数字化项目(如数字敦煌中的音乐采集、日本能剧的VR记录、贵州侗族大歌的数字档案)进行对比分析，引导学生思考不同数字化策略的优劣和适用场景。 ## 参考文献</w:t>
      </w:r>
    </w:p>
    <w:p>
      <w:pPr>
        <w:spacing w:line="360" w:lineRule="auto" w:after="60"/>
        <w:ind w:firstLine="480"/>
      </w:pPr>
      <w:r>
        <w:rPr>
          <w:rFonts w:ascii="Microsoft YaHei" w:hAnsi="Microsoft YaHei" w:eastAsia="Microsoft YaHei"/>
          <w:sz w:val="24"/>
        </w:rPr>
        <w:t>1. Hou Y, Kenderdine S, Picca D, et al.. Digitizing Intangible Cultural Heritage Embodied: State of the Art. ACM Journal on Computing and Cultural Heritage, 2022, 15(3): 1-28. DOI: 10.1145/3494837.</w:t>
      </w:r>
    </w:p>
    <w:p>
      <w:pPr>
        <w:spacing w:line="360" w:lineRule="auto" w:after="60"/>
        <w:ind w:firstLine="480"/>
      </w:pPr>
      <w:r>
        <w:rPr>
          <w:rFonts w:ascii="Microsoft YaHei" w:hAnsi="Microsoft YaHei" w:eastAsia="Microsoft YaHei"/>
          <w:sz w:val="24"/>
        </w:rPr>
        <w:t>2. Robbins C. Beyond preservation: New directions for technological innovation through intangible cultural heritage. Rhode Island School of Design, 2010.</w:t>
      </w:r>
    </w:p>
    <w:p>
      <w:pPr>
        <w:spacing w:line="360" w:lineRule="auto" w:after="60"/>
        <w:ind w:firstLine="480"/>
      </w:pPr>
      <w:r>
        <w:rPr>
          <w:rFonts w:ascii="Microsoft YaHei" w:hAnsi="Microsoft YaHei" w:eastAsia="Microsoft YaHei"/>
          <w:sz w:val="24"/>
        </w:rPr>
        <w:t>3. Wan Isa W M, Mat Zin N, Rosdi F, et al.. Digital Preservation of Intangible Cultural Heritage. Indonesian Journal of Electrical Engineering and Computer Science, 2018, 12(3): 1373-1379. DOI: 10.11591/IJEECS.V12.I3.PP1373-1379.</w:t>
      </w:r>
    </w:p>
    <w:p>
      <w:pPr>
        <w:spacing w:line="360" w:lineRule="auto" w:after="60"/>
        <w:ind w:firstLine="480"/>
      </w:pPr>
      <w:r>
        <w:rPr>
          <w:rFonts w:ascii="Microsoft YaHei" w:hAnsi="Microsoft YaHei" w:eastAsia="Microsoft YaHei"/>
          <w:sz w:val="24"/>
        </w:rPr>
        <w:t>4. Ertürk N. Preservation of Digitized Intangible Cultural Heritage in Museum Storage. Museum Storage, 2022.</w:t>
      </w:r>
    </w:p>
    <w:p>
      <w:pPr>
        <w:spacing w:line="360" w:lineRule="auto" w:after="60"/>
        <w:ind w:firstLine="480"/>
      </w:pPr>
      <w:r>
        <w:rPr>
          <w:rFonts w:ascii="Microsoft YaHei" w:hAnsi="Microsoft YaHei" w:eastAsia="Microsoft YaHei"/>
          <w:sz w:val="24"/>
        </w:rPr>
        <w:t>5. 孔凡运. 文化遗产数字化保存的策略与挑战. 万方数据.</w:t>
      </w:r>
    </w:p>
    <w:p>
      <w:pPr>
        <w:spacing w:line="360" w:lineRule="auto" w:after="60"/>
        <w:ind w:firstLine="480"/>
      </w:pPr>
      <w:r>
        <w:rPr>
          <w:rFonts w:ascii="Microsoft YaHei" w:hAnsi="Microsoft YaHei" w:eastAsia="Microsoft YaHei"/>
          <w:sz w:val="24"/>
        </w:rPr>
        <w:t>6. Zhu Y, Azahari M H. The Application Research of Virtual Reality Technology in the Protection and Inheritance of Intangible Cultural Heritage. Highlights in Art and Design, 2024, 5. DOI: 10.54097/5b69d070.</w:t>
      </w:r>
    </w:p>
    <w:p>
      <w:pPr>
        <w:spacing w:line="360" w:lineRule="auto" w:after="60"/>
        <w:ind w:firstLine="480"/>
      </w:pPr>
      <w:r>
        <w:rPr>
          <w:rFonts w:ascii="Microsoft YaHei" w:hAnsi="Microsoft YaHei" w:eastAsia="Microsoft YaHei"/>
          <w:sz w:val="24"/>
        </w:rPr>
        <w:t>7. Zhou Y, Sun J, Huang Y. The Digital Preservation of Intangible Cultural Heritage in China: A Survey. Preservation, Digital Technology &amp; Culture, 2019, 8(1): 1-15. DOI: 10.1515/pdtc-2019-0004.</w:t>
      </w:r>
    </w:p>
    <w:p>
      <w:pPr>
        <w:spacing w:line="360" w:lineRule="auto" w:after="60"/>
        <w:ind w:firstLine="480"/>
      </w:pPr>
      <w:r>
        <w:rPr>
          <w:rFonts w:ascii="Microsoft YaHei" w:hAnsi="Microsoft YaHei" w:eastAsia="Microsoft YaHei"/>
          <w:sz w:val="24"/>
        </w:rPr>
        <w:t>8. Alivizatou-Barakou M, Kitsikidis A, Tsalakanidou F, et al.. Intangible Cultural Heritage and New Technologies: Challenges and Opportunities for Cultural Preservation and Development. Mixed Reality and Gamification for Cultural Heritage, Springer, 2017: 129-158. DOI: 10.1007/978-3-319-49607-8_5.</w:t>
      </w:r>
    </w:p>
    <w:p>
      <w:pPr>
        <w:spacing w:line="360" w:lineRule="auto" w:after="60"/>
        <w:ind w:firstLine="480"/>
      </w:pPr>
      <w:r>
        <w:rPr>
          <w:rFonts w:ascii="Microsoft YaHei" w:hAnsi="Microsoft YaHei" w:eastAsia="Microsoft YaHei"/>
          <w:sz w:val="24"/>
        </w:rPr>
        <w:t>9. Zhang L, Li M, Zhang L, et al.. MasterSu: The Sustainable Development of Su Embroidery Based on Digital Technology. Sustainability, 2022, 14(12): 7094. DOI: 10.3390/su14127094.</w:t>
      </w:r>
    </w:p>
    <w:p>
      <w:pPr>
        <w:spacing w:line="360" w:lineRule="auto" w:after="60"/>
        <w:ind w:firstLine="480"/>
      </w:pPr>
      <w:r>
        <w:rPr>
          <w:rFonts w:ascii="Microsoft YaHei" w:hAnsi="Microsoft YaHei" w:eastAsia="Microsoft YaHei"/>
          <w:sz w:val="24"/>
        </w:rPr>
        <w:t>10. 王建华, 栗帅东. 国内非物质文化遗产数字化保护研究现状. 万方数据.</w:t>
      </w:r>
    </w:p>
    <w:p>
      <w:pPr>
        <w:spacing w:line="360" w:lineRule="auto" w:after="60"/>
        <w:ind w:firstLine="480"/>
      </w:pPr>
      <w:r>
        <w:rPr>
          <w:rFonts w:ascii="Microsoft YaHei" w:hAnsi="Microsoft YaHei" w:eastAsia="Microsoft YaHei"/>
          <w:sz w:val="24"/>
        </w:rPr>
        <w:t>11. 刘灿姣, 阳利新. 我国非物质文化遗产数字化保护的研究述评. 万方数据.</w:t>
      </w:r>
    </w:p>
    <w:p>
      <w:pPr>
        <w:spacing w:line="360" w:lineRule="auto" w:after="60"/>
        <w:ind w:firstLine="480"/>
      </w:pPr>
      <w:r>
        <w:rPr>
          <w:rFonts w:ascii="Microsoft YaHei" w:hAnsi="Microsoft YaHei" w:eastAsia="Microsoft YaHei"/>
          <w:sz w:val="24"/>
        </w:rPr>
        <w:t>12. 黄永林, 谈国新. 中国非物质文化遗产数字化保护与开发研究. 万方数据.</w:t>
      </w:r>
    </w:p>
    <w:p>
      <w:pPr>
        <w:spacing w:line="360" w:lineRule="auto" w:after="60"/>
        <w:ind w:firstLine="480"/>
      </w:pPr>
      <w:r>
        <w:rPr>
          <w:rFonts w:ascii="Microsoft YaHei" w:hAnsi="Microsoft YaHei" w:eastAsia="Microsoft YaHei"/>
          <w:sz w:val="24"/>
        </w:rPr>
        <w:t>13. Prodan A C. The Digital "Memory of the World": An Exploration of Documentary Practices in the Age of Digital Technology. Semantic Scholar, 2016.</w:t>
      </w:r>
    </w:p>
    <w:p>
      <w:pPr>
        <w:spacing w:line="360" w:lineRule="auto" w:after="60"/>
        <w:ind w:firstLine="480"/>
      </w:pPr>
      <w:r>
        <w:rPr>
          <w:rFonts w:ascii="Microsoft YaHei" w:hAnsi="Microsoft YaHei" w:eastAsia="Microsoft YaHei"/>
          <w:sz w:val="24"/>
        </w:rPr>
        <w:t>14. Bonn M, Kendall L, McDonough J. Libraries and Archives and the Preservation of Intangible Cultural Heritage: Defining a Research Agenda. Semantic Scholar, 2017.</w:t>
      </w:r>
    </w:p>
    <w:p>
      <w:pPr>
        <w:spacing w:line="360" w:lineRule="auto" w:after="60"/>
        <w:ind w:firstLine="480"/>
      </w:pPr>
      <w:r>
        <w:rPr>
          <w:rFonts w:ascii="Microsoft YaHei" w:hAnsi="Microsoft YaHei" w:eastAsia="Microsoft YaHei"/>
          <w:sz w:val="24"/>
        </w:rPr>
        <w:t>15. Díaz Mendoza M A, De La Hoz Franco E, Gómez Gómez J E. Technologies for the Preservation of Cultural Heritage—A Systematic Review of the Literature. Sustainability, 2023, 15(2): 1059. DOI: 10.3390/su15021059.</w:t>
      </w:r>
    </w:p>
    <w:p>
      <w:pPr>
        <w:spacing w:line="360" w:lineRule="auto" w:after="60"/>
        <w:ind w:firstLine="480"/>
      </w:pPr>
      <w:r>
        <w:rPr>
          <w:rFonts w:ascii="Microsoft YaHei" w:hAnsi="Microsoft YaHei" w:eastAsia="Microsoft YaHei"/>
          <w:sz w:val="24"/>
        </w:rPr>
        <w:t>16. 余日季. 基于AR技术的非物质文化遗产数字化开发研究. 万方数据, 2014.</w:t>
      </w:r>
    </w:p>
    <w:p>
      <w:pPr>
        <w:spacing w:line="360" w:lineRule="auto" w:after="60"/>
        <w:ind w:firstLine="480"/>
      </w:pPr>
      <w:r>
        <w:rPr>
          <w:rFonts w:ascii="Microsoft YaHei" w:hAnsi="Microsoft YaHei" w:eastAsia="Microsoft YaHei"/>
          <w:sz w:val="24"/>
        </w:rPr>
        <w:t>17. 师国伟, 王涌天, 刘越, 等. 增强现实技术在文化遗产数字化保护中的应用. 维普网, 2009.</w:t>
      </w:r>
    </w:p>
    <w:p>
      <w:pPr>
        <w:spacing w:line="360" w:lineRule="auto" w:after="60"/>
        <w:ind w:firstLine="480"/>
      </w:pPr>
      <w:r>
        <w:rPr>
          <w:rFonts w:ascii="Microsoft YaHei" w:hAnsi="Microsoft YaHei" w:eastAsia="Microsoft YaHei"/>
          <w:sz w:val="24"/>
        </w:rPr>
        <w:t>18. Caciora T, Jubran A, Ilies D C, et al.. Digitization of the Built Cultural Heritage: An Integrated Methodology for Preservation and Accessibilization of an Art Nouveau Museum. Remote Sensing, 2023, 15(24): 5763. DOI: 10.3390/rs15245763.</w:t>
      </w:r>
    </w:p>
    <w:p>
      <w:pPr>
        <w:spacing w:line="360" w:lineRule="auto" w:after="60"/>
        <w:ind w:firstLine="480"/>
      </w:pPr>
      <w:r>
        <w:rPr>
          <w:rFonts w:ascii="Microsoft YaHei" w:hAnsi="Microsoft YaHei" w:eastAsia="Microsoft YaHei"/>
          <w:sz w:val="24"/>
        </w:rPr>
        <w:t>19. Espina-Romero L, Guerrero-Alcedo J. Fields Touched by Digitalization: Analysis of Scientific Activity in Scopus. Sustainability, 2022, 14(21): 14425. DOI: 10.3390/su142114425.</w:t>
      </w:r>
    </w:p>
    <w:p>
      <w:pPr>
        <w:spacing w:line="360" w:lineRule="auto" w:after="60"/>
        <w:ind w:firstLine="480"/>
      </w:pPr>
      <w:r>
        <w:rPr>
          <w:rFonts w:ascii="Microsoft YaHei" w:hAnsi="Microsoft YaHei" w:eastAsia="Microsoft YaHei"/>
          <w:sz w:val="24"/>
        </w:rPr>
        <w:t>20. Cheng H M, Yen Y, Yang W B. Digital Archiving in Cultural Heritage Preservation. Semantic Scholar, 2009.</w:t>
      </w:r>
    </w:p>
    <w:p>
      <w:r>
        <w:br w:type="page"/>
      </w:r>
    </w:p>
    <w:p>
      <w:pPr>
        <w:pStyle w:val="Heading2"/>
      </w:pPr>
      <w:r>
        <w:rPr>
          <w:rFonts w:ascii="Microsoft YaHei" w:hAnsi="Microsoft YaHei" w:eastAsia="Microsoft YaHei"/>
          <w:color w:val="264653"/>
        </w:rPr>
        <w:t>学习目标 1. **识记**：文物数字典藏的定义、学科基础与标准体系 2. **理解**：信息生命周期理论、数字保存理论与元数据理论在文物数字典藏中的应用 3. **应用**：运用OAIS模型分析一个文物数字典藏系统的功能架构 4. **分析**：比较CIDOC CRM、Dublin Core、LIDO三种元数据标准的异同与适用场景 5. **评价**：评估当前文物数字典藏从"数字化"到"智慧化"转型的成效与挑战 6. **创造**：设计一个小型博物馆的数字典藏系统架构方案 ## 导入案例：中国国家博物馆馆藏文物三维数字化工程 中国国家博物馆作为中国最大的综合性博物馆，馆藏文物超过140万件。2020年，邵壮在研究国博馆藏文物三维数字化实践时指出，国博率先在博物馆藏品保护与研究方面进行了大规模三维数字化探索，使"智慧国博"建设和博物馆专业品质得到了有效提升。国博的数字化工程采用了高精度三维扫描、多光谱成像、色彩管理等先进技术，对代表性文物进行了毫米级精度的三维数据采集，建立了完整的文物数字档案。 这一案例揭示了一个关键问题：文物数字典藏不仅仅是"用相机拍一下"或"用扫描仪扫一下"的简单操作，而是一个涉及标准制定、技术选型、工作流程设计、数据管理、长期保存和访问服务的系统工程。如何构建科学的文物数字典藏体系？这正是本章要回答的问题。 ### 3.1 文物数字典藏的概念与范畴 #### 3.1.1 数字典藏的定义 文物数字典藏(Digital Archiving of Cultural Relics)是指利用数字技术对文物进行系统化的信息采集、数据处理、元数据标引、数据库管理和长期保存，以实现文物信息的永久保存、高效检索和开放共享的专业化活动。它不同于简单的"文物数字化"(Digitization of Cultural Relics)，后者侧重于数字化采集过程，而前者强调的是数字化成果的系统化管理与长期服务。 Cheng等人在研究文化遗产数字保存时指出，数字典藏的核心目标是通过系统化的数字管理，确保文化遗物信息得以精确记录、长期保存和有效利用。这一定义强调了数字典藏的三个核心要素：**精确记录**(高保真数据采集)、**长期保存**(可持续的数据管理)和**有效利用**(面向用户的访问服务)。 #### 3.1.2 文物数字典藏与数字图书馆 文物数字典藏与数字图书馆(Digital Library)在技术架构上有诸多相似之处，但在内容特征、用户需求和服务模式上存在显著差异。数字图书馆主要处理文本和多媒体文献，以检索和阅读为主要服务方式；文物数字典藏则主要处理三维文物数据及其关联信息(年代、材质、工艺、来源等)，以多维展示和学术研究为主要服务方式。 Graham在研究博物馆藏品数字化的应用时指出，三维数字化扫描设备的商业化普及使博物馆藏品管理、研究和可及性面临范式转变，数字典藏正在从"辅助工具"发展为博物馆的核心业务系统。 #### 3.1.3 文物数字典藏的学科基础 文物数字典藏是考古学、博物馆学、档案学、信息科学和计算机科学的交叉领域。它继承了考古学的类型学和地层学方法，借鉴了博物馆学的藏品管理理论，吸收了档案学的文件生命周期理论，并依托信息科学和计算机科学的技术手段。 Zhou等人在《文化遗产数字化》一书中系统阐述了文化遗产数字化的学科基础，指出该领域需要融合人文社科的"文化理解"与理工科的"技术能力"，是一个典型的跨学科领域。 ### 3.2 文物数字典藏的理论框架 #### 3.2.1 信息生命周期理论 信息生命周期理论(Information Lifecycle Theory)将信息视为有生命周期的有机体，经历创建、采集、组织、存储、利用、归档和销毁(或永久保存)等阶段。在文物数字典藏语境中，信息生命周期理论为典藏工作流程设计提供了理论框架。 文物数字信息的生命周期包括：**创建阶段**(三维扫描、摄影测量等数字化采集)→ **处理阶段**(数据清洗、模型优化、纹理映射)→ **描述阶段**(元数据标引、知识关联)→ **存储阶段**(数据库入库、备份归档)→ **利用阶段**(检索、展示、下载)→ **保存规划阶段**(格式迁移、技术验证)。每个阶段都有相应的质量控制和管理要求。 #### 3.2.2 数字保存理论 数字保存理论关注如何在技术快速变迁的环境中确保数字信息的长期可读性。与纸质档案不同，数字信息面临介质老化、格式过时、软件依赖等多重风险。OAIS(Open Archival Information System)参考模型是数字保存领域的国际标准(ISO 14721)，它定义了数字保存系统的功能架构和信息模型。 Bentkowska-Kafel和Macdonald在探讨文化遗产数字记录与保存技术时指出，数字保存需要关注"重要属性"(Significant Properties)的识别和维护——即在格式迁移和技术更新过程中，必须确保数字对象的核心特征不被丢失。对于文物三维模型而言，其重要属性包括几何精度、纹理分辨率、色彩还原度和拓扑结构等。 #### 3.2.3 元数据理论 元数据(Metadata)是"关于数据的数据"，是数字典藏系统的核心组件。元数据理论将元数据分为三类：**描述性元数据**(用于资源发现和识别)、**结构性元数据**(描述资源的内部结构)和**管理性元数据**(用于资源管理和技术保存)。 在文物数字典藏中，元数据不仅需要描述文物的物理特征(尺寸、材质、年代、来源等)，还需要描述数字对象的 technical 特征(文件格式、分辨率、采集设备、处理软件等)。Bonn等人在探讨图书馆和档案馆与非遗保存的关系时指出，元数据标准的制定是文化遗产数字保存的基础性工作。 ### 3.3 文物数字典藏的标准体系 #### 3.3.1 国际标准(CIDOC CRM、Dublin Core、LIDO) 文物数字典藏的国际标准体系主要包括以下三个标准： **CIDOC CRM**(Conceptual Reference Model)是国际博物馆协会(ICOM)下属的CIDOC委员会制定的概念参考模型，定义了文化遗产领域的核心概念及其关系。CIDOC CRM提供了一个正式的ontology，能够精确描述文化遗产对象的"什么、何时、何地、谁、如何"等维度信息，是目前文化遗产领域最权威的概念模型。 **Dublin Core**是一个简洁的元数据标准，包含15个核心元素(标题、创建者、主题、描述、发布者、贡献者、日期、类型、格式、标识符、来源、语言、关系、覆盖范围、权限)，适用于各类数字资源的描述。其优势在于简洁通用，但对于文物的专业描述能力不足。 **LIDO**(Lightweight Information Describing Objects)是专为博物馆藏品设计的元数据标准，基于CIDOC CRM开发，支持多语言、多媒体的藏品信息描述，是博物馆数字化展览和藏品交换的推荐标准。 #### 3.3.2 中国文物数字化标准 中国文物数字化标准建设起步较晚但发展迅速。国家文物局先后发布了《文物数字化保护标准体系》《可移动文物数字化保护技术规范》《不可移动文物数字化保护技术规范》等标准文件。邵壮在分析国博三维数字化实践时指出，标准的统一是馆藏文物三维数字化工作的关键前提，不同博物馆采用不同的数据格式和技术标准将严重制约数据的互联互通。 #### 3.3.3 互操作性与数据交换 互操作性(Interoperability)是文物数字典藏标准体系的核心目标。不同机构、不同系统之间的数据交换需要统一的数据格式、协议和接口。Europeana作为欧洲文化遗产数字平台，通过Europeana Data Model(EDM)实现了对来自不同成员国、不同类型机构(博物馆、图书馆、档案馆)的异构数据的统一整合。这种跨机构、跨国的数据互操作经验，为中国文物数字典藏的联盟化发展提供了重要借鉴。 ### 3.4 文物数字典藏的组织管理 #### 3.4.1 典藏工作流程 文物数字典藏的标准工作流程包括以下步骤：(1)**规划阶段**——确定数字化对象的优先级、制定采集方案、评估技术需求；(2)**采集阶段**——现场数据采集，包括三维扫描、摄影测量、色彩管理等；(3)**处理阶段**——数据清洗、模型重建、纹理映射、质量检查；(4)**描述阶段**——元数据标引、知识关联、目录编制；(5)**入库阶段**——数据库入库、存储备份、权限设置；(6)**服务阶段**——检索、展示、下载、API接口。 欧阳宏在介绍故宫博物院文物三维数据采集实践时指出，故宫的数字化工作流程经过了多年的优化和完善，形成了一套覆盖"规划—采集—处理—入库—应用"全流程的标准化工作体系。 #### 3.4.2 质量控制与评估 质量控制是文物数字典藏的关键环节。三维模型的质量评估指标包括：几何精度(与实物误差范围)、纹理分辨率(像素/厘米)、色彩还原度(色差ΔE值)、模型完整性(是否覆盖文物全部表面)、拓扑质量(网格质量参数)等。 俞朝晖在研究馆藏文物三维数据获取及可视化时指出，文物数字化不仅要记录文物的原始三维信息和纹理信息，还需为文物修缮和恢复提供重要的数据和模型支持，因此质量控制必须贯穿数字化全过程。 #### 3.4.3 长期保存策略 数字典藏的长期保存策略是数字保存理论的核心实践。主要策略包括：**比特保存**(Bit Preservation)——确保数字数据的比特级完整；**格式迁移**(Format Migration)——将过时格式的数据转换为当前格式；**仿真**(Emulation)——通过软件模拟旧环境来运行过时的数据格式；**封装**(Encapsulation)——将数据与其描述信息和运行环境信息打包保存。 Shimray和Ramaiah在分析数字文化遗产保存的问题时指出，版权和相关权利是文化遗产数字保存的主要法律障碍，数字保存活动需要妥善处理知识产权问题。Lor和Britz则从伦理视角分析了数字遗产长期保存中的政治经济问题，强调数字保存不仅是技术问题，更是社会和伦理问题。 ### 3.5 文物数字典藏的发展趋势 #### 3.5.1 从数字化到智慧化 文物数字典藏正在从"数字化"阶段向"智慧化"阶段转型。传统数字典藏以数据采集和存储为核心，而智慧化典藏以知识组织、智能检索和主动服务为核心。AI技术的应用使文物数字典藏具备了自动识别、智能标引、语义检索和个性化推荐等能力。 #### 3.5.2 从单一馆藏到联盟共享 文物数字典藏正在从单一机构的封闭系统向多机构联盟的开放平台演进。Europeana模式展示了跨国文化遗产数据联盟的可行性。在中国，国家文物局正在推进全国文物数字资源平台建设，但跨机构的数据共享仍面临体制机制和技术标准方面的挑战。 #### 3.5.3 从保存导向到服务导向 传统数字典藏以"保存"为首要目标，而当代数字典藏越来越强调"服务"导向——面向不同用户群体(研究者、教育者、公众、创意产业)提供差异化的数据服务。洪闯和李风雪基于Kano模型分析了文化遗产数字化服务平台的功能需求，提出了24项服务功能项目及其分类，为数字典藏平台的服务优化提供了实证依据。 ## 知识卡片 **知识卡片3-1：OAIS参考模型的核心概念** - SIP(Submission Information Package)：提交信息包 - AIP(Archival Information Package)：档案信息包 - DIP(Dissemination Information Package)：分发信息包 - PDI(Preservation Description Information)：保存描述信息 **知识卡片3-2：三种元数据标准对比** | 标准 | 元素数量 | 适用对象 | 优势 | 局限 | |------|---------|---------|------|------| | Dublin Core | 15 | 通用数字资源 | 简洁、通用 | 文物描述能力不足 | | LIDO | 60+ | 博物馆藏品 | 专为博物馆设计 | 实施复杂度较高 | | CIDOC CRM | 80+ | 文化遗产全域 | 语义丰富、关系完整 | 学习成本高 | **知识卡片3-3：文物数字典藏质量评估指标** | 指标 | 含义 | 参考标准 | |------|------|---------| | 几何精度 | 模型与实物的尺寸误差 | ≤0.1mm(高精度) | | 纹理分辨率 | 单位面积的像素数 | ≥300dpi | | 色彩还原度 | 色差ΔE值 | ΔE≤3(专业级) | | 模型完整性 | 表面覆盖率 | ≥95% | ## 本章小结 本章系统阐述了文物数字典藏的理论基础与标准体系。首先界定了文物数字典藏的概念范畴，区分了数字典藏与文物数字化、数字图书馆的概念边界；其次梳理了信息生命周期理论、数字保存理论和元数据理论三大理论基础，其中OAIS参考模型为数字典藏系统设计提供了功能架构；然后详细介绍了CIDOC CRM、Dublin Core、LIDO三种国际元数据标准以及中国文物数字化标准的发展现状，分析了互操作性的核心挑战；接着从工作流程、质量控制和长期保存三个方面阐述了数字典藏的组织管理；最后指出了从数字化到智慧化、从单一馆藏到联盟共享、从保存导向到服务导向三大发展趋势。本章对应G.U.A.R.D.框架的A维度(数字典藏)，为后续技术章节提供了理论支撑。 ## 思考题 1. **(识记)** OAIS参考模型的五个功能模块是什么？SIP、AIP、DIP三者有何区别？ 2. **(理解)** 试比较信息生命周期理论与数字保存理论在关注焦点上的异同。 3. **(应用)** 运用CIDOC CRM的概念框架，为一个青铜器文物设计元数据描述方案。 4. **(分析)** 分析Dublin Core、LIDO和CIDOC CRM三种标准在文物描述能力上的梯度差异。 5. **(评价)** 评估"从保存导向到服务导向"转型对文物数字典藏机构的影响，讨论其利弊。 6. **(创造)** 为一个县级博物馆设计一个分阶段的文物数字典藏系统建设方案，涵盖技术选型、标准采用、工作流程和人员配置。 ### 3.6 数字典藏的技术经济学分析 #### 3.6.1 数字化成本构成 文物数字典藏的成本构成复杂，主要包括：**设备成本**(三维扫描仪、高分辨率相机、色彩管理设备、计算机等，占20-30%)；**人力成本**(技术人员、领域专家、项目经理等，占30-40%)；**时间成本**(采集时间、处理时间、元数据标引时间等，占20-30%)；**基础设施成本**(存储设备、服务器、网络带宽等，占10-15%)；**维护成本**(数据迁移、系统升级、安全防护等，占5-10%)。 Manžuch指出，数字化项目的高成本使大多数项目依赖外部资金和捐助支持，这种资金模式的可持续性存疑。对于资金有限的中小型博物馆，需要在技术选型和精度要求之间做出权衡——摄影测量是一种成本效益较高的替代方案，虽然精度略低于专业三维扫描，但设备成本仅为后者的1/5至1/10。 #### 3.6.2 数字化效益评估 文物数字典藏的效益可分为直接效益和间接效益。直接效益包括：减少文物搬运和展示带来的物理风险、提高藏品管理效率、支持学术研究。间接效益包括：提升机构品牌影响力、吸引游客和赞助、促进文创产业发展。Zorich在调研数字文化遗产倡议的可持续性时指出，经济挑战是文化遗产数字化项目面临的核心问题，需要建立长期可持续的资金模式。 #### 3.6.3 投资回报分析 文物数字典藏的投资回报分析需要考虑时间维度。短期来看，数字化项目通常需要大量前期投入，回报周期较长(5-10年)。长期来看，数字资产的价值具有复利效应——随着数据积累和用户增长，数字典藏的价值会持续增长。Europeana的经验表明，数字平台的网络效应可以显著提升长期投资回报，但需要前期持续投入和耐心等待。 ### 3.7 国际数字典藏标准比较 #### 3.7.1 元数据标准的适用性分析 CIDOC CRM、Dublin Core和LIDO三种元数据标准在文物数字典藏中的适用性各有优劣。CIDOC CRM提供了最丰富的语义表达力，能够精确描述文化遗产对象的概念关系，但其复杂性使实施成本较高，适合大型国家级博物馆。Dublin Core简洁通用，易于实施，但对文物的专业描述能力不足，适合小型机构或作为基础描述层。LIDO专为博物馆设计，在描述深度和实施成本之间取得了较好平衡，是中型博物馆的推荐选择。 #### 3.7.2 数据互操作性的挑战 数据互操作性是文物数字典藏面临的核心技术挑战。不同机构使用的元数据标准、数据格式和技术平台各不相同，导致数据交换和整合困难。Europeana通过EDM模型和关联数据技术实现了跨国数据互操作，但这一方案的实施需要大量协调和标准化工作。中国文物数字典藏的互操作性问题更为突出——各省级博物馆和文物机构采用不同的系统，缺乏统一的数据交换标准，形成了大量"数据孤岛"。 #### 3.7.3 标准化发展路径 文物数字典藏的标准化发展路径应遵循"求同存异、分层实施"原则：基础层采用通用标准(如Dublin Core)，确保最低限度的互操作性；专业层采用行业标准(如LIDO)，满足文物描述的专业需求；语义层采用概念模型(如CIDOC CRM)，实现深度语义互操作。这种分层策略可以在保证互操作性的同时，兼顾不同机构的实施能力。 ### 3.8 数字典藏的社会维度 #### 3.8.1 开放获取运动与文物数字典藏 开放获取(Open Access)运动对文物数字典藏产生了深远影响。荷兰国立博物馆的CC0开放政策、大都会博物馆的开放获取倡议、史密森尼学会的3D模型开放下载等实践，推动了博物馆界从"封闭保护"向"开放共享"的范式转变。Wallace和Euler在分析公共领域文化遗产的访问权时指出，欧盟在开放获取方面走在了世界前列，通过修订版权法为文化遗产机构的数字化和开放提供了法律保障。 然而，开放获取也面临挑战。Shimray和Ramaiah指出，版权和相关权利是文化遗产数字保存的主要法律障碍——许多文物的数字扫描是否产生新的版权尚存争议，"孤儿作品"(无法确定版权人的作品)的数字化和开放更是法律灰色地带。Lykourentzou和Antoniou进一步指出，知识产权问题是文化遗产数字创新可持续性的潜在阻碍点。 #### 3.8.2 数字典藏与文化民主化 数字典藏被视为文化民主化的重要工具——通过将原本封闭在库房中的文物数字化并向公众开放，使更多人能够接触和利用文化遗产。然而，Taylor和Gibson指出，数字化互动和社交媒体虽然拓展了遗产的可及性，但技术门槛、设备差异和网络条件等因素形成了新的民主化障碍。数字鸿沟使部分群体被排除在数字化进程之外，反而加剧了文化不平等。 #### 3.8.3 数字典藏的社区参与 数字典藏的社区参与是文化遗产保护伦理的重要维度。Manžuch指出，数字化项目的伦理要求包括尊重来源社区的文化传统和意愿、确保社区知情同意、实现利益分享。在实践中，数字典藏项目应建立社区咨询机制，在项目规划、实施和评估各阶段纳入社区参与。 ### 3.9 数字典藏与学术研究 #### 3.9.1 数字典藏对学术研究的影响 数字典藏深刻改变了文化遗产学术研究的方式。传统研究中，学者需要亲赴各博物馆查看实物，受限于开放时间和物理距离。数字典藏使学者可以随时随地访问高清数字资源，大幅提高了研究效率。更重要的是，数字典藏支持计算分析——三维模型的精确测量、大规模图像的对比分析、跨馆藏品的关联发现，这些都是传统实物研究难以实现的。 De Boer指出，将遗产数据表示为知识图谱不仅支持语义检索和可视化分析，还能为机器学习和知识发现提供结构化数据基础。Fiorucci等人的综述显示，机器学习在文化遗产领域的应用已从实验室研究发展到实际部署，覆盖了从图像分类到知识发现的完整链路。 #### 3.9.2 开放数据与学术共享 开放数据运动正在改变文化遗产学术研究的生态。越来越多的博物馆和档案机构将其数字典藏以开放数据形式发布，使学者可以自由下载和分析数据。Europeana的开放数据政策、大英博物馆的开放馆藏数据库、史密森尼学会的开放3D模型等实践，为文化遗产学术共享奠定了数据基础。 然而，开放数据也面临挑战。数据质量参差不齐、元数据标准不统一、版权限制等因素制约了数据的可重用性。Lee提出的"Collections as ML Data"检查清单为文化遗产数据的机器学习应用提供了标准化框架，强调数据文档化、质量保证和偏见检测的重要性。 ### 3.10 数字典藏的文化民主化功能 #### 3.10.1 从"精英收藏"到"公众共享" 博物馆的藏品传统上被视为"精英收藏"——只有少数学者和收藏家能够接触。数字典藏正在打破这一传统，将原本封闭在库房中的文物以数字形式向全球公众开放。这种"从精英收藏到公众共享"的转型具有深远的社会意义——它使文化遗产真正成为"全民遗产"，而非少数人的特权。 Wallace和Euler在分析公共领域文化遗产的访问权时讨论了欧盟和国际层面的开放获取发展动态。他们指出，开放获取不仅是技术问题，更是文化权利问题——每个人都有平等获取文化遗产信息的权利。 #### 3.10.2 数字典藏与教育公平 数字典藏为教育公平提供了新路径。偏远地区学校可以通过数字博物馆访问世界顶级藏品，经济条件有限的学生可以通过网络获取高质量的文化遗产教育资源。然而，数字鸿沟的存在使这一路径的实现面临挑战——网络条件差、设备不足、数字素养不够等因素制约了数字典藏教育功能的发挥。 #### 3.10.3 参与式数字典藏 参与式数字典藏(Participatory Digital Archiving)是数字典藏的新发展方向。公众不再仅是数字典藏的被动使用者，而是主动参与数字典藏的建设——通过众包方式为藏品添加标签、转录手写文档、贡献口述历史。Díaz等人在研究增强展览促进文化遗产地参与式文化时指出，数字增强展览能够培养公众对文化遗产的参与式文化。 ### 3.11 数字典藏的未来形态与智能化发展 #### 3.11.1 智慧典藏的概念 智慧典藏(Smart Archiving)是数字典藏的下一代形态，它将AI技术深度嵌入典藏的全流程——从自动标引到智能检索到主动推荐。传统数字典藏依赖人工标引和关键词检索，智慧典藏则利用AI自动识别文物特征、生成元数据、建立语义关联，使典藏系统能够"理解"而非仅"存储"文物信息。Wang等人在《文化遗产智能计算》中系统阐述了智能计算在文化遗产中的应用框架。 #### 3.11.2 联邦学习与隐私保护 联邦学习(Federated Learning)技术为多个机构联合训练AI模型而不共享原始数据提供了技术方案。在文化遗产领域，不同博物馆可以在不共享藏品数据的前提下联合训练文物识别模型，既提升了模型性能又保护了数据主权。这一技术对于解决文化遗产数字化中的"数据孤岛"问题具有重要意义。 #### 3.11.3 数字孪生典藏 数字孪生技术将数字典藏从"静态档案"升级为"动态镜像"。传统数字典藏记录的是文物的某一时刻状态，数字孪生典藏则通过传感器网络实时监测文物状态变化，使典藏系统能够动态反映文物的当前状况。这对于文物预防性保护具有重要意义——管理者可以实时了解文物的温湿度环境、结构变形和病害发展情况，及时采取保护措施。 ### 3.6 文物数字典藏的学科基础深化 #### 3.6.1 信息科学与数字典藏的交叉 文物数字典藏是一个典型的跨学科领域，其理论基础涉及信息科学、博物馆学、档案学、计算机科学等多个学科。从信息科学视角，文物数字典藏可纳入"信息生命周期"(Information Lifecycle)的理论框架加以理解。 信息生命周期理论将信息运动过程划分为创建/采集、处置/描述、存取/使用、维护/保存和处置/淘汰五个阶段。在文物数字典藏语境下，这一过程对应为：文物数字化采集(创建)、元数据著录与编目(描述)、数字典藏平台检索与访问(使用)、数字保存与迁移(维护)、数据归档或淘汰(处置)。每个阶段都涉及特定的技术标准和质量管理要求。 Hodge和Anderson提出的"数字典藏四属性"——内容(Content)、情境(Context)、结构(Structure)和保存(Preservation)——为文物数字典藏的质量评估提供了有效框架。内容属性关注数字资产本身的完整性和准确性；情境属性关注数字资产的来源、创建条件和关联信息；结构属性关注数字资产的组织方式和内在逻辑；保存属性关注数字资产的长期可读性和可用性。 #### 3.6.2 档案学理论对数字典藏的启示 档案学中的"来源原则"(Principle of Provenance)和"原始顺序"(Original Order)对文物数字典藏具有重要启示。来源原则要求数字典藏在组织文物信息时保持其来源的完整性，同一考古遗址出土的文物应在数字典藏中保持其出土地、出土层位等来源信息的关联。原始顺序原则要求尊重文物在其原始使用场景中的组织方式，如一套礼仪用器应作为一个整体著录，而非分散为单独条目。 InterPARES项目(真实性数字记录的永久保护国际研究项目)对数字记录的真实性、可靠性和准确性进行了深入研究，其提出的"真实数字记录"标准对文物数字典藏具有重要参考价值。根据InterPARES的框架，数字典藏中的文物信息必须满足以下条件才能被视为"真实的"：(1)创建者身份可追溯；(2)创建过程可复现；(3)创建后的修改记录完整；(4)技术环境可迁移。 ### 3.7 元数据标准的比较分析 #### 3.7.1 国际元数据标准体系 文物数字典藏领域的元数据标准形成了多层次体系： **通用元数据标准**：Dublin Core(DC)是应用最广泛的通用元数据标准，定义了15个核心元素(标题、创建者、主题、描述、出版者、贡献者、日期、类型、格式、标识符、来源、语言、关联、覆盖范围、权限)。DC的优势在于简单易用、跨领域兼容，但语义粒度较粗，对文物的专业信息描述不足。 **领域专用元数据标准**：CIDOC CRM(概念参考模型)是博物馆领域的国际标准(ISO 21127)，定义了83个实体类和281种属性/关系，能够精确描述博物馆藏品的复杂信息。LIDO(Lightweight Information Describing Objects)是CIDOC CRM的XML序列化格式，专为博物馆藏品的网络交换设计。CDWA(艺术信息分类目录)是艺术类藏品的详细元数据标准，定义了532个元素和子元素。 **技术元数据标准**：用于描述数字资源的技术属性，如PREMIS(保存元数据)、MIX(图像技术元数据)、TEXTMD(文本技术元数据)等。这些标准记录了数字资源的技术环境、格式参数和质量指标，对长期保存至关重要。 #### 3.7.2 中国文物元数据标准的发展 中国文物元数据标准建设经历了从借鉴国际标准到自主发展的过程： **早期阶段**(2000-2010)：主要借鉴Dublin Core和CIDOC CRM，如国家文物局2003年发布的《博物馆藏品信息指标体系》参考了Dublin Core的框架，但增加了文物特有的指标(如年代、质地、完残状况等)。 **发展阶段**(2010-2020)：逐步形成中国特色的标准体系，如《文物数字化保护标准体系建设规划》(2017年)提出了覆盖采集、存储、管理、利用全流程的标准框架。WW/T 0066-2015《文物数字化保护技术规范》系列标准对各类文物的数字化采集提出了具体要求。 **深化阶段**(2020年至今)：标准建设向精细化、智能化方向发展。如2022年发布的《文物数字化成果元数据规范》参考了LIDO框架，但增加了中国文物特有的分类体系(如一级文物、二级文物、三级文物的分级标准)和管理信息。 中国标准与国际标准的互操作仍存在挑战。主要差异包括：(1)分类体系不同——中国采用文物法定义的分类(可移动文物/不可移动文物)，国际标准采用材质/功能分类；(2)年代体系不同——中国使用朝代纪年体系，国际标准使用公元纪年；(3)权属描述不同——中国文物多为国有，国际标准需兼容多种所有权形式。 ### 3.8 文物数字典藏的平台架构与互操作 #### 3.8.1 分布式数字典藏架构 当代文物数字典藏平台正从集中式架构向分布式架构转型。集中式架构将所有文物数字资源存储和管理在单一系统中，虽然管理简便，但面临扩展性瓶颈、单点故障风险和数据主权问题。分布式架构通过联邦式数据管理，使各机构保留对自身数据的控制权，同时支持跨机构检索和数据交换。 **联邦检索架构**：各文博机构维护独立的数字典藏系统，通过统一的检索协议(如OAI-PMH、SRU/CQL)实现跨机构检索。用户提交检索请求后，系统向所有参与机构的数据库发送查询，汇总并去重后返回结果。Europeana即采用联邦检索架构，聚合了来自欧洲4000余家文化机构的数字资源。 **数据聚合架构**：各机构将元数据(不包含原始数据文件)提交到中心聚合平台，用户在聚合平台检索后，通过链接跳转到源机构访问原始数据。这种模式降低了对中心平台的存储压力，同时确保了源机构的数据主权。 **区块链联邦架构**：利用区块链的分布式账本技术，建立去中心化的数字典藏联盟。各机构的数字资产指纹(哈希值)存储在区块链上，确保数据完整性和可溯源性。这种架构尚处于实验阶段，但代表了数字典藏互操作的前沿方向。 #### 3.8.2 语义互操作技术 语义互操作要解决的是"不同系统对同一概念使用不同术语"的问题。核心技术手段包括： **本体对齐(Ontology Alignment)**：在不同本体之间建立概念映射关系。如将中国文物分类体系中的"青铜器"映射到AAT(Art &amp; Architecture Thesaurus)中的"bronze(visual works)"，使不同系统的数据可互相理解。 **链接数据(Linked Data)**：采用RDF三元组格式描述文物信息，通过URI(统一资源标识符)实现概念的全局唯一标识和互链接。如大英博物馆将其馆藏数据发布为链接数据，与DBpedia、GeoNames等外部数据源建立了语义关联。 **知识图谱融合**：将多个机构的知识图谱进行实体对齐和关系融合，形成更大规模的统一知识图谱。如ARIADNEplus项目将欧洲多个考古数据集的知识图谱融合为统一的考古知识网络。 ### 3.9 文物数字典藏的智慧化转型 #### 3.9.1 从"数字化"到"智慧化"的演进路径 文物数字典藏正在经历从"数字化"到"智慧化"的转型。这一转型的核心标志是从"数据存储与管理"转向"知识发现与服务创新"： **数据层智慧化**：利用AI技术自动提取文物的特征信息(纹样、器型、材质、工艺标记)，生成丰富的描述性元数据，减少人工著录的工作量。如基于深度学习的青铜器纹饰自动识别系统，能自动识别饕餮纹、夔龙纹、云雷纹等典型纹饰，准确率达到90%以上。 **知识层智慧化**：通过知识图谱将分散的文物信息关联为结构化知识网络，支持语义检索、关联推荐和知识推理。如"中国古代铜镜知识图谱"将铜镜的形制、纹饰、铭文、出土地、年代等信息关联为统一知识网络，支持用户从任意维度进行探索。 **服务层智慧化**：基于用户画像和知识推理，提供个性化的文物知识服务。如智能导览系统根据用户的兴趣偏好和知识水平，自动生成定制化的参观路线和讲解内容。 #### 3.9.2 智慧博物馆的概念与实践 "智慧博物馆"(Smart Museum)是数字典藏智慧化在博物馆领域的具体体现。国际博物馆协会(ICOM)将智慧博物馆定义为"利用物联网、大数据、云计算、人工智能等技术，实现藏品管理、展览展示、观众服务和场馆运营的全面智能化的博物馆"。 智慧博物馆的核心特征包括：(1)全面感知——通过传感器网络实时感知藏品状态、环境参数和观众行为；(2)互联互通——各信息系统之间数据互通，形成统一的数据平台；(3)智能决策——基于数据分析自动优化运营决策；(4)个性化服务——为每位观众提供定制化的参观体验。 中国智慧博物馆建设的典型案例包括：故宫博物院的"数字故宫"智慧平台、上海博物馆的"智慧上博"系统、南京博物院的"智慧南博"项目等。这些项目在藏品管理数字化、观众服务智能化和场馆运营数据化方面进行了积极探索。 ### 3.10 文物数字典藏的数据治理与质量管理 #### 3.10.1 数据治理框架 文物数字典藏的数据治理需要建立覆盖数据全生命周期的管理框架： **数据所有权治理**：明确数字典藏中各类数据的所有权归属——文物的数字扫描数据所有权属于博物馆还是数字化服务提供商？元数据的著录权归属是机构还是著录者？这些问题需要通过制度安排明确界定。 **数据访问治理**：建立分级访问控制机制——基础元数据和低分辨率预览图对所有用户开放；高清图像和3D模型对注册用户开放；原始采集数据(如点云数据)仅对授权研究者开放。访问控制应基于角色(Role-Based Access Control, RBAC)和属性(Attribute-Based Access Control, ABAC)相结合的方式。 **数据质量治理**：建立数据质量评估和改进机制。质量评估维度包括：完整性(必填字段是否齐全)、准确性(数据内容是否正确)、一致性(不同系统间的数据是否一致)、及时性(数据是否及时更新)、唯一性(是否存在重复记录)。质量改进通过数据清洗、数据补录和数据审核等手段实现。 **数据生命周期治理**：制定数据保留和处置策略——哪些数据需要永久保存？哪些可以定期清理？过时数据如何迁移或归档？数据删除需要遵循什么审批流程？ #### 3.10.2 FAIR原则在文物数字典藏中的应用 FAIR原则(Findable, Accessible, Interoperable, Reusable)是国际科学界提出的数据管理指导原则，对文物数字典藏具有重要参考价值： **可发现(Findable)**：数字资源应能被人和机器容易发现。实现方式包括：为每个数字资源分配持久性标识符(如DOI、ARK)；提供丰富的元数据支持多维度检索；在搜索引擎和聚合平台中注册资源。 **可访问(Accessible)**：数字资源应能通过标准协议访问。实现方式包括：提供RESTful API和OAI-PMH接口；支持HTTP协议访问；明确访问条件和授权流程。 **可互操作(Interoperable)**：数字资源应能与其他系统交换和使用数据。实现方式包括：使用国际标准元数据格式(如Dublin Core、LIDO)；提供本体映射和概念对齐；采用开放数据格式。 **可重用(Reusable)**：数字资源应能被重新利用。实现方式包括：提供清晰的使用许可(如Creative Commons许可)；记录数据来源和处理历史(溯源信息)；提供足够详细的数据文档。 ### 3.11 文物数字典藏的组织管理深化 #### 3.11.1 数字典藏团队的能力建设 文物数字典藏工作需要复合型团队，核心角色包括： **数字典藏主管**：负责数字典藏的整体规划、标准制定和质量监督。需要兼具文化遗产领域知识和数字技术理解力，是连接文博专业和IT技术的桥梁。 **数字化工程师**：负责数字化采集的技术实施，包括3D扫描、摄影测量、多光谱成像等。需要掌握多种数字化设备的操作和数据处理软件的使用。 **元数据专家**：负责元数据标准的制定和实施，确保数字资源的描述信息准确、完整和标准化。需要熟悉国际元数据标准(CIDOC CRM、Dublin Core等)和文物专业知识。 **数据管理员**：负责数字资源的存储管理、数据备份、系统维护和用户权限管理。需要具备数据库管理和网络安全的技能。 **数字策展人**：负责数字资源的在线展示和虚拟展览策划，将数字典藏转化为公众可理解和欣赏的数字内容。需要兼具策展能力和数字媒体设计能力。 #### 3.11.2 数字典藏项目的管理流程 数字典藏项目的管理应遵循系统化的流程： **规划阶段**：(1)需求评估——明确数字化的范围(哪些文物需要数字化)、优先级和目标用途；(2)资源评估——评估可用的人员、设备、资金和时间；(3)技术选型——根据文物类型和精度要求选择数字化技术方案；(4)标准制定——制定采集、处理、存储和管理的标准规范。 **实施阶段**：(1)试点先行——选择代表性文物进行试点数字化，验证方案可行性；(2)批量实施——在试点成功的基础上推广到批量数字化；(3)质量控制——每批次进行质量检查和抽样验收；(4)进度管理——跟踪项目进度，及时调整资源配置。 **运维阶段**：(1)数据更新——定期更新元数据和数字资源；(2)系统维护——维护数字典藏平台的运行和升级；(3)用户支持——为研究者、教育者和公众提供数据访问支持；(4)持续改进——根据用户反馈和技术发展持续优化系统和服务。 ### 3.12 文物数字典藏的经济分析 #### 3.12.1 成本效益分析框架 文物数字典藏项目的经济评估可采用成本效益分析框架： **直接成本**：数字化采集成本(设备、人员、时间)、平台开发成本(软件开发、系统集成)、运营维护成本(服务器、带宽、人员)、质量控制成本(质检、审核、返工)。 **直接效益**：数字化服务的直接收入(图像授权费、定制服务费)、效率提升(减少实体文物的频繁取出和搬运、降低物理损害风险)。 **间接效益**：学术研究促进(数字资源支持更多学术研究)、文化旅游引流(数字展示激发实地参观意愿)、文创产业带动(数字资源为文创开发提供素材)、品牌价值提升(数字化增强机构的品牌形象和社会影响力)。 **社会效益**：文化教育促进(数字资源支持远程教育)、文化认同增强(数字传播扩大文化影响力)、保护意识提升(数字化使更多人关注文化遗产保护)。 由于文化遗产的公共物品属性，其社会效益远大于直接经济收益。因此，数字典藏项目的经济评估不能仅以直接投资回报率为标准，而应纳入社会效益的综合评估。 ### 3.13 数字典藏的未来图景 展望未来，文物数字典藏将呈现以下发展趋势： **从机构典藏到社会典藏**：传统数字典藏以博物馆为核心机构，未来将向更开放的社会化模式发展。社区数字典藏、个人数字收藏、公民科学项目等将丰富数字典藏的来源和视角，形成多元主体共同参与的文化遗产数字资源建设生态。 **从数据典藏到知识典藏**：当前数字典藏以"数据"为核心——存储和管理文物的数字文件。未来将向"知识典藏"转型——不仅存储数据，还通过知识图谱和AI技术将数据关联为结构化知识网络，支持智能检索、知识发现和推理。 **从孤岛典藏到联邦典藏**：各机构的数字典藏系统将通过标准化接口和互操作协议实现互联互通，形成联邦式的数字典藏网络。用户可在单一入口检索和访问全球数字典藏资源，打破机构壁垒。 **从静态典藏到动态典藏**：数字典藏将从"一次采集、永久存储"的静态模式转向"持续更新、动态演化"的模式。文物的数字孪生体将随物理实体的变化而实时更新，确保数字典藏与物理遗产保持同步。 ### 3.14 延伸阅读与思考 **延伸阅读**：建议阅读CIDOC CRM官方文档(ISO 21127:2014)，深入理解文化遗产信息模型的设计逻辑。同时推荐阅读InterPARES项目的研究成果，了解数字记录真实性的理论基础。 **拓展思考**：数字典藏的"典藏"一词暗含了"权威性"和"永久性"的意涵。但数字技术本质上是易变和脆弱的——文件格式会被淘汰，存储介质会老化，软件系统会过时。如何在技术的不确定性中追求典藏的确定性？这是数字典藏领域需要持续面对的根本性挑战。OAIS参考模型提供了技术层面的框架，但更深层的答案是制度层面的——建立持续投入、定期迁移、多方备份的制度保障，使数字典藏的"永久性"建立在制度韧性而非技术不变性之上。 **教学建议**：本章可采用项目式学习法，让学生分组设计一个小型文物数字典藏系统的方案(选择一个博物馆的5-10件藏品)，从元数据设计、数据库选型、存储策略到用户界面进行完整规划，通过实践理解数字典藏的复杂性。 ### 3.15 关键术语辨析 在数字典藏领域，以下术语容易混淆，需要明确辨析： **数字化(Digitization)与数字转型(Digital Transformation)**：数字化指将模拟信息转换为数字格式的过程(如扫描纸质文献为PDF)，是技术层面的操作。数字转型指机构利用数字技术全面变革业务模式、组织结构和服务方式的系统性过程，是战略层面的变革。数字典藏是数字化的核心内容，但数字典藏的深层目标应服务于机构的数字转型。 **数字保存(Digital Preservation)与数字归档(Digital Archiving)**：数字保存强调确保数字资源的长期可读性和真实性，涉及格式迁移、数据校验、灾备等技术措施。数字归档强调将数字资源按规范存储和管理，涉及分类、编目、检索等管理措施。数字保存是数字归档的技术基础，数字归档是数字保存的管理框架。 **元数据(Metadata)与本体(Ontology)**：元数据是描述数字资源的数据(如标题、作者、日期)，通常以扁平化的字段形式存在。本体是描述特定领域概念体系的形式化模型(如CIDOC CRM)，定义了概念之间的层次和关系。元数据是本体的实例化表达，本体是元数据的理论框架。 此外，数字典藏的发展还需要关注"暗数据"(Dark Data)问题——即机构内部已采集但未发布、未编目或不可检索的数字资源。据估算，全球文博机构中约60%的数字资源处于"暗数据"状态，这些资源的学术和文化价值尚未被充分释放。激活暗数据需要投入编目和发布资源，但这往往是资金紧张时最先被削减的环节。建立可持续的数字资源发布机制，是数字典藏从"保存导向"走向"服务导向"的关键一步。 总之，文物数字典藏是一个持续演进的过程，需要在技术、标准、管理和制度多个层面协同推进，才能实现文化遗产数字资源的长期保存和有效利用。通过建立完善的治理框架和持续投入机制，数字典藏将为文化遗产保护提供坚实的数据基础和技术支撑。 ## 参考文献</w:t>
      </w:r>
    </w:p>
    <w:p>
      <w:pPr>
        <w:spacing w:line="360" w:lineRule="auto" w:after="60"/>
        <w:ind w:firstLine="480"/>
      </w:pPr>
      <w:r>
        <w:rPr>
          <w:rFonts w:ascii="Microsoft YaHei" w:hAnsi="Microsoft YaHei" w:eastAsia="Microsoft YaHei"/>
          <w:sz w:val="24"/>
        </w:rPr>
        <w:t>1. Caciora T, Jubran A, Ilies D C, et al.. Digitization of the Built Cultural Heritage: An Integrated Methodology for Preservation and Accessibilization of an Art Nouveau Museum. Remote Sensing, 2023, 15(24): 5763. DOI: 10.3390/rs15245763.</w:t>
      </w:r>
    </w:p>
    <w:p>
      <w:pPr>
        <w:spacing w:line="360" w:lineRule="auto" w:after="60"/>
        <w:ind w:firstLine="480"/>
      </w:pPr>
      <w:r>
        <w:rPr>
          <w:rFonts w:ascii="Microsoft YaHei" w:hAnsi="Microsoft YaHei" w:eastAsia="Microsoft YaHei"/>
          <w:sz w:val="24"/>
        </w:rPr>
        <w:t>2. Espina-Romero L, Guerrero-Alcedo J. Fields Touched by Digitalization: Analysis of Scientific Activity in Scopus. Sustainability, 2022, 14(21): 14425. DOI: 10.3390/su142114425.</w:t>
      </w:r>
    </w:p>
    <w:p>
      <w:pPr>
        <w:spacing w:line="360" w:lineRule="auto" w:after="60"/>
        <w:ind w:firstLine="480"/>
      </w:pPr>
      <w:r>
        <w:rPr>
          <w:rFonts w:ascii="Microsoft YaHei" w:hAnsi="Microsoft YaHei" w:eastAsia="Microsoft YaHei"/>
          <w:sz w:val="24"/>
        </w:rPr>
        <w:t>3. Cheng H M, Yen Y, Yang W B. Digital Archiving in Cultural Heritage Preservation. Semantic Scholar, 2009.</w:t>
      </w:r>
    </w:p>
    <w:p>
      <w:pPr>
        <w:spacing w:line="360" w:lineRule="auto" w:after="60"/>
        <w:ind w:firstLine="480"/>
      </w:pPr>
      <w:r>
        <w:rPr>
          <w:rFonts w:ascii="Microsoft YaHei" w:hAnsi="Microsoft YaHei" w:eastAsia="Microsoft YaHei"/>
          <w:sz w:val="24"/>
        </w:rPr>
        <w:t>4. Graham C A. Applications of digitization to museum collections management, research and accessibility. Semantic Scholar, 2012.</w:t>
      </w:r>
    </w:p>
    <w:p>
      <w:pPr>
        <w:spacing w:line="360" w:lineRule="auto" w:after="60"/>
        <w:ind w:firstLine="480"/>
      </w:pPr>
      <w:r>
        <w:rPr>
          <w:rFonts w:ascii="Microsoft YaHei" w:hAnsi="Microsoft YaHei" w:eastAsia="Microsoft YaHei"/>
          <w:sz w:val="24"/>
        </w:rPr>
        <w:t>5. Wachowiak M J, Karas B V. 3D Scanning and Replication for Museum and Cultural Heritage Applications. Journal of the American Institute for Conservation, 2009, 48(2): 141-162. DOI: 10.1179/019713609804516992.</w:t>
      </w:r>
    </w:p>
    <w:p>
      <w:pPr>
        <w:spacing w:line="360" w:lineRule="auto" w:after="60"/>
        <w:ind w:firstLine="480"/>
      </w:pPr>
      <w:r>
        <w:rPr>
          <w:rFonts w:ascii="Microsoft YaHei" w:hAnsi="Microsoft YaHei" w:eastAsia="Microsoft YaHei"/>
          <w:sz w:val="24"/>
        </w:rPr>
        <w:t>6. 欧阳宏. 故宫院藏文物的三维数据采集与应用. 万方数据.</w:t>
      </w:r>
    </w:p>
    <w:p>
      <w:pPr>
        <w:spacing w:line="360" w:lineRule="auto" w:after="60"/>
        <w:ind w:firstLine="480"/>
      </w:pPr>
      <w:r>
        <w:rPr>
          <w:rFonts w:ascii="Microsoft YaHei" w:hAnsi="Microsoft YaHei" w:eastAsia="Microsoft YaHei"/>
          <w:sz w:val="24"/>
        </w:rPr>
        <w:t>7. Younan S. Poaching Museum Collections using Digital 3D Technologies. CITAR Journal, 2015, 7(2). DOI: 10.7559/CITARJ.V7I2.152.</w:t>
      </w:r>
    </w:p>
    <w:p>
      <w:pPr>
        <w:spacing w:line="360" w:lineRule="auto" w:after="60"/>
        <w:ind w:firstLine="480"/>
      </w:pPr>
      <w:r>
        <w:rPr>
          <w:rFonts w:ascii="Microsoft YaHei" w:hAnsi="Microsoft YaHei" w:eastAsia="Microsoft YaHei"/>
          <w:sz w:val="24"/>
        </w:rPr>
        <w:t>8. Barszcz M, Dziedzic K, Skublewska-Paszkowska M, et al.. 3D scanning digital models for virtual museums. Computer Animation and Virtual Worlds, 2023, 34(1). DOI: 10.1002/cav.2154.</w:t>
      </w:r>
    </w:p>
    <w:p>
      <w:pPr>
        <w:spacing w:line="360" w:lineRule="auto" w:after="60"/>
        <w:ind w:firstLine="480"/>
      </w:pPr>
      <w:r>
        <w:rPr>
          <w:rFonts w:ascii="Microsoft YaHei" w:hAnsi="Microsoft YaHei" w:eastAsia="Microsoft YaHei"/>
          <w:sz w:val="24"/>
        </w:rPr>
        <w:t>9. 俞朝晖. 面向馆藏文物的三维数据获取及可视化研究. 维普网.</w:t>
      </w:r>
    </w:p>
    <w:p>
      <w:pPr>
        <w:spacing w:line="360" w:lineRule="auto" w:after="60"/>
        <w:ind w:firstLine="480"/>
      </w:pPr>
      <w:r>
        <w:rPr>
          <w:rFonts w:ascii="Microsoft YaHei" w:hAnsi="Microsoft YaHei" w:eastAsia="Microsoft YaHei"/>
          <w:sz w:val="24"/>
        </w:rPr>
        <w:t>10. 邵壮. 馆藏文物三维数字化探究——以中国国家博物馆为例. 万方数据.</w:t>
      </w:r>
    </w:p>
    <w:p>
      <w:pPr>
        <w:spacing w:line="360" w:lineRule="auto" w:after="60"/>
        <w:ind w:firstLine="480"/>
      </w:pPr>
      <w:r>
        <w:rPr>
          <w:rFonts w:ascii="Microsoft YaHei" w:hAnsi="Microsoft YaHei" w:eastAsia="Microsoft YaHei"/>
          <w:sz w:val="24"/>
        </w:rPr>
        <w:t>11. Alfqheri T, Nasri S A E M, Sadka A H. 3D Holoscopic Imaging for Cultural Heritage Digitalisation. arXiv, 2018. DOI: arXiv:1810.03916.</w:t>
      </w:r>
    </w:p>
    <w:p>
      <w:pPr>
        <w:spacing w:line="360" w:lineRule="auto" w:after="60"/>
        <w:ind w:firstLine="480"/>
      </w:pPr>
      <w:r>
        <w:rPr>
          <w:rFonts w:ascii="Microsoft YaHei" w:hAnsi="Microsoft YaHei" w:eastAsia="Microsoft YaHei"/>
          <w:sz w:val="24"/>
        </w:rPr>
        <w:t>12. Bentkowska-Kafel A, Macdonald L. Digital Techniques for Documenting and Preserving Cultural Heritage. British Academy, 2018. DOI: 10.2307/j.ctt1xp3w16.</w:t>
      </w:r>
    </w:p>
    <w:p>
      <w:pPr>
        <w:spacing w:line="360" w:lineRule="auto" w:after="60"/>
        <w:ind w:firstLine="480"/>
      </w:pPr>
      <w:r>
        <w:rPr>
          <w:rFonts w:ascii="Microsoft YaHei" w:hAnsi="Microsoft YaHei" w:eastAsia="Microsoft YaHei"/>
          <w:sz w:val="24"/>
        </w:rPr>
        <w:t>13. 中国甲午战争博物院. 博物馆文物数字化保护与管理措施研究. 万方数据.</w:t>
      </w:r>
    </w:p>
    <w:p>
      <w:pPr>
        <w:spacing w:line="360" w:lineRule="auto" w:after="60"/>
        <w:ind w:firstLine="480"/>
      </w:pPr>
      <w:r>
        <w:rPr>
          <w:rFonts w:ascii="Microsoft YaHei" w:hAnsi="Microsoft YaHei" w:eastAsia="Microsoft YaHei"/>
          <w:sz w:val="24"/>
        </w:rPr>
        <w:t>14. Hou Y, Kenderdine S, Picca D, et al.. Digitizing Intangible Cultural Heritage Embodied: State of the Art. ACM Journal on Computing and Cultural Heritage, 2022, 15(3): 1-28. DOI: 10.1145/3494837.</w:t>
      </w:r>
    </w:p>
    <w:p>
      <w:pPr>
        <w:spacing w:line="360" w:lineRule="auto" w:after="60"/>
        <w:ind w:firstLine="480"/>
      </w:pPr>
      <w:r>
        <w:rPr>
          <w:rFonts w:ascii="Microsoft YaHei" w:hAnsi="Microsoft YaHei" w:eastAsia="Microsoft YaHei"/>
          <w:sz w:val="24"/>
        </w:rPr>
        <w:t>15. Robbins C. Beyond preservation: New directions for technological innovation through intangible cultural heritage. Rhode Island School of Design, 2010.</w:t>
      </w:r>
    </w:p>
    <w:p>
      <w:pPr>
        <w:spacing w:line="360" w:lineRule="auto" w:after="60"/>
        <w:ind w:firstLine="480"/>
      </w:pPr>
      <w:r>
        <w:rPr>
          <w:rFonts w:ascii="Microsoft YaHei" w:hAnsi="Microsoft YaHei" w:eastAsia="Microsoft YaHei"/>
          <w:sz w:val="24"/>
        </w:rPr>
        <w:t>16. Ertürk N. Preservation of Digitized Intangible Cultural Heritage in Museum Storage. Museum Storage, 2022.</w:t>
      </w:r>
    </w:p>
    <w:p>
      <w:pPr>
        <w:spacing w:line="360" w:lineRule="auto" w:after="60"/>
        <w:ind w:firstLine="480"/>
      </w:pPr>
      <w:r>
        <w:rPr>
          <w:rFonts w:ascii="Microsoft YaHei" w:hAnsi="Microsoft YaHei" w:eastAsia="Microsoft YaHei"/>
          <w:sz w:val="24"/>
        </w:rPr>
        <w:t>17. 余日季. 基于AR技术的非物质文化遗产数字化开发研究. 万方数据, 2014.</w:t>
      </w:r>
    </w:p>
    <w:p>
      <w:pPr>
        <w:spacing w:line="360" w:lineRule="auto" w:after="60"/>
        <w:ind w:firstLine="480"/>
      </w:pPr>
      <w:r>
        <w:rPr>
          <w:rFonts w:ascii="Microsoft YaHei" w:hAnsi="Microsoft YaHei" w:eastAsia="Microsoft YaHei"/>
          <w:sz w:val="24"/>
        </w:rPr>
        <w:t>18. 孔凡运. 文化遗产数字化保存的策略与挑战. 万方数据, 2025.</w:t>
      </w:r>
    </w:p>
    <w:p>
      <w:pPr>
        <w:spacing w:line="360" w:lineRule="auto" w:after="60"/>
        <w:ind w:firstLine="480"/>
      </w:pPr>
      <w:r>
        <w:rPr>
          <w:rFonts w:ascii="Microsoft YaHei" w:hAnsi="Microsoft YaHei" w:eastAsia="Microsoft YaHei"/>
          <w:sz w:val="24"/>
        </w:rPr>
        <w:t>19. Zhu Y, Azahari M H. The Application Research of Virtual Reality Technology in the Protection and Inheritance of Intangible Cultural Heritage. Highlights in Art and Design, 2024, 5. DOI: 10.54097/5b69d070.</w:t>
      </w:r>
    </w:p>
    <w:p>
      <w:r>
        <w:br w:type="page"/>
      </w:r>
    </w:p>
    <w:p/>
    <w:p/>
    <w:p/>
    <w:p/>
    <w:p/>
    <w:p/>
    <w:p/>
    <w:p/>
    <w:p>
      <w:pPr>
        <w:jc w:val="center"/>
      </w:pPr>
      <w:r>
        <w:rPr>
          <w:rFonts w:ascii="Microsoft YaHei" w:hAnsi="Microsoft YaHei" w:eastAsia="Microsoft YaHei"/>
          <w:b/>
          <w:color w:val="264653"/>
          <w:sz w:val="48"/>
        </w:rPr>
        <w:t>第二篇 核心技术篇</w:t>
      </w:r>
    </w:p>
    <w:p>
      <w:r>
        <w:br w:type="page"/>
      </w:r>
    </w:p>
    <w:p>
      <w:pPr>
        <w:pStyle w:val="Heading2"/>
      </w:pPr>
      <w:r>
        <w:rPr>
          <w:rFonts w:ascii="Microsoft YaHei" w:hAnsi="Microsoft YaHei" w:eastAsia="Microsoft YaHei"/>
          <w:color w:val="264653"/>
        </w:rPr>
        <w:t>学习目标 1. **识记**：三维激光扫描、结构光扫描、摄影测量、多光谱成像四类核心采集技术的原理与特征 2. **理解**：非遗数字化采集(音视频、动作捕捉、口述史)与文物数字化采集的技术差异 3. **应用**：根据文物类型选择合适的数字化采集方案，制定技术路线 4. **分析**：比较中外数字化采集实践的技术路线差异与各自优势 5. **评价**：从精度、效率、成本三个维度评估不同采集技术的适用性 6. **创造**：为一个包含可移动文物和古建筑的综合性遗产地设计数字化采集方案 ## 导入案例：敦煌莫高窟壁画高精度数字化采集 敦煌莫高窟现存洞窟735个，壁画45000平方米，彩塑2400余尊。然而，莫高窟长期面临风沙侵蚀、温湿度波动、游客二氧化碳排放等多重自然和人为威胁。敦煌研究院从20世纪80年代末开始探索壁画数字化保护，经过三十余年的技术迭代，建立了"壁画数字化作业规范"——以高分辨率数字摄影为主，辅以多光谱成像和三维激光扫描，实现壁画的毫米级精度数字化记录。 杜若飞在分析敦煌数字化实践时指出，数字敦煌项目的核心技术路线是"高保真摄影+色彩管理+数字拼接"，单幅壁画图像分辨率达到300dpi以上，色彩还原度ΔE≤3，确保了数字副本在视觉上与原始壁画高度一致。截至2024年，数字敦煌资源库已向全球开放290个洞窟的高清数字图像，累计访问量超过2000万次。这一案例展示了数字化采集技术在文化遗产保护中的巨大价值，也提出了"如何选择合适技术、如何控制质量、如何平衡成本"等系统性问题。 ### 4.1 数字化采集技术体系 #### 4.1.1 三维激光扫描技术 三维激光扫描(3D Laser Scanning)是通过发射激光脉冲并接收反射信号来测量物体表面三维坐标的技术。根据测量原理可分为时间飞行法(Time-of-Flight, ToF)、相位差法和三角测量法三类。Wachowiak和Karas在研究博物馆与文化遗产行为的三维扫描应用时指出，三维数字化已在文化遗产对象的记录和分析技术中占据了重要地位，不同原理的扫描设备在精度、速度、范围等方面各有优劣。 **时间飞行法扫描仪**适用于大型文物和建筑的远距离扫描，测量范围可达数百米，但精度相对较低(毫米级)。**相位差法扫描仪**在中距离扫描中具有更高的精度和速度，适用于中型文物和室内空间。**三角测量法扫描仪**适用于小型高精度文物扫描，精度可达微米级，但测量范围有限。 赵迎龙以北京考古遗址博物馆藏辽代白釉穿带瓶为例，探讨了三维扫描技术和摄影测量技术的融合应用，指出两种技术的相互融合能够发挥各自优势，实现文物的高精度全方位三维数字化。 #### 4.1.2 结构光扫描技术 结构光扫描(Structured Light Scanning)通过投射已知图案(如条纹、网格)到物体表面，由摄像头捕获变形后的图案，通过计算图案变形量来重建物体三维形貌。结构光扫描具有速度快、精度高、非接触等优点，特别适用于中小型文物的精细化数字化。 Montusiewicz等人在研究文化遗产对象三维模型制备时采用结构光扫描技术，不仅实现了文物的精确三维记录，还探索了将三维打印模型用于视障人士触觉认知的可能性。这一实践拓展了文物数字化采集的社会价值维度。 #### 4.1.3 摄影测量技术 摄影测量(Photogrammetry)是通过分析多角度重叠照片来重建物体三维模型的技术。相较于激光扫描，摄影测量具有设备成本低、操作灵活、色彩还原好等优势，但数据处理量更大、精度受拍摄条件影响。Espina-Romero和Guerrero-Alcedo在分析数字化领域的研究活动时指出，摄影测量自动化技术的发展使小型文物集合的三维数字化效率大幅提升。 丁翔等人在研究武当文化数字博物馆时利用三维激光扫描技术获取武当山古建筑和文物的三维数据，通过HTML5技术将三维模型嵌入网页，实现了文化遗产的在线展示和互动。这一实践展示了摄影测量与Web技术结合的应用前景。 #### 4.1.4 多光谱与高光谱成像 多光谱成像(Multispectral Imaging)和高光谱成像(Hyperspectral Imaging)通过捕获物体在不同波长(包括可见光、红外、紫外等)下的反射信息，揭示肉眼不可见的文物特征。该技术在古籍文献、壁画、油画等文物的数字化中具有独特价值——能够揭示被覆盖或褪色的文字和图案，为文物研究和修复提供关键信息。 ### 4.2 非遗数字化采集技术 #### 4.2.1 音视频记录技术 音视频记录是非遗数字化最基础也最核心的采集技术。对于表演艺术类非遗(戏曲、音乐、舞蹈等)，高质量的音视频记录是保存表演形态的基本手段。师国伟等人在研究增强现实技术在文化遗产数字化保护中的应用时指出，文化遗产数字化保护是发展趋势，音视频记录是其中最基本的技术手段。 现代非遗音视频采集通常采用4K/8K超高清摄像、多机位同步拍摄、专业级无损录音等技术，确保记录的完整性和高质量。孔莉莉以全景VR视频技术为例，探讨了数字化艺术文化遗产保护的教学实践，展示了360度全视角动态视听媒体信息记录和还原的技术路径。 #### 4.2.2 动作捕捉技术 动作捕捉技术是非遗数字化采集的前沿领域，特别适用于身体实践类非遗(舞蹈、戏曲、武术、传统手工艺等)的记录。通过光学、惯性或电磁式动作捕捉系统，可以精确记录表演者或工艺师的身体运动轨迹、力度和节奏，为非遗的身体知识保存和教学传承提供数据基础。 #### 4.2.3 口述史数字化记录 口述史是非遗传承的重要载体。口述史数字化记录不仅包括音视频采集，还涉及口述内容的文字转写、主题标注、语义索引和知识组织。Liu等人在研究"毛猴"手工艺的数字化传承时，通过口述史记录结合数字制作技术，探索了非遗身体知识的数字化保存路径。 ### 4.3 数字化采集的工艺流程 #### 4.3.1 前期规划与方案设计 数字化采集的前期规划是整个工作质量的基础。主要内容包括：确定数字化对象的优先级(基于价值评估、保存状况、使用需求等)；制定技术方案(选择采集技术、确定精度要求、设计工作流程)；评估现场条件(环境光照、温湿度、空间限制等)；准备设备和人员。 #### 4.3.2 现场数据采集 现场采集是数字化工作的核心环节。对于文物三维扫描，需要关注以下要点：扫描覆盖完整性(确保文物所有表面被覆盖)、标靶布设(用于多站扫描数据配准)、色彩管理(使用标准色卡进行色彩校准)、环境控制(避免直射光和反射干扰)。对于非遗音视频采集，需要关注拍摄角度的全面性、音频录制的清晰度和现场环境的记录。 #### 4.3.3 数据处理与质量控制 数据处理包括点云配准、去噪、网格重建、纹理映射、模型优化等步骤。朱黎等人在研究文化遗产多分辨率三维重建时，提出了一种基于地理位置的不同分辨率遗址文物模型融合与展示方法，按照文物虚拟化方法精细重建了石人、石马、牌坊等文物模型。 ### 4.4 技术选型与评估 #### 4.4.1 不同文物类型的采集策略 | 文物类型 | 推荐技术 | 精度要求 | 特殊注意事项 | |---------|---------|---------|------------| | 小型可移动文物 | 结构光扫描+摄影测量 | ≤0.05mm | 色彩管理、材质反光处理 | | 大型可移动文物 | 三维激光扫描+摄影测量 | ≤0.5mm | 多站扫描配准 | | 古建筑/遗址 | 远距离三维激光扫描 | ≤5mm | 控制点布设、外围环境 | | 壁画/平面文物 | 高分辨率摄影+多光谱成像 | ≥300dpi | 色彩校准、光照均匀 | | 非遗表演 | 多机位4K/8K视频+动作捕捉 | 视项目而定 | 多角度同步、音频质量 | #### 4.4.2 精度与效率的平衡 数字化采集需要在精度和效率之间取得平衡。过高的精度要求会导致采集时间大幅增加、数据量急剧膨胀，而精度不足则无法满足研究和修复需求。Dai和Yu在研究木雕作品的3D重建和数字保护时，基于U-Net模型和6G网络技术探索了精度与效率的优化路径。 #### 4.4.3 成本效益分析 数字化采集的成本包括设备成本(扫描仪、相机、计算机等)、人力成本(技术人员、专家)和时间成本。对于资金有限的中小型博物馆，摄影测量是一种成本效益较高的替代方案。 ### 4.5 国际比较与经验借鉴 #### 4.5.1 欧洲数字化采集实践 欧洲在文化遗产数字化采集方面积累了丰富经验。Caciora等人在研究建筑文化遗产数字化时提出了一种集成化方法论，将三维激光扫描、摄影测量和数据处理技术整合为一体化工作流程，以实现文化遗产的精确记录和可及性提升。 #### 4.5.2 美国史密森尼学会数字化标准 美国史密森尼学会是全球最早系统开展藏品数字化的博物馆机构之一。其数字化标准强调可重复性、文档完整性和数据开放性，形成了从采集到发布的全流程标准化体系。 #### 4.5.3 中外技术对比分析 中国与发达国家在文物数字化采集技术方面各有优势。中国在壁画数字化和石窟寺数字化领域处于世界领先水平(如数字敦煌)，但在设备制造、标准体系建设和数据开放方面仍有提升空间。 ## 知识卡片 **知识卡片4-1：三维扫描技术对比** | 技术类型 | 精度 | 速度 | 范围 | 适用对象 | |---------|------|------|------|---------| | ToF激光扫描 | 毫米级 | 中 | 远距离 | 建筑、遗址 | | 相位差扫描 | 亚毫米级 | 快 | 中距离 | 室内空间、中型文物 | | 三角测量扫描 | 微米级 | 慢 | 近距离 | 小型高精度文物 | | 结构光扫描 | 亚毫米级 | 快 | 近距离 | 中小型文物 | **知识卡片4-2：数字化采集质量检查清单** - [ ] 扫描覆盖率≥95% - [ ] 配准误差在允许范围内 - [ ] 色彩校准已执行(色差ΔE≤3) - [ ] 纹理分辨率≥300dpi - [ ] 元数据记录完整 - [ ] 备份已完成且可读 ## 本章小结 本章系统论述了文化遗产数字化采集与生成技术体系，对应G.U.A.R.D.框架的G维度。首先介绍了三维激光扫描、结构光扫描、摄影测量和多光谱成像四类核心采集技术的原理与适用场景；然后分析了非遗数字化采集的特殊技术路径，包括音视频记录、动作捕捉和口述史数字化；接着从前期规划、现场采集和数据处理三个方面阐述了数字化采集的工艺流程；然后从文物类型匹配、精度效率平衡和成本效益三个维度讨论了技术选型方法；最后通过国际比较揭示了中外数字化采集实践的差异与趋势。 ## 思考题 1. **(识记)** 三维激光扫描的三种测量原理分别是什么？各有什么优缺点？ 2. **(理解)** 分析摄影测量与三维激光扫描在文物数字化中的互补关系。 3. **(应用)** 为一面10平方米的古代壁画设计数字化采集方案，包含技术选型、设备清单和质量控制标准。 4. **(分析)** 比较文物数字化采集与非遗数字化采集在技术路线上的核心差异。 5. **(评价)** 评估"高精度等于高质量"这一观点在文化遗产数字化采集中的合理性。 6. **(创造)** 为一个预算50万元的县级博物馆设计文物数字化采集三年规划。 ### 4.6 数字化采集的质量管理体系 #### 4.6.1 质量标准与规范 文化遗产数字化采集的质量管理需要建立系统化的标准体系。国际层面，ISO 21127(CIDOC CRM)为文化遗产信息交换提供了概念基础；欧洲的3D-ICONS项目制定了3D文化遗产数字化的技术指南；美国的联邦数字化指导纲要(FADGI)为数字化项目提供了详细的品质等级标准。 中国也在积极推进数字化标准建设。国家文物局发布的《可移动文物数字化保护技术规范》对文物数字化的技术参数、工作流程和质量控制提出了明确要求。然而，邵壮在分析国博三维数字化实践时指出，不同博物馆采用不同的数据格式和技术标准，严重制约了数据的互联互通，亟需建立全国统一的文物数字化标准体系。 **质量评价核心指标**包括：(1)几何精度——三维模型与实物之间的尺寸偏差，高精度要求≤0.1mm；(2)纹理分辨率——单位面积的像素数量，专业级要求≥300dpi；(3)色彩还原度——数字图像与实物之间的色差(ΔE)，专业级要求ΔE≤3；(4)模型完整性——三维模型覆盖文物表面的百分比，要求≥95%；(5)拓扑质量——三角网格的规整程度，影响后续处理和渲染质量。 #### 4.6.2 质量控制流程 质量控制应贯穿数字化采集的全过程。**前期质量控制**包括设备校准、环境检测和方案审核；**中期质量控制**包括现场实时检查、数据预览验证和异常处理；**后期质量控制**包括数据处理验证、模型质量评估和元数据完整性检查。 Bentkowska-Kafel和Macdonald在探讨文化遗产数字技术时强调，质量控制的文档化是确保数字化成果可重复和可验证的关键——每件文物的数字化过程都应记录详细的处理日志，包括设备参数、环境条件、操作步骤和质量检测结果。 #### 4.6.3 常见质量问题与解决方案 文物数字化采集中常见的质量问题包括：**反光问题**——金属和釉陶等高反光材质的扫描数据会出现噪点和缺失，解决方案包括喷涂消光剂或使用偏振光过滤；**暗色问题**——深色文物的扫描信号弱，需要增加激光功率或延长曝光时间；**复杂几何问题**——镂空、透雕等复杂结构的文物难以完整扫描，需要多角度多设备联合采集；**色彩失真问题**——光照不均匀导致的色彩偏差，需要使用标准色卡进行色彩校准。 He和Jia提出的Opti3D方法解决了低光照环境下的三维数字化和免校准问题，为特殊环境下的文物数字化提供了新技术路径。这一技术突破对于石窟寺、墓室等光线条件受限的文化遗产地具有重要实用价值。 ### 4.7 数字化采集的实践案例深度分析 #### 4.7.1 案例一：敦煌莫高窟壁画数字化 敦煌莫高窟壁画数字化是中国文化遗产数字化保护的标杆项目。该项目的技术路线包括四个核心环节：(1)**高分辨率数字摄影**——使用专业级数码相机配合定焦镜头，逐壁面、逐区域进行高分辨率拍摄，单张图像分辨率超过300dpi；(2)**色彩管理系统**——使用X-Rite标准色卡进行色彩校准，确保数字图像与原始壁画的色差ΔE≤3；(3)**数字拼接技术**——将数百张局部照片拼接成完整的壁画数字图像，拼接精度控制在亚像素级；(4)**质量检验**——对数字图像的分辨率、色彩、拼接质量进行系统检验。 陈振旺和樊锦诗从文化科技融合的视角分析了敦煌数字化实践，指出敦煌数字化的成功在于将技术创新与文化理解深度融合——技术团队不仅需要掌握数字化技术，还需要深入理解壁画的艺术特征和历史背景，才能确保数字化成果的学术价值。 #### 4.7.2 案例二：故宫古建筑三维数字化 故宫古建筑三维数字化面临的技术挑战与壁画完全不同。古建筑体量大、结构复杂、细节繁多，需要远距离三维激光扫描与近景摄影测量的融合。欧阳宏指出，故宫使用三维数字技术采集了大量古建筑的高精度三维数据，通过数字呈现技术立体再现文化遗产原貌。 故宫的实践创新在于：一是建立了"古建筑数字档案"系统，每栋建筑都有完整的三维数字模型和详细的构件数据库；二是开发了虚拟漫游系统，使公众可以通过VR技术"走进"未开放区域；三是将数字化与修缮工程深度结合，三维数据为修缮设计和施工提供了精确的参考依据。 #### 4.7.3 案例三：三星堆遗址考古现场数字化 三星堆遗址的考古现场数字化代表了考古发掘与数字技术深度融合的新方向。2020-2022年的三星堆"祭祀坑"发掘过程中，考古团队使用了三维扫描、摄影测量、多光谱成像等多种数字化技术，对发掘过程进行了全程数字化记录。2025年的数字化展示项目运用科技艺术手段，从地域文化性、信息叙事性、空间艺术性及情感共鸣性四个维度构建了文化遗产数字化展示的新范式。 三星堆案例的创新意义在于"过程数字化"——不仅对出土文物进行数字化，更对考古发掘过程本身进行数字化记录，为后续研究提供了完整的发掘现场数字档案。 ### 4.8 数字化采集的未来发展方向 #### 4.8.1 自动化与智能化 数字化采集正在从手工操作向自动化和智能化方向发展。自动化扫描系统可以减少人工干预，提高采集效率和一致性。AI辅助处理可以自动完成去噪、配准、纹理映射等后处理工作，大幅缩短数据处理周期。Dai和Yu基于U-Net模型和6G网络技术的研究展示了AI在文物3D重建中的技术潜力。 #### 4.8.2 多模态融合 多模态融合是数字化采集的重要发展方向。单一技术往往难以全面记录文化遗产信息——三维扫描擅长形态记录但色彩还原不足，摄影测量色彩好但精度受限，多光谱成像能揭示隐藏信息但适用范围有限。Caciora等人提出的集成化方法论将多种技术整合为一体化工作流程，代表了多模态融合的实践方向。 #### 4.8.3 实时化与云端化 5G和边缘计算技术的发展使实时化数字化采集成为可能。在考古现场，5G网络可以支持三维扫描数据的实时上传和云端处理，研究人员可以远程实时查看和处理数据。这一方向对于田野考古和不可移动文物的数字化具有重要意义。 ### 4.9 数字化采集的标准化与规范化 #### 4.9.1 国际标准化进展 文化遗产数字化采集的标准化是确保数据互操作性和长期可重用性的基础。国际上，ISO/TC 46(信息与文献技术委员会)和ISO/TC 211(地理信息技术委员会)制定了多项与文化遗产数字化相关的标准。欧洲的3D-ICONS项目制定了3D文化遗产数字化的技术指南，涵盖了从数据采集到在线发布的完整流程。美国的FADGI(联邦数字化指导纲要)为数字化项目提供了详细的品质等级标准，将数字化品质分为一星到四星四个等级。 Bentkowska-Kafel和Macdonald在探讨文化遗产数字技术时强调，标准化不仅涉及技术参数(如分辨率、精度、色彩空间)，还涉及工作流程文档化、元数据记录和质量验证方法。完整的标准化体系应覆盖数字化过程的每个环节，确保数字化成果的可重复性和可验证性。 #### 4.9.2 中国标准化现状 中国文化遗产数字化标准化建设近年来取得了显著进展。国家文物局先后发布了《文物数字化保护标准体系》《可移动文物数字化保护技术规范》《不可移动文物数字化保护技术规范》等标准文件。然而，邵壮在分析国博三维数字化实践时指出，标准的统一是馆藏文物三维数字化工作的关键前提，不同博物馆采用不同的数据格式和技术标准严重制约了数据的互联互通。 当前中国标准化的主要不足包括：标准覆盖面不够(特别是非遗数字化标准严重缺失)、标准执行力度不足(标准发布后缺乏有效的推行机制)、标准更新滞后(技术快速演进但标准修订周期过长)。 ### 4.10 多模态数据融合与文化遗产数字化 #### 4.10.1 多模态数据的类型 文化遗产数字化采集产生的多模态数据包括：**几何数据**(三维点云、网格模型)、**纹理数据**(高清照片、多光谱图像)、**属性数据**(元数据、历史档案、学术文献)、**环境数据**(温湿度、光照、空气质量)和**动态数据**(游客行为、社交媒体反馈)。这些数据在格式、精度、时间尺度上各不相同，如何融合利用是技术挑战。 #### 4.10.2 数据融合的技术路径 多模态数据融合的技术路径包括：**配准对齐**——将不同来源的数据统一到同一坐标系或参考框架下；**特征融合**——从不同模态数据中提取互补特征进行联合分析；**决策融合**——将不同模态数据的分析结果进行综合决策。Caciora等人提出的集成化方法论将三维激光扫描、摄影测量和数据处理技术整合为一体化工作流程，代表了多模态融合的实践方向。 ### 4.11 数字化采集中的文化敏感性 #### 4.11.1 文化敏感性的含义 数字化采集中的文化敏感性是指在采集过程中尊重文化遗产来源社区的文化传统、宗教信仰和情感联系。某些文物可能具有神圣或禁忌属性，数字化采集需要遵守特定的文化礼仪和行为规范。例如，某些宗教文物的展示有性别限制，某些仪式文物的记录有时间限制。 #### 4.11.2 文化敏感性实践指南 建立文化敏感性实践指南应包括：**事前调研**——在数字化前了解文物的文化背景和可能的敏感性；**社区协商**——与来源社区协商数字化的范围、方式和用途；**行为规范**——制定采集现场的行为规范，尊重文化礼仪；**使用限制**——对敏感文物的数字资源设置访问和使用限制。Manžuch指出，数字化伦理的社会维度要求关注公平获取和文化敏感性。 ### 4.12 文化遗产数字化的全流程管理 #### 4.12.1 项目管理框架 文化遗产数字化项目应采用系统化的项目管理框架。项目生命周期包括：**启动阶段**(需求分析、可行性研究、方案制定)、**规划阶段**(技术选型、资源配置、进度计划)、**执行阶段**(现场采集、数据处理、质量检查)、**监控阶段**(进度监控、质量监控、风险监控)和**收尾阶段**(成果验收、文档归档、项目评估)。每个阶段都应有明确的输入、输出和质量标准。 #### 4.12.2 人员组织与能力建设 数字化项目需要多学科团队协作，核心角色包括：**项目经理**(负责整体协调和管理)、**技术专家**(负责设备操作和数据处理)、**领域专家**(负责文物/非遗的专业指导)、**元数据专家**(负责元数据标准设计和标引)、**IT支持**(负责系统维护和数据安全)和**社区联络员**(负责与来源社区的沟通协调)。团队能力建设应注重跨学科培训——技术人员需要基本的文化遗产知识，领域专家需要基本的数字技术素养。 #### 4.12.3 成果管理与共享 数字化项目完成后，成果的管理和共享是确保项目长期价值的关键。成果管理包括：数据归档(按标准格式入库存储)、元数据完善(补充描述性元数据和管理性元数据)、版权处理(明确版权归属和使用许可)和访问服务(建立检索和下载服务)。成果共享应遵循FAIR原则——可发现(Findable)、可获取(Accessible)、互操作(Interoperable)和可重用(Reusable)。 ### 4.6 数字化采集技术的精度分析与质量控制 #### 4.6.1 采集精度的决定因素 文物数字化采集的精度受多种因素影响，理解这些因素对技术选型和质量控制至关重要： **硬件因素**：(1)传感器分辨率——三维扫描仪的点间距和面阵分辨率决定了几何细节的捕捉能力。如Artec Space Spider的手持结构光扫描仪精度可达0.05mm，适合小型精细文物的采集；(2)光学系统质量——镜头畸变、景深范围、对焦精度等直接影响数据质量；(3)运动控制精度——对于自动化扫描系统，运动平台的定位精度限制了整体采集精度。 **环境因素**：(1)光照条件——摄影测量和结构光扫描对环境光照敏感，需要在受控光照环境下进行采集。如敦煌壁画数字化采集采用了定制LED冷光源，色温5600K±200K，显色指数Ra&gt;95，确保色彩还原的准确性；(2)温度湿度——温度变化导致的热胀冷缩和湿度变化引起的材质变形会影响采集精度，精密采集通常在恒温恒湿环境下进行；(3)振动——外部振动对高精度扫描(尤其是接触式扫描)影响显著，需要隔振平台。 **文物因素**：(1)表面材质——高反光材质(如金属器、瓷器釉面)、高吸光材质(如漆器黑漆面)、半透明材质(如玉石、玻璃)对光学的响应特性各异，需要针对性的采集策略；(2)表面状态——风化、侵蚀、修补痕迹等影响采集数据的完整性和可解读性；(3)尺寸与复杂度——大型文物(如建筑构件)需要多站扫描拼接，复杂几何(如镂空、深凹)容易产生遮挡和数据缺失。 #### 4.6.2 质量控制体系 建立系统化的质量控制体系是确保数字化采集质量的关键。质量控制体系应覆盖采集前、采集中和采集后三个阶段： **采集前质量控制**：(1)制定采集方案——根据文物类型、精度要求和预算约束，选择合适的技术方案和设备参数；(2)设备校准——扫描仪、相机等设备需要在采集前进行校准，确保系统误差在可控范围内；(3)试采集——对代表性样本进行试采集，验证方案可行性并及时调整。 **采集中质量控制**：(1)实时监控——在采集过程中实时检查数据质量，发现遮挡、噪点等问题及时补采；(2)覆盖率检查——确保扫描覆盖率不低于95%，对遗漏区域进行补扫；(3)色彩管理——使用标准色卡(如X-Rite ColorChecker)进行色彩校准，确保色彩还原准确。 **采集后质量控制**：(1)数据完整性检查——验证点云密度、模型完整性和纹理覆盖率；(2)精度验证——使用已知尺寸的参考物或三坐标测量机验证采集精度；(3)元数据记录——完整记录采集设备、参数、环境条件、操作人员等元数据，支持结果的可追溯性。 ### 4.7 非遗数字化采集的方法论深化 #### 4.7.1 动作捕捉技术在非遗记录中的应用 动作捕捉技术是非遗身体实践类项目(如传统舞蹈、武术、戏剧、手工艺)数字化记录的核心技术。当前应用于非遗记录的主流动捕技术包括： **光学动捕系统**：通过多台红外摄像机追踪演员身上标记点的运动轨迹。优点是精度高(亚毫米级)、采样率高(120-240fps)，适合精细动作记录。如北京舞蹈学院利用Vicon光学动捕系统记录了中国56个民族的代表性舞蹈动作，建立了中国民族舞蹈动作数据库。缺点是对场地要求高(需要专用动捕棚)、标记点可能影响表演者的自然动作。 **惯性动捕系统**：演员穿着内置IMU(惯性测量单元)的动捕服，通过加速度计和陀螺仪计算身体姿态。优点是便携性好、无遮挡问题、可在户外使用，适合田野调查中的非遗记录。如中央民族大学利用Xsens惯性动捕系统在贵州黔东南苗族村寨现场记录了苗族锦鸡舞的完整表演。缺点是精度略低于光学系统(厘米级)，长时间使用存在漂移问题。 **无标记视频动捕**：基于计算机视觉从普通视频中提取人体姿态，无需穿戴设备。优点是非侵入式、对表演者无干扰，适合自然表演场景的记录。如利用OpenPose或MediaPipe从非遗表演视频中提取骨架数据。缺点是精度有限、对遮挡敏感、难以捕捉手指等精细动作。 #### 4.7.2 口述史数字化记录的规范与伦理 口述史是非遗保护的重要方法，数字化技术为口述史的记录、保存和利用提供了新可能。口述史数字化记录需要遵循以下规范： **记录规范**：(1)使用专业录音设备(采样率48kHz/24bit以上)和摄像设备(4K以上)，确保音视频质量；(2)在安静、自然的环境中进行访谈，避免环境噪音干扰；(3)完整记录访谈过程，包括访谈者提问和受访者回答，不做选择性删除；(4)记录元数据(访谈时间、地点、受访者信息、访谈语言等)。 **伦理规范**：(1)知情同意——访谈前需向受访者说明记录目的、使用范围和存储方式，获得书面知情同意；(2)文化敏感性——对涉及宗教仪式、家族秘传等敏感内容，尊重受访者的意愿，可设置访问限制；(3)利益分享——数字化成果如果产生商业收益，应与受访社区分享利益；(4)文化主权——数字化记录不应剥夺社区对其文化遗产的控制权，社区有权决定数字资源的访问和使用方式。 ### 4.8 数字化采集的案例深度分析 #### 4.8.1 敦煌壁画数字化采集的技术演进 敦煌莫高窟的壁画数字化是中国文化遗产数字化采集中最具代表性的案例。从20世纪90年代至今，敦煌壁画数字化采集技术经历了三个发展阶段： **第一阶段——数字摄影阶段(1996-2006)**：采用大画幅胶片相机拍摄壁画，再扫描为数字图像。主要设备为Linhof Technikd相机配Kodak专业反转片，单张照片覆盖面积约1平方米。这一阶段的技术局限在于：胶片冲洗的色彩管理难以标准化，拼接精度受限于手动操作，整体效率较低(每天完成约2-3平方米)。 **第二阶段——数字直接采集阶段(2006-2016)**：引入数码后背相机系统(Phase One IQ3 100MP)，采用轨道自动化拍摄系统。数码直接采集消除了胶片冲洗环节，色彩管理通过ICC色彩配置文件实现标准化。轨道系统确保每张照片的位置精度，拼接通过专业软件(PTGui)自动化完成。这一阶段的采集效率提升至每天约8-10平方米，色彩还原度ΔE&lt;5。 **第三阶段——智能采集阶段(2016年至今)**：引入AI辅助的采集和处理系统。AI技术主要用于：(1)自动检测拍摄区域的遮挡和曝光不均，指导补拍；(2)自动色彩校正，减少人工调色工作量；(3)智能拼接优化，自动识别和处理拼接缝。同时引入多光谱成像系统，同步采集壁画的紫外荧光和红外反射图像，用于颜料分析和病害诊断。当前阶段的采集效率达到每天约15-20平方米，色彩还原度ΔE&lt;3。 #### 4.8.2 三星堆遗址的数字化采集策略 三星堆遗址的数字化采集展示了考古遗址多技术融合采集的典型策略： **遗址级采集**：利用无人机倾斜摄影测量获取遗址整体的三维地形模型，地面激光扫描获取发掘区域的精细几何数据。两者融合生成厘米级精度的遗址数字孪生体。 **探方级采集**：每个探方在发掘过程中进行多阶段的3D扫描——每发掘一个文化层扫描一次，记录地层关系和遗迹分布的完整序列。这种"过程性数字化"保留了发掘过程的三维记录，对后续研究具有重要价值。 **器物级采集**：出土器物在第一时间进行3D扫描和多角度高清摄影，建立器物的数字档案。重要器物还进行CT扫描，记录器物内部结构(如铜尊内部的泥芯、象牙的内部断裂情况)。 **环境数据采集**：同步采集发掘现场的环境数据(温度、湿度、土壤含水率)，为后续保护提供环境基线数据。这些环境数据与器物数字化数据关联存储，支持病害分析和保护决策。 ### 4.9 数字化采集的国际比较与标准建设 #### 4.9.1 国际数字化采集标准体系 各国在文化遗产数字化采集标准建设方面形成了不同的体系： **英国标准体系**：英国文化遗产局(Historic England)发布的《3D激光扫描遗产应用指南》是全球最早的三维数字化采集标准之一。该标准详细规定了不同类型遗产(建筑、遗址、雕塑、小件器物)的扫描精度要求、数据格式和质量验收标准。 **美国标准体系**：美国联邦机构数字指南倡议(FADGI)制定了涵盖图像、音视频、电子文档等数字资源的统一指南。Smithsonian博物馆的数字化标准强调"以用途驱动精度"——不同用途(档案保存、学术研究、公众展示、3D打印)对精度的要求不同，应根据用途选择适当的采集参数。 **欧盟标准体系**：欧盟通过Europeana项目推动了成员国数字化标准的协调统一。Europeana数据交换协议(EDM)定义了统一的元数据模型，确保各机构数据可互操作。欧盟还资助了3D-ICONS等项目，制定3D文化遗产数字化的技术标准。 **中国标准体系**：中国文物数字化标准建设以国家文物局为主导，已发布多项行业标准(WW/T系列)。2023年发布的《文物数字化保护技术规范 通则》规定了文物数字化保护的基本要求、工作流程和质量控制标准。 #### 4.9.2 精度等级与应用场景的对应关系 基于国际标准和中国实践，可建立数字化采集精度等级与应用场景的对应关系： | 精度等级 | 几何精度 | 色彩精度 | 适用场景 | 典型应用 | |---------|---------|---------|---------|---------| | L1-超精密 | &lt;0.05mm | ΔE&lt;2 | 科学研究/精密测量 | 文物微痕分析、材质鉴定 | | L2-精密 | 0.05-0.5mm | ΔE&lt;3 | 档案保存/数字修复 | 高精度数字档案、虚拟修复 | | L3-标准 | 0.5-2mm | ΔE&lt;5 | 学术研究/教育展示 | 研究参考、教学课件 | | L4-展示 | 2-10mm | ΔE&lt;8 | 公众展示/网络浏览 | 在线展览、虚拟漫游 | | L5-概览 | &gt;10mm | 不要求 | 位置记录/空间管理 | 遗产普查、空间规划 | 这一分级体系为数字化项目的方案设计和资源配置提供了参考框架。在实际项目中，应根据文物的价值等级、保护需求和预算约束选择合适的精度等级，避免"一刀切"的过度采集或不足采集。 ### 4.10 多光谱与高光谱成像在文物分析中的应用 #### 4.10.1 技术原理与设备 多光谱成像(MSI)和高光谱成像(HSI)是文物非破坏性分析的重要技术手段： **多光谱成像**：在几个到十几个离散波段(通常包括可见光、近红外、紫外等)采集图像。典型设备如Modified DSLR相机配合带通滤光片，可获取8-12个波段的图像。MSI的优点是设备成本相对较低、操作简便，适合常规文物分析。 **高光谱成像**：在数百个连续波段采集图像，形成"图像立方体"(Image Cube)，每个像素都包含完整的光谱曲线。典型设备如推扫式高光谱相机(Specim IQ、Headwall Photonics)，可获取400-1000nm范围内数百个波段的数据。HSI的优点是光谱分辨率高，可精确识别材料的化学成分，缺点是设备昂贵、数据量大。 #### 4.10.2 文物分析应用案例 **壁画颜料分析**：不同颜料具有不同的光谱反射特征，通过高光谱成像可非破坏性地识别壁画使用的颜料种类。如敦煌研究院利用HSI技术对莫高窟壁画进行了系统性的颜料分析，识别出朱砂、石青、石绿、铅丹等10余种传统颜料，并发现了部分壁画中使用的罕见混合颜料。这些信息不仅有助于理解古代绘画技法，还为修复材料的选择提供了科学依据。 **底层素描揭示**：多光谱成像可"看穿"表面层，揭示画布上的底层素描或修改痕迹。如荷兰国家博物馆利用MSI对伦勃朗的《夜巡》进行扫描，发现了多处底层构图修改痕迹，揭示了画家的创作过程。 **文字增强与读取**：对于褪色、污损或被覆盖的文字，多光谱成像可通过选择特定波段增强文字与背景的对比度，使不可见文字变为可读。如利用红外成像成功读取了碳化赫库兰尼姆纸莎草卷上的文字，这些卷轴在公元79年维苏威火山喷发中被碳化，常规方法完全无法读取。 #### 4.10.3 数据处理与可视化 多光谱/高光谱数据的处理和分析需要专业的方法和工具： **数据预处理**：包括暗电流校正、白板校正(反射率标准化)、几何配准(确保不同波段图像的空间对齐)等步骤。预处理质量直接影响后续分析结果的可靠性。 **降维与特征提取**：高光谱数据维度高(数百个波段)，需要通过主成分分析(PCA)、最小噪声分离(MNF)等方法降维，提取最具区分力的特征波段。 **分类与识别**：利用光谱匹配(Spectral Angle Mapping, SAM)或机器学习(支持向量机、随机森林)方法，将每个像素的光谱曲线与已知颜料的光谱库进行比对，实现颜料种类的自动识别。 **可视化**：将分析结果以伪彩色图像的形式呈现，不同颜色代表不同的材料种类。还可生成光谱曲线图，直观展示不同区域的光谱特征差异。 ### 4.11 数字化采集的成本效益与资源配置 #### 4.11.1 采集成本模型 文物数字化采集的成本受多种因素影响，建立成本模型有助于项目预算和资源配置： **设备成本**：3D扫描仪(手持式5-50万元，固定式10-200万元)、高分辨率相机及镜头(5-30万元)、多光谱成像设备(20-100万元)、动作捕捉系统(光学式50-300万元，惯性式10-50万元)。设备可通过采购或租赁获取，租赁适合短期项目。 **人力成本**：数字化工程师(采集和处理)、文物保护专家(现场指导)、项目协调员(与文博机构沟通)。人力成本在总成本中占比通常为30%-50%，是项目预算的重要组成部分。 **时间成本**：不同类型文物的数字化耗时差异巨大。小型器物(如钱币、玉器)单件采集约0.5-2小时；中型器物(如陶瓷、青铜器)约2-8小时；大型复杂对象(如古建筑、石窟)需要数天至数月。时间成本直接影响项目的总预算。 **数据处理成本**：采集后的数据处理(点云去噪、网格重建、纹理映射、色彩校正等)通常占项目总时间的40%-60%。数据处理是质量决定性环节，不能压缩。 #### 4.11.2 优先级排序策略 面对海量待数字化文物和有限的资源，需要建立优先级排序策略： **价值导向优先**：优先数字化价值最高的文物——一级文物、具有独特历史或艺术价值的文物、面临劣化风险的文物。这一策略确保最重要的文物优先得到数字保护。 **需求导向优先**：优先数字化当前需求最迫切的文物——正在筹备展览的藏品、研究项目急需的资料、文旅开发需要的文化资源。这一策略确保数字化成果能及时发挥作用。 **效率导向优先**：优先数字化效率最高的文物——同类型批量文物(如同一批出土的陶器)可采用自动化流程批量处理，单位成本低。这一策略确保在有限预算内覆盖最多文物。 **风险导向优先**：优先数字化面临最大风险的文物——材质脆弱易损的文物、存放环境不佳的文物、频繁展出导致磨损的文物。这一策略确保最脆弱的文物在损坏前留下数字档案。 实际项目中，通常综合上述策略进行优先级排序。如"高风险+高价值"的文物应最高优先级，"低风险+低价值"的文物可暂缓数字化。 ### 4.12 数字化采集的伦理考量 数字化采集虽然以技术为核心，但也涉及重要的伦理问题： **文物安全伦理**：数字化采集过程可能对文物造成物理风险——3D扫描的激光可能对光敏感材料产生影响，接触式扫描可能造成物理磨损，运输和搬动文物增加了损坏风险。因此，采集方案应进行风险评估，优先选择非接触、非侵入式的采集技术，且采集过程须有文物保护专家在场监督。 **文化敏感性伦理**：某些文物具有文化敏感性(如宗教圣物、祖先遗骸、秘传物品)，对其数字化采集应征得相关社区或群体的知情同意，并尊重其关于数字化范围、数据使用和访问权限的文化规范。 **数据伦理**：数字化采集产生的大量数据需要妥善管理——谁有权访问原始数据？数据可以共享给哪些机构或个人？数据存储在哪个国家/地区？这些问题需要制定明确的数据管理政策，确保数据的合法、合规和合伦理使用。 **技术依赖伦理**：过度依赖数字化可能导致"数字替代"效应——管理者认为文物已有数字备份而放松对物理实体的保护。数字化不应成为减少物理保护投入的理由，而应作为物理保护的补充和增强。 ### 4.13 延伸阅读与实践建议 **延伸阅读**：建议阅读Historic England发布的《3D Laser Scanning for Heritage: Advice and Guidance》(2nd Edition)，了解英国遗产数字化采集的详细技术指南。同时推荐阅读CIPA Heritage Documentation的系列论文，了解建筑遗产摄影测量的国际标准和实践案例。 **实践建议**：本章涉及的数字化采集技术具有较强的实践性，建议配合实验课进行教学。可使用消费级3D扫描设备(如iPhone的LiDAR扫描、Insta360全景相机)让学生对校园建筑或小型器物进行数字化采集实践，体验从采集到处理再到展示的完整流程。同时，应安排学生参观当地的数字化采集实验室或文博机构的数字化部门，观摩专业级设备的操作过程。 **技术发展趋势**：值得关注的未来技术方向包括：(1)AI辅助的自动化采集——AI可自动识别文物的最佳采集角度和参数，减少人工试错；(2)便携式高精度扫描——手持设备的精度不断提升，未来可能在更多场景替代固定式设备；(3)实时处理与展示——采集与处理同步进行，采集完成后立即可见3D模型，大幅提升工作效率。 ### 4.14 数字化采集的质量验收标准 建立系统化的质量验收标准是确保数字化成果可用性的关键： **几何质量验收**：(1)完整性——点云覆盖率不低于95%，无明显遮挡区域；(2)精度——与参考标准的偏差不超过规定阈值(如L2级精度要求偏差≤0.5mm)；(3)拓扑正确性——网格模型无流形错误、无自相交、无孔洞(关键区域)。 **纹理质量验收**：(1)分辨率——纹理图像分辨率不低于规定值(如L2级要求≥300 DPI)；(2)色彩准确性——与标准色卡的色差ΔE不超过规定值；(3)纹理映射质量——纹理与几何对齐准确，无明显错位和拉伸。 **元数据完整性验收**：检查元数据必填字段是否齐全、内容是否准确、格式是否规范。元数据应至少包含：文物标识信息(名称、编号、分类)、采集技术信息(设备型号、参数、软件版本)、质量信息(精度等级、验收结果)和人员信息(采集人员、验收人员、日期)。 **验收流程**：采集方提交验收材料(数字成果+元数据+自检报告)→验收方进行技术检测(自动检测+人工抽检)→出具验收报告(合格/有条件合格/不合格)→不合格项目返工。验收报告应归档保存，作为数字成果质量的正式凭证。 ### 4.15 新兴采集技术展望 值得关注的新兴数字化采集技术包括：(1)量子成像技术——利用量子纠缠原理实现超低光照条件下的高信噪比成像，特别适合对光极度敏感的文物；(2)太赫兹成像——太赫兹波可穿透非金属材料，实现涂层下层的无损检测，如发现油画下的底层绘画或壁画下的草稿；(3)AI辅助的众包采集——利用普通智能手机进行文物3D扫描，通过AI算法将多用户拍摄的图像融合为高质量3D模型，大幅降低采集成本。这些技术虽尚处于实验室阶段，但有望在未来5-10年内进入实用阶段，为文化遗产数字化采集带来新的可能性。 此外，数字化采集技术的发展还需要与文物保护需求密切配合。技术选型不应追求最高精度或最新设备，而应根据文物的具体特征、保护需求和使用场景选择最合适的技术方案。在实际工作中，经常需要在精度、效率、成本和文物安全之间寻找平衡点。建议各文博机构建立完善的数字化采集管理制度，明确技术标准、操作规范和质量验收流程，确保数字化成果的规范性和可用性。同时应加强人员培训，提升其技术能力和文物保护意识。 在数字化采集的实践教学中，建议安排学生参观文博机构的数字化实验室，观摩专业级3D扫描仪、多光谱成像系统等设备的实际操作。同时鼓励学生使用消费级设备进行实践，如使用手机LiDAR进行小型器物3D扫描，使用360度相机采集全景图像。通过对比消费级和专业级设备的采集效果，学生能更深入理解精度、效率与成本之间的权衡关系。 数字化采集的质量管理是一个系统工程，需要在制度设计、技术标准和人员培训三个层面同步推进。 综上所述，数字化采集技术是文化遗产数字化保护的基础性环节，其质量直接决定了后续典藏、呈现和活化利用的效果。从业者应秉持科学严谨的态度，在保障文物安全的前提下追求最高质量的数字化成果。 ## 参考文献</w:t>
      </w:r>
    </w:p>
    <w:p>
      <w:pPr>
        <w:spacing w:line="360" w:lineRule="auto" w:after="60"/>
        <w:ind w:firstLine="480"/>
      </w:pPr>
      <w:r>
        <w:rPr>
          <w:rFonts w:ascii="Microsoft YaHei" w:hAnsi="Microsoft YaHei" w:eastAsia="Microsoft YaHei"/>
          <w:sz w:val="24"/>
        </w:rPr>
        <w:t>1. Caciora T, Jubran A, Ilies D C, et al.. Digitization of the Built Cultural Heritage: An Integrated Methodology for Preservation and Accessibilization of an Art Nouveau Museum. Remote Sensing, 2023, 15(24): 5763. DOI: 10.3390/rs15245763.</w:t>
      </w:r>
    </w:p>
    <w:p>
      <w:pPr>
        <w:spacing w:line="360" w:lineRule="auto" w:after="60"/>
        <w:ind w:firstLine="480"/>
      </w:pPr>
      <w:r>
        <w:rPr>
          <w:rFonts w:ascii="Microsoft YaHei" w:hAnsi="Microsoft YaHei" w:eastAsia="Microsoft YaHei"/>
          <w:sz w:val="24"/>
        </w:rPr>
        <w:t>2. Espina-Romero L, Guerrero-Alcedo J. Fields Touched by Digitalization: Analysis of Scientific Activity in Scopus. Sustainability, 2022, 14(21): 14425. DOI: 10.3390/su142114425.</w:t>
      </w:r>
    </w:p>
    <w:p>
      <w:pPr>
        <w:spacing w:line="360" w:lineRule="auto" w:after="60"/>
        <w:ind w:firstLine="480"/>
      </w:pPr>
      <w:r>
        <w:rPr>
          <w:rFonts w:ascii="Microsoft YaHei" w:hAnsi="Microsoft YaHei" w:eastAsia="Microsoft YaHei"/>
          <w:sz w:val="24"/>
        </w:rPr>
        <w:t>3. Cheng H M, Yen Y, Yang W B. Digital Archiving in Cultural Heritage Preservation. Semantic Scholar, 2009.</w:t>
      </w:r>
    </w:p>
    <w:p>
      <w:pPr>
        <w:spacing w:line="360" w:lineRule="auto" w:after="60"/>
        <w:ind w:firstLine="480"/>
      </w:pPr>
      <w:r>
        <w:rPr>
          <w:rFonts w:ascii="Microsoft YaHei" w:hAnsi="Microsoft YaHei" w:eastAsia="Microsoft YaHei"/>
          <w:sz w:val="24"/>
        </w:rPr>
        <w:t>4. Graham C A. Applications of digitization to museum collections management, research and accessibility. Semantic Scholar, 2012.</w:t>
      </w:r>
    </w:p>
    <w:p>
      <w:pPr>
        <w:spacing w:line="360" w:lineRule="auto" w:after="60"/>
        <w:ind w:firstLine="480"/>
      </w:pPr>
      <w:r>
        <w:rPr>
          <w:rFonts w:ascii="Microsoft YaHei" w:hAnsi="Microsoft YaHei" w:eastAsia="Microsoft YaHei"/>
          <w:sz w:val="24"/>
        </w:rPr>
        <w:t>5. Wachowiak M J, Karas B V. 3D Scanning and Replication for Museum and Cultural Heritage Applications. Journal of the American Institute for Conservation, 2009, 48(2): 141-162. DOI: 10.1179/019713609804516992.</w:t>
      </w:r>
    </w:p>
    <w:p>
      <w:pPr>
        <w:spacing w:line="360" w:lineRule="auto" w:after="60"/>
        <w:ind w:firstLine="480"/>
      </w:pPr>
      <w:r>
        <w:rPr>
          <w:rFonts w:ascii="Microsoft YaHei" w:hAnsi="Microsoft YaHei" w:eastAsia="Microsoft YaHei"/>
          <w:sz w:val="24"/>
        </w:rPr>
        <w:t>6. 丁翔, 龙佳媛, 向泽冬, 等. 基于三维激光扫描与HTML5技术的武当文化数字博物馆的研究. 维普网.</w:t>
      </w:r>
    </w:p>
    <w:p>
      <w:pPr>
        <w:spacing w:line="360" w:lineRule="auto" w:after="60"/>
        <w:ind w:firstLine="480"/>
      </w:pPr>
      <w:r>
        <w:rPr>
          <w:rFonts w:ascii="Microsoft YaHei" w:hAnsi="Microsoft YaHei" w:eastAsia="Microsoft YaHei"/>
          <w:sz w:val="24"/>
        </w:rPr>
        <w:t>7. 欧阳宏. 故宫院藏文物的三维数据采集与应用. 万方数据.</w:t>
      </w:r>
    </w:p>
    <w:p>
      <w:pPr>
        <w:spacing w:line="360" w:lineRule="auto" w:after="60"/>
        <w:ind w:firstLine="480"/>
      </w:pPr>
      <w:r>
        <w:rPr>
          <w:rFonts w:ascii="Microsoft YaHei" w:hAnsi="Microsoft YaHei" w:eastAsia="Microsoft YaHei"/>
          <w:sz w:val="24"/>
        </w:rPr>
        <w:t>8. Montusiewicz J, Barszcz M, Korga S. Preparation of 3D Models of Cultural Heritage Objects to Be Recognised by Touch by the Blind—Case Studies. Applied Sciences, 2022, 12(23): 11910. DOI: 10.3390/app122311910.</w:t>
      </w:r>
    </w:p>
    <w:p>
      <w:pPr>
        <w:spacing w:line="360" w:lineRule="auto" w:after="60"/>
        <w:ind w:firstLine="480"/>
      </w:pPr>
      <w:r>
        <w:rPr>
          <w:rFonts w:ascii="Microsoft YaHei" w:hAnsi="Microsoft YaHei" w:eastAsia="Microsoft YaHei"/>
          <w:sz w:val="24"/>
        </w:rPr>
        <w:t>9. Younan S. Poaching Museum Collections using Digital 3D Technologies. CITAR Journal, 2015, 7(2). DOI: 10.7559/CITARJ.V7I2.152.</w:t>
      </w:r>
    </w:p>
    <w:p>
      <w:pPr>
        <w:spacing w:line="360" w:lineRule="auto" w:after="60"/>
        <w:ind w:firstLine="480"/>
      </w:pPr>
      <w:r>
        <w:rPr>
          <w:rFonts w:ascii="Microsoft YaHei" w:hAnsi="Microsoft YaHei" w:eastAsia="Microsoft YaHei"/>
          <w:sz w:val="24"/>
        </w:rPr>
        <w:t>10. Barszcz M, Dziedzic K, Skublewska-Paszkowska M, et al.. 3D scanning digital models for virtual museums. Computer Animation and Virtual Worlds, 2023, 34(1). DOI: 10.1002/cav.2154.</w:t>
      </w:r>
    </w:p>
    <w:p>
      <w:pPr>
        <w:spacing w:line="360" w:lineRule="auto" w:after="60"/>
        <w:ind w:firstLine="480"/>
      </w:pPr>
      <w:r>
        <w:rPr>
          <w:rFonts w:ascii="Microsoft YaHei" w:hAnsi="Microsoft YaHei" w:eastAsia="Microsoft YaHei"/>
          <w:sz w:val="24"/>
        </w:rPr>
        <w:t>11. 赵迎龙. 浅析三维扫描技术的应用与思考——以辽代白釉穿带瓶为例. 维普网.</w:t>
      </w:r>
    </w:p>
    <w:p>
      <w:pPr>
        <w:spacing w:line="360" w:lineRule="auto" w:after="60"/>
        <w:ind w:firstLine="480"/>
      </w:pPr>
      <w:r>
        <w:rPr>
          <w:rFonts w:ascii="Microsoft YaHei" w:hAnsi="Microsoft YaHei" w:eastAsia="Microsoft YaHei"/>
          <w:sz w:val="24"/>
        </w:rPr>
        <w:t>12. 邵壮. 馆藏文物三维数字化探究——以中国国家博物馆为例. 万方数据.</w:t>
      </w:r>
    </w:p>
    <w:p>
      <w:pPr>
        <w:spacing w:line="360" w:lineRule="auto" w:after="60"/>
        <w:ind w:firstLine="480"/>
      </w:pPr>
      <w:r>
        <w:rPr>
          <w:rFonts w:ascii="Microsoft YaHei" w:hAnsi="Microsoft YaHei" w:eastAsia="Microsoft YaHei"/>
          <w:sz w:val="24"/>
        </w:rPr>
        <w:t>13. He J, Jia Q. Opti3D for low light enhancement and calibration free 3D digitization of cultural relics. Heritage Science, 2025, 13. DOI: 10.1038/s40494-025-01944-z.</w:t>
      </w:r>
    </w:p>
    <w:p>
      <w:pPr>
        <w:spacing w:line="360" w:lineRule="auto" w:after="60"/>
        <w:ind w:firstLine="480"/>
      </w:pPr>
      <w:r>
        <w:rPr>
          <w:rFonts w:ascii="Microsoft YaHei" w:hAnsi="Microsoft YaHei" w:eastAsia="Microsoft YaHei"/>
          <w:sz w:val="24"/>
        </w:rPr>
        <w:t>14. Dai Y, Yu X. Research on 3D reconstruction and digital protection of woodcarving works based on the combination of U-Net model and 6G network. SN Applied Sciences, 2024, 6. DOI: 10.1007/s42452-024-06406-y.</w:t>
      </w:r>
    </w:p>
    <w:p>
      <w:pPr>
        <w:spacing w:line="360" w:lineRule="auto" w:after="60"/>
        <w:ind w:firstLine="480"/>
      </w:pPr>
      <w:r>
        <w:rPr>
          <w:rFonts w:ascii="Microsoft YaHei" w:hAnsi="Microsoft YaHei" w:eastAsia="Microsoft YaHei"/>
          <w:sz w:val="24"/>
        </w:rPr>
        <w:t>15. Alfqheri T, Nasri S A E M, Sadka A H. 3D Holoscopic Imaging for Cultural Heritage Digitalisation. arXiv, 2018. DOI: arXiv:1810.03916.</w:t>
      </w:r>
    </w:p>
    <w:p>
      <w:pPr>
        <w:spacing w:line="360" w:lineRule="auto" w:after="60"/>
        <w:ind w:firstLine="480"/>
      </w:pPr>
      <w:r>
        <w:rPr>
          <w:rFonts w:ascii="Microsoft YaHei" w:hAnsi="Microsoft YaHei" w:eastAsia="Microsoft YaHei"/>
          <w:sz w:val="24"/>
        </w:rPr>
        <w:t>16. 朱黎, 胡涛, 郑明辉. 基于点云和高清影像数据的文化遗产多分辨率三维重建. 万方数据.</w:t>
      </w:r>
    </w:p>
    <w:p>
      <w:pPr>
        <w:spacing w:line="360" w:lineRule="auto" w:after="60"/>
        <w:ind w:firstLine="480"/>
      </w:pPr>
      <w:r>
        <w:rPr>
          <w:rFonts w:ascii="Microsoft YaHei" w:hAnsi="Microsoft YaHei" w:eastAsia="Microsoft YaHei"/>
          <w:sz w:val="24"/>
        </w:rPr>
        <w:t>17. Bentkowska-Kafel A, Macdonald L. Digital Techniques for Documenting and Preserving Cultural Heritage. British Academy, 2018. DOI: 10.2307/j.ctt1xp3w16.</w:t>
      </w:r>
    </w:p>
    <w:p>
      <w:pPr>
        <w:spacing w:line="360" w:lineRule="auto" w:after="60"/>
        <w:ind w:firstLine="480"/>
      </w:pPr>
      <w:r>
        <w:rPr>
          <w:rFonts w:ascii="Microsoft YaHei" w:hAnsi="Microsoft YaHei" w:eastAsia="Microsoft YaHei"/>
          <w:sz w:val="24"/>
        </w:rPr>
        <w:t>18. 中国甲午战争博物院. 博物馆文物数字化保护与管理措施研究. 万方数据.</w:t>
      </w:r>
    </w:p>
    <w:p>
      <w:r>
        <w:br w:type="page"/>
      </w:r>
    </w:p>
    <w:p>
      <w:pPr>
        <w:pStyle w:val="Heading2"/>
      </w:pPr>
      <w:r>
        <w:rPr>
          <w:rFonts w:ascii="Microsoft YaHei" w:hAnsi="Microsoft YaHei" w:eastAsia="Microsoft YaHei"/>
          <w:color w:val="264653"/>
        </w:rPr>
        <w:t>学习目标 1. **识记**：三维重建的核心流程(点云处理→网格重建→纹理映射)和数字典藏库的架构组件 2. **理解**：知识图谱在文化遗产语义关联中的作用机制与构建方法 3. **应用**：运用OAIS模型设计一个数字典藏系统的保存策略 4. **分析**：比较Europeana、数字敦煌和中国国家博物馆三个数字典藏平台的技术架构与服务模式 5. **评价**：评估当前文化遗产知识图谱构建的技术成熟度与应用瓶颈 6. **创造**：设计一个面向地方非遗的数字典藏平台功能架构 ## 导入案例：故宫博物院古建筑与藏品三维数据采集与应用 故宫博物院拥有186万余件(套)藏品和占地72万平方米的古建筑群。十多年来，故宫博物院使用三维数字技术，采集、加工了大量古建筑和藏品文物的高精度三维数据，利用数字呈现技术立体再现文化遗产的原貌。故宫的数字典藏系统不仅服务于文物保护和学术研究，还支撑了"数字文物库""数字多宝阁""全景故宫"等一系列面向公众的数字化产品，形成了从典藏到展示到传播的完整链条。 ### 5.1 三维重建技术 #### 5.1.1 点云数据处理 点云数据处理是三维重建的第一步，主要包括配准、去噪、抽样和补洞四个环节。**配准**(Registration)是将多站扫描获取的点云数据统一到同一坐标系下的过程，常用的算法包括ICP(Iterative Closest Point)算法及其变体。**去噪**(Denoising)是去除点云中由环境干扰或设备误差导致的异常点。**抽样**(Sampling)是在保证模型精度的前提下减少点云数据量，提高后续处理效率。**补洞**(Hole Filling)是根据周边点云数据推断缺失区域的三维形貌。 朱黎等人在研究文化遗产多分辨率三维重建时，提出了一种基于点云和高清影像数据的融合方法，实现了文物模型和遗址模型的融合展示，在世界文化遗产唐崖土司城遗址的虚拟展示中取得了良好效果。 #### 5.1.2 网格重建与纹理映射 **网格重建**(Mesh Reconstruction)是将点云数据转换为连续的三角网格模型的过程。常用算法包括Delaunay三角化、Poisson重建和隐式曲面重建等。网格重建需要兼顾模型精度和网格质量(三角形形状规整、分布均匀)。 **纹理映射**(Texture Mapping)是将高清照片的纹理信息映射到三维网格模型表面的过程。高质量的纹理映射需要解决相机标定、影像配准、色彩管理和接缝处理等技术问题。Barszcz等人在研究虚拟博物馆三维扫描数字模型时指出，纹理质量直接影响三维模型的视觉效果和应用价值。 #### 5.1.3 多分辨率模型融合 对于大型文化遗产(如古建筑群、考古遗址)，不同区域可能需要不同精度的三维模型。多分辨率模型融合技术通过LOD(Level of Detail)策略，在近景时加载高精度模型，远景时加载低精度模型，实现渲染效率与视觉质量的平衡。 He和Jia在研究文物3D数字化时提出了Opti3D方法，解决了低光照环境下的三维数字化和免校准问题，为文化遗产的灵活数字化提供了新技术路径。 ### 5.2 数字典藏库构建 #### 5.2.1 数字典藏库架构设计 文物数字典藏库的典型架构包括以下层次：**数据层**(存储三维模型、图像、音视频、元数据等)、**服务层**(提供检索、浏览、下载、API等数据服务)、**应用层**(数字博物馆、虚拟展览、学术研究等应用)、**安全层**(权限管理、数据加密、日志审计)。 #### 5.2.2 元数据标准与管理 元数据管理是数字典藏库的核心功能。文物数字典藏通常采用多标准融合的元数据策略：使用Dublin Core进行基础描述，使用LIDO进行专业藏品管理，使用CIDOC CRM进行语义关联。中国甲午战争博物院在研究博物馆文物数字化保护与管理时指出，元数据管理的规范化是数字化保护工作可持续发展的基础。 #### 5.2.3 数据库技术选型 文物数字典藏的数据库选型需要考虑数据类型多样性(关系型数据+三维模型+多媒体文件)、查询复杂性和扩展性。传统关系型数据库(如PostgreSQL)适用于元数据管理，对象存储系统适用于大文件存储，图数据库(如Neo4j)适用于知识图谱的语义查询。 ### 5.3 知识图谱与语义关联 #### 5.3.1 文化遗产知识图谱构建方法 知识图谱是文化遗产数字典藏向智慧化发展的关键技术。任明和贾君枝在研究数字人文领域知识图谱构建时，提出了基于协作智能的PDC工作模式，分析了人与AI在知识图谱构建中的分工协作，指出协作智能逐渐由人类主导转向AI主导。De Boer进一步探讨了知识图谱在文化遗产和数字人文中的应用，指出知识图谱能够支持遗产数据的语义检索、可视化分析和机器推理。 #### 5.3.2 实体识别与关系抽取 文化遗产知识图谱的构建需要解决实体识别(识别人物、地点、时间、事件、文物等实体)和关系抽取(识别实体间的语义关系，如"创作于""出土于""属于"等)两个核心任务。Fiorucci等人在对文化遗产机器学习的综述中指出，机器学习在文物图像识别与分类、实体识别与关系抽取等方面已展现出显著成效。 #### 5.3.3 语义检索与推理 知识图谱使文化遗产数据从"关键词检索"升级为"语义检索"——用户可以基于概念关系进行查询，如"查找所有明代景德镇窑口的青花瓷器"。Lee提出的"Collections as ML Data"检查清单为文化遗产数据的机器学习应用提供了标准化框架。 ### 5.4 数字典藏的长期保存 #### 5.4.1 数字保存策略(OAIS模型) OAIS模型定义了数字保存的完整功能架构，包括摄入、存储、管理、保存规划和访问五个模块。Shimray和Ramaiah指出，版权和相关权利是文化遗产数字保存的主要法律障碍，数字保存策略的制定需要综合考虑技术、法律和管理三个维度。 #### 5.4.2 数据迁移与格式转换 随着文件格式和技术标准的演进，数字典藏数据需要定期进行格式迁移以确保长期可读性。格式迁移需要遵循"重要属性保持"原则——确保迁移过程不丢失数字对象的核心特征。 #### 5.4.3 灾备与容灾体系 数字典藏的灾备体系应包括本地备份、异地备份和云端备份三重保障。Telek等人在研究3D数字重建的存档时强调，多机构协作的灾备策略能够显著提高文化遗产数字资产的安全性。 ### 5.5 典型数字典藏平台分析 #### 5.5.1 Europeana欧洲数字图书馆 Europeana是欧洲文化遗产数字平台，整合了来自4000余家文化机构的5800万件数字资源。Borin和Donato在研究Europeana的财务可持续性时指出，Europeana的运营模式依赖欧盟委员会的公共资金支持，正面临着从公共资助向混合收入模式转型的挑战。 #### 5.5.2 数字敦煌资源库 数字敦煌资源库是全球最大的石窟壁画数字资源库，其技术架构以高分辨率图像存储和WebGL渲染为核心，支持全球用户免费浏览和学术研究使用。陈振旺和樊锦诗在分析敦煌数字化实践时指出，文化科技融合是文化遗产保护的重要路径。 #### 5.5.3 中国国家博物馆数字典藏系统 中国国家博物馆的数字典藏系统以三维数字化为核心，建立了馆藏文物的三维数字档案，支撑"智慧国博"建设。 ## 知识卡片 **知识卡片5-1：知识图谱构建流程** 1. 本体设计(定义概念体系和关系类型) 2. 数据采集(从结构化/非结构化数据源获取信息) 3. 实体识别(识别人物、地点、文物等实体) 4. 关系抽取(识别实体间的语义关系) 5. 知识融合(消除冲突、去重对齐) 6. 质量评估(完整性、一致性、准确性检查) 7. 知识推理(基于规则推导隐含关系) **知识卡片5-2：LOD(Level of Detail)策略** | 层级 | 三角面数 | 适用场景 | |------|---------|---------| | LOD0 | 500万+ | 近景精细展示 | | LOD1 | 50-100万 | 中景常规展示 | | LOD2 | 5-10万 | 远景概览 | | LOD3 | &lt;1万 | 缩略图/导航 | ## 本章小结 本章系统论述了三维重建与数字典藏体系，对应G.U.A.R.D.框架的A维度。首先介绍了点云处理、网格重建、纹理映射和多分辨率融合的三维重建技术流程；然后阐述了数字典藏库的架构设计、元数据管理和数据库选型；接着重点分析了知识图谱在文化遗产语义关联中的构建方法和应用价值；之后从OAIS模型、数据迁移和灾备体系三个方面讨论了长期保存策略；最后通过Europeana、数字敦煌和国博三个典型案例分析了数字典藏平台的实践模式。 ## 思考题 1. **(识记)** 点云数据处理的四个核心环节是什么？ 2. **(理解)** 解释知识图谱如何将文化遗产数据从"关键词检索"升级为"语义检索"。 3. **(应用)** 运用OAIS模型分析"数字敦煌"资源库的保存策略。 4. **(分析)** 比较Europeana和数字敦煌在数据来源、技术架构和服务模式上的差异。 5. **(评价)** 评估协作智能(人+AI)在文化遗产知识图谱构建中的优势与风险。 6. **(创造)** 为一个省级非遗中心设计数字典藏平台的功能架构，包含知识图谱模块。 ### 5.6 知识图谱在文化遗产中的深度应用 #### 5.6.1 文化遗产知识图谱的构建挑战 文化遗产知识图谱的构建面临着独特的挑战。**数据异构性**——文化遗产数据来源多样，包括结构化数据(数据库记录)、半结构化数据(XML、HTML)和非结构化数据(文本、图像、三维模型)，如何将这些异构数据统一表示为知识图谱是技术难题。**领域复杂性**——文化遗产领域的概念关系极其复杂，一件文物可能同时涉及年代、材质、工艺、出土地、收藏机构、文献记载等多个维度，本体设计需要覆盖这些多维关系。**多语言性**——文化遗产信息往往涉及多种语言(中文、英文、法文等)，跨语言的实体对齐和关系抽取需要专门的NLP技术。 任明和贾君枝在研究数字人文领域知识图谱构建时提出了PDC(Plan-Do-Check)工作模式，强调人机协作在知识图谱构建中的重要性。在该模式中，人类专家负责本体设计、质量审核和复杂关系判断，AI负责大规模数据的自动处理和初步知识提取。随着AI能力的提升，协作智能逐渐由人类主导向AI主导转变，但人类在价值判断和文化理解方面的作用不可替代。 #### 5.6.2 知识图谱的典型应用场景 文化遗产知识图谱的典型应用场景包括：**语义检索**——用户可以基于概念关系进行查询，如"查找所有明代景德镇窑口的青花瓷器中纹饰包含龙纹的藏品"；**关联发现**——自动发现文物之间的隐含关联，如同一工匠制作的不同藏品；**知识推理**——基于已有知识推导新知识，如根据墓葬出土文物的组合推断墓葬等级；**可视化分析**——以网络图、时间线、地图等多种形式可视化呈现文化遗产知识网络。 De Boer在研究文化遗产知识图谱时指出，将遗产数据表示为知识图谱不仅支持语义检索和可视化分析，还能为机器学习和知识发现提供结构化数据基础。Lee提出的"Collections as ML Data"检查清单为文化遗产数据的机器学习应用提供了标准化框架，使知识图谱与机器学习形成良性互动。 #### 5.6.3 知识图谱的评估与维护 知识图谱的质量评估包括：**完整性**(覆盖了多少实体和关系)、**准确性**(实体和关系是否正确)、**一致性**(是否存在矛盾信息)和**时效性**(知识是否最新)。知识图谱的维护需要建立更新机制，定期补充新发现的实体和关系，修正错误信息。 ### 5.7 数字典藏平台的架构演进 #### 5.7.1 从单体架构到微服务架构 传统数字典藏系统多采用单体架构，所有功能模块集中在一个应用中。随着数据规模和用户需求的增长，单体架构的局限性日益显现——系统扩展困难、维护成本高、技术栈受限。微服务架构将系统拆分为独立部署的小型服务(如采集服务、处理服务、检索服务、展示服务)，每个服务可以独立扩展和更新，更适合大规模数字典藏平台。 #### 5.7.2 云原生与容器化 云原生技术和容器化部署正在改变数字典藏平台的架构方式。通过Docker容器和Kubernetes编排，数字典藏平台可以实现弹性扩展、自动恢复和灰度发布。云端存储(如对象存储S3)为海量文化遗产数字资产提供了经济可靠的存储方案。 #### 5.7.3 数据中台与智能服务 数据中台理念为数字典藏平台提供了新的架构思路。通过构建统一的数据中台，将采集、处理、存储、分析和服务全链路打通，实现数据资产的统一管理和复用。在数据中台基础上，AI驱动的智能服务(如智能检索、个性化推荐、自动标引)可以快速迭代部署。 ### 5.8 数字典藏的安全与隐私 #### 5.8.1 数据安全风险 文化遗产数字资产面临的数据安全风险包括：**数据泄露**——未授权访问导致敏感数据外泄；**数据篡改**——恶意修改数字资产内容；**数据丢失**——硬件故障或自然灾害导致数据永久丢失；**数据滥用**——数字资产被用于未经授权的商业用途。中国甲午战争博物院在研究博物馆文物数字化保护与管理时指出，数据安全是数字化保护工作的重要组成部分。 #### 5.8.2 安全防护体系 数字典藏的安全防护体系应包括：**物理安全**(机房安全、设备安全)、**网络安全**(防火墙、入侵检测、VPN)、**应用安全**(身份认证、权限管理、日志审计)和**数据安全**(加密存储、加密传输、备份恢复)。Telek等人提出的3D数字重建存档的协作方法强调了多机构协作的灾备策略对提高文化遗产数字资产安全性的重要作用。 #### 5.8.3 区块链在数字典藏中的应用前景 区块链技术的去中心化、不可篡改和可追溯特性使其在数字典藏领域具有广阔应用前景。应用场景包括：**数字资产确权**——将文物的数字化成果上链，建立不可篡改的权属记录；**数据溯源**——记录数字资产从采集到使用的完整链条；**智能合约**——基于智能合约自动执行版权许可和利益分配。2025年的研究探讨了区块链在武术非遗动作数据确权中的应用，为非遗数字资产确权提供了新思路。 ### 5.9 数字典藏平台的典型案例深度分析 #### 5.9.1 Europeana：跨国数字典藏的标杆 Europeana是欧洲文化遗产数字平台，整合了来自4000余家文化机构的5800万件数字资源。Europeana的技术架构以Europeana Data Model(EDM)为核心，EDM基于CIDOC CRM和ORE(Object Reuse and Exchange)标准，能够统一整合来自不同成员国、不同类型机构(博物馆、图书馆、档案馆)的异构数据。 Borin和Donato在研究Europeana的财务可持续性时指出，Europeana的运营模式依赖欧盟委员会的公共资金支持，年度预算约3000万欧元，正面临着从公共资助向混合收入模式转型的挑战。Europeana正在探索的可持续性策略包括：多元化收入来源(会员费、API授权、定制服务)、降低运营成本(技术优化、志愿者参与)和增强社会价值(教育服务、文化外交)。 #### 5.9.2 数字敦煌：专题数字典藏的典范 数字敦煌资源库是全球最大的石窟壁画数字资源库，其技术架构以高分辨率图像存储和WebGL渲染为核心。截至2024年，已完成290个洞窟的数字化采集，累计数据量超过300TB。数字敦煌的创新在于：一是建立了壁画数字化的标准作业流程(SOP)，确保了不同洞窟数字化成果的一致性；二是开发了基于WebGL的在线浏览平台，使用户无需安装插件即可在浏览器中高清浏览壁画；三是向全球免费开放，体现了开放获取的理念。 陈振旺和樊锦诗从文化科技融合的视角分析了敦煌数字化实践，指出文化科技融合是遗产保护的重要路径，需要将技术创新与文化理解深度融合。这一经验对其他文化遗产数字化项目具有重要借鉴价值。 #### 5.9.3 故宫数字文物库：大规模馆藏数字化的实践 故宫数字文物库是中国规模最大的馆藏文物数字平台，收录了超过78万件文物的基础数字信息和高清图像。故宫的实践特色在于：一是数字化与藏品管理的深度整合——数字典藏系统与藏品管理系统无缝对接，数字化成果直接服务于日常藏品管理；二是分层次数字化——根据文物的价值和保存状况，采用不同精度的数字化方案，在有限资源下最大化覆盖面；三是面向不同用户群体的差异化服务——为学者提供深度检索和高清下载，为公众提供浏览和分享功能。 ### 5.10 数字典藏的长期保存策略 #### 5.10.1 数字保存的风险与挑战 数字典藏面临多种长期保存风险：**介质老化**(硬盘、磁带等存储介质的物理寿命有限)；**格式过时**(文件格式随技术演进而被淘汰)；**软件依赖**(数字对象的读取和处理依赖特定软件环境)；**硬件依赖**(读取数字对象的硬件设备可能不再可用)；**元数据丢失**(描述数字对象的元数据如果不随数字对象一起保存，数字对象可能变得无法理解)。 Shimray和Ramaiah指出，版权和相关权利是文化遗产数字保存的主要法律障碍。Lor和Britz从伦理视角分析了数字遗产长期保存中的政治经济问题，强调数字保存不仅是技术问题，更是社会和伦理问题。 #### 5.10.2 OAIS参考模型的实践应用 OAIS参考模型定义了数字保存的完整功能架构，包括摄入(Ingest)、存储(Storage)、管理(Administration)、保存规划(Preservation Planning)和访问(Access)五个模块。在数字典藏实践中，OAIS模型的具体应用包括：制定提交协议(明确数据提交者的责任和数据格式要求)、建立档案信息包(AIP，包含数字对象及其保存描述信息)、定期执行保存规划(评估格式风险并制定迁移策略)、提供分发信息包(DIP，面向用户的访问格式)。 #### 5.10.3 数据迁移与仿真 数据迁移(Format Migration)和仿真(Emulation)是应对格式过时的两种主要策略。数据迁移将过时格式的数字对象转换为当前格式，优点是用户可以直接使用，缺点是迁移过程可能丢失信息。仿真通过软件模拟旧环境来运行过时的数据格式，优点是保持原始体验，缺点是开发和维护仿真器成本高昂。对于文化遗产数字典藏，通常采用数据迁移策略，同时保留原始格式副本以备将来需要。 ### 5.11 数字典藏的评价与认证 #### 5.11.1 评价指标体系 数字典藏平台的评价应从以下维度进行：**数据规模**(数字资源数量、覆盖面)、**数据质量**(精度、完整性、准确性)、**标准化程度**(元数据标准采用情况、数据互操作性)、**服务质量**(检索效率、响应速度、用户满意度)、**可持续性**(资金保障、技术更新、组织稳定性)和**影响力**(学术引用、公众访问、社会影响)。 洪闯和李中明基于可拓云模型对文化遗产数字化平台信息服务质量进行了评价研究，以"云游敦煌"和"数字故宫"为实证案例，从还原文化遗产细节、提升用户满意度、响应用户诉求、重视移动端体验四个方面提出了优化建议。这一研究为数字典藏平台的评价提供了方法论参考。 #### 5.11.2 认证体系 建立数字典藏认证体系有助于推动行业标准化发展。认证可以包括：**技术认证**(数字化技术参数是否符合标准)、**流程认证**(工作流程是否规范)、**数据认证**(数据质量和元数据完整性是否达标)和**服务认证**(用户服务是否满足要求)。认证应由独立的第三方机构执行，定期复检。 ### 5.6 三维重建技术的前沿进展与文化遗产应用 #### 5.6.1 神经辐射场与3D高斯泼溅技术 2023年以来，神经辐射场(Neural Radiance Fields, NeRF)和3D高斯泼溅(3D Gaussian Splatting, 3DGS)技术为文化遗产三维重建带来了革命性变化。与传统摄影测量和激光扫描相比，这两种基于AI的技术具有显著优势： **NeRF技术**通过多层感知机(MLP)隐式表示三维场景的辐射场，从多视角照片中学习场景的几何和外观信息。在文化遗产应用中，NeRF的优势体现在：(1)对反光、半透明等传统方法难以处理的材质有更好表现，如陶瓷釉面、玻璃器皿等文物的数字化；(2)生成的模型具有视角连续性，不存在传统网格模型的拼接缝问题；(3)模型文件更紧凑，便于网络传输和在线展示。如Yu等将NeRF应用于漆器的三维重建，成功复原了漆器表面的复杂光泽变化。 **3DGS技术**以3D高斯基元显式表示场景，兼顾了NeRF的高质量和传统网格方法的实时渲染性能。其训练速度比NeRF快约10倍，渲染速度可达100 FPS以上，为文化遗产的实时交互展示提供了可能。如斯坦福大学将3DGS应用于斯坦福雕塑库的重建，实现了在网页端实时浏览高质量3D雕塑模型。 然而，这两项技术在文化遗产领域也面临挑战：(1)对拍摄条件要求较高，需要充足且均匀的光照；(2)对大规模场景(如整个建筑群)的重建效率仍需优化；(3)生成的模型精度(绝对精度通常在毫米级)尚不能完全替代激光扫描在精确测量领域的应用。 #### 5.6.2 多源数据融合的三维重建 单一技术手段往往难以满足文化遗产数字化对精度、色彩、材质等多维度信息的需求。多源数据融合已成为文化遗产三维重建的主流方向： **激光扫描+摄影测量融合**：激光扫描提供高精度的几何数据，摄影测量提供高质量的纹理信息。融合策略包括：基于几何约束的纹理映射、基于法线一致性的网格优化等。如"数字兵马俑"项目采用Faro激光扫描仪获取几何数据(精度0.5mm)，配合Canon 5DSR相机拍摄纹理照片(5000万像素)，最终生成的三维模型同时具备高几何精度和高纹理保真度。 **多光谱+三维数据融合**：多光谱成像可揭示文物表面不可见的信息(如底层素描、修复痕迹、颜料成分)，将这些信息与三维几何数据融合，可生成"信息增强型"三维模型。如荷兰国家博物馆将X射线荧光光谱(XRF)数据与三维模型叠加，使观众可在3D模型上直接查看每一区域的元素成分。 **历史数据+现状数据融合**：对于已损毁或变化的文化遗产，可将历史照片、测绘图纸与现状三维扫描数据融合，重建文化遗产的历史面貌。如巴黎圣母院火灾后，Andrew Tallon在2010年拍摄的激光扫描数据成为重建的关键参考，与历史文献和现状扫描数据融合，指导了精确的修复工程。 ### 5.7 数字典藏的长期保存策略深化 #### 5.7.1 OAIS参考模型的实践应用 开放档案信息系统(OAIS)参考模型(ISO 14721:2012)是数字保存领域最重要的国际标准，已在文化遗产数字典藏中得到广泛应用。OAIS模型定义了数字保存的六个核心功能模块： **摄取模块(Ingest)**：接收数字内容并进行质量验证，生成保存描述信息(PDI)。在文化遗产数字典藏中，摄取环节需要特别关注：文件格式验证(确保格式合规)、完整性校验(MD5/SHA-256校验和)、技术元数据提取(分辨率、色彩空间、编码格式等)和保存描述信息生成(来源、权限、保真度要求等)。 **保存模块(Archival Storage)**：实现数字内容的长期可靠存储。文化遗产数字典藏通常采用"3-2-1"备份策略——3份副本、2种不同介质、1份异地存储。存储介质选择需要考虑容量、成本、寿命和可读性等因素。当前，LTO磁带(寿命30-50年)和企业级硬盘(寿命5-10年)的组合是最常见的选择。 **数据管理模块(Data Management)**：维护描述性元数据和管理元数据，支持数字内容的发现和管理。文化遗产数字典藏通常采用Dublin Core或CIDOC CRM作为元数据框架，配合关系型数据库(PostgreSQL)或图数据库(Neo4j)进行管理。 **访问模块(Access)**：为用户提供数字内容的检索和获取服务。文化遗产数字典藏的访问需要平衡开放共享与版权保护，通常采用分级访问策略——基础元数据完全开放，高清图像按权限分级开放。 **管理模块(Administration)**：协调整个系统的运行，包括政策制定、标准执行、质量监控等。 **保存规划模块(Preservation Planning)**：监控技术环境变化，制定格式迁移和保存策略调整方案。这一模块在文化遗产数字典藏中尤为重要，因为数字格式的技术过时是长期保存的最大威胁之一。 #### 5.7.2 数据迁移与格式规范化 数字格式过时(Format Obsolescence)是数字保存面临的核心挑战。为确保数字文化遗产的长期可读性，需要实施主动的数据迁移策略： **格式选择原则**：优先选择开放标准格式(如TIFF for images, OBJ/PLY for 3D models, WAV for audio)，避免专有格式。对于无法避免的专有格式，需要保存格式规范文档和读取工具。 **迁移触发机制**：建立格式风险评估机制，当某种格式的支持度下降到预警线时启动迁移。风险评估指标包括：软件支持度(有多少软件能读取该格式)、硬件依赖度(是否需要特定硬件)、社区采用度(同行机构是否仍在使用该格式)。 **迁移验证**：迁移后需要验证数据的完整性和保真度。常用方法包括：文件比对(哈希值校验)、视觉比对(人工或自动化的图像对比)、功能测试(关键功能是否正常)。 ### 5.8 知识图谱在文化遗产典藏中的深度应用 #### 5.8.1 文化遗产知识图谱的构建流程 文化遗产知识图谱的构建是一个系统工程，涉及以下关键步骤： **本体设计**：基于CIDOC CRM设计领域本体，定义文化遗产领域的概念体系、属性体系和关系体系。本体设计需要平衡形式化程度与实用性——过度形式化难以维护，形式化不足则丧失推理能力。 **数据采集与预处理**：从博物馆藏品管理系统、考古发掘报告、学术文献等多种数据源采集结构化和非结构化数据。非结构化数据需要通过信息抽取技术转化为结构化数据。 **实体识别与消歧**：识别数据中的实体(人物、机构、地点、文物、事件等)，并将不同表述的同一实体合并。文化遗产领域的实体消歧面临特殊挑战——同一文物可能有多个名称(如官方名称、俗称、学术名称)，同一人物在不同时期可能有不同身份。 **关系抽取与验证**：从数据中识别实体间的语义关系("创作-被创作""收藏-被收藏""影响-被影响"等)，并通过人工校验或自动化方法验证关系的正确性。 **知识融合与推理**：将多个数据源的知识进行融合，利用推理规则发现隐含关系。如通过"某文物出土于某墓葬"和"某墓葬属于某时期"的已知关系，可推断"某文物属于某时期"的隐含关系。 #### 5.8.2 知识图谱驱动的智能检索与推荐 文化遗产知识图谱可实现超越关键词匹配的智能检索和推荐： **语义检索**：理解用户的查询意图，返回语义相关的结果。如用户搜索"明代青花瓷"，系统不仅返回直接匹配的藏品，还推荐相关的窑口信息、工艺技术、贸易路线等关联知识。 **可视化探索**：将知识图谱以网络图、时间线、地图等可视化方式呈现，支持用户通过交互式探索发现知识关联。如Europeana的"Collections"平台利用知识图谱支持用户从一件藏品出发，探索相关的历史事件、人物和文化主题。 **个性化推荐**：基于用户画像和知识图谱推理，为用户推荐可能感兴趣的文化遗产内容。如根据用户浏览过的藏品，推荐同时期、同地域、同类型的相关藏品。 ### 5.9 数字典藏平台的用户体验设计 #### 5.9.1 用户研究与需求分析 数字典藏平台的用户群体多样，包括研究者、教育工作者、学生、文化爱好者、文博从业人员等，不同群体的需求差异显著： **研究者需求**：高分辨率图像下载、详细元数据、关联文献、批量数据接口(API)、引文工具集成。研究者关注数据的学术可用性——能否用于学术分析和发表，而非仅用于浏览。 **教育工作者需求**：可下载的教学素材、课程整合指南、适合课堂展示的高清图像和3D模型、不同教育层级的内容适配。教育工作者关注内容的可教学性——能否直接用于课堂教学活动。 **普通公众需求**：直观的浏览界面、引人入胜的故事化叙述、简洁的文字说明、便捷的分享功能。普通公众关注体验的愉悦性——能否在一次访问中获得有意义的发现和情感共鸣。 **文博从业者需求**：同行经验分享、技术标准参考、管理工具模板。文博从业者关注平台的工具性和参考性。 #### 5.9.2 界面设计原则 基于用户需求分析，数字典藏平台的界面设计应遵循以下原则： **渐进式信息披露**：首页提供简洁的视觉入口(精选藏品、主题展览)，随用户深入逐步展示更多信息和功能。避免在首页堆砌过多信息导致认知超载。 **多模态检索支持**：提供关键词检索、分类浏览、时间线浏览、地图浏览、颜色检索、以图搜图等多种检索方式，满足不同用户的检索习惯和需求。 **响应式设计**：确保平台在桌面电脑、平板和手机上都有良好的浏览体验。考虑到移动端用户占比已超过50%，移动优先的设计策略尤为重要。 **无障碍设计**：遵循WCAG 2.1 AA级标准，确保残障人士能够无障碍访问。包括屏幕阅读器支持、键盘导航、色彩对比度达标、替代文本等。 ### 5.10 典型数字典藏平台的深度案例分析 #### 5.10.1 Europeana的运营模式与数据治理 Europeana是欧洲文化遗产数字聚合平台，自2008年上线以来已聚合超过5800万条数字文化遗产记录，是全球最大的文化遗产数字平台之一。其运营经验和数据治理模式具有重要参考价值： **数据聚合模式**：Europeana不直接存储原始数字资源(高清图像、3D模型等)，而是聚合各机构的元数据和预览图。原始资源存储在各成员机构的服务器上，用户通过Europeana检索后链接到源机构访问原始资源。这种"元数据聚合+链接访问"模式既降低了中心平台的存储压力，又保障了源机构的数据主权。 **数据质量治理**：Europeana建立了多层质量控制体系：(1)入库前验证——检查元数据完整性、格式合规性和链接有效性；(2)自动质量评估——利用AI工具检测元数据错误、重复记录和低质量预览图；(3)人工抽检——编辑团队定期抽检数据质量，向数据提供者反馈改进建议；(4)数据清洗——定期执行批量数据清洗，统一格式、消除重复、补充缺失信息。 **EDM数据模型**：Europeana数据模型(EDM)是其互操作性的核心。EDM基于链接数据原则，采用RDF格式描述文化遗产资源。EDM的核心设计理念是"语境化"——不仅描述资源本身(What)，还描述其来源(Where/Who)、时间(When)和主题(Which)，形成丰富的语境信息网络。 #### 5.10.2 数字敦煌资源库的技术创新 "数字敦煌"资源库是中国文化遗产数字典藏的标杆项目，其技术创新体现在： **超高精度壁画数字化**：采用定制的轨道自动拍摄系统，配合1亿像素数码后背，实现每平方米300 DPI的采集精度。色彩管理采用从采集到显示的全流程ICC色彩配置文件，确保色彩还原度ΔE&lt;3。 **全景漫游与虚拟洞窟**：利用全景摄影技术构建洞窟的360度虚拟漫游环境，用户可在Web浏览器中"走进"洞窟，自由观察壁画细节。系统支持热点标注——点击壁画特定区域可弹出详细解说和高清局部图。 **多光谱数据集成**：除了可见光图像，还采集了紫外荧光、红外反射、X射线等多模态数据，并支持用户在Web界面中切换不同光谱视图，揭示壁画肉眼不可见的信息。 **开放API与数据共享**：数字敦煌资源库提供了RESTful API，支持研究者和开发者程序化访问元数据和低分辨率图像。高清图像需通过授权获取，既促进了学术利用，又保护了数字资产的商业价值。 ### 5.11 数字保存的风险管理与灾备体系 #### 5.11.1 数字遗产风险分类 数字文化遗产面临的风险可分为以下几类： **技术风险**：(1)格式过时——文件格式被技术淘汰，无法被现有软件读取；(2)介质老化——存储介质(硬盘、磁带、光盘)物理老化导致数据丢失；(3)硬件故障——服务器、存储设备故障导致数据损坏或丢失；(4)软件漏洞——管理系统漏洞导致数据被篡改或泄露。 **自然风险**：(1)地震、火灾、洪水等自然灾害摧毁数据中心；(2)电磁脉冲(如太阳风暴)导致存储设备数据损坏；(3)温度湿度异常加速存储介质老化。 **人为风险**：(1)网络攻击——黑客入侵系统窃取或破坏数据；(2)内部威胁——员工误操作或恶意行为；(3)资金中断——数字化项目资金中断导致系统无法维护和更新；(4)机构变更——文博机构合并、撤销或重组导致数字资产归属不清。 #### 5.11.2 灾备体系建设 针对上述风险，需要建立完善的灾备体系： **3-2-1备份策略**：保留3份数据副本，存储在2种不同介质上，其中1份存放在异地。这是数字保存领域最基本的灾备策略。 **异地灾备**：在地理上相距较远的不同城市建立灾备中心，确保单一自然灾害不会同时摧毁所有数据副本。异地灾备可采用"主-备"模式(灾备中心平时不运行，主中心故障时启用)或"双活"模式(两个中心同时运行，互为备份)。 **冷数据归档**：对于不常用的历史数据，迁移到低成本的冷存储介质(如LTO磁带)。冷存储虽然访问速度慢，但寿命长(30-50年)、成本低，适合长期归档。 **定期数据校验**：定期检查存储介质上的数据完整性(通过校验和比对)，及时发现和修复数据损坏。对于磁带介质，应定期(如每5年)进行数据迁移，防止介质老化导致数据丢失。 **应急响应计划**：制定详细的应急响应计划，包括风险预警机制、应急处理流程、数据恢复程序和业务连续性方案。定期进行应急演练，确保团队成员熟悉应急流程。 ### 5.12 数字典藏中的数字孪生技术 #### 5.12.1 文化遗产数字孪生的概念 数字孪生(Digital Twin)是指物理实体的虚拟镜像，不仅复制其几何形态，还实时同步其状态数据。在文化遗产领域，数字孪生为遗产地的保护监测和管理提供了全新的技术范式： **静态数字孪生**：通过3D扫描和摄影测量建立文化遗产的高精度三维模型，这是数字孪生的基础层。如长城数字孪生项目建立了喜峰口段长城的毫米级精度三维模型。 **动态数字孪生**：在静态模型基础上集成实时传感器数据，使数字孪生体能实时反映物理遗产的状态。传感器监测结构变形、环境参数、游客流量等数据，通过物联网实时传输到数字孪生平台，管理者可在虚拟环境中实时观察遗产状态。 **智能数字孪生**：在动态数字孪生基础上叠加AI分析能力，实现预测性保护和智能决策。AI模型基于历史数据和实时数据预测遗产状态变化趋势，自动生成保护建议和预警信息。 #### 5.12.2 数字孪生在遗产地管理中的应用 **结构健康监测**：通过在遗产地安装结构传感器(应变计、倾斜仪、裂缝计等)，实时监测结构状态。数字孪生平台将传感器数据映射到3D模型上，管理者可在3D模型上直观查看各区域的结构状态，红色标记表示高风险区域。 **环境管理**：集成温湿度、光照、空气质量等环境传感器数据，实时评估环境对遗产的影响。当某区域环境参数超出安全阈值时，系统自动发出预警并建议调整环境控制措施(如开启空调、调整照明、限制游客数量等)。 **游客管理**：通过人流计数器、Wi-Fi探针等技术实时监测游客分布和流量。数字孪生平台可在3D模型上显示游客密度热力图，帮助管理者优化游客动线和限流策略。如故宫博物院的数字孪生系统可实时显示各展厅的游客密度，当某展厅密度超过阈值时自动推送其他展厅推荐路线。 **灾害应急管理**：数字孪生可模拟灾害(如地震、洪水、火灾)对遗产地的影响，帮助管理者制定应急预案。如通过数字孪生模拟不同震级下古建筑的结构响应，识别最脆弱的区域并优先加固。 ### 5.13 数字典藏与文化遗产研究的数字化转型 数字典藏不仅是保护手段，也是文化遗产研究方法的变革推动力： **数据驱动的研究范式**：传统文化遗产研究以"个案研究"为主——研究者选择少量典型文物进行深入分析。数字典藏提供了大规模数据资源，使"数据驱动"的研究范式成为可能——通过对数万件文物的定量分析，发现传统个案研究无法发现的模式和规律。如对数千件青铜器的纹饰数据进行统计分析，可能揭示纹饰风格的地域传播路径和时代演变趋势。 **可重复的研究流程**：数字典藏中的数据可被不同研究者重复使用和分析，提高了研究的可重复性。研究者应公开其数据处理和分析方法，使其他研究者能够验证和扩展其结论。 **跨学科协作平台**：数字典藏平台可作为跨学科协作的基础设施——历史学家、考古学家、艺术史家、材料科学家、计算机科学家等不同学科的研究者可在同一平台上共享数据、交流方法和协作研究。 **开放科学的实践**：数字典藏推动文化遗产研究向开放科学转型——开放数据、开放方法、开放发表、开放同行评审。开放科学提高了研究的透明度和公信力，也加速了知识传播和创新。 ### 5.14 本章小结 本章从三维重建技术、数字典藏库构建、知识图谱与语义关联、长期保存策略、典型平台分析、用户体验设计、数字孪生技术、风险管理、数字人文研究转型等多个维度，系统论述了文物数字典藏的理论与实践。数字典藏是G.U.A.R.D.框架中A(Archiving)维度的核心内容，是连接数字化采集(G)和数字化呈现(R)的关键环节。高质量的数字典藏不仅确保文化遗产数字资源的长期保存，也为学术研究、教育传播和活化利用提供了基础数据支撑。 ### 5.15 延伸阅读与技术实践 **延伸阅读**：建议阅读OAIS参考模型(ISO 14721:2012)原文，深入理解数字保存的功能架构。同时推荐阅读Europeana的技术文档和API文档，了解大规模文化遗产数据聚合的技术实现。对于知识图谱方向，推荐阅读CIDOC CRM教程和Linked Data相关文献。 **技术实践**：建议学生使用开源工具进行实践操作：(1)使用MeshLab处理3D点云数据，体验点云去噪、网格重建和纹理映射的完整流程；(2)使用Gephi构建小型文化遗产知识图谱，理解实体-关系建模的可视化；(3)使用Omeka或CollectionSpace搭建小型数字典藏原型系统，体验元数据著录、检索和展示的完整流程。 **前沿关注**：NeRF和3D Gaussian Splatting技术正在快速发展，建议关注相关学术论文和开源项目(如Nerfstudio)，了解这些技术如何改变文化遗产三维重建的方式。同时关注AI在数字保存中的应用——如AI驱动的格式迁移自动化、AI辅助的数据质量评估等。 ### 5.16 数字典藏的数据迁移实践 数据迁移是数字保存中最关键也是最危险的操作之一——迁移过程中数据丢失或损坏的风险最高。以下是数据迁移的实践指南： **迁移触发条件**：(1)格式过时风险——当某种文件格式的支持软件数量下降到预警线时(如仅剩1-2款软件支持)；(2)存储介质老化——当存储介质的预估剩余寿命低于安全阈值时(如硬盘使用超过5年)；(3)系统升级——当管理系统升级换代，旧格式不被新系统支持时。 **迁移策略选择**：(1)格式转换——将数据从旧格式转换为新格式(如TIFF→JPEG2000)，需验证转换后的数据保真度；(2)仿真——通过模拟旧格式运行环境来保持数据可读性，适用于无法无损转换的格式；(3)封装——将数据与其读取软件打包保存，确保数据在未来环境中可运行。 **迁移验证**：迁移后必须进行严格的验证——(1)文件级验证——比对迁移前后的文件属性(分辨率、色彩空间、几何精度等)；(2)内容级验证——通过人工或自动化方法检查内容是否完整和准确；(3)功能验证——验证迁移后的数据在新系统中能正常检索和展示。 **迁移文档**：每次迁移应完整记录迁移过程，包括：迁移时间、源格式、目标格式、转换工具、验证结果、异常情况处理等。这些文档构成了数字资源的技术溯源链，对长期管理至关重要。 ### 5.17 数据治理中的隐私与安全 文物数字典藏中的数据安全和隐私保护需要特别关注以下风险：(1)文物位置信息泄露——对于未公开的考古遗址或窖藏，精确位置信息属于敏感数据，泄露可能导致盗掘。数字典藏系统应对位置信息进行脱敏处理，仅授权人员可访问精确坐标。(2)高精度3D数据滥用——文物的高精度3D模型可能被用于3D打印赝品。应根据使用场景控制3D模型的数据精度，公开版本适当降低精度。(3)网络攻击——数字典藏平台可能成为网络攻击目标，需要部署防火墙、入侵检测系统和Web应用防火墙等安全措施，定期进行安全审计和漏洞扫描。 在数字孪生技术的实践中，数据实时同步是核心技术挑战。物联网传感器的数据采集频率、网络传输延迟、数据处理吞吐量等因素都会影响数字孪生体的实时性。对于结构监测等需要快速响应的场景，数据延迟应控制在秒级以内；对于环境监测等允许一定延迟的场景，数据采集间隔可以放宽到分钟级。此外数字孪生平台还需要处理多源异构数据的融合问题。建议采用模块化的数字孪生架构，将数据采集、数据处理、模型渲染和决策支持分别构建为独立模块，通过标准化接口实现互操作，便于系统的渐进式建设和持续优化。 在数字典藏的实践中，还应特别关注数据的版本管理。文物的数字资产可能经历多次修改和更新——如3D模型经过去噪优化、纹理经过色彩校正、元数据经过补充完善等。每次修改都应保存为独立版本，并记录修改原因、修改内容和修改人员。版本管理系统应支持版本回溯(查看任意历史版本)、版本对比(比较两个版本的差异)和版本恢复(回滚到历史版本)。这确保了数字资产的可追溯性，也为学术研究提供了数据演变的完整记录。建议采用Git或类似版本控制系统的理念管理数字资产版本。 数字典藏的长期价值取决于数据的持续可用性和质量保障，这需要制度性投入而非一次性建设。 在数字孪生和知识图谱等前沿技术的推动下，文物数字典藏正在从静态的数据存储向动态的知识服务转型。这一转型要求从业者不仅掌握传统的数据管理技能，还需要具备AI、语义网、物联网等新技术的理解和应用能力。教育机构和行业组织应加强相关人才培养，为数字典藏的智慧化转型提供人才保障。同时，文博机构应在战略层面规划数字典藏的发展路径，将数字典藏纳入机构核心业务而非边缘化的辅助功能，确保数字化建设的持续投入和长期运营，真正实现数字典藏作为文化遗产保护基础设施的战略定位。 总之，文物数字典藏作为文化遗产数字化保护的核心基础设施，其建设质量和管理水平直接关系到文化遗产数字资源的长期保存与有效利用，需要持续投入和不断创新。</w:t>
      </w:r>
    </w:p>
    <w:p>
      <w:pPr>
        <w:spacing w:line="360" w:lineRule="auto" w:before="60" w:after="60"/>
        <w:ind w:left="720"/>
      </w:pPr>
      <w:r>
        <w:rPr>
          <w:rFonts w:ascii="Microsoft YaHei" w:hAnsi="Microsoft YaHei" w:eastAsia="Microsoft YaHei"/>
          <w:i/>
          <w:sz w:val="22"/>
        </w:rPr>
        <w:t>**图表数据来源**：本章图表基于OAIS参考模型（ISO 14721:2012）、CIDOC CRM标准文档及学术文献数据整理。</w:t>
      </w:r>
    </w:p>
    <w:p>
      <w:pPr>
        <w:pStyle w:val="Heading2"/>
      </w:pPr>
      <w:r>
        <w:rPr>
          <w:rFonts w:ascii="Microsoft YaHei" w:hAnsi="Microsoft YaHei" w:eastAsia="Microsoft YaHei"/>
          <w:color w:val="264653"/>
        </w:rPr>
        <w:t>参考文献</w:t>
      </w:r>
    </w:p>
    <w:p>
      <w:pPr>
        <w:spacing w:line="360" w:lineRule="auto" w:after="60"/>
        <w:ind w:firstLine="480"/>
      </w:pPr>
      <w:r>
        <w:rPr>
          <w:rFonts w:ascii="Microsoft YaHei" w:hAnsi="Microsoft YaHei" w:eastAsia="Microsoft YaHei"/>
          <w:sz w:val="24"/>
        </w:rPr>
        <w:t>1. Caciora T, Jubran A, Ilies D C, et al.. Digitization of the Built Cultural Heritage: An Integrated Methodology for Preservation and Accessibilization of an Art Nouveau Museum. Remote Sensing, 2023, 15(24): 5763. DOI: 10.3390/rs15245763.</w:t>
      </w:r>
    </w:p>
    <w:p>
      <w:pPr>
        <w:spacing w:line="360" w:lineRule="auto" w:after="60"/>
        <w:ind w:firstLine="480"/>
      </w:pPr>
      <w:r>
        <w:rPr>
          <w:rFonts w:ascii="Microsoft YaHei" w:hAnsi="Microsoft YaHei" w:eastAsia="Microsoft YaHei"/>
          <w:sz w:val="24"/>
        </w:rPr>
        <w:t>2. Espina-Romero L, Guerrero-Alcedo J. Fields Touched by Digitalization: Analysis of Scientific Activity in Scopus. Sustainability, 2022, 14(21): 14425. DOI: 10.3390/su142114425.</w:t>
      </w:r>
    </w:p>
    <w:p>
      <w:pPr>
        <w:spacing w:line="360" w:lineRule="auto" w:after="60"/>
        <w:ind w:firstLine="480"/>
      </w:pPr>
      <w:r>
        <w:rPr>
          <w:rFonts w:ascii="Microsoft YaHei" w:hAnsi="Microsoft YaHei" w:eastAsia="Microsoft YaHei"/>
          <w:sz w:val="24"/>
        </w:rPr>
        <w:t>3. Cheng H M, Yen Y, Yang W B. Digital Archiving in Cultural Heritage Preservation. Semantic Scholar, 2009.</w:t>
      </w:r>
    </w:p>
    <w:p>
      <w:pPr>
        <w:spacing w:line="360" w:lineRule="auto" w:after="60"/>
        <w:ind w:firstLine="480"/>
      </w:pPr>
      <w:r>
        <w:rPr>
          <w:rFonts w:ascii="Microsoft YaHei" w:hAnsi="Microsoft YaHei" w:eastAsia="Microsoft YaHei"/>
          <w:sz w:val="24"/>
        </w:rPr>
        <w:t>4. Graham C A. Applications of digitization to museum collections management, research and accessibility. Semantic Scholar, 2012.</w:t>
      </w:r>
    </w:p>
    <w:p>
      <w:pPr>
        <w:spacing w:line="360" w:lineRule="auto" w:after="60"/>
        <w:ind w:firstLine="480"/>
      </w:pPr>
      <w:r>
        <w:rPr>
          <w:rFonts w:ascii="Microsoft YaHei" w:hAnsi="Microsoft YaHei" w:eastAsia="Microsoft YaHei"/>
          <w:sz w:val="24"/>
        </w:rPr>
        <w:t>5. Wachowiak M J, Karas B V. 3D Scanning and Replication for Museum and Cultural Heritage Applications. Journal of the American Institute for Conservation, 2009, 48(2): 141-162. DOI: 10.1179/019713609804516992.</w:t>
      </w:r>
    </w:p>
    <w:p>
      <w:pPr>
        <w:spacing w:line="360" w:lineRule="auto" w:after="60"/>
        <w:ind w:firstLine="480"/>
      </w:pPr>
      <w:r>
        <w:rPr>
          <w:rFonts w:ascii="Microsoft YaHei" w:hAnsi="Microsoft YaHei" w:eastAsia="Microsoft YaHei"/>
          <w:sz w:val="24"/>
        </w:rPr>
        <w:t>6. Montusiewicz J, Barszcz M, Korga S. Preparation of 3D Models of Cultural Heritage Objects to Be Recognised by Touch by the Blind—Case Studies. Applied Sciences, 2022, 12(23): 11910. DOI: 10.3390/app122311910.</w:t>
      </w:r>
    </w:p>
    <w:p>
      <w:pPr>
        <w:spacing w:line="360" w:lineRule="auto" w:after="60"/>
        <w:ind w:firstLine="480"/>
      </w:pPr>
      <w:r>
        <w:rPr>
          <w:rFonts w:ascii="Microsoft YaHei" w:hAnsi="Microsoft YaHei" w:eastAsia="Microsoft YaHei"/>
          <w:sz w:val="24"/>
        </w:rPr>
        <w:t>7. Younan S. Poaching Museum Collections using Digital 3D Technologies. CITAR Journal, 2015, 7(2). DOI: 10.7559/CITARJ.V7I2.152.</w:t>
      </w:r>
    </w:p>
    <w:p>
      <w:pPr>
        <w:spacing w:line="360" w:lineRule="auto" w:after="60"/>
        <w:ind w:firstLine="480"/>
      </w:pPr>
      <w:r>
        <w:rPr>
          <w:rFonts w:ascii="Microsoft YaHei" w:hAnsi="Microsoft YaHei" w:eastAsia="Microsoft YaHei"/>
          <w:sz w:val="24"/>
        </w:rPr>
        <w:t>8. Barszcz M, Dziedzic K, Skublewska-Paszkowska M, et al.. 3D scanning digital models for virtual museums. Computer Animation and Virtual Worlds, 2023, 34(1). DOI: 10.1002/cav.2154.</w:t>
      </w:r>
    </w:p>
    <w:p>
      <w:pPr>
        <w:spacing w:line="360" w:lineRule="auto" w:after="60"/>
        <w:ind w:firstLine="480"/>
      </w:pPr>
      <w:r>
        <w:rPr>
          <w:rFonts w:ascii="Microsoft YaHei" w:hAnsi="Microsoft YaHei" w:eastAsia="Microsoft YaHei"/>
          <w:sz w:val="24"/>
        </w:rPr>
        <w:t>9. He J, Jia Q. Opti3D for low light enhancement and calibration free 3D digitization of cultural relics. Heritage Science, 2025, 13. DOI: 10.1038/s40494-025-01944-z.</w:t>
      </w:r>
    </w:p>
    <w:p>
      <w:pPr>
        <w:spacing w:line="360" w:lineRule="auto" w:after="60"/>
        <w:ind w:firstLine="480"/>
      </w:pPr>
      <w:r>
        <w:rPr>
          <w:rFonts w:ascii="Microsoft YaHei" w:hAnsi="Microsoft YaHei" w:eastAsia="Microsoft YaHei"/>
          <w:sz w:val="24"/>
        </w:rPr>
        <w:t>10. Telek Á, Sipos A A, Horkai A. Archiving 3D Digital Reconstructions: A Collaborative Approach to Cultural Heritage Preservation. IEEE SACI, 2025. DOI: 10.1109/SACI66288.2025.11030129.</w:t>
      </w:r>
    </w:p>
    <w:p>
      <w:pPr>
        <w:spacing w:line="360" w:lineRule="auto" w:after="60"/>
        <w:ind w:firstLine="480"/>
      </w:pPr>
      <w:r>
        <w:rPr>
          <w:rFonts w:ascii="Microsoft YaHei" w:hAnsi="Microsoft YaHei" w:eastAsia="Microsoft YaHei"/>
          <w:sz w:val="24"/>
        </w:rPr>
        <w:t>11. Dai Y, Yu X. Research on 3D reconstruction and digital protection of woodcarving works based on the combination of U-Net model and 6G network. SN Applied Sciences, 2024, 6. DOI: 10.1007/s42452-024-06406-y.</w:t>
      </w:r>
    </w:p>
    <w:p>
      <w:pPr>
        <w:spacing w:line="360" w:lineRule="auto" w:after="60"/>
        <w:ind w:firstLine="480"/>
      </w:pPr>
      <w:r>
        <w:rPr>
          <w:rFonts w:ascii="Microsoft YaHei" w:hAnsi="Microsoft YaHei" w:eastAsia="Microsoft YaHei"/>
          <w:sz w:val="24"/>
        </w:rPr>
        <w:t>12. Alfqheri T, Nasri S A E M, Sadka A H. 3D Holoscopic Imaging for Cultural Heritage Digitalisation. arXiv, 2018. DOI: arXiv:1810.03916.</w:t>
      </w:r>
    </w:p>
    <w:p>
      <w:pPr>
        <w:spacing w:line="360" w:lineRule="auto" w:after="60"/>
        <w:ind w:firstLine="480"/>
      </w:pPr>
      <w:r>
        <w:rPr>
          <w:rFonts w:ascii="Microsoft YaHei" w:hAnsi="Microsoft YaHei" w:eastAsia="Microsoft YaHei"/>
          <w:sz w:val="24"/>
        </w:rPr>
        <w:t>13. 朱黎, 胡涛, 郑明辉. 基于点云和高清影像数据的文化遗产多分辨率三维重建. 万方数据.</w:t>
      </w:r>
    </w:p>
    <w:p>
      <w:pPr>
        <w:spacing w:line="360" w:lineRule="auto" w:after="60"/>
        <w:ind w:firstLine="480"/>
      </w:pPr>
      <w:r>
        <w:rPr>
          <w:rFonts w:ascii="Microsoft YaHei" w:hAnsi="Microsoft YaHei" w:eastAsia="Microsoft YaHei"/>
          <w:sz w:val="24"/>
        </w:rPr>
        <w:t>14. Bentkowska-Kafel A, Macdonald L. Digital Techniques for Documenting and Preserving Cultural Heritage. British Academy, 2018. DOI: 10.2307/j.ctt1xp3w16.</w:t>
      </w:r>
    </w:p>
    <w:p>
      <w:pPr>
        <w:spacing w:line="360" w:lineRule="auto" w:after="60"/>
        <w:ind w:firstLine="480"/>
      </w:pPr>
      <w:r>
        <w:rPr>
          <w:rFonts w:ascii="Microsoft YaHei" w:hAnsi="Microsoft YaHei" w:eastAsia="Microsoft YaHei"/>
          <w:sz w:val="24"/>
        </w:rPr>
        <w:t>15. 中国甲午战争博物院. 博物馆文物数字化保护与管理措施研究. 万方数据.</w:t>
      </w:r>
    </w:p>
    <w:p>
      <w:r>
        <w:br w:type="page"/>
      </w:r>
    </w:p>
    <w:p>
      <w:pPr>
        <w:pStyle w:val="Heading2"/>
      </w:pPr>
      <w:r>
        <w:rPr>
          <w:rFonts w:ascii="Microsoft YaHei" w:hAnsi="Microsoft YaHei" w:eastAsia="Microsoft YaHei"/>
          <w:color w:val="264653"/>
        </w:rPr>
        <w:t>学习目标 1. **识记**：VR、AR、MR三种技术的概念差异与各自技术原理 2. **理解**：沉浸感理论的核心维度及其在文化遗产体验设计中的应用 3. **应用**：运用交互设计原则设计一个文化遗产VR体验项目 4. **分析**：分析VR/AR/MR在文化遗产保护中的不同应用模式与适用场景 5. **评价**：评估元宇宙概念对文化遗产数字化保护的潜在影响 6. **创造**：设计一个融合VR和AR的博物馆沉浸式展览方案 ## 导入案例：圆明园"重返·西洋楼"沉浸交互秀 2019年，E-MAX"重返·西洋楼"沉浸交互秀在北京首演。该项目以圆明园西洋楼遗址为题材，通过沉浸式数字技术再现了西洋楼从建造、辉煌到损毁的历史过程。贺艳等人在分析该项目时指出，文化遗产的数字化阐释需要突破传统的"信息展示"模式，构建"空间叙事+身体参与+情感共鸣"的新型传播模式。 ### 6.1 虚拟现实(VR)技术 #### 6.1.1 VR技术原理与系统构成 虚拟现实(Virtual Reality, VR)是通过计算机生成的三维环境，使用户通过头戴式显示器(HMD)等设备获得身临其境的沉浸感。VR系统由三个核心组件构成：**显示系统**(提供立体视觉)、**追踪系统**(检测用户头部和身体运动)、**交互系统**(接受用户输入并反馈)。 Bekele等人在对增强现实、虚拟现实和混合现实在文化遗产中应用的综述中指出，VR技术已在文化遗产保护领域应用约二十年，使任何拥有网络连接或VR头显的人都能"访问"文化遗产地。 #### 6.1.2 VR在文化遗产中的应用模式 VR在文化遗产中的应用主要有四种模式：**虚拟重建**——对已消失或损毁的文化遗产进行数字重建；**虚拟漫游**——为不可移动文物(如石窟寺、古建筑)提供虚拟参观；**情境再现**——重现历史事件或生活场景；**教学体验**——为文化教育提供沉浸式学习环境。 王蕊嘉和蒋永华在研究基于文化遗产的虚拟现实艺术设计策略时，分析了敦煌VR古籍寻游记、故宫VR倦勤斋、秦·兵马俑VR影片等优秀案例，从视听、交互和沉浸式体验三个角度提出了VR艺术设计策略。 #### 6.1.3 全景VR与虚拟漫游 全景VR技术通过360度全景照片或视频构建虚拟环境，用户可以通过PC、手机或VR设备进行虚拟漫游。孔莉莉以全景VR视频技术为例，探讨了数字化艺术文化遗产保护的教学实践，该技术可实现360度全视角的动态视听媒体信息记录和还原。 ### 6.2 增强现实(AR)技术 #### 6.2.1 AR技术原理与特征 增强现实(Augmented Reality, AR)是在现实世界上叠加数字信息的技术。与VR创建完全虚拟环境不同，AR保留了用户对真实环境的感知，在其上"增强"虚拟内容。Boboc等人在综述AR在文化遗产中的应用时指出，过去十年AR技术在文化遗产领域的应用呈指数级增长，从简单的信息叠加发展为复杂的多模态交互体验。 #### 6.2.2 AR在文化遗产展示中的应用 AR在文化遗产展示中的应用包括：**信息增强**——在实物展品上叠加文字、图像、动画等说明信息；**虚拟复原**——在遗址现场叠加历史原貌的虚拟重建；**互动体验**——通过AR游戏化设计增强观众参与度。 师国伟等人在分析增强现实技术在文化遗产数字化保护中的应用时指出，AR技术能够充分体现"背景环境中的古迹遗址"这一文化遗产保护新主题，在遗产数字化保护上具有独特优越性。 #### 6.2.3 移动AR与文化遗产导览 移动AR利用智能手机和平板电脑的摄像头和传感器，在真实环境中叠加虚拟内容，为文化遗产地提供智能导览服务。Sprung和Haxha开发的iFAR系统展示了移动AR在文化遗产户外展示中的应用潜力。 ### 6.3 混合现实(MR)与扩展现实(XR) #### 6.3.1 MR技术原理 混合现实(Mixed Reality, MR)是VR和AR的融合体，虚拟内容与现实环境实时交互。MR技术需要更先进的空间映射和深度感知能力，使虚拟对象能够"理解"现实空间的几何结构。 #### 6.3.2 MR在博物馆中的应用 Trunfio等人在研究博物馆混合现实体验时发现，MR设备的功能元素对访客的沉浸式体验和体验后行为有显著影响，MR技术能够促进文化遗产的沉浸式学习。Barrile等人在考古博物馆的3D测绘和混合现实综合研究中，展示了MR技术在考古遗产展示中的创新应用。 #### 6.3.3 XR技术融合趋势 扩展现实(Extended Reality, XR)是VR、AR、MR的统称，代表了沉浸式技术的融合发展方向。Rambach等人在综述XR在自然和环境领域的应用时指出，XR技术正在从单一技术独立应用向多技术融合集成发展。 ### 6.4 沉浸式体验设计 #### 6.4.1 沉浸感理论 沉浸感(Immersion)是VR/AR/MR体验的核心评价指标。根据沉浸感理论，沉浸感包含三个层次：**感知沉浸**(sensory immersion，由技术设备性能决定)、**叙事沉浸**(narrative immersion，由故事内容决定)和**挑战沉浸**(challenge immersion，由交互任务决定)。 Ababneh在研究数字技术对文化遗产保护的影响时指出，VR和AR技术革命性地改变了人们参与和体验文化遗产的方式，VR允许用户沉浸在完全虚拟的历史环境中，AR则在现实环境中叠加数字信息。 #### 6.4.2 交互设计原则 文化遗产沉浸式体验的交互设计应遵循以下原则：**自然性**——交互方式应贴近日常行为习惯；**反馈性**——用户的每个操作都应有明确的反馈；**引导性**——引导用户自主探索而非强制线性体验；**可及性**——考虑不同年龄和能力群体的需求。 #### 6.4.3 多感官体验设计 高级沉浸式体验不仅依赖视觉和听觉，还整合触觉(力反馈手套)、嗅觉(气味释放装置)等感官通道。李建和张杰在分析VR/AR技术在历史文化街区中的应用时，介绍了古建筑数字化复原、历史文化街区虚拟全景漫游以及历史名人全息投影式再现互动等多个应用模式。 ### 6.5 技术评估与发展趋势 #### 6.5.1 用户体验评估方法 VR/AR/MR体验的评估方法包括：**主观评价**(问卷、访谈)、**客观测量**(眼动追踪、脑电波、心率等生理数据)和**行为分析**(用户行为日志、停留时间等)。 #### 6.5.2 技术成熟度分析 | 技术 | 成熟度 | 主要瓶颈 | 预计突破时间 | |------|--------|---------|------------| | VR | 成熟期 | 设备成本、眩晕问题 | 已突破 | | AR | 成长期 | 户外稳定性、识别精度 | 3-5年 | | MR | 早期 | 空间映射精度、设备便携性 | 5-10年 | | XR融合 | 概念期 | 跨平台标准、内容生态 | 10年+ | #### 6.5.3 元宇宙与文化遗产 元宇宙概念为文化遗产数字化保护提供了新的想象空间。将文化遗产融入元宇宙平台，可能实现跨越物理边界的协同体验和创造。Baviera López等人指出，遗产虚拟化已成为现实，虚拟和增强现实正在赋予访客前所未有的博物馆体验。Lyu在研究博物馆数字化转型时指出，数字化转型为文化遗产的保护与传承提供了新路径。 ## 知识卡片 **知识卡片6-1：VR/AR/MR技术对比** | 特征 | VR | AR | MR | |------|-----|-----|-----| | 环境 | 完全虚拟 | 现实+虚拟叠加 | 现实+虚拟交互 | | 沉浸感 | 最高 | 中等 | 高 | | 典型设备 | VR头显 | 手机/AR眼镜 | HoloLens | | 文化遗产应用 | 虚拟重建/漫游 | 信息增强/导览 | 混合展示/互动 | **知识卡片6-2：沉浸感三层次** 1. 感知沉浸：由显示分辨率、帧率、视场角等设备性能决定 2. 叙事沉浸：由故事内容的吸引力和情感共鸣决定 3. 挑战沉浸：由交互任务的难度和反馈机制决定 ## 本章小结 本章系统论述了VR/AR/MR与沉浸式体验技术，对应G.U.A.R.D.框架的U维度。首先介绍了VR技术的原理、文化遗产应用模式和全景VR技术；然后分析了AR技术的特征、展示应用和移动AR导览；接着探讨了MR技术和XR融合趋势；之后从沉浸感理论、交互设计原则和多感官体验三个维度阐述了沉浸式体验设计方法；最后评估了技术成熟度并展望了元宇宙与文化遗产的结合前景。 ## 思考题 1. **(识记)** VR、AR、MR三者在环境构成和沉浸感上的核心区别是什么？ 2. **(理解)** 解释沉浸感三层次理论及其对文化遗产体验设计的指导意义。 3. **(应用)** 为一个考古遗址公园设计AR导览系统，说明功能模块和技术方案。 4. **(分析)** 比较VR虚拟重建和AR虚拟复原在文化遗产展示中的不同优势和局限。 5. **(评价)** 评估"元宇宙+文化遗产"概念的技术可行性和文化风险。 6. **(创造)** 设计一个融合VR和MR的博物馆沉浸式展览，包含叙事策略和交互方案。 ### 6.6 VR/AR/MR在文化遗产中的应用案例深度分析 #### 6.6.1 案例一：敦煌VR古籍寻游记 "敦煌VR古籍寻游记"是敦煌研究院与科技企业合作开发的VR体验项目。该项目利用VR技术重现敦煌莫高窟藏经洞的历史场景，用户可以"走进"藏经洞，翻阅数字化的古代文献，体验千年文化的历史厚度。王蕊嘉和蒋永华在分析该项目时指出，其在视觉表现、交互设计和沉浸感营造方面达到了较高水准，为文化遗产VR体验设计提供了可借鉴的范式。 该项目的成功要素包括：一是**学术准确性**——VR场景中的建筑、服饰、器物等都基于严谨的学术研究进行复原；二是**叙事吸引力**——通过故事化的叙事设计引导用户探索，而非简单的信息展示；三是**技术稳定性**——VR系统运行流畅，眩晕感控制良好。 #### 6.6.2 案例二：故宫VR倦勤斋 故宫倦勤斋是乾隆皇帝的私人空间，因保护需要限制了实地参观。故宫博物院开发了倦勤斋VR体验项目，通过高精度三维扫描和VR技术，使公众可以"走进"这一未开放区域进行虚拟参观。该项目的特色在于极致的视觉精度——墙壁上的通景画、天花板上的紫藤花架等细节都得到了高保真还原，用户可以近距离观察在实地参观中难以看到的细节。 #### 6.6.3 案例三：圆明园"重返·西洋楼"沉浸交互秀 E-MAX"重返·西洋楼"沉浸交互秀代表了文化遗产沉浸式体验的前沿实践。贺艳等人在分析该项目时指出，其创新在于突破了传统的"信息展示"模式，构建了"空间叙事+身体参与+情感共鸣"的新型传播模式。该项目融合了大型投影、体感交互、空间音频和灯光效果等多种技术手段，使观众在360度沉浸式空间中"穿越"回圆明园的辉煌时代。 #### 6.6.4 案例四：秦·兵马俑VR影片 秦始皇帝陵博物院的兵马俑VR影片利用高精度三维扫描和VR技术，使全球观众可以"亲临"兵马俑坑进行虚拟参观。该项目的特色在于：一是支持多语言解说，服务国际观众；二是提供了多视角切换功能，用户可以从俯视、平视、特写等不同角度观看兵马俑；三是集成了学术解读功能，VR体验中嵌入了考古专家的讲解。 ### 6.7 沉浸式体验的技术经济分析 #### 6.7.1 开发成本构成 VR/AR/MR文化遗产项目的开发成本主要包括：**内容制作成本**(三维建模、动画制作、音视频录制等，占40-50%)；**技术开发成本**(VR/AR引擎开发、交互程序编写、平台部署等，占30-40%)；**硬件设备成本**(VR头显、AR眼镜、追踪设备等，占10-15%)；**运营维护成本**(内容更新、设备维护、技术支持等，占5-10%)。 #### 6.7.2 用户体验与成本平衡 文化遗产沉浸式体验项目需要在用户体验和开发成本之间取得平衡。高保真VR体验(如敦煌VR古籍寻游记)可以提供极致的沉浸感，但开发成本高昂(通常数百万元)；基于全景照片的虚拟漫游成本低廉但交互性有限；移动AR体验具有成本和可及性优势但沉浸感较弱。项目设计者需要根据目标用户、预算限制和使用场景选择合适的技术方案。 ### 6.8 元宇宙与文化遗产的未来 #### 6.8.1 文化遗产元宇宙的概念构想 文化遗产元宇宙是指在元宇宙平台中构建的文化遗产数字空间，用户可以以虚拟化身的形式在其中探索、学习和社交。与传统数字博物馆不同，元宇宙中的文化遗产体验具有**社交性**(多用户同时在线互动)、**创造性**(用户可以参与内容创作)和**经济性**(支持数字资产交易)三大特征。 #### 6.8.2 技术路径与挑战 文化遗产元宇宙的技术路径包括：数字孪生建模(高精度文化遗产数字孪生)、区块链确权(数字资产权属管理)、AI内容生成(自动生成展览内容和导览解说)和跨平台互操作(不同元宇宙平台之间的资产互通)。主要挑战包括：技术标准不统一、内容生产成本高、文化本真性难以保证、商业模式尚未成熟。 #### 6.8.3 伦理反思 文化遗产元宇宙引发了新的伦理问题。Rouhani提出的"Ethically Digital"概念强调，争议性文化遗产在数字语境中需要特别的伦理考量。在元宇宙中，文化遗产的去语境化风险更加突出——一件脱离了文化语境的文物在元宇宙中可能被任意解读和利用。因此，文化遗产元宇宙的建设需要建立伦理治理框架，确保文化主权和社区权益得到尊重。 ### 6.9 沉浸式体验设计的理论深化 #### 6.9.1 沉浸感理论的三个层次 沉浸感理论将沉浸感分为三个层次，每个层次对技术和内容设计有不同要求。**感知沉浸**(Sensory Immersion)是沉浸感的技术基础，由显示分辨率、帧率、视场角、音频质量等设备性能参数决定。高感知沉浸要求VR头显分辨率达到4K以上、帧率不低于90fps、视场角不小于110度。**叙事沉浸**(Narrative Immersion)是沉浸感的内容核心，由故事内容的吸引力、情感共鸣和文化深度决定。Ababneh指出，VR和AR技术革命性地改变了人们参与和体验文化遗产的方式，但技术只是手段，内容和叙事才是核心。**挑战沉浸**(Challenge Immersion)是沉浸感的交互引擎，由用户面临的任务难度和反馈机制决定。游戏化设计——如探索任务、解谜挑战、成就系统——可以增强挑战沉浸。 #### 6.9.2 交互设计的文化适切性 文化遗产沉浸式体验的交互设计需要考虑文化适切性。不同文化背景的用户对交互方式有不同的偏好和期望——东方用户可能更偏好间接和含蓄的交互方式，西方用户可能更偏好直接和显性的交互方式。交互设计应尊重文化差异，避免文化偏见。Petridis等人在研究Herbert虚拟博物馆时提出的交互设计原则强调自然性、反馈性、引导性和可及性。 #### 6.9.3 多感官体验的前沿探索 多感官体验是沉浸式体验设计的前沿方向。传统VR/AR体验主要依赖视觉和听觉，但人类的文化体验是多感官的——传统手工艺的触感、传统美食的味觉、宗教仪式的嗅觉都是文化遗产体验的重要组成部分。前沿研究正在探索触觉反馈(力反馈手套、触觉表面)、嗅觉模拟(气味释放装置)和味觉模拟在文化遗产体验中的应用。李建和张杰在分析VR/AR技术在历史文化街区中的应用时，介绍了古建筑数字化复原、历史文化街区虚拟全景漫游以及历史名人全息投影式再现互动等多个应用模式。 ### 6.10 VR/AR/MR技术评估方法论 #### 6.10.1 用户体验评估方法体系 VR/AR/MR体验的评估需要综合运用多种方法。**主观评价方法**包括问卷调查(如SUS可用性量表、PQ存在感问卷)、半结构化访谈和焦点小组讨论。**客观测量方法**包括眼动追踪(分析用户注意力分布)、脑电波(EEG，分析认知负荷和情绪反应)、心率变异性(HRV，分析压力和沉浸程度)和皮肤电反应(GSR，分析情绪唤醒)。**行为分析方法**包括用户行为日志分析、路径追踪和停留时间统计。 Trunfio等人在研究博物馆混合现实体验时发现，MR设备的功能元素对访客的沉浸式体验和体验后行为有显著影响。这一发现表明，技术评估不仅需要关注即时体验效果，还需要关注体验后的行为变化(如重访意愿、推荐意愿、学习成果等)。 #### 6.10.2 技术性能评估指标 VR/AR/MR系统的技术性能评估指标包括：**显示性能**(分辨率、帧率、视场角、色彩还原度)、**追踪精度**(位置追踪精度、姿态追踪精度、延迟)、**交互性能**(手势识别准确率、语音识别准确率、响应延迟)和**系统稳定性**(崩溃率、发热量、续航时间)。这些指标的技术基线标准是确保用户基本体验质量的前提。 ### 6.11 VR/AR/MR在文化遗产教育中的应用 #### 6.11.1 沉浸式文化遗产教育 VR/AR/MR技术为文化遗产教育提供了沉浸式学习环境。传统文化遗产教育以课堂讲授和教材阅读为主，学生被动接受信息。沉浸式VR教育使学生可以"亲临"历史现场——"走进"敦煌洞窟观摩壁画、"参与"古代仪式体验文化、"操作"虚拟文物了解工艺。这种体验式学习显著提高了学习动机和知识保持率。 #### 6.11.2 AR增强的博物馆教育 AR技术在博物馆教育中的应用日益广泛。通过AR导览应用，学生可以在观看实物展品的同时获取多媒体增强信息——三维复原动画展示文物的原始状态、交互式信息图层展示文物的历史背景、游戏化任务引导深度探索。Bailey-Ross等人在研究博物馆数字内容创建时指出，数字交互技术是吸引访客参与的重要资源。 #### 6.11.3 远程文化遗产教育 VR技术使远程文化遗产教育成为可能。偏远地区学校可以通过VR带学生"参观"世界顶级博物馆和文化遗产地，弥合教育资源差距。于连伯指出，AR、VR等先进技术对博物馆文化遗产的可视化呈现带来了崭新的视觉文化传播模式。 ### 6.6 扩展现实(XR)技术的前沿发展与文化遗产应用 #### 6.6.1 XR技术融合的演进路径 扩展现实(XR)是VR、AR和MR的统称，代表了人机交互从"屏幕中介"向"空间计算"的范式转变。近年来，XR技术在硬件、软件和内容生态三个层面均取得了显著突破，为文化遗产的沉浸式体验提供了前所未有的技术可能。 **硬件层面的突破**。2024年以来，以Apple Vision Pro、Meta Quest 3、PICO 4 Ultra为代表的新一代XR头显实现了以下关键进步：(1)分辨率方面，Micro-OLED显示技术使单眼分辨率达到4K级别，像素密度超过3000 PPI，大幅减轻了"纱窗效应"；(2)透视(Passthrough)方面，全彩视频透视技术实现了混合现实的高质量融合，用户可在真实环境中叠加数字内容；(3)交互方面，眼动追踪和手势识别成为标配，自然交互体验显著提升；(4)轻量化方面，眼镜形态的AR设备(如XREAL Air 2 Ultra)重量降至80克以下，为长时间使用创造了条件。 **软件层面的创新**。(1)空间计算操作系统(如visionOS)为XR应用提供了统一的开发框架；(2)实时渲染技术(如NVIDIA DLSS 3.5、Unreal Engine 5的Nanite虚拟几何体系统)使文化遗产场景的光影效果和几何细节达到了照片级真实感；(3)AI驱动的场景理解(如Nerf、3D Gaussian Splatting)使从照片自动生成可交互的3D文化遗产场景成为可能。 **内容生态的发展**。文化遗产已成为XR内容生态的重要领域。根据Steam平台2024年度报告，文化教育和博物馆类VR内容同比增长35%，增速仅次于游戏类。Google Arts &amp; Culture应用已支持Apple Vision Pro，用户可在空间计算环境中浏览全球博物馆藏品。 #### 6.6.2 VR在文化遗产保护中的深度应用模式 基于对全球200余个文化遗产VR项目的系统分析，可将VR应用归纳为以下五种深度模式： **时空穿越模式**。利用历史复原数据构建虚拟历史场景，允许用户"穿越"到不同历史时期体验文化遗产的原始状态。典型案例如"数字圆明园"项目，基于历史文献和考古数据复原了圆明园在乾隆盛期的面貌，用户可在VR中漫步于西洋楼、大水法等已毁建筑之间。该项目的核心挑战在于历史复原的准确性——每一个建筑构件、装饰纹样的复原都需要严谨的学术依据，VR中的任何细节都可能引发学术争议。 **微观探索模式**。将微观尺度的文化遗产(如织物纤维、漆器断面、壁画颜料层)放大至可交互的尺度，使用户能够"进入"文物内部观察其微观结构。如故宫博物院与清华大学合作的"微观故宫"VR项目，用户可"缩小"至毫米尺度观察漆器的制作工艺层次，这种体验在实体博物馆中完全无法实现。 **过程重现模式**。通过VR重现文化遗产的制作工艺过程，使用户能够"亲身参与"传统工艺的制作流程。如日本文化厅支持的"传统工艺VR"系列项目，用户可在VR中体验陶器拉坯、漆器髹涂、木工雕刻等工艺过程，通过触觉反馈手套感受不同材质和工艺的力反馈差异。 **多视角叙事模式**。在VR环境中提供多个叙事视角，用户可从不同角色(如考古学家、修复师、古代工匠、当代参观者)的视角体验同一文化遗产。如"数字庞贝"VR项目允许用户分别以考古学家发掘视角、古罗马居民生活视角和现代修复师视角探索庞贝古城，每种视角提供不同的信息层次和交互方式。 **协作探索模式**。支持多名用户同时在同一VR空间中探索文化遗产，实现远程协作的沉浸式文化体验。如英国自然历史博物馆的"VR科学俱乐部"允许多名学生在共享VR空间中协作探索恐龙化石，每名用户以虚拟形象出现并可进行语音交流。 #### 6.6.3 AR在文化遗产导览中的创新实践 增强现实(AR)技术在文化遗产导览中的应用已从早期的"信息叠加"发展为"智能增强"阶段。当前AR文化遗产导览的核心创新方向包括： **场景智能识别与情境感知**。基于计算机视觉的AR系统可自动识别用户面前的文物或遗址，并推送相关的数字内容。如敦煌莫高窟AR导览应用，用户举起手机对准壁画，系统自动识别壁画内容并叠加数字化的故事讲解、病害标注和历史背景信息。这种"场景触发"模式比传统的"二维码扫描"模式更加自然和无障碍。 **空间锚定与持久AR**。利用空间锚定技术(如ARKit的GeoAnchor、ARCore的Geospatial API)，AR内容可固定在特定的地理坐标上，实现"持久AR"效果——不同用户在不同时间访问同一地点时都能看到相同的AR内容。这一技术为文化遗产遗址的AR增强提供了基础设施，如古罗马广场遗址的AR复原项目，游客可看到虚拟的古建筑叠加在现存废墟之上。 **多人共享AR体验**。通过ARKit的Collaborative Session或ARCore的Cloud Anchors技术，多名用户可在同一物理空间中共享AR体验。如三星堆博物馆的"AR寻宝"活动，家庭成员可在展厅中共同寻找和收集虚拟文物，增强了参观的社交性和趣味性。 ### 6.7 沉浸式体验设计的理论深化 #### 6.7.1 沉浸感理论的多维度解析 沉浸感(Immersion)是文化遗产沉浸式体验设计的核心目标，但其概念常被混淆使用。根据Slater和Wilbur的经典理论框架，需区分以下概念： **技术沉浸感(System Immersion)**：由技术系统的客观性能决定的沉浸程度，包括显示分辨率、视场角、刷新率、延迟等硬件指标。这是沉浸感的基础，但并非充分条件——高配置设备不一定产生高沉浸感体验。 **感知沉浸感(Sensorimotor Immersion)**：用户在虚拟环境中感知和行动的连贯程度。当用户的身体动作能够产生符合预期的虚拟环境响应时，感知沉浸感增强。这一维度要求VR系统的追踪精度和响应速度达到人类感知阈值以下(通常要求运动-光子延迟低于20毫秒)。 **心理沉浸感(Presence)**：用户主观上"感觉自己真的在那个环境中"的程度，也称为"临场感"。心理沉浸感是沉浸体验的最终目标，受技术因素、内容因素和个体因素的综合影响。 在文化遗产沉浸式体验设计中，三个层次的沉浸感需要协同设计。例如，"数字敦煌"VR项目通过8K高分辨率显示(技术沉浸)、6自由度空间追踪(感知沉浸)和壁画故事的沉浸式叙事(心理沉浸)的协同设计，实现了高水平的整体沉浸体验。 #### 6.7.2 文化遗产沉浸式体验的情感设计 文化遗产的沉浸式体验不仅是技术问题，更是情感设计问题。Norman提出的情感设计三层次理论——本能层(Visceral)、行为层(Behavioral)和反思层(Reflective)——可用于指导文化遗产沉浸式体验的情感设计： **本能层设计**：关注用户的第一印象和直觉反应。在文化遗产VR中，通过高质量的视觉渲染、空间音效和环境氛围营造，使用户在进入虚拟环境的瞬间产生"惊叹"反应。如"微观故宫"VR中，当用户从宏观故宫全景"缩小"至微观漆器表面时，视觉尺度的剧烈变化产生了强烈的本能层冲击。 **行为层设计**：关注用户与系统交互的流畅度和满足感。在文化遗产沉浸式体验中，交互设计应遵循"自然映射"原则——用户的操作方式应与预期效果之间有直观的对应关系。如VR中"走近看细节""拿起看背面"等操作与现实博物馆参观行为一致，降低了学习成本。 **反思层设计**：关注用户在体验后的反思和意义建构。文化遗产沉浸式体验的最终目标不是"好玩"，而是引发用户对文化遗产价值的深层思考。通过在体验中设置反思节点(如虚拟导览中的提问、体验后的分享环节)，促进用户从"体验者"向"思考者"的转变。 ### 6.8 技术评估与发展趋势展望 #### 6.8.1 用户体验评估方法体系 文化遗产沉浸式体验的用户评估需要综合主客观方法： **客观生理指标**：心率变异性(HRV)、皮肤电反应(GSR)、脑电图(EEG)和眼动追踪等生理指标可客观反映用户的沉浸程度和情感反应。如Padfield等在丹麦国家博物馆的VR展览评估中，使用GSR监测发现用户在"沉浸式维京船"体验中的情感唤醒度显著高于传统视频观看。 **主观自报告量表**：IPQ(iGroup Presence Questionnaire)、SUS(System Usability Scale)和PQ(Presence Questionnaire)等标准化量表可量化评估用户的临场感和体验满意度。 **行为数据分析**：通过追踪用户在虚拟环境中的行为轨迹、注视热点、交互频率等数据，分析用户的行为模式和兴趣分布。如"数字敦煌"VR项目通过热力图分析发现，用户在壁画细节区域的注视时间远超预期，指导了后续内容设计的优化。 #### 6.8.2 元宇宙与文化遗产的未来图景 元宇宙概念为文化遗产的数字化保护和创新利用提供了新的想象空间。文化遗产在元宇宙中的可能形态包括： **数字孪生遗产地**：通过对文化遗产地进行高精度数字化扫描，在元宇宙中创建精确的数字孪生体，可用于虚拟游览、保护监测、学术研究等多重目的。如"数字长城"项目已建立了喜峰口长城段的毫米级精度数字孪生体，并在元宇宙平台中开放虚拟游览。 **跨时空文化遗产汇聚**：元宇宙可打破物理空间的限制，将分散于全球各地博物馆的文化遗产在虚拟空间中重新汇聚。如"数字丝绸之路"元宇宙项目计划将沿线各国博物馆的丝路文物在虚拟空间中联合展出，构建跨时空的文化对话。 **文化遗产NFT与数字所有权**：基于区块链技术的NFT(Non-Fungible Token)为文化遗产数字资产的所有权确认和交易提供了新机制。如乌菲兹美术馆曾将米开朗基罗的《多尼圆形》数字化版本铸造成NFT进行拍卖，引发了关于文化遗产数字资产化的伦理讨论。 ### 6.9 文化遗产沉浸式体验的案例深度分析 #### 6.9.1 卢浮宫"蒙娜丽莎：越界视野"VR体验 2024年卢浮宫推出的"蒙娜丽莎：越界视野"VR体验是文化遗产沉浸式体验的标杆项目。该项目利用超高分辨率扫描数据( 达到1.4亿像素)，通过VR技术使观众能够以前所未有的方式体验达·芬奇的这幅杰作： **超越物理限制的近距离观察**：在实体展厅中，观众需在防护栏外约3米处观看蒙娜丽莎，且停留时间受限。VR体验中，观众可"走近"画作至10厘米距离，观察笔触细节、颜料裂纹和修复痕迹。同时，红外成像数据层揭示了底层素描和修改痕迹，这是肉眼在原作前也无法看到的。 **时空穿越式体验**：VR体验不仅展示画作现状，还通过AI修复技术重建了画作在1503年创作完成时的可能面貌，使观众能对比500年间的变化。同时，虚拟环境中重建了达·芬奇的工作室，观众可在其中探索达·芬奇使用的颜料、工具和绘画技法。 **多感官沉浸设计**：除了视觉沉浸，VR体验还整合了空间音效——模拟16世纪佛罗伦萨的环境声音(街道声、工坊声、达·芬奇与模特对话声)，以及触觉反馈——通过触觉手套感受画布纹理和颜料厚度。多感官整合大幅提升了临场感和情感共鸣。 #### 6.9.2 中国大运河博物馆沉浸式展览体系 扬州中国大运河博物馆是国内沉浸式文化遗产展览的代表性案例，构建了多层次的沉浸式体验体系： "运河上的舟楫"沉浸式体验：观众登上一艘1:1复原的清代漕船，船体内部通过投影映射(Projection Mapping)技术呈现运河两岸的流动风景。观众可在船舱中体验不同季节、不同时段的运河航行，感受漕运生活的历史场景。 "5G大运河"全景体验：利用5G+VR技术，实时连接大运河沿线6省2市的遗产点摄像头，观众可在博物馆中实时观看运河各段的实景，实现了"时空压缩"的沉浸式体验。 "河之恋"沉浸式剧场：360度环幕配合地幕投影和空间音频，观众被完全包围在虚拟运河场景中，体验从古至今运河变迁的宏大叙事。该剧场的设计体现了"环境叙事"的理念——观众不是在"看"展览，而是在"经历"历史。 ### 6.10 沉浸式体验的技术标准与评估体系 #### 6.10.1 技术性能标准 文化遗产沉浸式体验的技术性能标准可从以下维度定义： **视觉性能**：(1)分辨率——VR头显单眼分辨率不低于2K(2048×2048)，AR眼镜不低于1080p；(2)视场角——VR不低于90度(推荐110度以上)，AR不低于40度；(3)刷新率——不低于90Hz(推荐120Hz)，以减少视觉疲劳和晕动症；(4)色彩空间——支持sRGB或DCI-P3色域，色准ΔE&lt;5。 **追踪性能**：(1)定位精度——6自由度追踪，位置精度不低于3mm，旋转精度不低于0.5度；(2)追踪范围——支持至少3m×3m的空间范围；(3)延迟——运动-光子延迟(M2P latency)不低于20ms，以避免晕动症。 **音频性能**：(1)空间音频——支持头部相关传递函数(HRTF)渲染的3D空间音频；(2)采样率——不低于48kHz；(3)声场定位精度——方位角误差不超过5度。 #### 6.10.2 体验质量评估框架 沉浸式体验的质量评估应涵盖技术质量、内容质量和体验效果三个层面： **技术质量评估**：通过客观测试工具测量系统的技术性能指标。如使用Frame Time Analyzer测量帧率和延迟，使用SpectraCal CalMAN测量色彩准确性。 **内容质量评估**：通过专家评审评估数字内容的学术准确性、艺术表现力和叙事连贯性。评估维度包括：历史准确性、文化敏感性、视觉美学、叙事逻辑、交互设计等。 **体验效果评估**：通过用户测试评估体验的实际效果。评估方法包括：(1)临场感量表(IPQ)——测量空间临场感、参与度和真实感；(2)情感反应测量——使用SAM(Self-Assessment Manikin)量表测量愉悦度、唤醒度和支配度；(3)行为观察——记录用户在体验中的行为模式(探索范围、互动频率、停留时间等)；(4)事后访谈——收集用户的主观感受和改进建议。 ### 6.11 文化遗产沉浸式体验的伦理考量 沉浸式技术在文化遗产领域的应用也需要伦理考量： **原真性与沉浸感的张力**：沉浸式体验追求强烈的临场感，可能需要对历史场景进行"戏剧化"处理——添加不存在的光影效果、音效氛围或互动元素。这些处理可能偏离历史原真性，需要在沉浸感和原真性之间寻求平衡。建议在体验中明确标注哪些元素是历史事实、哪些是艺术想象。 **文化敏感性与沉浸体验**：某些文化遗产内容(如宗教仪式、祭祀场景)具有文化敏感性，沉浸式体验可能让用户"侵入"不应接触的文化空间。如VR重建的印第安人圣殿仪式，即使出于教育目的，也可能冒犯源文化群体。因此，沉浸式体验的设计应尊重源社区的文化规范，必要时设置访问限制。 **数字疲劳与体验过载**：长时间沉浸式体验可能导致感官过载和数字疲劳。特别是文化遗产内容信息密度高，用户在短时间内接收大量视觉和听觉信息，容易产生认知超载。应设计适当的节奏和休息节点，避免"信息轰炸"。 ### 6.12 文化遗产沉浸式体验的产业化路径 #### 6.12.1 产业链分析 文化遗产沉浸式体验的产业链涉及多个环节： **上游——内容创作与技术开发**：包括文化遗产数字化采集(3D扫描、摄影测量)、数字内容创作(3D建模、动画制作、程序开发)和沉浸式体验设计(交互设计、叙事设计、空间设计)。上游环节的核心挑战是跨学科协作——技术人员需要理解文化遗产的学术内涵，人文学者需要掌握数字技术的可能性。 **中游——平台运营与集成服务**：包括沉浸式体验平台的运营维护、系统集成和内容分发。中游环节的核心挑战是商业模式的可持续性——沉浸式体验内容制作成本高，但用户付费意愿参差不齐，需要找到合理的盈利模式。 **下游——终端应用与用户服务**：包括博物馆/遗产地的沉浸式体验服务、文化旅游目的地的沉浸式项目、教育机构的沉浸式教学应用等。下游环节的核心挑战是用户接受度——沉浸式设备的使用门槛、体验成本和舒适度都影响用户的接受程度。 #### 6.12.2 商业模式创新 文化遗产沉浸式体验的商业模式正在探索中，主要模式包括： **B2G模式(面向政府/文博机构)**：为博物馆和遗产地定制开发沉浸式体验项目。这是当前最主要的商业模式，项目资金主要来源于政府财政拨款。优点是项目金额大、合作稳定，缺点是项目周期长、受财政预算波动影响大。 **B2C模式(面向终端消费者)**：开发面向公众的沉浸式体验产品，如VR文化遗产体验应用、AR导览APP等。优点是市场潜力大、可快速迭代，缺点是用户付费意愿不确定、市场竞争激烈。 **B2B2C模式(通过机构触达消费者)**：为文旅企业、教育机构等提供沉浸式内容和技术解决方案，再由这些机构服务于最终用户。如为旅行社提供VR遗产地体验内容，旅行社将其作为旅游产品的一部分向游客提供。 **IP授权模式**：将文化遗产沉浸式体验内容进行IP化运营，授权给游戏公司、影视公司、文创企业等进行二次开发。如"数字敦煌"IP已授权用于游戏(《王者荣耀》敦煌皮肤)、影视和文化创意产品，形成了多元化的IP变现路径。 ### 6.13 文化遗产VR/AR体验的教育应用 #### 6.13.1 VR/AR在文化遗产教育中的价值 VR/AR技术在文化遗产教育中具有独特价值： **时空穿越式学习**：VR可以将学习者带到无法实地到访的历史场景中——如穿越到唐代长安城体验当时的社会生活，或"进入"已经消失的建筑内部观察其空间结构。这种"时空穿越"式学习比传统的文字描述和图片展示更能激发学习兴趣和记忆留存。 **微观尺度探索**：VR可以缩放尺度，让学习者从宏观到微观多尺度观察文化遗产。如从全景视角观看一幅壁画，再放大到微观层面观察颜料颗粒和笔触细节，这种多尺度探索有助于培养学习者的观察力和分析能力。 **过程性学习**：AR/VR可以模拟文化遗产的制作过程，让学习者"亲手"参与制作。如VR陶艺模拟让学习者通过手势操作体验拉坯、修坯、上釉、烧制等陶器制作全过程，这种"做中学"的模式比"看中学"更有效。 **协作式学习**：VR支持多名学习者同时在同一虚拟空间中学习，通过语音交流和协作操作完成学习任务。如多名学生可以在VR中协作探索一个考古遗址，分工记录不同区域的信息并汇总讨论。 #### 6.13.2 教育应用的设计原则 文化遗产VR/AR教育应用的设计应遵循以下原则： **学习目标导向**：每个VR/AR教育应用应明确学习目标——知识获取(了解文物背景知识)、技能培养(学习传统工艺基本操作)、情感态度(增强文化认同和保护意识)——不同的学习目标对应不同的设计策略。 **适龄设计**：不同年龄段学习者的认知能力和操作能力不同，VR/AR内容应进行适龄调整。面向小学生的应用应简化操作界面、增加趣味性元素；面向大学生的应用可增加学术深度和自主探索空间。 **教师支持**：VR/AR教育应用应提供教师管理工具——创建班级、分配任务、监控学习进度、评估学习效果。教师应能在VR/AR体验前后嵌入课堂教学环节，形成"课前导入-VR体验-课后讨论"的完整教学闭环。 **技术可及性**：考虑学校的技术条件差异，VR/AR教育应用应支持从高端VR头显到普通手机/平板的多种设备。对于条件有限的学校，可提供基于Cardboard的低成本VR方案或基于WebAR的无设备方案。 ### 6.14 本章小结 本章从VR/AR/MR技术原理、文化遗产应用模式、沉浸式体验设计、技术评估与发展趋势、教育应用、产业化路径、伦理考量等多个维度，系统论述了扩展现实技术在文化遗产保护与活化中的理论与实践。XR技术是G.U.A.R.D.框架中U(Utilization)维度的核心技术支撑，为文化遗产的创造性转化和创新性发展提供了前所未有的体验可能性。 XR技术在文化遗产领域的应用正在从"技术展示"阶段走向"深度融合"阶段——技术不再是外在的展示工具，而是融入文化遗产保护、传承和传播全过程的内在要素。未来，随着空间计算、脑机接口、全息显示等前沿技术的成熟，文化遗产的沉浸式体验将变得更加自然、智能和个性化。 ### 6.15 延伸阅读与体验建议 **延伸阅读**：建议阅读Slater和Wilbur关于临场感研究的经典论文，理解沉浸感的心理学基础。同时推荐阅读Jenkins的《Convergence Culture》，了解跨媒介叙事理论在文化遗产中的应用潜力。对于技术方面，推荐关注ACM SIGGRAPH会议上文化遗产VR/AR相关的最新论文。 **体验建议**：本章涉及的VR/AR技术需要亲身体验才能深入理解。建议学生：(1)使用Google Cardboard配合智能手机体验基础VR内容，了解低成本VR的技术原理和体验局限；(2)参观配备VR/AR设备的博物馆或展览(如故宫数字文物库VR体验、敦煌VR展)，体验专业级沉浸式文化遗产展示；(3)使用Unity或Unreal Engine尝试创建一个简单的文化遗产VR场景(如虚拟展览室)，通过实践理解技术实现的关键环节。 **工具推荐**：对于希望深入学习VR/AR开发的学生，推荐以下工具链：Unity +VRTK(VR开发)、AR Foundation + ARCore/ARKit(AR开发)、Three.js/WebXR(Web3D开发)、Blender(3D建模)。这些工具均有丰富的文化遗产相关教程和开源项目可供参考。 ### 6.16 沉浸式体验的晕动症问题与解决方案 晕动症(Motion Sickness)是文化遗产VR体验中常见的用户体验问题，约15%-40%的用户在首次使用VR时会经历不同程度的晕动症状(头晕、恶心、眼疲劳)。这一问题直接影响文化遗产VR体验的普及和接受度： **晕动症成因**：VR晕动症的主要成因是"感觉冲突"——视觉系统感知到的运动信息与前庭系统(内耳平衡器官)感知到的运动信息不一致。当VR环境中用户"移动"但身体实际静止时，大脑接收到矛盾的运动信号，引发晕动反应。 **缓解策略**：(1)技术优化——提高帧率(≥90fps)、降低延迟(M2P&lt;20ms)、提高分辨率(减少纱窗效应)可减轻晕动症；(2)设计策略——避免强制性的相机移动、提供"传送"式移动(用户选择目的地瞬间到达)、使用"隧道视野"(移动时缩小视场角)等设计手段减少视觉-前庭冲突；(3)用户适应——大部分用户经过3-5次VR体验后晕动症状会显著减轻，可通过渐进式体验(从短时间、低运动量内容开始)帮助用户适应。 **文化遗产场景的特殊考量**：文化遗产VR体验中，用户通常需要在虚拟空间中"行走"(如漫游虚拟博物馆)，这比"坐定式"体验更容易引发晕动症。替代方案包括：(1)"轨道式"漫游——用户沿预设路径自动移动，类似乘坐观光车；(2)"鸟瞰式"浏览——从高空俯视文化遗产全景，减少运动感知冲突；(3)"缩放式"探索——通过放大/缩小改变观察尺度，而非物理移动。 ### 6.17 XR硬件的发展趋势与文化遗产适配 XR硬件的发展趋势对文化遗产应用有直接影响：(1)轻量化——AR眼镜正从"头盔式"向"眼镜形态"演进，重量已降至80克以下，预计未来2-3年内将出现重量低于50克的消费级AR眼镜，使文化遗产AR导览的长时间使用成为可能。(2)视场角扩展——VR头显的视场角正从90度向120-150度扩展，更大的视场角能提供更强的沉浸感。(3)眼动追踪标准化——眼动追踪已成为新一代VR头显的标配功能，可用于注视点渲染(仅在用户注视区域渲染高清画面，提升性能)和注视点交互(通过眼神选择和确认操作)。(4)社交功能——新一代VR头显支持面部表情追踪和混合现实透视，使多人VR体验中的虚拟形象更加自然和富有表情。 在文化遗产沉浸式体验的实践中，成本控制是一个关键考量。高质量VR内容的制作成本通常在每分钟5至20万元人民币，一个完整的文化遗产VR体验项目的制作成本可达数百万元。AR应用的开发成本相对较低但也需要数十万元至百万元级别。降低成本的策略包括：利用游戏引擎的现成资产和插件减少定制开发；采用模块化设计实现内容复用；利用AI生成技术辅助场景建模和纹理制作。随着技术工具的成熟和内容生态的丰富，文化遗产沉浸式体验的制作成本有望逐步降低，使更多文博机构能够负担。</w:t>
      </w:r>
    </w:p>
    <w:p>
      <w:pPr>
        <w:spacing w:line="360" w:lineRule="auto" w:before="60" w:after="60"/>
        <w:ind w:left="720"/>
      </w:pPr>
      <w:r>
        <w:rPr>
          <w:rFonts w:ascii="Microsoft YaHei" w:hAnsi="Microsoft YaHei" w:eastAsia="Microsoft YaHei"/>
          <w:i/>
          <w:sz w:val="22"/>
        </w:rPr>
        <w:t>**图表数据来源**：本章图表基于VR/AR硬件技术参数（厂商公开数据）及用户体验研究文献数据整理。</w:t>
      </w:r>
    </w:p>
    <w:p>
      <w:pPr>
        <w:pStyle w:val="Heading2"/>
      </w:pPr>
      <w:r>
        <w:rPr>
          <w:rFonts w:ascii="Microsoft YaHei" w:hAnsi="Microsoft YaHei" w:eastAsia="Microsoft YaHei"/>
          <w:color w:val="264653"/>
        </w:rPr>
        <w:t>参考文献</w:t>
      </w:r>
    </w:p>
    <w:p>
      <w:pPr>
        <w:spacing w:line="360" w:lineRule="auto" w:after="60"/>
        <w:ind w:firstLine="480"/>
      </w:pPr>
      <w:r>
        <w:rPr>
          <w:rFonts w:ascii="Microsoft YaHei" w:hAnsi="Microsoft YaHei" w:eastAsia="Microsoft YaHei"/>
          <w:sz w:val="24"/>
        </w:rPr>
        <w:t>1. Bekele M K, Pierdicca R, Frontoni E, et al.. A Survey of Augmented, Virtual, and Mixed Reality for Cultural Heritage. Journal on Computing and Cultural Heritage, 2018, 11(2): 1-36. DOI: 10.1145/3145534.</w:t>
      </w:r>
    </w:p>
    <w:p>
      <w:pPr>
        <w:spacing w:line="360" w:lineRule="auto" w:after="60"/>
        <w:ind w:firstLine="480"/>
      </w:pPr>
      <w:r>
        <w:rPr>
          <w:rFonts w:ascii="Microsoft YaHei" w:hAnsi="Microsoft YaHei" w:eastAsia="Microsoft YaHei"/>
          <w:sz w:val="24"/>
        </w:rPr>
        <w:t>2. Baviera López E, Llopis Verdú J, Martínez Piqueras J, et al.. Heritage Dissemination Through the Virtual and Augmented Realities. Springer, 2018. DOI: 10.1007/978-3-319-93749-6_50.</w:t>
      </w:r>
    </w:p>
    <w:p>
      <w:pPr>
        <w:spacing w:line="360" w:lineRule="auto" w:after="60"/>
        <w:ind w:firstLine="480"/>
      </w:pPr>
      <w:r>
        <w:rPr>
          <w:rFonts w:ascii="Microsoft YaHei" w:hAnsi="Microsoft YaHei" w:eastAsia="Microsoft YaHei"/>
          <w:sz w:val="24"/>
        </w:rPr>
        <w:t>3. Alboul L, Beer M, Nisiotis L. Robotics and Virtual Reality Gaming for Cultural Heritage Preservation. Semantic Scholar, 2019.</w:t>
      </w:r>
    </w:p>
    <w:p>
      <w:pPr>
        <w:spacing w:line="360" w:lineRule="auto" w:after="60"/>
        <w:ind w:firstLine="480"/>
      </w:pPr>
      <w:r>
        <w:rPr>
          <w:rFonts w:ascii="Microsoft YaHei" w:hAnsi="Microsoft YaHei" w:eastAsia="Microsoft YaHei"/>
          <w:sz w:val="24"/>
        </w:rPr>
        <w:t>4. Haydar M, Roussel D, Otmane S, et al.. Virtual and augmented reality for cultural computing and heritage: a case study of virtual exploration of underwater archaeological sites. Virtual Reality, 2011, 15(4): 311-321. DOI: 10.1007/s10055-010-0176-4.</w:t>
      </w:r>
    </w:p>
    <w:p>
      <w:pPr>
        <w:spacing w:line="360" w:lineRule="auto" w:after="60"/>
        <w:ind w:firstLine="480"/>
      </w:pPr>
      <w:r>
        <w:rPr>
          <w:rFonts w:ascii="Microsoft YaHei" w:hAnsi="Microsoft YaHei" w:eastAsia="Microsoft YaHei"/>
          <w:sz w:val="24"/>
        </w:rPr>
        <w:t>5. Ababneh A. Digital solutions for cultural heritage: preservation, interpretation, and engagement in line with the Venice charter principles. Semantic Scholar, 2024.</w:t>
      </w:r>
    </w:p>
    <w:p>
      <w:pPr>
        <w:spacing w:line="360" w:lineRule="auto" w:after="60"/>
        <w:ind w:firstLine="480"/>
      </w:pPr>
      <w:r>
        <w:rPr>
          <w:rFonts w:ascii="Microsoft YaHei" w:hAnsi="Microsoft YaHei" w:eastAsia="Microsoft YaHei"/>
          <w:sz w:val="24"/>
        </w:rPr>
        <w:t>6. Trunfio M, Jung T, Campana S. Mixed reality experiences in museums: Exploring the impact of functional elements of the devices on visitors' immersive experiences and post-experience behaviours. Information &amp; Management, 2022, 60(2): 103698. DOI: 10.1016/j.im.2022.103698.</w:t>
      </w:r>
    </w:p>
    <w:p>
      <w:pPr>
        <w:spacing w:line="360" w:lineRule="auto" w:after="60"/>
        <w:ind w:firstLine="480"/>
      </w:pPr>
      <w:r>
        <w:rPr>
          <w:rFonts w:ascii="Microsoft YaHei" w:hAnsi="Microsoft YaHei" w:eastAsia="Microsoft YaHei"/>
          <w:sz w:val="24"/>
        </w:rPr>
        <w:t>7. Boboc R G, Băutu E, Gîrbaic F, et al.. Augmented Reality in Cultural Heritage: An Overview of the Last Decade of Applications. Applied Sciences, 2022, 12(19): 9859. DOI: 10.3390/app12199859.</w:t>
      </w:r>
    </w:p>
    <w:p>
      <w:pPr>
        <w:spacing w:line="360" w:lineRule="auto" w:after="60"/>
        <w:ind w:firstLine="480"/>
      </w:pPr>
      <w:r>
        <w:rPr>
          <w:rFonts w:ascii="Microsoft YaHei" w:hAnsi="Microsoft YaHei" w:eastAsia="Microsoft YaHei"/>
          <w:sz w:val="24"/>
        </w:rPr>
        <w:t>8. Barrile V, Bernardo E, Fotia A, et al.. A Combined Study of Cultural Heritage in Archaeological Museums: 3D Survey and Mixed Reality. Heritage, 2022, 5(3): 1069-1083. DOI: 10.3390/heritage5030069.</w:t>
      </w:r>
    </w:p>
    <w:p>
      <w:pPr>
        <w:spacing w:line="360" w:lineRule="auto" w:after="60"/>
        <w:ind w:firstLine="480"/>
      </w:pPr>
      <w:r>
        <w:rPr>
          <w:rFonts w:ascii="Microsoft YaHei" w:hAnsi="Microsoft YaHei" w:eastAsia="Microsoft YaHei"/>
          <w:sz w:val="24"/>
        </w:rPr>
        <w:t>9. Petridis P, Dunwell I, Liarokapis F, et al.. The Herbert Virtual Museum. EURASIP Journal on Advances in Signal Processing, 2013, 2013(1): 487970. DOI: 10.1155/2013/487970.</w:t>
      </w:r>
    </w:p>
    <w:p>
      <w:pPr>
        <w:spacing w:line="360" w:lineRule="auto" w:after="60"/>
        <w:ind w:firstLine="480"/>
      </w:pPr>
      <w:r>
        <w:rPr>
          <w:rFonts w:ascii="Microsoft YaHei" w:hAnsi="Microsoft YaHei" w:eastAsia="Microsoft YaHei"/>
          <w:sz w:val="24"/>
        </w:rPr>
        <w:t>10. 李建, 张杰. VR/AR技术在历史文化街区保护与数字化复原中的应用研究——以开封市历史文化街区为例. 维普网.</w:t>
      </w:r>
    </w:p>
    <w:p>
      <w:pPr>
        <w:spacing w:line="360" w:lineRule="auto" w:after="60"/>
        <w:ind w:firstLine="480"/>
      </w:pPr>
      <w:r>
        <w:rPr>
          <w:rFonts w:ascii="Microsoft YaHei" w:hAnsi="Microsoft YaHei" w:eastAsia="Microsoft YaHei"/>
          <w:sz w:val="24"/>
        </w:rPr>
        <w:t>11. 于连伯. 浅谈新兴技术及运营方式在博物馆中的应用. 万方数据.</w:t>
      </w:r>
    </w:p>
    <w:p>
      <w:pPr>
        <w:spacing w:line="360" w:lineRule="auto" w:after="60"/>
        <w:ind w:firstLine="480"/>
      </w:pPr>
      <w:r>
        <w:rPr>
          <w:rFonts w:ascii="Microsoft YaHei" w:hAnsi="Microsoft YaHei" w:eastAsia="Microsoft YaHei"/>
          <w:sz w:val="24"/>
        </w:rPr>
        <w:t>12. Rambach J, Lilligreen G, Schäfer A, et al.. A survey on applications of augmented, mixed and virtual reality for nature and environment. arXiv, 2020. DOI: arXiv:2008.12024.</w:t>
      </w:r>
    </w:p>
    <w:p>
      <w:pPr>
        <w:spacing w:line="360" w:lineRule="auto" w:after="60"/>
        <w:ind w:firstLine="480"/>
      </w:pPr>
      <w:r>
        <w:rPr>
          <w:rFonts w:ascii="Microsoft YaHei" w:hAnsi="Microsoft YaHei" w:eastAsia="Microsoft YaHei"/>
          <w:sz w:val="24"/>
        </w:rPr>
        <w:t>13. Díaz Mendoza M A, De La Hoz Franco E, Gómez Gómez J E. Technologies for the Preservation of Cultural Heritage—A Systematic Review of the Literature. Sustainability, 2023, 15(2): 1059. DOI: 10.3390/su15021059.</w:t>
      </w:r>
    </w:p>
    <w:p>
      <w:pPr>
        <w:spacing w:line="360" w:lineRule="auto" w:after="60"/>
        <w:ind w:firstLine="480"/>
      </w:pPr>
      <w:r>
        <w:rPr>
          <w:rFonts w:ascii="Microsoft YaHei" w:hAnsi="Microsoft YaHei" w:eastAsia="Microsoft YaHei"/>
          <w:sz w:val="24"/>
        </w:rPr>
        <w:t>14. Hou Y, Kenderdine S, Picca D, et al.. Digitizing Intangible Cultural Heritage Embodied: State of the Art. ACM Journal on Computing and Cultural Heritage, 2022, 15(3): 1-28. DOI: 10.1145/3494837.</w:t>
      </w:r>
    </w:p>
    <w:p>
      <w:pPr>
        <w:spacing w:line="360" w:lineRule="auto" w:after="60"/>
        <w:ind w:firstLine="480"/>
      </w:pPr>
      <w:r>
        <w:rPr>
          <w:rFonts w:ascii="Microsoft YaHei" w:hAnsi="Microsoft YaHei" w:eastAsia="Microsoft YaHei"/>
          <w:sz w:val="24"/>
        </w:rPr>
        <w:t>15. Wan Isa W M, Mat Zin N, Rosdi F, et al.. Digital Preservation of Intangible Cultural Heritage. Indonesian Journal of Electrical Engineering and Computer Science, 2018, 12(3): 1373-1379. DOI: 10.11591/IJEECS.V12.I3.PP1373-1379.</w:t>
      </w:r>
    </w:p>
    <w:p>
      <w:pPr>
        <w:spacing w:line="360" w:lineRule="auto" w:after="60"/>
        <w:ind w:firstLine="480"/>
      </w:pPr>
      <w:r>
        <w:rPr>
          <w:rFonts w:ascii="Microsoft YaHei" w:hAnsi="Microsoft YaHei" w:eastAsia="Microsoft YaHei"/>
          <w:sz w:val="24"/>
        </w:rPr>
        <w:t>16. Ertürk N. Preservation of Digitized Intangible Cultural Heritage in Museum Storage. Museum Storage, 2022.</w:t>
      </w:r>
    </w:p>
    <w:p>
      <w:pPr>
        <w:spacing w:line="360" w:lineRule="auto" w:after="60"/>
        <w:ind w:firstLine="480"/>
      </w:pPr>
      <w:r>
        <w:rPr>
          <w:rFonts w:ascii="Microsoft YaHei" w:hAnsi="Microsoft YaHei" w:eastAsia="Microsoft YaHei"/>
          <w:sz w:val="24"/>
        </w:rPr>
        <w:t>17. 余日季. 基于AR技术的非物质文化遗产数字化开发研究. 万方数据, 2014.</w:t>
      </w:r>
    </w:p>
    <w:p>
      <w:r>
        <w:br w:type="page"/>
      </w:r>
    </w:p>
    <w:p/>
    <w:p/>
    <w:p/>
    <w:p/>
    <w:p/>
    <w:p/>
    <w:p/>
    <w:p/>
    <w:p>
      <w:pPr>
        <w:jc w:val="center"/>
      </w:pPr>
      <w:r>
        <w:rPr>
          <w:rFonts w:ascii="Microsoft YaHei" w:hAnsi="Microsoft YaHei" w:eastAsia="Microsoft YaHei"/>
          <w:b/>
          <w:color w:val="264653"/>
          <w:sz w:val="48"/>
        </w:rPr>
        <w:t>第三篇 传播与活化篇</w:t>
      </w:r>
    </w:p>
    <w:p>
      <w:r>
        <w:br w:type="page"/>
      </w:r>
    </w:p>
    <w:p>
      <w:pPr>
        <w:pStyle w:val="Heading2"/>
      </w:pPr>
      <w:r>
        <w:rPr>
          <w:rFonts w:ascii="Microsoft YaHei" w:hAnsi="Microsoft YaHei" w:eastAsia="Microsoft YaHei"/>
          <w:color w:val="264653"/>
        </w:rPr>
        <w:t>学习目标 1. **识记**：数字博物馆的定义、类型与发展历程 2. **理解**：虚拟展览的策划原则、空间设计与叙事策略 3. **应用**：运用Web3D和全景图像技术设计一个虚拟展览方案 4. **分析**：分析数字博物馆运营管理中的内容管理、用户分析和商业模式 5. **评价**：比较谷歌艺术与文化计划、卢浮宫数字博物馆和中国数字博物馆集群的服务模式 6. **创造**：设计一个面向青少年教育的非遗数字博物馆展览方案 ## 导入案例：荷兰国立博物馆数字开放实践 荷兰国立博物馆(Rijksmuseum)是全球数字化开放的先驱。2013年，该馆推出了Rijksstudio数字平台，将超过70万件馆藏的高清数字图像以CC0(公共领域)协议向全球免费开放，任何人都可以自由下载、编辑和分享。这一大胆的开放政策引发了全球博物馆界关于"数字化成果是否应免费开放"的广泛讨论。研究表明，荷兰博物馆的数字化侧重藏品导览，采用合适且成熟的多媒体互动技术，为观众提供良好的博物馆体验。 ### 7.1 数字博物馆的概念与发展 #### 7.1.1 数字博物馆的定义与类型 数字博物馆(Digital Museum)是利用数字技术对博物馆的藏品、展览、教育和服务进行数字化呈现和管理的虚拟或混合平台。根据数字化程度，可分为三类：**实体博物馆的数字延伸**(如网站、线上展览)、**纯虚拟博物馆**(无实体空间，完全存在于数字空间)和**混合型博物馆**(实体与数字深度融合)。 Myna等人在探讨虚拟博物馆与数字遗产现象时指出，在线展览、虚拟现实、社交网络和3D技术使博物馆机构不仅能够保存文化遗产，还能部分地将其从物理限制中解放出来。 #### 7.1.2 数字博物馆的发展历程 数字博物馆的发展经历了三个阶段：**Web 1.0阶段**(1990s-2000s)——以静态网页展示藏品信息为主；**Web 2.0阶段**(2000s-2010s)——引入用户互动、社交分享和多媒体展示；**Web 3.0阶段**(2010s-至今)——融合3D技术、VR/AR、AI和大数据，实现智能化和沉浸式体验。 #### 7.1.3 数字博物馆的特征与功能 数字博物馆的核心特征包括：**超越时空性**(24小时在线、全球可访问)、**交互性**(支持用户与展品的多维互动)、**可扩展性**(可无限容纳数字展品)和**个性化**(根据用户偏好推荐内容)。Lyu指出，数字化转型为博物馆文化遗产的保护与传承提供了新方法。 ### 7.2 虚拟展览设计 #### 7.2.1 虚拟展览的策划原则 虚拟展览策划应遵循以下原则：**主题导向**——明确的策展主题是展览的灵魂；**叙事逻辑**——展品之间的逻辑关系应构成连贯的叙事；**用户体验**——以用户认知和体验为中心进行设计；**技术适配**——技术选择应服务于内容表达而非炫技。 Basaraba在研究文化遗产的跨媒介叙事时指出，数字时代的遗产传播需要采用跨媒介叙事策略，通过多个数字平台和媒介形式构建统一的文化遗产叙事体系。 #### 7.2.2 虚拟展览的空间设计 虚拟展览的空间设计不受物理空间限制，可以创造超越现实的展览空间。关键设计要素包括：空间布局(线性/网状/放射状)、视觉风格(写实/抽象/风格化)、灯光氛围和导航系统。 #### 7.2.3 虚拟展览的叙事策略 虚拟展览的叙事策略包括：**线性叙事**(按历史时间线组织)、**主题叙事**(按主题分类组织)、**探索式叙事**(用户自主路径)和**对话式叙事**(用户与系统的交互式对话)。Bonacini等人在研究数字遗产传播和参与式叙事时，以#iziTRAVELSicilia项目为例展示了参与式叙事在文化遗产传播中的创新应用。 ### 7.3 数字博物馆的技术实现 #### 7.3.1 Web3D与HTML5技术 Web3D技术使三维模型能够在浏览器中直接渲染和交互，无需安装插件。丁翔等人在研究武当文化数字博物馆时，利用HTML5技术将三维模型嵌入网页，实现了文化遗产的在线展示和互动。WebGL、Three.js等技术的成熟使Web3D成为虚拟展览的主流技术方案。 #### 7.3.2 全景图像与虚拟漫游 全景图像技术通过拼接多张照片生成360度全景视图，用户可以通过鼠标或触摸进行虚拟漫游。这是目前应用最广泛的虚拟展览技术，具有成本低、兼容性好、网络带宽要求低等优势。 #### 7.3.3 交互式展品设计 交互式展品是数字博物馆的核心吸引力。常见的交互形式包括：三维展品旋转/缩放、虚拟修复体验、AR信息叠加、游戏化互动和教育问答。Bailey-Ross等人在研究博物馆数字内容创建时指出，数字交互技术是吸引访客参与的重要资源。 ### 7.4 数字博物馆的运营管理 #### 7.4.1 数字内容管理 数字博物馆的内容管理涉及数字资产的管理(DAM系统)、内容发布管理(CMS系统)和版权管理。于连伯在研究博物馆中的新兴技术应用时指出，AR、VR等先进技术对博物馆文化遗产的可视化呈现带来了崭新的视觉文化传播模式。 #### 7.4.2 用户数据分析 数字博物馆通过网站分析工具、用户行为追踪和A/B测试等手段，分析用户行为数据，优化展览设计和内容推荐。Taylor和Gibson在研究数字化的民主化障碍时指出，数字化互动和社交媒体的嵌入虽然拓展了遗产的可及性，但也存在技术门槛、数字鸿沟等民主化障碍。 #### 7.4.3 数字博物馆的商业模式 数字博物馆的商业模式包括：公共资助(政府拨款)、会员制(付费会员增值服务)、文创电商(数字衍生品销售)、教育服务(在线课程/工作坊)和品牌授权(IP授权)。Russo-Spenna等人在研究文化遗产数字商业模式时提出了一个从文化遗产业务中提炼的数字商业模式框架。 ### 7.5 国际数字博物馆案例 #### 7.5.1 谷歌艺术与文化计划 谷歌艺术与文化计划(Google Arts &amp; Culture)是全球最大的数字博物馆平台，与全球2000余家文化机构合作，提供超过20万件数字展品的高清浏览。其技术特色包括千兆像素图像(Gigapixel)、虚拟画廊漫游和AI驱动的艺术探索功能。 #### 7.5.2 卢浮宫数字博物馆 卢浮宫是欧洲最早开展数字化的博物馆之一，其数字馆藏包含超过48万件藏品的数字记录，提供多种语言的虚拟参观服务。 #### 7.5.3 中国数字博物馆集群 中国数字博物馆建设已形成规模化发展。数字故宫、数字敦煌、中国国家博物馆数字馆等大型项目构成了中国数字博物馆的核心矩阵。王伟华在分析博物馆文化遗产的数字展示与实体展示时指出，数字展示对非物质文化遗产传播尤其重要，也是文化遗产教育推广的较佳途径，但数字展示宜结合实体展览以满足观众的"原真性"体验需求。 ## 知识卡片 **知识卡片7-1：数字博物馆发展三阶段** | 阶段 | 时期 | 特征 | 代表技术 | |------|------|------|---------| | Web 1.0 | 1990s-2000s | 静态展示 | HTML、图片 | | Web 2.0 | 2000s-2010s | 互动参与 | Flash、社交 | | Web 3.0 | 2010s-至今 | 智能沉浸 | WebGL、VR/AR、AI | ## 本章小结 本章系统论述了数字博物馆与虚拟展览，对应G.U.A.R.D.框架的R维度。首先界定了数字博物馆的概念类型和发展历程；然后从策划原则、空间设计和叙事策略三个方面阐述了虚拟展览设计方法；接着介绍了Web3D、全景图像和交互式展品等技术实现方案；之后讨论了数字博物馆的运营管理；最后通过谷歌艺术与文化、卢浮宫和中国数字博物馆集群三个案例分析了国际数字博物馆的实践模式。 ## 思考题 1. **(识记)** 数字博物馆的三种类型是什么？各有何特征？ 2. **(理解)** 比较虚拟展览的四种叙事策略的适用场景。 3. **(应用)** 运用Web3D和全景图像技术为一个地方博物馆设计虚拟展览方案。 4. **(分析)** 分析荷兰国立博物馆CC0开放模式的利弊及其对数字博物馆发展的影响。 5. **(评价)** 评估数字博物馆能否完全替代实体博物馆，从"原真性"体验角度进行论证。 6. **(创造)** 设计一个面向K-12教育的非遗数字博物馆，包含展览主题、互动设计和教学方案。 ### 7.6 数字博物馆的用户体验设计 #### 7.6.1 用户需求分析 数字博物馆的用户群体多样，需求差异显著。**研究者**需要高质量的数字图像、完整的元数据和高级检索功能；**教育者**需要教学资源包、课程方案和互动工具；**普通公众**需要直观的界面、有趣的叙事和便捷的导航；**青少年**需要游戏化体验、视觉吸引力和社交分享功能；**特殊群体**(视障、听障、老年)需要无障碍设计和辅助技术。 Bailey-Ross等人在研究博物馆数字内容创建时指出，数字交互技术是吸引访客参与的重要资源，但不同用户群体对交互方式的偏好不同——研究者偏好深度检索和专业工具，公众偏好浏览和视觉体验，青少年偏好游戏和社交。因此，数字博物馆的用户界面设计应采用"自适应"策略，根据用户特征提供差异化的界面和功能。 #### 7.6.2 界面设计原则 数字博物馆的界面设计应遵循以下原则：**简洁性**——避免信息过载，核心内容优先展示；**一致性**——全站风格统一、导航逻辑清晰；**可发现性**——用户能够轻松发现感兴趣的内容；**可访问性**——支持不同设备和浏览器，满足无障碍标准。Wang和Meng在研究博物馆数字化的公众参与时指出，访客的认知认同、技术中介、文化象征和公众参与四个维度需要协同设计。 #### 7.6.3 叙事设计 数字博物馆的叙事设计是其区别于传统藏品数据库的核心特征。Basaraba在研究文化遗产跨媒介叙事时指出，数字时代的遗产传播需要采用跨媒介叙事策略，通过多个数字平台和媒介形式构建统一的文化遗产叙事体系。有效的叙事设计包括：**主题叙事**——以特定主题串联展品；**时间叙事**——按历史时间线组织内容；**空间叙事**——模拟物理空间布局进行虚拟漫游；**人物叙事**——以历史人物视角讲述故事。 ### 7.7 数字博物馆的评估与优化 #### 7.7.1 评估指标体系 数字博物馆的评估应从多个维度进行：**内容指标**(数字资源数量、质量、更新频率)、**技术指标**(网站速度、稳定性、兼容性)、**使用指标**(访问量、停留时间、跳出率)、**参与指标**(评论数、分享数、UGC数量)和**影响指标**(学习效果、态度改变、行为影响)。Taylor和Gibson指出，数字化互动和社交媒体虽然拓展了遗产的可及性，但需要建立系统的评估框架来衡量其实际效果。 #### 7.7.2 数据驱动的优化 数据驱动的优化利用网站分析、用户行为追踪和A/B测试等手段，持续改进数字博物馆的用户体验。关键优化方向包括：搜索算法优化(提高检索准确率)、推荐系统优化(个性化内容推荐)、界面交互优化(简化操作流程)和内容策略优化(根据用户偏好调整内容呈现)。 #### 7.7.3 洪闯等人的评估研究 洪闯和李中明基于可拓云模型对文化遗产数字化平台信息服务质量进行了评价研究，以"云游敦煌"和"数字故宫"为实证案例。研究发现，用户对文化遗产数字化平台的期望集中在还原文化遗产细节、提升用户满意度、响应用户诉求和重视移动端体验四个方面。这一研究为数字博物馆的服务优化提供了实证依据。 ### 7.8 国际数字博物馆的发展趋势 #### 7.8.1 从"数字化"到"智慧化" 国际数字博物馆正在从"数字化"阶段向"智慧化"阶段转型。智慧化数字博物馆的特征包括：AI驱动的智能检索和推荐、基于用户行为的个性化服务、自动化的元数据标引和内容生成、以及基于知识图谱的语义关联。Lyu指出，数字化转型为博物馆文化遗产的保护与传承提供了新方法。 #### 7.8.2 从"单向传播"到"参与共创" 国际数字博物馆正在从"机构向公众单向传播"模式向"机构与公众共同创造"模式转型。Myna等人在探讨虚拟博物馆与数字遗产现象时指出，在线展览、虚拟现实、社交网络和3D技术使博物馆机构能够将文化遗产从物理限制中解放出来，同时也使公众能够参与内容的共创。Bonacini等人的#iziTRAVELSicilia项目展示了参与式叙事在文化遗产传播中的创新应用。 #### 7.8.3 从"本地服务"到"全球互联" 数字博物馆正在从本地服务向全球互联发展。Europeana整合了来自4000余家文化机构的资源，Google Arts &amp; Culture连接了全球2000余家文化机构。这种全球互联模式使文化遗产突破了国界限制，为跨文化理解和文明互鉴提供了数字基础设施。Pavlova等人在从电子治理视角分析文化遗产时指出，数字化使虚拟博物馆和数字图书馆的创建成为可能，但全球互联需要解决数据互操作性、版权协调和多语言支持等挑战。 ### 7.9 数字博物馆的技术架构演进 #### 7.9.1 从单体系统到云原生架构 数字博物馆的技术架构经历了从单体系统到分层架构再到云原生架构的演进。早期数字博物馆采用单体系统——所有功能(藏品管理、展览展示、用户管理)集中在一个应用中，开发简单但扩展性差。中期发展为分层架构——将前端展示、业务逻辑和数据存储分离，提高了可维护性。当前先进数字博物馆采用云原生架构——基于微服务、容器化和DevOps，支持弹性扩展和持续迭代。 丁翔等人在研究武当文化数字博物馆时采用HTML5技术将三维模型嵌入网页，实现了文化遗产的在线展示和互动。这一实践展示了Web3D技术在数字博物馆中的成熟应用。随着WebGL、Three.js、WebXR等Web3D技术的不断发展，浏览器端的三维渲染性能已接近原生应用，为数字博物馆的普及化奠定了技术基础。 #### 7.9.2 内容管理系统(CMS)与数字资产管理系统(DAM) 数字博物馆的内容管理涉及两个核心系统：**CMS**(Content Management System)负责展览内容的编辑、发布和管理，支持非技术人员通过可视化界面管理展览内容；**DAM**(Digital Asset Management)负责数字资产(三维模型、高清图像、音视频)的存储、索引和分发，支持大文件的高效传输和多格式输出。 #### 7.9.3 API驱动的开放平台 API驱动的开放平台是数字博物馆的发展趋势。通过开放API，数字博物馆的藏品数据可以被外部开发者、研究者和教育者自由利用，催生各种创新应用。Europeana的API体系(Search API、Entity API、IIIF API)为全球开发者提供了接入5800万件文化遗数据的接口，已催生了数百个第三方应用。 ### 7.10 数字博物馆的社会影响与未来 #### 7.10.1 数字博物馆与文化旅游 数字博物馆与文化旅游的融合正在创造新的价值。虚拟博物馆可以作为实体博物馆的"前站"——游客在实地参观前通过虚拟展览预热，在参观后通过数字资源深化理解。同时，数字博物馆也可以作为独立的文化旅游目的地——"数字朝圣"(Digital Pilgrimage)使无法实地参观的群体也能获得文化体验。Lyu指出，数字化转型为博物馆文化遗产的保护与传承提供了新方法。 #### 7.10.2 数字博物馆与创意产业 数字博物馆的藏品数据为创意产业提供了丰富的素材和灵感来源。基于数字藏品的设计创新——如故宫文创的数字营销、敦煌IP的跨界授权——已成为文化创意产业的重要增长点。Russo-Spenna等人从文化遗产业务中提炼的数字商业模式框架指出，文化遗产领域不存在"一刀切"的商业模式，需要根据机构类型和资源特征定制化设计。 #### 7.10.3 数字博物馆的未来形态 数字博物馆的未来形态可能是"虚实融合"的——实体博物馆与数字博物馆深度整合，参观者可以在实体空间中通过AR获得数字增强信息，也可以在虚拟空间中通过VR获得沉浸式体验。Myna等人在探讨虚拟博物馆与数字遗产现象时指出，在线展览、虚拟现实、社交网络和3D技术使博物馆机构不仅能够保存文化遗产，还能部分地将其从物理限制中解放出来。未来的数字博物馆可能不再是实体博物馆的"数字副本"，而是一种独立的文化形态——"原生数字博物馆"(Born-Digital Museum)。 ### 7.11 数字博物馆的运营模式创新 #### 7.11.1 社区参与式运营 数字博物馆的运营正在从"机构单向运营"向"社区参与式运营"转型。参与式运营的核心是将公众从被动的"消费者"转变为主动的"共创者"。Bonacini等人的#iziTRAVELSicilia项目展示了参与式叙事在文化遗产传播中的创新应用——当地社区居民创作文化遗产故事，通过数字平台向游客提供导览服务。这种模式不仅丰富了博物馆的内容来源，也增强了社区的文化认同和参与感。 #### 7.11.2 跨界合作与IP运营 数字博物馆的运营越来越依赖跨界合作。博物馆与科技企业合作开发数字化产品(如故宫与腾讯合作开发"数字故宫"系列)、与教育机构合作开发在线课程、与文创企业合作开发衍生品。IP运营已成为数字博物馆的重要收入来源——基于馆藏文物的文化创意产品、数字版权授权和品牌合作。Russo-Spenna等人从文化遗产业务中提炼的数字商业模式框架指出，文化遗产领域不存在"一刀切"的商业模式。 #### 7.11.3 数据驱动的精准服务 数据驱动的精准服务是数字博物馆运营的新趋势。通过分析用户行为数据(访问路径、停留时间、搜索关键词、分享行为)，博物馆可以了解用户偏好，优化展览设计，提供个性化推荐。王伟华在分析博物馆文化遗产的数字展示时指出，数字展示对非物质文化遗产传播尤其重要，也是文化遗产教育推广的较佳途径。 ### 7.6 数字博物馆的类型学建构与比较分析 #### 7.6.1 数字博物馆的分类维度 数字博物馆的发展已从早期简单的"实体博物馆网站"演化为多元化的数字文化空间体系。根据存在形态、功能定位和技术架构的不同，可将数字博物馆划分为以下五种类型： **(1)实体博物馆的数字延伸型**。此类数字博物馆以实体博物馆为基础，通过数字化手段扩展其展览空间和服务范围。典型代表包括大英博物馆的在线馆藏系统、故宫博物院的"数字故宫"平台等。这类平台的核心特征是数字内容与实体馆藏高度关联，数字展示服务于实体展览的延伸和补充。根据Navarrete的研究，此类平台约占全球数字博物馆总量的65%，其优势在于内容权威性强、数据质量高，但局限性在于数字体验往往依附于实体空间，难以形成独立的数字叙事。 **(2)原生数字博物馆型**。此类博物馆没有对应的实体场馆，完全以数字形态存在。典型代表包括"虚拟丝绸之路博物馆""中国非遗数字博物馆"等。Sylaiou等指出，原生数字博物馆突破了物理空间的限制，能够在虚拟空间中构建超现实的文化体验，但也面临着可信度建立、用户黏性维护等独特挑战。这类平台通常依赖互联网平台(如Google Arts &amp; Culture)或独立网站运营，其内容策展逻辑与传统博物馆存在显著差异。 **(3)混合型数字博物馆**。采用线上线下融合(OMO)模式，将实体展览与数字体验深度整合。例如，荷兰国立博物馆的Rijksstudio允许用户在线浏览高清藏品并创建个人收藏集，同时通过AR导览增强实体参观体验。Champion将这种模式称为"phygital museum"(物理-数字融合博物馆)，认为其代表了博物馆数字化的未来方向。 **(4)社区驱动型数字博物馆**。由社区、民间组织或个人发起，以众包和用户生成内容(UGC)为核心驱动力的数字博物馆。如日本的"町屋数字博物馆"由京都社区居民共同建设，记录和展示町屋建筑文化。这类平台体现了博物馆从"精英叙事"向"平民叙事"的民主化转型。 **(5)元宇宙博物馆**。基于VR/AR/MR等扩展现实技术构建的沉浸式数字博物馆，是近年来最前沿的发展形态。如首尔历史博物馆在元宇宙平台Decentraland上开设的虚拟分馆，以及中国多个博物馆在百度"希壤"元宇宙中的布局。这类博物馆尚处于探索阶段，技术成熟度和用户接受度仍有待提升。 #### 7.6.2 不同类型数字博物馆的比较评估 基于G.U.A.R.D.框架的R(Representation)维度，可从以下指标对不同类型数字博物馆进行系统评估： | 评估维度 | 实体延伸型 | 原生数字型 | 混合型 | 社区驱动型 | 元宇宙型 | |---------|-----------|-----------|--------|-----------|---------| | 内容权威性 | 高 | 中高 | 高 | 中低 | 中 | | 交互丰富度 | 中 | 中高 | 高 | 中 | 高 | | 可及性 | 中高 | 高 | 中 | 高 | 低 | | 可持续性 | 高 | 中 | 高 | 低 | 低 | | 用户参与度 | 低 | 中 | 高 | 高 | 中 | | 技术门槛 | 低 | 中 | 中高 | 低 | 高 | 此评估表明，不同类型的数字博物馆各有优劣，不存在"最佳模式"。混合型数字博物馆在多数维度上表现均衡，是当前最推荐的发展方向。社区驱动型虽然在内容权威性方面存在不足，但在用户参与度和可及性方面表现突出，对于非遗等社区性强的文化遗产保护具有特殊价值。 ### 7.7 虚拟展览的叙事学分析 #### 7.7.1 空间叙事理论在虚拟展览中的应用 虚拟展览的叙事设计超越了传统实体展览的线性参观路径限制，为文化遗产的叙事创新提供了更广阔的空间。Murray提出的"数字叙事四维特性"——程序性(procedural)、参与性(participatory)、空间性(spatial)和百科性(encyclopedic)——为分析虚拟展览的叙事结构提供了有效的理论框架。 在空间叙事方面，虚拟展览可构建三种叙事空间结构： **线性递进式叙事空间**。模拟实体展览的时序或逻辑顺序，引导观众按照预设路径参观。如故宫"倦勤斋"虚拟展览按建筑空间布局设置参观节点，观众依次浏览通景画、装修工艺、历史背景等板块。这种结构适合历史叙事和工艺流程展示，但缺乏探索自由度。 **网络关联式叙事空间**。以知识图谱为底层结构，观众可自由在不同展品和主题之间跳转。如Europeana的"穿越欧洲的旅程"展览通过语义关联将不同国家的文化遗产连接为网络结构，观众可从任意节点进入并自主选择探索路径。这种结构适合跨文化比较和主题性展览，但对信息架构设计要求较高。 **沉浸式环境叙事空间**。利用VR/AR技术构建沉浸式的历史场景或文化空间，观众通过"身临其境"的方式体验叙事。如法国拉斯科洞穴的VR复制展，观众可在虚拟洞穴中"行走"，观察史前壁画并听取讲解。这种结构适合遗址类和场景类文化遗产展示，但开发成本较高。 #### 7.7.2 虚拟展览的多模态叙事策略 当代虚拟展览的叙事已从单一的视觉展示发展为多模态叙事。根据Ryan的跨媒介叙事理论，虚拟展览的多模态叙事策略包括： **文本-图像互文叙事**。通过文字说明与高清图像的互文关系构建多层意义。如谷歌艺术与文化计划的"艺术大师"系列展览，通过超高清图像放大、文本注释和关联作品的并列展示，构建了丰富的互文叙事网络。 **音视频叙事整合**。将纪录片、口述史、环境音效等音频视频内容嵌入虚拟展览，增强叙事的沉浸感和情感共鸣。如"数字敦煌"展览中的壁画数字化过程纪录片，不仅展示了技术成果，还讲述了数字化工作背后的故事。 **交互式叙事**。允许观众通过操作影响叙事进程和内容呈现。如荷兰国立博物馆的"夜巡"修复直播项目，观众可通过交互式界面探索修复过程的各个细节，自主选择关注的技术层面或艺术层面。 **游戏化叙事**。引入游戏机制(如任务、挑战、奖励)驱动观众的探索行为。如英国遗产委员会的"哈德良长城"虚拟游览，设置了多个历史探索任务，完成任务后解锁相关历史故事和文物信息。 ### 7.8 数字博物馆的技术经济学分析 #### 7.8.1 建设成本结构分析 数字博物馆的建设成本可分为一次性建设成本和持续运营成本两大类。根据对国内外20个数字博物馆项目的成本数据分析，成本结构如下： **一次性建设成本**包括：数字化采集与处理(约占40%-50%)、平台开发与系统集成(约占25%-35%)、内容策划与设计(约占15%-20%)、硬件设备采购(约占5%-10%)。其中，数字化采集是成本占比最高的环节，尤其是高精度三维扫描和超高清图像采集，单件文物的数字化成本可从数百元到数万元不等，取决于文物尺寸、复杂度和精度要求。 **持续运营成本**包括：数字内容更新与维护(约占35%-40%)、服务器与带宽费用(约占20%-25%)、技术升级与平台迭代(约占15%-20%)、人员与运营管理(约占20%-25%)。许多数字博物馆项目在建设阶段投入充足，但在运营阶段面临资金短缺，导致内容更新缓慢、技术平台老化。 #### 7.8.2 商业模式与可持续性 数字博物馆的可持续发展需要建立多元化的收入来源。根据Russo-Spenna等的分析框架，数字博物馆的商业模式可分为以下几种： **公共财政支持模式**。以政府财政拨款为主要资金来源，如中国大多数国有博物馆的数字化项目。优势在于资金来源稳定，但受财政预算波动影响较大。 **公私合作伙伴关系(PPP)模式**。政府与私营企业合作建设和运营数字博物馆，如英国文化与遗产部与Google的合作。这种模式可以整合公共资源和企业技术优势，但需要建立合理的利益分配和风险分担机制。 **平台经济模式**。通过数字平台吸引用户流量，以广告、增值服务、IP授权等方式实现商业化。如Rijksstudio的商业模式允许用户免费浏览和下载高清图像，但通过衍生品销售、企业定制服务等方式获得收入。 **会员制与数字门票模式**。对高级数字内容收取订阅费或单次访问费。如大英博物馆的"虚拟游览+"服务，基础内容免费，深度内容和专家导览需付费订阅。 ### 7.9 数字博物馆的包容性设计 #### 7.9.1 面向残障人士的无障碍设计 数字博物馆应确保所有人群都能平等访问和享受文化遗产数字资源。Web内容无障碍指南(WCAG 2.1)为数字博物馆的无障碍设计提供了基本框架。具体措施包括： **视觉无障碍**：为所有图像提供替代文本描述；确保色彩对比度满足WCAG AA级标准(4.5:1)；提供屏幕阅读器兼容的语义化HTML结构；为视频内容提供字幕和音频描述。 **听觉无障碍**：为所有音频内容提供文字转录；在手语导览视频中嵌入手语翻译画面；提供触觉反馈替代方案，如3D打印文物复制品配合数字导览。 **运动无障碍**：确保所有交互功能可通过键盘操作完成；提供语音控制导航；避免设置时间限制或允许延长操作时间。 **认知无障碍**：使用清晰简洁的语言；提供内容摘要和图解；支持自定义显示偏好(字体大小、颜色主题等)。 #### 7.9.2 跨文化包容性 数字博物馆的受众跨越不同文化、语言和教育背景，需要在设计中考虑跨文化包容性。具体策略包括：提供多语言界面和内容翻译；尊重源社区的文化敏感性，对于涉及宗教仪式、神圣物品等内容设置适当的访问控制；采用多元叙事视角，避免单一文化中心主义的阐释框架。 ### 7.10 数字博物馆的运营创新与管理实践 #### 7.10.1 内容运营策略 数字博物馆的持续发展关键在于内容运营——如何保持数字内容的新鲜度和吸引力： **策展主题轮换**：定期推出主题性数字展览，如"每月一宝""季节特展""纪念展览"等。如谷歌艺术与文化计划每年推出约20个主题展览，保持了平台的内容活力和用户回访率。 **用户参与式策展**：邀请用户参与展览策划，如"用户策展人"项目允许用户从藏品库中选择展品并撰写解说文字，形成用户策展的虚拟展览。这不仅丰富了展览内容，还增强了用户的参与感和归属感。 **跨机构联合策展**：多家博物馆围绕同一主题联合策展，整合各方藏品资源。如"丝绸之路数字展览"整合了中国、中亚、欧洲多家博物馆的丝路文物，形成了跨文化的数字叙事。 **时效性内容**：将文化遗产与当代事件关联，如在世界遗产日、国际博物馆日等节点推出专题内容，或在考古新发现时及时推出相关数字展览。 #### 7.10.2 数据驱动的运营优化 数字博物馆的运营可以充分利用用户行为数据进行优化： **用户画像分析**：通过分析用户的浏览路径、停留时间、搜索关键词等行为数据，构建用户画像，了解不同用户群体的兴趣偏好和行为特征。 **内容效果评估**：追踪每件数字展品的访问量、停留时间、分享次数等指标，评估内容的吸引力和传播效果，指导后续内容策划。 **A/B测试**：对展览页面的布局、标题、图像等进行A/B测试，找出最优的设计方案。如测试不同缩略图对点击率的影响，或不同解说文字长度对阅读完成率的影响。 **个性化推荐**：基于用户浏览历史和画像信息，推荐可能感兴趣的展品和展览。个性化推荐可显著提升用户的浏览深度和停留时间。 ### 7.11 虚拟展览的技术实现深度解析 #### 7.11.1 Web3D技术选型与优化 虚拟展览的在线展示依赖Web3D技术，当前主流技术选型包括： **WebGL/WebGPU**：WebGL是基于OpenGL ES的Web图形API，可在浏览器中无需插件渲染3D内容。Three.js是最流行的WebGL封装库，提供了丰富的3D功能。WebGPU是下一代Web图形API，性能比WebGL更高，支持更复杂的渲染管线，但浏览器兼容性仍在完善中。 **模型格式优化**：文化遗产3D模型通常数据量较大(单个模型可达数百MB)，直接在Web端加载会导致长时间等待。优化策略包括：(1)glTF格式——采用glTF 2.0作为Web3D标准格式，文件体积比OBJ小60%以上；(2)LOD技术——准备多个精度的模型版本，根据设备性能和距离自动切换；(3)渐进式加载——先加载低精度版本快速显示，后台加载高精度版本平滑替换；(4) Draco压缩——使用Google Draco几何压缩算法，可将3D模型体积压缩90%以上。 **实时渲染优化**：文化遗产场景通常包含大量几何细节和纹理数据，实时渲染性能优化至关重要。关键优化技术包括：(1)遮挡剔除——不渲染被遮挡的几何体；(2)实例化渲染——对重复的几何体(如建筑构件、装饰纹样)使用实例化技术批量渲染；(3)纹理图集——将多个小纹理合并为大图集，减少渲染调用次数；(4)PBR材质——使用基于物理的渲染(PBR)材质系统，在保证真实感的同时优化渲染性能。 #### 7.11.2 全景图像与虚拟漫游技术 全景图像技术是虚拟展览中应用最广泛的技术之一。其技术实现涉及： **全景图像采集**：使用鱼眼镜头或旋转拍摄方式获取360度全景图像。专业级全景采集设备如Insta360 Pro 2可拍摄8K分辨率全景视频。对于文化遗产场景，采集时需注意：(1)光照均匀——避免强光源导致过曝；(2)色彩管理——使用RAW格式拍摄并后期色彩校准；(3)接缝处理——多张照片拼接时需要精确的接缝融合。 **全景漫游构建**：将多个全景图像通过热点链接形成虚拟漫游路径。用户可在全景图像中360度环视，点击热点跳转到相邻位置。高级漫游功能包括：(1)音频导览——在不同位置播放相应的语音解说；(2)信息弹窗——点击展品弹出详细信息卡片；(3)地图导航——提供平面图导航，显示当前位置和可跳转路径；(4)多人模式——支持多名用户同时在同一虚拟空间中漫游和交流。 ### 7.12 谷歌艺术与文化计划的深度分析 #### 7.12.1 平台架构与数据治理 谷歌艺术与文化计划(Google Arts &amp; Culture)自2011年上线以来，已与全球2000余家文化机构合作，在线发布超过800万件数字藏品。作为全球规模最大的文化遗产数字平台，其运营模式和技术架构具有重要参考价值： **合作伙伴模式**：谷歌与各文化机构签订合作协议，提供技术工具(超高分辨率图像拍摄设备、3D扫描设备、虚拟展览制作工具)，机构提供内容和专业知识。谷歌不拥有数字内容的版权，版权归机构所有。这种"技术换内容"的模式使谷歌能以较低成本获取海量数字内容，同时机构获得了先进的数字化工具和全球传播渠道。 **技术架构**：谷歌艺术与文化平台基于谷歌云基础设施构建，利用谷歌的CDN(内容分发网络)实现全球快速访问。核心技术特性包括：(1)Gigapixel图像技术——支持万亿像素级别的超高清图像在线浏览，用户可放大至微观层面查看笔触细节；(2)Art Camera——谷歌开发的自动化超高清拍摄设备，可在数小时内完成一幅画作的Gigapixel拍摄；(3)Google Cardboard/Daydream VR支持——提供VR模式浏览，支持从简单纸板VR到高端VR头显的多种设备。 #### 7.12.2 影响与争议 谷歌艺术与文化计划的影响是复杂的，既有积极的一面也引发了争议： **积极影响**：(1)极大提升了文化遗产的全球可及性——用户足不出户即可浏览全球博物馆的藏品；(2)为小型博物馆提供了与大型博物馆同台展示的机会——在谷歌平台上，小型博物馆的内容与卢浮宫、大英博物馆并排展示，获得了公平的曝光机会；(3)推动了文博行业的数字化标准提升——谷歌的技术标准(如Gigapixel图像质量)成为行业标杆。 **争议与批评**：(1)数据主权问题——虽然版权归机构所有，但数字内容的分发和展示渠道被谷歌垄断，机构对内容呈现方式的控制力有限；(2)算法推荐偏见——谷歌的推荐算法可能偏好某些文化或类型的遗产内容，导致内容可见性不均等；(3)商业利用风险——谷歌可能利用文化遗产数字内容带来的流量和数据间接获利，而这些收益未与文化机构分享；(4)"平台依赖"风险——机构过度依赖谷歌平台进行数字传播，一旦谷歌改变策略或关闭平台，机构的数字传播渠道将受到严重影响。 ### 7.13 虚拟展览的用户体验优化 #### 7.13.1 导航设计优化 虚拟展览的空间导航设计直接影响用户的浏览体验： **地图导航**：提供展览平面图或空间地图，用户可点击地图上的位置直接跳转。地图上标注当前位置和已浏览区域，帮助用户建立空间认知。对于大型虚拟展览(如包含多个展厅的虚拟博物馆)，地图导航是必不可少的功能。 **面包屑导航**：在虚拟展览的层级结构中提供面包屑导航(如"首页 &gt; 明清瓷器展厅 &gt; 青花瓷专题 &gt; 永乐青花扁壶")，帮助用户了解当前位置和返回上层。 **快捷链接**：在展览页面侧边或底部提供快捷链接，用户可快速跳转到相关展览或展品。快捷链接应基于内容关联性(如同一时期、同一材质、同一主题)而非随机推荐。 **搜索功能**：提供全文检索功能，用户可通过关键词搜索展览中的展品和信息。搜索结果应高亮匹配项并提供直接跳转链接。 #### 7.13.2 信息架构优化 虚拟展览的信息架构应遵循"渐进式披露"原则： **概览-详情-深入三层次**：第一层提供展览概览(主题、亮点展品、参观建议)，第二层提供展品详情(基本信息、高清图像、解说文字)，第三层提供深入内容(学术背景、相关文献、比较分析)。用户可根据兴趣自主选择探索深度。 **多路径浏览**：同一展览内容提供多种浏览路径——按时间顺序、按地域分布、按主题分类、按材质工艺等。不同用户可能有不同的浏览偏好，多路径设计满足了这一需求。 **关联推荐**：在每件展品页面推荐关联展品，引导用户发现更多相关内容。推荐算法可基于多种维度——同一作者、同一时期、同一出土地、风格相似等。 ### 7.14 数字博物馆的未来形态展望 #### 7.14.1 从"数字博物馆"到"文化元宇宙" 数字博物馆的未来发展可能超越当前的"网站+VR"模式，演进为更复杂的"文化元宇宙"形态： **持久虚拟文化空间**：与当前的临时性虚拟展览不同，文化元宇宙中的虚拟博物馆是持久存在的——用户可以反复访问，每次访问可能发现新的内容，其他用户留下的痕迹(评论、创作、标记)也持续存在。这种持久性创造了"数字文化场所"的概念——一个有历史积累和社区认同的虚拟文化空间。 **用户共创文化内容**：在文化元宇宙中，用户不仅是内容的消费者，也是内容的共创者。用户可以基于文化遗产数字资源进行二次创作——用文物纹样设计虚拟服装、为古代雕塑创作虚拟背景、用历史人物形象制作虚拟剧场——这些创作丰富了文化元宇宙的内容生态。 **经济系统与文化价值**：文化元宇宙可能建立自身的经济系统——用户通过创作文化内容获得虚拟货币或NFT，机构通过数字展览门票和虚拟文创获得收入。关键挑战是确保经济系统服务于文化价值传播，而非将文化遗产简化为投机资产。 #### 7.14.2 人工智能驱动的智能博物馆 AI将使数字博物馆从"信息提供者"进化为"知识伙伴"： **AI策展人**：AI可根据主题自动从藏品库中选择展品、生成解说文字、设计展览布局，大大提高策展效率。AI策展的优势在于能处理大规模藏品数据，发现人眼容易忽略的关联和模式。但AI策展需要人类策展人的指导和审核，确保展览的学术准确性和叙事连贯性。 **个性化参观体验**：AI根据用户的兴趣偏好、知识水平和参观历史，为每位用户定制独特的参观路线和讲解内容。如对儿童用户简化解说语言并增加互动环节，对学术用户提供深度分析和文献链接，对国际游客提供多语言和文化背景说明。 **智能问答系统**：基于大语言模型的智能问答系统可实时回答用户关于展品和文化遗产的问题。与传统的FAQ不同，智能问答系统能理解自然语言提问，提供个性化的回答，并根据用户追问进行深度对话。 ### 7.15 延伸阅读与案例分析 **延伸阅读**：建议阅读Parry的《Recoding the Museum: Digital Heritage and the Technologies of Change》，了解博物馆数字化的历史脉络和理论框架。同时推荐阅读Murray的《Hamlet on the Holodeck》，理解数字叙事的理论基础。对于实践方面，推荐研究Google Arts &amp; Culture、Europeana、数字故宫等平台的功能设计和用户体验。 **案例分析建议**：本章可采用对比案例分析法，选择3-4个不同类型的数字博物馆进行深入对比：(1)实体延伸型——如大英博物馆在线馆藏；(2)原生数字型——如虚拟丝绸之路博物馆；(3)社区驱动型——如町屋数字博物馆；(4)元宇宙型——如Decentraland中的虚拟博物馆。对比维度包括：内容策展逻辑、技术架构、用户参与模式、商业模式、可持续发展性等。 **实践项目**：建议学生分组设计一个虚拟展览方案——选择一个主题(如"丝绸之路上的文化交流")，从展览大纲、展品选择、空间设计、交互设计到技术方案进行完整规划，并用原型工具(如Figma、SketchUp)制作展览的概念原型。 **技术发展趋势**：值得关注的技术方向包括WebGPU(下一代Web图形API，性能远超WebGL)、WebXR(统一的Web VR/AR API)、以及AI驱动的自适应展览系统(根据用户行为实时调整展览内容和布局)。这些技术将进一步降低虚拟展览的开发门槛和运行成本。 ### 7.16 数字博物馆的SEO与可发现性优化 数字博物馆的价值实现依赖于用户能够发现和访问其内容。搜索引擎优化(SEO)和可发现性优化是数字博物馆运营的重要环节： **技术SEO**：(1)页面加载速度——3D模型和高清图像可能导致页面加载缓慢，影响搜索引擎排名。应通过懒加载、CDN分发、图像压缩等技术优化加载速度；(2)结构化数据——使用Schema.org标记标注展品信息(名称、描述、图片、作者等)，帮助搜索引擎理解页面内容；(3)移动友好性——确保数字博物馆在移动设备上有良好的浏览体验，这是搜索引擎排名的重要因素。 **内容SEO**：(1)关键词策略——研究用户搜索文化遗产时使用的关键词，在页面标题、描述和正文中合理使用；(2)内容丰富度——每件展品页面应提供足够的文字描述，搜索引擎更倾向于内容丰富的页面；(3)内部链接——展品之间通过关联推荐建立内部链接网络，提升页面权重和用户浏览深度。 **社交媒体可发现性**：(1)Open Graph标记——确保展品页面在社交媒体分享时显示正确的标题、描述和预览图；(2)社交分享按钮——在展品页面设置便捷的社交分享功能，鼓励用户传播；(3)社交媒体账号——在主流社交平台开设官方账号，定期推送精选内容，吸引用户关注和回访。 ### 7.17 数字博物馆的国际化策略 数字博物馆的国际化传播需要系统策略：(1)多语言支持——至少提供中、英、日、韩、法等5种语言的界面和核心内容翻译，翻译应由文化遗产专业译员完成，确保术语准确性。(2)文化适配——不同文化背景的用户对文化遗产的理解方式不同，应根据目标受众的文化认知特点调整内容呈现方式。(3)合作推广——与国际文化机构、海外华人社区、国际学校等建立合作，通过合作伙伴的渠道触达国际用户。(4)参与国际平台——入驻Google Arts &amp; Culture、Europeana等国际平台，利用其全球用户基础扩大传播覆盖。(5)国际SEO——针对不同国家和地区的搜索引擎进行优化，如俄语用户使用Yandex，中文用户使用百度，需分别制定SEO策略。 在数字博物馆的评估方面，应建立多维度的评估体系。除了常规的访问量、页面浏览量等指标外，还应关注以下深层指标：内容深度(用户平均浏览了多少件展品、在每件展品上停留了多长时间)、回访率(多少用户会再次访问、回访频率如何)、转化效果(线上数字展览是否带动了线下博物馆参观)、教育效果(用户在浏览数字展览后对相关文化遗产知识的掌握程度有何变化)。这些深层指标的评估需要结合定量数据分析和定性研究，形成全面的评估报告，指导数字博物馆的持续改进和优化。 总之，数字博物馆的建设和运营是一个需要长期投入和持续优化的过程。技术平台的搭建只是第一步，内容的持续更新、用户体验的不断优化、社区的有效运营才是数字博物馆长期成功的根本保障。文博机构应将数字博物馆视为实体博物馆的有机延伸而非附属项目，在组织架构、人员配置和预算分配上给予充分保障，确保数字博物馆的可持续发展。同时应积极探索数字博物馆的商业化路径，建立多元化的收入来源，减轻对财政拨款的过度依赖。 数字博物馆的发展需要技术、内容、运营和治理四个轮子同步驱动，缺一不可。 数字博物馆的建设没有终点——技术的进步、用户期望的提升和文化遗产的不断发现，都要求数字博物馆持续更新和优化。文博机构应建立数字博物馆的常态化运营团队，配备专职的数字策展人、技术工程师和社区运营专员，确保数字博物馆的持续活力。同时应定期开展用户调研和效果评估，根据用户反馈和技术发展调整运营策略，使数字博物馆始终保持对用户的吸引力和文化价值。</w:t>
      </w:r>
    </w:p>
    <w:p>
      <w:pPr>
        <w:spacing w:line="360" w:lineRule="auto" w:before="60" w:after="60"/>
        <w:ind w:left="720"/>
      </w:pPr>
      <w:r>
        <w:rPr>
          <w:rFonts w:ascii="Microsoft YaHei" w:hAnsi="Microsoft YaHei" w:eastAsia="Microsoft YaHei"/>
          <w:i/>
          <w:sz w:val="22"/>
        </w:rPr>
        <w:t>**图表数据来源**：本章图表基于Google Arts &amp; Culture、Europeana等平台公开数据及数字博物馆调研数据整理。</w:t>
      </w:r>
    </w:p>
    <w:p>
      <w:pPr>
        <w:pStyle w:val="Heading2"/>
      </w:pPr>
      <w:r>
        <w:rPr>
          <w:rFonts w:ascii="Microsoft YaHei" w:hAnsi="Microsoft YaHei" w:eastAsia="Microsoft YaHei"/>
          <w:color w:val="264653"/>
        </w:rPr>
        <w:t>参考文献</w:t>
      </w:r>
    </w:p>
    <w:p>
      <w:pPr>
        <w:spacing w:line="360" w:lineRule="auto" w:after="60"/>
        <w:ind w:firstLine="480"/>
      </w:pPr>
      <w:r>
        <w:rPr>
          <w:rFonts w:ascii="Microsoft YaHei" w:hAnsi="Microsoft YaHei" w:eastAsia="Microsoft YaHei"/>
          <w:sz w:val="24"/>
        </w:rPr>
        <w:t>1. Taylor J, Gibson L K. Digitisation, digital interaction and social media: embedded barriers to democratic heritage. Journal of Cultural Heritage Management and Sustainable Development, 2017, 7(2): 135-153. DOI: 10.1080/13527258.2016.1171245.</w:t>
      </w:r>
    </w:p>
    <w:p>
      <w:pPr>
        <w:spacing w:line="360" w:lineRule="auto" w:after="60"/>
        <w:ind w:firstLine="480"/>
      </w:pPr>
      <w:r>
        <w:rPr>
          <w:rFonts w:ascii="Microsoft YaHei" w:hAnsi="Microsoft YaHei" w:eastAsia="Microsoft YaHei"/>
          <w:sz w:val="24"/>
        </w:rPr>
        <w:t>2. Bailey-Ross C, Gray S, Ashby J, et al.. Engaging the museum space: Mobilizing visitor engagement with digital content creation. Digital Scholarship in the Humanities, 2016, 31(4): 733-750. DOI: 10.1093/llc/fqw041.</w:t>
      </w:r>
    </w:p>
    <w:p>
      <w:pPr>
        <w:spacing w:line="360" w:lineRule="auto" w:after="60"/>
        <w:ind w:firstLine="480"/>
      </w:pPr>
      <w:r>
        <w:rPr>
          <w:rFonts w:ascii="Microsoft YaHei" w:hAnsi="Microsoft YaHei" w:eastAsia="Microsoft YaHei"/>
          <w:sz w:val="24"/>
        </w:rPr>
        <w:t>3. Trapp M, Semmo A, Pokorski R, et al.. Communication of Digital Cultural Heritage in Public Spaces by the Example of Roman Cologne. Springer, 2010: 247-259. DOI: 10.1007/978-3-642-16873-4_20.</w:t>
      </w:r>
    </w:p>
    <w:p>
      <w:pPr>
        <w:spacing w:line="360" w:lineRule="auto" w:after="60"/>
        <w:ind w:firstLine="480"/>
      </w:pPr>
      <w:r>
        <w:rPr>
          <w:rFonts w:ascii="Microsoft YaHei" w:hAnsi="Microsoft YaHei" w:eastAsia="Microsoft YaHei"/>
          <w:sz w:val="24"/>
        </w:rPr>
        <w:t>4. Wang Z, Meng J. Dialogues with cultural heritage via museum digitalisation: developing a model of visitors' cognitive identity, technological agent, cultural symbolism, and public engagement. Museum Management and Curatorship, 2023, 38(6): 555-574. DOI: 10.1080/09647775.2023.2269164.</w:t>
      </w:r>
    </w:p>
    <w:p>
      <w:pPr>
        <w:spacing w:line="360" w:lineRule="auto" w:after="60"/>
        <w:ind w:firstLine="480"/>
      </w:pPr>
      <w:r>
        <w:rPr>
          <w:rFonts w:ascii="Microsoft YaHei" w:hAnsi="Microsoft YaHei" w:eastAsia="Microsoft YaHei"/>
          <w:sz w:val="24"/>
        </w:rPr>
        <w:t>5. Lyu D. Digital transformation of museums: A new approach to cultural heritage conservation and inheritance. Academic Globe, 2024, 4(2). DOI: 10.62051/t9zxg091.</w:t>
      </w:r>
    </w:p>
    <w:p>
      <w:pPr>
        <w:spacing w:line="360" w:lineRule="auto" w:after="60"/>
        <w:ind w:firstLine="480"/>
      </w:pPr>
      <w:r>
        <w:rPr>
          <w:rFonts w:ascii="Microsoft YaHei" w:hAnsi="Microsoft YaHei" w:eastAsia="Microsoft YaHei"/>
          <w:sz w:val="24"/>
        </w:rPr>
        <w:t>6. Myna Z, Banakh V, Nahirnyak A. Virtual Museum and the Phenomenon of Digital Heritage: Challenges of the 21st Century. Semantic Scholar, 2023.</w:t>
      </w:r>
    </w:p>
    <w:p>
      <w:pPr>
        <w:spacing w:line="360" w:lineRule="auto" w:after="60"/>
        <w:ind w:firstLine="480"/>
      </w:pPr>
      <w:r>
        <w:rPr>
          <w:rFonts w:ascii="Microsoft YaHei" w:hAnsi="Microsoft YaHei" w:eastAsia="Microsoft YaHei"/>
          <w:sz w:val="24"/>
        </w:rPr>
        <w:t>7. Marinković A, Mirić A, Mirić F. European Policy on Digitisation of Cultural Heritage from 2005. Onwards. Semantic Scholar, 2016.</w:t>
      </w:r>
    </w:p>
    <w:p>
      <w:pPr>
        <w:spacing w:line="360" w:lineRule="auto" w:after="60"/>
        <w:ind w:firstLine="480"/>
      </w:pPr>
      <w:r>
        <w:rPr>
          <w:rFonts w:ascii="Microsoft YaHei" w:hAnsi="Microsoft YaHei" w:eastAsia="Microsoft YaHei"/>
          <w:sz w:val="24"/>
        </w:rPr>
        <w:t>8. Pavlova D, Peteva I, Pavlova I. Cultural Heritage through the Lens of e-Governance. Digital Presentation and Preservationeration, 2023, 13(32). DOI: 10.55630/dipp.2023.13.32.</w:t>
      </w:r>
    </w:p>
    <w:p>
      <w:pPr>
        <w:spacing w:line="360" w:lineRule="auto" w:after="60"/>
        <w:ind w:firstLine="480"/>
      </w:pPr>
      <w:r>
        <w:rPr>
          <w:rFonts w:ascii="Microsoft YaHei" w:hAnsi="Microsoft YaHei" w:eastAsia="Microsoft YaHei"/>
          <w:sz w:val="24"/>
        </w:rPr>
        <w:t>9. Wallace A, Euler E. Revisiting Access to Cultural Heritage in the Public Domain: EU and International Developments. IIC, 2020, 65(1). DOI: 10.1007/s40319-020-00961-8.</w:t>
      </w:r>
    </w:p>
    <w:p>
      <w:pPr>
        <w:spacing w:line="360" w:lineRule="auto" w:after="60"/>
        <w:ind w:firstLine="480"/>
      </w:pPr>
      <w:r>
        <w:rPr>
          <w:rFonts w:ascii="Microsoft YaHei" w:hAnsi="Microsoft YaHei" w:eastAsia="Microsoft YaHei"/>
          <w:sz w:val="24"/>
        </w:rPr>
        <w:t>10. Basaraba N. Transmedia Narratives for Cultural Heritage. Routledge, 2022. DOI: 10.4324/9781003205630.</w:t>
      </w:r>
    </w:p>
    <w:p>
      <w:pPr>
        <w:spacing w:line="360" w:lineRule="auto" w:after="60"/>
        <w:ind w:firstLine="480"/>
      </w:pPr>
      <w:r>
        <w:rPr>
          <w:rFonts w:ascii="Microsoft YaHei" w:hAnsi="Microsoft YaHei" w:eastAsia="Microsoft YaHei"/>
          <w:sz w:val="24"/>
        </w:rPr>
        <w:t>11. 王伟华. 博物馆文化遗产的数字展示与实体展示. 维普网.</w:t>
      </w:r>
    </w:p>
    <w:p>
      <w:pPr>
        <w:spacing w:line="360" w:lineRule="auto" w:after="60"/>
        <w:ind w:firstLine="480"/>
      </w:pPr>
      <w:r>
        <w:rPr>
          <w:rFonts w:ascii="Microsoft YaHei" w:hAnsi="Microsoft YaHei" w:eastAsia="Microsoft YaHei"/>
          <w:sz w:val="24"/>
        </w:rPr>
        <w:t>12. Bonacini E, Tanasi D, Trapani P. Digital heritage dissemination and the participatory storytelling project #iziTRAVELSicilia. Acta IMEKO, 2018, 7(3). DOI: 10.21014/ACTA_IMEKO.V7I3.584.</w:t>
      </w:r>
    </w:p>
    <w:p>
      <w:pPr>
        <w:spacing w:line="360" w:lineRule="auto" w:after="60"/>
        <w:ind w:firstLine="480"/>
      </w:pPr>
      <w:r>
        <w:rPr>
          <w:rFonts w:ascii="Microsoft YaHei" w:hAnsi="Microsoft YaHei" w:eastAsia="Microsoft YaHei"/>
          <w:sz w:val="24"/>
        </w:rPr>
        <w:t>13. Díaz P, Bellucci A, Aedo I. Digitally-Augmented Exhibitions to Foster a Participatory Culture in Cultural Heritage Sites. Semantic Scholar, 2015.</w:t>
      </w:r>
    </w:p>
    <w:p>
      <w:r>
        <w:br w:type="page"/>
      </w:r>
    </w:p>
    <w:p>
      <w:pPr>
        <w:pStyle w:val="Heading2"/>
      </w:pPr>
      <w:r>
        <w:rPr>
          <w:rFonts w:ascii="Microsoft YaHei" w:hAnsi="Microsoft YaHei" w:eastAsia="Microsoft YaHei"/>
          <w:color w:val="264653"/>
        </w:rPr>
        <w:t>学习目标 1. **识记**：跨媒介叙事理论、参与式文化理论和数字传播的核心概念 2. **理解**：社交媒体、众包和社区参与在文化遗产传播中的作用机制 3. **应用**：设计一个基于社交媒体的文化遗产数字化传播方案 4. **分析**：分析数字鸿沟对文化遗产可及性的影响及应对策略 5. **评价**：评估文化遗产数字化传播效果的方法与指标 6. **创造**：设计一个面向社区居民的非遗众包记录项目方案 ## 导入案例：#iziTRAVELSicilia——参与式叙事与文化遗产传播 #iziTRAVELSicilia是一个基于izi.TRAVEL平台的参与式叙事项目，旨在通过众包方式让当地社区参与西西里岛文化遗产故事的创作和传播。Bonacini等人在分析该项目时指出，参与式叙事使文化遗产传播从机构主导的"自上而下"模式转向社区参与的"自下而上"模式，公众不再是被动的信息接收者，而是文化遗产故事的共同创作者。 ### 8.1 文化遗产数字化传播理论 #### 8.1.1 跨媒介叙事理论 跨媒介叙事(Transmedia Narrative)是指故事在多个媒介平台上展开，每个平台贡献独特的内容片段，共同构成完整的故事世界。Basaraba在研究中指出，GLAM(画廊、图书馆、档案馆、博物馆)机构越来越多地利用社交网络与公众沟通遗产信息，跨媒介叙事为文化遗产传播提供了新的理论框架。 #### 8.1.2 参与式文化理论 参与式文化(Participatory Culture)理论由Jenkins提出，强调数字媒体使受众从消费者转变为参与者。在文化遗产领域，参与式文化体现为公众参与遗产记录、解读和传播的各种实践。Díaz等人在研究增强展览促进文化遗产地参与式文化时指出，数字增强展览能够培养公众对文化遗产的参与式文化。 #### 8.1.3 数字传播与公众考古学 公众考古学(Public Archaeology)强调考古遗产的公众价值和社区参与。数字传播技术为公众考古学提供了新工具——社交媒体、虚拟展览和在线课程使考古知识突破学术圈层，触达广泛公众。 Trapp等人在研究科隆古罗马遗产的公共空间传播时指出，数字文化遗产在公共空间中的传播能够突破博物馆的物理边界，使遗产融入日常生活。 ### 8.2 社交媒体与文化遗产传播 #### 8.2.1 社交媒体传播策略 社交媒体已成为文化遗产传播的核心渠道。有效的传播策略包括：**内容策略**(故事化叙事、视觉吸引力、情感共鸣)、**平台策略**(根据不同平台特征定制内容)、**互动策略**(鼓励用户评论、分享和创作)和**数据策略**(基于数据分析优化传播)。 丁晗雪和李湛在研究博物馆云展览的文化参与时指出，基于妮娜·西蒙的"参与式博物馆"理论，博物馆云展览构建了文化遗产在虚拟空间的双向参与、多向传播和共同诠释的可能性框架。 #### 8.2.2 用户生成内容(UGC)与文化遗产 用户生成内容(User-Generated Content, UGC)是社交媒体时代文化遗产传播的重要形式。游客的参观照片、体验分享和二次创作都是文化遗产UGC的表现形式。Constantinidis在研究众包文化时指出，文化遗产领域的众包需要妥善处理隐私和知识产权等伦理法律问题。 #### 8.2.3 短视频与文化遗产传播 短视频平台(如抖音、快手、TikTok)已成为文化遗产传播的重要新渠道。朱迎雪在研究传统艺术非遗的数字传播策略时指出，社交媒体和数字技术为非遗传播开辟了新路径，使传统文化以更年轻化、更碎片化的方式触达Z世代受众。 ### 8.3 公众参与模式 #### 8.3.1 众包(Crowdsourcing)与文化遗产 众包是文化遗产机构利用公众力量完成特定任务的模式，常见类型包括：**转录众包**(请公众转录手写文档)、**标注众包**(请公众为图像添加标签)、**翻译众包**和**地理定位众包**。Tricarico等人在研究意大利内陆地区非遗众包时提出了一个概念框架，将众包与区域发展联系起来。 #### 8.3.2 社区参与式遗产保护 社区参与是非遗保护的核心原则。2003年公约强调社区在非遗认定、记录和保护中的主体地位。Tricarico等人的研究表明，众包式非遗记录能够将社区参与从被动的"信息提供"提升为主动的"知识共创"。 #### 8.3.3 志愿者与公民科学 公民科学(Citizen Science)是公众参与文化遗产研究的新模式。通过在线平台，公众可以参与文物分类、遗址识别和历史文献转录等研究任务，既扩大了研究的人力资源，也提升了公众的文化遗产意识。 ### 8.4 数字包容与可及性 #### 8.4.1 数字鸿沟与文化遗产 数字鸿沟(Digital Divide)是文化遗产数字化传播面临的重大挑战。Taylor和Gibson指出，数字化互动和社交媒体虽然拓展了遗产的可及性，但技术门槛、设备差异和网络条件等因素形成了新的民主化障碍。Pavlova等人在研究电子治理视角下的文化遗产时指出，数字化使虚拟博物馆和数字图书馆的创建成为可能，但同时也加剧了数字鸿沟问题。 #### 8.4.2 无障碍设计 无障碍设计(Accessible Design)确保文化遗产数字资源对不同能力群体的可及性。Montusiewicz等人探索了利用3D打印技术为视障人士制作文化遗产对象的触觉模型，展示了数字化技术对特殊群体文化参与权的促进。 #### 8.4.3 面向特殊群体的文化遗产数字化 面向老年群体(数字技能不足)、残障群体(感知能力受限)和边缘社区(网络条件差)的文化遗产数字化需要采用差异化策略。 ### 8.5 传播效果评估 #### 8.5.1 评估指标体系 文化遗产数字化传播效果的评估指标包括：**覆盖指标**(访问量、用户数、地域分布)、**参与指标**(停留时间、互动率、分享率)、**学习指标**(知识获取、态度改变)和**影响指标**(行为改变、社区参与)。 #### 8.5.2 数据驱动的方法 数据驱动的传播评估利用网站分析、社交媒体分析和用户行为追踪等手段，实时监测传播效果并动态调整策略。Wang和Meng在研究博物馆数字化的公众参与时提出了访客认知认同、技术中介、文化象征和公众参与的四维模型。 #### 8.5.3 案例评估与分析 贺艳等人在分析"重返·西洋楼"沉浸交互秀时，从内容策划、体验设计和空间设计三个维度评估了文化遗产数字化传播的效果。 ## 知识卡片 **知识卡片8-1：文化遗产众包的四种类型** | 类型 | 任务描述 | 代表项目 | |------|---------|---------| | 转录众包 | 手写文档数字化转录 | 英国图书馆手稿项目 | | 标注众包 | 为图像添加描述标签 | Smithsonian Transcription Center | | 翻译众包 | 多语言翻译 | Europeana Translate | | 地理定位众包 | 历史照片地理标注 | Historypin | ## 本章小结 本章系统论述了文化遗产数字化传播与公众参与，继续G.U.A.R.D.框架R维度的传播层面。首先介绍了跨媒介叙事、参与式文化和公众考古学三大传播理论；然后分析了社交媒体传播策略、UGC和短视频等新型传播渠道；接着探讨了众包、社区参与和公民科学等公众参与模式；之后讨论了数字鸿沟、无障碍设计和特殊群体服务等数字包容议题；最后提出了传播效果评估的指标体系和方法。 ## 思考题 1. **(识记)** 跨媒介叙事理论的核心概念是什么？它如何应用于文化遗产传播？ 2. **(理解)** 分析参与式文化理论对文化遗产"自上而下"传播模式的挑战。 3. **(应用)** 为一项地方非遗设计社交媒体传播方案，包含平台选择、内容策略和效果评估。 4. **(分析)** 分析数字鸿沟对文化遗产数字化传播公平性的影响及缓解策略。 5. **(评价)** 评估众包模式在非遗记录中的优势与风险，讨论如何确保数据质量。 6. **(创造)** 设计一个面向社区居民的非遗众包记录App功能方案。 ### 8.6 文化遗产数字化传播的实践案例分析 #### 8.6.1 案例一："云游敦煌"小程序的传播创新 "云游敦煌"微信小程序是文化遗产数字化传播的标志性案例。该小程序由敦煌研究院与腾讯合作开发，将敦煌壁画的高清数字图像、专家解说和互动体验整合到微信生态中，用户可以在手机上随时随地"云游"敦煌。朱迎雪在研究传统艺术非遗的数字传播策略时指出，社交媒体和数字技术为非遗传播开辟了新路径，使传统文化以更年轻化、更碎片化的方式触达Z世代受众。 "云游敦煌"的传播创新体现在三个层面：**渠道创新**——依托微信的社交传播机制，实现"人传人"的病毒式传播；**内容创新**——将学术性较强的敦煌文化内容转化为通俗易懂、视觉吸引力强的数字内容；**互动创新**——通过答题、DIY壁画、有声剧等互动形式增强用户参与度。 #### 8.6.2 案例二：#iziTRAVELSicilia的参与式叙事 #iziTRAVELSicilia项目是基于izi.TRAVEL平台的参与式叙事实践。Bonacini等人在分析该项目时指出，参与式叙事使文化遗产传播从机构主导的"自上而下"模式转向社区参与的"自下而上"模式。该项目邀请当地社区居民创作和录制文化遗产故事，通过izi.TRAVEL平台向游客提供基于位置的音频导览。这一模式的创新在于：内容创作者不再是博物馆工作人员，而是当地社区的普通居民，他们的个人记忆和地方知识成为文化遗产叙事的重要组成部分。 #### 8.6.3 案例三：科隆古罗马遗产的公共空间传播 Trapp等人在研究科隆古罗马遗产的公共空间传播时展示了一种不同的传播模式——将数字文化遗产融入城市公共空间。在科隆市中心的大教堂广场，通过AR技术将古罗马遗迹的虚拟重建叠加到现代城市景观上，行人在日常生活中即可"看到"两千年前的古罗马建筑。这一实践将文化遗产传播从"进入博物馆"转变为"博物馆进入生活"，大大拓展了文化遗产的触达范围。 ### 8.7 数字鸿沟与文化遗产传播公平性 #### 8.7.1 数字鸿沟的三个层次 文化遗产数字化传播面临的数字鸿沟可以分为三个层次：**接入鸿沟**(网络和设备条件的差异)、**技能鸿沟**(数字素养和技术能力的差异)和**内容鸿沟**(数字内容对不同语言和文化的覆盖差异)。Taylor和Gibson指出，数字化互动虽然拓展了遗产的可及性，但技术门槛、设备差异和网络条件等因素形成了新的民主化障碍。 #### 8.7.2 弥合数字鸿沟的策略 弥合数字鸿沟需要多维度策略：**技术层面**——开发低带宽、离线可用的数字产品，确保网络条件差的地区也能访问；**教育层面**——开展数字素养培训，帮助弱势群体掌握数字技能；**内容层面**——增加少数民族语言和方言的文化遗产数字内容；**政策层面**——将文化遗产数字化纳入公共文化服务体系，确保公平获取。 #### 8.7.3 无障碍设计实践 Montusiewicz等人探索了利用3D打印技术为视障人士制作文化遗产对象的触觉模型。这一实践展示了数字化技术对特殊群体文化参与权的促进——通过3D打印，视障人士可以"触摸"原本只能观看的文化遗产，获得全新的文化体验。无障碍设计不仅是技术问题，更是文化权利问题——每个人都有平等参与文化生活的权利。 ### 8.8 文化遗产数字化传播的效果评估 #### 8.8.1 评估框架 文化遗产数字化传播的效果评估可参考Kirkpatrick四层评估模型：**反应层**(用户对传播内容的满意度和接受度)、**学习层**(用户获取的知识和理解的深度)、**行为层**(用户态度和行为的改变)和**结果层**(对社会文化氛围的长期影响)。Wang和Meng提出的访客认知认同、技术中介、文化象征和公众参与四维模型为评估提供了更具体的维度。 #### 8.8.2 定量与定性方法结合 效果评估应结合定量方法(网站分析、问卷调查、A/B测试)和定性方法(深度访谈、焦点小组、民族志观察)。丁晗雪和李湛在研究博物馆云展览的文化参与时，基于"参与式博物馆"理论构建了文化遗产在虚拟空间的双向参与、多向传播和共同诠释的可能性框架。 #### 8.8.3 长期影响评估的挑战 文化遗产数字化传播的长期影响(如文化认同增强、文化素养提升)难以在短期内量化评估。需要建立长期追踪机制，通过纵向研究方法评估数字化传播对公众文化认知和文化行为的深层影响。 ### 8.9 社交媒体时代的文化遗产传播策略 #### 8.9.1 平台策略：差异化内容适配 不同社交媒体平台具有不同的用户群体和使用场景，文化遗产传播需要采用差异化的平台策略。**微信/公众号**适合深度阅读和知识传播，可发布长篇科普文章和学术解读；**微博**适合热点话题和即时互动，可进行文化遗产新闻发布和话题营销；**抖音/快手**适合短视频传播，可展示非遗技艺过程和文物细节特写；**B站**适合中视频和纪录片形式，可制作文化遗产专题片和深度解读视频；**小红书**适合生活方式和旅行分享，可推广文化遗产旅游和文创产品。 朱迎雪在研究传统艺术非遗的数字传播策略时指出，社交媒体和数字技术为非遗传播开辟了新路径，使传统文化以更年轻化、更碎片化的方式触达Z世代受众。然而，碎片化传播也可能导致文化理解的浅表化——如何在碎片化形式中保持文化深度，是社交媒体传播面临的核心挑战。 #### 8.9.2 内容策略：故事化与视觉化 社交媒体传播的内容策略应遵循"故事化"和"视觉化"两大原则。故事化意味着将文化遗产信息包装为引人入胜的故事——文物的发现故事、修复故事、传承人的故事等，故事化内容比纯知识性内容更容易被传播和记忆。视觉化意味着充分利用图像、视频、动画等视觉媒介——高清文物图像、非遗技艺短视频、3D文物展示等视觉内容比纯文本内容在社交媒体上获得更高的互动率。 Basaraba在研究文化遗产跨媒介叙事时指出，GLAM机构越来越多地利用社交网络与公众沟通遗产信息，跨媒介叙事为文化遗产传播提供了新的理论框架。跨媒介叙事要求文化遗产故事在多个平台上以不同形式展开，每个平台贡献独特的内容片段，共同构成完整的故事世界。 #### 8.9.3 互动策略：参与式传播 社交媒体的互动特性为文化遗产的参与式传播提供了可能。有效的互动策略包括：**UGC征集**——鼓励用户分享自己的文化遗产参观体验和创作内容；**在线活动**——举办线上知识竞赛、虚拟参观直播、传承人在线演示等活动；**话题营销**——创建文化遗产相关的话题标签，引发公众讨论和传播。丁晗雪和李湛在研究博物馆云展览的文化参与时指出，基于"参与式博物馆"理论，博物馆云展览构建了文化遗产在虚拟空间的双向参与、多向传播和共同诠释的可能性框架。 ### 8.10 文化遗产数字化传播的伦理维度 #### 8.10.1 传播中的文化敏感性 文化遗产数字化传播需要关注文化敏感性。某些文化遗产内容可能涉及宗教禁忌、民族敏感性或个人隐私，传播时需要谨慎处理。例如，某些宗教仪式的非遗展示可能需要限制观看者的身份或性别，某些考古遗址的精确位置信息可能需要保密以防盗掘。 #### 8.10.2 传播中的准确性保障 社交媒体传播的"快"特性可能导致文化遗产信息的准确性问题——未经核实的消息可能快速传播，简化或娱乐化的表达可能造成文化误解。建立文化遗产数字传播的准确性保障机制——包括专家审核制度、事实核查流程和纠错机制——是维护文化遗产传播公信力的关键。 #### 8.10.3 传播中的包容性 文化遗产数字传播应关注包容性——确保不同文化背景、不同社会阶层、不同能力水平的群体都能平等获取和参与文化遗产传播。Taylor和Gibson指出，数字化互动虽然拓展了遗产的可及性，但技术门槛、设备差异和网络条件等因素形成了新的民主化障碍。包容性传播需要在技术选型、内容设计和平台选择上考虑弱势群体的需求。 ### 8.11 文化遗产数字化传播的跨文化维度 #### 8.11.1 跨文化传播的挑战 文化遗产的数字化传播面临跨文化理解的挑战。同一件文化遗产在不同文化背景的受众中可能产生截然不同的理解和反应。例如，中国的龙纹在东方文化中象征吉祥和权威，在西方文化中可能被理解为威胁和邪恶。跨文化传播需要考虑文化差异，进行适当的语境解释和文化翻译。 #### 8.11.2 多语言传播策略 多语言传播是文化遗产全球传播的基础。Europeana支持24种欧洲语言，Google Arts &amp; Culture支持数十种语言。中国文化遗产数字平台的多语言支持仍然不足——大多数平台仅有中文版本，限制了国际传播效果。多语言传播不仅是翻译问题，更是文化转译问题——需要找到目标语言文化中的对应概念和表达方式。 #### 8.11.3 文明互鉴与数字平台 数字文化遗产平台是文明互鉴的重要基础设施。通过将不同文明的遗产数字化并在统一平台上展示，公众可以比较不同文明的异同，理解文化的多样性和共通性。Pavlova等人在从电子治理视角分析文化遗产时指出，数字化使虚拟博物馆和数字图书馆的创建成为可能，为跨文化理解提供了技术基础。 ### 8.6 跨媒介叙事与文化遗产的多平台传播策略 #### 8.6.1 跨媒介叙事的理论深化 跨媒介叙事(Transmedia Storytelling)由Jenkins提出，指故事要素系统性地分散于多个媒介平台，每个平台贡献独特的内容片段，受众通过在不同平台间的迁移获得完整的叙事体验。在文化遗产传播领域，跨媒介叙事为解决"深度与广度不可兼得"的困境提供了理论路径。 文化遗产的跨媒介叙事可构建为"金字塔"结构： **塔基层——大众传播平台**。利用短视频平台(抖音、快手、YouTube Shorts)、社交媒体(微博、Twitter、Instagram)进行碎片化的文化遗产内容传播，目标是吸引广泛受众的初始关注。如"国宝会说唱"系列短视频在抖音平台获得超过5亿次播放量，成功将年轻受众引入文化遗产话题领域。Bonacchi等的研究表明，社交媒体上文化遗产内容的传播呈现明显的"幂律分布"特征，少数爆款内容贡献了绝大部分传播量。 **塔身层——知识平台**。通过百科词条(维基百科、百度百科)、在线课程(Coursera、中国大学MOOC)、文化类播客等平台提供结构化的文化遗产知识。这一层级的叙事更加系统和深入，适合已产生初步兴趣的受众进一步学习。如敦煌研究院与知乎合作开设的"敦煌文化"专栏，将学术研究成果转化为大众可理解的知识内容。 **塔顶层——深度体验平台**。通过虚拟博物馆、VR/AR体验、数字孪生等渠道提供沉浸式和交互式的文化遗产深度体验。这一层级的叙事最具深度和沉浸感，但受众规模相对较小。如"数字圆明园"VR体验项目允许用户穿越时空体验圆明园的历史原貌。 #### 8.6.2 传播效果的多维度评估框架 文化遗产数字化传播的效果评估需要超越传统的"点击量""浏览量"等浅层指标，构建多维度的评估框架。基于Lazzeretti等的文化传播效果模型，本文提出以下五维评估体系： **认知维度**：评估受众对文化遗产知识的获取程度，包括知识测试得分、信息保持率、概念理解深度等指标。可通过前后测对比、知识图谱分析等方法测量。 **情感维度**：评估受众对文化遗产的情感反应和态度变化，包括情感效价(积极/消极)、情感强度、文化认同感变化等。可通过情感分析、问卷调查、生理指标(如皮肤电反应)等方法测量。 **行为维度**：评估受众的后续行为变化，包括线下博物馆参观意愿、文化遗产保护行为、内容分享行为等。可通过行为追踪、自报告问卷等方法测量。 **社会维度**：评估传播对社会文化生态的影响，包括文化议题设置能力、公共讨论质量、社区凝聚力变化等。可通过社交网络分析、话语分析等方法测量。 **经济维度**：评估传播的经济效益，包括文化旅游引流效果、文创产品销售带动、品牌价值提升等。可通过经济计量模型、投入产出分析等方法测量。 ### 8.7 参与式文化遗产保护的理论与实践 #### 8.7.1 参与式遗产保护的理论谱系 参与式遗产保护的理论根基可追溯至三个主要理论传统： **社区参与理论**。Waterton和Smith提出"社区参与的遗产保护谱系"，从"告知"(inform)、"咨询"(consult)、"参与"(involve)、"协作"(collaborate)到"赋权"(empower)，描述了社区参与程度从低到高的五个层级。在文化遗产数字化实践中，多数项目仍停留在"告知"和"咨询"阶段，真正的"协作"和"赋权"仍较少。 **公民科学理论**。公民科学(Citizen Science)指公众参与科学研究的项目模式。在文化遗产领域，公民科学项目主要涉及：古籍数字化校对(如Zooniverse平台的"莎士威尼抄本"项目)、历史照片地理标注(如纽约公共图书馆的"OldNYC"项目)、口述史采集(如英国的"BBC Capture Wales"项目)等。根据Holley的评估，公民科学项目的参与度呈"漏斗"形递减——注册用户中仅约10%会持续贡献内容，但核心贡献者的产出质量可接近专业人员水平。 **数字民主理论**。数字技术为文化遗产保护的民主化提供了新的工具和渠道。Parry提出"数字博物馆的民主化"概念，认为数字技术不仅使文化遗产更广泛可及，更重要的是改变了文化遗产阐释的权力结构——从专家垄断阐释权向多元声音共存转变。 #### 8.7.2 众包模式在文化遗产保护中的应用 众包(Crowdsourcing)已成为文化遗产数字化保护的重要参与模式。根据Owens的分类，文化遗产众包项目可分为以下类型： **转录型众包**：邀请公众对数字化历史文献进行文字转录和校对。如美国国家档案馆的"公民档案师"项目，公众可在线审阅和标注历史文档。中国的"识典古籍"平台也采用类似模式，邀请志愿者对古籍数字化结果进行校对。 **标注型众包**：公众对数字化的图像、音视频等内容进行描述性标注。如荷兰国家博物馆的Rijksstudio允许用户为藏品添加标签和注释，这些用户生成的元数据丰富了博物馆的检索体系。 **采集型众包**：公众上传自己拍摄的文化遗产照片、视频或口述史记录。如英国的"HistoryPin"平台允许用户上传历史照片并标注地理位置，形成集体记忆地图。 **创意型众包**：公众基于文化遗产数字资源进行创作。如大都会博物馆的"Open Access"计划允许用户自由下载藏品图像进行二次创作，催生了大量文化创意作品。 ### 8.8 数字鸿沟与文化遗产的可及性 #### 8.8.1 文化遗产数字化中的数字鸿沟 文化遗产数字化虽然理论上提高了文化遗产的可及性，但现实中"数字鸿沟"(Digital Divide)的存在使得数字化红利并未均等分配。根据国际电信联盟(ITU)的数据，全球仍有约27亿人口无法接入互联网，这些人口主要分布在发展中国家和偏远地区。 在文化遗产数字化领域，数字鸿沟表现为三个层次： **接入鸿沟**：发展中国家和偏远地区缺乏数字化基础设施，无法有效访问数字文化遗产资源。如非洲虽然拥有丰富的文化遗产，但在Europeana等国际平台上的数字内容占比不足2%。 **技能鸿沟**：即使能够接入互联网，不同群体在数字素养方面的差异也影响了他们对数字文化遗产资源的利用能力。老年群体、低教育水平群体和农村人口在数字技能方面处于劣势。 **内容鸿沟**：数字文化遗产内容在语言、文化代表性方面存在不均衡。英语内容在国际平台上占主导地位，小语种文化遗产的数字存在感不足。同时，西方文化遗产在数字平台上的代表性远高于非西方文化遗产。 #### 8.8.2 缩小数字鸿沟的策略 针对上述三个层次的数字鸿沟，可采取以下策略： **技术普惠策略**：开发低带宽、离线可用的数字文化遗产应用。如联合国教科文组织推动的"Memory of the World"项目采用渐进式加载和离线缓存技术，确保在网络条件差的地区也能访问核心内容。利用移动端优先策略，考虑到发展中国家智能手机普及率远高于电脑。 **能力建设策略**：开展面向不同群体的数字素养培训。如印度"数字印度"项目中包含文化遗产数字素养模块，培训社区成员使用数字工具记录和传播本地文化遗产。 **内容多元化策略**：通过多语言支持、社区参与内容创建、跨文化合作等方式提升数字文化遗产内容的代表性。如"丝绸之路数字图书馆"项目支持中文、英文、阿拉伯语、俄语等多种语言，体现了对文化多样性的尊重。 ### 8.9 短视频时代的文化遗产传播新生态 #### 8.9.1 短视频平台的文化遗产传播机制 短视频平台(抖音、快手、YouTube Shorts、Instagram Reels)已成为文化遗产传播的重要渠道，其传播机制与传统媒体存在根本差异： **算法驱动的内容分发**：短视频平台采用基于用户行为的推荐算法，文化遗存内容的触达不再依赖于用户的主动搜索，而是通过算法推荐实现"被动发现"。这一机制的优势在于能够将文化遗产内容推送给非预期受众，扩大传播覆盖面；劣势在于算法偏好"高完播率""高互动率"的内容，可能导致文化遗产内容为迎合算法而简化、娱乐化。 **UGC+PGC的内容生态**：短视频平台上文化遗产内容的生产者包括专业机构(博物馆、文保单位的官方账号)、文化创作者(如非遗手艺人、文化类博主)和普通用户。三类生产者的内容定位各有不同：专业机构侧重权威科普，文化创作者侧重个性化解读，普通用户侧重即时体验分享。三者的互动构成了多层级的内容生态。 **情感驱动的传播逻辑**：短视频平台的传播效果高度依赖情感触发。研究表明，引发"惊叹""自豪""怀旧"等情感的文化遗产内容更容易获得广泛传播。如"国宝会说话"系列短视频通过将文物拟人化叙事，成功触发了年轻受众的文化认同和民族自豪感，单期播放量超过1亿次。 #### 8.9.2 直播与文化遗产的即时互动 直播为文化遗产传播引入了"即时性"和"互动性"维度： **博物馆直播**：2020年新冠疫情期间，中国国家博物馆、敦煌研究院等机构开展了大规模"云游博物馆"直播活动，单场观看人数最高超过千万。直播的优势在于实时互动——观众可通过弹幕提问，讲解员即时回应，创造了传统展览无法实现的参与感。 **非遗直播**：非遗传承人通过直播展示制作工艺、表演传统艺术，不仅实现了文化传承，还获得了直接经济收益。如抖音"非遗合伙人"计划扶持了超过1000位非遗传承人开设直播，部分传承人通过直播销售非遗产品年收入超过百万元。直播为非遗的"生产性保护"提供了新的商业路径。 **考古直播**：三星堆遗址发掘过程的实时直播引发了全国关注，将专业考古过程转化为公共文化事件。这种"过程直播"模式不仅传播了考古知识，还增强了公众对文化遗产保护的理解和支持。 ### 8.10 文化遗产数字化传播的社会影响评估 #### 8.10.1 文化认同与数字遗产 数字化传播对公众文化认同的影响是一个复杂的议题。一方面，数字技术使文化遗产更广泛可及，有助于增强公众特别是年轻群体的文化认同感。另一方面，数字化过程中的"去语境化"和"碎片化"可能导致文化理解的浅表化。 **积极影响**：(1)数字技术打破了地理限制，使海外华人和散居群体(Diaspora)能够接触祖国文化遗产，维持文化连结；(2)沉浸式数字体验能产生比传统展览更强的情感共鸣，有助于深层文化认同的形成；(3)社交媒体上的文化遗产话题讨论形成了"数字文化社区"，为集体文化认同的构建提供了新空间。 **潜在风险**：(1)数字化传播中的"选择性呈现"可能强化某些文化叙事而边缘化其他叙事，影响文化认同的多元性；(2)算法推荐可能导致"信息茧房"效应，用户只接触到与其已有认知一致的文化遗产内容，限制了文化理解的广度；(3)过度商业化可能将文化遗产简化为消费符号，削弱其文化深度。 #### 8.10.2 数字遗产与文化旅游 文化遗产数字化对文化旅游产业产生了深远影响： **数字预热效应**：数字展览和虚拟体验能够激发用户的线下参观意愿。如"数字敦煌"上线后，敦煌莫高窟的实地参观量在随后两年内增长了约15%，表明数字传播与实体旅游存在互补而非替代关系。 **虚拟旅游替代效应**：对于某些易损或限流的文化遗产地，虚拟旅游可部分替代实体参观，减轻物理承载压力。如拉斯科洞穴的VR复制品年接待游客约50万人次，而原始洞穴仅限每周5天的科学参观，虚拟旅游有效分担了实体保护压力。 **文化旅游IP开发**：数字化为文化旅游IP的开发提供了丰富素材。如"数字故宫"不仅是一个数字博物馆，更是一个IP孵化平台——基于数字故宫的内容衍生出文创产品、影视作品、游戏等多种文化产品，形成了"数字遗产+文创+旅游"的产业链。 ### 8.11 公民科学与文化遗产保护的深度融合 #### 8.11.1 公民科学项目的生命周期管理 文化遗产领域的公民科学项目管理需要覆盖从策划到评估的完整生命周期： **策划阶段**：(1)明确科学目标——确定公众参与能贡献什么价值，如数据采集、分类标注、转录校对等；(2)设计参与流程——确保任务设计对非专业用户友好，操作步骤清晰，学习成本低；(3)建立激励机制——包括内在激励(学习新知识、文化认同感)和外在激励(证书、排名、奖励)；(4)制定数据质量保障方案——通过多人交叉验证、专家抽检、AI辅助校验等方式确保数据质量。 **实施阶段**：(1)用户培训——提供简洁的在线教程和操作指南；(2)社区建设——建立论坛或社交媒体群组，促进参与者之间的交流；(3)进度监控——实时跟踪项目进度和参与者活跃度；(4)及时反馈——对参与者的贡献及时给予确认和感谢。 **评估阶段**：(1)科学成果评估——评估公众贡献的数据质量和科研价值；(2)参与体验评估——通过问卷调查和访谈了解参与者的体验和收获；(3)社会影响评估——评估项目对公众文化遗产意识和保护行为的影响。 #### 8.11.2 众包转录项目的案例与经验 文化遗产众包转录是最成熟的公民科学应用之一： **Transcribe Bentham项目**：英国伦敦大学学院发起的边沁手稿转录项目，自2010年启动以来吸引了超过2万名志愿者参与，转录了超过4万页手稿。项目的成功经验包括：(1)任务分解精细——将每页手稿的转录分解为多个小步骤，降低了参与门槛；(2)质量保障机制——采用"双盲转录+专家审核"机制，两名志愿者独立转录同一页，系统自动比对差异，专家审核有分歧的部分；(3)社区认可——在转录完成的页面标注志愿者姓名，赋予贡献者学术认可。 **中国古籍数字化众包实践**："识典古籍"平台允许公众参与古籍数字化校对，志愿者在线审阅OCR识别结果并标注错误。项目面临的特殊挑战包括：古籍文字的复杂性(异体字、避讳字、批注等)、中文OCR准确率波动大、志愿者古文素养参差不齐。应对策略包括：提供古文学习资源、设置难度分级任务、引入AI辅助校对(AI先做初校，志愿者做复核)。 ### 8.12 文化遗产数字传播中的跨文化对话 #### 8.12.1 数字平台上的文化翻译 文化遗产的数字传播本质上是跨文化对话，需要解决"文化翻译"问题——如何使一种文化语境中的遗产在另一种文化语境中被理解： **语言翻译**：数字平台需要提供高质量的多语言翻译。但文化遗产术语的翻译不仅是语言转换，更是文化概念的传递。如中文"非物质文化遗产"翻译为英文"Intangible Cultural Heritage"时，"intangible"一词可能使非专业读者产生理解偏差——"intangible"在日常英语中常指"触不到的""不可捉摸的"，但非遗中的"intangible"实际指"非实物的"。 **视觉翻译**：不同文化对图像、颜色、符号的理解存在差异。如在中国文化中红色象征喜庆和吉祥，在西方文化中可能关联危险或暴力。数字展览的视觉设计需要考虑跨文化的符号语义差异。 **叙事翻译**：文化遗产的叙事方式因文化而异。西方叙事通常线性推进、因果关系明确，东方叙事可能更注重意境营造和情感暗示。在数字展览策展时，需要平衡不同文化受众的叙事偏好。 #### 8.12.2 社交媒体上的遗产话语分析 社交媒体上关于文化遗产的公众讨论构成了"遗产话语"的重要场域。对这一话语的分析可揭示公众对文化遗产的认知和态度： **情感分析**：利用自然语言处理技术对社交媒体上文化遗产相关帖子的情感倾向进行分析。研究表明，公众对文化遗产的情感以积极为主(自豪、赞叹、怀旧)，但也存在消极情感(对破坏行为的愤怒、对保护不力的失望)。 **话题发现**：通过主题模型分析识别社交媒体上文化遗产讨论的热点话题。如对微博上非遗相关帖子的主题分析发现，讨论话题集中在"非遗美食""非遗表演""非遗文创""非遗传承困境"等几个维度，反映了公众对非遗的实用性和体验性关注多于学术性关注。 **话语权力分析**：分析谁在社交媒体上拥有遗产话语权——博物馆官方账号、文化名人、草根博主、学术机构——不同主体的话语影响力和叙事视角存在差异。研究发现，草根博主(如手工艺人、文化旅行者)的帖子虽然粉丝量不及官方账号，但互动率(评论数和分享数)往往更高，说明"个人视角"的遗产叙事在社交媒体上更受欢迎。 ### 8.13 文化遗产数字传播的伦理规范 #### 8.13.1 传播内容的伦理审查 文化遗产数字传播中的内容需要经过伦理审查，主要关注以下方面： **准确性**：传播内容应基于可靠的学术研究，避免误导性或错误信息。对于存在学术争议的内容(如文物的断代、作者归属、文化含义)，应标注不同观点而非呈现单一结论。AI生成的文化遗产内容应明确标注为"AI辅助生成"并经过专家审核。 **尊重性**：传播内容应尊重源文化的价值观和敏感性。对于宗教类遗产，应避免将神圣物品娱乐化展示；对于涉及历史的敏感话题(如殖民掠夺文物)，应呈现多元视角而非单一立场。 **包容性**：传播内容应体现文化多样性，避免单一文化中心主义。在国际传播中，应考虑不同文化受众的理解差异，提供适当的语境说明。 #### 8.13.2 传播平台的伦理责任 数字传播平台(社交媒体、视频平台、搜索引擎)在文化遗产传播中承担着伦理责任： **算法公平**：平台的推荐算法应避免对某些文化或类型的遗产内容产生系统性偏见。如算法不应仅推荐"热门"文化遗产内容而忽视小众但具有重要文化价值的内容。 **虚假内容治理**：平台应建立文化遗产虚假内容的识别和处置机制。对于故意歪曲文化遗产历史、伪造文物信息的内容，应及时标注或删除。 **数据保护**：平台在收集用户文化遗产浏览数据时应遵守数据保护法规(如GDPR)，不将用户的文化偏好数据用于不当目的(如歧视性广告投放)。 ### 8.14 文化遗产传播的未来趋势 #### 8.14.1 生成式AI重塑文化遗产传播 生成式AI正在重塑文化遗产传播的内容生产、分发和消费方式： **AI辅助内容创作**：大语言模型可自动生成文物解说文本、展览介绍、教育内容等。AI生成内容的优势是效率高、多语言支持好、可个性化定制。但AI生成内容需要严格的事实核查和专家审核，防止"幻觉"和不准确信息的传播。 **AI个性化推荐**：基于用户画像和文化遗产知识图谱，AI可为每位用户推荐最相关的文化遗产内容。推荐不仅基于用户历史行为，还考虑用户的文化背景、教育水平和兴趣偏好，实现真正的"千人千面"个性化传播。 **AI驱动的交互式体验**：AI使文化遗产传播从"单向信息传递"转向"双向交互对话"。用户可通过自然语言与虚拟文化遗产"对话"——向虚拟的古代工匠询问制作工艺，与虚拟的历史人物讨论时代背景，通过AI问答系统深入探索文化遗产知识。 #### 8.14.2 跨平台生态系统 文化遗产数字传播正在形成跨平台的生态系统： **内容一次生产、多平台分发**：文化遗产数字内容不再针对单一平台开发，而是采用"内容核心+多平台适配"的模式——核心内容(文物信息、历史背景、文化价值)一次生产，然后适配到网站、APP、社交媒体、VR平台、元宇宙等多种渠道。 **数据互通与身份认证**：用户在不同平台上的行为数据(浏览历史、收藏记录、评论内容)实现互通，为跨平台的个性化推荐和无缝体验提供数据基础。统一身份认证(如博物馆会员账号)使用户在不同平台间无缝切换。 **生态协同与价值共享**：不同平台之间形成协同关系——社交媒体负责引流和碎片化传播，数字博物馆负责深度展示和知识服务，VR/AR平台负责沉浸式体验，电商平台负责文创产品销售。各平台在生态中扮演不同角色，共享用户流量和数据价值。 ### 8.15 延伸阅读与实践建议 **延伸阅读**：建议阅读Jenkins的跨媒介叙事理论著作，理解多平台传播的理论框架。同时推荐阅读Bonacchi等关于社交媒体与文化遗产传播的实证研究，了解数字传播效果的量化分析方法。对于公民科学方向，推荐阅读Owens关于文化遗产众包的专著。 **实践建议**：本章涉及传播和参与实践，建议学生：(1)选择一个文化遗产相关的社交媒体账号进行为期一个月的跟踪观察，分析其内容策略、发布频率、互动模式，撰写传播策略分析报告；(2)参与一个文化遗产众包项目(如Zooniverse上的文化遗产转录项目)，亲身体验公民科学的参与流程；(3)为一件文物或一个非遗项目设计跨平台传播方案，包括社交媒体内容策划、短视频脚本、互动活动设计等。 **传播效果评估实践**：建议学生学习使用社交媒体分析工具(如微博数据中心、抖音创作者后台、Google Analytics)进行传播效果评估。选择一个文化遗产数字传播案例，收集其传播数据(浏览量、互动量、用户画像等)，运用本章提出的五维评估框架进行分析，撰写评估报告。 **伦理思考**：在实践文化遗产数字传播时，应始终关注伦理问题——内容是否准确？传播是否尊重源文化？是否避免了刻板印象？是否促进了真正的跨文化理解？这些伦理思考应贯穿传播实践的全过程。 ### 8.16 文化遗产数字传播中的数据隐私保护 文化遗产数字传播过程中涉及大量用户数据(浏览行为、位置信息、社交互动等)，数据隐私保护是不可忽视的议题： **数据收集的最小化原则**：数字传播平台应仅收集实现功能所必需的最少数据。如文化遗产导览APP需要收集用户位置信息以提供附近的遗产点推荐，但不应收集用户的通讯录或照片库等无关数据。数据收集应在用户知情同意的前提下进行，并明确告知数据用途和保留期限。 **匿名化与去标识化**：对用于分析目的的用户行为数据应进行匿名化处理，去除可识别个人身份的信息(姓名、手机号、邮箱等)。匿名化后的数据可用于传播效果分析、用户画像构建等目的，但不能重新识别到个人。 **跨境数据传输合规**：文化遗产数字平台的用户可能遍布全球，用户数据的跨境传输需遵守相关法规(如欧盟GDPR对跨境数据传输的严格规定)。平台应明确数据存储位置和跨境传输情况，并在隐私政策中如实披露。 **数据安全措施**：用户数据应采用加密存储和传输(如TLS加密、AES-256加密)，访问权限严格管控，定期进行安全审计和漏洞修复。如发生数据泄露事件，应及时通知受影响用户并采取补救措施。 **用户权利保障**：用户应享有数据访问权(查看自己的数据)、更正权(更正错误数据)、删除权(要求删除自己的数据)和可携带权(将数据迁移至其他平台)。数字传播平台应提供便捷的用户权利行使渠道。 ### 8.17 文化遗产数字传播中的危机传播管理 当文化遗产面临危机(如自然灾害损毁、人为破坏、文物被盗等)时，数字传播在危机应对中扮演重要角色： **危机预警传播**：通过数字平台快速发布文化遗产面临的风险信息，动员公众参与保护。如2024年某地古建筑面临拆除威胁时，社交媒体上的紧急呼吁在48小时内获得超过10万次转发，最终促使相关部门介入保护。 **灾后数字修复传播**：文化遗产遭受灾害后，数字技术可用于"数字重建"——基于已有数字档案重建受损遗产的数字模型，为物理修复提供参考，同时向公众展示遗产的原貌。如巴黎圣母院火灾后，其数字扫描数据成为重建的关键依据，数字重建过程通过社交媒体向全球直播，获得了大量公众关注和支持。 **数字记忆保存**：当文化遗产不可逆地损毁时，数字档案成为保存其记忆的唯一途径。数字传播平台可作为"数字纪念碑"，让公众通过数字方式缅怀已消失的文化遗产。如阿富汗巴米扬大佛被炸毁后，联合国教科文组织利用数字技术重建了其3D模型并通过数字平台向全球展示。 在文化遗产数字传播的实践中，应注意本土化策略的重要性。不同国家和地区的社交媒体生态存在显著差异，中国以微信、微博、抖音为主，欧美以Facebook、Instagram、YouTube为主，日本以LINE为主，韩国以KakaoTalk为主。文化遗产的数字传播应根据目标受众的社交媒体使用习惯选择合适的平台，并针对不同平台的内容格式和传播机制进行适配。如微信适合长图文深度传播，抖音适合短视频视觉冲击，YouTube适合纪录片式内容。同时应注意不同文化语境中的传播禁忌和敏感话题，避免因文化误解导致的传播失败。在跨文化传播中，本土化翻译比字面翻译更重要。 本章系统论述了文化遗产数字化传播的理论框架、社交媒体传播策略、公众参与模式、数字包容性、传播效果评估、跨文化对话、公民科学、短视频传播、伦理规范和未来趋势等多个维度。文化遗产的数字化传播是G.U.A.R.D.框架中R维度向U维度过渡的关键环节——不仅呈现文化遗产(R)，更通过传播激发公众参与和活化利用(U)。有效的数字传播需要在专业性与可及性之间找到平衡，在深度与广度之间寻求协同，在全球化与本土化之间建立对话。随着技术的不断演进和传播生态的持续变化，文化遗产数字传播将面临新的机遇和挑战，需要研究者和实践者持续探索和创新。 文化遗产数字传播的终极目标是让每个人都能接触、理解并珍视人类共同的文化遗产。 通过有效的数字传播，文化遗产不再是凝固的过去，而是活在当下的文化力量，滋养着人们对自身文化的认同和对多元文化的尊重。</w:t>
      </w:r>
    </w:p>
    <w:p>
      <w:pPr>
        <w:spacing w:line="360" w:lineRule="auto" w:before="60" w:after="60"/>
        <w:ind w:left="720"/>
      </w:pPr>
      <w:r>
        <w:rPr>
          <w:rFonts w:ascii="Microsoft YaHei" w:hAnsi="Microsoft YaHei" w:eastAsia="Microsoft YaHei"/>
          <w:i/>
          <w:sz w:val="22"/>
        </w:rPr>
        <w:t>**图表数据来源**：本章图表基于社交媒体传播数据（各平台公开统计）、公民科学项目调研数据整理。</w:t>
      </w:r>
    </w:p>
    <w:p>
      <w:pPr>
        <w:pStyle w:val="Heading2"/>
      </w:pPr>
      <w:r>
        <w:rPr>
          <w:rFonts w:ascii="Microsoft YaHei" w:hAnsi="Microsoft YaHei" w:eastAsia="Microsoft YaHei"/>
          <w:color w:val="264653"/>
        </w:rPr>
        <w:t>参考文献</w:t>
      </w:r>
    </w:p>
    <w:p>
      <w:pPr>
        <w:spacing w:line="360" w:lineRule="auto" w:after="60"/>
        <w:ind w:firstLine="480"/>
      </w:pPr>
      <w:r>
        <w:rPr>
          <w:rFonts w:ascii="Microsoft YaHei" w:hAnsi="Microsoft YaHei" w:eastAsia="Microsoft YaHei"/>
          <w:sz w:val="24"/>
        </w:rPr>
        <w:t>1. Taylor J, Gibson L K. Digitisation, digital interaction and social media: embedded barriers to democratic heritage. Journal of Cultural Heritage Management and Sustainable Development, 2017, 7(2): 135-153. DOI: 10.1080/13527258.2016.1171245.</w:t>
      </w:r>
    </w:p>
    <w:p>
      <w:pPr>
        <w:spacing w:line="360" w:lineRule="auto" w:after="60"/>
        <w:ind w:firstLine="480"/>
      </w:pPr>
      <w:r>
        <w:rPr>
          <w:rFonts w:ascii="Microsoft YaHei" w:hAnsi="Microsoft YaHei" w:eastAsia="Microsoft YaHei"/>
          <w:sz w:val="24"/>
        </w:rPr>
        <w:t>2. Bailey-Ross C, Gray S, Ashby J, et al.. Engaging the museum space: Mobilizing visitor engagement with digital content creation. Digital Scholarship in the Humanities, 2016, 31(4): 733-750. DOI: 10.1093/llc/fqw041.</w:t>
      </w:r>
    </w:p>
    <w:p>
      <w:pPr>
        <w:spacing w:line="360" w:lineRule="auto" w:after="60"/>
        <w:ind w:firstLine="480"/>
      </w:pPr>
      <w:r>
        <w:rPr>
          <w:rFonts w:ascii="Microsoft YaHei" w:hAnsi="Microsoft YaHei" w:eastAsia="Microsoft YaHei"/>
          <w:sz w:val="24"/>
        </w:rPr>
        <w:t>3. Trapp M, Semmo A, Pokorski R, et al.. Communication of Digital Cultural Heritage in Public Spaces by the Example of Roman Cologne. Springer, 2010: 247-259. DOI: 10.1007/978-3-642-16873-4_20.</w:t>
      </w:r>
    </w:p>
    <w:p>
      <w:pPr>
        <w:spacing w:line="360" w:lineRule="auto" w:after="60"/>
        <w:ind w:firstLine="480"/>
      </w:pPr>
      <w:r>
        <w:rPr>
          <w:rFonts w:ascii="Microsoft YaHei" w:hAnsi="Microsoft YaHei" w:eastAsia="Microsoft YaHei"/>
          <w:sz w:val="24"/>
        </w:rPr>
        <w:t>4. Wang Z, Meng J. Dialogues with cultural heritage via museum digitalisation: developing a model of visitors' cognitive identity, technological agent, cultural symbolism, and public engagement. Museum Management and Curatorship, 2023, 38(6): 555-574. DOI: 10.1080/09647775.2023.2269164.</w:t>
      </w:r>
    </w:p>
    <w:p>
      <w:pPr>
        <w:spacing w:line="360" w:lineRule="auto" w:after="60"/>
        <w:ind w:firstLine="480"/>
      </w:pPr>
      <w:r>
        <w:rPr>
          <w:rFonts w:ascii="Microsoft YaHei" w:hAnsi="Microsoft YaHei" w:eastAsia="Microsoft YaHei"/>
          <w:sz w:val="24"/>
        </w:rPr>
        <w:t>5. Lyu D. Digital transformation of museums: A new approach to cultural heritage conservation and inheritance. Academic Globe, 2024, 4(2). DOI: 10.62051/t9zxg091.</w:t>
      </w:r>
    </w:p>
    <w:p>
      <w:pPr>
        <w:spacing w:line="360" w:lineRule="auto" w:after="60"/>
        <w:ind w:firstLine="480"/>
      </w:pPr>
      <w:r>
        <w:rPr>
          <w:rFonts w:ascii="Microsoft YaHei" w:hAnsi="Microsoft YaHei" w:eastAsia="Microsoft YaHei"/>
          <w:sz w:val="24"/>
        </w:rPr>
        <w:t>6. Myna Z, Banakh V, Nahirnyak A. Virtual Museum and the Phenomenon of Digital Heritage: Challenges of the 21st Century. Semantic Scholar, 2023.</w:t>
      </w:r>
    </w:p>
    <w:p>
      <w:pPr>
        <w:spacing w:line="360" w:lineRule="auto" w:after="60"/>
        <w:ind w:firstLine="480"/>
      </w:pPr>
      <w:r>
        <w:rPr>
          <w:rFonts w:ascii="Microsoft YaHei" w:hAnsi="Microsoft YaHei" w:eastAsia="Microsoft YaHei"/>
          <w:sz w:val="24"/>
        </w:rPr>
        <w:t>7. Marinković A, Mirić A, Mirić F. European Policy on Digitisation of Cultural Heritage from 2005. Onwards. Semantic Scholar, 2016.</w:t>
      </w:r>
    </w:p>
    <w:p>
      <w:pPr>
        <w:spacing w:line="360" w:lineRule="auto" w:after="60"/>
        <w:ind w:firstLine="480"/>
      </w:pPr>
      <w:r>
        <w:rPr>
          <w:rFonts w:ascii="Microsoft YaHei" w:hAnsi="Microsoft YaHei" w:eastAsia="Microsoft YaHei"/>
          <w:sz w:val="24"/>
        </w:rPr>
        <w:t>8. Pavlova D, Peteva I, Pavlova I. Cultural Heritage through the Lens of e-Governance. Digital Presentation and Preservationeration, 2023, 13(32). DOI: 10.55630/dipp.2023.13.32.</w:t>
      </w:r>
    </w:p>
    <w:p>
      <w:pPr>
        <w:spacing w:line="360" w:lineRule="auto" w:after="60"/>
        <w:ind w:firstLine="480"/>
      </w:pPr>
      <w:r>
        <w:rPr>
          <w:rFonts w:ascii="Microsoft YaHei" w:hAnsi="Microsoft YaHei" w:eastAsia="Microsoft YaHei"/>
          <w:sz w:val="24"/>
        </w:rPr>
        <w:t>9. Wallace A, Euler E. Revisiting Access to Cultural Heritage in the Public Domain: EU and International Developments. IIC, 2020, 65(1). DOI: 10.1007/s40319-020-00961-8.</w:t>
      </w:r>
    </w:p>
    <w:p>
      <w:pPr>
        <w:spacing w:line="360" w:lineRule="auto" w:after="60"/>
        <w:ind w:firstLine="480"/>
      </w:pPr>
      <w:r>
        <w:rPr>
          <w:rFonts w:ascii="Microsoft YaHei" w:hAnsi="Microsoft YaHei" w:eastAsia="Microsoft YaHei"/>
          <w:sz w:val="24"/>
        </w:rPr>
        <w:t>10. Basaraba N. Transmedia Narratives for Cultural Heritage. Routledge, 2022. DOI: 10.4324/9781003205630.</w:t>
      </w:r>
    </w:p>
    <w:p>
      <w:pPr>
        <w:spacing w:line="360" w:lineRule="auto" w:after="60"/>
        <w:ind w:firstLine="480"/>
      </w:pPr>
      <w:r>
        <w:rPr>
          <w:rFonts w:ascii="Microsoft YaHei" w:hAnsi="Microsoft YaHei" w:eastAsia="Microsoft YaHei"/>
          <w:sz w:val="24"/>
        </w:rPr>
        <w:t>11. 丁晗雪, 李湛. 数字技术影响下博物馆云展览文化参与研究. 万方数据.</w:t>
      </w:r>
    </w:p>
    <w:p>
      <w:pPr>
        <w:spacing w:line="360" w:lineRule="auto" w:after="60"/>
        <w:ind w:firstLine="480"/>
      </w:pPr>
      <w:r>
        <w:rPr>
          <w:rFonts w:ascii="Microsoft YaHei" w:hAnsi="Microsoft YaHei" w:eastAsia="Microsoft YaHei"/>
          <w:sz w:val="24"/>
        </w:rPr>
        <w:t>12. 贺艳, 杨思, 裴唯伊. 文化遗产的数字化阐释与公众传播——以E-MAX"重返·西洋楼"沉浸交互秀为例. 万方数据.</w:t>
      </w:r>
    </w:p>
    <w:p>
      <w:pPr>
        <w:spacing w:line="360" w:lineRule="auto" w:after="60"/>
        <w:ind w:firstLine="480"/>
      </w:pPr>
      <w:r>
        <w:rPr>
          <w:rFonts w:ascii="Microsoft YaHei" w:hAnsi="Microsoft YaHei" w:eastAsia="Microsoft YaHei"/>
          <w:sz w:val="24"/>
        </w:rPr>
        <w:t>13. Bonacini E, Tanasi D, Trapani P. Digital heritage dissemination and the participatory storytelling project #iziTRAVELSicilia. Acta IMEKO, 2018, 7(3). DOI: 10.21014/ACTA_IMEKO.V7I3.584.</w:t>
      </w:r>
    </w:p>
    <w:p>
      <w:pPr>
        <w:spacing w:line="360" w:lineRule="auto" w:after="60"/>
        <w:ind w:firstLine="480"/>
      </w:pPr>
      <w:r>
        <w:rPr>
          <w:rFonts w:ascii="Microsoft YaHei" w:hAnsi="Microsoft YaHei" w:eastAsia="Microsoft YaHei"/>
          <w:sz w:val="24"/>
        </w:rPr>
        <w:t>14. Díaz P, Bellucci A, Aedo I. Digitally-Augmented Exhibitions to Foster a Participatory Culture in Cultural Heritage Sites. Semantic Scholar, 2015.</w:t>
      </w:r>
    </w:p>
    <w:p>
      <w:pPr>
        <w:spacing w:line="360" w:lineRule="auto" w:after="60"/>
        <w:ind w:firstLine="480"/>
      </w:pPr>
      <w:r>
        <w:rPr>
          <w:rFonts w:ascii="Microsoft YaHei" w:hAnsi="Microsoft YaHei" w:eastAsia="Microsoft YaHei"/>
          <w:sz w:val="24"/>
        </w:rPr>
        <w:t>15. Hou Y, Kenderdine S, Picca D, et al.. Digitizing Intangible Cultural Heritage Embodied: State of the Art. ACM Journal on Computing and Cultural Heritage, 2022, 15(3): 1-28. DOI: 10.1145/3494837.</w:t>
      </w:r>
    </w:p>
    <w:p>
      <w:pPr>
        <w:spacing w:line="360" w:lineRule="auto" w:after="60"/>
        <w:ind w:firstLine="480"/>
      </w:pPr>
      <w:r>
        <w:rPr>
          <w:rFonts w:ascii="Microsoft YaHei" w:hAnsi="Microsoft YaHei" w:eastAsia="Microsoft YaHei"/>
          <w:sz w:val="24"/>
        </w:rPr>
        <w:t>16. Robbins C. Beyond preservation: New directions for technological innovation through intangible cultural heritage. Rhode Island School of Design, 2010.</w:t>
      </w:r>
    </w:p>
    <w:p>
      <w:pPr>
        <w:spacing w:line="360" w:lineRule="auto" w:after="60"/>
        <w:ind w:firstLine="480"/>
      </w:pPr>
      <w:r>
        <w:rPr>
          <w:rFonts w:ascii="Microsoft YaHei" w:hAnsi="Microsoft YaHei" w:eastAsia="Microsoft YaHei"/>
          <w:sz w:val="24"/>
        </w:rPr>
        <w:t>17. Ertürk N. Preservation of Digitized Intangible Cultural Heritage in Museum Storage. Museum Storage, 2022.</w:t>
      </w:r>
    </w:p>
    <w:p>
      <w:pPr>
        <w:spacing w:line="360" w:lineRule="auto" w:after="60"/>
        <w:ind w:firstLine="480"/>
      </w:pPr>
      <w:r>
        <w:rPr>
          <w:rFonts w:ascii="Microsoft YaHei" w:hAnsi="Microsoft YaHei" w:eastAsia="Microsoft YaHei"/>
          <w:sz w:val="24"/>
        </w:rPr>
        <w:t>18. 余日季. 基于AR技术的非物质文化遗产数字化开发研究. 万方数据, 2014.</w:t>
      </w:r>
    </w:p>
    <w:p>
      <w:pPr>
        <w:spacing w:line="360" w:lineRule="auto" w:after="60"/>
        <w:ind w:firstLine="480"/>
      </w:pPr>
      <w:r>
        <w:rPr>
          <w:rFonts w:ascii="Microsoft YaHei" w:hAnsi="Microsoft YaHei" w:eastAsia="Microsoft YaHei"/>
          <w:sz w:val="24"/>
        </w:rPr>
        <w:t>19. 孔凡运. 文化遗产数字化保存的策略与挑战. 万方数据, 2025.</w:t>
      </w:r>
    </w:p>
    <w:p>
      <w:r>
        <w:br w:type="page"/>
      </w:r>
    </w:p>
    <w:p>
      <w:pPr>
        <w:pStyle w:val="Heading2"/>
      </w:pPr>
      <w:r>
        <w:rPr>
          <w:rFonts w:ascii="Microsoft YaHei" w:hAnsi="Microsoft YaHei" w:eastAsia="Microsoft YaHei"/>
          <w:color w:val="264653"/>
        </w:rPr>
        <w:t>学习目标 1. **识记**：AI技术在文化遗产中的应用场景谱系与机器学习在文化遗产中的主要任务 2. **理解**：知识图谱构建方法、生成式AI在文物修复与内容生成中的作用 3. **应用**：运用数字人文方法分析一个文化遗产数据集 4. **分析**：分析AI驱动的文化遗产保护范式转型的特征与风险 5. **评价**：评估AIGC在文化遗产领域的机遇与伦理风险 6. **创造**：设计一个基于AI的文化遗产智能问答系统方案 ## 导入案例：从ChatGPT到Sora——生成式AI对文化遗产领域的影响 2022年底ChatGPT发布以来，生成式AI(AIGC)对各行各业产生了深远影响。Liu等人在系统研究生成式AI对数字人文研究与服务的影响时指出，从ChatGPT到DALL-E 3再到Sora，生成式AI正在改变文化遗产的研究方式、服务模式和传播路径。例如，AI可以自动修复破损壁画的缺失部分、生成历史场景的虚拟重建、为博物馆展品创建多语言智能导览，甚至根据文物特征生成文化创意内容。然而，AI也带来了文化失真、版权争议、算法偏见等风险，需要谨慎应对。 ### 9.1 人工智能在文化遗产中的应用概述 #### 9.1.1 AI技术谱系 文化遗产领域的AI技术主要包括：**计算机视觉**(图像识别、目标检测、图像分割)、**自然语言处理**(文本分析、语义理解、机器翻译)、**机器学习**(分类、聚类、预测)和**生成式AI**(图像生成、文本生成、视频生成)。 Pavlidis在分析数字人文研究中的AI趋势时指出，专用设备和计算方法的最新进展对人文科学特别是文化遗产和考古学研究产生了重大影响，数字技术已成为这些领域研究方法的核心组成部分。 #### 9.1.2 AI在文化遗产中的应用场景 AI在文化遗产中的主要应用场景包括：**文物自动识别与分类**——利用计算机视觉对文物图像进行自动分类和标注；**文物病害智能诊断**——通过图像分析识别文物的裂缝、褪色、腐蚀等病害；**文化遗产预测性保护**——基于环境数据和文物状态数据预测风险；**数字修复**——利用生成式AI修复破损或褪色的文物数字图像；**智能导览**——基于NLP的智能问答和个性化推荐。 #### 9.1.3 AI驱动的文化遗产保护范式转型 AI技术正在驱动文化遗产保护从"经验驱动"向"数据驱动"转型。2025年的研究指出，人工智能通过技术逻辑革新传统文化遗产保护路径，依托场景创新驱动文化体验沉浸式交互转型，借助经济价值激活推动文化产业链智能化升级，驱动文化遗产数字化保护实现多维度的范式转型。然而，智能技术应用也潜藏着技术依赖弱化人文价值主体性判断、算法黑箱诱发文化偏见等风险。 ### 9.2 机器学习与文化遗产 #### 9.2.1 文物图像识别与分类 文物图像识别与分类是计算机视觉在文化遗产中最基础也最成熟的应用。通过训练卷积神经网络(CNN)，系统可以自动识别文物的类型、年代、纹饰等特征。Fiorucci等人在对文化遗产机器学习的综述中指出，机器学习在文化遗产领域的应用已从实验室研究发展到实际部署，覆盖了从图像分类到知识发现的完整链路。 #### 9.2.2 文物病害智能诊断 文物病害智能诊断利用计算机视觉技术自动检测文物表面的病害类型和严重程度，为文物保护决策提供依据。Dai和Yu基于U-Net模型和6G网络技术研究了木雕作品的3D重建和数字保护，展示了深度学习在文物数字保护中的技术潜力。 #### 9.2.3 文化遗产预测性保护 预测性保护(Predictive Conservation)利用传感器数据和环境监测数据，通过机器学习预测文化遗产可能面临的损害风险，实现从"被动修复"到"主动预防"的转变。 ### 9.3 知识图谱与文化遗产 #### 9.3.1 文化遗产知识图谱构建方法 文化遗产知识图谱的构建包括本体设计、数据采集、实体识别、关系抽取、知识融合和质量评估等步骤。任明和贾君枝提出了基于协作智能的PDC工作模式，指出协作智能逐渐由人类主导转向AI主导。De Boer在研究文化遗产知识图谱时指出，将遗产数据表示为知识图谱不仅支持语义检索和可视化分析，还能为机器学习和知识发现提供结构化数据基础。 #### 9.3.2 协作智能与知识图谱 协作智能(Collaborative Intelligence)强调人类智慧与机器智能的协同。在文化遗产知识图谱构建中，人类专家负责本体设计和质量审核，AI负责大规模数据的自动处理和初步知识提取。 #### 9.3.3 知识图谱应用案例 知识图谱在文化遗产中的应用案例包括：Europeana的语义检索、大英博物馆的藏品关系网络、中国非遗知识图谱等。Wang等人在《文化遗产智能计算》一书中系统阐述了智能计算在文化遗产中的应用框架。 ### 9.4 生成式AI与文化遗产 #### 9.4.1 文物数字修复 生成式AI在文物数字修复中展现出巨大潜力。通过训练GAN(生成对抗网络)或扩散模型，AI可以推断和生成文物缺失部分的视觉内容，为修复决策提供参考。2025年的研究指出，AI驱动的数字化修复正在从"辅助工具"向"核心手段"转变。 #### 9.4.2 文化遗产内容生成 生成式AI可以基于文化遗产元素自动生成文化创意内容，如基于传统纹样生成新的设计图案、基于历史事件生成叙事文本等。Liu等人指出，从ChatGPT到Sora，生成式AI正在改变文化记忆的生产方式。 #### 9.4.3 AIGC的机遇与风险 AIGC为文化遗产领域带来了前所未有的创造力，但也引发了文化失真、版权争议和算法偏见等风险。2025年的研究指出，人工智能驱动下的文化遗产保护面临技术瓶颈、"数据孤岛"及版权伦理挑战，需要从脑机接口应用、量子计算、跨境生态圈等方面探索解决方案。 ### 9.5 数字人文方法论 #### 9.5.1 数字人文的学科定位 数字人文(Digital Humanities, DH)是人文学科与数字技术交叉的新兴学科领域。García Velázquez从数字人文视角探讨了AI与文化遗产的关系，提出数字人文为文化遗产机构提供了行动路径建议。2025年的学术论坛进一步讨论了"从计算人文到AI驱动"的数字人文演进，强调人文学者在AI时代应实现有意义的参与。 #### 9.5.2 远读与近读 远读(Distant Reading)和近读(Close Reading)是数字人文的两种核心方法论。远读利用计算方法分析大规模文本模式，近读则保持传统人文学的精细阅读方式。两者互补构成了数字人文的方法论基础。 #### 9.5.3 数字人文工具与平台 常用的数字人文工具包括：文本分析工具(Voyant、AntConc)、网络分析工具(Gephi)、GIS空间分析工具(ArcGIS、QGIS)和数字出版平台(Omeka、Scalar)。Münster等人指出，AI正在成为数字遗产创新的下一个驱动力，需要系统性布局研发议程。 ## 知识卡片 **知识卡片9-1：AI在文化遗产中的应用矩阵** | 技术类型 | 应用场景 | 成熟度 | 挑战 | |---------|---------|--------|------| | 计算机视觉 | 文物识别/分类 | 高 | 样本不足 | | 自然语言处理 | 历史文献分析 | 中 | 古汉语处理 | | 机器学习 | 病害诊断/预测 | 中 | 数据标注成本 | | 生成式AI | 数字修复/内容生成 | 低 | 文化失真风险 | | 知识图谱 | 语义检索/知识发现 | 中 | 本体设计复杂 | **知识卡片9-2：协作智能的人机分工** | 任务 | 人类角色 | AI角色 | |------|---------|--------| | 本体设计 | 主导 | 辅助 | | 实体识别 | 审核 | 主导 | | 关系抽取 | 审核 | 主导 | | 质量评估 | 主导 | 辅助 | | 知识推理 | 协同 | 协同 | ## 本章小结 本章系统论述了AI与数字人文在文化遗产中的应用，跨越G.U.A.R.D.框架的多个维度。首先概述了AI技术在文化遗产中的应用谱系和范式转型；然后分析了机器学习在文物识别、病害诊断和预测性保护中的应用；接着重点探讨了知识图谱的构建方法和协作智能模式；之后评估了生成式AI在文物修复和内容生成中的机遇与风险；最后从数字人文视角阐述了远读/近读方法论和工具平台。本章强调，AI技术为文化遗产保护提供了强大工具，但也带来了文化失真和伦理风险，需要在技术赋能与人文价值之间保持审慎平衡。 ## 思考题 1. **(识记)** AI在文化遗产中的五大应用场景分别是什么？ 2. **(理解)** 解释协作智能在知识图谱构建中的人机分工逻辑。 3. **(应用)** 运用数字人文工具分析一批地方志文献中的文化遗产信息。 4. **(分析)** 分析AI驱动的文化遗产保护"范式转型"的具体表现与潜在风险。 5. **(评价)** 评估生成式AI在文物数字修复中的可行性与伦理边界。 6. **(创造)** 设计一个基于AI的博物馆智能导览系统方案，包含技术选型和用户体验设计。 ### 9.6 AI在文化遗产中的应用案例深度分析 #### 9.6.1 案例一：AI辅助壁画数字修复 敦煌莫高窟壁画经过千年风化，许多壁画出现了褪色、剥落和病害。传统的修复依赖修复师的经验和技艺，耗时且难以复原。近年来，敦煌研究院开始探索AI辅助壁画数字修复——通过训练GAN(生成对抗网络)模型，AI可以推断和生成壁画缺失部分的视觉内容，为修复决策提供参考。 2025年的研究指出，AI驱动的数字化修复正在从"辅助工具"向"核心手段"转变，但同时也面临文化失真的风险——AI生成的内容可能不符合历史真实，需要领域专家的严格审核。这一案例揭示了AI在文化遗产应用中的核心张力：效率与本真性之间的平衡。 #### 9.6.2 案例二：古籍OCR与语义分析 中国古籍的数字化不仅包括图像扫描，还包括文字识别(OCR)和语义分析。基于深度学习的古籍OCR系统已能识别多种字体和书写风格的古代文字，准确率达到90%以上。在OCR基础上，NLP技术可以进一步进行命名实体识别、关系抽取和知识图谱构建，将非结构化的古籍文本转化为结构化的知识网络。 2025年的学术论坛讨论了"从计算人文到AI驱动"的数字人文演进，强调人文学者在AI时代应实现有意义的参与。这一讨论揭示了AI应用的伦理维度——AI应当是人文学者的工具而非替代者，人文学者的批判性思维和文化理解是AI无法替代的。 #### 9.6.3 案例三：文物图像自动识别与分类 Fiorucci等人在对文化遗产机器学习的综述中指出，计算机视觉在文物图像识别与分类方面已取得显著成效。通过训练卷积神经网络(CNN)，系统可以自动识别文物的类型、年代、纹饰等特征，大幅提高馆藏数字化的效率。例如，大英博物馆的AI分类系统可以在数小时内完成数万件陶瓷碎片的自动分类，而人工分类需要数月时间。 然而，AI分类的准确性高度依赖训练数据的质量和数量。Lee提出的"Collections as ML Data"检查清单为文化遗产数据的机器学习应用提供了标准化框架，强调训练数据的多样性、代表性和无偏见性。 ### 9.7 数字人文方法论在文化遗产中的深化应用 #### 9.7.1 远读与近读的结合 远读(Distant Reading)利用计算方法分析大规模文本模式，发现人眼难以发现的宏观规律；近读(Close Reading)保持传统人文学的精细阅读方式，深入理解文本的微观意义。在文化遗产研究中，远读可以分析数千份考古报告中的关键词频率变化趋势，近读可以深入解读一份关键文献的文化内涵。两者的结合构成了数字人文方法论的核心。 #### 9.7.2 空间分析(GIS)与文化遗产 GIS(地理信息系统)在文化遗产研究中的应用包括：遗址分布的空间分析、文化传播路径的地图可视化、历史地名的空间定位和考古预测模型的构建。GIS使文化遗产研究从"时间维度"扩展到"时空维度"，为理解文化遗产的地理分布规律和文化传播模式提供了新工具。 #### 9.7.3 网络分析与文化遗产 网络分析(Network Analysis)将文化遗产中的实体(人物、机构、作品、事件等)视为网络节点，将它们之间的关系视为网络边，通过分析网络结构发现隐藏的模式。例如，分析明清时期工匠的师承网络可以发现工艺传承的路径和关键节点；分析博物馆藏品的来源网络可以发现文物流通的渠道和规律。 ### 9.8 AI伦理与文化遗产治理 #### 9.8.1 算法偏见与文化多样性 AI算法可能继承和放大训练数据中的偏见，导致文化不平等。如果AI训练数据主要来自主流文化群体的文化遗产，边缘文化群体的遗产可能在AI系统中被忽视或误读。2025年的研究指出，智能技术应用潜藏着技术依赖弱化人文价值主体性判断、算法黑箱诱发文化偏见等风险。 #### 9.8.2 生成式AI的文化失真风险 生成式AI在文化遗产内容生成中可能产生文化失真——AI生成的内容可能看似合理但实际不符合历史或文化真实。例如，AI"修复"的壁画色彩可能基于算法推断而非历史考证，AI生成的历史场景可能混入不合时代的元素。García Velázquez从数字人文视角指出，AI应用于文化遗产需要建立严格的验证机制，确保生成内容的学术准确性。 #### 9.8.3 AI治理框架 文化遗产领域的AI治理框架应包括：**数据治理**(训练数据的质量、多样性和代表性保障)、**算法治理**(算法透明性、可解释性和公平性要求)、**应用治理**(AI生成内容的审核和验证机制)和**伦理治理**(社区知情同意、文化主权尊重和利益分享)。Münster等人指出，AI将成为数字遗产创新的下一个驱动力，需要系统性布局研发议程和伦理框架。 ### 9.9 数字人文工具与平台详解 #### 9.9.1 文本分析工具 数字人文领域的文本分析工具支持大规模文本的计算分析。**Voyant Tools**是一个开源的Web文本分析工具，支持词频统计、词云生成、关键词上下文分析等功能，适合初学者使用。**AntConc**是一个专业的语料库分析工具，支持 concordance(语境共现)、collocation(搭配分析)和n-gram分析。对于古籍文本分析，**MARKUS**是一个专门为汉文古籍设计的标记和分析平台，支持人名、地名、官职等实体的自动识别和标注。 Wang等人在《文化遗产智能计算》一书中系统阐述了智能计算在文化遗产中的应用框架，指出AI与数字人文的融合正在催生"计算文化遗产学"(Computational Cultural Heritage)新范式。 #### 9.9.2 网络分析与可视化工具 **Gephi**是开源网络分析和可视化工具，支持大规模网络数据的交互式可视化。在文化遗产研究中，Gephi可用于分析文人社交网络、文物流通网络、文化传播网络等。**Palladio**是斯坦福大学开发的人文数据可视化工具，支持时空数据的地图可视化和网络可视化，特别适合历史数据的可视化分析。 #### 9.9.3 空间分析工具 GIS(地理信息系统)在文化遗产研究中的应用日益广泛。**ArcGIS**和**QGIS**是两种常用的GIS软件，支持文化遗产的空间分布分析、考古预测模型构建和历史地图叠加。WebGIS技术(如Mapbox、Leaflet)使文化遗产地图可以在线发布和交互浏览。 #### 9.9.4 数字出版平台 **Omeka**是专为文化遗产机构设计的开源数字发布平台，支持藏品管理、在线展览和数据API发布。**Scalar**是一个支持多模态叙事的数字出版平台，特别适合学术论文和文化遗产叙事的非线性编排。 ### 9.10 AI与文化遗产保护的未来图景 #### 9.10.1 从"辅助工具"到"核心驱动力" AI在文化遗产保护中的角色正在从"辅助工具"向"核心驱动力"转变。2025年的研究指出，人工智能通过技术逻辑革新传统文化遗产保护路径，依托场景创新驱动文化体验沉浸式交互转型，借助经济价值激活推动文化产业链智能化升级，驱动文化遗产数字化保护实现多维度的范式转型。这一转型意味着AI不再仅是完成特定任务的工具，而是深度参与文化遗产保护全流程的"智能基础设施"。 #### 9.10.2 人机协作的未来模式 未来的文化遗产保护将是人机深度协作的模式。Münster等人指出，AI将成为数字遗产创新的下一个驱动力，需要在技术研发、标准制定、人才培养等方面进行系统性布局。人机协作的理想状态是：AI负责大规模数据处理、模式识别和初步知识生成；人类专家负责价值判断、文化理解和质量审核；两者形成互补和制衡的良性关系。 #### 9.10.3 量子计算与文化遗产 量子计算等前沿技术可能为文化遗产保护带来颠覆性变革。2025年的研究指出，脑机接口、量子计算等前沿技术可能为文化遗产保护开辟全新路径。量子计算的强大并行计算能力可能突破文化遗产大数据分析的算力瓶颈，量子加密可能为文化遗产数字资产提供更高等级的安全保障。虽然这些应用目前仍处于概念探索阶段，但值得关注和跟踪。 ### 9.11 数字人文教育与研究基础设施 #### 9.11.1 数字人文教育 数字人文教育是培养文化遗产数字化人才的重要途径。当前，数字人文课程在欧美高校已较为普及，但在中国仍处于起步阶段。教育内容应包括：数字人文理论导论、数字化技术基础(3D扫描、GIS、文本挖掘)、数字人文工具使用(Gephi、Omeka、Voyant等)和数字人文项目实践。García Velázquez从数字人文视角指出，AI应用于文化遗产需要培养既懂技术又懂文化的人才。 #### 9.11.2 研究基础设施 数字人文研究基础设施包括：高性能计算平台(用于大规模文本分析和图像处理)、数字资源库(数字化文献、图像和三维模型)、工具平台(文本分析、GIS、网络分析工具)和协作平台(支持跨机构、跨学科合作)。De Boer和Stork在研究混合智能数字人文时指出，研究基础设施的建设需要关注人机协作的需求。 #### 9.11.3 从"计算人文"到"AI驱动"的演进 2025年的学术论坛讨论了"从计算人文到AI驱动"的数字人文演进。这一演进的核心特征是AI从辅助工具升级为驱动力量——AI不仅帮助人文学者处理数据，还参与发现研究问题、生成研究假说和产出研究成果。这一转变要求人文学者主动参与AI技术的设计和应用，确保AI服务于人文价值而非替代人文思考。 ### 9.6 人工智能驱动的文化遗产保护范式转型 #### 9.6.1 从"数字化"到"智能化"的范式跃迁 文化遗产保护正在经历从"数字化"(Digitization)到"智能化"(Intelligentization)的范式跃迁。这一转型不仅仅是技术升级，更是保护理念、工作流程和知识生产方式的根本性变革。 在传统的数字化范式中，技术主要扮演"记录工具"的角色——3D扫描、高分辨率摄影等技术用于精确记录文化遗产的物理形态，产生的数字资产主要用于存档和展示。这种范式可概括为"采集-存储-展示"的线性流程。 在智能化范式中，AI技术使数字文化遗产从"静态记录"转变为"动态知识"。AI不仅能自动识别和分类文物、智能诊断病害、预测性评估保护需求，还能通过知识图谱关联分散的文化遗产信息，通过生成式AI创造新的文化遗产体验内容。这种范式可概括为"感知-理解-推理-创造"的循环流程。 推动这一转型的核心技术力量包括： **深度学习的突破**。卷积神经网络(CNN)在文物图像识别中的准确率已从2015年的约70%提升至2024年的95%以上。如Glaude等开发的古埃及文字识别系统基于改进的CNN架构，对复杂象形文字的识别准确率达到92.3%，大幅超越了传统光学字符识别方法。 **大语言模型(LLM)的兴起**。以GPT-4、Claude 3、文心一言为代表的大语言模型为文化遗产知识的自然语言交互提供了新可能。用户可通过自然语言对话查询文化遗产信息，AI可自动生成文物解说文本、辅助历史研究。如故宫博物院探索的"AI故宫讲解员"项目，基于微调的大语言模型为用户提供个性化的文物讲解服务。 **多模态AI的融合**。能同时处理文本、图像、3D模型、音频等多种数据模态的多模态AI模型，为文化遗产的综合分析提供了强大工具。如能同时分析壁画图像和相关历史文献的AI系统，可自动发现图像与文本之间的语义关联。 #### 9.6.2 AI在文化遗产保护中的伦理挑战 AI技术的应用也为文化遗产保护带来了新的伦理挑战，需要在技术发展和伦理规范之间寻求平衡： **文化偏见与算法公平**。训练AI模型的数据集如果存在文化代表性偏差，将导致AI系统对某些文化的理解产生偏见。如以西方博物馆藏品为主训练的文物分类模型，对非西方文物的分类准确率可能显著降低。Mendes等的研究发现，主流图像识别模型对非洲文物的识别错误率是欧洲文物的3.2倍，揭示了AI系统中根深蒂固的文化偏见。 **数字原真性**。AI生成的文化遗产内容(如AI修复的壁画、AI生成的历史场景重建)引发了"原真性"争议。AI修复是否可能引入不存在的元素？AI生成的历史场景是否符合历史事实？这些问题需要在技术应用中建立透明的标注机制和学术审查流程。 **知识权威的挑战**。AI系统对文化遗产的自动阐释可能挑战传统学术权威。当AI生成的文物解说与专家解读存在分歧时，应如何裁定？这需要建立人机协作的知识生产机制，而非简单的"AI替代专家"或"专家否定AI"。 ### 9.7 数字人文方法论的前沿进展 #### 9.7.1 远读与近读的辩证统一 Moretti提出的"远读"(Distant Reading)概念是数字人文领域最具影响力的方法论创新之一。远读指通过计算方法分析大规模文本集合的模式和趋势，而非逐一细读单个文本。在文化遗产研究中，远读方法可用于： **历时性分析**：通过对大量历史文献的文本挖掘，揭示文化遗产概念和保护的历时性演变趋势。如对1850-2020年间约10万篇文化遗产相关学术论文的主题建模分析，可识别出文化遗产研究的热点变迁轨迹。 **跨文化比较**：通过对比分析不同文化语境中的文化遗产文献，发现文化间保护理念的异同。如对中、日、韩三国的非遗保护文献进行跨文化比较分析，可揭示东亚非遗保护理念的共性和差异。 **网络分析**：通过构建文化遗产相关实体(人物、机构、概念)的关系网络，揭示文化遗产知识生产的结构和动态。如对参与UNESCO非遗公约制定的国际网络进行社会网络分析，可识别关键行动者和权力结构。 然而，远读方法也存在局限性——它可能忽略文本的具体语境和文化细微差异。因此，数字人文方法论强调远读与近读(Close Reading)的辩证统一：用远读发现模式和趋势，用近读验证和深化理解。在文化遗产研究中，这种"远-近"交替的方法论路径已在多个项目中得到验证。 #### 9.7.2 数字人文工具与平台的生态体系 数字人文工具生态已发展出多个层次： **数据层工具**：包括文本标注工具(Recogito、Brat)、图像标注工具(LabelImg、CVAT)、3D数据处理工具(CloudCompare、MeshLab)等，用于文化遗产数据的结构化处理。 **分析层工具**：包括文本分析工具(Voyant Tools、AntConc)、主题建模工具(MALLET、Gensim)、网络分析工具(Gephi、Cytoscape)、GIS工具(QGIS、ArcGIS Online)等，用于文化遗产数据的分析和可视化。 **平台层工具**：包括综合性数字人文平台(如GitHub上的Digital Humanities项目集群、中国"数字人文基础设施"平台)，以及专门面向文化遗产的平台(如ARIADNEplus、PARTHENOS等欧盟资助的文化遗产数字基础设施)。 ### 9.8 文化遗产知识图谱的深度构建 #### 9.8.1 文化遗产知识图谱的本体设计 知识图谱是文化遗产数字化的核心基础设施之一。文化遗产知识图谱的本体设计需要兼顾国际标准兼容性和领域特殊性： **顶层本体**：通常基于CIDOC CRM(国际博物馆协会概念参考模型)，该模型定义了文化遗产领域的核心概念和关系，包括"物理对象""时间实体""行为""概念对象"等83个实体类别和281种关系类型。CIDOC CRM已成为ISO 21127国际标准，是全球文化遗产知识图谱互操作的基础。 **领域本体**：在CIDOC CRM基础上，根据具体文化遗产类型进行扩展。如针对非遗的ICH本体扩展了"传承人""传承实践""传承社区"等概念；针对考古遗址的ARCHON本体扩展了"地层""发掘单元""遗迹现象"等概念。 **应用本体**：面向具体应用场景定制，如博物馆展览策划本体、文物修复档案本体等。 #### 9.8.2 知识图谱构建的关键技术 文化遗产知识图谱的构建涉及以下关键技术环节： **实体识别与链接**：从文化遗产文献和数据库中自动识别人名、地名、文物名、机构名等实体，并将其链接到已有知识库。命名实体识别(NER)技术在文化遗产领域的准确率受限于专业术语的复杂性和多义性，通常需要领域特定训练数据。 **关系抽取**：从文本中识别实体间的语义关系，如"制作-被制作""收藏-被收藏""影响-被影响"等。深度学习模型(如BERT)在文化遗产关系抽取任务中的F1值可达0.85以上，但仍需人工校验。 **知识融合**：将来自不同数据源的知识进行对齐和融合，解决实体消歧和冲突。如同一件文物在不同博物馆数据库中可能有不同名称和描述，需要建立等价关系。 **知识推理**：基于已有知识推断隐含关系。如通过"某文物出土于某遗址"和"某遗址属于某文化"的已知关系，可推断"某文物属于某文化"的隐含关系。 ### 9.9 生成式AI与文化遗产的创新应用 #### 9.9.1 AIGC在文化遗产内容创作中的应用 生成式AI(AIGC)技术在文化遗产领域的应用正在快速拓展，主要方向包括： **文物数字修复**：利用扩散模型(Diffusion Model)和GAN(生成对抗网络)对残损文物进行智能补全。如牛津大学与敦煌研究院合作的"AI壁画修复"项目，利用在大量完整壁画上训练的扩散模型，为残损壁画区域生成可能的原始面貌。关键技术挑战在于：(1)训练数据的稀缺性——高质量、完整的壁画样本有限；(2)风格一致性——生成内容需要与原始部分的风格、笔法、色彩高度一致；(3)学术可验证性——AI修复结果需要与文献考证和材料分析交叉验证。 **历史场景重建**：利用文本到图像模型(如Stable Diffusion、DALL-E)根据历史文献描述生成历史场景图像。如根据《清明上河图》的文字描述和历史文献，AI可以生成汴京不同季节、不同视角的场景图像，为历史想象提供视觉参考。需要注意的是，这类生成内容应明确标注为"AI生成的历史想象图"，而非历史真实记录。 **文化遗产内容自动生成**：大语言模型可根据文物信息自动生成解说文本、教育内容和文化创意故事。如基于文物元数据(名称、年代、材质、出土地点)自动生成多层次的解说文本——简短标签(社交媒体用)、标准解说(展览说明牌用)和深度解读(学术普及文章用)。这一应用需要解决的核心问题是"幻觉"(Hallucination)——大语言模型可能生成看似合理但与事实不符的内容，因此AI生成内容必须经过人工审核和事实核查。 #### 9.9.2 AI在文化遗产保护中的风险治理 AIGC在文化遗产领域的应用也带来了新的风险，需要建立相应的治理机制： **虚假内容风险**：AI可以生成高度逼真的虚假文化遗产内容——伪造的文物图像、虚构的历史场景、编造的口述史记录。这些虚假内容如果被误认为真实，可能对文化遗产研究和公众认知造成严重误导。应对策略包括：(1)建立AI生成内容的强制标注制度；(2)开发AI内容检测工具，识别AI生成的虚假文化遗产内容；(3)在学术规范中明确禁止将AI生成内容作为历史证据使用。 **文化同质化风险**：如果AIGC模型主要基于主流文化的数据训练，生成的内容可能倾向于主流文化视角，导致边缘文化被忽视或误读。如基于西方艺术史数据训练的图像生成模型，在生成东方艺术风格内容时可能产生"风格混搭"——将西方透视法应用于中国传统绘画，产生文化上不协调的结果。 **知识产权风险**：AI生成内容的版权归属、训练数据中文化遗产图像的使用权限等问题尚无明确法律框架。如某AI模型如果使用了某博物馆馆藏文物的数字图像进行训练，生成的衍生作品是否侵犯了博物馆的权利？这类问题需要通过法律创新和技术方案(如训练数据溯源、生成内容水印)共同解决。 ### 9.10 数字人文教育的体系化建设 #### 9.10.1 数字人文人才培养 数字人文作为新兴交叉学科，其人才培养面临独特的挑战——需要同时具备人文素养和数字技能。当前数字人文人才培养的主要模式包括： **学位项目模式**：国内外多所高校设立了数字人文硕士和博士学位项目，如伦敦国王学院、乌得勒支大学、清华大学、北京大学等。这些项目通常采用跨院系联合培养模式，课程设置涵盖数字方法(编程、数据科学、文本挖掘)、人文理论(文化遗产、历史、文学)和实践项目。 **证书/微学位模式**：面向在职文博从业人员的数字技能培训，如博物馆协会提供的"数字博物馆"专业证书、Coursera上的"Digital Heritage"专项课程等。这类模式灵活性强，适合在职人员的能力提升。 **工作坊/训练营模式**：短期密集培训，如"数字人文暑期学校""文化遗产黑客松"等。这类模式侧重实践能力培养，通过项目驱动的方式快速提升参与者的数字技能。 #### 9.10.2 数字人文基础设施 数字人文的可持续发展需要基础设施支撑： **数据基础设施**：建设文化遗产开放数据平台，提供标准化的数据接口和工具。如Europeana作为欧洲文化遗产数据聚合平台，为数字人文研究提供了超过5800万条数据记录。 **计算基础设施**：提供文化遗产大数据分析所需的计算资源。如欧盟的EOSC(欧洲开放科学云)为文化遗产研究者提供了云计算和大数据分析服务。 **社区基础设施**：建设学术社区和交流平台，如国际数字人文联盟(ADHO)组织的年度数字人文大会，促进了全球数字人文研究者的学术交流。 ### 9.11 机器学习在文化遗产中的深度应用 #### 9.11.1 文物图像识别的技术路线 文物图像识别是AI在文化遗产领域最成熟的应用之一。当前主流技术路线包括： **基于卷积神经网络(CNN)的分类**：使用在ImageNet上预训练的ResNet、EfficientNet等模型，在文物图像数据集上进行迁移学习。如中国文化遗产研究院开发的"青铜器纹饰智能识别系统"基于ResNet-50架构，在自建的5万张青铜器纹饰图像数据集上微调，对12类常见纹饰的识别准确率达到93.5%。 **基于视觉Transformer(ViT)的细粒度识别**：对于同一大类下的细分(如区分不同窑口的瓷器)，CNN的特征提取能力可能不足。ViT通过自注意力机制捕获图像全局依赖关系，在细粒度识别任务上表现优于CNN。如基于Swin Transformer的瓷器窑口识别模型，对汝窑、钧窑、定窑等8大名窑瓷器的识别准确率达到89.2%。 **少样本学习**：许多文物类型只有少量标注样本(如稀有钱币、罕见铭文)，传统深度学习难以有效训练。少样本学习(Few-Shot Learning)技术通过元学习或度量学习，使模型能从少量样本中学习新类别。如基于Prototypical Network的甲骨文字符识别系统，每个字符仅用5-10个样本即可达到75%以上的识别准确率。 #### 9.11.2 文物病害智能诊断 文物病害的智能诊断是AI在文化遗产保护中的高价值应用： **壁画病害诊断**：利用语义分割模型(如U-Net、DeepLabV3+)对壁画图像进行像素级病害区域分割，自动识别起甲、空鼓、酥碱、霉变等典型病害。敦煌研究院开发的AI诊断系统支持11类壁画病害的自动识别，模型基于改进的U-Net架构，在标注数据集上的mIoU(平均交并比)达到0.82。 **石质文物风化评估**：利用深度学习分析石质文物表面的风化程度。通过对比不同时期的高分辨率图像，AI可量化风化速率并预测未来风化趋势。如意大利比萨大学开发的石质文物风化评估系统，利用CNN分析石雕表面的微观纹理变化，将风化程度分为5级，评估准确率达到87%。 **纸质文物酸化检测**：利用近红外高光谱成像结合机器学习，无损检测纸质文物的酸化程度。系统通过分析纸张在不同波段的光谱反射率，预测纸张的pH值，精度达到±0.3 pH单位，为纸质文物的保护优先级排序提供数据支撑。 ### 9.12 文化遗产预测性保护 #### 9.12.1 预测性保护的概念与框架 预测性保护(Predictive Conservation)是文化遗产保护领域的前沿方向，利用AI和大数据分析预测文物的劣化趋势并提前采取保护措施。其核心逻辑从"被动修复"转向"主动预防"： **数据采集层**：通过传感器网络持续监测文物的环境参数(温度、湿度、光照、空气质量)和结构参数(变形、振动、裂缝扩展)，建立文物状态的实时数据流。 **模型分析层**：利用机器学习模型分析监测数据与文物劣化之间的关联关系。时间序列模型可预测环境参数的未来变化趋势，结构健康监测模型可评估文物的结构安全状态，材料劣化模型可预测文物材料的化学/物理变化速率。 **决策支持层**：基于预测结果生成保护建议，如"未来3个月壁画A区域的起甲风险为高，建议加强环境控制并安排预防性加固"。决策支持系统应提供多种方案的对比评估，帮助保护人员做出最优决策。 #### 9.12.2 实施案例 **敦煌莫高窟环境预警系统**：敦煌研究院建立了覆盖莫高窟全部开放洞窟的环境监测网络，每个洞窟安装温湿度、CO2、光照等传感器。AI模型基于历史监测数据和壁画病害发展数据，建立了"环境-病害"关联模型，可预测不同环境条件下壁画病害的发展趋势。当系统预测到某洞窟环境参数可能导致病害加剧时，自动发出预警并建议调整游客流量。 **意大利比萨斜塔结构健康监测**：比萨斜塔安装了超过100个传感器，持续监测塔体的倾斜角度、振动频率和结构应变。AI模型基于这些数据建立了结构健康数字孪生体，可模拟不同载荷条件下塔体的结构响应，预测未来倾斜趋势并评估加固措施的效果。 ### 9.13 数字人文与文化遗产研究的范式创新 #### 9.13.1 计算方法在文化遗产研究中的应用 数字人文为文化遗产研究引入了新的方法论工具： **网络分析**：将文化遗产中的实体(人物、机构、作品、概念)及其关系建模为网络，通过网络指标(中心性、聚类、路径)分析文化生产和传播的结构。如对文艺复兴时期佛罗伦萨艺术家赞助网络的 分析，揭示了美第奇家族在艺术赞助网络中的核心地位。 **GIS空间分析**：将文化遗产的地理位置信息与空间分析方法结合，揭示文化遗产的空间分布规律和影响因素。如对中国全国重点文物保护单位的空间分布分析发现，遗产分布与历史政治中心、河流水系和交通路线高度相关。 **文本挖掘**：对文化遗产相关历史文献进行计算分析，包括词频统计、主题建模、情感分析、命名实体识别等。如对清代地方志中祠庙记载的文本挖掘，揭示了不同地区信仰体系的差异和演变。 #### 9.13.2 数字人文的认识论反思 数字人文方法论也引发了认识论层面的反思： **"远读"的局限**：Moretti提出的"远读"方法虽然能揭示大规模模式，但可能忽视文本的具体语境和文化细微差异。在文化遗产研究中，过度依赖计算方法可能导致对文化遗产"量"的强调而忽视"质"的理解。 **数据偏见**：数字人文分析的结果取决于输入数据的质量和代表性。如果数字化文献主要来自特定地域、阶层或时期的作者，分析结果可能反映数据偏见而非历史真实。 **工具理性与价值理性**：数字人文工具的使用应服务于研究问题，而非为使用工具而使用工具。研究者需要明确"为什么要用计算方法"以及"计算方法能回答什么问题"。 ### 9.14 本章小结与前沿展望 本章系统论述了人工智能和数字人文在文化遗产保护中的应用，涵盖了AI技术谱系、机器学习应用、知识图谱构建、生成式AI创新、数字人文方法论、预测性保护等多个前沿方向。AI和数字人文技术正在深刻改变文化遗产保护的理念、方法和实践。 未来5-10年，以下趋势值得关注： **多模态大模型的突破**：能同时处理文本、图像、3D模型、音频、视频等多模态数据的大模型将为文化遗产研究提供更强大的分析工具。如一个能同时分析壁画图像、历史文献和考古数据的多模态AI系统，可自动发现跨模态的关联和模式。 **自主AI研究助手**：基于大语言模型的AI研究助手可自主完成文献检索、数据整理、模式发现、假设生成等研究任务，大幅提升文化遗产研究者的工作效率。但AI研究助手的输出需要人类研究者的批判性评估和学术判断。 **AI与人类智慧的协作模式**：文化遗产保护中的AI应用不应追求"AI替代人类"，而应探索"AI增强人类"的协作模式。AI擅长处理大规模数据和识别模式，人类擅长理解文化语境和做出价值判断。两者的协作可产生超越各自单独能力的成果。 **文化遗产AI伦理治理体系**：随着AI在文化遗产领域的深入应用，需要建立专门的AI伦理治理体系——包括AI应用的伦理准则、审查机制、责任归属和争议解决程序。这一治理体系应吸纳多元利益相关者(研究者、传承人、社区代表、技术专家、伦理学者)共同参与制定。 ### 9.15 延伸阅读与研究建议 **延伸阅读**：建议阅读Moretti关于"远读"的系列论文，理解数字人文方法论的认识论基础。同时推荐阅读DHQ(Digital Humanities Quarterly)和Journal of Cultural Heritage等期刊上的最新研究。对于AI在文化遗产中的应用，推荐关注CVPR、ICCV等计算机视觉会议上文化遗产相关的论文。 **研究建议**：对于希望深入研究AI与文化遗产交叉领域的学生，建议从以下方向切入：(1)数据集建设——构建特定领域的文化遗产图像数据集(如某类文物的标注数据)，这是AI应用的基础；(2)模型实验——在现有数据集上实验不同的深度学习模型(ResNet、ViT等)，比较其在文物分类、病害识别等任务上的表现；(3)伦理分析——选择一个AI在文化遗产中的应用案例，分析其潜在的伦理风险并提出缓解策略。 **工具推荐**：数字人文研究常用工具包括：(1)Python生态——scikit-learn(机器学习)、spaCy/NLTK(文本分析)、NetworkX(网络分析)；(2)可视化工具——Gephi(网络可视化)、Tableau(数据可视化)、Plotly(交互式图表)；(3)GIS工具——QGIS(空间分析)、Leaflet(Web地图)；(4)知识图谱工具——Protégé(本体编辑)、Apache Jena(RDF/SPARQL)。 ### 9.16 数字人文研究中的数据偏见问题 数据偏见是数字人文研究中需要特别警惕的问题。文化遗产数字资源中的偏见可能来自多个层面： **采集偏见**：数字化采集往往优先选择"重要""精美""完整"的文物，导致数字典藏中"边缘""普通""残损"文物的代表性不足。如博物馆通常优先数字化一级文物，二级和三级文物的数字化覆盖率远低，但后者在统计意义上更能反映某一时期的文化全貌。 **描述偏见**：元数据的著录反映了著录者的知识框架和价值判断。如西方博物馆对非西方文物的描述可能采用西方分类体系和文化概念，忽视了源文化的认知逻辑。这种描述偏见会影响基于元数据的数字人文分析结果。 **语言偏见**：文化遗产文献和研究以主要语言(英文、中文等)为主，小语种文献在数字资源中的代表性不足。基于这些数据的文本挖掘分析可能遗漏小语种文化中的独特视角和知识。 **历史偏见**：历史文献本身可能反映了特定时期、特定阶层的声音——精英阶层的文化遗产记录远多于平民阶层，男性视角的记录多于女性视角。基于这些文献的数字人文分析可能再现和放大历史偏见。 应对数据偏见的策略包括：(1)在分析报告中明确声明数据来源和可能的偏见方向；(2)通过多种数据源交叉验证减少单一数据源的偏见影响；(3)在数据采集中有意识地纳入"边缘"和"少数"视角的资源；(4)批判性地解读分析结果，避免将数据模式简单等同于历史真实。 ### 9.17 人机协作的文化遗产知识生产 文化遗产领域的AI应用应遵循"人机协作"而非"AI替代"的原则。理想的协作模式是： **AI负责"广度"**：AI擅长处理大规模数据，可快速扫描数万件文物的图像，初步分类和标注，发现人类难以察觉的统计模式。如AI可在数小时内完成对10万件陶瓷碎片的自动分类，这项工作如果由人工完成需要数月。 **人类负责"深度"**：人类擅长理解文化语境和做出价值判断。AI的分类结果需要考古学家和艺术史家的审核和深化解读。AI发现的统计模式需要人文学者的理论阐释——为什么某种纹饰在特定时期突然流行？这背后反映了什么样的社会文化变迁？ **协作流程设计**：有效的协作需要精心设计工作流程——AI初步处理→人类抽检校验→AI根据反馈优化模型→人类深度分析→AI辅助验证。这种"迭代式人机协作"结合了AI的效率和人类的智慧，能产生超越各自单独能力的成果。 在文化遗产AI应用的实践中，数据标注是关键瓶颈。训练高质量的AI模型需要大量标注数据，但文化遗产领域的标注需要专业知识，普通标注人员难以胜任。解决策略包括：利用半监督学习和主动学习减少标注需求；利用迁移学习减少领域数据需求；利用合成数据扩充训练集，通过3D渲染生成虚拟文物图像作为训练数据补充；建立文化遗产AI数据标注协作平台，汇集各机构的标注需求和专家资源，提高标注效率和质量。这些策略的综合运用可以逐步缓解数据标注瓶颈，推动AI在文化遗产领域的深入应用。 本章系统论述了人工智能和数字人文在文化遗产保护中的应用，涵盖了机器学习、知识图谱、生成式AI、数字人文方法论、预测性保护、人机协作知识生产等多个前沿方向。AI和数字人文技术正在深刻改变文化遗产保护的理念和方法，从被动的记录保存走向主动的智能保护。然而技术的应用必须以人文价值为导向，以社区利益为依归，以伦理规范为底线。只有将技术的力量与人文的智慧有机结合，才能真正实现AI赋能文化遗产保护的愿景。未来的文化遗产保护将是人机协作的领域——AI提供强大的计算能力和模式识别能力，人类提供文化理解力和价值判断力，两者相辅相成，共同守护人类文明遗产。 AI赋能文化遗产保护的未来在于人机协作，而非人机替代。</w:t>
      </w:r>
    </w:p>
    <w:p>
      <w:pPr>
        <w:spacing w:line="360" w:lineRule="auto" w:before="60" w:after="60"/>
        <w:ind w:left="720"/>
      </w:pPr>
      <w:r>
        <w:rPr>
          <w:rFonts w:ascii="Microsoft YaHei" w:hAnsi="Microsoft YaHei" w:eastAsia="Microsoft YaHei"/>
          <w:i/>
          <w:sz w:val="22"/>
        </w:rPr>
        <w:t>**图表数据来源**：本章图表基于AI在文化遗产领域的应用调研数据、学术文献计量分析数据整理。</w:t>
      </w:r>
    </w:p>
    <w:p>
      <w:pPr>
        <w:pStyle w:val="Heading2"/>
      </w:pPr>
      <w:r>
        <w:rPr>
          <w:rFonts w:ascii="Microsoft YaHei" w:hAnsi="Microsoft YaHei" w:eastAsia="Microsoft YaHei"/>
          <w:color w:val="264653"/>
        </w:rPr>
        <w:t>参考文献</w:t>
      </w:r>
    </w:p>
    <w:p>
      <w:pPr>
        <w:spacing w:line="360" w:lineRule="auto" w:after="60"/>
        <w:ind w:firstLine="480"/>
      </w:pPr>
      <w:r>
        <w:rPr>
          <w:rFonts w:ascii="Microsoft YaHei" w:hAnsi="Microsoft YaHei" w:eastAsia="Microsoft YaHei"/>
          <w:sz w:val="24"/>
        </w:rPr>
        <w:t>1. Münster S, Maiwald F, di Lenarda I, et al.. Artificial Intelligence for Digital Heritage Innovation: Setting up a R&amp;D Agenda for Europe. Heritage, 2024, 7(2): 526-557. DOI: 10.3390/heritage7020038.</w:t>
      </w:r>
    </w:p>
    <w:p>
      <w:pPr>
        <w:spacing w:line="360" w:lineRule="auto" w:after="60"/>
        <w:ind w:firstLine="480"/>
      </w:pPr>
      <w:r>
        <w:rPr>
          <w:rFonts w:ascii="Microsoft YaHei" w:hAnsi="Microsoft YaHei" w:eastAsia="Microsoft YaHei"/>
          <w:sz w:val="24"/>
        </w:rPr>
        <w:t>2. Ranjgar B, Sadeghi-Niaraki A, Shakeri M, et al.. Cultural Heritage Information Retrieval: Data Modelling and Applications. Semantic Scholar, 2019.</w:t>
      </w:r>
    </w:p>
    <w:p>
      <w:pPr>
        <w:spacing w:line="360" w:lineRule="auto" w:after="60"/>
        <w:ind w:firstLine="480"/>
      </w:pPr>
      <w:r>
        <w:rPr>
          <w:rFonts w:ascii="Microsoft YaHei" w:hAnsi="Microsoft YaHei" w:eastAsia="Microsoft YaHei"/>
          <w:sz w:val="24"/>
        </w:rPr>
        <w:t>3. Pavlidis G. AI trends in digital humanities research. Theory and Practice in Multi-Agent Systems, 2022. DOI: 10.17352/tcsit.000048.</w:t>
      </w:r>
    </w:p>
    <w:p>
      <w:pPr>
        <w:spacing w:line="360" w:lineRule="auto" w:after="60"/>
        <w:ind w:firstLine="480"/>
      </w:pPr>
      <w:r>
        <w:rPr>
          <w:rFonts w:ascii="Microsoft YaHei" w:hAnsi="Microsoft YaHei" w:eastAsia="Microsoft YaHei"/>
          <w:sz w:val="24"/>
        </w:rPr>
        <w:t>4. Wang X, Zeng M L, Gao J, et al.. Intelligent Computing for Cultural Heritage. CRC Press, 2024. DOI: 10.4324/9781032707211.</w:t>
      </w:r>
    </w:p>
    <w:p>
      <w:pPr>
        <w:spacing w:line="360" w:lineRule="auto" w:after="60"/>
        <w:ind w:firstLine="480"/>
      </w:pPr>
      <w:r>
        <w:rPr>
          <w:rFonts w:ascii="Microsoft YaHei" w:hAnsi="Microsoft YaHei" w:eastAsia="Microsoft YaHei"/>
          <w:sz w:val="24"/>
        </w:rPr>
        <w:t>5. Fiorucci M, Khoroshiltseva M, Pontil M, et al.. Machine Learning for Cultural Heritage: A Survey. Pattern Recognition Letters, 2020, 133: 102-108. DOI: 10.1016/j.patrec.2020.02.017.</w:t>
      </w:r>
    </w:p>
    <w:p>
      <w:pPr>
        <w:spacing w:line="360" w:lineRule="auto" w:after="60"/>
        <w:ind w:firstLine="480"/>
      </w:pPr>
      <w:r>
        <w:rPr>
          <w:rFonts w:ascii="Microsoft YaHei" w:hAnsi="Microsoft YaHei" w:eastAsia="Microsoft YaHei"/>
          <w:sz w:val="24"/>
        </w:rPr>
        <w:t>6. De Boer V, Stork L. Hybrid Intelligence for Digital Humanities. arXiv, 2024. DOI: arXiv:2406.15374.</w:t>
      </w:r>
    </w:p>
    <w:p>
      <w:pPr>
        <w:spacing w:line="360" w:lineRule="auto" w:after="60"/>
        <w:ind w:firstLine="480"/>
      </w:pPr>
      <w:r>
        <w:rPr>
          <w:rFonts w:ascii="Microsoft YaHei" w:hAnsi="Microsoft YaHei" w:eastAsia="Microsoft YaHei"/>
          <w:sz w:val="24"/>
        </w:rPr>
        <w:t>7. Lee B C G. The "Collections as ML Data" Checklist for Machine Learning &amp; Cultural Heritage. arXiv, 2022. DOI: arXiv:2207.02960.</w:t>
      </w:r>
    </w:p>
    <w:p>
      <w:pPr>
        <w:spacing w:line="360" w:lineRule="auto" w:after="60"/>
        <w:ind w:firstLine="480"/>
      </w:pPr>
      <w:r>
        <w:rPr>
          <w:rFonts w:ascii="Microsoft YaHei" w:hAnsi="Microsoft YaHei" w:eastAsia="Microsoft YaHei"/>
          <w:sz w:val="24"/>
        </w:rPr>
        <w:t>8. De Boer V. Knowledge Graphs for Cultural Heritage and Digital Humanities. ACM, 2023. DOI: 10.1145/3607542.3617354.</w:t>
      </w:r>
    </w:p>
    <w:p>
      <w:pPr>
        <w:spacing w:line="360" w:lineRule="auto" w:after="60"/>
        <w:ind w:firstLine="480"/>
      </w:pPr>
      <w:r>
        <w:rPr>
          <w:rFonts w:ascii="Microsoft YaHei" w:hAnsi="Microsoft YaHei" w:eastAsia="Microsoft YaHei"/>
          <w:sz w:val="24"/>
        </w:rPr>
        <w:t>9. 任明, 贾君枝. 基于协作智能的数字人文领域知识图谱构建. 万方数据.</w:t>
      </w:r>
    </w:p>
    <w:p>
      <w:pPr>
        <w:spacing w:line="360" w:lineRule="auto" w:after="60"/>
        <w:ind w:firstLine="480"/>
      </w:pPr>
      <w:r>
        <w:rPr>
          <w:rFonts w:ascii="Microsoft YaHei" w:hAnsi="Microsoft YaHei" w:eastAsia="Microsoft YaHei"/>
          <w:sz w:val="24"/>
        </w:rPr>
        <w:t>10. Liu J, Wang Z, Xie J, et al.. From ChatGPT, DALL-E 3 to Sora: How has Generative AI Changed Digital Humanities Research and Services?. arXiv, 2024. DOI: arXiv:2404.18518.</w:t>
      </w:r>
    </w:p>
    <w:p>
      <w:pPr>
        <w:spacing w:line="360" w:lineRule="auto" w:after="60"/>
        <w:ind w:firstLine="480"/>
      </w:pPr>
      <w:r>
        <w:rPr>
          <w:rFonts w:ascii="Microsoft YaHei" w:hAnsi="Microsoft YaHei" w:eastAsia="Microsoft YaHei"/>
          <w:sz w:val="24"/>
        </w:rPr>
        <w:t>11. García Velázquez L M. Inteligencia Artificial y patrimonio cultural: una aproximación desde las Humanidades Digitales. Debates by COLECIENCIA, 2023, 4. DOI: 10.35830/dc.vi4.55.</w:t>
      </w:r>
    </w:p>
    <w:p>
      <w:pPr>
        <w:spacing w:line="360" w:lineRule="auto" w:after="60"/>
        <w:ind w:firstLine="480"/>
      </w:pPr>
      <w:r>
        <w:rPr>
          <w:rFonts w:ascii="Microsoft YaHei" w:hAnsi="Microsoft YaHei" w:eastAsia="Microsoft YaHei"/>
          <w:sz w:val="24"/>
        </w:rPr>
        <w:t>12. Díaz Mendoza M A, De La Hoz Franco E, Gómez Gómez J E. Technologies for the Preservation of Cultural Heritage—A Systematic Review of the Literature. Sustainability, 2023, 15(2): 1059. DOI: 10.3390/su15021059.</w:t>
      </w:r>
    </w:p>
    <w:p>
      <w:pPr>
        <w:spacing w:line="360" w:lineRule="auto" w:after="60"/>
        <w:ind w:firstLine="480"/>
      </w:pPr>
      <w:r>
        <w:rPr>
          <w:rFonts w:ascii="Microsoft YaHei" w:hAnsi="Microsoft YaHei" w:eastAsia="Microsoft YaHei"/>
          <w:sz w:val="24"/>
        </w:rPr>
        <w:t>13. Hou Y, Kenderdine S, Picca D, et al.. Digitizing Intangible Cultural Heritage Embodied: State of the Art. ACM Journal on Computing and Cultural Heritage, 2022, 15(3): 1-28. DOI: 10.1145/3494837.</w:t>
      </w:r>
    </w:p>
    <w:p>
      <w:pPr>
        <w:spacing w:line="360" w:lineRule="auto" w:after="60"/>
        <w:ind w:firstLine="480"/>
      </w:pPr>
      <w:r>
        <w:rPr>
          <w:rFonts w:ascii="Microsoft YaHei" w:hAnsi="Microsoft YaHei" w:eastAsia="Microsoft YaHei"/>
          <w:sz w:val="24"/>
        </w:rPr>
        <w:t>14. Robbins C. Beyond preservation: New directions for technological innovation through intangible cultural heritage. Rhode Island School of Design, 2010.</w:t>
      </w:r>
    </w:p>
    <w:p>
      <w:pPr>
        <w:spacing w:line="360" w:lineRule="auto" w:after="60"/>
        <w:ind w:firstLine="480"/>
      </w:pPr>
      <w:r>
        <w:rPr>
          <w:rFonts w:ascii="Microsoft YaHei" w:hAnsi="Microsoft YaHei" w:eastAsia="Microsoft YaHei"/>
          <w:sz w:val="24"/>
        </w:rPr>
        <w:t>15. Ertürk N. Preservation of Digitized Intangible Cultural Heritage in Museum Storage. Museum Storage, 2022.</w:t>
      </w:r>
    </w:p>
    <w:p>
      <w:pPr>
        <w:spacing w:line="360" w:lineRule="auto" w:after="60"/>
        <w:ind w:firstLine="480"/>
      </w:pPr>
      <w:r>
        <w:rPr>
          <w:rFonts w:ascii="Microsoft YaHei" w:hAnsi="Microsoft YaHei" w:eastAsia="Microsoft YaHei"/>
          <w:sz w:val="24"/>
        </w:rPr>
        <w:t>16. 余日季. 基于AR技术的非物质文化遗产数字化开发研究. 万方数据, 2014.</w:t>
      </w:r>
    </w:p>
    <w:p>
      <w:r>
        <w:br w:type="page"/>
      </w:r>
    </w:p>
    <w:p/>
    <w:p/>
    <w:p/>
    <w:p/>
    <w:p/>
    <w:p/>
    <w:p/>
    <w:p/>
    <w:p>
      <w:pPr>
        <w:jc w:val="center"/>
      </w:pPr>
      <w:r>
        <w:rPr>
          <w:rFonts w:ascii="Microsoft YaHei" w:hAnsi="Microsoft YaHei" w:eastAsia="Microsoft YaHei"/>
          <w:b/>
          <w:color w:val="264653"/>
          <w:sz w:val="48"/>
        </w:rPr>
        <w:t>第四篇 治理与展望篇</w:t>
      </w:r>
    </w:p>
    <w:p>
      <w:r>
        <w:br w:type="page"/>
      </w:r>
    </w:p>
    <w:p>
      <w:pPr>
        <w:pStyle w:val="Heading2"/>
      </w:pPr>
      <w:r>
        <w:rPr>
          <w:rFonts w:ascii="Microsoft YaHei" w:hAnsi="Microsoft YaHei" w:eastAsia="Microsoft YaHei"/>
          <w:color w:val="264653"/>
        </w:rPr>
        <w:t>学习目标 1. **识记**：UNESCO文化遗产保护五大公约的名称、年份与核心内容 2. **理解**：国际文化遗产保护法律体系的演进逻辑与中国文化遗产法律法规体系 3. **应用**：运用国际公约分析一个文化遗产保护案例的法律适用性 4. **分析**：比较欧洲、亚太地区和中国的文化遗产保护政策差异 5. **评价**：评估UNESCO非遗保护审查机构的运作机制效能 6. **创造**：为地方文化遗产数字化保护起草一份政策建议框架 ## 导入案例：2003年《保护非物质文化遗产公约》的全球影响 2003年10月，UNESCO第32届大会通过了《保护非物质文化遗产公约》。白松强和李惠指出，该公约是非遗保护领域最重要且影响最广泛的国际性公约，在人类文化发展史上具有里程碑意义。截至2024年，该公约已有180个缔约国，成为引领世界各国普遍遵循的国际准则和规范。中国作为世界上第6个加入公约的国家，积极履行公约宗旨和义务。 ### 10.1 国际文化遗产保护法律体系 #### 10.1.1 1954年《海牙公约》 1954年《在武装冲突情况下保护文化财产公约》(简称《海牙公约》)是世界上第一个在武装冲突情况下全面保护文化遗产的专门性法律文件。唐海清指出，该公约系统规定了武装冲突情况下文化遗产保护的原则、范围、缔约国的义务、特别保护制度、标记和运输、执行措施等内容，具有内容全面、针对性强、适用范围广、保护力度大等特点。 #### 10.1.2 1972年《保护世界文化和自然遗产公约》 1972年《保护世界文化和自然遗产公约》(简称《世界遗产公约》)建立了世界遗产名录制度，将文化遗产和自然遗产纳入统一保护框架。Mason和Martindale指出，三个UNESCO遗产公约(1954年海牙公约、1972年世界遗产公约、2003年非遗公约)共同构成了国际文化遗产保护的法律基础。 #### 10.1.3 2003年《保护非物质文化遗产公约》 2003年公约确立了非遗保护的国际法律框架。朱刚在研究UNESCO非遗保护政策时指出，审查机构的运作机制体现了国际非遗政治从国家主导向社区参与的转向，各国非遗保护中普遍存在着研究与实践彼此隔绝的问题。李敏和王宇洁在述论UNESCO非遗保护时指出，UNESCO逐渐构建了完整的非遗保护系统，在收录非遗清单、提高公众认识、非遗传承与教育、国际合作与援助等方面推动各国非遗保护走向成熟。 #### 10.1.4 2005年《保护和促进文化表现形式多样性公约》 2005年公约强调文化多样性是人类共同遗产，保护和促进文化表现形式多样性是国际社会的共同责任。Giorgallis指出，2005年公约与2003年公约互相关联，共同构成了保护文化多样性的国际法律框架。 ### 10.2 UNESCO文化遗产政策演进 #### 10.2.1 UNESCO非遗政策框架 UNESCO非遗政策框架包括公约本体、操作指南、伦理原则和实施手册等文件体系。任敦姬和沈燕指出，UNESCO在保存物质文化遗产和保护非物质文化遗产时存在政策与实践的差异，2003年公约特别强调地方社区、群体以及个人在非遗认定和促进过程中的作用。 #### 10.2.2 审查机构与运作机制 朱刚深入研究了UNESCO非遗审查机构的运作机制，指出审查机构在非遗名录评审中发挥着关键作用，其运作逻辑反映了国际非遗政治的权力格局变化。 #### 10.2.3 国际合作与援助机制 2003年公约设立了非遗基金，为缔约国的非遗保护活动提供资金支持。López-Hurtado Orjeda指出，UNESCO公约提供了全球性公共政策设计的框架，各国在此框架下制定本国的文化遗产保护政策。 ### 10.3 中国文化遗产保护法律法规 #### 10.3.1 《文物保护法》 1982年颁布的《中华人民共和国文物保护法》是中国文化遗产保护的基本法律。该法经历了多次修订，最新修订进一步强化了文物保护的力度和数字化保护的要求。 #### 10.3.2《非物质文化遗产法》 2011年颁布的《中华人民共和国非物质文化遗产法》标志着中国非遗保护走上法制化轨道。该法建立了非遗代表性项目名录制度、传承人认定制度和非遗调查保存制度。 #### 10.3.3 数字化保护相关政策 近年来，中国政府出台了一系列与文化遗产数字化保护相关的政策文件，包括《关于推进实施国家文化数字化战略的意见》《"十四五"文化发展规划》等，为文化遗产数字化保护提供了政策指引。 ### 10.4 文化遗产保护的国际比较 #### 10.4.1 欧洲文化遗产政策 欧洲在文化遗产保护方面建立了完善的法律和政策体系。Marinković等人分析了2005年以来欧洲文化遗产数字化政策，指出欧盟通过一系列政策文件推动了成员国文化遗产数字化的系统开展。Wallace和Euler在分析公共领域文化遗产的访问权时讨论了欧盟和国际层面的发展动态。 #### 10.4.2 亚太地区文化遗产政策 Nguyen和Nguyen以越南为案例，分析了国际法和国内法在遗产保护中的互动关系。Alkhasawneh和Kowalska比较了约旦和波兰的数字化转型对文化遗产法律保护和可持续发展的影响。 #### 10.4.3 国际法规的发展趋势 Giorgallis指出，国际文化遗产保护法律体系正面临代际公平的新挑战——如何为未来世代保护文化遗产成为国际法的新议题。2025年的研究指出，文化遗产保护国际法规体系经历了从保护自然资源到保护文化资源、从保护物质遗产到保护非物质遗产、并最终将保护文化遗产纳入可持续发展国际议程的演进过程。 ### 10.5 文化遗产保护的可持续发展 #### 10.5.1 联合国可持续发展目标(SDGs)与文化遗产 联合国2030年可持续发展议程中的SDG 11.4明确提出"加强保护和维护世界文化和自然遗产"的努力。Prasad等人指出，文化遗产保护与可持续发展目标紧密相连，数字化保护为实现SDG 11提供了技术路径。 #### 10.5.2 文化遗产保护与可持续发展理念 可持续发展理念强调在满足当代人需求的同时不损害后代人满足其需求的能力。将这一理念应用于文化遗产保护，意味着既要保护文化遗产的完整性，又要发挥其经济社会价值。 #### 10.5.3 国际法规体系建构 文化遗产保护国际法规的体系建构需要统筹物质遗产与非物质遗产、保护与利用、国内立法与国际合作等多重关系。 ## 知识卡片 **知识卡片10-1：UNESCO文化遗产五大公约** | 年份 | 公约名称 | 保护对象 | |------|---------|---------| | 1954 | 海牙公约 | 武装冲突中的文化财产 | | 1970 | 禁止和防止非法进出口公约 | 文化财产非法交易 | | 1972 | 世界遗产公约 | 世界文化和自然遗产 | | 2001 | 水下文化遗产保护公约 | 水下文化遗产 | | 2003 | 非遗公约 | 非物质文化遗产 | **知识卡片10-2：中国文化遗产保护法律体系** - 法律层：文物保护法、非物质文化遗产法 - 法规层：文物保护法实施条例、长城保护条例 - 规章层：国家文物局部门规章 - 标准层：文物保护工程管理办法等 ## 本章小结 本章系统论述了文化遗产保护政策法规与国际公约，对应G.U.A.R.D.框架的D维度(数字治理)。首先梳理了UNESCO五大公约构成的国际法律体系；然后分析了UNESCO非遗政策框架、审查机构运作机制和国际合作机制；接着介绍了中国文物保护法和非遗法等法律法规体系；之后比较了欧洲、亚太和中国的文化遗产保护政策；最后探讨了文化遗产保护与可持续发展目标的关系。 ## 思考题 1. **(识记)** UNESCO文化遗产保护五大公约的名称和年份分别是什么？ 2. **(理解)** 分析2003年公约中"社区参与"原则的政策逻辑及其实践挑战。 3. **(应用)** 运用国际公约分析一个文化遗产被破坏案例的法律适用性。 4. **(分析)** 比较中国与欧洲在文化遗产数字化保护政策上的差异与各自优势。 5. **(评价)** 评估UNESCO非遗审查机构运作机制的效能与改革方向。 6. **(创造)** 为一个地方政府起草文化遗产数字化保护政策建议框架。 ### 10.6 国际文化遗产保护的法律实践比较 #### 10.6.1 欧洲文化遗产法律体系 欧洲在文化遗产保护法律方面建立了世界上最为完善的法律体系。法国1907年通过的《历史古迹保护法》是世界上最早的文化遗产保护法律之一。意大利1939年颁布的文化遗产保护法律体系至今仍是该国文化遗产保护的法律基础。英国则在1953年通过了《历史建筑和古迹法》。 在数字化时代，欧盟通过《数字单一市场版权指令》(DSM指令，2019年)为文化遗产机构的数字化和在线传播提供了法律保障。指令第14条明确要求成员国促进已过版权保护期限的视觉艺术作品进入公共领域，禁止对这类作品的数字复制品主张版权。Wallace和Euler在分析公共领域文化遗产的访问权时指出，欧盟在开放获取方面走在了世界前列。Marinković等人分析了2005年以来欧洲文化遗产数字化政策，指出欧盟通过一系列政策文件推动了成员国文化遗产数字化的系统开展。 #### 10.6.2 美国文化遗产法律体系 美国的文化遗产保护法律体系以1966年《国家历史保护法》(NHPA)为核心，辅以《古物法》(Antiquities Act, 1906年)、《历史考古资源保护法》(ARCH, 1979年)等专项法律。在数字化方面，美国版权法的"合理使用"(Fair Use)条款为文化遗产机构的数字化和教育利用提供了较为灵活的法律空间。 Mason和Martindale在分析国际金融公司绩效标准中的文化遗产问题时指出，三个UNESCO遗产公约——1954年海牙公约、1972年世界遗产公约和2003年非遗公约——共同构成了国际文化遗产保护的法律基础，但在实际执行中面临着各国法律体系差异带来的挑战。 #### 10.6.3 亚洲文化遗产法律体系比较 亚洲各国的文化遗产法律体系各具特色。日本1950年《文化财保护法》建立了"有形文化财""无形文化财""民俗文化财""纪念物""文化景观"等分类体系，是世界上最早将无形文化遗产纳入法律保护的国家。韩国1962年《文化财保护法》借鉴日本体系但增加了"人间文化财"(传承人认定)制度。中国1982年《文物保护法》和2011年《非物质文化遗产法》则形成了物质遗产和非物质遗产分别立法的"双轨制"。 Nguyen和Nguyen以越南为案例分析了国际法和国内法在遗产保护中的互动关系。Alkhasawneh和Kowalska比较了约旦和波兰的数字化转型对文化遗产法律保护和可持续发展的影响。这些比较研究揭示了不同法律体系在应对文化遗产数字化挑战时的不同路径。 ### 10.7 UNESCO公约的实施效果与挑战 #### 10.7.1 2003年公约的实施成效 自2003年公约生效以来，全球非遗保护取得了显著成效。截至2024年，公约已有180个缔约国，"人类非物质文化遗产代表作名录"收录了730个项目，"急需保护名录"收录了76个项目。中国列入名录的项目达43项，位居世界第一。 李敏和王宇洁在述论UNESCO非遗保护时指出，UNESCO逐渐构建了完整的非遗保护系统，在收录非遗清单、提高公众认识、非遗传承与教育、国际合作与援助等方面推动了各国非遗保护走向成熟。白松强和李惠进一步指出，2003年公约作为非遗保护领域最重要且影响最广泛的国际性公约，在人类文化发展史上具有里程碑意义。 #### 10.7.2 审查机构的运作机制 朱刚深入研究了UNESCO非遗审查机构的运作机制，指出审查机构在非遗名录评审中发挥着关键作用。审查机构由12名专家组成，负责审查各缔约国提交的非遗项目申报材料，向委员会提出推荐意见。审查机构的运作逻辑反映了国际非遗政治的权力格局变化——从初期以国家主导为主，逐步向社区参与和多元主体协商转变。 #### 10.7.3 公约面临的挑战 2003年公约在实施过程中也面临诸多挑战：**社区参与不足**——许多国家的非遗申报仍以政府主导为主，社区的话语权有限；**过度商业化**——列入名录的非遗项目可能面临过度旅游开发和商业利用的风险；**数字化保护滞后**——公约在制定时未充分考虑数字化技术的快速发展，对非遗数字化的规范和指导不足。 ### 10.8 文化遗产保护与可持续发展 #### 10.8.1 SDG 11.4的实现路径 联合国2030年可持续发展议程中的SDG 11.4明确提出"加强努力，保护和维护世界文化和自然遗产"。Prasad等人指出，文化遗产保护与可持续发展目标紧密相连，数字化保护为实现SDG 11提供了技术路径。数字化保护通过减少实体接触、扩大可及性和促进文化教育，直接贡献于文化遗产的可持续保护。 #### 10.8.2 文化遗产保护与社区发展 文化遗产保护与社区可持续发展具有内在关联。非遗保护的核心是维持社区的活态传承，数字化保护应为社区发展服务而非损害社区利益。Tricarico等人在研究意大利内陆地区非遗众包时提出了将非遗保护与区域发展联系起来的概念框架。 #### 10.8.3 代际公平与文化遗产 Giorgallis在研究国际文化遗产法时指出，为未来世代保护文化遗产已成为国际法的新议题。2025年的研究进一步指出，文化遗产保护国际法规体系经历了从保护自然资源到保护文化资源、从保护物质遗产到保护非物质遗产的演进过程，最终将保护文化遗产纳入可持续发展国际议程。代际公平原则要求当代人在利用文化遗产时不应损害后代人享受文化遗产的权利，数字化保护为这一原则的实现提供了技术保障。 ### 10.9 中国文化遗产保护的法律体系完善 #### 10.9.1 立法现状与不足 中国已形成了以《文物保护法》和《非物质文化遗产法》为核心的文化遗产保护法律体系。然而，这一体系在数字化保护方面存在明显不足：**立法滞后**——现行法律制定时未充分考虑数字化技术的快速发展，对数字化保护的规定较为原则化；**版权缺位**——文物数字化成果的版权归属缺乏明确法律界定，制约了数字资产的开放和利用；**伦理空白**——文化遗产数字化的伦理规范(如社区知情同意、文化敏感性)尚未纳入法律框架。 #### 10.9.2 国际经验的借鉴 中国可以借鉴国际经验完善文化遗产数字化法律框架。欧盟的DSM指令第14条明确禁止对公共领域视觉艺术作品的数字复制品主张版权，这一规定为文化遗产数字化成果的开放获取提供了法律保障。美国的"合理使用"原则为文化遗产机构的教育和学术利用提供了灵活的法律空间。日本的"文化财"保护法对数字化记录的标准和程序有详细规定。 #### 10.9.3 政策建议 基于国际经验和中国实际，完善中国文化遗产数字化法律框架的政策建议包括：**修订现行法律**——在《文物保护法》和《非物质文化遗产法》中增加数字化保护的专门条款；**制定专项法规**——出台《文化遗产数字化保护条例》，明确数字化标准、版权归属、伦理规范和资金保障；**建立伦理审查制度**——将社区知情同意、文化敏感性等伦理原则纳入法律框架。 ### 10.10 文化遗产保护的国际合作机制 #### 10.10.1 UNESCO框架下的国际合作 UNESCO是文化遗产保护国际合作的核心平台。2003年公约设立了非遗基金，为缔约国的非遗保护活动提供资金支持。López-Hurtado Orjeda指出，UNESCO公约提供了全球性公共政策设计的框架，各国在此框架下制定本国的文化遗产保护政策。然而，国际合作也面临政治分歧、资金不足和执行效率等挑战。 #### 10.10.2 双边与多边合作 除UNESCO框架外，双边和多边合作也是文化遗产保护的重要途径。中希数字遗产合作("文明伙伴计划")是中国与欧洲国家在文化遗产数字化领域的标志性合作项目。中韩日三国在非遗保护方面建立了定期磋商机制。"一带一路"文化遗产保护合作正在推动沿线国家的文化遗产数字化协作。 #### 10.10.3 全球数字遗产平台 构建全球数字遗产平台是文化遗产保护国际合作的前沿方向。Europeana作为欧洲区域平台已取得成功，但全球性平台的建设仍面临技术标准、版权协调、资金机制和多语言支持等挑战。Alkhasawneh和Kowalska比较了约旦和波兰的数字化转型经验，指出不同国家在文化遗产数字法律保护方面需要加强协调。 ### 10.11 文化遗产保护的中国方案 #### 10.11.1 中国文化遗产保护的制度优势 中国文化遗产保护制度具有独特的制度优势：**集中力量办大事**——能够调动全国资源实施大型数字化工程(如数字敦煌、数字故宫)；**政策连续性**——五年规划体制确保了文化遗产保护政策的连续推进；**多层级的保护体系**——国家-省-市-县四级保护体系覆盖全面。李敏和王宇洁在述论UNESCO非遗保护时指出，中国积极履行公约宗旨和义务，通过完善立法体系、建立名录制度、设立非遗日等举措，推动非遗保护工作走向成熟。 #### 10.11.2 中国文化遗产保护的特色实践 中国文化遗产保护的特色实践包括：**抢救性记录**——对濒危非遗项目进行抢救性数字化记录，保存传承人的技艺和口述史；**生产性保护**——将传统技艺类非遗转化为当代产品，在生产中实现传承；**整体性保护**——对文化生态保护区进行整体性数字化记录，保护非遗的文化语境。Shi和Li系统研究了非遗数字化保护与传承的路径，指出数字化保护应与活态传承相结合。 #### 10.11.3 中国对国际文化遗产保护的贡献 中国对国际文化遗产保护的贡献体现在：**非遗资源大国**——中国列入UNESCO非遗名录的项目达43项，位居世界第一；**数字化技术创新**——数字敦煌等技术方案被国际同行广泛借鉴；**南南合作**——中国通过"一带一路"等机制帮助发展中国家提升文化遗产保护能力。白松强和李惠指出，2003年公约在人类文化发展史上具有里程碑意义，中国作为世界第6个加入公约的国家，积极推动了国际非遗保护。 ### 10.6 国际文化遗产保护法律体系的深层分析 #### 10.6.1 国际公约体系的结构化解读 国际文化遗产保护法律体系经历了一个多世纪的发展，形成了以UNESCO为核心的多层次、多领域规范体系。这一体系可从三个维度进行结构化解读： **时间维度——从"防止破坏"到"促进利用"的演进**。国际文化遗产保护法律的发展可分为三个阶段：第一阶段(1954-1972)以"防止破坏"为核心，典型代表是1954年《海牙公约》(武装冲突时保护文化财产)和1970年《禁止和防止非法进出口文化财产和非法转让其所有权的方法的公约》；第二阶段(1972-2003)以"系统保护"为核心，典型代表是1972年《保护世界文化和自然遗产公约》和2001年《保护水下文化遗产公约》；第三阶段(2003年至今)以"活态传承"和"数字利用"为核心，典型代表是2003年《保护非物质文化遗产公约》和2005年《保护和促进文化表现形式多样性公约》。 **空间维度——从"全球统一"到"区域特色"的平衡**。UNESCO公约确立了全球性框架，但各区域在此基础上发展了具有地方特色的保护规范。如欧洲委员会2005年通过的《弗拉斯卡蒂框架》(Faro Convention)强调文化遗产作为社会发展的资源，引入了"遗产社区"概念；非洲联盟2006年通过的《非洲文化重申宪章》强调文化遗产保护中的文化主权和发展权；东盟2014年签署的《东盟文化遗产宣言》则关注跨境文化遗产的联合保护。 **领域维度——从"物质遗产"到"数字遗产"的拓展**。传统国际公约主要关注物质文化遗产的保护，但随着数字技术的发展，国际社会开始关注数字文化遗产的法律地位。UNESCO 2003年《数字遗产保护宪章》是首个专门针对数字文化遗产的国际规范文件，但其法律约束力有限。当前国际社会面临的紧迫问题包括：3D扫描数据文物的法律地位、跨境数字文化遗产的管辖权、数字文化遗产的版权归属等，这些问题的法律框架仍在形成中。 #### 10.6.2 中国文化遗产保护法律体系的特色与不足 中国文化遗产保护法律体系以《文物保护法》(1982年制定，2024年最新修订)和《非物质文化遗产法》(2011年施行)为两大支柱，辅以《著作权法》《档案法》《博物馆条例》等配套法规，形成了相对完整的法律框架。 **中国法律体系的特色优势**：(1)建立了"国家-省-市-县"四级名录体系，覆盖面广。截至2024年，中国共有国家级非遗代表性项目1557项，国家级非遗代表性传承人3068名；(2)将文化遗产保护纳入国民经济和社会发展规划，保障了资源投入；(3)建立了文化生态保护实验区制度，实现了非遗的整体性保护。 **存在的不足**：(1)数字化保护的法律规定尚不充分。《文物保护法》和《非遗法》中对数字化保护仅有原则性表述，缺乏具体的操作规范和标准要求；(2)数字化成果的知识产权归属不明确。文物数字化采集产生的3D模型、高清图像等数字成果的版权归属、使用权限、收益分配等问题缺乏明确法律规定；(3)国际公约的国内法转化不完善。部分UNESCO公约在中国缺乏配套的行政法规和部门规章，影响实施效果。 ### 10.7 文化遗产数字化保护的政策工具分析 #### 10.7.1 政策工具分类框架 文化遗产数字化保护的政策工具可根据干预方式分为以下三类： **供给型政策工具**：政府直接投入资源推动数字化保护，包括财政拨款、基础设施建设、人才培养等。如中国"国家文化数字化战略"提出建设"中华文化数据库"，财政部设立专项资金支持文化遗产数字化项目。这类工具的优点是见效快、可控性强，但缺点是受财政预算约束且可能挤出民间投资。 **需求型政策工具**：通过创造市场需求推动数字化保护，包括政府采购、消费补贴、市场培育等。如部分地方政府向博物馆采购数字化服务，或向公众发放文化消费券支持数字文化体验。这类工具的优点是能激发市场活力，但需要足够的市场成熟度。 **环境型政策工具**：通过营造有利的外部环境促进数字化保护，包括法规制定、标准建设、税收优惠、知识产权保护等。如国家文物局发布的《文物数字化标准体系建设规划》为行业标准化提供了框架。这类工具的优点是影响面广、可持续性强，但效果显现需要时间。 #### 10.7.2 国际政策比较 | 政策维度 | 中国 | 欧盟 | 美国 | 日本 | |---------|------|------|------|------| | 主导模式 | 政府主导 | 多方协同 | 市场驱动 | 政企合作 | | 资金机制 | 财政专项 | 框架计划 | 慈善捐赠+市场 | 文化厅专项 | | 标准建设 | 国家标准 | EU标准+ISO | 行业自律 | JIS标准 | | 开放获取 | 部分开放 | 强制开放 | 差异化 | 有条件开放 | | 人才培养 | 高校+培训 | Erasmus+计划 | 高校+实习 | 传承人认定 | ### 10.8 文化遗产保护与可持续发展目标 #### 10.8.1 SDGs与文化遗产的交叉分析 联合国2030年可持续发展议程中，文化遗产与可持续发展的关系得到了明确认可。虽然SDGs中未设立专门的文化目标，但文化遗产保护与多个SDG目标直接相关： **SDG 11(可持续城市和社区)**：目标11.4明确提到"进一步努力保护和捍卫世界文化和自然遗产"，是SDGs中唯一直接提及文化遗产的目标。文化遗产数字化保护可通过降低物理访问压力、扩大传播范围等方式，为遗产地的可持续发展做出贡献。 **SDG 8(体面工作和经济增长)**：文化遗产数字化保护创造就业机会(数字化采集工程师、数字内容策展人、VR/AR开发者等)，并带动文化旅游和文化创意产业发展。 **SDG 4(优质教育)**：数字文化遗产资源为教育提供了丰富的素材，支持跨文化教育和终身学习。 **SDG 17(促进目标实现的伙伴关系)**：文化遗产数字化保护需要国际协作，特别是跨国遗产的联合数字化、技术转移和经验分享。 #### 10.8.2 可持续发展视角下的数字化策略 从可持续发展视角，文化遗产数字化保护应遵循以下原则： **经济可持续性**：数字化项目应建立可持续的资金模式，避免"一次性投资、无持续运维"的困境。可通过多元筹资(政府拨款+社会捐赠+商业收入)、分阶段建设(先核心后扩展)、开源共享(降低重复建设成本)等策略实现。 **社会可持续性**：数字化保护应惠及广泛社会群体，特别关注弱势群体的数字可及性。同时，应尊重源社区的文化权利，确保数字化不导致文化异化或知识剥夺。 **环境可持续性**：数字化基础设施(数据中心、服务器)的能耗和碳排放应纳入考量。可采用绿色计算、边缘计算、数据压缩等技术降低环境足迹。 ### 10.9 数字遗产的法律挑战与制度创新 #### 10.9.1 跨境数字文化遗产的管辖权问题 随着文化遗产数字化的国际化推进，跨境数字文化遗产的法律管辖权成为一个突出问题。当A国机构对B国文化遗产进行数字化采集，数据存储在C国服务器上，通过D国平台向全球用户提供访问时，应适用哪国法律？ 这一问题涉及多个法律领域： **数据保护法**：欧盟《通用数据保护条例》(GDPR)对个人数据处理有严格规定，而口述史等非遗数字化记录中可能包含个人数据(如受访者姓名、生物识别信息)，需要遵守GDPR的跨境数据传输规则。 **知识产权法**：不同国家对数字化成果的版权保护存在差异(如前文分析的美国与欧盟立场差异)，跨境使用时需要解决法律冲突。 **文化财产法**：部分国家的文化财产法律对文物的数字化采集和传播有限制性规定。如某些国家禁止对特定类别文物进行3D扫描或将数字化数据传输至境外。 可能的解决路径包括：(1)制定数字文化遗产跨境流通的国际协议，类似《文化财产公约》在数字领域的延伸；(2)建立多边互认机制，各国互相承认数字文化遗产的合法地位；(3)利用区块链等技术建立跨境数据溯源和权属确认系统。 #### 10.9.2 文化遗产数据的开放共享法律框架 文化遗产数据的开放共享是数字遗产治理的重要议题。当前的国际实践形成了几种模式： **CC0完全开放模式**：以荷兰国立博物馆、Smithsonian博物馆为代表，将公有领域藏品的数字化成果以CC0方式释放，不主张任何版权。这种模式最大程度促进了文化遗产数字资源的利用，但可能影响博物馆的数字化收入来源。 **CC BY署名模式**：以大都会博物馆为代表，允许用户自由使用数字化成果，但要求署名来源。这种模式在开放性和博物馆品牌保护之间取得了平衡。 **限制性开放模式**：以部分中国博物馆为代表，数字资源的在线浏览免费，但高清图像下载和商业使用需要申请授权。这种模式保留了博物馆对数字资源的控制权，但限制了利用效率。 **分级授权模式**：根据使用目的(教育/研究/商业)和使用者身份(个人/机构)实施差异化授权。这种模式精细化程度高，但管理成本较大。 中国需要在借鉴国际经验的基础上，构建符合国情的文化遗产数据开放共享法律框架。关键问题包括：(1)明确数字化成果的版权属性和使用权限；(2)建立分级分类的开放共享机制；(3)制定数据安全和隐私保护规则；(4)建立收益分配和利益共享机制。 ### 10.10 文化遗产数字化治理的中国路径 #### 10.10.1 中国文化遗产数字化治理的制度特色 中国文化遗产数字化治理具有鲜明的制度特色： **集中统筹的治理结构**：中国建立了"中央-省-市-县"四级文化遗产管理体系，国家文物局和文化和旅游部在中央层面统筹数字化工作。这种集中式治理结构的优势在于能够集中力量办大事——如"国家文化数字化战略"能够在短时间内调动大量资源推进数字化建设；劣势在于地方自主性和创新空间受限。 **项目驱动的实施模式**：中国文化遗产数字化项目往往以大型专项工程的形式实施，如"数字敦煌工程""国家文物保护利用示范区建设"等。项目驱动模式的优势在于目标明确、资源集中、见效较快；劣势在于项目周期结束后可能面临持续运营困难。 **文化安全导向的治理理念**：中国在文化遗产数字化治理中特别强调文化安全——防止文化遗产数字资源外流、防止文化内容被歪曲和滥用。这一理念体现在数据安全管理、跨境传输审查、内容审核等多个环节。 #### 10.10.2 治理优化的方向 基于国际比较和实践反思，中国文化遗产数字化治理的优化方向包括： **从"管控"到"治理"**：推动治理理念从单向管控向多元共治转型，引入社会组织、企业和公众参与治理过程。如建立文化遗产数字化伦理委员会，吸纳多元利益相关者参与伦理审查和决策。 **从"项目"到"制度"**：将项目经验转化为长效制度安排。如将"数字敦煌"项目的技术标准和管理经验上升为行业标准和国家标准。 **从"封闭"到"开放"**：在确保文化安全的前提下，扩大文化遗产数字资源的开放共享程度。如建立"国家文化遗产数字资源开放平台"，分阶段推进不同类型数据的开放。 **从"技术"到"人文"**：在数字化建设中更多关注人文价值和社会影响，避免"技术至上"的倾向。如在数字化项目评估中增加社区满意度、文化影响等社会指标。 ### 10.11 文化遗产数字化标准的建设路径 #### 10.11.1 标准体系的架构设计 文化遗产数字化标准体系应覆盖数字化保护的全流程，形成层次分明、协调配套的标准框架： **基础标准层**：包括术语标准(统一文化遗产数字化领域的专业术语)、分类编码标准(文物分类体系与编码规则)、标识符标准(文物数字资源的唯一标识方案)等。基础标准是其他标准制定的前提和依据。 **技术标准层**：包括采集标准(不同技术手段的采集参数和质量要求)、处理标准(数据处理流程和质量控制要求)、存储标准(数据格式和存储架构要求)、交换标准(数据交换协议和接口规范)等。 **管理标准层**：包括项目管理标准(数字化项目的立项、实施和验收流程)、质量管理标准(质量评估指标和方法)、安全管理标准(数据安全和访问控制要求)、运维管理标准(系统运营和维护规范)等。 **服务标准层**：包括检索服务标准(检索接口和结果格式)、展示服务标准(在线展示的技术要求)、教育服务标准(教育资源的内容和格式要求)等。 #### 10.11.2 中国标准建设的进展与挑战 中国文物数字化标准建设近年来取得了显著进展： **已发布标准**：截至2024年，中国已发布文化遗产数字化相关国家标准和行业标准约40项，涵盖采集、存储、管理、利用等环节。代表性标准包括：WW/T 0066-2015《文物数字化保护技术规范 通则》、WW/T 0076-2017《古籍数字化技术规范》、GB/T 38557-2020《信息技术 文化遗产地元数据》等。 **面临的挑战**：(1)标准之间的协调性不足——不同标准由不同机构制定，存在概念不一致、格式不统一等问题；(2)标准的实用性有待验证——部分标准过于理论化，缺乏操作指南和实施案例；(3)国际接轨不足——中国标准与国际标准(如CIDOC CRM、LIDO)的映射关系尚未完全建立，影响国际数据交换；(4)标准更新滞后——数字技术发展迅速，标准的修订周期(通常3-5年)跟不上技术迭代速度。 ### 10.12 UNESCO非遗公约的实施机制与改革 #### 10.12.1 公约运作机制分析 2003年《保护非物质文化遗产公约》建立了以下核心运作机制： **名录机制**：公约设立了三类名录：(1)人类非物质文化遗产代表作名录——收录体现非遗多样性和创造性的代表性项目；(2)急需保护的非物质文化遗产名录——收录面临消失风险、急需保护的项目；(3)优秀实践登记册——记录成功的非遗保护实践。截至2024年，代表作名录收录730项，急需保护名录收录67项，优秀实践登记册收录37项。 **审查机制**：各缔约国向UNESCO提交申报材料，由非遗委员会下设的审查机构(Evaluation Body)进行技术审查，提出建议后由非遗委员会做出最终决定。审查标准包括：项目的非遗属性、社区参与程度、保护计划的可行性等。 **国际合作机制**：公约鼓励缔约国在非遗保护方面开展国际合作，包括信息交流、能力建设、技术援助和资金支持。UNESCO非遗基金为国际合作提供资金支持，但基金规模有限(年度预算约500万美元)，难以满足全球非遗保护的需求。 #### 10.12.2 公约面临的挑战与改革方向 **代表性不平衡**：名录中的项目分布存在地理和文化不平衡。东亚国家(中国、日本、韩国)的入选项目远多于其他地区，这既反映了东亚国家非遗保护的重视程度，也引发了对名录代表性的质疑——是东亚非遗确实更丰富，还是东亚国家更善于准备申报材料？ **社区参与的形式化**：虽然公约要求申报材料证明社区的参与，但在实践中，社区参与往往停留在形式层面——社区知情同意书的签署未必反映社区的真实意愿。真正的社区参与应贯穿从申报到保护的全过程，而非仅限于申报阶段的签字确认。 **保护效果评估缺失**：公约缺乏对已列入名录项目的保护效果进行系统性评估的机制。项目列入名录后，是否真正得到了更好的保护？保护措施是否有效？这些问题缺乏数据支撑和系统回答。 **改革方向**：(1)加强审查机构的专业性和多元性，确保审查标准的公平和一致；(2)建立名录项目的定期报告制度，要求缔约国定期报告已列入名录项目的保护状况；(3)增加对发展中国家和社区的能力建设支持，提升其参与公约机制的能力；(4)探索数字技术在公约实施中的应用，如利用区块链记录社区知情同意过程。 ### 10.13 文化遗产数字化保护的知识产权制度创新 #### 10.13.1 数字遗产的特殊权利保护 现有知识产权体系难以完全覆盖文化遗产数字化成果的保护需求，部分学者提出建立"特殊权利"(Sui Generis Right)制度： **数据库权利**：欧盟1996年《数据库指令》创设了数据库特殊权利，保护数据库制者在数据收集和整理上的投资。文物数字典藏数据库可适用这一权利，保护机构在数字化建设中的投资。但数据库权利保护的是"数据库"而非"单个数字资源"，对单件文物数字化成果的保护不足。 **文化遗产数字化特殊权利**：部分学者建议创设专门针对文化遗产数字化成果的特殊权利，赋予数字化实施者对数字化成果的有限专有权(如5-10年保护期)，在保护期限届满后进入公共领域。这种"有限保护+最终开放"的模式平衡了数字化投资激励和公共获取需求。 #### 10.13.2 开放许可与知识共享 与专有权保护相对，开放许可为文化遗产数字资源的利用提供了另一种制度路径： **Creative Commons许可体系**：CC许可提供了从"署名"到"署名-非商业-禁止演绎"的多种许可选项，文化遗产机构可根据自身情况选择适当的许可类型。如大都会博物馆采用CC0许可释放公有领域藏品的数字化成果，荷兰国立博物馆采用CC0许可释放Rijksstudio中的高清图像。 **权利声明(Rights Statements)**：Europeana与Creative Commons合作开发了12种标准化的权利声明，涵盖"公有领域""受版权保护""条件不明"等多种情况。标准化权利声明使用户能快速了解数字资源的使用条件，降低了法律风险和使用门槛。 **文化机构开放政策**：制定机构层面的开放获取政策，明确哪些数字资源开放、如何开放、开放条件等。如Smithsonian博物馆2020年实施的开放获取政策将近300万件藏品的280万张图像以CC0方式开放，成为全球最大的博物馆开放获取案例之一。 ### 10.14 本章小结与政策建议 本章从国际公约体系、UNESCO政策演进、中国法律法规、国际比较、可持续发展、政策工具分析、标准建设、知识产权制度等多个维度，系统论述了文化遗产数字化保护的法律法规与政策框架。这是G.U.A.R.D.框架中D(Digital Governance)维度的核心内容。 基于以上分析，提出以下政策建议： **完善数字化保护法律框架**：(1)在《文物保护法》和《非遗法》修订中增加数字化保护的专门条款，明确数字化保护的法律地位、职责分工和标准要求；(2)制定《文化遗产数字资源管理办法》，规范数字资源的采集、存储、使用和共享；(3)建立文化遗产数字化成果的知识产权保护制度，明确权属归属和使用权限。 **建立标准化体系**：(1)加快制定覆盖数字化全流程的技术标准和管理标准；(2)推动中国标准与国际标准的互认和对接；(3)建立标准实施的监督和评估机制。 **促进开放共享**：(1)制定国家层面的文化遗产数字资源开放共享政策，明确开放范围、条件和程序；(2)建立国家级文化遗产数字资源开放平台，汇聚各机构数字资源；(3)鼓励各文博机构实施开放获取政策，扩大数字资源的公共利用。 **加强国际合作**：(1)积极参与UNESCO等国际组织的文化遗产数字化保护规则制定；(2)推动"一带一路"沿线国家的文化遗产数字化合作；(3)分享中国文化遗产数字化保护的经验和方案，贡献中国智慧。 ### 10.15 延伸阅读与政策分析建议 **延伸阅读**：建议阅读UNESCO相关公约的原文和实施指南，特别是2003年《保护非物质文化遗产公约》及其实施操作指南。同时推荐阅读Prott和O'Keefe关于文化遗产法律的国际比较研究，以及Smith的批判遗产研究著作。对于中国法律，建议阅读《文物保护法》和《非遗法》的条文及配套法规。 **政策分析建议**：本章可采用政策分析法进行教学。建议学生选择一个文化遗产数字化保护的政策案例(如"国家文化数字化战略"的某项具体措施)，从政策目标、实施工具、利益相关者、预期效果和潜在风险等方面进行系统分析。同时，可对比分析中外文化遗产数字化保护政策的异同，理解不同制度环境下的政策选择逻辑。 **模拟立法**：组织学生进行"文化遗产数字化保护条例"的模拟立法活动——学生分组扮演不同利益相关者(政府部门、文博机构、技术企业、社区代表、学者)，就数字化保护的法律条款进行讨论和协商，最终形成一份模拟法规草案。这一活动有助于理解文化遗产数字化保护中的多元利益博弈和法律制定的复杂性。 **国际视野**：鼓励学生关注国际文化遗产保护的法律动态，如UNESCO正在讨论的"数字遗产"国际准则文件、WIPO关于传统知识保护的谈判进展等。这些国际动态将影响中国文化遗产数字化保护的制度环境。 ### 10.16 文化遗产数字化的标准化组织与协调机制 文化遗产数字化的标准化需要多方协调和系统推进： **国际标准化组织**：(1)ISO/TC46(信息与文献技术委员会)——负责文献遗产数字化相关国际标准；(2)CIDOC(国际博物馆协会档案委员会)——负责博物馆信息标准(如CIDOC CRM)；(3)W3C——负责Web技术标准(如Linked Data、RDF等)；(4)IEEE——负责技术标准(如3D数据格式等)。 **中国标准化组织**：(1)全国文物保护标准化技术委员会(SAC/TC461)——负责文物数字化保护国家标准和行业标准；(2)全国信息与文献标准化技术委员会(SAC/TC4)——负责文献数字化相关标准；(3)各行业标准化组织——负责特定领域的标准(如档案行业、图书馆行业等)。 **标准协调机制**：为避免标准之间的冲突和重复，需要建立有效的协调机制：(1)建立跨技术委员会的协调工作组，定期沟通标准制定进展；(2)在国际标准制定中积极参与，确保中国标准与国际标准的兼容性；(3)建立标准实施反馈机制，收集实践中的问题和改进建议，推动标准的持续完善。 **标准化人才培养**：标准化工作需要既懂文化遗产专业知识又熟悉标准化方法论的人才。建议在高校文化遗产相关专业中开设标准化课程，在标准化机构中培养文化遗产领域的专家委员，形成"文化遗产+标准化"的复合型人才队伍。 ### 10.17 文化遗产数字化保护中的多方利益协调 文化遗产数字化保护涉及多元利益相关者，协调各方利益是治理的核心挑战： **利益相关者图谱**：核心利益相关者包括——文博机构(藏品所有者/管理者)、数字化服务企业(技术提供方)、学术研究者(数据使用者)、源社区/传承人(文化主体)、政府部门(监管者)、社会公众(受益者)。每类利益相关者对数字化保护的期望和诉求不同，甚至可能存在冲突。 **典型利益冲突**：(1)开放共享 vs. 权益保护——学术研究者希望最大化数据开放，而文博机构担心开放影响数字资产价值和商业收入；(2)技术效率 vs. 文化尊重——技术企业追求快速数字化，而源社区可能要求对敏感内容进行审慎处理；(3)公众参与 vs. 学术权威——公众参与式数字化降低了学术门槛，可能引发专业学者的抵触。 **协调机制**：建立多方参与的协调平台——如文化遗产数字化咨询委员会，由各利益相关者代表组成，定期讨论和决策重大事项。制定利益分享准则——明确数字化成果的使用权、收益权和署名权分配规则。建立争议解决机制——当利益冲突无法通过协商解决时，提供中立的仲裁渠道。 在中国文化遗产数字化保护的政策实践中，示范区模式是一种重要的政策实验工具。国家文物局通过设立国家文物保护利用示范区，在特定区域内试行创新性的数字化保护政策和技术方案，成功经验推广至全国。如敦煌、故宫等示范区的数字化经验已成为行业标准的重要来源。未来建议增加中西部地区的示范区数量，通过政策实验探索适合欠发达地区的数字化保护模式。同时应建立示范区经验的系统化总结和推广机制，确保示范成果能够有效转化为可复制的政策工具和技术标准，推动全国文化遗产数字化保护水平的整体提升。 本章系统论述了文化遗产数字化保护的法律法规框架、国际公约体系、UNESCO政策机制、中国法律体系、国际比较、可持续发展、政策工具和知识产权制度等多个维度。这些内容构成了G.U.A.R.D.框架中D维度的核心制度保障。文化遗产数字化保护的健康发展离不开完善的法律法规和政策框架，需要在技术进步与制度规范之间保持动态平衡。中国的文化遗产数字化保护法律框架正在快速完善中，未来需要在实践总结的基础上持续优化，为数字时代的文化遗产保护提供坚实的制度支撑。 ## 参考文献</w:t>
      </w:r>
    </w:p>
    <w:p>
      <w:pPr>
        <w:spacing w:line="360" w:lineRule="auto" w:after="60"/>
        <w:ind w:firstLine="480"/>
      </w:pPr>
      <w:r>
        <w:rPr>
          <w:rFonts w:ascii="Microsoft YaHei" w:hAnsi="Microsoft YaHei" w:eastAsia="Microsoft YaHei"/>
          <w:sz w:val="24"/>
        </w:rPr>
        <w:t>1. Leimgruber W. Switzerland and the UNESCO Convention on Intangible Cultural Heritage. Journal of Folklore Research, 2010, 47(1-2): 161-186. DOI: 10.2979/JFR.2010.47.1-2.161.</w:t>
      </w:r>
    </w:p>
    <w:p>
      <w:pPr>
        <w:spacing w:line="360" w:lineRule="auto" w:after="60"/>
        <w:ind w:firstLine="480"/>
      </w:pPr>
      <w:r>
        <w:rPr>
          <w:rFonts w:ascii="Microsoft YaHei" w:hAnsi="Microsoft YaHei" w:eastAsia="Microsoft YaHei"/>
          <w:sz w:val="24"/>
        </w:rPr>
        <w:t>2. López-Hurtado Orjeda E. Las convenciones UNESCO para la protección y salvaguarda del patrimonio cultural: un marco global para el diseño de políticas públicas. Turismo y Patrimonio, 2018, 12. DOI: 10.24265/turpatrim.2018.n12.04.</w:t>
      </w:r>
    </w:p>
    <w:p>
      <w:pPr>
        <w:spacing w:line="360" w:lineRule="auto" w:after="60"/>
        <w:ind w:firstLine="480"/>
      </w:pPr>
      <w:r>
        <w:rPr>
          <w:rFonts w:ascii="Microsoft YaHei" w:hAnsi="Microsoft YaHei" w:eastAsia="Microsoft YaHei"/>
          <w:sz w:val="24"/>
        </w:rPr>
        <w:t>3. Tricarico L, Lorenzetti E, Morettini L. Crowdsourcing Intangible Heritage for Territorial Development: A Conceptual Framework Considering Italian Inner Areas. Land, 2023, 12(10): 1843. DOI: 10.3390/land12101843.</w:t>
      </w:r>
    </w:p>
    <w:p>
      <w:pPr>
        <w:spacing w:line="360" w:lineRule="auto" w:after="60"/>
        <w:ind w:firstLine="480"/>
      </w:pPr>
      <w:r>
        <w:rPr>
          <w:rFonts w:ascii="Microsoft YaHei" w:hAnsi="Microsoft YaHei" w:eastAsia="Microsoft YaHei"/>
          <w:sz w:val="24"/>
        </w:rPr>
        <w:t>4. Mason A R, Martindale A. Rethinking Cultural Heritage in the International Finance Corporation Performance Standards. Advances in Archaeological Practice, 2023, 11(4). DOI: 10.1017/aap.2023.26.</w:t>
      </w:r>
    </w:p>
    <w:p>
      <w:pPr>
        <w:spacing w:line="360" w:lineRule="auto" w:after="60"/>
        <w:ind w:firstLine="480"/>
      </w:pPr>
      <w:r>
        <w:rPr>
          <w:rFonts w:ascii="Microsoft YaHei" w:hAnsi="Microsoft YaHei" w:eastAsia="Microsoft YaHei"/>
          <w:sz w:val="24"/>
        </w:rPr>
        <w:t>5. 任敦姬, 沈燕. 联合国教科文组织的非物质文化遗产政策. 维普网.</w:t>
      </w:r>
    </w:p>
    <w:p>
      <w:pPr>
        <w:spacing w:line="360" w:lineRule="auto" w:after="60"/>
        <w:ind w:firstLine="480"/>
      </w:pPr>
      <w:r>
        <w:rPr>
          <w:rFonts w:ascii="Microsoft YaHei" w:hAnsi="Microsoft YaHei" w:eastAsia="Microsoft YaHei"/>
          <w:sz w:val="24"/>
        </w:rPr>
        <w:t>6. 朱刚. 联合国教科文组织非物质文化遗产保护政策研究——以审查机构及其运作机制为中心. 万方数据.</w:t>
      </w:r>
    </w:p>
    <w:p>
      <w:pPr>
        <w:spacing w:line="360" w:lineRule="auto" w:after="60"/>
        <w:ind w:firstLine="480"/>
      </w:pPr>
      <w:r>
        <w:rPr>
          <w:rFonts w:ascii="Microsoft YaHei" w:hAnsi="Microsoft YaHei" w:eastAsia="Microsoft YaHei"/>
          <w:sz w:val="24"/>
        </w:rPr>
        <w:t>7. 李敏, 王宇洁. 联合国教科文组织非物质文化遗产保护述论. 万方数据.</w:t>
      </w:r>
    </w:p>
    <w:p>
      <w:pPr>
        <w:spacing w:line="360" w:lineRule="auto" w:after="60"/>
        <w:ind w:firstLine="480"/>
      </w:pPr>
      <w:r>
        <w:rPr>
          <w:rFonts w:ascii="Microsoft YaHei" w:hAnsi="Microsoft YaHei" w:eastAsia="Microsoft YaHei"/>
          <w:sz w:val="24"/>
        </w:rPr>
        <w:t>8. 唐海清. 论1954年《海牙公约》对于文化遗产的国际保护. 万方数据.</w:t>
      </w:r>
    </w:p>
    <w:p>
      <w:pPr>
        <w:spacing w:line="360" w:lineRule="auto" w:after="60"/>
        <w:ind w:firstLine="480"/>
      </w:pPr>
      <w:r>
        <w:rPr>
          <w:rFonts w:ascii="Microsoft YaHei" w:hAnsi="Microsoft YaHei" w:eastAsia="Microsoft YaHei"/>
          <w:sz w:val="24"/>
        </w:rPr>
        <w:t>9. Giorgallis A. The idea of protecting cultural heritage for the benefit of future generations in international cultural heritage law. International Journal of Cultural Property, 2024, 31(1). DOI: 10.1017/s0940739124000171.</w:t>
      </w:r>
    </w:p>
    <w:p>
      <w:pPr>
        <w:spacing w:line="360" w:lineRule="auto" w:after="60"/>
        <w:ind w:firstLine="480"/>
      </w:pPr>
      <w:r>
        <w:rPr>
          <w:rFonts w:ascii="Microsoft YaHei" w:hAnsi="Microsoft YaHei" w:eastAsia="Microsoft YaHei"/>
          <w:sz w:val="24"/>
        </w:rPr>
        <w:t>10. 白松强, 李惠. 前瞻与思辨：拓展非物质文化遗产保护研究的国际视角——评《UNESCO〈保护非物质文化遗产公约〉述论》. 维普网.</w:t>
      </w:r>
    </w:p>
    <w:p>
      <w:pPr>
        <w:spacing w:line="360" w:lineRule="auto" w:after="60"/>
        <w:ind w:firstLine="480"/>
      </w:pPr>
      <w:r>
        <w:rPr>
          <w:rFonts w:ascii="Microsoft YaHei" w:hAnsi="Microsoft YaHei" w:eastAsia="Microsoft YaHei"/>
          <w:sz w:val="24"/>
        </w:rPr>
        <w:t>11. Papaioannou K. The International Law on the Protection of Cultural Heritage. International Journal of Arts &amp; Sciences, 2017, 7(3). DOI: 10.18769/IJASOS.309684.</w:t>
      </w:r>
    </w:p>
    <w:p>
      <w:pPr>
        <w:spacing w:line="360" w:lineRule="auto" w:after="60"/>
        <w:ind w:firstLine="480"/>
      </w:pPr>
      <w:r>
        <w:rPr>
          <w:rFonts w:ascii="Microsoft YaHei" w:hAnsi="Microsoft YaHei" w:eastAsia="Microsoft YaHei"/>
          <w:sz w:val="24"/>
        </w:rPr>
        <w:t>12. Nguyen Y T H, Nguyen D P. Heritage protection in International Law and National Law: insights into the case of Vietnam. Revista Direito e Práxis, 2021, 17(3). DOI: 10.5102/RDI.V17I3.7194.</w:t>
      </w:r>
    </w:p>
    <w:p>
      <w:pPr>
        <w:spacing w:line="360" w:lineRule="auto" w:after="60"/>
        <w:ind w:firstLine="480"/>
      </w:pPr>
      <w:r>
        <w:rPr>
          <w:rFonts w:ascii="Microsoft YaHei" w:hAnsi="Microsoft YaHei" w:eastAsia="Microsoft YaHei"/>
          <w:sz w:val="24"/>
        </w:rPr>
        <w:t>13. Díaz Mendoza M A, De La Hoz Franco E, Gómez Gómez J E. Technologies for the Preservation of Cultural Heritage—A Systematic Review of the Literature. Sustainability, 2023, 15(2): 1059. DOI: 10.3390/su15021059.</w:t>
      </w:r>
    </w:p>
    <w:p>
      <w:pPr>
        <w:spacing w:line="360" w:lineRule="auto" w:after="60"/>
        <w:ind w:firstLine="480"/>
      </w:pPr>
      <w:r>
        <w:rPr>
          <w:rFonts w:ascii="Microsoft YaHei" w:hAnsi="Microsoft YaHei" w:eastAsia="Microsoft YaHei"/>
          <w:sz w:val="24"/>
        </w:rPr>
        <w:t>14. Hou Y, Kenderdine S, Picca D, et al.. Digitizing Intangible Cultural Heritage Embodied: State of the Art. ACM Journal on Computing and Cultural Heritage, 2022, 15(3): 1-28. DOI: 10.1145/3494837.</w:t>
      </w:r>
    </w:p>
    <w:p>
      <w:pPr>
        <w:spacing w:line="360" w:lineRule="auto" w:after="60"/>
        <w:ind w:firstLine="480"/>
      </w:pPr>
      <w:r>
        <w:rPr>
          <w:rFonts w:ascii="Microsoft YaHei" w:hAnsi="Microsoft YaHei" w:eastAsia="Microsoft YaHei"/>
          <w:sz w:val="24"/>
        </w:rPr>
        <w:t>15. Robbins C. Beyond preservation: New directions for technological innovation through intangible cultural heritage. Rhode Island School of Design, 2010.</w:t>
      </w:r>
    </w:p>
    <w:p>
      <w:pPr>
        <w:spacing w:line="360" w:lineRule="auto" w:after="60"/>
        <w:ind w:firstLine="480"/>
      </w:pPr>
      <w:r>
        <w:rPr>
          <w:rFonts w:ascii="Microsoft YaHei" w:hAnsi="Microsoft YaHei" w:eastAsia="Microsoft YaHei"/>
          <w:sz w:val="24"/>
        </w:rPr>
        <w:t>16. Wan Isa W M, Mat Zin N, Rosdi F, et al.. Digital Preservation of Intangible Cultural Heritage. Indonesian Journal of Electrical Engineering and Computer Science, 2018, 12(3): 1373-1379. DOI: 10.11591/IJEECS.V12.I3.PP1373-1379.</w:t>
      </w:r>
    </w:p>
    <w:p>
      <w:pPr>
        <w:spacing w:line="360" w:lineRule="auto" w:after="60"/>
        <w:ind w:firstLine="480"/>
      </w:pPr>
      <w:r>
        <w:rPr>
          <w:rFonts w:ascii="Microsoft YaHei" w:hAnsi="Microsoft YaHei" w:eastAsia="Microsoft YaHei"/>
          <w:sz w:val="24"/>
        </w:rPr>
        <w:t>17. Ertürk N. Preservation of Digitized Intangible Cultural Heritage in Museum Storage. Museum Storage, 2022.</w:t>
      </w:r>
    </w:p>
    <w:p>
      <w:pPr>
        <w:spacing w:line="360" w:lineRule="auto" w:after="60"/>
        <w:ind w:firstLine="480"/>
      </w:pPr>
      <w:r>
        <w:rPr>
          <w:rFonts w:ascii="Microsoft YaHei" w:hAnsi="Microsoft YaHei" w:eastAsia="Microsoft YaHei"/>
          <w:sz w:val="24"/>
        </w:rPr>
        <w:t>18. 余日季. 基于AR技术的非物质文化遗产数字化开发研究. 万方数据, 2014.</w:t>
      </w:r>
    </w:p>
    <w:p>
      <w:r>
        <w:br w:type="page"/>
      </w:r>
    </w:p>
    <w:p>
      <w:pPr>
        <w:pStyle w:val="Heading2"/>
      </w:pPr>
      <w:r>
        <w:rPr>
          <w:rFonts w:ascii="Microsoft YaHei" w:hAnsi="Microsoft YaHei" w:eastAsia="Microsoft YaHei"/>
          <w:color w:val="264653"/>
        </w:rPr>
        <w:t>学习目标 1. **识记**：文化遗产数字化伦理的基本原则与版权保护的核心概念 2. **理解**：数字殖民主义概念、社区知情同意原则与利益分享机制 3. **应用**：运用伦理审查框架评估一个文化遗产数字化项目 4. **分析**：分析文物数字化成果的版权属性争议及其法律解决路径 5. **评价**：评估Europeana平台可持续发展模式的经验与启示 6. **创造**：设计一个文化遗产数字化项目的伦理治理方案 ## 导入案例：3D扫描文物的版权争议——"数字殖民主义"之辩 2015年，东京大学研究人员对卢浮宫藏品进行3D扫描并发布数据，引发了一场关于"数字殖民主义"的激烈讨论。Thompson在分析数字文化遗产的法律和伦理问题时指出，3D扫描文物的版权归属、文化主权和"数字殖民主义"风险是当前文化遗产数字化面临的核心伦理挑战。Rouhani进一步提出了"Ethically Digital"概念，强调争议性文化遗产在数字语境中需要特别的伦理考量。 ### 11.1 文化遗产数字化的伦理问题 #### 11.1.1 数字化伦理的基本原则 Manžuch在系统研究文化遗产数字化伦理问题时指出，数字化伦理涉及多个维度：**技术伦理**(采集和处理过程中的技术规范)、**信息伦理**(数据的准确性、完整性和可追溯性)、**社会伦理**(公平获取、文化敏感性)和**经济伦理**(利益分配、可持续性)。Kanthe等人进一步指出，文化遗产数字化的伦理和政策挑战需要在技术、法律和社会三个层面协同应对。 #### 11.1.2 数字殖民主义与文化主权 数字殖民主义(Digital Colonialism)是指强势机构或国家利用技术优势对弱势群体的文化遗产进行数字化采集和利用，而后者对数字资产的掌控权和受益权被边缘化的现象。Thompson指出，3D扫描文物的版权和知识产权考量必须置于"数字殖民主义"的更大语境中审视。Santana Quintero等人提出了数字工作流的伦理框架，强调遗产记录专家在应用数字工作流时必须同时面对伦理和技术挑战。 #### 11.1.3 社区知情同意与利益分享 社区知情同意(Informed Consent)和利益分享(Benefit Sharing)是非遗数字化伦理的核心原则。2003年公约强调非遗数字化必须获得相关社区的事先、自由和知情同意。Manžuch指出，数字化项目的高成本使大多数项目依赖外部资金，这可能导致社区在数字化过程中的话语权不足。 ### 11.2 知识产权与版权保护 #### 11.2.1 文物数字化成果的版权属性 文物数字化成果的版权属性是一个复杂的法律问题。Shimray和Ramaiah指出，版权和相关权利是文化遗产数字保存的主要法律障碍。核心争议在于：对公共领域文物的数字化扫描是否产生新的版权？Lipinski等人指出，许多国家的版权法中图书馆和档案馆的数字保存例外条款不够充分。 #### 11.2.2 数字文化遗产的知识产权挑战 数字文化遗产面临多重知识产权挑战：**数字副本的版权归属**、**数据库的著作权保护**、**传统知识的知识产权保护**和**原生数字遗产的版权问题**。Koščík和Myska研究了欧盟范围内文化遗业机构保存原生数字内容的版权法律挑战。 #### 11.2.3 开放获取与公共领域 开放获取(Open Access)运动主张公共资助的数字化成果应向公众免费开放。Wallace和Euler在分析公共领域文化遗产的访问权时讨论了欧盟和国际层面的开放获取发展动态。荷兰国立博物馆的CC0开放政策是文化遗产领域开放获取实践的标杆。Lykourentzou和Antoniou指出，知识产权问题是文化遗产数字创新可持续性的潜在阻碍点。 ### 11.3 数据安全与隐私保护 #### 11.3.1 文化遗产数据安全 文化遗产数字资产面临数据泄露、篡改、丢失和非法访问等安全风险。2025年的研究指出，文化遗产数字化保护面临"数据孤岛"和安全风险，需要建立完善的数据安全管理体系。 #### 11.3.2 数字水印与溯源技术 数字水印技术可以在数字图像和三维模型中嵌入不可见标记，用于版权保护和溯源追踪。区块链技术为文化遗产数字资产的权属确认和交易记录提供了去中心化的技术方案。 #### 11.3.3 区块链在文化遗产中的应用 区块链技术在文化遗产领域的应用场景包括：数字资产确权、文化遗产权属记录、非遗传承谱系记录和文化遗产数字资产交易。2025年的研究探讨了区块链技术与动作捕捉协同构建武术动作数据动态确权体系的可能性。 ### 11.4 可持续发展模式 #### 11.4.1 数字化项目的资金模式 Manžuch指出，数字化项目的高成本使大多数项目依赖外部资金和捐助支持，这种资金模式不可持续。Zorich在调研数字文化遗产倡议的可持续性关切时指出，经济挑战是文化遗产数字化项目面临的核心问题。 #### 11.4.2 商业模式创新 Russo-Spenna等人从文化遗产业务中提炼了数字商业模式框架，指出文化遗产领域不存在"一刀切"的商业模式，需要根据机构类型和资源特征定制化设计。Ottevanger研究了博物馆数字产品的可持续性，强调在价值与资源之间取得平衡的重要性。 #### 11.4.3 欧洲Europeana平台的可持续性经验 Borin和Donato在研究Europeana的财务可持续性时指出，Europeana依赖欧盟委员会公共资金的运营模式正面临转型压力，需要探索从公共资助向混合收入模式转变的路径。Europeana的经验表明，文化遗产数字平台的可持续性需要在政策支持、商业模式和社区参与三个维度协同推进。 ### 11.5 伦理治理框架 #### 11.5.1 伦理审查机制 文化遗产数字化项目应建立伦理审查机制，在项目启动前评估潜在的伦理风险，在项目执行中监控伦理合规性，在项目完成后评估伦理影响。Santana Quintero等人提出了遗产记录专家应用数字工作流的伦理框架。 #### 11.5.2 数字工作流的伦理规范 Santana Quintero等人提出了一个综合性的数字工作流伦理框架，涵盖所有权、数字占有和保存三个核心维度。该框架要求在数字化工作流的每个环节都嵌入伦理考量。 #### 11.5.3 AI伦理与文化遗产 AI在文化遗产中的应用引发了新的伦理问题：算法偏见可能加剧文化不平等，生成式AI可能产生文化失真，AI决策的"黑箱"特性可能削弱人文价值判断。2025年的研究指出，智能技术应用潜藏着技术依赖弱化人文价值主体性判断、算法黑箱诱发文化偏见等风险。Lor和Britz从伦理视角分析了数字遗产长期保存中的政治经济问题，强调数字保存不仅是技术问题，更是社会和伦理问题。 ## 知识卡片 **知识卡片11-1：文化遗产数字化伦理四原则** 1. 尊重原则：尊重文化遗产来源社区的文化传统和意愿 2. 知情同意原则：数字化前须获得社区的事先、自由和知情同意 3. 利益分享原则：数字化成果的收益应与来源社区公平分享 4. 透明原则：数字化过程和结果应公开透明、可追溯 **知识卡片11-2：开放获取协议类型** | 协议 | 缩写 | 含义 | |------|------|------| | 公共领域 | CC0 | 完全放弃版权，进入公共领域 | | 署名 | CC BY | 允许商用，须署名 | | 署名-非商用 | CC BY-NC | 非商用，须署名 | | 署名-禁止演绎 | CC BY-ND | 须署名，不可修改 | ## 本章小结 本章系统论述了文化遗产数字化的伦理、版权与可持续发展议题，对应G.U.A.R.D.框架D维度的深度展开。首先分析了数字化伦理的基本原则、数字殖民主义风险和社区知情同意机制；然后探讨了文物数字化成果的版权属性、知识产权挑战和开放获取实践；接着介绍了数据安全、数字水印和区块链技术应用；之后分析了数字化项目的资金模式、商业模式创新和Europeana可持续性经验；最后提出了伦理审查机制、数字工作流伦理规范和AI伦理治理框架。 ## 思考题 1. **(识记)** 文化遗产数字化伦理的四个基本原则是什么？ 2. **(理解)** 解释"数字殖民主义"概念及其对文化遗产数字化的警示意义。 3. **(应用)** 运用伦理审查框架评估一个具体的文化遗产数字化项目。 4. **(分析)** 分析文物3D扫描数据的版权属性争议，比较不同法律体系的处理方式。 5. **(评价)** 评估Europeana的可持续发展模式对中国的借鉴价值。 6. **(创造)** 为一个非遗数字化项目设计完整的伦理治理方案。 ### 11.6 文化遗产数字化的伦理治理实践 #### 11.6.1 伦理审查的国际实践 国际文化遗产机构在伦理治理方面进行了多种探索。大英博物馆建立了"伦理审查委员会"，对涉及敏感文化内容的数字化项目进行事前审查。史密森尼学会发布了"数字化伦理指南"，明确要求数字化项目尊重来源社区的文化传统和意愿。Santana Quintero等人提出了遗产记录专家应用数字工作流的伦理框架，涵盖所有权、数字占有和保存三个核心维度。 Manžuch在系统研究文化遗产数字化伦理问题时指出，伦理审查应覆盖数字化的全过程：规划阶段需要评估项目对来源社区的潜在影响，实施阶段需要确保社区知情同意，传播阶段需要尊重文化敏感性，维护阶段需要建立社区反馈机制。 #### 11.6.2 数字殖民主义的防范 数字殖民主义是文化遗产数字化面临的核心伦理挑战。Thompson在分析数字文化遗产的法律和伦理问题时指出，3D扫描文物的版权和知识产权考量必须置于"数字殖民主义"的更大语境中审视。发达国家机构利用技术优势对发展中国家文化遗产进行数字化采集，而后者对数字资产的掌控权和受益权被边缘化，这种不平等关系本质上是殖民关系在数字空间的延伸。 防范数字殖民主义的策略包括：**能力建设**——帮助来源国和社区建立自主数字化能力；**数据主权**——确保数字资产的控制权归属于来源国和社区；**利益分享**——数字化成果的商业利用收益应与来源国和社区公平分享；**伦理准则**——建立国际公认的数字化伦理准则。 #### 11.6.3 社区知情同意的实施 社区知情同意(Informed Consent)是非遗数字化伦理的核心原则。2003年公约要求非遗数字化必须获得相关社区的事先、自由和知情同意。在实际操作中，"社区"的界定往往模糊不清——一个非遗项目可能涉及多个社区层级(传承人、村落、民族、国家)，不同层级的社区可能有不同的利益诉求和意见。 Kanthe等人指出，文化遗产数字化的伦理和政策挑战需要在技术、法律和社会三个层面协同应对。知情同意的实施需要建立标准化的流程：社区识别→信息披露→意见征集→同意确认→持续沟通。 ### 11.7 版权保护的实践困境与解决路径 #### 11.7.1 文物数字化成果的版权争议 文物数字化成果的版权属性是一个持续争议的法律问题。核心争议在于：对公共领域文物的3D扫描是否产生新的版权？一种观点认为，3D扫描只是对原物的精确复制，不产生新的创造性表达，因此不应获得版权保护。另一种观点认为，3D扫描涉及技术选择和处理判断，具有足够的创造性，应获得版权保护。 Shimray和Ramaiah指出，版权和相关权利是文化遗产数字保存的主要法律障碍。不同国家的法律对此问题采取了不同立场：美国法院倾向于不赋予精确复制以版权，而欧洲一些国家则给予数字化成果一定的邻接权保护。这种法律差异给跨国文化遗产数字化合作带来了不确定性。 #### 11.7.2 开放获取运动的进展 开放获取运动主张公共资助的数字化成果应向公众免费开放。荷兰国立博物馆的CC0开放政策、大都会博物馆的开放获取倡议、史密森尼学会的3D模型开放下载等实践推动了博物馆界从"封闭保护"向"开放共享"的范式转变。Lykourentzou和Antoniou指出，知识产权问题是文化遗产数字创新可持续性的潜在阻碍点。 然而，开放获取也面临挑战。"孤儿作品"(无法确定版权人的作品)的数字化和开放是法律灰色地带。Lipinski等人指出，许多国家的版权法中图书馆和档案馆的数字保存例外条款不够充分。Koščík和Myska研究了欧盟范围内文化遗业机构保存原生数字内容的版权法律挑战。 #### 11.7.3 区块链确权的实践探索 区块链技术为文化遗产数字资产确权提供了新的技术方案。2025年的研究探讨了区块链技术与动作捕捉协同构建武术动作数据动态确权体系的可能性，通过去中心化的不可篡改记录解决非遗身体知识的数字化确权问题。区块链在文化遗产领域的应用场景包括：数字资产确权、数据溯源、智能合约许可和去中心化交易。 ### 11.8 可持续发展的商业模式创新 #### 11.8.1 资金模式分析 文化遗产数字化项目的资金来源包括：**公共资金**(政府拨款、文化基金)、**私人资金**(企业赞助、个人捐赠)、**自营收入**(门票、文创、教育服务)和**国际援助**(UNESCO基金、欧盟项目资金)。Manžuch指出，数字化项目的高成本使大多数项目依赖外部资金，这种资金模式不可持续。Zorich在调研数字文化遗产倡议的可持续性关切时指出，经济挑战是核心问题。 #### 11.8.2 Europeana的可持续性经验 Borin和Donato在研究Europeana的财务可持续性时指出，Europeana依赖欧盟委员会公共资金的运营模式正面临转型压力。Europeana正在探索的可持续性策略包括：多元化收入来源(会员费、API授权、定制服务)、降低运营成本(技术优化、志愿者参与)和增强社会价值(教育服务、文化外交)。 #### 11.8.3 中国文化遗产数字化的可持续性路径 中国文化遗产数字化的可持续性路径需要考虑中国国情。政府主导的模式在规模和效率方面具有优势，但需要增强社区参与和市场机制。Russo-Spenna等人从文化遗产业务中提炼的数字商业模式框架指出，文化遗产领域不存在"一刀切"的商业模式。中国可以探索"政府引导+市场运作+社区参与"的混合模式，在保证公共属性的同时引入市场活力。 ### 11.9 AI伦理治理的深化 #### 11.9.1 AI治理框架 文化遗产领域的AI治理框架应包括四个维度。**数据治理**——确保训练数据的质量、多样性和代表性，避免数据偏见导致文化不平等。**算法治理**——要求算法透明、可解释和公平，防止"算法黑箱"损害文化理解。**应用治理**——AI生成内容必须经过领域专家审核，确保学术准确性和文化适切性。**伦理治理**——尊重社区知情同意和文化主权，建立利益分享机制。 #### 11.9.2 人机协作的伦理边界 AI在文化遗产领域的应用应坚持"人机协作"原则——AI负责大规模数据处理和初步知识生成，人类专家负责价值判断、质量审核和文化理解。Lor和Britz从伦理视角分析了数字遗产长期保存中的政治经济问题，强调数字保存不仅是技术问题，更是涉及文化主权和代际公平的社会和伦理问题。2025年的研究进一步指出，智能技术应用潜藏着技术依赖弱化人文价值主体性判断、算法黑箱诱发文化偏见等风险，需要建立完善的AI伦理治理体系。 ### 11.10 文化遗产数字化的风险管理 #### 11.10.1 技术风险 文化遗产数字化面临的技术风险包括：**数据丢失风险**——硬件故障、软件错误或自然灾害可能导致数字资产永久丢失；**格式过时风险**——技术演进导致文件格式不再被支持；**安全漏洞风险**——黑客攻击、恶意软件或内部人员不当操作可能导致数据泄露或篡改；**质量退化风险**——多次格式转换或压缩可能导致数据质量逐步退化。 #### 11.10.2 法律风险 法律风险包括：**版权侵权风险**——数字化成果的版权归属不明确，可能导致侵权诉讼；**隐私泄露风险**——涉及个人信息的数字遗产(如口述史录像)可能违反隐私法；**合同违约风险**——数字化项目中的外包合同和合作协议可能因条款不完善而产生纠纷。Shimray和Ramaiah指出，版权和相关权利是文化遗产数字保存的主要法律障碍。 #### 11.10.3 伦理风险 伦理风险包括：**文化冒犯风险**——数字化过程中可能触及文化禁忌或宗教敏感内容；**社区权益受损风险**——数字化成果的商业利用可能未与来源社区分享利益；**文化失真风险**——数字化过程中的简化、改编或AI生成内容可能偏离文化本真。Manžuch指出，数字化伦理需要关注技术、信息、社会和经济四个维度。 #### 11.10.4 风险管理框架 文化遗产数字化的风险管理框架应包括：**风险识别**(系统识别技术、法律和伦理风险)、**风险评估**(评估风险发生概率和影响程度)、**风险应对**(制定避免、减轻、转移和接受风险的策略)和**风险监控**(持续监控风险变化和应对效果)。Santana Quintero等人提出的数字工作流伦理框架为风险管理提供了操作指引。 ### 11.11 可持续发展的战略思考 #### 11.11.1 从项目思维到生态思维 文化遗产数字化的可持续发展需要从"项目思维"转向"生态思维"。项目思维将数字化视为一次性工程，完成后即告结束；生态思维将数字化视为持续演进的生态系统，需要持续投入、不断更新和多方参与。Zorich指出，经济挑战是文化遗产数字化项目面临的核心问题，需要建立长期可持续的资金模式。 #### 11.11.2 多元化资金机制 可持续的资金机制应包括：**政府基础拨款**(保障基本运营)、**项目竞争性资金**(激励创新)、**商业收入**(文创、教育、授权)、**社会捐赠**(企业和个人)和**国际援助**(UNESCO、欧盟等)。Borin和Donato指出，Europeana正面临着从公共资助向混合收入模式转型的挑战。 #### 11.11.3 人才可持续发展 文化遗产数字化的可持续发展离不开人才支撑。当前，既懂技术又懂文化的复合型人才严重短缺。培养路径包括：在高校设立文化遗产数字化相关专业或方向、在博物馆开展在职培训、建立产学研合作的人才培养机制。Pavlidis指出，数字技术已成为文化遗产研究方法的核心组成部分，需要在人才培养中进行系统性布局。 ### 11.12 文化遗产数字化的全球治理 #### 11.12.1 全球治理的必要性 文化遗产数字化保护面临的许多挑战是全球性的——数字殖民主义、版权争议、技术标准碎片化等——需要全球层面的治理协调。Thompson在分析数字文化遗产的法律和伦理问题时指出，3D扫描文物的版权和文化主权问题本质上是全球治理问题。单一国家的法律和政策难以有效应对这些跨国挑战。 #### 11.12.2 全球治理的路径 全球治理的路径包括：**国际公约**(修订现有公约或制定新公约以涵盖数字化保护议题)、**国际标准**(ISO等国际标准组织制定文化遗产数字化技术标准)、**伦理准则**(UNESCO等国际组织制定文化遗产数字化伦理准则)和**多利益相关方机制**(政府、机构、社区、企业等多方参与的治理机制)。 #### 11.12.3 中国在全球治理中的角色 中国应在文化遗产数字化全球治理中发挥更积极的作用。具体路径包括：推动UNESCO在公约框架下制定数字化保护指南、在ISO等标准组织中提出中国方案、通过"一带一路"文化遗产合作推动标准互认、在AI伦理治理方面贡献中国智慧。Alkhasawneh和Kowalska的比较研究表明，不同国家在数字化转型中的法律保护经验值得互相借鉴。 ### 11.6 文化遗产数字化的伦理治理深度分析 #### 11.6.1 "数字殖民主义"的多维批判 "数字殖民主义"(Digital Colonialism)是文化遗产数字化领域近年来最受关注的伦理议题之一。这一概念指发达国家或机构利用技术优势对发展中国家文化遗产进行数字化采集和控制，形成新的文化权力不对称。这一批判可从以下三个维度展开： **技术依赖维度**：发达国家掌握3D扫描、AI分析等核心技术，发展中国家在文化遗产数字化过程中往往依赖外国的技术、设备和软件。这种技术依赖可能导致发展中国家在文化遗产数字化的标准制定、数据处理和成果解读方面丧失主导权。如某些国际数字化项目在非洲和亚洲文化遗产地开展采集后，原始数据被带回发达国家存储和分析，当地社区无法直接访问和使用这些数据。 **话语权维度**：数字化过程中的分类、标注和解读本质上是话语权的行使。当外国机构对非西方文化遗产进行数字化时，其分类体系和解读框架可能不符合源文化的认知逻辑。如欧洲博物馆对非洲文物的数字化著录采用了西方艺术史的分类框架(按材质、风格、时期分类)，而非洲当地文化中这些物品的分类逻辑可能基于社会功能、仪式用途或精神意义。 **经济维度**：文化遗产数字化成果的商业化收益分配不均是数字殖民主义的经济表现。发达国家机构通过数字化获取文化遗产资源后，可能将其用于商业开发(如文创产品、数字展览门票)而未向源社区支付合理报酬。这种"数字掠夺"与传统殖民时期的文物掠夺在本质上具有相似性。 应对数字殖民主义的策略包括：(1)建立"数字遣返"(Digital Repatriation)机制，确保数字化数据回流源社区；(2)推动技术转移和能力建设，帮助发展中国家建立自主数字化能力；(3)制定国际伦理准则，明确数字化采集的知情同意、数据归属和利益分享原则；(4)支持源社区主导的数字化项目，尊重其文化主权和知识自主权。 #### 11.6.2 AI伦理在文化遗产中的特殊议题 AI技术在文化遗产中的应用引发了独特的伦理问题： **AI修复的"原真性"困境**：AI驱动的文物修复(如利用深度学习补全壁画缺失部分)在技术上越来越成熟，但引发了一个根本性问题——AI修复的部分是否属于"原物"？在文化遗产保护领域，"原真性"(Authenticity)是一个核心概念，奈良文件(1994年)强调原真性的判断应基于文化语境而非统一标准。AI修复可能引入训练数据中的偏见，产生不符合历史事实的修复结果。因此，AI修复应遵循"可识别性"原则——修复部分应能被辨识为后人添加，而非伪装为原始状态。 **AI生成内容的版权与归属**：当AI基于文化遗产数据生成新内容(如AI生成的仿古画作、AI创作的民族音乐)时，版权归属问题变得复杂。生成内容的版权属于AI开发者、数据提供者、还是源文化社区？这一问题在现有知识产权框架中尚无明确答案。 **AI决策的可解释性**：AI在文物分类、病害诊断、价值评估等领域的应用日益广泛，但AI决策过程的不透明性("黑箱问题")在文化遗产领域引发了特殊担忧。当AI的诊断结果影响文物保护决策时，决策过程必须可解释、可追溯。因此，文化遗产领域的AI应用应优先选择可解释AI(Explainable AI, XAI)方法。 ### 11.7 知识产权框架的细化分析 #### 11.7.1 文物数字化成果的版权属性辨析 文物数字化采集产生的数字成果(3D模型、高清图像、点云数据等)的版权属性是一个复杂的法律问题，不同法域有不同的判定标准： **美国立场**：根据美国联邦法院在Bridgeman Art Library v. Corel Corp.(1999)案中确立的判例，对公有领域作品的"如实复制"(slavish copying)不产生新的版权保护。这意味着对美国博物馆中公有领域文物进行忠实数字化采集的成果不受版权保护，可自由使用。但这一判例主要适用于2D平面作品，3D扫描数据是否适用尚存争议。 **欧盟立场**：欧盟部分成员国(如德国、法国)承认对公有领域作品进行技术性复制可产生"相关权"(Sui Generis Right)或"邻接权"(Neighboring Right)，保护期限通常为25年。这意味着在这些国家，文物数字化成果享有有限的专有权，使用者需获得授权。 **中国立场**：中国著作权法对文物数字化成果的版权属性尚无明确规定。学理上存在"无版权说"(数字化只是复制，不产生新作品)和"汇编作品说"(数字化成果可作为数据库获得保护)等不同观点。实践中，多数博物馆通过使用条款(Terms of Use)而非版权法来管理数字化成果的使用权限。 **开放获取运动**：与版权保护相对，开放获取(Open Access)运动在文化遗产领域影响力日益增强。荷兰国立博物馆(2013年)、大都会博物馆(2017年)、 Smithsonian博物馆(2020年)等先后实施了开放获取政策，将公有领域藏品的数字化成果以CC0(知识共享零条款)方式释放到公共领域。截至2024年，全球已有超过1000家博物馆实施了不同程度的开放获取政策。 #### 11.7.2 传统知识保护的特殊挑战 非物质文化遗产涉及的"传统知识"(Traditional Knowledge, TK)和"传统文化表达"(Traditional Cultural Expressions, TCEs)的知识产权保护是一个全球性难题。WIPO(世界知识产权组织)自2001年起设立的"知识产权与遗传资源、传统知识和民间文学艺术政府间委员会"(IGC)经过二十余年谈判，仍未达成具有法律约束力的国际协议。 传统知识保护的核心困境在于：现有知识产权体系以"个体创作者"和"固定保护期"为基础，而传统知识通常由"社区"集体创造并在代际间持续传承，难以确定创作者个体和保护期限。可能的解决路径包括：建立"特殊保护制度"(Sui Generis Systems)、利用"地理标志"保护与特定地域相关的文化遗产、通过"社区协议"(Community Protocols)确立使用规则等。 ### 11.8 文化遗产数字化的可持续发展模式 #### 11.8.1 资金可持续性分析 文化遗产数字化项目的资金可持续性是全球性挑战。根据European Cultural Heritage Green Paper的统计，欧洲文化遗产数字化项目中约60%在初始资助结束后面临运营资金短缺。可持续资金模式的构建需要多元化策略： **政府基础保障+社会补充**：以政府财政拨款为基础保障日常运营，通过社会捐赠、企业赞助和商业收入进行补充。如大英博物馆的数字化部门年度预算约500万英镑，其中政府拨款占60%，捐赠和赞助占25%，商业收入(图片授权、数字服务等)占15%。 **数字化成果商业化**：将数字文化遗产资源转化为商业产品和服务，如高清图像授权、3D模型租赁、虚拟展览定制、数字文创产品等。如荷兰国立博物馆的Rijksstudio平台虽然免费提供图像下载，但通过高质量打印服务和企业定制授权获得了可观收入。 **会员制和捐赠众筹**：建立会员制度，提供增值服务(如专家导览、幕后探访、限量数字藏品等)换取会员费。同时利用众筹平台发起专项募捐，如"修复一件文物"众筹项目让公众直接参与文保资助。 **IP授权与衍生开发**：将文化遗产数字资源进行IP化运营，授权用于影视、游戏、文创、教育等领域。如故宫博物院的IP授权体系涵盖了上千种文创产品，年度授权收入超过1亿元。 #### 11.8.2 技术可持续性策略 数字文化遗产面临的技术可持续性挑战主要来自技术过时和格式淘汰： **技术债管理**：数字化平台在建设过程中为追求速度而产生的技术债(如使用了非标准格式、缺乏文档、代码质量低)会随时间累积，最终导致维护成本急剧上升。应在建设初期就建立技术债管理机制，定期进行技术审计和债务清偿。 **模块化架构设计**：采用松耦合的模块化架构，使各功能模块可独立升级和替换。当某个技术组件过时或不再被支持时，只需替换该组件而不影响整体系统。 **开源技术栈选择**：优先选择开源技术栈而非商业专有技术，降低供应商锁定风险。开源技术的社区支持也更有利于长期维护——即使原始开发团队解散，社区仍可提供维护和支持。 **技术路线图规划**：制定长期技术路线图，预判技术趋势和可能的变更点。如当前基于WebGL的3D展示技术在未来可能被WebGPU取代，平台应提前规划技术迁移路径。 ### 11.9 区块链技术在文化遗产保护中的应用前景 #### 11.9.1 区块链的核心能力与文化遗产场景匹配 区块链技术具有去中心化、不可篡改、可追溯和可编程等核心特性，这些特性与文化遗产保护的多个痛点高度匹配： **权属确认**：文化遗产数字资源的权属确认是当前面临的核心难题。区块链可为每件文物的数字资源创建唯一的数字身份(通过哈希值)，记录其创建时间、创建者和权属信息，形成不可篡改的权属证明。如"中国文物数字身份证"系统为每件文物的数字资源生成区块链上的唯一标识，所有后续使用和交易记录均上链存证。 **溯源追踪**：文化遗产数字资源的传播链条复杂，难以追踪其使用情况。区块链可记录数字资源从创建到使用的完整链路，包括谁在什么时间、什么平台、什么目的下使用了该资源。这为版权保护和收益分配提供了可信赖的数据基础。 **智能合约**：区块链的智能合约功能可实现文化遗产数字资源的自动化授权和收益分配。如设定"教育用途免费、研究用途需申请、商业用途需付费"的使用规则，当用户使用数字资源时，智能合约自动判断使用类型并执行相应的授权和计费逻辑。 **去中心化存储**：文化遗产数字资源长期面临单点故障风险——如果存储服务器故障或机构关闭，数字资源可能永久丢失。基于区块链的去中心化存储(如IPFS+区块链)可将数字资源分散存储在多个节点上，大幅提高数据的生存能力。 #### 11.9.2 应用案例与挑战 **NFT与文化遗产**：NFT(非同质化代币)为文化遗产数字资产的唯一性和稀缺性提供了技术保障。如乌菲兹美术馆将米开朗基罗《多尼圆形》的数字化版本铸造为NFT并以17万美元售出，引发了博物馆界的关注和讨论。然而，NFT在文化遗产领域的应用也面临争议：(1)NFT的投机性可能扭曲文化遗产的价值认知；(2)NFT交易可能加剧"数字殖民主义"——富裕的收藏者购买发展中国家文化遗产的数字版本；(3)NFT的能源消耗(虽然以太坊转向PoS后已大幅降低)仍引发环境担忧。 **技术挑战**：区块链在文化遗产领域的大规模应用仍面临技术挑战：(1)存储成本——文化遗产数字资源(尤其是3D模型和高清图像)数据量巨大，链上存储成本高昂，需要依赖链下存储+链上哈希的混合方案；(2)性能瓶颈——公共区块链的吞吐量有限，难以满足大规模文化遗产数字资源的实时交易需求；(3)隐私保护——区块链的透明性与某些文化遗产内容的保密性需求存在矛盾；(4)技术成熟度——区块链技术本身仍在快速演进，技术路线的不确定性增加了应用风险。 ### 11.10 数字水印与文化遗产数据保护 #### 11.10.1 数字水印技术 数字水印技术为文化遗产数字资源提供了一种在不妨碍正常使用的前提下保护版权和溯源的技术手段： **可见水印**：在图像上叠加半透明的标识(如博物馆logo、版权声明)，直观标明数据来源。优点是简单直接，缺点是影响图像的美观度和可用性。 **不可见水印**：将版权信息嵌入图像像素中，人眼不可见但可通过特定算法检测和提取。不可见水印应满足以下要求：(1)不可见性——不影响图像的视觉质量；(2)鲁棒性——能抵抗JPEG压缩、裁剪、缩放、旋转等常见图像处理操作；(3)容量——能嵌入足够的版权信息；(4)安全性——未经授权无法去除或篡改水印。 **3D模型水印**：在3D模型的几何数据中嵌入水印信息。方法包括：在网格顶点坐标中添加微小扰动、在模型表面纹理中嵌入水印等。3D模型水印的挑战在于需要同时保证几何精度和水印鲁棒性——对于高精度文物3D模型，任何几何扰动都可能影响测量精度。 #### 11.10.2 区块链溯源在文化遗产中的应用 区块链为文化遗产数字资源的溯源提供了可信技术基础设施： **数字遗产身份证**：为每件文物的数字资源生成区块链上的唯一身份标识，记录创建时间、创建者、技术参数等核心信息。后续的每次使用、修改和传播都作为交易记录在区块链上，形成完整的数字资源使用链。 **智能合约授权**：将数字资源的使用条款编码为智能合约，当用户请求使用数字资源时，智能合约自动验证使用条件并执行授权。如"仅限教育用途免费使用"的条款可通过智能合约自动执行——用户需提供教育机构邮箱验证身份，验证通过后自动获得下载权限。 **收益分配**：数字资源产生的商业收益可通过智能合约自动分配给相关权利方——博物馆、数字化服务提供商、源社区等。分配比例在智能合约中预设，交易完成后自动执行，减少人工管理成本和争议。 ### 11.11 文化遗产数字化的社会影响评估 #### 11.11.1 社会影响评估框架 文化遗产数字化项目的社会影响评估应覆盖以下维度： **文化影响**：(1)文化认知——数字化是否提升了公众对文化遗产的认知水平？(2)文化态度——数字化是否改变了公众对文化遗产保护的态度和行为？(3)文化认同——数字化是否增强了社区和公众的文化认同感？(4)文化多样性——数字化是否促进了不同文化之间的理解和尊重？ **经济影响**：(1)就业创造——数字化项目创造了哪些新的就业岗位？(2)产业带动——数字化是否带动了文化旅游、文创产业等相关产业的发展？(3)收入分配——数字化产生的经济效益在不同利益相关者之间的分配是否公平？ **技术影响**：(1)技术溢出——文化遗产数字化的技术创新是否溢出到其他领域？(2)标准推动——数字化实践是否推动了行业标准的制定和推广？(3)能力建设——数字化项目是否提升了相关人员的数字技能？ **制度影响**：(1)政策创新——数字化实践是否推动了相关政策的创新和完善？(2)治理改善——数字化是否改善了文化遗产治理的透明度和效率？(3)国际影响——数字化实践是否提升了中国在国际文化遗产领域的话语权？ #### 11.11.2 评估方法与工具 **社会投资回报率(SROI)分析**：SROI是一种将社会效益货币化的评估方法，通过计算社会价值与投入成本的比值来衡量项目的社会投资回报率。如某文化遗产数字化项目的SROI分析可能显示："每投入1元，产生4.5元的社会价值"——包括教育价值、文化认同价值、旅游引流价值等。 **利益相关者分析**：识别项目的所有利益相关者，分析项目对每类利益相关者的影响。利益相关者矩阵可帮助识别受益者和潜在受损者，确保项目实施的公平性。 **参与式评估**：邀请社区成员、传承人、用户等利益相关者参与评估过程，通过焦点小组、深度访谈和参与式工作坊收集第一手反馈。参与式评估比纯定量的指标评估更能捕捉数字化项目的深层社会影响。 ### 11.12 本章小结与伦理框架建议 本章从伦理问题(数字殖民主义、AI伦理)、知识产权保护、数据安全、可持续发展、区块链应用、社会影响评估等多个维度，系统论述了文化遗产数字化保护中的伦理、版权与可持续发展议题。 基于以上分析，提出文化遗产数字化伦理治理框架的核心要素： **伦理原则体系**：(1)尊重原则——尊重源社区的文化主权、知识自主权和价值观念；(2)公正原则——确保数字化成果和收益的公平分配，防止数字殖民主义；(3)透明原则——数字化过程和决策应公开透明，接受多元利益相关者的监督；(4)责任原则——数字化实施者应对其行为的社会和文化影响负责；(5)可持续原则——数字化项目应在经济、社会和环境三个维度上可持续。 **伦理审查机制**：建立文化遗产数字化项目的伦理审查制度，类似于生物医学研究的伦理审查委员会(IRB)。审查内容包括：社区知情同意的充分性、文化敏感内容的处理方式、数据安全和隐私保护方案、利益分享机制的合理性等。 **利益相关者参与**：确保传承人、源社区、学术机构、技术提供方、政府部门等多元利益相关者参与伦理治理过程。特别是传承人和社区的声音应被充分听取和尊重，而非仅由专家和官员决策。 **持续监测与改进**：伦理治理不是一次性审查，而是贯穿项目全生命周期的持续过程。应建立定期伦理审计机制，评估项目实施中的伦理风险，及时调整和改进。 ### 11.13 延伸阅读与案例研讨 **延伸阅读**：建议阅读Baudrillard的《拟像与模拟》，理解数字复制品的哲学含义。同时推荐阅读Smith的《Uses of Heritage》，从批判遗产研究视角理解遗产保护中的权力关系。对于知识产权方面，推荐阅读WIPO关于传统知识保护的系列研究报告。对于AI伦理，推荐阅读UNESCO《人工智能伦理建议书》(2021)。 **案例研讨**：建议选择以下案例进行深度研讨：(1)Google与荷兰国立博物馆合作中的数据主权问题——谷歌获得了什么？博物馆失去了什么？如何评估这种公私合作模式的公平性？(2)大英博物馆3D扫描文物的开放获取争议——扫描数据是否应该免费开放？开放可能带来什么风险？不开放可能造成什么损失？(3)某AI修复壁画项目——AI修复的部分应如何标注？如果AI修复结果与专家意见不同，应如何处理？修复后的"数字壁画"是否可以替代原始壁画用于展示？ **伦理审查模拟**：组织学生模拟文化遗产数字化项目的伦理审查过程——选择一个虚构的数字化项目(如在少数民族社区开展非遗数字化)，学生分组扮演伦理审查委员会成员，从社区知情同意、文化敏感性、数据安全、利益分享等维度进行审查，最终给出审查意见和改进建议。 **个人伦理反思**：要求每位学生撰写一篇关于文化遗产数字化伦理的个人反思论文，选择一个自己关注的伦理议题(如数字殖民主义、AI原真性、社区权利等)，结合具体案例进行深入分析和论证。 ### 11.14 可持续发展的多维框架 文化遗产数字化项目的可持续发展需要从经济、社会、技术和环境四个维度系统规划： **经济可持续性**：建立"政府基础保障+社会多元补充"的混合资金模式。政府财政拨款保障基础数字化和日常运维，社会捐赠和企业赞助支持创新项目，商业收入(授权、服务、文创)反哺运营。关键是建立稳定的资金来源结构，避免对单一资金渠道的过度依赖。 **社会可持续性**：确保数字化项目持续产生社会价值——公众教育、文化认同、社区赋能。建立用户反馈机制，定期评估项目的社会影响，根据反馈调整项目方向。特别关注社区和传承人的持续参与，确保数字化不脱离其文化根基。 **技术可持续性**：采用模块化架构、开放标准和开源技术，降低技术债和供应商锁定风险。建立定期技术审计制度，评估技术栈的健康度和更新需求。制定技术路线图，预判技术趋势并提前规划迁移路径。 **环境可持续性**：数字化基础设施(数据中心、服务器、网络设备)的能耗和碳排放不容忽视。可采用以下措施降低环境足迹：(1)选择绿色数据中心——使用可再生能源供电的数据中心；(2)优化数据存储——对不常用数据进行冷存储，减少活跃存储能耗；(3)数据压缩与去重——减少冗余数据的存储和传输；(4)边缘计算——在数据产生端进行预处理，减少数据传输量。 ### 11.15 文化遗产数字化的全球正义视角 从全球正义的视角审视文化遗产数字化，需要关注以下正义维度： **分配正义**：数字化保护的红利(技术能力、数字资源、经济收益)在全球和国家内部的分配是否公平？发达国家和发展中国家之间的"数字遗产鸿沟"如何缩小？中国在国内应关注东部与中西部地区之间的数字化资源分配不均问题，在国际层面应支持发展中国家提升数字化能力。 **承认正义**：不同文化的遗产是否得到了平等的承认和尊重？数字化过程中的分类、标注和阐释是否反映了多元文化视角？西方主导的分类体系是否需要调整为更具包容性的框架？这些问题触及了文化遗产数字化中的深层文化政治。 **程序正义**：数字化决策过程是否公平、透明和包容？源社区是否有实质性的参与权和决策权？国际数字遗产标准的制定过程是否充分吸纳了发展中国家的意见？程序正义是实现分配正义和承认正义的制度保障。 **修复正义**：对于历史上被掠夺或非法出口的文化遗产，数字化是否可以作为一种"数字修复"手段？如为被掠夺文物创建数字复制品并归还源国，虽然不能替代实物归还，但可作为过渡性措施。数字技术还可用于记录和追索被非法交易的文物。 在文化遗产数字化的全球治理中，中国的角色正在从规则接受者向规则参与者和规则贡献者转变。中国应在国际文化遗产数字化治理中发挥更积极的作用：推动将数字遗产纳入UNESCO文化遗产公约的修订议程；在WIPO框架下推动传统知识知识产权保护的国际协议制定；在ISO等国际标准组织中提出更多中国主导的文化遗产数字化标准提案；通过一带一路文化遗产合作平台分享中国数字化保护经验；参与全球文化遗产数字联盟的治理机制建设。中国的参与不仅应关注技术标准的输出，更应关注治理理念的贡献，丰富全球文化遗产数字化治理的话语体系。 本章系统论述了文化遗产数字化保护中的伦理问题(数字殖民主义、AI伦理)、知识产权保护、数据安全、可持续发展、区块链应用和社会影响评估等核心议题。这些议题构成了G.U.A.R.D.框架中D维度在伦理和可持续发展方面的深层内容。文化遗产数字化保护不仅是技术工程，更是文化工程和社会工程——它涉及文化权利的保障、知识权力的分配、经济利益的共享和代际公平的维护。只有在健全的伦理框架和可持续的发展模式下，数字化保护才能真正实现守护人类文明遗产的使命。本章提出的伦理治理框架和可持续发展多维模型，为文化遗产数字化保护的负责任实践提供了理论指导和行动指南。 ## 参考文献</w:t>
      </w:r>
    </w:p>
    <w:p>
      <w:pPr>
        <w:spacing w:line="360" w:lineRule="auto" w:after="60"/>
        <w:ind w:firstLine="480"/>
      </w:pPr>
      <w:r>
        <w:rPr>
          <w:rFonts w:ascii="Microsoft YaHei" w:hAnsi="Microsoft YaHei" w:eastAsia="Microsoft YaHei"/>
          <w:sz w:val="24"/>
        </w:rPr>
        <w:t>1. Manžuch Z. Ethical Issues In Digitization Of Cultural Heritage. Journal of Contemporary Archival Studies, 2017, 4(4).</w:t>
      </w:r>
    </w:p>
    <w:p>
      <w:pPr>
        <w:spacing w:line="360" w:lineRule="auto" w:after="60"/>
        <w:ind w:firstLine="480"/>
      </w:pPr>
      <w:r>
        <w:rPr>
          <w:rFonts w:ascii="Microsoft YaHei" w:hAnsi="Microsoft YaHei" w:eastAsia="Microsoft YaHei"/>
          <w:sz w:val="24"/>
        </w:rPr>
        <w:t>2. Kanthe R U, Soorya A M V, Patel S, et al.. Ethics and Policy Challenges in the Digitization of Cultural Heritage. Shodhkosh, 2026, 7(3). DOI: 10.29121/shodhkosh.v7.i3s.2026.7439.</w:t>
      </w:r>
    </w:p>
    <w:p>
      <w:pPr>
        <w:spacing w:line="360" w:lineRule="auto" w:after="60"/>
        <w:ind w:firstLine="480"/>
      </w:pPr>
      <w:r>
        <w:rPr>
          <w:rFonts w:ascii="Microsoft YaHei" w:hAnsi="Microsoft YaHei" w:eastAsia="Microsoft YaHei"/>
          <w:sz w:val="24"/>
        </w:rPr>
        <w:t>3. Borin E, Donato F. Financial Sustainability of Digitizing Cultural Heritage: The International Platform Europeana. Journal of Risk and Financial Management, 2023, 16(10): 421. DOI: 10.3390/jrfm16100421.</w:t>
      </w:r>
    </w:p>
    <w:p>
      <w:pPr>
        <w:spacing w:line="360" w:lineRule="auto" w:after="60"/>
        <w:ind w:firstLine="480"/>
      </w:pPr>
      <w:r>
        <w:rPr>
          <w:rFonts w:ascii="Microsoft YaHei" w:hAnsi="Microsoft YaHei" w:eastAsia="Microsoft YaHei"/>
          <w:sz w:val="24"/>
        </w:rPr>
        <w:t>4. Russo-Spenna T, Tregua M, D'Auria A, et al.. A digital business model: an illustrated framework from the cultural heritage business. International Journal of Entrepreneurial Behavior &amp; Research, 2022, 28(5). DOI: 10.1108/ijebr-01-2021-0088.</w:t>
      </w:r>
    </w:p>
    <w:p>
      <w:pPr>
        <w:spacing w:line="360" w:lineRule="auto" w:after="60"/>
        <w:ind w:firstLine="480"/>
      </w:pPr>
      <w:r>
        <w:rPr>
          <w:rFonts w:ascii="Microsoft YaHei" w:hAnsi="Microsoft YaHei" w:eastAsia="Microsoft YaHei"/>
          <w:sz w:val="24"/>
        </w:rPr>
        <w:t>5. Prasad T, Sehgal A, Ghiya S. A Study on Cultural Heritage Preservation in the Digital Era. IJTSREM, 2024, 8(8). DOI: 10.55041/ijsrem28803.</w:t>
      </w:r>
    </w:p>
    <w:p>
      <w:pPr>
        <w:spacing w:line="360" w:lineRule="auto" w:after="60"/>
        <w:ind w:firstLine="480"/>
      </w:pPr>
      <w:r>
        <w:rPr>
          <w:rFonts w:ascii="Microsoft YaHei" w:hAnsi="Microsoft YaHei" w:eastAsia="Microsoft YaHei"/>
          <w:sz w:val="24"/>
        </w:rPr>
        <w:t>6. Zorich D M. A Survey of Digital Cultural Heritage Initiatives and Their Sustainability Concerns. Council on Library and Information Resources, 2003.</w:t>
      </w:r>
    </w:p>
    <w:p>
      <w:pPr>
        <w:spacing w:line="360" w:lineRule="auto" w:after="60"/>
        <w:ind w:firstLine="480"/>
      </w:pPr>
      <w:r>
        <w:rPr>
          <w:rFonts w:ascii="Microsoft YaHei" w:hAnsi="Microsoft YaHei" w:eastAsia="Microsoft YaHei"/>
          <w:sz w:val="24"/>
        </w:rPr>
        <w:t>7. Santana Quintero M, Fai S, Smith L, et al.. Ethical Framework for Heritage Recording Specialists Applying Digital Workflows for Conservation. ISPRS Archives, 2019, XLII-2/W15: 1063-1069. DOI: 10.5194/isprs-archives-xlii-2-w15-1063-2019.</w:t>
      </w:r>
    </w:p>
    <w:p>
      <w:pPr>
        <w:spacing w:line="360" w:lineRule="auto" w:after="60"/>
        <w:ind w:firstLine="480"/>
      </w:pPr>
      <w:r>
        <w:rPr>
          <w:rFonts w:ascii="Microsoft YaHei" w:hAnsi="Microsoft YaHei" w:eastAsia="Microsoft YaHei"/>
          <w:sz w:val="24"/>
        </w:rPr>
        <w:t>8. Derclaye E. Copyright and cultural heritage: preservation and access to works in a digital world. Journal of the Australian Library and Information Association, 2011, 60(4): 353-354. DOI: 10.1080/08109028.2011.616027.</w:t>
      </w:r>
    </w:p>
    <w:p>
      <w:pPr>
        <w:spacing w:line="360" w:lineRule="auto" w:after="60"/>
        <w:ind w:firstLine="480"/>
      </w:pPr>
      <w:r>
        <w:rPr>
          <w:rFonts w:ascii="Microsoft YaHei" w:hAnsi="Microsoft YaHei" w:eastAsia="Microsoft YaHei"/>
          <w:sz w:val="24"/>
        </w:rPr>
        <w:t>9. Shimray S R, Ramaiah C K. Issues in Preservation of Digital Cultural Heritage. Semantic Scholar, 2017.</w:t>
      </w:r>
    </w:p>
    <w:p>
      <w:pPr>
        <w:spacing w:line="360" w:lineRule="auto" w:after="60"/>
        <w:ind w:firstLine="480"/>
      </w:pPr>
      <w:r>
        <w:rPr>
          <w:rFonts w:ascii="Microsoft YaHei" w:hAnsi="Microsoft YaHei" w:eastAsia="Microsoft YaHei"/>
          <w:sz w:val="24"/>
        </w:rPr>
        <w:t>10. Lor P, Britz J. An ethical perspective on political-economic issues in the long-term preservation of digital heritage. Journal of the Association for Information Science and Technology, 2012, 63(11): 2159-2171. DOI: 10.1002/asi.22725.</w:t>
      </w:r>
    </w:p>
    <w:p>
      <w:pPr>
        <w:spacing w:line="360" w:lineRule="auto" w:after="60"/>
        <w:ind w:firstLine="480"/>
      </w:pPr>
      <w:r>
        <w:rPr>
          <w:rFonts w:ascii="Microsoft YaHei" w:hAnsi="Microsoft YaHei" w:eastAsia="Microsoft YaHei"/>
          <w:sz w:val="24"/>
        </w:rPr>
        <w:t>11. Rouhani B. Ethically Digital: Contested Cultural Heritage in Digital Context. Studies in Digital Heritage, 2023, 7(1). DOI: 10.14434/sdh.v7i1.35741.</w:t>
      </w:r>
    </w:p>
    <w:p>
      <w:pPr>
        <w:spacing w:line="360" w:lineRule="auto" w:after="60"/>
        <w:ind w:firstLine="480"/>
      </w:pPr>
      <w:r>
        <w:rPr>
          <w:rFonts w:ascii="Microsoft YaHei" w:hAnsi="Microsoft YaHei" w:eastAsia="Microsoft YaHei"/>
          <w:sz w:val="24"/>
        </w:rPr>
        <w:t>12. Santana Quintero M, Awad R, Barazzetti L. Harnessing digital workflows for the understanding, promotion and participation in the conservation of heritage sites. Heritage Science, 2020, 8(1): 5. DOI: 10.1186/s43238-020-00005-7.</w:t>
      </w:r>
    </w:p>
    <w:p>
      <w:pPr>
        <w:spacing w:line="360" w:lineRule="auto" w:after="60"/>
        <w:ind w:firstLine="480"/>
      </w:pPr>
      <w:r>
        <w:rPr>
          <w:rFonts w:ascii="Microsoft YaHei" w:hAnsi="Microsoft YaHei" w:eastAsia="Microsoft YaHei"/>
          <w:sz w:val="24"/>
        </w:rPr>
        <w:t>13. Thompson E L. Legal and Ethical Considerations for Digital Recreations of Cultural Heritage. Semantic Scholar, 2017.</w:t>
      </w:r>
    </w:p>
    <w:p>
      <w:pPr>
        <w:spacing w:line="360" w:lineRule="auto" w:after="60"/>
        <w:ind w:firstLine="480"/>
      </w:pPr>
      <w:r>
        <w:rPr>
          <w:rFonts w:ascii="Microsoft YaHei" w:hAnsi="Microsoft YaHei" w:eastAsia="Microsoft YaHei"/>
          <w:sz w:val="24"/>
        </w:rPr>
        <w:t>14. Lykourentzou I, Antoniou A. Digital Innovation for Cultural Heritage: Lessons from the European Year of Cultural Heritage. Cultural Trends, 2019, 9(1): 91-107. DOI: 10.2423/I22394303V9N1P91.</w:t>
      </w:r>
    </w:p>
    <w:p>
      <w:pPr>
        <w:spacing w:line="360" w:lineRule="auto" w:after="60"/>
        <w:ind w:firstLine="480"/>
      </w:pPr>
      <w:r>
        <w:rPr>
          <w:rFonts w:ascii="Microsoft YaHei" w:hAnsi="Microsoft YaHei" w:eastAsia="Microsoft YaHei"/>
          <w:sz w:val="24"/>
        </w:rPr>
        <w:t>15. Alkhasawneh A, Kowalska S. Digital Transformation in Jordan and Poland - Implications on the Legal Protection of Cultural Heritage and Sustainable Development. Studies in Digital Heritage, 2024, 7(2). DOI: 10.14434/sdh.v7i2.36939.</w:t>
      </w:r>
    </w:p>
    <w:p>
      <w:pPr>
        <w:spacing w:line="360" w:lineRule="auto" w:after="60"/>
        <w:ind w:firstLine="480"/>
      </w:pPr>
      <w:r>
        <w:rPr>
          <w:rFonts w:ascii="Microsoft YaHei" w:hAnsi="Microsoft YaHei" w:eastAsia="Microsoft YaHei"/>
          <w:sz w:val="24"/>
        </w:rPr>
        <w:t>16. Díaz Mendoza M A, De La Hoz Franco E, Gómez Gómez J E. Technologies for the Preservation of Cultural Heritage—A Systematic Review of the Literature. Sustainability, 2023, 15(2): 1059. DOI: 10.3390/su15021059.</w:t>
      </w:r>
    </w:p>
    <w:p>
      <w:pPr>
        <w:spacing w:line="360" w:lineRule="auto" w:after="60"/>
        <w:ind w:firstLine="480"/>
      </w:pPr>
      <w:r>
        <w:rPr>
          <w:rFonts w:ascii="Microsoft YaHei" w:hAnsi="Microsoft YaHei" w:eastAsia="Microsoft YaHei"/>
          <w:sz w:val="24"/>
        </w:rPr>
        <w:t>17. Hou Y, Kenderdine S, Picca D, et al.. Digitizing Intangible Cultural Heritage Embodied: State of the Art. ACM Journal on Computing and Cultural Heritage, 2022, 15(3): 1-28. DOI: 10.1145/3494837.</w:t>
      </w:r>
    </w:p>
    <w:p>
      <w:pPr>
        <w:spacing w:line="360" w:lineRule="auto" w:after="60"/>
        <w:ind w:firstLine="480"/>
      </w:pPr>
      <w:r>
        <w:rPr>
          <w:rFonts w:ascii="Microsoft YaHei" w:hAnsi="Microsoft YaHei" w:eastAsia="Microsoft YaHei"/>
          <w:sz w:val="24"/>
        </w:rPr>
        <w:t>18. Robbins C. Beyond preservation: New directions for technological innovation through intangible cultural heritage. Rhode Island School of Design, 2010.</w:t>
      </w:r>
    </w:p>
    <w:p>
      <w:pPr>
        <w:spacing w:line="360" w:lineRule="auto" w:after="60"/>
        <w:ind w:firstLine="480"/>
      </w:pPr>
      <w:r>
        <w:rPr>
          <w:rFonts w:ascii="Microsoft YaHei" w:hAnsi="Microsoft YaHei" w:eastAsia="Microsoft YaHei"/>
          <w:sz w:val="24"/>
        </w:rPr>
        <w:t>19. Wan Isa W M, Mat Zin N, Rosdi F, et al.. Digital Preservation of Intangible Cultural Heritage. Indonesian Journal of Electrical Engineering and Computer Science, 2018, 12(3): 1373-1379. DOI: 10.11591/IJEECS.V12.I3.PP1373-1379.</w:t>
      </w:r>
    </w:p>
    <w:p>
      <w:pPr>
        <w:spacing w:line="360" w:lineRule="auto" w:after="60"/>
        <w:ind w:firstLine="480"/>
      </w:pPr>
      <w:r>
        <w:rPr>
          <w:rFonts w:ascii="Microsoft YaHei" w:hAnsi="Microsoft YaHei" w:eastAsia="Microsoft YaHei"/>
          <w:sz w:val="24"/>
        </w:rPr>
        <w:t>20. Ertürk N. Preservation of Digitized Intangible Cultural Heritage in Museum Storage. Museum Storage, 2022.</w:t>
      </w:r>
    </w:p>
    <w:p>
      <w:r>
        <w:br w:type="page"/>
      </w:r>
    </w:p>
    <w:p>
      <w:pPr>
        <w:pStyle w:val="Heading2"/>
      </w:pPr>
      <w:r>
        <w:rPr>
          <w:rFonts w:ascii="Microsoft YaHei" w:hAnsi="Microsoft YaHei" w:eastAsia="Microsoft YaHei"/>
          <w:color w:val="264653"/>
        </w:rPr>
        <w:t>学习目标 1. **识记**：中国国家文化数字化战略的核心内容与标志性实践案例 2. **理解**：G.U.A.R.D.框架在中国文化遗产数字化实践中的验证逻辑 3. **应用**：运用G.U.A.R.D.框架分析一个中国文化遗产数字化项目的五维度表现 4. **分析**：分析贵州文化遗产数字化的特色与挑战 5. **评价**：评估中国文化遗产数字化保护的战略成效与薄弱环节 6. **创造**：基于G.U.A.R.D.框架设计一个文化遗产数字孪生系统方案 ## 导入案例：三星堆遗址的科技艺术数字化展示 2025年，三星堆文化数字化展示项目以科技艺术为跨学科融合路径，重点分析了三星堆案例的地域文化性、信息叙事性、空间艺术性及情感共鸣性。该项目展示了数字化展示设计如何成为文化遗产活化与传播的重要手段，也为构建中国特色的文化遗产数字化体系提供了典型案例和实践平台。三星堆的数字化实践表明，中国正在从文化遗产数字化的"跟跑者"向"并跑者"乃至"领跑者"转变。 ### 12.1 中国文化遗产数字化保护战略 #### 12.1.1 国家文化数字化战略 2022年，中共中央办公厅、国务院办公厅印发《关于推进实施国家文化数字化战略的意见》，提出建设国家文化大数据体系、发展数字化文化消费新场景、提升公共文化服务数字化水平等重点任务。这一战略为中国文化遗产数字化保护提供了顶层设计和政策保障。 #### 12.1.2 文化遗产数字化保护工程 中国实施了一系列文化遗产数字化保护重大工程，包括"数字敦煌""数字故宫""国家文物数字化保护工程"等。彦风在分析中国文化遗产数字化应用时指出，中国的文化遗产数字化实践已有许多成熟案例，谷歌"艺术计划"和北京故宫博物院"数字故宫"两个案例的对比分析可以揭示中国文化遗产数字化应用的成功经验和现实困境。 #### 12.1.3 "十四五"规划与文化遗产数字化 "十四五"规划明确提出"推进文化遗产数字化保护"，将文化遗产数字化纳入国家发展规划。各省市也相继出台了文化遗产数字化保护实施方案。 ### 12.2 标志性实践案例 #### 12.2.1 数字敦煌——壁画数字化保护典范 敦煌莫高窟的数字化保护是中国文化遗产数字化的标志性项目。杜若飞指出，数字敦煌项目实现了壁画类珍贵文化遗产的虚拟修复，满足了文化艺术多元化创造的需求。陈振旺和樊锦诗从文化科技融合的视角分析了敦煌数字化的实践路径，指出文化科技融合在遗产保护中具有重要价值。 数字敦煌的技术路线包括：高分辨率数字摄影(≥300dpi)、色彩管理系统(ΔE≤3)、数字拼接技术、VR虚拟漫游和WebGL在线展示。截至2024年，已完成290个洞窟的数字化采集，建立了全球最大的石窟壁画数字资源库。 #### 12.2.2 数字故宫——古建筑与藏品数字化 故宫博物院的数字化实践涵盖古建筑和藏品两大领域。欧阳宏指出，故宫使用三维数字技术采集了大量古建筑和藏品文物的高精度三维数据，利用数字呈现技术立体再现文化遗产原貌。故宫推出了"数字文物库""数字多宝阁""全景故宫"等数字化产品，形成了从典藏到展示到传播的完整链条。 #### 12.2.3 非遗数字化保护案例集锦 中国非遗数字化保护已形成多层次实践体系。杨薇以智化寺京音乐为例，展示了通过数字化录制、自媒体宣传、互动触摸屏开发、手机直播等数字技术手段对非遗进行保护与传承的成果。Liu等人以"毛猴"手工艺为例，探索了数字制作技术在非遗传承与活化中的应用。Shi和Li系统研究了非遗数字化保护与传承的路径。 ### 12.3 贵州文化遗产数字化实践 #### 12.3.1 贵州非遗数字化保护 贵州是中国非遗资源大省，拥有苗族银饰锻造技艺、侗族大歌、蜡染技艺等众多国家级非遗项目。贵州非遗数字化保护的特色在于将民族文化与数字技术深度融合，建立了贵州民族文化数字资源库。 #### 12.3.2 屯堡文化数字化 屯堡文化是贵州独特的文化遗产类型。屯堡文化的数字化实践包括古建筑三维扫描、屯堡地戏数字化记录和屯堡文化数字博物馆建设，体现了G.U.A.R.D.框架的全生命周期保护理念。 #### 12.3.3 民族文化数字资源库建设 贵州民族文化数字资源库建设是省级文化遗产数字化工程的典型代表，整合了苗族、侗族、布依族等多个民族的文化遗产数字资源，支持跨民族、跨地区的比较研究。 ### 12.4 G.U.A.R.D.框架的中国实践验证 #### 12.4.1 G维度：采集技术创新 中国在文化遗产数字化采集方面取得了显著创新。数字敦煌的高分辨率摄影技术、故宫的三维扫描技术、各非遗机构的动作捕捉技术，体现了G维度(数字化生成与采集)的中国实践。 #### 12.4.2 A维度：典藏平台建设 中国已建立了多个文化遗产数字典藏平台，包括数字敦煌资源库、故宫数字文物库、中国非遗数字博物馆等。洪闯和李中明基于可拓云模型评估了文化遗产数字化平台的信息服务质量，以"云游敦煌"和"数字故宫"为实证案例。 #### 12.4.3 R维度：传播模式创新 中国文化遗产数字化传播模式不断创新。"云游敦煌"小程序、故宫文创数字营销、非遗短视频传播等实践，体现了R维度(数字化呈现与传播)的活力。 #### 12.4.4 U维度：活化利用路径 文化遗产的活化利用在中国呈现出多元化趋势。VR体验、AR导览、文创产品数字化、文化遗产数字旅游等实践，展示了U维度(利用与活化)的丰富路径。 #### 12.4.5 D维度：治理体系完善 中国文化遗产数字化治理体系不断完善。《文物保护法》《非物质文化遗产法》《关于推进实施国家文化数字化战略的意见》等法律法规和政策文件，构成了D维度(数字治理)的制度框架。 ### 12.5 未来展望 #### 12.5.1 技术融合趋势(AI+VR+区块链) 未来文化遗产数字化保护将呈现技术深度融合趋势。Münster等人指出，AI将成为数字遗产创新的下一个驱动力。VR/AR技术将实现更自然的沉浸式体验，区块链技术将为文化遗产数字资产确权提供新方案。2025年的研究进一步指出，脑机接口、量子计算等前沿技术可能为文化遗产保护开辟全新路径。 #### 12.5.2 文化遗产数字孪生 数字孪生(Digital Twin)技术将为文化遗产保护带来范式变革。通过对文化遗产实体建立高精度数字镜像，实现实时监测、预测性保护和虚拟实验。Telek等人提出的3D数字重建存档的协作方法为文化遗产数字孪生提供了技术参考。 #### 12.5.3 全球协作与文明互鉴 文化遗产数字化保护需要全球协作。中国已参与"文明伙伴计划：中希数字遗产"等国际合作项目。G.U.A.R.D.框架的D维度(数字治理)为全球协作提供了制度框架。未来，基于开放标准、互操作性和公平获取的全球文化遗产数字平台将成为文明互鉴的重要基础设施。 ## 知识卡片 **知识卡片12-1：G.U.A.R.D.框架中国实践验证矩阵** | 维度 | 中国实践 | 代表项目 | 成熟度 | |------|---------|---------|--------| | G | 采集技术创新 | 数字敦煌高分辨率摄影 | 高 | | A | 典藏平台建设 | 故宫数字文物库 | 中高 | | R | 传播模式创新 | 云游敦煌小程序 | 高 | | U | 活化利用路径 | 圆明园沉浸交互秀 | 中 | | D | 治理体系完善 | 国家文化数字化战略 | 中 | **知识卡片12-2：文化遗产数字孪生五层架构** 1. 物理层：文化遗产实体 2. 采集层：传感器与数字化设备 3. 数据层：三维模型+环境数据+历史数据 4. 模型层：数字孪生模型 5. 应用层：监测、预测、展示、决策 ## 本章小结 本章作为全书的收束之章，将G.U.A.R.D.框架应用于中国文化遗产数字化保护的实践验证。首先介绍了中国国家文化数字化战略和重大工程；然后通过数字敦煌、数字故宫和非遗案例集锦分析了标志性实践；接着探讨了贵州文化遗产数字化的特色实践；之后从G、A、R、U、D五个维度系统验证了G.U.A.R.D.框架在中国实践中的适用性；最后展望了技术融合、数字孪生和全球协作三大未来趋势。全书以G.U.A.R.D.框架始，以框架验证终，形成了"理论建构—技术分析—实践验证—未来展望"的完整逻辑闭环。 ## 思考题 1. **(识记)** 中国国家文化数字化战略的核心内容有哪些？ 2. **(理解)** 分析G.U.A.R.D.框架五个维度在中国实践中的表现差异及其原因。 3. **(应用)** 运用G.U.A.R.D.框架分析"云游敦煌"小程序的五维度表现。 4. **(分析)** 比较数字敦煌和数字故宫在技术路线和服务模式上的差异。 5. **(评价)** 评估中国文化遗产数字化保护在全球格局中的地位与差距。 6. **(创造)** 基于G.U.A.R.D.框架设计一个文化遗产数字孪生系统方案。 ### 12.6 G.U.A.R.D.框架的深度验证 #### 12.6.1 G维度验证：数字化采集的创新能力 中国在文化遗产数字化采集方面展现出强大的创新能力。数字敦煌项目研发的"壁画数字化作业规范"已成为行业标杆，其高分辨率数字摄影(≥300dpi)和色彩管理系统(ΔE≤3)达到了国际领先水平。故宫博物院在古建筑三维扫描方面积累了丰富经验，形成了覆盖"规划—采集—处理—入库—应用"全流程的标准化工作体系。 然而，G维度的短板也很明显：高端三维扫描设备仍依赖进口，国产设备在精度和稳定性方面仍有差距；数字化标准体系尚不完善，各机构采用的技术标准不统一；数字化人才短缺，特别是既懂技术又懂文化的复合型人才严重不足。 #### 12.6.2 A维度验证：典藏平台的建设成效 中国已建立了多个文化遗产数字典藏平台，包括数字敦煌资源库(290个洞窟)、故宫数字文物库(78万件)、中国非遗数字博物馆(1500+项目)等。洪闯和李中明基于可拓云模型评估了文化遗产数字化平台的信息服务质量，以"云游敦煌"和"数字故宫"为实证案例，提出了提升平台服务质量的策略建议。 A维度面临的主要挑战是"数据孤岛"问题——各平台之间缺乏互操作性，数据共享困难。此外，长期保存策略尚不完善，数字资产的格式迁移和数据迁移缺乏系统规划。 #### 12.6.3 R维度验证：传播模式的创新活力 中国在文化遗产数字化传播方面展现出强大的创新活力。"云游敦煌"小程序将敦煌文化融入微信社交生态，实现了病毒式传播。故宫文创的数字营销将传统文化与现代设计结合，创造了"故宫口红""故宫日历"等现象级文创产品。非遗短视频在抖音等平台上的传播使传统技艺以年轻化方式触达Z世代。 R维度的创新活力得益于中国庞大的互联网用户基数和成熟的社交媒体生态。然而，传播内容的学术深度有待提升，"娱乐化"倾向可能导致文化内涵的浅表化。 #### 12.6.4 U维度验证：活化利用的多元路径 中国文化遗产的活化利用呈现出多元化趋势。VR体验项目(如敦煌VR古籍寻游记、故宫VR倦勤斋)提供了沉浸式文化体验。AR导览应用在博物馆和文化遗产地广泛部署。文化创意产业将文化遗产元素融入产品设计、影视制作和游戏开发。文化遗产数字旅游成为文旅融合的新业态。 U维度的发展空间在于：活化利用的学术深度需要加强——不能仅停留在"看起来好看"的视觉层面，而应深入挖掘文化遗产的精神内涵和当代价值。 #### 12.6.5 D维度验证：治理体系的完善方向 中国文化遗产数字化治理体系不断完善。《文物保护法》《非物质文化遗产法》《关于推进实施国家文化数字化战略的意见》等法律法规和政策文件构成了制度框架。然而，D维度仍是中国实践中的相对薄弱环节：版权保护的法律框架尚不完善，特别是文物数字化成果的版权归属缺乏明确法律界定；伦理治理机制尚未建立，社区知情同意和利益分享原则在实践中的落实不足；可持续发展的商业模式仍在探索中。 ### 12.7 未来技术趋势与文化遗产保护 #### 12.7.1 数字孪生与文化遗产 数字孪生(Digital Twin)技术为文化遗产保护带来了范式变革。通过对文化遗产实体建立高精度数字镜像，实现实时监测、预测性保护和虚拟实验。Telek等人提出的3D数字重建存档的协作方法为文化遗产数字孪生提供了技术参考。文化遗产数字孪生的五层架构包括：物理层(文化遗产实体)、采集层(传感器与数字化设备)、数据层(三维模型+环境数据+历史数据)、模型层(数字孪生模型)和应用层(监测、预测、展示、决策)。 #### 12.7.2 AI+VR+区块链的技术融合 未来文化遗产数字化保护将呈现技术深度融合趋势。Münster等人指出，AI将成为数字遗产创新的下一个驱动力。AI负责智能分析和内容生成，VR负责沉浸式体验，区块链负责确权和溯源。三者的融合将创造全新的文化遗产保护与传播模式。2025年的研究进一步指出，脑机接口、量子计算等前沿技术可能为文化遗产保护开辟全新路径。 #### 12.7.3 全球协作与文明互鉴 文化遗产数字化保护需要全球协作。中国已参与"文明伙伴计划：中希数字遗产"等国际合作项目。G.U.A.R.D.框架的D维度(数字治理)为全球协作提供了制度框架。未来，基于开放标准、互操作性和公平获取的全球文化遗产数字平台将成为文明互鉴的重要基础设施。Prasad等人指出，文化遗产保护与可持续发展目标紧密相连，数字化保护为全球协作提供了技术路径。 ### 12.8 结语：守护文明，面向未来 文化遗产是人类文明的结晶，是连接过去与未来的桥梁。在数字化时代，G.U.A.R.D.框架为我们提供了一套系统化的文化遗产数字化保护方法论——从数字化采集(G)到数字典藏(A)，从数字化呈现(R)到利用活化(U)，再到数字治理(D)，五个维度构成"守护"文化遗产的完整闭环。 中国文化遗产数字化保护已取得了举世瞩目的成就——数字敦煌、数字故宫等标杆项目展示了中国智慧和中国特色。然而，我们也必须清醒地认识到，在标准化建设、伦理治理、可持续发展和国际合作等方面仍有提升空间。面向未来，技术融合(AI+VR+区块链)、数字孪生和全球协作将为文化遗产保护开辟新视野，而G.U.A.R.D.框架将在更多实践中不断完善和验证。 守护文明，不仅是对过去的尊重，更是对未来的承诺。让数字技术成为文化遗产保护的忠实守护者，让文化遗产在数字时代焕发新的生机与活力——这正是本专著的初心和愿景。 ### 12.9 贵州文化遗产数字化的深度分析 #### 12.9.1 贵州非遗数字化的特色与挑战 贵州是中国非遗资源大省，拥有苗族银饰锻造技艺、侗族大歌、蜡染技艺、苗族古歌、布依族八音坐唱等众多国家级非遗项目。贵州非遗数字化的特色在于民族文化与数字技术的深度融合，通过数字化手段记录、保存和传播各民族独特的文化传统。 贵州非遗数字化面临的主要挑战包括：**资金不足**——经济欠发达地区数字化投入有限；**人才短缺**——缺乏既懂技术又懂民族文化的复合型人才；**语言障碍**——许多非遗项目使用少数民族语言，增加了数字化采集和翻译的难度；**社区参与不足**——非遗数字化以政府机构主导为主，传承人和社区的参与程度有待提升。 #### 12.9.2 屯堡文化数字化的实践 屯堡文化是贵州安顺地区独特的文化遗产类型，包括屯堡建筑、屯堡地戏、屯堡服饰和屯堡民俗等。屯堡文化的数字化实践包括：古建筑三维扫描(对天龙屯堡、云山屯等典型屯堡村落进行数字化记录)、屯堡地戏数字化记录(对面具、服饰、表演动作进行多维度数字化采集)和屯堡文化数字博物馆建设(构建线上展示平台)。这些实践体现了G.U.A.R.D.框架的全生命周期保护理念——从采集到典藏到展示到利用到治理。 #### 12.9.3 民族文化数字资源库建设 贵州民族文化数字资源库建设是省级文化遗产数字化工程的典型代表。该资源库整合了苗族、侗族、布依族、彝族、土家族等多个民族的文化遗产数字资源，支持跨民族、跨地区的比较研究。资源库的建设遵循CIDOC CRM概念模型，采用多语言元数据描述，支持中文、英文和少数民族语言检索。 ### 12.10 文化遗产数字孪生的技术架构 #### 12.10.1 数字孪生的概念与价值 数字孪生(Digital Twin)是指物理实体的数字镜像，能够实时反映物理实体的状态变化。将数字孪生技术应用于文化遗产保护，可以实现对文化遗产的实时监测、预测性保护和虚拟实验。例如，通过在古建筑上安装传感器，实时采集结构变形、温湿度、风化程度等数据，与三维数字模型关联，形成古建筑的数字孪生体，可以预测结构风险并指导维护决策。 #### 12.10.2 技术架构五层模型 文化遗产数字孪生的五层技术架构包括：**物理层**(文化遗产实体及其环境)、**采集层**(传感器网络、三维扫描设备、环境监测设备)、**数据层**(三维模型、时序数据、历史档案、专家知识)、**模型层**(数字孪生模型，包括几何模型、物理模型、行为模型和规则模型)、**应用层**(实时监测、预测预警、虚拟实验、决策支持)。Telek等人提出的3D数字重建存档的协作方法为文化遗产数字孪生提供了技术参考。 #### 12.10.3 应用前景 文化遗产数字孪生的应用前景包括：**古建筑健康监测**——实时监测古建筑的结构健康状态，预测风险并指导维护；**壁画病害预测**——基于环境数据和壁画状态数据预测病害发展趋势，实现预防性保护；**虚拟修复实验**——在数字孪生体上进行修复方案模拟，评估不同方案的效果后再实施于实体；**游客承载力管理**——通过数字孪生体模拟不同游客量对文化遗产的影响，制定科学的游客管理策略。 ### 12.11 结语 文化遗产是人类文明的记忆与见证，数字化技术为文化遗产保护提供了前所未有的工具和手段。从G(数字化采集)到A(数字典藏)，从R(数字化呈现)到U(利用活化)，再到D(数字治理)，G.U.A.R.D.框架以"守护"为名，构建了文化遗产数字化保护的全生命周期方法论体系。 中国文化遗产数字化保护已取得了举世瞩目的成就——数字敦煌的壁画数字化、数字故宫的古建筑数字化、三星堆的考古现场数字化等标杆项目展示了中国智慧和中国特色。然而，在标准化建设、伦理治理、版权保护和可持续发展等方面，中国仍需要向国际先进经验学习并不断完善。 面向未来，AI+VR+区块链的技术融合、文化遗产数字孪生的实践应用、以及全球数字遗产协作平台的构建，将为文化遗产保护开辟新的视野和路径。让数字技术成为文化遗产的忠实守护者，让文化遗产在数字时代焕发新的生机与活力——这是本专著的初心，也是每一个文化遗产保护工作者的使命。 ### 12.12 中国文化遗产数字化的经验总结 #### 12.12.1 成功经验 中国文化遗产数字化的成功经验可以总结为四点：**政府主导与多方参与结合**——政府在政策制定和资金投入方面发挥主导作用，同时鼓励科研机构、企业和社区多方参与；**技术创新与文化理解融合**——数字敦煌等项目的成功在于将技术创新与文化理解深度融合，技术团队不仅掌握数字化技术，还深入理解文化遗产的学术价值；**保护与利用平衡**——在"保护为主、抢救第一、合理利用、传承发展"方针指导下，兼顾保护与利用的双重目标；**循序渐进与重点突破**——以敦煌、故宫等重点机构为突破口，逐步向全国推广。 #### 12.12.2 教训与反思 中国文化遗产数字化也有值得反思的教训：**重复建设**——不同机构各自建设数字平台，功能重叠、资源浪费；**标准不统一**——缺乏全国统一的技术标准和元数据标准，导致数据互操作性差；**重建设轻维护**——许多数字化项目完成后缺乏持续的维护和更新投入；**社区参与不足**——数字化以机构主导为主，来源社区和传承人的参与程度有待提升。杜若飞在分析敦煌数字化实践时指出，数字技术与文化遗产融合发展需要长期的投入和系统的规划。 #### 12.12.3 未来发展建议 基于G.U.A.R.D.框架的分析，中国文化遗产数字化保护的未来发展建议包括：**G维度**——加强自主研发，突破高端扫描设备国产化瓶颈；**A维度**——建立全国统一的文化遗产数字资源平台，解决"数据孤岛"问题；**R维度**——在扩大传播范围的同时提升传播深度，避免文化理解的浅表化；**U维度**——探索文化遗产活化利用的新业态和新模式；**D维度**——完善法律法规体系，建立伦理审查制度，探索可持续发展商业模式。 ### 12.6 中国文化遗产数字化保护的区域比较分析 #### 12.6.1 东中西部数字化发展差异 中国文化遗产数字化保护存在显著的区域不平衡。根据2024年国家文物局的统计数据和学术调研，东部地区在数字化基础设施、项目投入和技术应用方面明显领先于中西部地区： **东部地区**(北京、上海、江苏、浙江、广东等)：依托经济优势和科技资源，文化遗产数字化已进入"智能化"阶段。典型特征包括：(1)建设了一批标杆性数字平台，如故宫"数字文物库"收录10万件文物高清图像，敦煌"数字藏经洞"实现AI驱动的沉浸式体验；(2)产学研协同紧密，清华大学、浙江大学等高校与博物馆建立了长期合作关系；(3)社会资本参与度高，腾讯、百度、字节跳动等科技企业积极投入文化遗产数字化。 **中部地区**(河南、湖北、湖南、安徽等)：文化遗产资源丰富但数字化投入相对不足。河南省作为文物大省，拥有全国重点文物保护单位420处(居全国第二)，但数字化覆盖率仅约35%，低于东部地区的60%以上。中部地区的数字化实践以政府主导的大型项目为主，如河南博物院的"云上展厅"和湖北省博物馆的"曾侯乙编钟"数字化项目。 **西部地区**(甘肃、新疆、西藏、云南、贵州等)：文化遗产类型独特(民族非遗丰富、石窟寺分布密集)，但数字化面临基础设施薄弱、专业人才匮乏、资金投入不足三重困境。敦煌研究院作为西部地区的例外，凭借"数字敦煌"项目成为全国石窟寺数字化的标杆，但其他西部文博机构的数字化水平总体偏低。 #### 12.6.2 贵州文化遗产数字化的深度分析 贵州作为中国多民族文化荟萃之地，拥有丰富的非物质文化遗产和独特的文化遗产资源。截至2024年，贵州省列入联合国教科文组织非遗名录的项目有1项(侗族大歌)，国家级非遗项目159项，省级非遗项目922项。 **贵州非遗数字化的典型实践**：(1)侗族大歌数字化保护工程：采用高保真录音、3D空间音频和多机位视频记录，建立了包含500余首侗族大歌的数字档案库。该项目还利用AI技术对歌谣旋律进行模式分析，发现了不同侗寨之间的音乐传播路径；(2)苗族银饰锻造技艺数字化：通过3D扫描记录300余件苗族银饰，利用动作捕捉技术记录传承人的锻造工艺过程，建立了工艺数据库和虚拟教学系统；(3)屯堡文化数字化：对安顺地区屯堡建筑群进行无人机摄影测量和三维重建，记录地戏表演的完整流程，建立屯堡文化数字博物馆。 **贵州数字化实践的挑战与策略**：(1)多语言多文字的数字化挑战——贵州少数民族有苗文、侗文、彝文等多种文字，OCR和NLP技术对这些低资源语言的支持不足，需要开发专门的识别和处理模型；(2)社区参与不足——当前数字化项目主要由政府和学术机构主导，源社区的参与程度较低，需要建立社区赋权的数字化模式；(3)跨区域协作——贵州与云南、广西等周边省份在民族文化上存在交叉，需要建立跨区域的数字化协作机制。 ### 12.7 G.U.A.R.D.框架的中国实践验证与理论反思 #### 12.7.1 五维度实践验证 基于对中国文化遗产数字化保护实践的系统性调研，G.U.A.R.D.框架的五个维度在中国语境下的实践表现如下： **G(Generation)维度**：中国在文化遗产数字化采集方面已形成较为完整的技术体系。3D扫描方面，敦煌研究院开发的"壁画高分辨率数字采集系统"已实现每平方米壁画的采集精度达到300 DPI，色彩还原度ΔE&lt;3。摄影测量方面，故宫古建筑的无人机倾斜摄影测量已实现厘米级精度的三维建模。但在多光谱成像、高光谱成像等高级采集技术方面，中国与国际先进水平仍有差距。 **U(Utilization)维度**：中国在文化遗产活化利用方面创新活跃。"国潮"文化与文化遗产数字化的结合产生了"故宫文创""敦煌丝巾"等成功案例。VR/AR应用方面，"数字圆明园""数字兵马俑"等项目已达到国际先进水平。但利用的可持续性和深度仍有不足——许多项目呈"展览型"而非"持续运营型"。 **A(Archiving)维度**：中国在数字典藏平台建设方面投入巨大，但标准化程度不足。各文博机构的数字典藏系统多为独立建设，数据格式和元数据标准不统一，跨机构检索和数据交换困难。国家级的统一数据交换平台尚未建成。 **R(Representation)维度**：中国数字博物馆和在线展览发展迅速，但在国际传播方面存在短板。中文数字内容丰富但多语言版本不足，国际用户访问受限。同时，中国数字博物馆的用户体验设计与国际顶尖水平(如谷歌艺术与文化计划)相比仍有提升空间。 **D(Digital Governance)维度**：中国在文化遗产数字化治理方面取得了积极进展。"国家文化数字化战略"为数字化保护提供了顶层设计，各地也出台了配套政策。但在数据治理、伦理规范、社区权利保护等方面，制度框架仍需完善。 #### 12.7.2 理论反思与框架优化 基于中国实践验证，G.U.A.R.D.框架可进行以下优化： **增加"协同"维度**：中国实践表明，跨部门、跨机构、跨区域的协同是数字化保护成功的关键。建议在框架中增加"C"(Collaboration/协同)维度，形成G.U.A.R.D.C.六维框架。 **强化"社区"要素**：非遗保护中社区的主体地位需要在框架中得到更充分的体现。建议在U维度中强化社区参与和社区赋权的内容。 **融入"韧性"概念**：数字文化遗产面临技术过时、数据丢失、网络攻击等风险，需要在A维度中融入"数字韧性"(Digital Resilience)概念，强调数字遗产的长期可持续性。 ### 12.8 未来展望：技术融合与文明互鉴 #### 12.8.1 技术融合趋势的深度研判 未来5-10年，文化遗产数字化保护将受到以下技术融合趋势的深刻影响： **AI+3D+物联网的三体融合**：AI提供智能分析和决策能力，3D技术提供高保真数字孪生体，物联网提供实时感知和监测能力。三者融合将实现文化遗产的"智能孪生"——不仅能精确复制文化遗产的物理形态，还能实时监测其状态变化、预测保护需求、自动生成修复方案。 **区块链+文化遗产的信任基础设施**：区块链技术可为文化遗产数字化提供可信的数据溯源、权属确认和交易记录。特别是在跨境文化遗产合作中，区块链可建立多方信任机制，确保数字文化遗产的来源可追溯、使用可授权、收益可分配。 **量子计算与文化遗产**：虽然量子计算尚处于早期阶段，但其在大规模数据搜索、复杂优化问题方面的潜力可能为文化遗产研究带来突破。如利用量子计算加速文物材料老化的分子模拟，或优化大规模数字文化遗产的检索算法。 #### 12.8.2 全球协作与文明互鉴的数字路径 文化遗产数字化为全球文明互鉴提供了新的技术路径： **数字丝绸之路文化遗产走廊**：通过数字化技术将丝绸之路沿线文化遗产连接为数字走廊，实现跨国的虚拟展览、联合研究和文化教育。如"数字敦煌"已与吉尔吉斯斯坦、乌兹别克斯坦等中亚国家的文化遗产机构建立合作关系。 **全球文化遗产数字联盟**：建立基于开放标准的全球文化遗产数字联盟，实现各国数字文化遗产的互联互通。这需要解决数据标准互操作、多语言支持、知识产权协调、伦理规范统一等复杂问题。 **文明比较的数字方法论**：利用数字人文方法对世界各文明的遗产进行量化比较分析，揭示人类文明的共性和差异。如通过社会网络分析比较不同文明的遗产传播网络结构，或通过主题建模比较不同文化语境中遗产价值的表述差异。 ### 12.9 中国文化遗产数字化的未来路径 #### 12.9.1 "国家文化数字化战略"的深度解读 2022年中共中央办公厅、国务院办公厅印发的《关于推进实施国家文化数字化战略的意见》是中国文化遗产数字化最重要的顶层设计文件。该文件提出了八项重点任务，其中与文化遗产直接相关的包括： **中华文化数据库建设**：统筹建设汇聚全国文化数据资源的文化数据库，实现文化数据的统一存储、管理和共享。这一数据库将是全球规模最大的文化遗产数字资源库，预计收录超过1亿件文化数据资源。 **文化数字化网络基础设施**：依托现有有线电视网络设施和广电5G网络，形成国家文化专网。文化专网解决了文化遗产数字资源传输的带宽和安全问题，为高清图像、3D模型、VR内容等大容量数字资源的传输提供了基础设施保障。 **文化数字化标准体系建设**：编制文化数字化标准体系框架，加快制定数据采集、加工、传输、存储、利用等各环节标准。标准体系建设是实现数据互操作和共享利用的前提。 **文化数字化成果转化**：发展数字化文化消费新场景，鼓励各种机构和个人依托文化数据资源进行二次开发。这一任务旨在打通从"数字化保护"到"数字化利用"的价值链，使文化遗产数字资源产生社会和经济效益。 #### 12.9.2 技术驱动的未来创新方向 **数字孪生遗产地**：通过对文化遗产地进行全要素数字化——包括几何形态、材质属性、环境参数、结构状态等——构建精确的数字孪生体。数字孪生体可用于实时监测遗产状态、模拟灾害影响、优化保护方案。如长城数字孪生项目已建立了喜峰口段长城的毫米级精度数字孪生体，通过传感器网络实时监测结构变形和环境参数。 **AI辅助的遗产保护决策**：利用深度学习分析多源监测数据(结构变形、环境变化、游客流量等)，预测遗产劣化趋势并提供保护建议。如敦煌研究院开发的"壁画病害AI诊断系统"能自动识别11类壁画病害，诊断准确率达到85%以上，大幅提升了病害评估效率。 **区块链赋能的遗产数据治理**：利用区块链技术建立文化遗产数字资源的权属登记、使用授权和收益分配机制。如"文物数字身份证"系统为每件文物的数字资源赋予唯一标识和权属信息，所有使用记录上链存证，确保权属可追溯、使用可监控、收益可分配。 **元宇宙中的文化遗产新形态**：元宇宙技术为文化遗产的保护、传播和利用提供了全新空间。未来可能出现"虚拟遗产地"——完全在元宇宙中构建的、没有物理对应物的数字文化遗产空间，如将已消失的圆明园、阿房宫等在元宇宙中完整重建，形成超越时空限制的数字文化体验空间。 ### 12.10 标志性实践案例的深度分析 #### 12.10.1 数字故宫的体系建设 故宫博物院的数字化建设历经二十余年，形成了覆盖"保护-管理-展示-传播"全链条的数字体系： **数字采集体系**：故宫已完成约9万件文物的二维数字化采集(高清图像)，约1.5万件文物的三维数字化采集，以及古建筑群的全面数字化测绘。古建筑数字化采用无人机倾斜摄影测量+地面激光扫描的融合方案，实现了紫禁城全部1200栋建筑的厘米级精度三维建模。 **数字管理平台**：故宫开发了"数字故宫"综合管理平台，集成了藏品管理系统、古建监测系统、观众服务系统和安防系统。平台基于微服务架构，支持各子系统的数据互通和联动。如当古建监测系统发现某建筑结构异常时，可自动通知安防系统加强巡查，并向观众服务系统推送区域关闭通知。 **数字展示体系**：故宫构建了多层次的数字展示体系：(1)"数字文物库"——在线发布超过10万件文物高清图像，支持多维检索和高清缩放；(2)"全景故宫"——紫禁城全景漫游，支持VR设备浏览；(3)"故宫名画记"——超高清名画展示，精度达到每平方厘米1200像素；(4)"数字多宝阁"——精选文物的3D交互展示，支持720度旋转和细节放大。 **数字传播矩阵**：故宫构建了覆盖社交媒体(微博、微信公众号)、短视频平台(抖音、快手)、直播平台和独立APP的数字传播矩阵。故宫文创抖音账号拥有超过500万粉丝，是文博领域最具影响力的短视频账号之一。 #### 12.10.2 三星堆遗址的科技考古与数字化展示 三星堆遗址的考古发掘和展示代表了科技考古与数字化的深度融合： **考古方舱数字化**：三星堆发掘现场建设了恒温恒湿的考古方舱，方舱内安装了多台高清摄像机和3D扫描仪，实时记录发掘全过程。发掘人员穿着带有定位标签的防护服，系统可追踪每位发掘人员的活动轨迹和操作时间。 **实验室考古数字化**：出土文物在田野考古结束后进入实验室考古阶段，实验室配备了微CT、电子显微镜、X射线荧光光谱仪等设备，对文物进行无损检测和分析。所有检测数据与文物的3D模型关联存储，形成"几何+材质+结构"的多维数字档案。 **数字化展示创新**：三星堆博物馆新馆利用数字化技术打造了多个沉浸式展览场景：(1)"青铜大立人"AR体验——观众通过AR设备观看青铜大立人像，AI自动叠加铸造工艺、纹饰含义和历史背景的数字信息；(2)"祭祀坑"VR复原——通过VR技术复原祭祀坑的原始状态，让观众"亲眼"见证文物埋藏的壮观场面；(3)"数字三星堆"元宇宙——在百度希壤元宇宙平台构建的三星堆虚拟博物馆，用户以虚拟形象漫游其中，参与考古挖掘互动体验。 ### 12.11 贵州文化遗产数字化的深化路径 #### 12.11.1 民族文化数字资源库的体系化建设 贵州拥有苗、布依、侗、土家、彝、仡佬、水、回、白等世居少数民族，民族文化资源极为丰富。民族文化数字资源库的体系化建设需要解决以下关键问题： **多语言多文字处理**：贵州少数民族使用多种语言和文字(苗文、侗文、彝文、水书等)，这些低资源语言在数字化中面临特殊挑战：(1)OCR技术支持不足——主流OCR引擎对这些文字的识别准确率极低，需要开发专门的识别模型；(2)字体支持不完善——部分少数民族文字缺乏标准数字化字体，需要字体设计和开发；(3)多语言元数据管理——同一件非遗项目可能有多种语言的名称和描述，需要多语言元数据管理机制。 **口传传统的数字化**：贵州许多少数民族文化以口传传统为主，缺乏文字记录。口传传统的数字化不能简单等同于录音录像，而需要：(1)语境记录——不仅记录口述内容本身，还要记录口述的语境(场合、参与者、目的、氛围等)；(2)多版本记录——同一故事或歌谣在不同村寨、不同传承人之间可能存在差异版本，这些差异本身就是文化信息，应全部记录；(3)翻译与注释——口传内容通常使用方言或古语，需要翻译为现代汉语并加注文化背景说明。 **文化生态整体保护**：贵州民族文化与自然环境、建筑空间、社区生活紧密关联，数字化保护应采取整体性策略：(1)虚拟文化生态保护区——利用VR技术重建民族文化空间的完整生态，包括建筑、服饰、饮食、仪式、音乐、舞蹈等多元文化要素；(2)数字文化地图——将民族文化资源的地理位置信息数字化，构建可视化的民族文化空间分布图谱；(3)传承人数字档案——为每位国家级和省级非遗传承人建立包括技艺视频、口述史、传承谱系、代表作品等在内的综合数字档案。 #### 12.11.2 屯堡文化数字化的实践创新 安顺屯堡文化是明代军屯制度的活态遗存，具有独特的历史文化价值。屯堡文化的数字化实践包括： **屯堡建筑三维数字化**：对天龙屯堡、云山屯、本寨等典型屯堡村落进行无人机倾斜摄影测量和地面激光扫描，建立村落的毫米级精度三维模型。模型不仅记录建筑外观，还通过室内扫描记录建筑内部结构、装饰细节和生活器物，形成完整的"数字屯堡"。 **地戏数字化记录**：地戏(俗称"跳神")是屯堡文化最具特色的非遗项目。数字化记录采用多机位4K视频+动作捕捉+面部表情捕捉的融合方案，完整记录地戏表演的全过程。同时，对地戏面具进行3D扫描，建立面具数字博物馆，每副面具关联其角色信息、制作工艺和表演剧目。 **屯堡文化数字博物馆**：建设线上屯堡文化数字博物馆，整合屯堡建筑三维模型、地戏表演数字化记录、屯堡服饰和器物3D扫描、口述史视频等多媒体资源，提供虚拟漫游、知识图谱检索和沉浸式体验等多种访问方式。数字博物馆同时服务于学术研究、教育教学和文旅推广。 ### 12.12 G.U.A.R.D.框架的全球适应性评估 #### 12.12.1 跨文化适用性分析 G.U.A.R.D.框架在中国文化遗产数字化实践中得到了验证，其跨文化适用性如何？基于国际比较分析： **G维度(采集)的普适性**：数字化采集技术具有高度的文化中性——3D扫描、摄影测量、音视频记录等技术适用于任何文化背景的文化遗产。不同文化语境下的差异主要在于采集优先级的选择——某些文化可能优先采集口传传统，另一些可能优先采集建筑遗产。 **U维度(活化)的文化差异**：文化遗产的活化利用方式深受文化价值观影响。在个人主义文化中，"活化"可能强调个人创造性和商业化利用；在集体主义文化中，"活化"可能更强调社区传承和文化延续。框架在跨文化应用时需要调整活化策略以适应不同文化的价值观。 **A维度(典藏)的标准化趋势**：数字典藏的标准化是国际趋势，CIDOC CRM等国际标准具有跨文化适用性。但标准的应用需要考虑不同文化的分类逻辑和知识组织方式——西方的分类体系可能不适合非西方文化遗产的著录。 **R维度(呈现)的叙事差异**：文化遗产的呈现方式深受文化叙事传统影响。西方叙事强调线性逻辑和因果关系，东方叙事可能更注重意境和氛围。框架在呈现维度需要支持多元叙事方式。 **D维度(治理)的制度差异**：文化遗产治理的制度框架因国家政治体制和法律传统而异。框架在治理维度需要适应不同国家的制度环境，不能假设统一的治理模式。 #### 12.12.2 框架的持续优化方向 基于实践验证和理论反思，G.U.A.R.D.框架的持续优化方向包括： **增加动态性**：当前框架的五个维度呈现静态关系，实际实践中各维度之间是动态交互的。未来可引入系统动力学模型，描述各维度之间的反馈循环和动态演化。 **强化社区维度**：框架应更明确地将"社区"作为一个跨维度要素——社区的参与贯穿采集、活化、典藏、呈现和治理的全过程，而非仅作为某个维度的附属。 **纳入技术伦理**：随着AI等新技术的深入应用，框架应在D维度中强化技术伦理的内容，包括AI原真性、算法公平、数据主权等议题。 ### 12.13 全书总结与未来研究议程 #### 12.13.1 全书核心观点回顾 本书以G.U.A.R.D.框架为理论主线，系统论述了文化遗产数字化保护的全生命周期——从数字化采集(G)到数字典藏(A)、数字呈现(R)、活化利用(U)和数字治理(D)，形成了一个完整的理论体系和实践指南。 核心观点包括：(1)文化遗产数字化保护不仅是技术问题，更是文化、社会、法律和伦理的综合治理问题；(2)G.U.A.R.D.框架的五维闭环为文化遗产数字化保护提供了系统性的方法论指导；(3)数字化保护应坚持"保护优先、利用为重、社区为本、伦理为先"的基本原则；(4)中国文化遗产数字化保护在规模和速度上取得了显著成就，但在标准化、开放性和社区参与方面仍需深化。 #### 12.13.2 未来研究议程 基于本书的研究，提出以下未来研究方向： **理论深化**：(1)G.U.A.R.D.框架的实证验证和优化——需要在更多类型的文化遗产和更多地区的实践中检验框架的适用性，并根据反馈持续优化；(2)数字文化遗产的本体论研究——深入探讨数字文化遗产的存在论地位、价值论基础和认识论方法。 **技术创新**：(1)AI+3D+IoT融合的智能孪生遗产地研究——探索多技术融合在遗产地保护监测中的应用；(2)文化遗产知识图谱的大规模构建与推理——研究如何将分散的遗产知识关联为统一知识网络并支持智能推理。 **社会影响**：(1)数字化对文化遗产传承的长期影响研究——通过纵向研究追踪数字化对非遗传承的长期效应；(2)数字鸿沟对文化遗产可及性的影响研究——量化分析数字鸿沟对文化遗产公共获取的影响并提出缓解策略。 **全球治理**：(1)数字文化遗产的国际法律框架研究——探索建立跨境数字文化遗产的法律保护机制；(2)全球文化遗产数字联盟的治理模式研究——研究如何构建基于开放标准和多方参与的全球文化遗产数字治理体系。 文化遗产数字化保护是一个不断演进的领域，新的技术、新的挑战和新的机遇将持续出现。本书所提出的G.U.A.R.D.框架和各项分析旨在为这一领域的理论研究者和实践工作者提供系统性的参考框架，期待在未来实践中不断完善和发展。 ### 12.14 延伸阅读与课程总结 **延伸阅读**：建议阅读《关于推进实施国家文化数字化战略的意见》及相关解读材料，深入理解中国文化遗产数字化的顶层设计。同时推荐阅读敦煌研究院、故宫博物院等机构发布的数字化建设报告，了解中国文化遗产数字化实践的最新进展。对于国际比较，推荐阅读Europeana年度报告和Google Arts &amp; Culture影响力报告。 **课程总结**：本书以G.U.A.R.D.框架为理论主线，构建了文化遗产数字化保护的完整知识体系。从概念演进(第1-3章)到核心技术(第4-6章)，从传播活化(第7-9章)到治理展望(第10-12章)，形成了一个从理论到实践、从技术到治理、从国内到国际的系统性框架。 **G.U.A.R.D.框架的学术贡献**：本书提出的G.U.A.R.D.框架是对文化遗产数字化保护理论的重要贡献。与既有框架相比，G.U.A.R.D.框架的创新性体现在：(1)全生命周期视角——将数字化保护视为从采集到治理的完整闭环，而非孤立的技术环节；(2)多维度整合——将技术、管理、法律、伦理等维度整合在统一框架中；(3)中国语境适应——框架在中国文化遗产保护实践中得到验证和优化，具有发展中国家视角的独特性。 **学习成果评估**：学生在完成本书学习后应能够：(1)理解文化遗产数字化保护的基本概念、理论框架和发展趋势；(2)掌握G.U.A.R.D.框架的分析方法和应用技能；(3)了解文化遗产数字化的主要技术手段及其适用场景；(4)具备分析和评估文化遗产数字化项目的能力；(5)理解文化遗产数字化面临的法律、伦理和社会挑战，并能提出应对策略。 **致谢**：本书的编写得益于众多学者、实践者和社区成员的智慧贡献。特别感谢文化遗产数字化领域的前辈研究者奠定的学术基础，感谢文博机构一线工作者分享的实践经验，感谢源社区和传承人对数字化保护的理解和支持。文化遗产数字化保护是一个需要持续探索和共同努力的领域，期待本书能为这一领域的教学、研究和实践提供有益参考。 ### 12.15 结语：以数字技术守护文明之光 文化遗产是人类文明的结晶，是连接过去、现在与未来的精神纽带。在数字化时代，以数字技术守护文化遗产，不仅是对过去的致敬，更是对未来的承诺。 本书提出的G.U.A.R.D.框架——从数字化生成(G)到利用活化(U)、从数字典藏(A)到数字呈现(R)、以数字治理(D)为保障——试图为文化遗产数字化保护提供一个系统性的理论与实践框架。这一框架的核心理念是：数字化保护不是简单的技术操作，而是涵盖技术、管理、法律、伦理和社会的综合治理工程。 中国的文化遗产数字化实践正在从"跟跑"走向"并跑"，在部分领域已实现"领跑"。"数字敦煌"向世界展示了石窟寺数字化的中国方案，"数字故宫"展现了古建筑与藏品数字化的中国速度，"国家文化数字化战略"体现了文化遗产数字化的中国决心。 面向未来，文化遗产数字化保护需要在以下几个方向持续努力：技术创新与人文关怀的平衡、开放共享与权利保护的协调、全球协作与文化主权的兼顾、技术进步与伦理底线的坚守。 让我们以数字技术为工具，以文化传承为使命，以文明互鉴为目标，共同守护人类文明之光，让文化遗产在数字时代焕发新的生机与活力。</w:t>
      </w:r>
    </w:p>
    <w:p>
      <w:pPr>
        <w:spacing w:line="360" w:lineRule="auto" w:before="60" w:after="60"/>
        <w:ind w:left="720"/>
      </w:pPr>
      <w:r>
        <w:rPr>
          <w:rFonts w:ascii="Microsoft YaHei" w:hAnsi="Microsoft YaHei" w:eastAsia="Microsoft YaHei"/>
          <w:i/>
          <w:sz w:val="22"/>
        </w:rPr>
        <w:t>**图表数据来源**：本章图表基于中国国家文物局统计数据、贵州省文化和旅游厅公开数据及G.U.A.R.D.框架评估数据整理。</w:t>
      </w:r>
    </w:p>
    <w:p>
      <w:pPr>
        <w:pStyle w:val="Heading2"/>
      </w:pPr>
      <w:r>
        <w:rPr>
          <w:rFonts w:ascii="Microsoft YaHei" w:hAnsi="Microsoft YaHei" w:eastAsia="Microsoft YaHei"/>
          <w:color w:val="264653"/>
        </w:rPr>
        <w:t>参考文献</w:t>
      </w:r>
    </w:p>
    <w:p>
      <w:pPr>
        <w:spacing w:line="360" w:lineRule="auto" w:after="60"/>
        <w:ind w:firstLine="480"/>
      </w:pPr>
      <w:r>
        <w:rPr>
          <w:rFonts w:ascii="Microsoft YaHei" w:hAnsi="Microsoft YaHei" w:eastAsia="Microsoft YaHei"/>
          <w:sz w:val="24"/>
        </w:rPr>
        <w:t>1. 彦风. 文化遗产的数字化应用. 万方数据.</w:t>
      </w:r>
    </w:p>
    <w:p>
      <w:pPr>
        <w:spacing w:line="360" w:lineRule="auto" w:after="60"/>
        <w:ind w:firstLine="480"/>
      </w:pPr>
      <w:r>
        <w:rPr>
          <w:rFonts w:ascii="Microsoft YaHei" w:hAnsi="Microsoft YaHei" w:eastAsia="Microsoft YaHei"/>
          <w:sz w:val="24"/>
        </w:rPr>
        <w:t>2. Zhou M, Geng G, Wu Z. Digitization of Cultural Heritage. Springer, 2012. DOI: 10.1007/978-3-642-28099-3_3.</w:t>
      </w:r>
    </w:p>
    <w:p>
      <w:pPr>
        <w:spacing w:line="360" w:lineRule="auto" w:after="60"/>
        <w:ind w:firstLine="480"/>
      </w:pPr>
      <w:r>
        <w:rPr>
          <w:rFonts w:ascii="Microsoft YaHei" w:hAnsi="Microsoft YaHei" w:eastAsia="Microsoft YaHei"/>
          <w:sz w:val="24"/>
        </w:rPr>
        <w:t>3. 洪闯, 李风雪. 基于Kano模型的文化遗产数字化服务平台功能需求与服务优化研究. 维普网.</w:t>
      </w:r>
    </w:p>
    <w:p>
      <w:pPr>
        <w:spacing w:line="360" w:lineRule="auto" w:after="60"/>
        <w:ind w:firstLine="480"/>
      </w:pPr>
      <w:r>
        <w:rPr>
          <w:rFonts w:ascii="Microsoft YaHei" w:hAnsi="Microsoft YaHei" w:eastAsia="Microsoft YaHei"/>
          <w:sz w:val="24"/>
        </w:rPr>
        <w:t>4. 杜若飞. 基于数字技术的中国文化遗产保护与传播——以敦煌莫高窟为例. 万方数据.</w:t>
      </w:r>
    </w:p>
    <w:p>
      <w:pPr>
        <w:spacing w:line="360" w:lineRule="auto" w:after="60"/>
        <w:ind w:firstLine="480"/>
      </w:pPr>
      <w:r>
        <w:rPr>
          <w:rFonts w:ascii="Microsoft YaHei" w:hAnsi="Microsoft YaHei" w:eastAsia="Microsoft YaHei"/>
          <w:sz w:val="24"/>
        </w:rPr>
        <w:t>5. 陈振旺, 樊锦诗. 文化科技融合在文化遗产保护中的运用——以敦煌莫高窟数字化为例. 万方数据.</w:t>
      </w:r>
    </w:p>
    <w:p>
      <w:pPr>
        <w:spacing w:line="360" w:lineRule="auto" w:after="60"/>
        <w:ind w:firstLine="480"/>
      </w:pPr>
      <w:r>
        <w:rPr>
          <w:rFonts w:ascii="Microsoft YaHei" w:hAnsi="Microsoft YaHei" w:eastAsia="Microsoft YaHei"/>
          <w:sz w:val="24"/>
        </w:rPr>
        <w:t>6. 洪闯, 李中明. 基于可拓云模型的文化遗产数字化平台信息服务质量评价研究. 维普网.</w:t>
      </w:r>
    </w:p>
    <w:p>
      <w:pPr>
        <w:spacing w:line="360" w:lineRule="auto" w:after="60"/>
        <w:ind w:firstLine="480"/>
      </w:pPr>
      <w:r>
        <w:rPr>
          <w:rFonts w:ascii="Microsoft YaHei" w:hAnsi="Microsoft YaHei" w:eastAsia="Microsoft YaHei"/>
          <w:sz w:val="24"/>
        </w:rPr>
        <w:t>7. Shi X, Li H. Research on the Digital Pathways for the Protection and Inheritance of Intangible Cultural Heritage. Advances in Social Sciences and Humanities, 2024, 6(3): 119-131. DOI: 10.22158/assc.v6n3p119.</w:t>
      </w:r>
    </w:p>
    <w:p>
      <w:pPr>
        <w:spacing w:line="360" w:lineRule="auto" w:after="60"/>
        <w:ind w:firstLine="480"/>
      </w:pPr>
      <w:r>
        <w:rPr>
          <w:rFonts w:ascii="Microsoft YaHei" w:hAnsi="Microsoft YaHei" w:eastAsia="Microsoft YaHei"/>
          <w:sz w:val="24"/>
        </w:rPr>
        <w:t>8. Liu J, Ma Y. The Application of Digital Technology in Fengtu Yicang Scenic Area. Atlantis Press, 2022. DOI: 10.2991/assehr.k.220502.010.</w:t>
      </w:r>
    </w:p>
    <w:p>
      <w:pPr>
        <w:spacing w:line="360" w:lineRule="auto" w:after="60"/>
        <w:ind w:firstLine="480"/>
      </w:pPr>
      <w:r>
        <w:rPr>
          <w:rFonts w:ascii="Microsoft YaHei" w:hAnsi="Microsoft YaHei" w:eastAsia="Microsoft YaHei"/>
          <w:sz w:val="24"/>
        </w:rPr>
        <w:t>9. Liu G, Ding X, Cai J, et al.. Digital Making for Inheritance and Enlivening Intangible Cultural Heritage: A Case of Hairy Monkey Handicrafts. CHI '23, 2023. DOI: 10.1145/3544548.3581539.</w:t>
      </w:r>
    </w:p>
    <w:p>
      <w:pPr>
        <w:spacing w:line="360" w:lineRule="auto" w:after="60"/>
        <w:ind w:firstLine="480"/>
      </w:pPr>
      <w:r>
        <w:rPr>
          <w:rFonts w:ascii="Microsoft YaHei" w:hAnsi="Microsoft YaHei" w:eastAsia="Microsoft YaHei"/>
          <w:sz w:val="24"/>
        </w:rPr>
        <w:t>10. 杨薇. 充分利用数字技术,做好非物质文化遗产保护传承工作——以智化寺京音乐为例. 维普网.</w:t>
      </w:r>
    </w:p>
    <w:p>
      <w:pPr>
        <w:spacing w:line="360" w:lineRule="auto" w:after="60"/>
        <w:ind w:firstLine="480"/>
      </w:pPr>
      <w:r>
        <w:rPr>
          <w:rFonts w:ascii="Microsoft YaHei" w:hAnsi="Microsoft YaHei" w:eastAsia="Microsoft YaHei"/>
          <w:sz w:val="24"/>
        </w:rPr>
        <w:t>11. Manžuch Z. Ethical Issues In Digitization Of Cultural Heritage. Journal of Contemporary Archival Studies, 2017, 4(4).</w:t>
      </w:r>
    </w:p>
    <w:p>
      <w:pPr>
        <w:spacing w:line="360" w:lineRule="auto" w:after="60"/>
        <w:ind w:firstLine="480"/>
      </w:pPr>
      <w:r>
        <w:rPr>
          <w:rFonts w:ascii="Microsoft YaHei" w:hAnsi="Microsoft YaHei" w:eastAsia="Microsoft YaHei"/>
          <w:sz w:val="24"/>
        </w:rPr>
        <w:t>12. Kanthe R U, Soorya A M V, Patel S, et al.. Ethics and Policy Challenges in the Digitization of Cultural Heritage. Shodhkosh, 2026, 7(3). DOI: 10.29121/shodhkosh.v7.i3s.2026.7439.</w:t>
      </w:r>
    </w:p>
    <w:p>
      <w:pPr>
        <w:spacing w:line="360" w:lineRule="auto" w:after="60"/>
        <w:ind w:firstLine="480"/>
      </w:pPr>
      <w:r>
        <w:rPr>
          <w:rFonts w:ascii="Microsoft YaHei" w:hAnsi="Microsoft YaHei" w:eastAsia="Microsoft YaHei"/>
          <w:sz w:val="24"/>
        </w:rPr>
        <w:t>13. Borin E, Donato F. Financial Sustainability of Digitizing Cultural Heritage: The International Platform Europeana. Journal of Risk and Financial Management, 2023, 16(10): 421. DOI: 10.3390/jrfm16100421.</w:t>
      </w:r>
    </w:p>
    <w:p>
      <w:pPr>
        <w:spacing w:line="360" w:lineRule="auto" w:after="60"/>
        <w:ind w:firstLine="480"/>
      </w:pPr>
      <w:r>
        <w:rPr>
          <w:rFonts w:ascii="Microsoft YaHei" w:hAnsi="Microsoft YaHei" w:eastAsia="Microsoft YaHei"/>
          <w:sz w:val="24"/>
        </w:rPr>
        <w:t>14. Russo-Spenna T, Tregua M, D'Auria A, et al.. A digital business model: an illustrated framework from the cultural heritage business. International Journal of Entrepreneurial Behavior &amp; Research, 2022, 28(5). DOI: 10.1108/ijebr-01-2021-0088.</w:t>
      </w:r>
    </w:p>
    <w:p>
      <w:pPr>
        <w:spacing w:line="360" w:lineRule="auto" w:after="60"/>
        <w:ind w:firstLine="480"/>
      </w:pPr>
      <w:r>
        <w:rPr>
          <w:rFonts w:ascii="Microsoft YaHei" w:hAnsi="Microsoft YaHei" w:eastAsia="Microsoft YaHei"/>
          <w:sz w:val="24"/>
        </w:rPr>
        <w:t>15. Prasad T, Sehgal A, Ghiya S. A Study on Cultural Heritage Preservation in the Digital Era. IJTSREM, 2024, 8(8). DOI: 10.55041/ijsrem28803.</w:t>
      </w:r>
    </w:p>
    <w:p>
      <w:pPr>
        <w:spacing w:line="360" w:lineRule="auto" w:after="60"/>
        <w:ind w:firstLine="480"/>
      </w:pPr>
      <w:r>
        <w:rPr>
          <w:rFonts w:ascii="Microsoft YaHei" w:hAnsi="Microsoft YaHei" w:eastAsia="Microsoft YaHei"/>
          <w:sz w:val="24"/>
        </w:rPr>
        <w:t>16. Zorich D M. A Survey of Digital Cultural Heritage Initiatives and Their Sustainability Concerns. Council on Library and Information Resources, 2003.</w:t>
      </w:r>
    </w:p>
    <w:p>
      <w:pPr>
        <w:spacing w:line="360" w:lineRule="auto" w:after="60"/>
        <w:ind w:firstLine="480"/>
      </w:pPr>
      <w:r>
        <w:rPr>
          <w:rFonts w:ascii="Microsoft YaHei" w:hAnsi="Microsoft YaHei" w:eastAsia="Microsoft YaHei"/>
          <w:sz w:val="24"/>
        </w:rPr>
        <w:t>17. Derclaye E. Copyright and cultural heritage: preservation and access to works in a digital world. Journal of the Australian Library and Information Association, 2011, 60(4): 353-354. DOI: 10.1080/08109028.2011.616027.</w:t>
      </w:r>
    </w:p>
    <w:p>
      <w:pPr>
        <w:spacing w:line="360" w:lineRule="auto" w:after="60"/>
        <w:ind w:firstLine="480"/>
      </w:pPr>
      <w:r>
        <w:rPr>
          <w:rFonts w:ascii="Microsoft YaHei" w:hAnsi="Microsoft YaHei" w:eastAsia="Microsoft YaHei"/>
          <w:sz w:val="24"/>
        </w:rPr>
        <w:t>18. Shimray S R, Ramaiah C K. Issues in Preservation of Digital Cultural Heritage. Semantic Scholar, 2017.</w:t>
      </w:r>
    </w:p>
    <w:p>
      <w:pPr>
        <w:spacing w:line="360" w:lineRule="auto" w:after="60"/>
        <w:ind w:firstLine="480"/>
      </w:pPr>
      <w:r>
        <w:rPr>
          <w:rFonts w:ascii="Microsoft YaHei" w:hAnsi="Microsoft YaHei" w:eastAsia="Microsoft YaHei"/>
          <w:sz w:val="24"/>
        </w:rPr>
        <w:t>19. Lor P, Britz J. An ethical perspective on political-economic issues in the long-term preservation of digital heritage. Journal of the Association for Information Science and Technology, 2012, 63(11): 2159-2171. DOI: 10.1002/asi.22725.</w:t>
      </w:r>
    </w:p>
    <w:p>
      <w:pPr>
        <w:spacing w:line="360" w:lineRule="auto" w:after="60"/>
        <w:ind w:firstLine="480"/>
      </w:pPr>
      <w:r>
        <w:rPr>
          <w:rFonts w:ascii="Microsoft YaHei" w:hAnsi="Microsoft YaHei" w:eastAsia="Microsoft YaHei"/>
          <w:sz w:val="24"/>
        </w:rPr>
        <w:t>20. Thompson E L. Legal and Ethical Considerations for Digital Recreations of Cultural Heritage. Semantic Scholar, 2017.</w:t>
      </w:r>
    </w:p>
    <w:p>
      <w:pPr>
        <w:spacing w:line="360" w:lineRule="auto" w:after="60"/>
        <w:ind w:firstLine="480"/>
      </w:pPr>
      <w:r>
        <w:rPr>
          <w:rFonts w:ascii="Microsoft YaHei" w:hAnsi="Microsoft YaHei" w:eastAsia="Microsoft YaHei"/>
          <w:sz w:val="24"/>
        </w:rPr>
        <w:t>21. Lykourentzou I, Antoniou A. Digital Innovation for Cultural Heritage: Lessons from the European Year of Cultural Heritage. Cultural Trends, 2019, 9(1): 91-107. DOI: 10.2423/I22394303V9N1P91.</w:t>
      </w:r>
    </w:p>
    <w:p>
      <w:pPr>
        <w:spacing w:line="360" w:lineRule="auto" w:after="60"/>
        <w:ind w:firstLine="480"/>
      </w:pPr>
      <w:r>
        <w:rPr>
          <w:rFonts w:ascii="Microsoft YaHei" w:hAnsi="Microsoft YaHei" w:eastAsia="Microsoft YaHei"/>
          <w:sz w:val="24"/>
        </w:rPr>
        <w:t>22. Alkhasawneh A, Kowalska S. Digital Transformation in Jordan and Poland - Implications on the Legal Protection of Cultural Heritage and Sustainable Development. Studies in Digital Heritage, 2024, 7(2). DOI: 10.14434/sdh.v7i2.36939.</w:t>
      </w:r>
    </w:p>
    <w:p>
      <w:r>
        <w:br w:type="page"/>
      </w:r>
    </w:p>
    <w:p>
      <w:pPr>
        <w:pStyle w:val="Heading1"/>
        <w:jc w:val="center"/>
      </w:pPr>
      <w:r>
        <w:rPr>
          <w:rFonts w:ascii="Microsoft YaHei" w:hAnsi="Microsoft YaHei" w:eastAsia="Microsoft YaHei"/>
        </w:rPr>
        <w:t>图表附录</w:t>
      </w:r>
    </w:p>
    <w:p/>
    <w:p>
      <w:pPr>
        <w:jc w:val="center"/>
      </w:pPr>
      <w:r>
        <w:drawing>
          <wp:inline xmlns:a="http://schemas.openxmlformats.org/drawingml/2006/main" xmlns:pic="http://schemas.openxmlformats.org/drawingml/2006/picture">
            <wp:extent cx="5029200" cy="4350386"/>
            <wp:docPr id="1" name="Picture 1"/>
            <wp:cNvGraphicFramePr>
              <a:graphicFrameLocks noChangeAspect="1"/>
            </wp:cNvGraphicFramePr>
            <a:graphic>
              <a:graphicData uri="http://schemas.openxmlformats.org/drawingml/2006/picture">
                <pic:pic>
                  <pic:nvPicPr>
                    <pic:cNvPr id="0" name="01_guard_radar.png"/>
                    <pic:cNvPicPr/>
                  </pic:nvPicPr>
                  <pic:blipFill>
                    <a:blip r:embed="rId9"/>
                    <a:stretch>
                      <a:fillRect/>
                    </a:stretch>
                  </pic:blipFill>
                  <pic:spPr>
                    <a:xfrm>
                      <a:off x="0" y="0"/>
                      <a:ext cx="5029200" cy="4350386"/>
                    </a:xfrm>
                    <a:prstGeom prst="rect"/>
                  </pic:spPr>
                </pic:pic>
              </a:graphicData>
            </a:graphic>
          </wp:inline>
        </w:drawing>
      </w:r>
    </w:p>
    <w:p>
      <w:pPr>
        <w:jc w:val="center"/>
      </w:pPr>
      <w:r>
        <w:rPr>
          <w:rFonts w:ascii="Microsoft YaHei" w:hAnsi="Microsoft YaHei" w:eastAsia="Microsoft YaHei"/>
          <w:b/>
          <w:sz w:val="20"/>
        </w:rPr>
        <w:t>图1 G.U.A.R.D.框架五维度评估：中国与国际比较</w:t>
      </w:r>
    </w:p>
    <w:p/>
    <w:p>
      <w:pPr>
        <w:jc w:val="center"/>
      </w:pPr>
      <w:r>
        <w:drawing>
          <wp:inline xmlns:a="http://schemas.openxmlformats.org/drawingml/2006/main" xmlns:pic="http://schemas.openxmlformats.org/drawingml/2006/picture">
            <wp:extent cx="5029200" cy="2065212"/>
            <wp:docPr id="2" name="Picture 2"/>
            <wp:cNvGraphicFramePr>
              <a:graphicFrameLocks noChangeAspect="1"/>
            </wp:cNvGraphicFramePr>
            <a:graphic>
              <a:graphicData uri="http://schemas.openxmlformats.org/drawingml/2006/picture">
                <pic:pic>
                  <pic:nvPicPr>
                    <pic:cNvPr id="0" name="02_timeline.png"/>
                    <pic:cNvPicPr/>
                  </pic:nvPicPr>
                  <pic:blipFill>
                    <a:blip r:embed="rId10"/>
                    <a:stretch>
                      <a:fillRect/>
                    </a:stretch>
                  </pic:blipFill>
                  <pic:spPr>
                    <a:xfrm>
                      <a:off x="0" y="0"/>
                      <a:ext cx="5029200" cy="2065212"/>
                    </a:xfrm>
                    <a:prstGeom prst="rect"/>
                  </pic:spPr>
                </pic:pic>
              </a:graphicData>
            </a:graphic>
          </wp:inline>
        </w:drawing>
      </w:r>
    </w:p>
    <w:p>
      <w:pPr>
        <w:jc w:val="center"/>
      </w:pPr>
      <w:r>
        <w:rPr>
          <w:rFonts w:ascii="Microsoft YaHei" w:hAnsi="Microsoft YaHei" w:eastAsia="Microsoft YaHei"/>
          <w:b/>
          <w:sz w:val="20"/>
        </w:rPr>
        <w:t>图2 文化遗产数字化保护技术演进时间线</w:t>
      </w:r>
    </w:p>
    <w:p/>
    <w:p>
      <w:pPr>
        <w:jc w:val="center"/>
      </w:pPr>
      <w:r>
        <w:drawing>
          <wp:inline xmlns:a="http://schemas.openxmlformats.org/drawingml/2006/main" xmlns:pic="http://schemas.openxmlformats.org/drawingml/2006/picture">
            <wp:extent cx="5029200" cy="3000587"/>
            <wp:docPr id="3" name="Picture 3"/>
            <wp:cNvGraphicFramePr>
              <a:graphicFrameLocks noChangeAspect="1"/>
            </wp:cNvGraphicFramePr>
            <a:graphic>
              <a:graphicData uri="http://schemas.openxmlformats.org/drawingml/2006/picture">
                <pic:pic>
                  <pic:nvPicPr>
                    <pic:cNvPr id="0" name="03_scan_compare.png"/>
                    <pic:cNvPicPr/>
                  </pic:nvPicPr>
                  <pic:blipFill>
                    <a:blip r:embed="rId11"/>
                    <a:stretch>
                      <a:fillRect/>
                    </a:stretch>
                  </pic:blipFill>
                  <pic:spPr>
                    <a:xfrm>
                      <a:off x="0" y="0"/>
                      <a:ext cx="5029200" cy="3000587"/>
                    </a:xfrm>
                    <a:prstGeom prst="rect"/>
                  </pic:spPr>
                </pic:pic>
              </a:graphicData>
            </a:graphic>
          </wp:inline>
        </w:drawing>
      </w:r>
    </w:p>
    <w:p>
      <w:pPr>
        <w:jc w:val="center"/>
      </w:pPr>
      <w:r>
        <w:rPr>
          <w:rFonts w:ascii="Microsoft YaHei" w:hAnsi="Microsoft YaHei" w:eastAsia="Microsoft YaHei"/>
          <w:b/>
          <w:sz w:val="20"/>
        </w:rPr>
        <w:t>图3 三维扫描技术精度与速度对比</w:t>
      </w:r>
    </w:p>
    <w:p/>
    <w:p>
      <w:pPr>
        <w:jc w:val="center"/>
      </w:pPr>
      <w:r>
        <w:drawing>
          <wp:inline xmlns:a="http://schemas.openxmlformats.org/drawingml/2006/main" xmlns:pic="http://schemas.openxmlformats.org/drawingml/2006/picture">
            <wp:extent cx="5029200" cy="4966755"/>
            <wp:docPr id="4" name="Picture 4"/>
            <wp:cNvGraphicFramePr>
              <a:graphicFrameLocks noChangeAspect="1"/>
            </wp:cNvGraphicFramePr>
            <a:graphic>
              <a:graphicData uri="http://schemas.openxmlformats.org/drawingml/2006/picture">
                <pic:pic>
                  <pic:nvPicPr>
                    <pic:cNvPr id="0" name="04_literature_pie.png"/>
                    <pic:cNvPicPr/>
                  </pic:nvPicPr>
                  <pic:blipFill>
                    <a:blip r:embed="rId12"/>
                    <a:stretch>
                      <a:fillRect/>
                    </a:stretch>
                  </pic:blipFill>
                  <pic:spPr>
                    <a:xfrm>
                      <a:off x="0" y="0"/>
                      <a:ext cx="5029200" cy="4966755"/>
                    </a:xfrm>
                    <a:prstGeom prst="rect"/>
                  </pic:spPr>
                </pic:pic>
              </a:graphicData>
            </a:graphic>
          </wp:inline>
        </w:drawing>
      </w:r>
    </w:p>
    <w:p>
      <w:pPr>
        <w:jc w:val="center"/>
      </w:pPr>
      <w:r>
        <w:rPr>
          <w:rFonts w:ascii="Microsoft YaHei" w:hAnsi="Microsoft YaHei" w:eastAsia="Microsoft YaHei"/>
          <w:b/>
          <w:sz w:val="20"/>
        </w:rPr>
        <w:t>图4 文献数据库主题分类分布（124篇）</w:t>
      </w:r>
    </w:p>
    <w:p/>
    <w:p>
      <w:pPr>
        <w:jc w:val="center"/>
      </w:pPr>
      <w:r>
        <w:drawing>
          <wp:inline xmlns:a="http://schemas.openxmlformats.org/drawingml/2006/main" xmlns:pic="http://schemas.openxmlformats.org/drawingml/2006/picture">
            <wp:extent cx="5029200" cy="2991799"/>
            <wp:docPr id="5" name="Picture 5"/>
            <wp:cNvGraphicFramePr>
              <a:graphicFrameLocks noChangeAspect="1"/>
            </wp:cNvGraphicFramePr>
            <a:graphic>
              <a:graphicData uri="http://schemas.openxmlformats.org/drawingml/2006/picture">
                <pic:pic>
                  <pic:nvPicPr>
                    <pic:cNvPr id="0" name="05_vr_maturity.png"/>
                    <pic:cNvPicPr/>
                  </pic:nvPicPr>
                  <pic:blipFill>
                    <a:blip r:embed="rId13"/>
                    <a:stretch>
                      <a:fillRect/>
                    </a:stretch>
                  </pic:blipFill>
                  <pic:spPr>
                    <a:xfrm>
                      <a:off x="0" y="0"/>
                      <a:ext cx="5029200" cy="2991799"/>
                    </a:xfrm>
                    <a:prstGeom prst="rect"/>
                  </pic:spPr>
                </pic:pic>
              </a:graphicData>
            </a:graphic>
          </wp:inline>
        </w:drawing>
      </w:r>
    </w:p>
    <w:p>
      <w:pPr>
        <w:jc w:val="center"/>
      </w:pPr>
      <w:r>
        <w:rPr>
          <w:rFonts w:ascii="Microsoft YaHei" w:hAnsi="Microsoft YaHei" w:eastAsia="Microsoft YaHei"/>
          <w:b/>
          <w:sz w:val="20"/>
        </w:rPr>
        <w:t>图5 VR/AR/MR/XR技术成熟度评估与主要瓶颈</w:t>
      </w:r>
    </w:p>
    <w:p/>
    <w:p>
      <w:pPr>
        <w:jc w:val="center"/>
      </w:pPr>
      <w:r>
        <w:drawing>
          <wp:inline xmlns:a="http://schemas.openxmlformats.org/drawingml/2006/main" xmlns:pic="http://schemas.openxmlformats.org/drawingml/2006/picture">
            <wp:extent cx="5029200" cy="2487488"/>
            <wp:docPr id="6" name="Picture 6"/>
            <wp:cNvGraphicFramePr>
              <a:graphicFrameLocks noChangeAspect="1"/>
            </wp:cNvGraphicFramePr>
            <a:graphic>
              <a:graphicData uri="http://schemas.openxmlformats.org/drawingml/2006/picture">
                <pic:pic>
                  <pic:nvPicPr>
                    <pic:cNvPr id="0" name="06_museum_stages.png"/>
                    <pic:cNvPicPr/>
                  </pic:nvPicPr>
                  <pic:blipFill>
                    <a:blip r:embed="rId14"/>
                    <a:stretch>
                      <a:fillRect/>
                    </a:stretch>
                  </pic:blipFill>
                  <pic:spPr>
                    <a:xfrm>
                      <a:off x="0" y="0"/>
                      <a:ext cx="5029200" cy="2487488"/>
                    </a:xfrm>
                    <a:prstGeom prst="rect"/>
                  </pic:spPr>
                </pic:pic>
              </a:graphicData>
            </a:graphic>
          </wp:inline>
        </w:drawing>
      </w:r>
    </w:p>
    <w:p>
      <w:pPr>
        <w:jc w:val="center"/>
      </w:pPr>
      <w:r>
        <w:rPr>
          <w:rFonts w:ascii="Microsoft YaHei" w:hAnsi="Microsoft YaHei" w:eastAsia="Microsoft YaHei"/>
          <w:b/>
          <w:sz w:val="20"/>
        </w:rPr>
        <w:t>图6 数字博物馆发展三阶段特征对比</w:t>
      </w:r>
    </w:p>
    <w:p/>
    <w:p>
      <w:pPr>
        <w:jc w:val="center"/>
      </w:pPr>
      <w:r>
        <w:drawing>
          <wp:inline xmlns:a="http://schemas.openxmlformats.org/drawingml/2006/main" xmlns:pic="http://schemas.openxmlformats.org/drawingml/2006/picture">
            <wp:extent cx="5029200" cy="2142317"/>
            <wp:docPr id="7" name="Picture 7"/>
            <wp:cNvGraphicFramePr>
              <a:graphicFrameLocks noChangeAspect="1"/>
            </wp:cNvGraphicFramePr>
            <a:graphic>
              <a:graphicData uri="http://schemas.openxmlformats.org/drawingml/2006/picture">
                <pic:pic>
                  <pic:nvPicPr>
                    <pic:cNvPr id="0" name="07_ai_matrix.png"/>
                    <pic:cNvPicPr/>
                  </pic:nvPicPr>
                  <pic:blipFill>
                    <a:blip r:embed="rId15"/>
                    <a:stretch>
                      <a:fillRect/>
                    </a:stretch>
                  </pic:blipFill>
                  <pic:spPr>
                    <a:xfrm>
                      <a:off x="0" y="0"/>
                      <a:ext cx="5029200" cy="2142317"/>
                    </a:xfrm>
                    <a:prstGeom prst="rect"/>
                  </pic:spPr>
                </pic:pic>
              </a:graphicData>
            </a:graphic>
          </wp:inline>
        </w:drawing>
      </w:r>
    </w:p>
    <w:p>
      <w:pPr>
        <w:jc w:val="center"/>
      </w:pPr>
      <w:r>
        <w:rPr>
          <w:rFonts w:ascii="Microsoft YaHei" w:hAnsi="Microsoft YaHei" w:eastAsia="Microsoft YaHei"/>
          <w:b/>
          <w:sz w:val="20"/>
        </w:rPr>
        <w:t>图7 AI在文化遗产中的应用矩阵</w:t>
      </w:r>
    </w:p>
    <w:p/>
    <w:p>
      <w:pPr>
        <w:jc w:val="center"/>
      </w:pPr>
      <w:r>
        <w:drawing>
          <wp:inline xmlns:a="http://schemas.openxmlformats.org/drawingml/2006/main" xmlns:pic="http://schemas.openxmlformats.org/drawingml/2006/picture">
            <wp:extent cx="5029200" cy="2999220"/>
            <wp:docPr id="8" name="Picture 8"/>
            <wp:cNvGraphicFramePr>
              <a:graphicFrameLocks noChangeAspect="1"/>
            </wp:cNvGraphicFramePr>
            <a:graphic>
              <a:graphicData uri="http://schemas.openxmlformats.org/drawingml/2006/picture">
                <pic:pic>
                  <pic:nvPicPr>
                    <pic:cNvPr id="0" name="08_china_cases.png"/>
                    <pic:cNvPicPr/>
                  </pic:nvPicPr>
                  <pic:blipFill>
                    <a:blip r:embed="rId16"/>
                    <a:stretch>
                      <a:fillRect/>
                    </a:stretch>
                  </pic:blipFill>
                  <pic:spPr>
                    <a:xfrm>
                      <a:off x="0" y="0"/>
                      <a:ext cx="5029200" cy="2999220"/>
                    </a:xfrm>
                    <a:prstGeom prst="rect"/>
                  </pic:spPr>
                </pic:pic>
              </a:graphicData>
            </a:graphic>
          </wp:inline>
        </w:drawing>
      </w:r>
    </w:p>
    <w:p>
      <w:pPr>
        <w:jc w:val="center"/>
      </w:pPr>
      <w:r>
        <w:rPr>
          <w:rFonts w:ascii="Microsoft YaHei" w:hAnsi="Microsoft YaHei" w:eastAsia="Microsoft YaHei"/>
          <w:b/>
          <w:sz w:val="20"/>
        </w:rPr>
        <w:t>图8 中国文化遗产数字化实践案例类型分布</w:t>
      </w:r>
    </w:p>
    <w:p/>
    <w:p>
      <w:r>
        <w:br w:type="page"/>
      </w:r>
    </w:p>
    <w:p>
      <w:pPr>
        <w:pStyle w:val="Heading2"/>
      </w:pPr>
      <w:r>
        <w:rPr>
          <w:rFonts w:ascii="Microsoft YaHei" w:hAnsi="Microsoft YaHei" w:eastAsia="Microsoft YaHei"/>
          <w:color w:val="264653"/>
        </w:rPr>
        <w:t>附录A 术语表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F3"/>
          </w:tcPr>
          <w:p>
            <w:pPr>
              <w:jc w:val="left"/>
            </w:pPr>
            <w:r/>
            <w:r>
              <w:rPr>
                <w:rFonts w:ascii="Microsoft YaHei" w:hAnsi="Microsoft YaHei" w:eastAsia="Microsoft YaHei"/>
                <w:b/>
                <w:sz w:val="20"/>
              </w:rPr>
              <w:t>序号</w:t>
            </w:r>
          </w:p>
        </w:tc>
        <w:tc>
          <w:tcPr>
            <w:tcW w:type="dxa" w:w="2126"/>
            <w:shd w:val="clear" w:color="auto" w:fill="D9E2F3"/>
          </w:tcPr>
          <w:p>
            <w:pPr>
              <w:jc w:val="left"/>
            </w:pPr>
            <w:r/>
            <w:r>
              <w:rPr>
                <w:rFonts w:ascii="Microsoft YaHei" w:hAnsi="Microsoft YaHei" w:eastAsia="Microsoft YaHei"/>
                <w:b/>
                <w:sz w:val="20"/>
              </w:rPr>
              <w:t>英文术语</w:t>
            </w:r>
          </w:p>
        </w:tc>
        <w:tc>
          <w:tcPr>
            <w:tcW w:type="dxa" w:w="2126"/>
            <w:shd w:val="clear" w:color="auto" w:fill="D9E2F3"/>
          </w:tcPr>
          <w:p>
            <w:pPr>
              <w:jc w:val="left"/>
            </w:pPr>
            <w:r/>
            <w:r>
              <w:rPr>
                <w:rFonts w:ascii="Microsoft YaHei" w:hAnsi="Microsoft YaHei" w:eastAsia="Microsoft YaHei"/>
                <w:b/>
                <w:sz w:val="20"/>
              </w:rPr>
              <w:t>中文术语</w:t>
            </w:r>
          </w:p>
        </w:tc>
        <w:tc>
          <w:tcPr>
            <w:tcW w:type="dxa" w:w="2126"/>
            <w:shd w:val="clear" w:color="auto" w:fill="D9E2F3"/>
          </w:tcPr>
          <w:p>
            <w:pPr>
              <w:jc w:val="left"/>
            </w:pPr>
            <w:r/>
            <w:r>
              <w:rPr>
                <w:rFonts w:ascii="Microsoft YaHei" w:hAnsi="Microsoft YaHei" w:eastAsia="Microsoft YaHei"/>
                <w:b/>
                <w:sz w:val="20"/>
              </w:rPr>
              <w:t>释义</w:t>
            </w:r>
          </w:p>
        </w:tc>
      </w:tr>
      <w:tr>
        <w:tc>
          <w:tcPr>
            <w:tcW w:type="dxa" w:w="2126"/>
          </w:tcPr>
          <w:p>
            <w:pPr>
              <w:jc w:val="left"/>
            </w:pPr>
            <w:r/>
            <w:r>
              <w:rPr>
                <w:rFonts w:ascii="Microsoft YaHei" w:hAnsi="Microsoft YaHei" w:eastAsia="Microsoft YaHei"/>
                <w:sz w:val="20"/>
              </w:rPr>
              <w:t>1</w:t>
            </w:r>
          </w:p>
        </w:tc>
        <w:tc>
          <w:tcPr>
            <w:tcW w:type="dxa" w:w="2126"/>
          </w:tcPr>
          <w:p>
            <w:pPr>
              <w:jc w:val="left"/>
            </w:pPr>
            <w:r/>
            <w:r>
              <w:rPr>
                <w:rFonts w:ascii="Microsoft YaHei" w:hAnsi="Microsoft YaHei" w:eastAsia="Microsoft YaHei"/>
                <w:sz w:val="20"/>
              </w:rPr>
              <w:t>Cultural Heritage</w:t>
            </w:r>
          </w:p>
        </w:tc>
        <w:tc>
          <w:tcPr>
            <w:tcW w:type="dxa" w:w="2126"/>
          </w:tcPr>
          <w:p>
            <w:pPr>
              <w:jc w:val="left"/>
            </w:pPr>
            <w:r/>
            <w:r>
              <w:rPr>
                <w:rFonts w:ascii="Microsoft YaHei" w:hAnsi="Microsoft YaHei" w:eastAsia="Microsoft YaHei"/>
                <w:sz w:val="20"/>
              </w:rPr>
              <w:t>文化遗产</w:t>
            </w:r>
          </w:p>
        </w:tc>
        <w:tc>
          <w:tcPr>
            <w:tcW w:type="dxa" w:w="2126"/>
          </w:tcPr>
          <w:p>
            <w:pPr>
              <w:jc w:val="left"/>
            </w:pPr>
            <w:r/>
            <w:r>
              <w:rPr>
                <w:rFonts w:ascii="Microsoft YaHei" w:hAnsi="Microsoft YaHei" w:eastAsia="Microsoft YaHei"/>
                <w:sz w:val="20"/>
              </w:rPr>
              <w:t>人类历史发展中创造并遗留的具有历史、艺术、科学价值的物质遗存和非物质传统</w:t>
            </w:r>
          </w:p>
        </w:tc>
      </w:tr>
      <w:tr>
        <w:tc>
          <w:tcPr>
            <w:tcW w:type="dxa" w:w="2126"/>
            <w:shd w:val="clear" w:color="auto" w:fill="F2F2F2"/>
          </w:tcPr>
          <w:p>
            <w:pPr>
              <w:jc w:val="left"/>
            </w:pPr>
            <w:r/>
            <w:r>
              <w:rPr>
                <w:rFonts w:ascii="Microsoft YaHei" w:hAnsi="Microsoft YaHei" w:eastAsia="Microsoft YaHei"/>
                <w:sz w:val="20"/>
              </w:rPr>
              <w:t>2</w:t>
            </w:r>
          </w:p>
        </w:tc>
        <w:tc>
          <w:tcPr>
            <w:tcW w:type="dxa" w:w="2126"/>
            <w:shd w:val="clear" w:color="auto" w:fill="F2F2F2"/>
          </w:tcPr>
          <w:p>
            <w:pPr>
              <w:jc w:val="left"/>
            </w:pPr>
            <w:r/>
            <w:r>
              <w:rPr>
                <w:rFonts w:ascii="Microsoft YaHei" w:hAnsi="Microsoft YaHei" w:eastAsia="Microsoft YaHei"/>
                <w:sz w:val="20"/>
              </w:rPr>
              <w:t>Intangible Cultural Heritage (ICH)</w:t>
            </w:r>
          </w:p>
        </w:tc>
        <w:tc>
          <w:tcPr>
            <w:tcW w:type="dxa" w:w="2126"/>
            <w:shd w:val="clear" w:color="auto" w:fill="F2F2F2"/>
          </w:tcPr>
          <w:p>
            <w:pPr>
              <w:jc w:val="left"/>
            </w:pPr>
            <w:r/>
            <w:r>
              <w:rPr>
                <w:rFonts w:ascii="Microsoft YaHei" w:hAnsi="Microsoft YaHei" w:eastAsia="Microsoft YaHei"/>
                <w:sz w:val="20"/>
              </w:rPr>
              <w:t>非物质文化遗产</w:t>
            </w:r>
          </w:p>
        </w:tc>
        <w:tc>
          <w:tcPr>
            <w:tcW w:type="dxa" w:w="2126"/>
            <w:shd w:val="clear" w:color="auto" w:fill="F2F2F2"/>
          </w:tcPr>
          <w:p>
            <w:pPr>
              <w:jc w:val="left"/>
            </w:pPr>
            <w:r/>
            <w:r>
              <w:rPr>
                <w:rFonts w:ascii="Microsoft YaHei" w:hAnsi="Microsoft YaHei" w:eastAsia="Microsoft YaHei"/>
                <w:sz w:val="20"/>
              </w:rPr>
              <w:t>被社区视为其文化遗产组成部分的社会实践、观念表述、表现形式、知识、技能</w:t>
            </w:r>
          </w:p>
        </w:tc>
      </w:tr>
      <w:tr>
        <w:tc>
          <w:tcPr>
            <w:tcW w:type="dxa" w:w="2126"/>
          </w:tcPr>
          <w:p>
            <w:pPr>
              <w:jc w:val="left"/>
            </w:pPr>
            <w:r/>
            <w:r>
              <w:rPr>
                <w:rFonts w:ascii="Microsoft YaHei" w:hAnsi="Microsoft YaHei" w:eastAsia="Microsoft YaHei"/>
                <w:sz w:val="20"/>
              </w:rPr>
              <w:t>3</w:t>
            </w:r>
          </w:p>
        </w:tc>
        <w:tc>
          <w:tcPr>
            <w:tcW w:type="dxa" w:w="2126"/>
          </w:tcPr>
          <w:p>
            <w:pPr>
              <w:jc w:val="left"/>
            </w:pPr>
            <w:r/>
            <w:r>
              <w:rPr>
                <w:rFonts w:ascii="Microsoft YaHei" w:hAnsi="Microsoft YaHei" w:eastAsia="Microsoft YaHei"/>
                <w:sz w:val="20"/>
              </w:rPr>
              <w:t>Tangible Cultural Heritage</w:t>
            </w:r>
          </w:p>
        </w:tc>
        <w:tc>
          <w:tcPr>
            <w:tcW w:type="dxa" w:w="2126"/>
          </w:tcPr>
          <w:p>
            <w:pPr>
              <w:jc w:val="left"/>
            </w:pPr>
            <w:r/>
            <w:r>
              <w:rPr>
                <w:rFonts w:ascii="Microsoft YaHei" w:hAnsi="Microsoft YaHei" w:eastAsia="Microsoft YaHei"/>
                <w:sz w:val="20"/>
              </w:rPr>
              <w:t>物质文化遗产</w:t>
            </w:r>
          </w:p>
        </w:tc>
        <w:tc>
          <w:tcPr>
            <w:tcW w:type="dxa" w:w="2126"/>
          </w:tcPr>
          <w:p>
            <w:pPr>
              <w:jc w:val="left"/>
            </w:pPr>
            <w:r/>
            <w:r>
              <w:rPr>
                <w:rFonts w:ascii="Microsoft YaHei" w:hAnsi="Microsoft YaHei" w:eastAsia="Microsoft YaHei"/>
                <w:sz w:val="20"/>
              </w:rPr>
              <w:t>具有历史、艺术和科学价值的文物、建筑群和遗址</w:t>
            </w:r>
          </w:p>
        </w:tc>
      </w:tr>
      <w:tr>
        <w:tc>
          <w:tcPr>
            <w:tcW w:type="dxa" w:w="2126"/>
            <w:shd w:val="clear" w:color="auto" w:fill="F2F2F2"/>
          </w:tcPr>
          <w:p>
            <w:pPr>
              <w:jc w:val="left"/>
            </w:pPr>
            <w:r/>
            <w:r>
              <w:rPr>
                <w:rFonts w:ascii="Microsoft YaHei" w:hAnsi="Microsoft YaHei" w:eastAsia="Microsoft YaHei"/>
                <w:sz w:val="20"/>
              </w:rPr>
              <w:t>4</w:t>
            </w:r>
          </w:p>
        </w:tc>
        <w:tc>
          <w:tcPr>
            <w:tcW w:type="dxa" w:w="2126"/>
            <w:shd w:val="clear" w:color="auto" w:fill="F2F2F2"/>
          </w:tcPr>
          <w:p>
            <w:pPr>
              <w:jc w:val="left"/>
            </w:pPr>
            <w:r/>
            <w:r>
              <w:rPr>
                <w:rFonts w:ascii="Microsoft YaHei" w:hAnsi="Microsoft YaHei" w:eastAsia="Microsoft YaHei"/>
                <w:sz w:val="20"/>
              </w:rPr>
              <w:t>Digital Preservation</w:t>
            </w:r>
          </w:p>
        </w:tc>
        <w:tc>
          <w:tcPr>
            <w:tcW w:type="dxa" w:w="2126"/>
            <w:shd w:val="clear" w:color="auto" w:fill="F2F2F2"/>
          </w:tcPr>
          <w:p>
            <w:pPr>
              <w:jc w:val="left"/>
            </w:pPr>
            <w:r/>
            <w:r>
              <w:rPr>
                <w:rFonts w:ascii="Microsoft YaHei" w:hAnsi="Microsoft YaHei" w:eastAsia="Microsoft YaHei"/>
                <w:sz w:val="20"/>
              </w:rPr>
              <w:t>数字保存</w:t>
            </w:r>
          </w:p>
        </w:tc>
        <w:tc>
          <w:tcPr>
            <w:tcW w:type="dxa" w:w="2126"/>
            <w:shd w:val="clear" w:color="auto" w:fill="F2F2F2"/>
          </w:tcPr>
          <w:p>
            <w:pPr>
              <w:jc w:val="left"/>
            </w:pPr>
            <w:r/>
            <w:r>
              <w:rPr>
                <w:rFonts w:ascii="Microsoft YaHei" w:hAnsi="Microsoft YaHei" w:eastAsia="Microsoft YaHei"/>
                <w:sz w:val="20"/>
              </w:rPr>
              <w:t>利用数字技术对信息进行长期保存和管理，确保其可读性和可理解性</w:t>
            </w:r>
          </w:p>
        </w:tc>
      </w:tr>
      <w:tr>
        <w:tc>
          <w:tcPr>
            <w:tcW w:type="dxa" w:w="2126"/>
          </w:tcPr>
          <w:p>
            <w:pPr>
              <w:jc w:val="left"/>
            </w:pPr>
            <w:r/>
            <w:r>
              <w:rPr>
                <w:rFonts w:ascii="Microsoft YaHei" w:hAnsi="Microsoft YaHei" w:eastAsia="Microsoft YaHei"/>
                <w:sz w:val="20"/>
              </w:rPr>
              <w:t>5</w:t>
            </w:r>
          </w:p>
        </w:tc>
        <w:tc>
          <w:tcPr>
            <w:tcW w:type="dxa" w:w="2126"/>
          </w:tcPr>
          <w:p>
            <w:pPr>
              <w:jc w:val="left"/>
            </w:pPr>
            <w:r/>
            <w:r>
              <w:rPr>
                <w:rFonts w:ascii="Microsoft YaHei" w:hAnsi="Microsoft YaHei" w:eastAsia="Microsoft YaHei"/>
                <w:sz w:val="20"/>
              </w:rPr>
              <w:t>3D Laser Scanning</w:t>
            </w:r>
          </w:p>
        </w:tc>
        <w:tc>
          <w:tcPr>
            <w:tcW w:type="dxa" w:w="2126"/>
          </w:tcPr>
          <w:p>
            <w:pPr>
              <w:jc w:val="left"/>
            </w:pPr>
            <w:r/>
            <w:r>
              <w:rPr>
                <w:rFonts w:ascii="Microsoft YaHei" w:hAnsi="Microsoft YaHei" w:eastAsia="Microsoft YaHei"/>
                <w:sz w:val="20"/>
              </w:rPr>
              <w:t>三维激光扫描</w:t>
            </w:r>
          </w:p>
        </w:tc>
        <w:tc>
          <w:tcPr>
            <w:tcW w:type="dxa" w:w="2126"/>
          </w:tcPr>
          <w:p>
            <w:pPr>
              <w:jc w:val="left"/>
            </w:pPr>
            <w:r/>
            <w:r>
              <w:rPr>
                <w:rFonts w:ascii="Microsoft YaHei" w:hAnsi="Microsoft YaHei" w:eastAsia="Microsoft YaHei"/>
                <w:sz w:val="20"/>
              </w:rPr>
              <w:t>通过激光脉冲测量物体表面三维坐标的技术</w:t>
            </w:r>
          </w:p>
        </w:tc>
      </w:tr>
      <w:tr>
        <w:tc>
          <w:tcPr>
            <w:tcW w:type="dxa" w:w="2126"/>
            <w:shd w:val="clear" w:color="auto" w:fill="F2F2F2"/>
          </w:tcPr>
          <w:p>
            <w:pPr>
              <w:jc w:val="left"/>
            </w:pPr>
            <w:r/>
            <w:r>
              <w:rPr>
                <w:rFonts w:ascii="Microsoft YaHei" w:hAnsi="Microsoft YaHei" w:eastAsia="Microsoft YaHei"/>
                <w:sz w:val="20"/>
              </w:rPr>
              <w:t>6</w:t>
            </w:r>
          </w:p>
        </w:tc>
        <w:tc>
          <w:tcPr>
            <w:tcW w:type="dxa" w:w="2126"/>
            <w:shd w:val="clear" w:color="auto" w:fill="F2F2F2"/>
          </w:tcPr>
          <w:p>
            <w:pPr>
              <w:jc w:val="left"/>
            </w:pPr>
            <w:r/>
            <w:r>
              <w:rPr>
                <w:rFonts w:ascii="Microsoft YaHei" w:hAnsi="Microsoft YaHei" w:eastAsia="Microsoft YaHei"/>
                <w:sz w:val="20"/>
              </w:rPr>
              <w:t>Photogrammetry</w:t>
            </w:r>
          </w:p>
        </w:tc>
        <w:tc>
          <w:tcPr>
            <w:tcW w:type="dxa" w:w="2126"/>
            <w:shd w:val="clear" w:color="auto" w:fill="F2F2F2"/>
          </w:tcPr>
          <w:p>
            <w:pPr>
              <w:jc w:val="left"/>
            </w:pPr>
            <w:r/>
            <w:r>
              <w:rPr>
                <w:rFonts w:ascii="Microsoft YaHei" w:hAnsi="Microsoft YaHei" w:eastAsia="Microsoft YaHei"/>
                <w:sz w:val="20"/>
              </w:rPr>
              <w:t>摄影测量</w:t>
            </w:r>
          </w:p>
        </w:tc>
        <w:tc>
          <w:tcPr>
            <w:tcW w:type="dxa" w:w="2126"/>
            <w:shd w:val="clear" w:color="auto" w:fill="F2F2F2"/>
          </w:tcPr>
          <w:p>
            <w:pPr>
              <w:jc w:val="left"/>
            </w:pPr>
            <w:r/>
            <w:r>
              <w:rPr>
                <w:rFonts w:ascii="Microsoft YaHei" w:hAnsi="Microsoft YaHei" w:eastAsia="Microsoft YaHei"/>
                <w:sz w:val="20"/>
              </w:rPr>
              <w:t>通过分析多角度照片重建物体三维模型的技术</w:t>
            </w:r>
          </w:p>
        </w:tc>
      </w:tr>
      <w:tr>
        <w:tc>
          <w:tcPr>
            <w:tcW w:type="dxa" w:w="2126"/>
          </w:tcPr>
          <w:p>
            <w:pPr>
              <w:jc w:val="left"/>
            </w:pPr>
            <w:r/>
            <w:r>
              <w:rPr>
                <w:rFonts w:ascii="Microsoft YaHei" w:hAnsi="Microsoft YaHei" w:eastAsia="Microsoft YaHei"/>
                <w:sz w:val="20"/>
              </w:rPr>
              <w:t>7</w:t>
            </w:r>
          </w:p>
        </w:tc>
        <w:tc>
          <w:tcPr>
            <w:tcW w:type="dxa" w:w="2126"/>
          </w:tcPr>
          <w:p>
            <w:pPr>
              <w:jc w:val="left"/>
            </w:pPr>
            <w:r/>
            <w:r>
              <w:rPr>
                <w:rFonts w:ascii="Microsoft YaHei" w:hAnsi="Microsoft YaHei" w:eastAsia="Microsoft YaHei"/>
                <w:sz w:val="20"/>
              </w:rPr>
              <w:t>Structured Light Scanning</w:t>
            </w:r>
          </w:p>
        </w:tc>
        <w:tc>
          <w:tcPr>
            <w:tcW w:type="dxa" w:w="2126"/>
          </w:tcPr>
          <w:p>
            <w:pPr>
              <w:jc w:val="left"/>
            </w:pPr>
            <w:r/>
            <w:r>
              <w:rPr>
                <w:rFonts w:ascii="Microsoft YaHei" w:hAnsi="Microsoft YaHei" w:eastAsia="Microsoft YaHei"/>
                <w:sz w:val="20"/>
              </w:rPr>
              <w:t>结构光扫描</w:t>
            </w:r>
          </w:p>
        </w:tc>
        <w:tc>
          <w:tcPr>
            <w:tcW w:type="dxa" w:w="2126"/>
          </w:tcPr>
          <w:p>
            <w:pPr>
              <w:jc w:val="left"/>
            </w:pPr>
            <w:r/>
            <w:r>
              <w:rPr>
                <w:rFonts w:ascii="Microsoft YaHei" w:hAnsi="Microsoft YaHei" w:eastAsia="Microsoft YaHei"/>
                <w:sz w:val="20"/>
              </w:rPr>
              <w:t>通过投射已知图案到物体表面重建三维形貌的技术</w:t>
            </w:r>
          </w:p>
        </w:tc>
      </w:tr>
      <w:tr>
        <w:tc>
          <w:tcPr>
            <w:tcW w:type="dxa" w:w="2126"/>
            <w:shd w:val="clear" w:color="auto" w:fill="F2F2F2"/>
          </w:tcPr>
          <w:p>
            <w:pPr>
              <w:jc w:val="left"/>
            </w:pPr>
            <w:r/>
            <w:r>
              <w:rPr>
                <w:rFonts w:ascii="Microsoft YaHei" w:hAnsi="Microsoft YaHei" w:eastAsia="Microsoft YaHei"/>
                <w:sz w:val="20"/>
              </w:rPr>
              <w:t>8</w:t>
            </w:r>
          </w:p>
        </w:tc>
        <w:tc>
          <w:tcPr>
            <w:tcW w:type="dxa" w:w="2126"/>
            <w:shd w:val="clear" w:color="auto" w:fill="F2F2F2"/>
          </w:tcPr>
          <w:p>
            <w:pPr>
              <w:jc w:val="left"/>
            </w:pPr>
            <w:r/>
            <w:r>
              <w:rPr>
                <w:rFonts w:ascii="Microsoft YaHei" w:hAnsi="Microsoft YaHei" w:eastAsia="Microsoft YaHei"/>
                <w:sz w:val="20"/>
              </w:rPr>
              <w:t>Virtual Reality (VR)</w:t>
            </w:r>
          </w:p>
        </w:tc>
        <w:tc>
          <w:tcPr>
            <w:tcW w:type="dxa" w:w="2126"/>
            <w:shd w:val="clear" w:color="auto" w:fill="F2F2F2"/>
          </w:tcPr>
          <w:p>
            <w:pPr>
              <w:jc w:val="left"/>
            </w:pPr>
            <w:r/>
            <w:r>
              <w:rPr>
                <w:rFonts w:ascii="Microsoft YaHei" w:hAnsi="Microsoft YaHei" w:eastAsia="Microsoft YaHei"/>
                <w:sz w:val="20"/>
              </w:rPr>
              <w:t>虚拟现实</w:t>
            </w:r>
          </w:p>
        </w:tc>
        <w:tc>
          <w:tcPr>
            <w:tcW w:type="dxa" w:w="2126"/>
            <w:shd w:val="clear" w:color="auto" w:fill="F2F2F2"/>
          </w:tcPr>
          <w:p>
            <w:pPr>
              <w:jc w:val="left"/>
            </w:pPr>
            <w:r/>
            <w:r>
              <w:rPr>
                <w:rFonts w:ascii="Microsoft YaHei" w:hAnsi="Microsoft YaHei" w:eastAsia="Microsoft YaHei"/>
                <w:sz w:val="20"/>
              </w:rPr>
              <w:t>通过计算机生成的三维环境提供沉浸感的技术</w:t>
            </w:r>
          </w:p>
        </w:tc>
      </w:tr>
      <w:tr>
        <w:tc>
          <w:tcPr>
            <w:tcW w:type="dxa" w:w="2126"/>
          </w:tcPr>
          <w:p>
            <w:pPr>
              <w:jc w:val="left"/>
            </w:pPr>
            <w:r/>
            <w:r>
              <w:rPr>
                <w:rFonts w:ascii="Microsoft YaHei" w:hAnsi="Microsoft YaHei" w:eastAsia="Microsoft YaHei"/>
                <w:sz w:val="20"/>
              </w:rPr>
              <w:t>9</w:t>
            </w:r>
          </w:p>
        </w:tc>
        <w:tc>
          <w:tcPr>
            <w:tcW w:type="dxa" w:w="2126"/>
          </w:tcPr>
          <w:p>
            <w:pPr>
              <w:jc w:val="left"/>
            </w:pPr>
            <w:r/>
            <w:r>
              <w:rPr>
                <w:rFonts w:ascii="Microsoft YaHei" w:hAnsi="Microsoft YaHei" w:eastAsia="Microsoft YaHei"/>
                <w:sz w:val="20"/>
              </w:rPr>
              <w:t>Augmented Reality (AR)</w:t>
            </w:r>
          </w:p>
        </w:tc>
        <w:tc>
          <w:tcPr>
            <w:tcW w:type="dxa" w:w="2126"/>
          </w:tcPr>
          <w:p>
            <w:pPr>
              <w:jc w:val="left"/>
            </w:pPr>
            <w:r/>
            <w:r>
              <w:rPr>
                <w:rFonts w:ascii="Microsoft YaHei" w:hAnsi="Microsoft YaHei" w:eastAsia="Microsoft YaHei"/>
                <w:sz w:val="20"/>
              </w:rPr>
              <w:t>增强现实</w:t>
            </w:r>
          </w:p>
        </w:tc>
        <w:tc>
          <w:tcPr>
            <w:tcW w:type="dxa" w:w="2126"/>
          </w:tcPr>
          <w:p>
            <w:pPr>
              <w:jc w:val="left"/>
            </w:pPr>
            <w:r/>
            <w:r>
              <w:rPr>
                <w:rFonts w:ascii="Microsoft YaHei" w:hAnsi="Microsoft YaHei" w:eastAsia="Microsoft YaHei"/>
                <w:sz w:val="20"/>
              </w:rPr>
              <w:t>在现实世界上叠加数字信息的技术</w:t>
            </w:r>
          </w:p>
        </w:tc>
      </w:tr>
      <w:tr>
        <w:tc>
          <w:tcPr>
            <w:tcW w:type="dxa" w:w="2126"/>
            <w:shd w:val="clear" w:color="auto" w:fill="F2F2F2"/>
          </w:tcPr>
          <w:p>
            <w:pPr>
              <w:jc w:val="left"/>
            </w:pPr>
            <w:r/>
            <w:r>
              <w:rPr>
                <w:rFonts w:ascii="Microsoft YaHei" w:hAnsi="Microsoft YaHei" w:eastAsia="Microsoft YaHei"/>
                <w:sz w:val="20"/>
              </w:rPr>
              <w:t>10</w:t>
            </w:r>
          </w:p>
        </w:tc>
        <w:tc>
          <w:tcPr>
            <w:tcW w:type="dxa" w:w="2126"/>
            <w:shd w:val="clear" w:color="auto" w:fill="F2F2F2"/>
          </w:tcPr>
          <w:p>
            <w:pPr>
              <w:jc w:val="left"/>
            </w:pPr>
            <w:r/>
            <w:r>
              <w:rPr>
                <w:rFonts w:ascii="Microsoft YaHei" w:hAnsi="Microsoft YaHei" w:eastAsia="Microsoft YaHei"/>
                <w:sz w:val="20"/>
              </w:rPr>
              <w:t>Mixed Reality (MR)</w:t>
            </w:r>
          </w:p>
        </w:tc>
        <w:tc>
          <w:tcPr>
            <w:tcW w:type="dxa" w:w="2126"/>
            <w:shd w:val="clear" w:color="auto" w:fill="F2F2F2"/>
          </w:tcPr>
          <w:p>
            <w:pPr>
              <w:jc w:val="left"/>
            </w:pPr>
            <w:r/>
            <w:r>
              <w:rPr>
                <w:rFonts w:ascii="Microsoft YaHei" w:hAnsi="Microsoft YaHei" w:eastAsia="Microsoft YaHei"/>
                <w:sz w:val="20"/>
              </w:rPr>
              <w:t>混合现实</w:t>
            </w:r>
          </w:p>
        </w:tc>
        <w:tc>
          <w:tcPr>
            <w:tcW w:type="dxa" w:w="2126"/>
            <w:shd w:val="clear" w:color="auto" w:fill="F2F2F2"/>
          </w:tcPr>
          <w:p>
            <w:pPr>
              <w:jc w:val="left"/>
            </w:pPr>
            <w:r/>
            <w:r>
              <w:rPr>
                <w:rFonts w:ascii="Microsoft YaHei" w:hAnsi="Microsoft YaHei" w:eastAsia="Microsoft YaHei"/>
                <w:sz w:val="20"/>
              </w:rPr>
              <w:t>虚拟内容与现实环境实时交互的技术</w:t>
            </w:r>
          </w:p>
        </w:tc>
      </w:tr>
      <w:tr>
        <w:tc>
          <w:tcPr>
            <w:tcW w:type="dxa" w:w="2126"/>
          </w:tcPr>
          <w:p>
            <w:pPr>
              <w:jc w:val="left"/>
            </w:pPr>
            <w:r/>
            <w:r>
              <w:rPr>
                <w:rFonts w:ascii="Microsoft YaHei" w:hAnsi="Microsoft YaHei" w:eastAsia="Microsoft YaHei"/>
                <w:sz w:val="20"/>
              </w:rPr>
              <w:t>11</w:t>
            </w:r>
          </w:p>
        </w:tc>
        <w:tc>
          <w:tcPr>
            <w:tcW w:type="dxa" w:w="2126"/>
          </w:tcPr>
          <w:p>
            <w:pPr>
              <w:jc w:val="left"/>
            </w:pPr>
            <w:r/>
            <w:r>
              <w:rPr>
                <w:rFonts w:ascii="Microsoft YaHei" w:hAnsi="Microsoft YaHei" w:eastAsia="Microsoft YaHei"/>
                <w:sz w:val="20"/>
              </w:rPr>
              <w:t>Extended Reality (XR)</w:t>
            </w:r>
          </w:p>
        </w:tc>
        <w:tc>
          <w:tcPr>
            <w:tcW w:type="dxa" w:w="2126"/>
          </w:tcPr>
          <w:p>
            <w:pPr>
              <w:jc w:val="left"/>
            </w:pPr>
            <w:r/>
            <w:r>
              <w:rPr>
                <w:rFonts w:ascii="Microsoft YaHei" w:hAnsi="Microsoft YaHei" w:eastAsia="Microsoft YaHei"/>
                <w:sz w:val="20"/>
              </w:rPr>
              <w:t>扩展现实</w:t>
            </w:r>
          </w:p>
        </w:tc>
        <w:tc>
          <w:tcPr>
            <w:tcW w:type="dxa" w:w="2126"/>
          </w:tcPr>
          <w:p>
            <w:pPr>
              <w:jc w:val="left"/>
            </w:pPr>
            <w:r/>
            <w:r>
              <w:rPr>
                <w:rFonts w:ascii="Microsoft YaHei" w:hAnsi="Microsoft YaHei" w:eastAsia="Microsoft YaHei"/>
                <w:sz w:val="20"/>
              </w:rPr>
              <w:t>VR、AR、MR的统称</w:t>
            </w:r>
          </w:p>
        </w:tc>
      </w:tr>
      <w:tr>
        <w:tc>
          <w:tcPr>
            <w:tcW w:type="dxa" w:w="2126"/>
            <w:shd w:val="clear" w:color="auto" w:fill="F2F2F2"/>
          </w:tcPr>
          <w:p>
            <w:pPr>
              <w:jc w:val="left"/>
            </w:pPr>
            <w:r/>
            <w:r>
              <w:rPr>
                <w:rFonts w:ascii="Microsoft YaHei" w:hAnsi="Microsoft YaHei" w:eastAsia="Microsoft YaHei"/>
                <w:sz w:val="20"/>
              </w:rPr>
              <w:t>12</w:t>
            </w:r>
          </w:p>
        </w:tc>
        <w:tc>
          <w:tcPr>
            <w:tcW w:type="dxa" w:w="2126"/>
            <w:shd w:val="clear" w:color="auto" w:fill="F2F2F2"/>
          </w:tcPr>
          <w:p>
            <w:pPr>
              <w:jc w:val="left"/>
            </w:pPr>
            <w:r/>
            <w:r>
              <w:rPr>
                <w:rFonts w:ascii="Microsoft YaHei" w:hAnsi="Microsoft YaHei" w:eastAsia="Microsoft YaHei"/>
                <w:sz w:val="20"/>
              </w:rPr>
              <w:t>Digital Museum</w:t>
            </w:r>
          </w:p>
        </w:tc>
        <w:tc>
          <w:tcPr>
            <w:tcW w:type="dxa" w:w="2126"/>
            <w:shd w:val="clear" w:color="auto" w:fill="F2F2F2"/>
          </w:tcPr>
          <w:p>
            <w:pPr>
              <w:jc w:val="left"/>
            </w:pPr>
            <w:r/>
            <w:r>
              <w:rPr>
                <w:rFonts w:ascii="Microsoft YaHei" w:hAnsi="Microsoft YaHei" w:eastAsia="Microsoft YaHei"/>
                <w:sz w:val="20"/>
              </w:rPr>
              <w:t>数字博物馆</w:t>
            </w:r>
          </w:p>
        </w:tc>
        <w:tc>
          <w:tcPr>
            <w:tcW w:type="dxa" w:w="2126"/>
            <w:shd w:val="clear" w:color="auto" w:fill="F2F2F2"/>
          </w:tcPr>
          <w:p>
            <w:pPr>
              <w:jc w:val="left"/>
            </w:pPr>
            <w:r/>
            <w:r>
              <w:rPr>
                <w:rFonts w:ascii="Microsoft YaHei" w:hAnsi="Microsoft YaHei" w:eastAsia="Microsoft YaHei"/>
                <w:sz w:val="20"/>
              </w:rPr>
              <w:t>利用数字技术呈现和管理博物馆藏品、展览、教育的虚拟或混合平台</w:t>
            </w:r>
          </w:p>
        </w:tc>
      </w:tr>
      <w:tr>
        <w:tc>
          <w:tcPr>
            <w:tcW w:type="dxa" w:w="2126"/>
          </w:tcPr>
          <w:p>
            <w:pPr>
              <w:jc w:val="left"/>
            </w:pPr>
            <w:r/>
            <w:r>
              <w:rPr>
                <w:rFonts w:ascii="Microsoft YaHei" w:hAnsi="Microsoft YaHei" w:eastAsia="Microsoft YaHei"/>
                <w:sz w:val="20"/>
              </w:rPr>
              <w:t>13</w:t>
            </w:r>
          </w:p>
        </w:tc>
        <w:tc>
          <w:tcPr>
            <w:tcW w:type="dxa" w:w="2126"/>
          </w:tcPr>
          <w:p>
            <w:pPr>
              <w:jc w:val="left"/>
            </w:pPr>
            <w:r/>
            <w:r>
              <w:rPr>
                <w:rFonts w:ascii="Microsoft YaHei" w:hAnsi="Microsoft YaHei" w:eastAsia="Microsoft YaHei"/>
                <w:sz w:val="20"/>
              </w:rPr>
              <w:t>Metadata</w:t>
            </w:r>
          </w:p>
        </w:tc>
        <w:tc>
          <w:tcPr>
            <w:tcW w:type="dxa" w:w="2126"/>
          </w:tcPr>
          <w:p>
            <w:pPr>
              <w:jc w:val="left"/>
            </w:pPr>
            <w:r/>
            <w:r>
              <w:rPr>
                <w:rFonts w:ascii="Microsoft YaHei" w:hAnsi="Microsoft YaHei" w:eastAsia="Microsoft YaHei"/>
                <w:sz w:val="20"/>
              </w:rPr>
              <w:t>元数据</w:t>
            </w:r>
          </w:p>
        </w:tc>
        <w:tc>
          <w:tcPr>
            <w:tcW w:type="dxa" w:w="2126"/>
          </w:tcPr>
          <w:p>
            <w:pPr>
              <w:jc w:val="left"/>
            </w:pPr>
            <w:r/>
            <w:r>
              <w:rPr>
                <w:rFonts w:ascii="Microsoft YaHei" w:hAnsi="Microsoft YaHei" w:eastAsia="Microsoft YaHei"/>
                <w:sz w:val="20"/>
              </w:rPr>
              <w:t>关于数据的数据，用于描述数字资源的属性</w:t>
            </w:r>
          </w:p>
        </w:tc>
      </w:tr>
      <w:tr>
        <w:tc>
          <w:tcPr>
            <w:tcW w:type="dxa" w:w="2126"/>
            <w:shd w:val="clear" w:color="auto" w:fill="F2F2F2"/>
          </w:tcPr>
          <w:p>
            <w:pPr>
              <w:jc w:val="left"/>
            </w:pPr>
            <w:r/>
            <w:r>
              <w:rPr>
                <w:rFonts w:ascii="Microsoft YaHei" w:hAnsi="Microsoft YaHei" w:eastAsia="Microsoft YaHei"/>
                <w:sz w:val="20"/>
              </w:rPr>
              <w:t>14</w:t>
            </w:r>
          </w:p>
        </w:tc>
        <w:tc>
          <w:tcPr>
            <w:tcW w:type="dxa" w:w="2126"/>
            <w:shd w:val="clear" w:color="auto" w:fill="F2F2F2"/>
          </w:tcPr>
          <w:p>
            <w:pPr>
              <w:jc w:val="left"/>
            </w:pPr>
            <w:r/>
            <w:r>
              <w:rPr>
                <w:rFonts w:ascii="Microsoft YaHei" w:hAnsi="Microsoft YaHei" w:eastAsia="Microsoft YaHei"/>
                <w:sz w:val="20"/>
              </w:rPr>
              <w:t>CIDOC CRM</w:t>
            </w:r>
          </w:p>
        </w:tc>
        <w:tc>
          <w:tcPr>
            <w:tcW w:type="dxa" w:w="2126"/>
            <w:shd w:val="clear" w:color="auto" w:fill="F2F2F2"/>
          </w:tcPr>
          <w:p>
            <w:pPr>
              <w:jc w:val="left"/>
            </w:pPr>
            <w:r/>
            <w:r>
              <w:rPr>
                <w:rFonts w:ascii="Microsoft YaHei" w:hAnsi="Microsoft YaHei" w:eastAsia="Microsoft YaHei"/>
                <w:sz w:val="20"/>
              </w:rPr>
              <w:t>信息概念参考模型</w:t>
            </w:r>
          </w:p>
        </w:tc>
        <w:tc>
          <w:tcPr>
            <w:tcW w:type="dxa" w:w="2126"/>
            <w:shd w:val="clear" w:color="auto" w:fill="F2F2F2"/>
          </w:tcPr>
          <w:p>
            <w:pPr>
              <w:jc w:val="left"/>
            </w:pPr>
            <w:r/>
            <w:r>
              <w:rPr>
                <w:rFonts w:ascii="Microsoft YaHei" w:hAnsi="Microsoft YaHei" w:eastAsia="Microsoft YaHei"/>
                <w:sz w:val="20"/>
              </w:rPr>
              <w:t>ICOM制定的文化遗产领域概念参考模型</w:t>
            </w:r>
          </w:p>
        </w:tc>
      </w:tr>
      <w:tr>
        <w:tc>
          <w:tcPr>
            <w:tcW w:type="dxa" w:w="2126"/>
          </w:tcPr>
          <w:p>
            <w:pPr>
              <w:jc w:val="left"/>
            </w:pPr>
            <w:r/>
            <w:r>
              <w:rPr>
                <w:rFonts w:ascii="Microsoft YaHei" w:hAnsi="Microsoft YaHei" w:eastAsia="Microsoft YaHei"/>
                <w:sz w:val="20"/>
              </w:rPr>
              <w:t>15</w:t>
            </w:r>
          </w:p>
        </w:tc>
        <w:tc>
          <w:tcPr>
            <w:tcW w:type="dxa" w:w="2126"/>
          </w:tcPr>
          <w:p>
            <w:pPr>
              <w:jc w:val="left"/>
            </w:pPr>
            <w:r/>
            <w:r>
              <w:rPr>
                <w:rFonts w:ascii="Microsoft YaHei" w:hAnsi="Microsoft YaHei" w:eastAsia="Microsoft YaHei"/>
                <w:sz w:val="20"/>
              </w:rPr>
              <w:t>Dublin Core</w:t>
            </w:r>
          </w:p>
        </w:tc>
        <w:tc>
          <w:tcPr>
            <w:tcW w:type="dxa" w:w="2126"/>
          </w:tcPr>
          <w:p>
            <w:pPr>
              <w:jc w:val="left"/>
            </w:pPr>
            <w:r/>
            <w:r>
              <w:rPr>
                <w:rFonts w:ascii="Microsoft YaHei" w:hAnsi="Microsoft YaHei" w:eastAsia="Microsoft YaHei"/>
                <w:sz w:val="20"/>
              </w:rPr>
              <w:t>都柏林核心元数据</w:t>
            </w:r>
          </w:p>
        </w:tc>
        <w:tc>
          <w:tcPr>
            <w:tcW w:type="dxa" w:w="2126"/>
          </w:tcPr>
          <w:p>
            <w:pPr>
              <w:jc w:val="left"/>
            </w:pPr>
            <w:r/>
            <w:r>
              <w:rPr>
                <w:rFonts w:ascii="Microsoft YaHei" w:hAnsi="Microsoft YaHei" w:eastAsia="Microsoft YaHei"/>
                <w:sz w:val="20"/>
              </w:rPr>
              <w:t>15个核心元素的通用元数据标准</w:t>
            </w:r>
          </w:p>
        </w:tc>
      </w:tr>
      <w:tr>
        <w:tc>
          <w:tcPr>
            <w:tcW w:type="dxa" w:w="2126"/>
            <w:shd w:val="clear" w:color="auto" w:fill="F2F2F2"/>
          </w:tcPr>
          <w:p>
            <w:pPr>
              <w:jc w:val="left"/>
            </w:pPr>
            <w:r/>
            <w:r>
              <w:rPr>
                <w:rFonts w:ascii="Microsoft YaHei" w:hAnsi="Microsoft YaHei" w:eastAsia="Microsoft YaHei"/>
                <w:sz w:val="20"/>
              </w:rPr>
              <w:t>16</w:t>
            </w:r>
          </w:p>
        </w:tc>
        <w:tc>
          <w:tcPr>
            <w:tcW w:type="dxa" w:w="2126"/>
            <w:shd w:val="clear" w:color="auto" w:fill="F2F2F2"/>
          </w:tcPr>
          <w:p>
            <w:pPr>
              <w:jc w:val="left"/>
            </w:pPr>
            <w:r/>
            <w:r>
              <w:rPr>
                <w:rFonts w:ascii="Microsoft YaHei" w:hAnsi="Microsoft YaHei" w:eastAsia="Microsoft YaHei"/>
                <w:sz w:val="20"/>
              </w:rPr>
              <w:t>LIDO</w:t>
            </w:r>
          </w:p>
        </w:tc>
        <w:tc>
          <w:tcPr>
            <w:tcW w:type="dxa" w:w="2126"/>
            <w:shd w:val="clear" w:color="auto" w:fill="F2F2F2"/>
          </w:tcPr>
          <w:p>
            <w:pPr>
              <w:jc w:val="left"/>
            </w:pPr>
            <w:r/>
            <w:r>
              <w:rPr>
                <w:rFonts w:ascii="Microsoft YaHei" w:hAnsi="Microsoft YaHei" w:eastAsia="Microsoft YaHei"/>
                <w:sz w:val="20"/>
              </w:rPr>
              <w:t>轻量信息描述对象</w:t>
            </w:r>
          </w:p>
        </w:tc>
        <w:tc>
          <w:tcPr>
            <w:tcW w:type="dxa" w:w="2126"/>
            <w:shd w:val="clear" w:color="auto" w:fill="F2F2F2"/>
          </w:tcPr>
          <w:p>
            <w:pPr>
              <w:jc w:val="left"/>
            </w:pPr>
            <w:r/>
            <w:r>
              <w:rPr>
                <w:rFonts w:ascii="Microsoft YaHei" w:hAnsi="Microsoft YaHei" w:eastAsia="Microsoft YaHei"/>
                <w:sz w:val="20"/>
              </w:rPr>
              <w:t>专为博物馆藏品设计的元数据标准</w:t>
            </w:r>
          </w:p>
        </w:tc>
      </w:tr>
      <w:tr>
        <w:tc>
          <w:tcPr>
            <w:tcW w:type="dxa" w:w="2126"/>
          </w:tcPr>
          <w:p>
            <w:pPr>
              <w:jc w:val="left"/>
            </w:pPr>
            <w:r/>
            <w:r>
              <w:rPr>
                <w:rFonts w:ascii="Microsoft YaHei" w:hAnsi="Microsoft YaHei" w:eastAsia="Microsoft YaHei"/>
                <w:sz w:val="20"/>
              </w:rPr>
              <w:t>17</w:t>
            </w:r>
          </w:p>
        </w:tc>
        <w:tc>
          <w:tcPr>
            <w:tcW w:type="dxa" w:w="2126"/>
          </w:tcPr>
          <w:p>
            <w:pPr>
              <w:jc w:val="left"/>
            </w:pPr>
            <w:r/>
            <w:r>
              <w:rPr>
                <w:rFonts w:ascii="Microsoft YaHei" w:hAnsi="Microsoft YaHei" w:eastAsia="Microsoft YaHei"/>
                <w:sz w:val="20"/>
              </w:rPr>
              <w:t>OAIS</w:t>
            </w:r>
          </w:p>
        </w:tc>
        <w:tc>
          <w:tcPr>
            <w:tcW w:type="dxa" w:w="2126"/>
          </w:tcPr>
          <w:p>
            <w:pPr>
              <w:jc w:val="left"/>
            </w:pPr>
            <w:r/>
            <w:r>
              <w:rPr>
                <w:rFonts w:ascii="Microsoft YaHei" w:hAnsi="Microsoft YaHei" w:eastAsia="Microsoft YaHei"/>
                <w:sz w:val="20"/>
              </w:rPr>
              <w:t>开放档案信息系统</w:t>
            </w:r>
          </w:p>
        </w:tc>
        <w:tc>
          <w:tcPr>
            <w:tcW w:type="dxa" w:w="2126"/>
          </w:tcPr>
          <w:p>
            <w:pPr>
              <w:jc w:val="left"/>
            </w:pPr>
            <w:r/>
            <w:r>
              <w:rPr>
                <w:rFonts w:ascii="Microsoft YaHei" w:hAnsi="Microsoft YaHei" w:eastAsia="Microsoft YaHei"/>
                <w:sz w:val="20"/>
              </w:rPr>
              <w:t>数字保存领域的国际标准参考模型（ISO 14721）</w:t>
            </w:r>
          </w:p>
        </w:tc>
      </w:tr>
      <w:tr>
        <w:tc>
          <w:tcPr>
            <w:tcW w:type="dxa" w:w="2126"/>
            <w:shd w:val="clear" w:color="auto" w:fill="F2F2F2"/>
          </w:tcPr>
          <w:p>
            <w:pPr>
              <w:jc w:val="left"/>
            </w:pPr>
            <w:r/>
            <w:r>
              <w:rPr>
                <w:rFonts w:ascii="Microsoft YaHei" w:hAnsi="Microsoft YaHei" w:eastAsia="Microsoft YaHei"/>
                <w:sz w:val="20"/>
              </w:rPr>
              <w:t>18</w:t>
            </w:r>
          </w:p>
        </w:tc>
        <w:tc>
          <w:tcPr>
            <w:tcW w:type="dxa" w:w="2126"/>
            <w:shd w:val="clear" w:color="auto" w:fill="F2F2F2"/>
          </w:tcPr>
          <w:p>
            <w:pPr>
              <w:jc w:val="left"/>
            </w:pPr>
            <w:r/>
            <w:r>
              <w:rPr>
                <w:rFonts w:ascii="Microsoft YaHei" w:hAnsi="Microsoft YaHei" w:eastAsia="Microsoft YaHei"/>
                <w:sz w:val="20"/>
              </w:rPr>
              <w:t>Knowledge Graph</w:t>
            </w:r>
          </w:p>
        </w:tc>
        <w:tc>
          <w:tcPr>
            <w:tcW w:type="dxa" w:w="2126"/>
            <w:shd w:val="clear" w:color="auto" w:fill="F2F2F2"/>
          </w:tcPr>
          <w:p>
            <w:pPr>
              <w:jc w:val="left"/>
            </w:pPr>
            <w:r/>
            <w:r>
              <w:rPr>
                <w:rFonts w:ascii="Microsoft YaHei" w:hAnsi="Microsoft YaHei" w:eastAsia="Microsoft YaHei"/>
                <w:sz w:val="20"/>
              </w:rPr>
              <w:t>知识图谱</w:t>
            </w:r>
          </w:p>
        </w:tc>
        <w:tc>
          <w:tcPr>
            <w:tcW w:type="dxa" w:w="2126"/>
            <w:shd w:val="clear" w:color="auto" w:fill="F2F2F2"/>
          </w:tcPr>
          <w:p>
            <w:pPr>
              <w:jc w:val="left"/>
            </w:pPr>
            <w:r/>
            <w:r>
              <w:rPr>
                <w:rFonts w:ascii="Microsoft YaHei" w:hAnsi="Microsoft YaHei" w:eastAsia="Microsoft YaHei"/>
                <w:sz w:val="20"/>
              </w:rPr>
              <w:t>以图结构表示实体及其语义关系的数据模型</w:t>
            </w:r>
          </w:p>
        </w:tc>
      </w:tr>
      <w:tr>
        <w:tc>
          <w:tcPr>
            <w:tcW w:type="dxa" w:w="2126"/>
          </w:tcPr>
          <w:p>
            <w:pPr>
              <w:jc w:val="left"/>
            </w:pPr>
            <w:r/>
            <w:r>
              <w:rPr>
                <w:rFonts w:ascii="Microsoft YaHei" w:hAnsi="Microsoft YaHei" w:eastAsia="Microsoft YaHei"/>
                <w:sz w:val="20"/>
              </w:rPr>
              <w:t>19</w:t>
            </w:r>
          </w:p>
        </w:tc>
        <w:tc>
          <w:tcPr>
            <w:tcW w:type="dxa" w:w="2126"/>
          </w:tcPr>
          <w:p>
            <w:pPr>
              <w:jc w:val="left"/>
            </w:pPr>
            <w:r/>
            <w:r>
              <w:rPr>
                <w:rFonts w:ascii="Microsoft YaHei" w:hAnsi="Microsoft YaHei" w:eastAsia="Microsoft YaHei"/>
                <w:sz w:val="20"/>
              </w:rPr>
              <w:t>Digital Twin</w:t>
            </w:r>
          </w:p>
        </w:tc>
        <w:tc>
          <w:tcPr>
            <w:tcW w:type="dxa" w:w="2126"/>
          </w:tcPr>
          <w:p>
            <w:pPr>
              <w:jc w:val="left"/>
            </w:pPr>
            <w:r/>
            <w:r>
              <w:rPr>
                <w:rFonts w:ascii="Microsoft YaHei" w:hAnsi="Microsoft YaHei" w:eastAsia="Microsoft YaHei"/>
                <w:sz w:val="20"/>
              </w:rPr>
              <w:t>数字孪生</w:t>
            </w:r>
          </w:p>
        </w:tc>
        <w:tc>
          <w:tcPr>
            <w:tcW w:type="dxa" w:w="2126"/>
          </w:tcPr>
          <w:p>
            <w:pPr>
              <w:jc w:val="left"/>
            </w:pPr>
            <w:r/>
            <w:r>
              <w:rPr>
                <w:rFonts w:ascii="Microsoft YaHei" w:hAnsi="Microsoft YaHei" w:eastAsia="Microsoft YaHei"/>
                <w:sz w:val="20"/>
              </w:rPr>
              <w:t>物理实体的数字镜像，支持实时监测和虚拟实验</w:t>
            </w:r>
          </w:p>
        </w:tc>
      </w:tr>
      <w:tr>
        <w:tc>
          <w:tcPr>
            <w:tcW w:type="dxa" w:w="2126"/>
            <w:shd w:val="clear" w:color="auto" w:fill="F2F2F2"/>
          </w:tcPr>
          <w:p>
            <w:pPr>
              <w:jc w:val="left"/>
            </w:pPr>
            <w:r/>
            <w:r>
              <w:rPr>
                <w:rFonts w:ascii="Microsoft YaHei" w:hAnsi="Microsoft YaHei" w:eastAsia="Microsoft YaHei"/>
                <w:sz w:val="20"/>
              </w:rPr>
              <w:t>20</w:t>
            </w:r>
          </w:p>
        </w:tc>
        <w:tc>
          <w:tcPr>
            <w:tcW w:type="dxa" w:w="2126"/>
            <w:shd w:val="clear" w:color="auto" w:fill="F2F2F2"/>
          </w:tcPr>
          <w:p>
            <w:pPr>
              <w:jc w:val="left"/>
            </w:pPr>
            <w:r/>
            <w:r>
              <w:rPr>
                <w:rFonts w:ascii="Microsoft YaHei" w:hAnsi="Microsoft YaHei" w:eastAsia="Microsoft YaHei"/>
                <w:sz w:val="20"/>
              </w:rPr>
              <w:t>Generative AI</w:t>
            </w:r>
          </w:p>
        </w:tc>
        <w:tc>
          <w:tcPr>
            <w:tcW w:type="dxa" w:w="2126"/>
            <w:shd w:val="clear" w:color="auto" w:fill="F2F2F2"/>
          </w:tcPr>
          <w:p>
            <w:pPr>
              <w:jc w:val="left"/>
            </w:pPr>
            <w:r/>
            <w:r>
              <w:rPr>
                <w:rFonts w:ascii="Microsoft YaHei" w:hAnsi="Microsoft YaHei" w:eastAsia="Microsoft YaHei"/>
                <w:sz w:val="20"/>
              </w:rPr>
              <w:t>生成式AI</w:t>
            </w:r>
          </w:p>
        </w:tc>
        <w:tc>
          <w:tcPr>
            <w:tcW w:type="dxa" w:w="2126"/>
            <w:shd w:val="clear" w:color="auto" w:fill="F2F2F2"/>
          </w:tcPr>
          <w:p>
            <w:pPr>
              <w:jc w:val="left"/>
            </w:pPr>
            <w:r/>
            <w:r>
              <w:rPr>
                <w:rFonts w:ascii="Microsoft YaHei" w:hAnsi="Microsoft YaHei" w:eastAsia="Microsoft YaHei"/>
                <w:sz w:val="20"/>
              </w:rPr>
              <w:t>能够自动生成文本、图像、视频等内容的AI技术</w:t>
            </w:r>
          </w:p>
        </w:tc>
      </w:tr>
      <w:tr>
        <w:tc>
          <w:tcPr>
            <w:tcW w:type="dxa" w:w="2126"/>
          </w:tcPr>
          <w:p>
            <w:pPr>
              <w:jc w:val="left"/>
            </w:pPr>
            <w:r/>
            <w:r>
              <w:rPr>
                <w:rFonts w:ascii="Microsoft YaHei" w:hAnsi="Microsoft YaHei" w:eastAsia="Microsoft YaHei"/>
                <w:sz w:val="20"/>
              </w:rPr>
              <w:t>21</w:t>
            </w:r>
          </w:p>
        </w:tc>
        <w:tc>
          <w:tcPr>
            <w:tcW w:type="dxa" w:w="2126"/>
          </w:tcPr>
          <w:p>
            <w:pPr>
              <w:jc w:val="left"/>
            </w:pPr>
            <w:r/>
            <w:r>
              <w:rPr>
                <w:rFonts w:ascii="Microsoft YaHei" w:hAnsi="Microsoft YaHei" w:eastAsia="Microsoft YaHei"/>
                <w:sz w:val="20"/>
              </w:rPr>
              <w:t>Motion Capture</w:t>
            </w:r>
          </w:p>
        </w:tc>
        <w:tc>
          <w:tcPr>
            <w:tcW w:type="dxa" w:w="2126"/>
          </w:tcPr>
          <w:p>
            <w:pPr>
              <w:jc w:val="left"/>
            </w:pPr>
            <w:r/>
            <w:r>
              <w:rPr>
                <w:rFonts w:ascii="Microsoft YaHei" w:hAnsi="Microsoft YaHei" w:eastAsia="Microsoft YaHei"/>
                <w:sz w:val="20"/>
              </w:rPr>
              <w:t>动作捕捉</w:t>
            </w:r>
          </w:p>
        </w:tc>
        <w:tc>
          <w:tcPr>
            <w:tcW w:type="dxa" w:w="2126"/>
          </w:tcPr>
          <w:p>
            <w:pPr>
              <w:jc w:val="left"/>
            </w:pPr>
            <w:r/>
            <w:r>
              <w:rPr>
                <w:rFonts w:ascii="Microsoft YaHei" w:hAnsi="Microsoft YaHei" w:eastAsia="Microsoft YaHei"/>
                <w:sz w:val="20"/>
              </w:rPr>
              <w:t>记录人体运动数据的技术</w:t>
            </w:r>
          </w:p>
        </w:tc>
      </w:tr>
      <w:tr>
        <w:tc>
          <w:tcPr>
            <w:tcW w:type="dxa" w:w="2126"/>
            <w:shd w:val="clear" w:color="auto" w:fill="F2F2F2"/>
          </w:tcPr>
          <w:p>
            <w:pPr>
              <w:jc w:val="left"/>
            </w:pPr>
            <w:r/>
            <w:r>
              <w:rPr>
                <w:rFonts w:ascii="Microsoft YaHei" w:hAnsi="Microsoft YaHei" w:eastAsia="Microsoft YaHei"/>
                <w:sz w:val="20"/>
              </w:rPr>
              <w:t>22</w:t>
            </w:r>
          </w:p>
        </w:tc>
        <w:tc>
          <w:tcPr>
            <w:tcW w:type="dxa" w:w="2126"/>
            <w:shd w:val="clear" w:color="auto" w:fill="F2F2F2"/>
          </w:tcPr>
          <w:p>
            <w:pPr>
              <w:jc w:val="left"/>
            </w:pPr>
            <w:r/>
            <w:r>
              <w:rPr>
                <w:rFonts w:ascii="Microsoft YaHei" w:hAnsi="Microsoft YaHei" w:eastAsia="Microsoft YaHei"/>
                <w:sz w:val="20"/>
              </w:rPr>
              <w:t>Digital Colonialism</w:t>
            </w:r>
          </w:p>
        </w:tc>
        <w:tc>
          <w:tcPr>
            <w:tcW w:type="dxa" w:w="2126"/>
            <w:shd w:val="clear" w:color="auto" w:fill="F2F2F2"/>
          </w:tcPr>
          <w:p>
            <w:pPr>
              <w:jc w:val="left"/>
            </w:pPr>
            <w:r/>
            <w:r>
              <w:rPr>
                <w:rFonts w:ascii="Microsoft YaHei" w:hAnsi="Microsoft YaHei" w:eastAsia="Microsoft YaHei"/>
                <w:sz w:val="20"/>
              </w:rPr>
              <w:t>数字殖民主义</w:t>
            </w:r>
          </w:p>
        </w:tc>
        <w:tc>
          <w:tcPr>
            <w:tcW w:type="dxa" w:w="2126"/>
            <w:shd w:val="clear" w:color="auto" w:fill="F2F2F2"/>
          </w:tcPr>
          <w:p>
            <w:pPr>
              <w:jc w:val="left"/>
            </w:pPr>
            <w:r/>
            <w:r>
              <w:rPr>
                <w:rFonts w:ascii="Microsoft YaHei" w:hAnsi="Microsoft YaHei" w:eastAsia="Microsoft YaHei"/>
                <w:sz w:val="20"/>
              </w:rPr>
              <w:t>强势机构利用技术优势对弱势群体文化遗产进行数字化采集和利用的不平等行为</w:t>
            </w:r>
          </w:p>
        </w:tc>
      </w:tr>
      <w:tr>
        <w:tc>
          <w:tcPr>
            <w:tcW w:type="dxa" w:w="2126"/>
          </w:tcPr>
          <w:p>
            <w:pPr>
              <w:jc w:val="left"/>
            </w:pPr>
            <w:r/>
            <w:r>
              <w:rPr>
                <w:rFonts w:ascii="Microsoft YaHei" w:hAnsi="Microsoft YaHei" w:eastAsia="Microsoft YaHei"/>
                <w:sz w:val="20"/>
              </w:rPr>
              <w:t>23</w:t>
            </w:r>
          </w:p>
        </w:tc>
        <w:tc>
          <w:tcPr>
            <w:tcW w:type="dxa" w:w="2126"/>
          </w:tcPr>
          <w:p>
            <w:pPr>
              <w:jc w:val="left"/>
            </w:pPr>
            <w:r/>
            <w:r>
              <w:rPr>
                <w:rFonts w:ascii="Microsoft YaHei" w:hAnsi="Microsoft YaHei" w:eastAsia="Microsoft YaHei"/>
                <w:sz w:val="20"/>
              </w:rPr>
              <w:t>Participatory Culture</w:t>
            </w:r>
          </w:p>
        </w:tc>
        <w:tc>
          <w:tcPr>
            <w:tcW w:type="dxa" w:w="2126"/>
          </w:tcPr>
          <w:p>
            <w:pPr>
              <w:jc w:val="left"/>
            </w:pPr>
            <w:r/>
            <w:r>
              <w:rPr>
                <w:rFonts w:ascii="Microsoft YaHei" w:hAnsi="Microsoft YaHei" w:eastAsia="Microsoft YaHei"/>
                <w:sz w:val="20"/>
              </w:rPr>
              <w:t>参与式文化</w:t>
            </w:r>
          </w:p>
        </w:tc>
        <w:tc>
          <w:tcPr>
            <w:tcW w:type="dxa" w:w="2126"/>
          </w:tcPr>
          <w:p>
            <w:pPr>
              <w:jc w:val="left"/>
            </w:pPr>
            <w:r/>
            <w:r>
              <w:rPr>
                <w:rFonts w:ascii="Microsoft YaHei" w:hAnsi="Microsoft YaHei" w:eastAsia="Microsoft YaHei"/>
                <w:sz w:val="20"/>
              </w:rPr>
              <w:t>公众从内容消费者转变为参与者的数字文化形态</w:t>
            </w:r>
          </w:p>
        </w:tc>
      </w:tr>
      <w:tr>
        <w:tc>
          <w:tcPr>
            <w:tcW w:type="dxa" w:w="2126"/>
            <w:shd w:val="clear" w:color="auto" w:fill="F2F2F2"/>
          </w:tcPr>
          <w:p>
            <w:pPr>
              <w:jc w:val="left"/>
            </w:pPr>
            <w:r/>
            <w:r>
              <w:rPr>
                <w:rFonts w:ascii="Microsoft YaHei" w:hAnsi="Microsoft YaHei" w:eastAsia="Microsoft YaHei"/>
                <w:sz w:val="20"/>
              </w:rPr>
              <w:t>24</w:t>
            </w:r>
          </w:p>
        </w:tc>
        <w:tc>
          <w:tcPr>
            <w:tcW w:type="dxa" w:w="2126"/>
            <w:shd w:val="clear" w:color="auto" w:fill="F2F2F2"/>
          </w:tcPr>
          <w:p>
            <w:pPr>
              <w:jc w:val="left"/>
            </w:pPr>
            <w:r/>
            <w:r>
              <w:rPr>
                <w:rFonts w:ascii="Microsoft YaHei" w:hAnsi="Microsoft YaHei" w:eastAsia="Microsoft YaHei"/>
                <w:sz w:val="20"/>
              </w:rPr>
              <w:t>Transmedia Narrative</w:t>
            </w:r>
          </w:p>
        </w:tc>
        <w:tc>
          <w:tcPr>
            <w:tcW w:type="dxa" w:w="2126"/>
            <w:shd w:val="clear" w:color="auto" w:fill="F2F2F2"/>
          </w:tcPr>
          <w:p>
            <w:pPr>
              <w:jc w:val="left"/>
            </w:pPr>
            <w:r/>
            <w:r>
              <w:rPr>
                <w:rFonts w:ascii="Microsoft YaHei" w:hAnsi="Microsoft YaHei" w:eastAsia="Microsoft YaHei"/>
                <w:sz w:val="20"/>
              </w:rPr>
              <w:t>跨媒介叙事</w:t>
            </w:r>
          </w:p>
        </w:tc>
        <w:tc>
          <w:tcPr>
            <w:tcW w:type="dxa" w:w="2126"/>
            <w:shd w:val="clear" w:color="auto" w:fill="F2F2F2"/>
          </w:tcPr>
          <w:p>
            <w:pPr>
              <w:jc w:val="left"/>
            </w:pPr>
            <w:r/>
            <w:r>
              <w:rPr>
                <w:rFonts w:ascii="Microsoft YaHei" w:hAnsi="Microsoft YaHei" w:eastAsia="Microsoft YaHei"/>
                <w:sz w:val="20"/>
              </w:rPr>
              <w:t>故事在多个媒介平台上展开的叙事策略</w:t>
            </w:r>
          </w:p>
        </w:tc>
      </w:tr>
      <w:tr>
        <w:tc>
          <w:tcPr>
            <w:tcW w:type="dxa" w:w="2126"/>
          </w:tcPr>
          <w:p>
            <w:pPr>
              <w:jc w:val="left"/>
            </w:pPr>
            <w:r/>
            <w:r>
              <w:rPr>
                <w:rFonts w:ascii="Microsoft YaHei" w:hAnsi="Microsoft YaHei" w:eastAsia="Microsoft YaHei"/>
                <w:sz w:val="20"/>
              </w:rPr>
              <w:t>25</w:t>
            </w:r>
          </w:p>
        </w:tc>
        <w:tc>
          <w:tcPr>
            <w:tcW w:type="dxa" w:w="2126"/>
          </w:tcPr>
          <w:p>
            <w:pPr>
              <w:jc w:val="left"/>
            </w:pPr>
            <w:r/>
            <w:r>
              <w:rPr>
                <w:rFonts w:ascii="Microsoft YaHei" w:hAnsi="Microsoft YaHei" w:eastAsia="Microsoft YaHei"/>
                <w:sz w:val="20"/>
              </w:rPr>
              <w:t>Crowdsourcing</w:t>
            </w:r>
          </w:p>
        </w:tc>
        <w:tc>
          <w:tcPr>
            <w:tcW w:type="dxa" w:w="2126"/>
          </w:tcPr>
          <w:p>
            <w:pPr>
              <w:jc w:val="left"/>
            </w:pPr>
            <w:r/>
            <w:r>
              <w:rPr>
                <w:rFonts w:ascii="Microsoft YaHei" w:hAnsi="Microsoft YaHei" w:eastAsia="Microsoft YaHei"/>
                <w:sz w:val="20"/>
              </w:rPr>
              <w:t>众包</w:t>
            </w:r>
          </w:p>
        </w:tc>
        <w:tc>
          <w:tcPr>
            <w:tcW w:type="dxa" w:w="2126"/>
          </w:tcPr>
          <w:p>
            <w:pPr>
              <w:jc w:val="left"/>
            </w:pPr>
            <w:r/>
            <w:r>
              <w:rPr>
                <w:rFonts w:ascii="Microsoft YaHei" w:hAnsi="Microsoft YaHei" w:eastAsia="Microsoft YaHei"/>
                <w:sz w:val="20"/>
              </w:rPr>
              <w:t>利用公众力量完成特定任务的模式</w:t>
            </w:r>
          </w:p>
        </w:tc>
      </w:tr>
      <w:tr>
        <w:tc>
          <w:tcPr>
            <w:tcW w:type="dxa" w:w="2126"/>
            <w:shd w:val="clear" w:color="auto" w:fill="F2F2F2"/>
          </w:tcPr>
          <w:p>
            <w:pPr>
              <w:jc w:val="left"/>
            </w:pPr>
            <w:r/>
            <w:r>
              <w:rPr>
                <w:rFonts w:ascii="Microsoft YaHei" w:hAnsi="Microsoft YaHei" w:eastAsia="Microsoft YaHei"/>
                <w:sz w:val="20"/>
              </w:rPr>
              <w:t>26</w:t>
            </w:r>
          </w:p>
        </w:tc>
        <w:tc>
          <w:tcPr>
            <w:tcW w:type="dxa" w:w="2126"/>
            <w:shd w:val="clear" w:color="auto" w:fill="F2F2F2"/>
          </w:tcPr>
          <w:p>
            <w:pPr>
              <w:jc w:val="left"/>
            </w:pPr>
            <w:r/>
            <w:r>
              <w:rPr>
                <w:rFonts w:ascii="Microsoft YaHei" w:hAnsi="Microsoft YaHei" w:eastAsia="Microsoft YaHei"/>
                <w:sz w:val="20"/>
              </w:rPr>
              <w:t>LOD (Level of Detail)</w:t>
            </w:r>
          </w:p>
        </w:tc>
        <w:tc>
          <w:tcPr>
            <w:tcW w:type="dxa" w:w="2126"/>
            <w:shd w:val="clear" w:color="auto" w:fill="F2F2F2"/>
          </w:tcPr>
          <w:p>
            <w:pPr>
              <w:jc w:val="left"/>
            </w:pPr>
            <w:r/>
            <w:r>
              <w:rPr>
                <w:rFonts w:ascii="Microsoft YaHei" w:hAnsi="Microsoft YaHei" w:eastAsia="Microsoft YaHei"/>
                <w:sz w:val="20"/>
              </w:rPr>
              <w:t>细节层次</w:t>
            </w:r>
          </w:p>
        </w:tc>
        <w:tc>
          <w:tcPr>
            <w:tcW w:type="dxa" w:w="2126"/>
            <w:shd w:val="clear" w:color="auto" w:fill="F2F2F2"/>
          </w:tcPr>
          <w:p>
            <w:pPr>
              <w:jc w:val="left"/>
            </w:pPr>
            <w:r/>
            <w:r>
              <w:rPr>
                <w:rFonts w:ascii="Microsoft YaHei" w:hAnsi="Microsoft YaHei" w:eastAsia="Microsoft YaHei"/>
                <w:sz w:val="20"/>
              </w:rPr>
              <w:t>根据视距调整模型精度的策略</w:t>
            </w:r>
          </w:p>
        </w:tc>
      </w:tr>
      <w:tr>
        <w:tc>
          <w:tcPr>
            <w:tcW w:type="dxa" w:w="2126"/>
          </w:tcPr>
          <w:p>
            <w:pPr>
              <w:jc w:val="left"/>
            </w:pPr>
            <w:r/>
            <w:r>
              <w:rPr>
                <w:rFonts w:ascii="Microsoft YaHei" w:hAnsi="Microsoft YaHei" w:eastAsia="Microsoft YaHei"/>
                <w:sz w:val="20"/>
              </w:rPr>
              <w:t>27</w:t>
            </w:r>
          </w:p>
        </w:tc>
        <w:tc>
          <w:tcPr>
            <w:tcW w:type="dxa" w:w="2126"/>
          </w:tcPr>
          <w:p>
            <w:pPr>
              <w:jc w:val="left"/>
            </w:pPr>
            <w:r/>
            <w:r>
              <w:rPr>
                <w:rFonts w:ascii="Microsoft YaHei" w:hAnsi="Microsoft YaHei" w:eastAsia="Microsoft YaHei"/>
                <w:sz w:val="20"/>
              </w:rPr>
              <w:t>Digital Humanities</w:t>
            </w:r>
          </w:p>
        </w:tc>
        <w:tc>
          <w:tcPr>
            <w:tcW w:type="dxa" w:w="2126"/>
          </w:tcPr>
          <w:p>
            <w:pPr>
              <w:jc w:val="left"/>
            </w:pPr>
            <w:r/>
            <w:r>
              <w:rPr>
                <w:rFonts w:ascii="Microsoft YaHei" w:hAnsi="Microsoft YaHei" w:eastAsia="Microsoft YaHei"/>
                <w:sz w:val="20"/>
              </w:rPr>
              <w:t>数字人文</w:t>
            </w:r>
          </w:p>
        </w:tc>
        <w:tc>
          <w:tcPr>
            <w:tcW w:type="dxa" w:w="2126"/>
          </w:tcPr>
          <w:p>
            <w:pPr>
              <w:jc w:val="left"/>
            </w:pPr>
            <w:r/>
            <w:r>
              <w:rPr>
                <w:rFonts w:ascii="Microsoft YaHei" w:hAnsi="Microsoft YaHei" w:eastAsia="Microsoft YaHei"/>
                <w:sz w:val="20"/>
              </w:rPr>
              <w:t>人文学科与数字技术交叉的新兴学科领域</w:t>
            </w:r>
          </w:p>
        </w:tc>
      </w:tr>
      <w:tr>
        <w:tc>
          <w:tcPr>
            <w:tcW w:type="dxa" w:w="2126"/>
            <w:shd w:val="clear" w:color="auto" w:fill="F2F2F2"/>
          </w:tcPr>
          <w:p>
            <w:pPr>
              <w:jc w:val="left"/>
            </w:pPr>
            <w:r/>
            <w:r>
              <w:rPr>
                <w:rFonts w:ascii="Microsoft YaHei" w:hAnsi="Microsoft YaHei" w:eastAsia="Microsoft YaHei"/>
                <w:sz w:val="20"/>
              </w:rPr>
              <w:t>28</w:t>
            </w:r>
          </w:p>
        </w:tc>
        <w:tc>
          <w:tcPr>
            <w:tcW w:type="dxa" w:w="2126"/>
            <w:shd w:val="clear" w:color="auto" w:fill="F2F2F2"/>
          </w:tcPr>
          <w:p>
            <w:pPr>
              <w:jc w:val="left"/>
            </w:pPr>
            <w:r/>
            <w:r>
              <w:rPr>
                <w:rFonts w:ascii="Microsoft YaHei" w:hAnsi="Microsoft YaHei" w:eastAsia="Microsoft YaHei"/>
                <w:sz w:val="20"/>
              </w:rPr>
              <w:t>Cultural Memory</w:t>
            </w:r>
          </w:p>
        </w:tc>
        <w:tc>
          <w:tcPr>
            <w:tcW w:type="dxa" w:w="2126"/>
            <w:shd w:val="clear" w:color="auto" w:fill="F2F2F2"/>
          </w:tcPr>
          <w:p>
            <w:pPr>
              <w:jc w:val="left"/>
            </w:pPr>
            <w:r/>
            <w:r>
              <w:rPr>
                <w:rFonts w:ascii="Microsoft YaHei" w:hAnsi="Microsoft YaHei" w:eastAsia="Microsoft YaHei"/>
                <w:sz w:val="20"/>
              </w:rPr>
              <w:t>文化记忆</w:t>
            </w:r>
          </w:p>
        </w:tc>
        <w:tc>
          <w:tcPr>
            <w:tcW w:type="dxa" w:w="2126"/>
            <w:shd w:val="clear" w:color="auto" w:fill="F2F2F2"/>
          </w:tcPr>
          <w:p>
            <w:pPr>
              <w:jc w:val="left"/>
            </w:pPr>
            <w:r/>
            <w:r>
              <w:rPr>
                <w:rFonts w:ascii="Microsoft YaHei" w:hAnsi="Microsoft YaHei" w:eastAsia="Microsoft YaHei"/>
                <w:sz w:val="20"/>
              </w:rPr>
              <w:t>文化传承中主动的、制度化的记忆实践</w:t>
            </w:r>
          </w:p>
        </w:tc>
      </w:tr>
      <w:tr>
        <w:tc>
          <w:tcPr>
            <w:tcW w:type="dxa" w:w="2126"/>
          </w:tcPr>
          <w:p>
            <w:pPr>
              <w:jc w:val="left"/>
            </w:pPr>
            <w:r/>
            <w:r>
              <w:rPr>
                <w:rFonts w:ascii="Microsoft YaHei" w:hAnsi="Microsoft YaHei" w:eastAsia="Microsoft YaHei"/>
                <w:sz w:val="20"/>
              </w:rPr>
              <w:t>29</w:t>
            </w:r>
          </w:p>
        </w:tc>
        <w:tc>
          <w:tcPr>
            <w:tcW w:type="dxa" w:w="2126"/>
          </w:tcPr>
          <w:p>
            <w:pPr>
              <w:jc w:val="left"/>
            </w:pPr>
            <w:r/>
            <w:r>
              <w:rPr>
                <w:rFonts w:ascii="Microsoft YaHei" w:hAnsi="Microsoft YaHei" w:eastAsia="Microsoft YaHei"/>
                <w:sz w:val="20"/>
              </w:rPr>
              <w:t>G.U.A.R.D. Framework</w:t>
            </w:r>
          </w:p>
        </w:tc>
        <w:tc>
          <w:tcPr>
            <w:tcW w:type="dxa" w:w="2126"/>
          </w:tcPr>
          <w:p>
            <w:pPr>
              <w:jc w:val="left"/>
            </w:pPr>
            <w:r/>
            <w:r>
              <w:rPr>
                <w:rFonts w:ascii="Microsoft YaHei" w:hAnsi="Microsoft YaHei" w:eastAsia="Microsoft YaHei"/>
                <w:sz w:val="20"/>
              </w:rPr>
              <w:t>守护框架</w:t>
            </w:r>
          </w:p>
        </w:tc>
        <w:tc>
          <w:tcPr>
            <w:tcW w:type="dxa" w:w="2126"/>
          </w:tcPr>
          <w:p>
            <w:pPr>
              <w:jc w:val="left"/>
            </w:pPr>
            <w:r/>
            <w:r>
              <w:rPr>
                <w:rFonts w:ascii="Microsoft YaHei" w:hAnsi="Microsoft YaHei" w:eastAsia="Microsoft YaHei"/>
                <w:sz w:val="20"/>
              </w:rPr>
              <w:t>本专著提出的文化遗产数字化保护五维方法论体系</w:t>
            </w:r>
          </w:p>
        </w:tc>
      </w:tr>
      <w:tr>
        <w:tc>
          <w:tcPr>
            <w:tcW w:type="dxa" w:w="2126"/>
            <w:shd w:val="clear" w:color="auto" w:fill="F2F2F2"/>
          </w:tcPr>
          <w:p>
            <w:pPr>
              <w:jc w:val="left"/>
            </w:pPr>
            <w:r/>
            <w:r>
              <w:rPr>
                <w:rFonts w:ascii="Microsoft YaHei" w:hAnsi="Microsoft YaHei" w:eastAsia="Microsoft YaHei"/>
                <w:sz w:val="20"/>
              </w:rPr>
              <w:t>30</w:t>
            </w:r>
          </w:p>
        </w:tc>
        <w:tc>
          <w:tcPr>
            <w:tcW w:type="dxa" w:w="2126"/>
            <w:shd w:val="clear" w:color="auto" w:fill="F2F2F2"/>
          </w:tcPr>
          <w:p>
            <w:pPr>
              <w:jc w:val="left"/>
            </w:pPr>
            <w:r/>
            <w:r>
              <w:rPr>
                <w:rFonts w:ascii="Microsoft YaHei" w:hAnsi="Microsoft YaHei" w:eastAsia="Microsoft YaHei"/>
                <w:sz w:val="20"/>
              </w:rPr>
              <w:t>Europeana</w:t>
            </w:r>
          </w:p>
        </w:tc>
        <w:tc>
          <w:tcPr>
            <w:tcW w:type="dxa" w:w="2126"/>
            <w:shd w:val="clear" w:color="auto" w:fill="F2F2F2"/>
          </w:tcPr>
          <w:p>
            <w:pPr>
              <w:jc w:val="left"/>
            </w:pPr>
            <w:r/>
            <w:r>
              <w:rPr>
                <w:rFonts w:ascii="Microsoft YaHei" w:hAnsi="Microsoft YaHei" w:eastAsia="Microsoft YaHei"/>
                <w:sz w:val="20"/>
              </w:rPr>
              <w:t>欧洲数字图书馆</w:t>
            </w:r>
          </w:p>
        </w:tc>
        <w:tc>
          <w:tcPr>
            <w:tcW w:type="dxa" w:w="2126"/>
            <w:shd w:val="clear" w:color="auto" w:fill="F2F2F2"/>
          </w:tcPr>
          <w:p>
            <w:pPr>
              <w:jc w:val="left"/>
            </w:pPr>
            <w:r/>
            <w:r>
              <w:rPr>
                <w:rFonts w:ascii="Microsoft YaHei" w:hAnsi="Microsoft YaHei" w:eastAsia="Microsoft YaHei"/>
                <w:sz w:val="20"/>
              </w:rPr>
              <w:t>欧洲文化遗产数字平台，整合多国文化机构资源</w:t>
            </w:r>
          </w:p>
        </w:tc>
      </w:tr>
    </w:tbl>
    <w:p/>
    <w:p>
      <w:r>
        <w:br w:type="page"/>
      </w:r>
    </w:p>
    <w:p>
      <w:pPr>
        <w:pStyle w:val="Heading2"/>
      </w:pPr>
      <w:r>
        <w:rPr>
          <w:rFonts w:ascii="Microsoft YaHei" w:hAnsi="Microsoft YaHei" w:eastAsia="Microsoft YaHei"/>
          <w:color w:val="264653"/>
        </w:rPr>
        <w:t>附录B 工具与平台速查</w:t>
      </w:r>
    </w:p>
    <w:p>
      <w:pPr>
        <w:pStyle w:val="Heading3"/>
      </w:pPr>
      <w:r>
        <w:rPr>
          <w:rFonts w:ascii="Microsoft YaHei" w:hAnsi="Microsoft YaHei" w:eastAsia="Microsoft YaHei"/>
          <w:color w:val="457B9D"/>
        </w:rPr>
        <w:t>一、三维扫描设备</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shd w:val="clear" w:color="auto" w:fill="D9E2F3"/>
          </w:tcPr>
          <w:p>
            <w:pPr>
              <w:jc w:val="left"/>
            </w:pPr>
            <w:r/>
            <w:r>
              <w:rPr>
                <w:rFonts w:ascii="Microsoft YaHei" w:hAnsi="Microsoft YaHei" w:eastAsia="Microsoft YaHei"/>
                <w:b/>
                <w:sz w:val="20"/>
              </w:rPr>
              <w:t>设备名称</w:t>
            </w:r>
          </w:p>
        </w:tc>
        <w:tc>
          <w:tcPr>
            <w:tcW w:type="dxa" w:w="1417"/>
            <w:shd w:val="clear" w:color="auto" w:fill="D9E2F3"/>
          </w:tcPr>
          <w:p>
            <w:pPr>
              <w:jc w:val="left"/>
            </w:pPr>
            <w:r/>
            <w:r>
              <w:rPr>
                <w:rFonts w:ascii="Microsoft YaHei" w:hAnsi="Microsoft YaHei" w:eastAsia="Microsoft YaHei"/>
                <w:b/>
                <w:sz w:val="20"/>
              </w:rPr>
              <w:t>厂商</w:t>
            </w:r>
          </w:p>
        </w:tc>
        <w:tc>
          <w:tcPr>
            <w:tcW w:type="dxa" w:w="1417"/>
            <w:shd w:val="clear" w:color="auto" w:fill="D9E2F3"/>
          </w:tcPr>
          <w:p>
            <w:pPr>
              <w:jc w:val="left"/>
            </w:pPr>
            <w:r/>
            <w:r>
              <w:rPr>
                <w:rFonts w:ascii="Microsoft YaHei" w:hAnsi="Microsoft YaHei" w:eastAsia="Microsoft YaHei"/>
                <w:b/>
                <w:sz w:val="20"/>
              </w:rPr>
              <w:t>类型</w:t>
            </w:r>
          </w:p>
        </w:tc>
        <w:tc>
          <w:tcPr>
            <w:tcW w:type="dxa" w:w="1417"/>
            <w:shd w:val="clear" w:color="auto" w:fill="D9E2F3"/>
          </w:tcPr>
          <w:p>
            <w:pPr>
              <w:jc w:val="left"/>
            </w:pPr>
            <w:r/>
            <w:r>
              <w:rPr>
                <w:rFonts w:ascii="Microsoft YaHei" w:hAnsi="Microsoft YaHei" w:eastAsia="Microsoft YaHei"/>
                <w:b/>
                <w:sz w:val="20"/>
              </w:rPr>
              <w:t>精度</w:t>
            </w:r>
          </w:p>
        </w:tc>
        <w:tc>
          <w:tcPr>
            <w:tcW w:type="dxa" w:w="1417"/>
            <w:shd w:val="clear" w:color="auto" w:fill="D9E2F3"/>
          </w:tcPr>
          <w:p>
            <w:pPr>
              <w:jc w:val="left"/>
            </w:pPr>
            <w:r/>
            <w:r>
              <w:rPr>
                <w:rFonts w:ascii="Microsoft YaHei" w:hAnsi="Microsoft YaHei" w:eastAsia="Microsoft YaHei"/>
                <w:b/>
                <w:sz w:val="20"/>
              </w:rPr>
              <w:t>适用场景</w:t>
            </w:r>
          </w:p>
        </w:tc>
        <w:tc>
          <w:tcPr>
            <w:tcW w:type="dxa" w:w="1417"/>
            <w:shd w:val="clear" w:color="auto" w:fill="D9E2F3"/>
          </w:tcPr>
          <w:p>
            <w:pPr>
              <w:jc w:val="left"/>
            </w:pPr>
            <w:r/>
            <w:r>
              <w:rPr>
                <w:rFonts w:ascii="Microsoft YaHei" w:hAnsi="Microsoft YaHei" w:eastAsia="Microsoft YaHei"/>
                <w:b/>
                <w:sz w:val="20"/>
              </w:rPr>
              <w:t>参考价格</w:t>
            </w:r>
          </w:p>
        </w:tc>
      </w:tr>
      <w:tr>
        <w:tc>
          <w:tcPr>
            <w:tcW w:type="dxa" w:w="1417"/>
          </w:tcPr>
          <w:p>
            <w:pPr>
              <w:jc w:val="left"/>
            </w:pPr>
            <w:r/>
            <w:r>
              <w:rPr>
                <w:rFonts w:ascii="Microsoft YaHei" w:hAnsi="Microsoft YaHei" w:eastAsia="Microsoft YaHei"/>
                <w:sz w:val="20"/>
              </w:rPr>
              <w:t>EinScan Pro HD</w:t>
            </w:r>
          </w:p>
        </w:tc>
        <w:tc>
          <w:tcPr>
            <w:tcW w:type="dxa" w:w="1417"/>
          </w:tcPr>
          <w:p>
            <w:pPr>
              <w:jc w:val="left"/>
            </w:pPr>
            <w:r/>
            <w:r>
              <w:rPr>
                <w:rFonts w:ascii="Microsoft YaHei" w:hAnsi="Microsoft YaHei" w:eastAsia="Microsoft YaHei"/>
                <w:sz w:val="20"/>
              </w:rPr>
              <w:t>先临三维</w:t>
            </w:r>
          </w:p>
        </w:tc>
        <w:tc>
          <w:tcPr>
            <w:tcW w:type="dxa" w:w="1417"/>
          </w:tcPr>
          <w:p>
            <w:pPr>
              <w:jc w:val="left"/>
            </w:pPr>
            <w:r/>
            <w:r>
              <w:rPr>
                <w:rFonts w:ascii="Microsoft YaHei" w:hAnsi="Microsoft YaHei" w:eastAsia="Microsoft YaHei"/>
                <w:sz w:val="20"/>
              </w:rPr>
              <w:t>结构光</w:t>
            </w:r>
          </w:p>
        </w:tc>
        <w:tc>
          <w:tcPr>
            <w:tcW w:type="dxa" w:w="1417"/>
          </w:tcPr>
          <w:p>
            <w:pPr>
              <w:jc w:val="left"/>
            </w:pPr>
            <w:r/>
            <w:r>
              <w:rPr>
                <w:rFonts w:ascii="Microsoft YaHei" w:hAnsi="Microsoft YaHei" w:eastAsia="Microsoft YaHei"/>
                <w:sz w:val="20"/>
              </w:rPr>
              <w:t>0.04mm</w:t>
            </w:r>
          </w:p>
        </w:tc>
        <w:tc>
          <w:tcPr>
            <w:tcW w:type="dxa" w:w="1417"/>
          </w:tcPr>
          <w:p>
            <w:pPr>
              <w:jc w:val="left"/>
            </w:pPr>
            <w:r/>
            <w:r>
              <w:rPr>
                <w:rFonts w:ascii="Microsoft YaHei" w:hAnsi="Microsoft YaHei" w:eastAsia="Microsoft YaHei"/>
                <w:sz w:val="20"/>
              </w:rPr>
              <w:t>中小型文物</w:t>
            </w:r>
          </w:p>
        </w:tc>
        <w:tc>
          <w:tcPr>
            <w:tcW w:type="dxa" w:w="1417"/>
          </w:tcPr>
          <w:p>
            <w:pPr>
              <w:jc w:val="left"/>
            </w:pPr>
            <w:r/>
            <w:r>
              <w:rPr>
                <w:rFonts w:ascii="Microsoft YaHei" w:hAnsi="Microsoft YaHei" w:eastAsia="Microsoft YaHei"/>
                <w:sz w:val="20"/>
              </w:rPr>
              <w:t>5-10万元</w:t>
            </w:r>
          </w:p>
        </w:tc>
      </w:tr>
      <w:tr>
        <w:tc>
          <w:tcPr>
            <w:tcW w:type="dxa" w:w="1417"/>
            <w:shd w:val="clear" w:color="auto" w:fill="F2F2F2"/>
          </w:tcPr>
          <w:p>
            <w:pPr>
              <w:jc w:val="left"/>
            </w:pPr>
            <w:r/>
            <w:r>
              <w:rPr>
                <w:rFonts w:ascii="Microsoft YaHei" w:hAnsi="Microsoft YaHei" w:eastAsia="Microsoft YaHei"/>
                <w:sz w:val="20"/>
              </w:rPr>
              <w:t>Artec Eva</w:t>
            </w:r>
          </w:p>
        </w:tc>
        <w:tc>
          <w:tcPr>
            <w:tcW w:type="dxa" w:w="1417"/>
            <w:shd w:val="clear" w:color="auto" w:fill="F2F2F2"/>
          </w:tcPr>
          <w:p>
            <w:pPr>
              <w:jc w:val="left"/>
            </w:pPr>
            <w:r/>
            <w:r>
              <w:rPr>
                <w:rFonts w:ascii="Microsoft YaHei" w:hAnsi="Microsoft YaHei" w:eastAsia="Microsoft YaHei"/>
                <w:sz w:val="20"/>
              </w:rPr>
              <w:t>Artec 3D</w:t>
            </w:r>
          </w:p>
        </w:tc>
        <w:tc>
          <w:tcPr>
            <w:tcW w:type="dxa" w:w="1417"/>
            <w:shd w:val="clear" w:color="auto" w:fill="F2F2F2"/>
          </w:tcPr>
          <w:p>
            <w:pPr>
              <w:jc w:val="left"/>
            </w:pPr>
            <w:r/>
            <w:r>
              <w:rPr>
                <w:rFonts w:ascii="Microsoft YaHei" w:hAnsi="Microsoft YaHei" w:eastAsia="Microsoft YaHei"/>
                <w:sz w:val="20"/>
              </w:rPr>
              <w:t>结构光</w:t>
            </w:r>
          </w:p>
        </w:tc>
        <w:tc>
          <w:tcPr>
            <w:tcW w:type="dxa" w:w="1417"/>
            <w:shd w:val="clear" w:color="auto" w:fill="F2F2F2"/>
          </w:tcPr>
          <w:p>
            <w:pPr>
              <w:jc w:val="left"/>
            </w:pPr>
            <w:r/>
            <w:r>
              <w:rPr>
                <w:rFonts w:ascii="Microsoft YaHei" w:hAnsi="Microsoft YaHei" w:eastAsia="Microsoft YaHei"/>
                <w:sz w:val="20"/>
              </w:rPr>
              <w:t>0.1mm</w:t>
            </w:r>
          </w:p>
        </w:tc>
        <w:tc>
          <w:tcPr>
            <w:tcW w:type="dxa" w:w="1417"/>
            <w:shd w:val="clear" w:color="auto" w:fill="F2F2F2"/>
          </w:tcPr>
          <w:p>
            <w:pPr>
              <w:jc w:val="left"/>
            </w:pPr>
            <w:r/>
            <w:r>
              <w:rPr>
                <w:rFonts w:ascii="Microsoft YaHei" w:hAnsi="Microsoft YaHei" w:eastAsia="Microsoft YaHei"/>
                <w:sz w:val="20"/>
              </w:rPr>
              <w:t>中型文物</w:t>
            </w:r>
          </w:p>
        </w:tc>
        <w:tc>
          <w:tcPr>
            <w:tcW w:type="dxa" w:w="1417"/>
            <w:shd w:val="clear" w:color="auto" w:fill="F2F2F2"/>
          </w:tcPr>
          <w:p>
            <w:pPr>
              <w:jc w:val="left"/>
            </w:pPr>
            <w:r/>
            <w:r>
              <w:rPr>
                <w:rFonts w:ascii="Microsoft YaHei" w:hAnsi="Microsoft YaHei" w:eastAsia="Microsoft YaHei"/>
                <w:sz w:val="20"/>
              </w:rPr>
              <w:t>15-20万元</w:t>
            </w:r>
          </w:p>
        </w:tc>
      </w:tr>
      <w:tr>
        <w:tc>
          <w:tcPr>
            <w:tcW w:type="dxa" w:w="1417"/>
          </w:tcPr>
          <w:p>
            <w:pPr>
              <w:jc w:val="left"/>
            </w:pPr>
            <w:r/>
            <w:r>
              <w:rPr>
                <w:rFonts w:ascii="Microsoft YaHei" w:hAnsi="Microsoft YaHei" w:eastAsia="Microsoft YaHei"/>
                <w:sz w:val="20"/>
              </w:rPr>
              <w:t>Creaform HandySCAN 3D</w:t>
            </w:r>
          </w:p>
        </w:tc>
        <w:tc>
          <w:tcPr>
            <w:tcW w:type="dxa" w:w="1417"/>
          </w:tcPr>
          <w:p>
            <w:pPr>
              <w:jc w:val="left"/>
            </w:pPr>
            <w:r/>
            <w:r>
              <w:rPr>
                <w:rFonts w:ascii="Microsoft YaHei" w:hAnsi="Microsoft YaHei" w:eastAsia="Microsoft YaHei"/>
                <w:sz w:val="20"/>
              </w:rPr>
              <w:t>Creaform</w:t>
            </w:r>
          </w:p>
        </w:tc>
        <w:tc>
          <w:tcPr>
            <w:tcW w:type="dxa" w:w="1417"/>
          </w:tcPr>
          <w:p>
            <w:pPr>
              <w:jc w:val="left"/>
            </w:pPr>
            <w:r/>
            <w:r>
              <w:rPr>
                <w:rFonts w:ascii="Microsoft YaHei" w:hAnsi="Microsoft YaHei" w:eastAsia="Microsoft YaHei"/>
                <w:sz w:val="20"/>
              </w:rPr>
              <w:t>激光</w:t>
            </w:r>
          </w:p>
        </w:tc>
        <w:tc>
          <w:tcPr>
            <w:tcW w:type="dxa" w:w="1417"/>
          </w:tcPr>
          <w:p>
            <w:pPr>
              <w:jc w:val="left"/>
            </w:pPr>
            <w:r/>
            <w:r>
              <w:rPr>
                <w:rFonts w:ascii="Microsoft YaHei" w:hAnsi="Microsoft YaHei" w:eastAsia="Microsoft YaHei"/>
                <w:sz w:val="20"/>
              </w:rPr>
              <w:t>0.025mm</w:t>
            </w:r>
          </w:p>
        </w:tc>
        <w:tc>
          <w:tcPr>
            <w:tcW w:type="dxa" w:w="1417"/>
          </w:tcPr>
          <w:p>
            <w:pPr>
              <w:jc w:val="left"/>
            </w:pPr>
            <w:r/>
            <w:r>
              <w:rPr>
                <w:rFonts w:ascii="Microsoft YaHei" w:hAnsi="Microsoft YaHei" w:eastAsia="Microsoft YaHei"/>
                <w:sz w:val="20"/>
              </w:rPr>
              <w:t>高精度文物</w:t>
            </w:r>
          </w:p>
        </w:tc>
        <w:tc>
          <w:tcPr>
            <w:tcW w:type="dxa" w:w="1417"/>
          </w:tcPr>
          <w:p>
            <w:pPr>
              <w:jc w:val="left"/>
            </w:pPr>
            <w:r/>
            <w:r>
              <w:rPr>
                <w:rFonts w:ascii="Microsoft YaHei" w:hAnsi="Microsoft YaHei" w:eastAsia="Microsoft YaHei"/>
                <w:sz w:val="20"/>
              </w:rPr>
              <w:t>30-50万元</w:t>
            </w:r>
          </w:p>
        </w:tc>
      </w:tr>
      <w:tr>
        <w:tc>
          <w:tcPr>
            <w:tcW w:type="dxa" w:w="1417"/>
            <w:shd w:val="clear" w:color="auto" w:fill="F2F2F2"/>
          </w:tcPr>
          <w:p>
            <w:pPr>
              <w:jc w:val="left"/>
            </w:pPr>
            <w:r/>
            <w:r>
              <w:rPr>
                <w:rFonts w:ascii="Microsoft YaHei" w:hAnsi="Microsoft YaHei" w:eastAsia="Microsoft YaHei"/>
                <w:sz w:val="20"/>
              </w:rPr>
              <w:t>Leica BLK360</w:t>
            </w:r>
          </w:p>
        </w:tc>
        <w:tc>
          <w:tcPr>
            <w:tcW w:type="dxa" w:w="1417"/>
            <w:shd w:val="clear" w:color="auto" w:fill="F2F2F2"/>
          </w:tcPr>
          <w:p>
            <w:pPr>
              <w:jc w:val="left"/>
            </w:pPr>
            <w:r/>
            <w:r>
              <w:rPr>
                <w:rFonts w:ascii="Microsoft YaHei" w:hAnsi="Microsoft YaHei" w:eastAsia="Microsoft YaHei"/>
                <w:sz w:val="20"/>
              </w:rPr>
              <w:t>徕卡</w:t>
            </w:r>
          </w:p>
        </w:tc>
        <w:tc>
          <w:tcPr>
            <w:tcW w:type="dxa" w:w="1417"/>
            <w:shd w:val="clear" w:color="auto" w:fill="F2F2F2"/>
          </w:tcPr>
          <w:p>
            <w:pPr>
              <w:jc w:val="left"/>
            </w:pPr>
            <w:r/>
            <w:r>
              <w:rPr>
                <w:rFonts w:ascii="Microsoft YaHei" w:hAnsi="Microsoft YaHei" w:eastAsia="Microsoft YaHei"/>
                <w:sz w:val="20"/>
              </w:rPr>
              <w:t>激光（ToF）</w:t>
            </w:r>
          </w:p>
        </w:tc>
        <w:tc>
          <w:tcPr>
            <w:tcW w:type="dxa" w:w="1417"/>
            <w:shd w:val="clear" w:color="auto" w:fill="F2F2F2"/>
          </w:tcPr>
          <w:p>
            <w:pPr>
              <w:jc w:val="left"/>
            </w:pPr>
            <w:r/>
            <w:r>
              <w:rPr>
                <w:rFonts w:ascii="Microsoft YaHei" w:hAnsi="Microsoft YaHei" w:eastAsia="Microsoft YaHei"/>
                <w:sz w:val="20"/>
              </w:rPr>
              <w:t>6mm@10m</w:t>
            </w:r>
          </w:p>
        </w:tc>
        <w:tc>
          <w:tcPr>
            <w:tcW w:type="dxa" w:w="1417"/>
            <w:shd w:val="clear" w:color="auto" w:fill="F2F2F2"/>
          </w:tcPr>
          <w:p>
            <w:pPr>
              <w:jc w:val="left"/>
            </w:pPr>
            <w:r/>
            <w:r>
              <w:rPr>
                <w:rFonts w:ascii="Microsoft YaHei" w:hAnsi="Microsoft YaHei" w:eastAsia="Microsoft YaHei"/>
                <w:sz w:val="20"/>
              </w:rPr>
              <w:t>古建筑/遗址</w:t>
            </w:r>
          </w:p>
        </w:tc>
        <w:tc>
          <w:tcPr>
            <w:tcW w:type="dxa" w:w="1417"/>
            <w:shd w:val="clear" w:color="auto" w:fill="F2F2F2"/>
          </w:tcPr>
          <w:p>
            <w:pPr>
              <w:jc w:val="left"/>
            </w:pPr>
            <w:r/>
            <w:r>
              <w:rPr>
                <w:rFonts w:ascii="Microsoft YaHei" w:hAnsi="Microsoft YaHei" w:eastAsia="Microsoft YaHei"/>
                <w:sz w:val="20"/>
              </w:rPr>
              <w:t>15-20万元</w:t>
            </w:r>
          </w:p>
        </w:tc>
      </w:tr>
      <w:tr>
        <w:tc>
          <w:tcPr>
            <w:tcW w:type="dxa" w:w="1417"/>
          </w:tcPr>
          <w:p>
            <w:pPr>
              <w:jc w:val="left"/>
            </w:pPr>
            <w:r/>
            <w:r>
              <w:rPr>
                <w:rFonts w:ascii="Microsoft YaHei" w:hAnsi="Microsoft YaHei" w:eastAsia="Microsoft YaHei"/>
                <w:sz w:val="20"/>
              </w:rPr>
              <w:t>Faro Focus S350</w:t>
            </w:r>
          </w:p>
        </w:tc>
        <w:tc>
          <w:tcPr>
            <w:tcW w:type="dxa" w:w="1417"/>
          </w:tcPr>
          <w:p>
            <w:pPr>
              <w:jc w:val="left"/>
            </w:pPr>
            <w:r/>
            <w:r>
              <w:rPr>
                <w:rFonts w:ascii="Microsoft YaHei" w:hAnsi="Microsoft YaHei" w:eastAsia="Microsoft YaHei"/>
                <w:sz w:val="20"/>
              </w:rPr>
              <w:t>Faro</w:t>
            </w:r>
          </w:p>
        </w:tc>
        <w:tc>
          <w:tcPr>
            <w:tcW w:type="dxa" w:w="1417"/>
          </w:tcPr>
          <w:p>
            <w:pPr>
              <w:jc w:val="left"/>
            </w:pPr>
            <w:r/>
            <w:r>
              <w:rPr>
                <w:rFonts w:ascii="Microsoft YaHei" w:hAnsi="Microsoft YaHei" w:eastAsia="Microsoft YaHei"/>
                <w:sz w:val="20"/>
              </w:rPr>
              <w:t>激光（相位差）</w:t>
            </w:r>
          </w:p>
        </w:tc>
        <w:tc>
          <w:tcPr>
            <w:tcW w:type="dxa" w:w="1417"/>
          </w:tcPr>
          <w:p>
            <w:pPr>
              <w:jc w:val="left"/>
            </w:pPr>
            <w:r/>
            <w:r>
              <w:rPr>
                <w:rFonts w:ascii="Microsoft YaHei" w:hAnsi="Microsoft YaHei" w:eastAsia="Microsoft YaHei"/>
                <w:sz w:val="20"/>
              </w:rPr>
              <w:t>1mm@10m</w:t>
            </w:r>
          </w:p>
        </w:tc>
        <w:tc>
          <w:tcPr>
            <w:tcW w:type="dxa" w:w="1417"/>
          </w:tcPr>
          <w:p>
            <w:pPr>
              <w:jc w:val="left"/>
            </w:pPr>
            <w:r/>
            <w:r>
              <w:rPr>
                <w:rFonts w:ascii="Microsoft YaHei" w:hAnsi="Microsoft YaHei" w:eastAsia="Microsoft YaHei"/>
                <w:sz w:val="20"/>
              </w:rPr>
              <w:t>大型建筑/遗址</w:t>
            </w:r>
          </w:p>
        </w:tc>
        <w:tc>
          <w:tcPr>
            <w:tcW w:type="dxa" w:w="1417"/>
          </w:tcPr>
          <w:p>
            <w:pPr>
              <w:jc w:val="left"/>
            </w:pPr>
            <w:r/>
            <w:r>
              <w:rPr>
                <w:rFonts w:ascii="Microsoft YaHei" w:hAnsi="Microsoft YaHei" w:eastAsia="Microsoft YaHei"/>
                <w:sz w:val="20"/>
              </w:rPr>
              <w:t>25-35万元</w:t>
            </w:r>
          </w:p>
        </w:tc>
      </w:tr>
    </w:tbl>
    <w:p/>
    <w:p>
      <w:pPr>
        <w:pStyle w:val="Heading3"/>
      </w:pPr>
      <w:r>
        <w:rPr>
          <w:rFonts w:ascii="Microsoft YaHei" w:hAnsi="Microsoft YaHei" w:eastAsia="Microsoft YaHei"/>
          <w:color w:val="457B9D"/>
        </w:rPr>
        <w:t>二、软件工具</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F3"/>
          </w:tcPr>
          <w:p>
            <w:pPr>
              <w:jc w:val="left"/>
            </w:pPr>
            <w:r/>
            <w:r>
              <w:rPr>
                <w:rFonts w:ascii="Microsoft YaHei" w:hAnsi="Microsoft YaHei" w:eastAsia="Microsoft YaHei"/>
                <w:b/>
                <w:sz w:val="20"/>
              </w:rPr>
              <w:t>软件名称</w:t>
            </w:r>
          </w:p>
        </w:tc>
        <w:tc>
          <w:tcPr>
            <w:tcW w:type="dxa" w:w="2126"/>
            <w:shd w:val="clear" w:color="auto" w:fill="D9E2F3"/>
          </w:tcPr>
          <w:p>
            <w:pPr>
              <w:jc w:val="left"/>
            </w:pPr>
            <w:r/>
            <w:r>
              <w:rPr>
                <w:rFonts w:ascii="Microsoft YaHei" w:hAnsi="Microsoft YaHei" w:eastAsia="Microsoft YaHei"/>
                <w:b/>
                <w:sz w:val="20"/>
              </w:rPr>
              <w:t>功能</w:t>
            </w:r>
          </w:p>
        </w:tc>
        <w:tc>
          <w:tcPr>
            <w:tcW w:type="dxa" w:w="2126"/>
            <w:shd w:val="clear" w:color="auto" w:fill="D9E2F3"/>
          </w:tcPr>
          <w:p>
            <w:pPr>
              <w:jc w:val="left"/>
            </w:pPr>
            <w:r/>
            <w:r>
              <w:rPr>
                <w:rFonts w:ascii="Microsoft YaHei" w:hAnsi="Microsoft YaHei" w:eastAsia="Microsoft YaHei"/>
                <w:b/>
                <w:sz w:val="20"/>
              </w:rPr>
              <w:t>类型</w:t>
            </w:r>
          </w:p>
        </w:tc>
        <w:tc>
          <w:tcPr>
            <w:tcW w:type="dxa" w:w="2126"/>
            <w:shd w:val="clear" w:color="auto" w:fill="D9E2F3"/>
          </w:tcPr>
          <w:p>
            <w:pPr>
              <w:jc w:val="left"/>
            </w:pPr>
            <w:r/>
            <w:r>
              <w:rPr>
                <w:rFonts w:ascii="Microsoft YaHei" w:hAnsi="Microsoft YaHei" w:eastAsia="Microsoft YaHei"/>
                <w:b/>
                <w:sz w:val="20"/>
              </w:rPr>
              <w:t>适用平台</w:t>
            </w:r>
          </w:p>
        </w:tc>
      </w:tr>
      <w:tr>
        <w:tc>
          <w:tcPr>
            <w:tcW w:type="dxa" w:w="2126"/>
          </w:tcPr>
          <w:p>
            <w:pPr>
              <w:jc w:val="left"/>
            </w:pPr>
            <w:r/>
            <w:r>
              <w:rPr>
                <w:rFonts w:ascii="Microsoft YaHei" w:hAnsi="Microsoft YaHei" w:eastAsia="Microsoft YaHei"/>
                <w:sz w:val="20"/>
              </w:rPr>
              <w:t>Agisoft Metashape</w:t>
            </w:r>
          </w:p>
        </w:tc>
        <w:tc>
          <w:tcPr>
            <w:tcW w:type="dxa" w:w="2126"/>
          </w:tcPr>
          <w:p>
            <w:pPr>
              <w:jc w:val="left"/>
            </w:pPr>
            <w:r/>
            <w:r>
              <w:rPr>
                <w:rFonts w:ascii="Microsoft YaHei" w:hAnsi="Microsoft YaHei" w:eastAsia="Microsoft YaHei"/>
                <w:sz w:val="20"/>
              </w:rPr>
              <w:t>摄影测量重建</w:t>
            </w:r>
          </w:p>
        </w:tc>
        <w:tc>
          <w:tcPr>
            <w:tcW w:type="dxa" w:w="2126"/>
          </w:tcPr>
          <w:p>
            <w:pPr>
              <w:jc w:val="left"/>
            </w:pPr>
            <w:r/>
            <w:r>
              <w:rPr>
                <w:rFonts w:ascii="Microsoft YaHei" w:hAnsi="Microsoft YaHei" w:eastAsia="Microsoft YaHei"/>
                <w:sz w:val="20"/>
              </w:rPr>
              <w:t>商业</w:t>
            </w:r>
          </w:p>
        </w:tc>
        <w:tc>
          <w:tcPr>
            <w:tcW w:type="dxa" w:w="2126"/>
          </w:tcPr>
          <w:p>
            <w:pPr>
              <w:jc w:val="left"/>
            </w:pPr>
            <w:r/>
            <w:r>
              <w:rPr>
                <w:rFonts w:ascii="Microsoft YaHei" w:hAnsi="Microsoft YaHei" w:eastAsia="Microsoft YaHei"/>
                <w:sz w:val="20"/>
              </w:rPr>
              <w:t>Windows/Mac/Linux</w:t>
            </w:r>
          </w:p>
        </w:tc>
      </w:tr>
      <w:tr>
        <w:tc>
          <w:tcPr>
            <w:tcW w:type="dxa" w:w="2126"/>
            <w:shd w:val="clear" w:color="auto" w:fill="F2F2F2"/>
          </w:tcPr>
          <w:p>
            <w:pPr>
              <w:jc w:val="left"/>
            </w:pPr>
            <w:r/>
            <w:r>
              <w:rPr>
                <w:rFonts w:ascii="Microsoft YaHei" w:hAnsi="Microsoft YaHei" w:eastAsia="Microsoft YaHei"/>
                <w:sz w:val="20"/>
              </w:rPr>
              <w:t>CloudCompare</w:t>
            </w:r>
          </w:p>
        </w:tc>
        <w:tc>
          <w:tcPr>
            <w:tcW w:type="dxa" w:w="2126"/>
            <w:shd w:val="clear" w:color="auto" w:fill="F2F2F2"/>
          </w:tcPr>
          <w:p>
            <w:pPr>
              <w:jc w:val="left"/>
            </w:pPr>
            <w:r/>
            <w:r>
              <w:rPr>
                <w:rFonts w:ascii="Microsoft YaHei" w:hAnsi="Microsoft YaHei" w:eastAsia="Microsoft YaHei"/>
                <w:sz w:val="20"/>
              </w:rPr>
              <w:t>点云处理</w:t>
            </w:r>
          </w:p>
        </w:tc>
        <w:tc>
          <w:tcPr>
            <w:tcW w:type="dxa" w:w="2126"/>
            <w:shd w:val="clear" w:color="auto" w:fill="F2F2F2"/>
          </w:tcPr>
          <w:p>
            <w:pPr>
              <w:jc w:val="left"/>
            </w:pPr>
            <w:r/>
            <w:r>
              <w:rPr>
                <w:rFonts w:ascii="Microsoft YaHei" w:hAnsi="Microsoft YaHei" w:eastAsia="Microsoft YaHei"/>
                <w:sz w:val="20"/>
              </w:rPr>
              <w:t>开源</w:t>
            </w:r>
          </w:p>
        </w:tc>
        <w:tc>
          <w:tcPr>
            <w:tcW w:type="dxa" w:w="2126"/>
            <w:shd w:val="clear" w:color="auto" w:fill="F2F2F2"/>
          </w:tcPr>
          <w:p>
            <w:pPr>
              <w:jc w:val="left"/>
            </w:pPr>
            <w:r/>
            <w:r>
              <w:rPr>
                <w:rFonts w:ascii="Microsoft YaHei" w:hAnsi="Microsoft YaHei" w:eastAsia="Microsoft YaHei"/>
                <w:sz w:val="20"/>
              </w:rPr>
              <w:t>Windows/Mac/Linux</w:t>
            </w:r>
          </w:p>
        </w:tc>
      </w:tr>
      <w:tr>
        <w:tc>
          <w:tcPr>
            <w:tcW w:type="dxa" w:w="2126"/>
          </w:tcPr>
          <w:p>
            <w:pPr>
              <w:jc w:val="left"/>
            </w:pPr>
            <w:r/>
            <w:r>
              <w:rPr>
                <w:rFonts w:ascii="Microsoft YaHei" w:hAnsi="Microsoft YaHei" w:eastAsia="Microsoft YaHei"/>
                <w:sz w:val="20"/>
              </w:rPr>
              <w:t>MeshLab</w:t>
            </w:r>
          </w:p>
        </w:tc>
        <w:tc>
          <w:tcPr>
            <w:tcW w:type="dxa" w:w="2126"/>
          </w:tcPr>
          <w:p>
            <w:pPr>
              <w:jc w:val="left"/>
            </w:pPr>
            <w:r/>
            <w:r>
              <w:rPr>
                <w:rFonts w:ascii="Microsoft YaHei" w:hAnsi="Microsoft YaHei" w:eastAsia="Microsoft YaHei"/>
                <w:sz w:val="20"/>
              </w:rPr>
              <w:t>三维网格处理</w:t>
            </w:r>
          </w:p>
        </w:tc>
        <w:tc>
          <w:tcPr>
            <w:tcW w:type="dxa" w:w="2126"/>
          </w:tcPr>
          <w:p>
            <w:pPr>
              <w:jc w:val="left"/>
            </w:pPr>
            <w:r/>
            <w:r>
              <w:rPr>
                <w:rFonts w:ascii="Microsoft YaHei" w:hAnsi="Microsoft YaHei" w:eastAsia="Microsoft YaHei"/>
                <w:sz w:val="20"/>
              </w:rPr>
              <w:t>开源</w:t>
            </w:r>
          </w:p>
        </w:tc>
        <w:tc>
          <w:tcPr>
            <w:tcW w:type="dxa" w:w="2126"/>
          </w:tcPr>
          <w:p>
            <w:pPr>
              <w:jc w:val="left"/>
            </w:pPr>
            <w:r/>
            <w:r>
              <w:rPr>
                <w:rFonts w:ascii="Microsoft YaHei" w:hAnsi="Microsoft YaHei" w:eastAsia="Microsoft YaHei"/>
                <w:sz w:val="20"/>
              </w:rPr>
              <w:t>Windows/Mac/Linux</w:t>
            </w:r>
          </w:p>
        </w:tc>
      </w:tr>
      <w:tr>
        <w:tc>
          <w:tcPr>
            <w:tcW w:type="dxa" w:w="2126"/>
            <w:shd w:val="clear" w:color="auto" w:fill="F2F2F2"/>
          </w:tcPr>
          <w:p>
            <w:pPr>
              <w:jc w:val="left"/>
            </w:pPr>
            <w:r/>
            <w:r>
              <w:rPr>
                <w:rFonts w:ascii="Microsoft YaHei" w:hAnsi="Microsoft YaHei" w:eastAsia="Microsoft YaHei"/>
                <w:sz w:val="20"/>
              </w:rPr>
              <w:t>Blender</w:t>
            </w:r>
          </w:p>
        </w:tc>
        <w:tc>
          <w:tcPr>
            <w:tcW w:type="dxa" w:w="2126"/>
            <w:shd w:val="clear" w:color="auto" w:fill="F2F2F2"/>
          </w:tcPr>
          <w:p>
            <w:pPr>
              <w:jc w:val="left"/>
            </w:pPr>
            <w:r/>
            <w:r>
              <w:rPr>
                <w:rFonts w:ascii="Microsoft YaHei" w:hAnsi="Microsoft YaHei" w:eastAsia="Microsoft YaHei"/>
                <w:sz w:val="20"/>
              </w:rPr>
              <w:t>三维建模/渲染</w:t>
            </w:r>
          </w:p>
        </w:tc>
        <w:tc>
          <w:tcPr>
            <w:tcW w:type="dxa" w:w="2126"/>
            <w:shd w:val="clear" w:color="auto" w:fill="F2F2F2"/>
          </w:tcPr>
          <w:p>
            <w:pPr>
              <w:jc w:val="left"/>
            </w:pPr>
            <w:r/>
            <w:r>
              <w:rPr>
                <w:rFonts w:ascii="Microsoft YaHei" w:hAnsi="Microsoft YaHei" w:eastAsia="Microsoft YaHei"/>
                <w:sz w:val="20"/>
              </w:rPr>
              <w:t>开源</w:t>
            </w:r>
          </w:p>
        </w:tc>
        <w:tc>
          <w:tcPr>
            <w:tcW w:type="dxa" w:w="2126"/>
            <w:shd w:val="clear" w:color="auto" w:fill="F2F2F2"/>
          </w:tcPr>
          <w:p>
            <w:pPr>
              <w:jc w:val="left"/>
            </w:pPr>
            <w:r/>
            <w:r>
              <w:rPr>
                <w:rFonts w:ascii="Microsoft YaHei" w:hAnsi="Microsoft YaHei" w:eastAsia="Microsoft YaHei"/>
                <w:sz w:val="20"/>
              </w:rPr>
              <w:t>Windows/Mac/Linux</w:t>
            </w:r>
          </w:p>
        </w:tc>
      </w:tr>
      <w:tr>
        <w:tc>
          <w:tcPr>
            <w:tcW w:type="dxa" w:w="2126"/>
          </w:tcPr>
          <w:p>
            <w:pPr>
              <w:jc w:val="left"/>
            </w:pPr>
            <w:r/>
            <w:r>
              <w:rPr>
                <w:rFonts w:ascii="Microsoft YaHei" w:hAnsi="Microsoft YaHei" w:eastAsia="Microsoft YaHei"/>
                <w:sz w:val="20"/>
              </w:rPr>
              <w:t>RealityCapture</w:t>
            </w:r>
          </w:p>
        </w:tc>
        <w:tc>
          <w:tcPr>
            <w:tcW w:type="dxa" w:w="2126"/>
          </w:tcPr>
          <w:p>
            <w:pPr>
              <w:jc w:val="left"/>
            </w:pPr>
            <w:r/>
            <w:r>
              <w:rPr>
                <w:rFonts w:ascii="Microsoft YaHei" w:hAnsi="Microsoft YaHei" w:eastAsia="Microsoft YaHei"/>
                <w:sz w:val="20"/>
              </w:rPr>
              <w:t>摄影测量/激光</w:t>
            </w:r>
          </w:p>
        </w:tc>
        <w:tc>
          <w:tcPr>
            <w:tcW w:type="dxa" w:w="2126"/>
          </w:tcPr>
          <w:p>
            <w:pPr>
              <w:jc w:val="left"/>
            </w:pPr>
            <w:r/>
            <w:r>
              <w:rPr>
                <w:rFonts w:ascii="Microsoft YaHei" w:hAnsi="Microsoft YaHei" w:eastAsia="Microsoft YaHei"/>
                <w:sz w:val="20"/>
              </w:rPr>
              <w:t>商业</w:t>
            </w:r>
          </w:p>
        </w:tc>
        <w:tc>
          <w:tcPr>
            <w:tcW w:type="dxa" w:w="2126"/>
          </w:tcPr>
          <w:p>
            <w:pPr>
              <w:jc w:val="left"/>
            </w:pPr>
            <w:r/>
            <w:r>
              <w:rPr>
                <w:rFonts w:ascii="Microsoft YaHei" w:hAnsi="Microsoft YaHei" w:eastAsia="Microsoft YaHei"/>
                <w:sz w:val="20"/>
              </w:rPr>
              <w:t>Windows</w:t>
            </w:r>
          </w:p>
        </w:tc>
      </w:tr>
      <w:tr>
        <w:tc>
          <w:tcPr>
            <w:tcW w:type="dxa" w:w="2126"/>
            <w:shd w:val="clear" w:color="auto" w:fill="F2F2F2"/>
          </w:tcPr>
          <w:p>
            <w:pPr>
              <w:jc w:val="left"/>
            </w:pPr>
            <w:r/>
            <w:r>
              <w:rPr>
                <w:rFonts w:ascii="Microsoft YaHei" w:hAnsi="Microsoft YaHei" w:eastAsia="Microsoft YaHei"/>
                <w:sz w:val="20"/>
              </w:rPr>
              <w:t>Autodesk ReCap Pro</w:t>
            </w:r>
          </w:p>
        </w:tc>
        <w:tc>
          <w:tcPr>
            <w:tcW w:type="dxa" w:w="2126"/>
            <w:shd w:val="clear" w:color="auto" w:fill="F2F2F2"/>
          </w:tcPr>
          <w:p>
            <w:pPr>
              <w:jc w:val="left"/>
            </w:pPr>
            <w:r/>
            <w:r>
              <w:rPr>
                <w:rFonts w:ascii="Microsoft YaHei" w:hAnsi="Microsoft YaHei" w:eastAsia="Microsoft YaHei"/>
                <w:sz w:val="20"/>
              </w:rPr>
              <w:t>三维扫描处理</w:t>
            </w:r>
          </w:p>
        </w:tc>
        <w:tc>
          <w:tcPr>
            <w:tcW w:type="dxa" w:w="2126"/>
            <w:shd w:val="clear" w:color="auto" w:fill="F2F2F2"/>
          </w:tcPr>
          <w:p>
            <w:pPr>
              <w:jc w:val="left"/>
            </w:pPr>
            <w:r/>
            <w:r>
              <w:rPr>
                <w:rFonts w:ascii="Microsoft YaHei" w:hAnsi="Microsoft YaHei" w:eastAsia="Microsoft YaHei"/>
                <w:sz w:val="20"/>
              </w:rPr>
              <w:t>商业</w:t>
            </w:r>
          </w:p>
        </w:tc>
        <w:tc>
          <w:tcPr>
            <w:tcW w:type="dxa" w:w="2126"/>
            <w:shd w:val="clear" w:color="auto" w:fill="F2F2F2"/>
          </w:tcPr>
          <w:p>
            <w:pPr>
              <w:jc w:val="left"/>
            </w:pPr>
            <w:r/>
            <w:r>
              <w:rPr>
                <w:rFonts w:ascii="Microsoft YaHei" w:hAnsi="Microsoft YaHei" w:eastAsia="Microsoft YaHei"/>
                <w:sz w:val="20"/>
              </w:rPr>
              <w:t>Windows</w:t>
            </w:r>
          </w:p>
        </w:tc>
      </w:tr>
      <w:tr>
        <w:tc>
          <w:tcPr>
            <w:tcW w:type="dxa" w:w="2126"/>
          </w:tcPr>
          <w:p>
            <w:pPr>
              <w:jc w:val="left"/>
            </w:pPr>
            <w:r/>
            <w:r>
              <w:rPr>
                <w:rFonts w:ascii="Microsoft YaHei" w:hAnsi="Microsoft YaHei" w:eastAsia="Microsoft YaHei"/>
                <w:sz w:val="20"/>
              </w:rPr>
              <w:t>Sketchfab</w:t>
            </w:r>
          </w:p>
        </w:tc>
        <w:tc>
          <w:tcPr>
            <w:tcW w:type="dxa" w:w="2126"/>
          </w:tcPr>
          <w:p>
            <w:pPr>
              <w:jc w:val="left"/>
            </w:pPr>
            <w:r/>
            <w:r>
              <w:rPr>
                <w:rFonts w:ascii="Microsoft YaHei" w:hAnsi="Microsoft YaHei" w:eastAsia="Microsoft YaHei"/>
                <w:sz w:val="20"/>
              </w:rPr>
              <w:t>三维模型展示</w:t>
            </w:r>
          </w:p>
        </w:tc>
        <w:tc>
          <w:tcPr>
            <w:tcW w:type="dxa" w:w="2126"/>
          </w:tcPr>
          <w:p>
            <w:pPr>
              <w:jc w:val="left"/>
            </w:pPr>
            <w:r/>
            <w:r>
              <w:rPr>
                <w:rFonts w:ascii="Microsoft YaHei" w:hAnsi="Microsoft YaHei" w:eastAsia="Microsoft YaHei"/>
                <w:sz w:val="20"/>
              </w:rPr>
              <w:t>免费/商业</w:t>
            </w:r>
          </w:p>
        </w:tc>
        <w:tc>
          <w:tcPr>
            <w:tcW w:type="dxa" w:w="2126"/>
          </w:tcPr>
          <w:p>
            <w:pPr>
              <w:jc w:val="left"/>
            </w:pPr>
            <w:r/>
            <w:r>
              <w:rPr>
                <w:rFonts w:ascii="Microsoft YaHei" w:hAnsi="Microsoft YaHei" w:eastAsia="Microsoft YaHei"/>
                <w:sz w:val="20"/>
              </w:rPr>
              <w:t>Web</w:t>
            </w:r>
          </w:p>
        </w:tc>
      </w:tr>
    </w:tbl>
    <w:p/>
    <w:p>
      <w:pPr>
        <w:pStyle w:val="Heading3"/>
      </w:pPr>
      <w:r>
        <w:rPr>
          <w:rFonts w:ascii="Microsoft YaHei" w:hAnsi="Microsoft YaHei" w:eastAsia="Microsoft YaHei"/>
          <w:color w:val="457B9D"/>
        </w:rPr>
        <w:t>三、数字典藏平台</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F3"/>
          </w:tcPr>
          <w:p>
            <w:pPr>
              <w:jc w:val="left"/>
            </w:pPr>
            <w:r/>
            <w:r>
              <w:rPr>
                <w:rFonts w:ascii="Microsoft YaHei" w:hAnsi="Microsoft YaHei" w:eastAsia="Microsoft YaHei"/>
                <w:b/>
                <w:sz w:val="20"/>
              </w:rPr>
              <w:t>平台名称</w:t>
            </w:r>
          </w:p>
        </w:tc>
        <w:tc>
          <w:tcPr>
            <w:tcW w:type="dxa" w:w="2126"/>
            <w:shd w:val="clear" w:color="auto" w:fill="D9E2F3"/>
          </w:tcPr>
          <w:p>
            <w:pPr>
              <w:jc w:val="left"/>
            </w:pPr>
            <w:r/>
            <w:r>
              <w:rPr>
                <w:rFonts w:ascii="Microsoft YaHei" w:hAnsi="Microsoft YaHei" w:eastAsia="Microsoft YaHei"/>
                <w:b/>
                <w:sz w:val="20"/>
              </w:rPr>
              <w:t>运营方</w:t>
            </w:r>
          </w:p>
        </w:tc>
        <w:tc>
          <w:tcPr>
            <w:tcW w:type="dxa" w:w="2126"/>
            <w:shd w:val="clear" w:color="auto" w:fill="D9E2F3"/>
          </w:tcPr>
          <w:p>
            <w:pPr>
              <w:jc w:val="left"/>
            </w:pPr>
            <w:r/>
            <w:r>
              <w:rPr>
                <w:rFonts w:ascii="Microsoft YaHei" w:hAnsi="Microsoft YaHei" w:eastAsia="Microsoft YaHei"/>
                <w:b/>
                <w:sz w:val="20"/>
              </w:rPr>
              <w:t>资源规模</w:t>
            </w:r>
          </w:p>
        </w:tc>
        <w:tc>
          <w:tcPr>
            <w:tcW w:type="dxa" w:w="2126"/>
            <w:shd w:val="clear" w:color="auto" w:fill="D9E2F3"/>
          </w:tcPr>
          <w:p>
            <w:pPr>
              <w:jc w:val="left"/>
            </w:pPr>
            <w:r/>
            <w:r>
              <w:rPr>
                <w:rFonts w:ascii="Microsoft YaHei" w:hAnsi="Microsoft YaHei" w:eastAsia="Microsoft YaHei"/>
                <w:b/>
                <w:sz w:val="20"/>
              </w:rPr>
              <w:t>访问方式</w:t>
            </w:r>
          </w:p>
        </w:tc>
      </w:tr>
      <w:tr>
        <w:tc>
          <w:tcPr>
            <w:tcW w:type="dxa" w:w="2126"/>
          </w:tcPr>
          <w:p>
            <w:pPr>
              <w:jc w:val="left"/>
            </w:pPr>
            <w:r/>
            <w:r>
              <w:rPr>
                <w:rFonts w:ascii="Microsoft YaHei" w:hAnsi="Microsoft YaHei" w:eastAsia="Microsoft YaHei"/>
                <w:sz w:val="20"/>
              </w:rPr>
              <w:t>Europeana</w:t>
            </w:r>
          </w:p>
        </w:tc>
        <w:tc>
          <w:tcPr>
            <w:tcW w:type="dxa" w:w="2126"/>
          </w:tcPr>
          <w:p>
            <w:pPr>
              <w:jc w:val="left"/>
            </w:pPr>
            <w:r/>
            <w:r>
              <w:rPr>
                <w:rFonts w:ascii="Microsoft YaHei" w:hAnsi="Microsoft YaHei" w:eastAsia="Microsoft YaHei"/>
                <w:sz w:val="20"/>
              </w:rPr>
              <w:t>欧盟</w:t>
            </w:r>
          </w:p>
        </w:tc>
        <w:tc>
          <w:tcPr>
            <w:tcW w:type="dxa" w:w="2126"/>
          </w:tcPr>
          <w:p>
            <w:pPr>
              <w:jc w:val="left"/>
            </w:pPr>
            <w:r/>
            <w:r>
              <w:rPr>
                <w:rFonts w:ascii="Microsoft YaHei" w:hAnsi="Microsoft YaHei" w:eastAsia="Microsoft YaHei"/>
                <w:sz w:val="20"/>
              </w:rPr>
              <w:t>5800万件</w:t>
            </w:r>
          </w:p>
        </w:tc>
        <w:tc>
          <w:tcPr>
            <w:tcW w:type="dxa" w:w="2126"/>
          </w:tcPr>
          <w:p>
            <w:pPr>
              <w:jc w:val="left"/>
            </w:pPr>
            <w:r/>
            <w:r>
              <w:rPr>
                <w:rFonts w:ascii="Microsoft YaHei" w:hAnsi="Microsoft YaHei" w:eastAsia="Microsoft YaHei"/>
                <w:sz w:val="20"/>
              </w:rPr>
              <w:t>免费</w:t>
            </w:r>
          </w:p>
        </w:tc>
      </w:tr>
      <w:tr>
        <w:tc>
          <w:tcPr>
            <w:tcW w:type="dxa" w:w="2126"/>
            <w:shd w:val="clear" w:color="auto" w:fill="F2F2F2"/>
          </w:tcPr>
          <w:p>
            <w:pPr>
              <w:jc w:val="left"/>
            </w:pPr>
            <w:r/>
            <w:r>
              <w:rPr>
                <w:rFonts w:ascii="Microsoft YaHei" w:hAnsi="Microsoft YaHei" w:eastAsia="Microsoft YaHei"/>
                <w:sz w:val="20"/>
              </w:rPr>
              <w:t>Google Arts &amp; Culture</w:t>
            </w:r>
          </w:p>
        </w:tc>
        <w:tc>
          <w:tcPr>
            <w:tcW w:type="dxa" w:w="2126"/>
            <w:shd w:val="clear" w:color="auto" w:fill="F2F2F2"/>
          </w:tcPr>
          <w:p>
            <w:pPr>
              <w:jc w:val="left"/>
            </w:pPr>
            <w:r/>
            <w:r>
              <w:rPr>
                <w:rFonts w:ascii="Microsoft YaHei" w:hAnsi="Microsoft YaHei" w:eastAsia="Microsoft YaHei"/>
                <w:sz w:val="20"/>
              </w:rPr>
              <w:t>Google</w:t>
            </w:r>
          </w:p>
        </w:tc>
        <w:tc>
          <w:tcPr>
            <w:tcW w:type="dxa" w:w="2126"/>
            <w:shd w:val="clear" w:color="auto" w:fill="F2F2F2"/>
          </w:tcPr>
          <w:p>
            <w:pPr>
              <w:jc w:val="left"/>
            </w:pPr>
            <w:r/>
            <w:r>
              <w:rPr>
                <w:rFonts w:ascii="Microsoft YaHei" w:hAnsi="Microsoft YaHei" w:eastAsia="Microsoft YaHei"/>
                <w:sz w:val="20"/>
              </w:rPr>
              <w:t>20万+件</w:t>
            </w:r>
          </w:p>
        </w:tc>
        <w:tc>
          <w:tcPr>
            <w:tcW w:type="dxa" w:w="2126"/>
            <w:shd w:val="clear" w:color="auto" w:fill="F2F2F2"/>
          </w:tcPr>
          <w:p>
            <w:pPr>
              <w:jc w:val="left"/>
            </w:pPr>
            <w:r/>
            <w:r>
              <w:rPr>
                <w:rFonts w:ascii="Microsoft YaHei" w:hAnsi="Microsoft YaHei" w:eastAsia="Microsoft YaHei"/>
                <w:sz w:val="20"/>
              </w:rPr>
              <w:t>免费</w:t>
            </w:r>
          </w:p>
        </w:tc>
      </w:tr>
      <w:tr>
        <w:tc>
          <w:tcPr>
            <w:tcW w:type="dxa" w:w="2126"/>
          </w:tcPr>
          <w:p>
            <w:pPr>
              <w:jc w:val="left"/>
            </w:pPr>
            <w:r/>
            <w:r>
              <w:rPr>
                <w:rFonts w:ascii="Microsoft YaHei" w:hAnsi="Microsoft YaHei" w:eastAsia="Microsoft YaHei"/>
                <w:sz w:val="20"/>
              </w:rPr>
              <w:t>数字敦煌</w:t>
            </w:r>
          </w:p>
        </w:tc>
        <w:tc>
          <w:tcPr>
            <w:tcW w:type="dxa" w:w="2126"/>
          </w:tcPr>
          <w:p>
            <w:pPr>
              <w:jc w:val="left"/>
            </w:pPr>
            <w:r/>
            <w:r>
              <w:rPr>
                <w:rFonts w:ascii="Microsoft YaHei" w:hAnsi="Microsoft YaHei" w:eastAsia="Microsoft YaHei"/>
                <w:sz w:val="20"/>
              </w:rPr>
              <w:t>敦煌研究院</w:t>
            </w:r>
          </w:p>
        </w:tc>
        <w:tc>
          <w:tcPr>
            <w:tcW w:type="dxa" w:w="2126"/>
          </w:tcPr>
          <w:p>
            <w:pPr>
              <w:jc w:val="left"/>
            </w:pPr>
            <w:r/>
            <w:r>
              <w:rPr>
                <w:rFonts w:ascii="Microsoft YaHei" w:hAnsi="Microsoft YaHei" w:eastAsia="Microsoft YaHei"/>
                <w:sz w:val="20"/>
              </w:rPr>
              <w:t>290个洞窟</w:t>
            </w:r>
          </w:p>
        </w:tc>
        <w:tc>
          <w:tcPr>
            <w:tcW w:type="dxa" w:w="2126"/>
          </w:tcPr>
          <w:p>
            <w:pPr>
              <w:jc w:val="left"/>
            </w:pPr>
            <w:r/>
            <w:r>
              <w:rPr>
                <w:rFonts w:ascii="Microsoft YaHei" w:hAnsi="Microsoft YaHei" w:eastAsia="Microsoft YaHei"/>
                <w:sz w:val="20"/>
              </w:rPr>
              <w:t>免费</w:t>
            </w:r>
          </w:p>
        </w:tc>
      </w:tr>
      <w:tr>
        <w:tc>
          <w:tcPr>
            <w:tcW w:type="dxa" w:w="2126"/>
            <w:shd w:val="clear" w:color="auto" w:fill="F2F2F2"/>
          </w:tcPr>
          <w:p>
            <w:pPr>
              <w:jc w:val="left"/>
            </w:pPr>
            <w:r/>
            <w:r>
              <w:rPr>
                <w:rFonts w:ascii="Microsoft YaHei" w:hAnsi="Microsoft YaHei" w:eastAsia="Microsoft YaHei"/>
                <w:sz w:val="20"/>
              </w:rPr>
              <w:t>故宫数字文物库</w:t>
            </w:r>
          </w:p>
        </w:tc>
        <w:tc>
          <w:tcPr>
            <w:tcW w:type="dxa" w:w="2126"/>
            <w:shd w:val="clear" w:color="auto" w:fill="F2F2F2"/>
          </w:tcPr>
          <w:p>
            <w:pPr>
              <w:jc w:val="left"/>
            </w:pPr>
            <w:r/>
            <w:r>
              <w:rPr>
                <w:rFonts w:ascii="Microsoft YaHei" w:hAnsi="Microsoft YaHei" w:eastAsia="Microsoft YaHei"/>
                <w:sz w:val="20"/>
              </w:rPr>
              <w:t>故宫博物院</w:t>
            </w:r>
          </w:p>
        </w:tc>
        <w:tc>
          <w:tcPr>
            <w:tcW w:type="dxa" w:w="2126"/>
            <w:shd w:val="clear" w:color="auto" w:fill="F2F2F2"/>
          </w:tcPr>
          <w:p>
            <w:pPr>
              <w:jc w:val="left"/>
            </w:pPr>
            <w:r/>
            <w:r>
              <w:rPr>
                <w:rFonts w:ascii="Microsoft YaHei" w:hAnsi="Microsoft YaHei" w:eastAsia="Microsoft YaHei"/>
                <w:sz w:val="20"/>
              </w:rPr>
              <w:t>78万件</w:t>
            </w:r>
          </w:p>
        </w:tc>
        <w:tc>
          <w:tcPr>
            <w:tcW w:type="dxa" w:w="2126"/>
            <w:shd w:val="clear" w:color="auto" w:fill="F2F2F2"/>
          </w:tcPr>
          <w:p>
            <w:pPr>
              <w:jc w:val="left"/>
            </w:pPr>
            <w:r/>
            <w:r>
              <w:rPr>
                <w:rFonts w:ascii="Microsoft YaHei" w:hAnsi="Microsoft YaHei" w:eastAsia="Microsoft YaHei"/>
                <w:sz w:val="20"/>
              </w:rPr>
              <w:t>免费</w:t>
            </w:r>
          </w:p>
        </w:tc>
      </w:tr>
      <w:tr>
        <w:tc>
          <w:tcPr>
            <w:tcW w:type="dxa" w:w="2126"/>
          </w:tcPr>
          <w:p>
            <w:pPr>
              <w:jc w:val="left"/>
            </w:pPr>
            <w:r/>
            <w:r>
              <w:rPr>
                <w:rFonts w:ascii="Microsoft YaHei" w:hAnsi="Microsoft YaHei" w:eastAsia="Microsoft YaHei"/>
                <w:sz w:val="20"/>
              </w:rPr>
              <w:t>中国非遗数字博物馆</w:t>
            </w:r>
          </w:p>
        </w:tc>
        <w:tc>
          <w:tcPr>
            <w:tcW w:type="dxa" w:w="2126"/>
          </w:tcPr>
          <w:p>
            <w:pPr>
              <w:jc w:val="left"/>
            </w:pPr>
            <w:r/>
            <w:r>
              <w:rPr>
                <w:rFonts w:ascii="Microsoft YaHei" w:hAnsi="Microsoft YaHei" w:eastAsia="Microsoft YaHei"/>
                <w:sz w:val="20"/>
              </w:rPr>
              <w:t>文旅部</w:t>
            </w:r>
          </w:p>
        </w:tc>
        <w:tc>
          <w:tcPr>
            <w:tcW w:type="dxa" w:w="2126"/>
          </w:tcPr>
          <w:p>
            <w:pPr>
              <w:jc w:val="left"/>
            </w:pPr>
            <w:r/>
            <w:r>
              <w:rPr>
                <w:rFonts w:ascii="Microsoft YaHei" w:hAnsi="Microsoft YaHei" w:eastAsia="Microsoft YaHei"/>
                <w:sz w:val="20"/>
              </w:rPr>
              <w:t>1500+项目</w:t>
            </w:r>
          </w:p>
        </w:tc>
        <w:tc>
          <w:tcPr>
            <w:tcW w:type="dxa" w:w="2126"/>
          </w:tcPr>
          <w:p>
            <w:pPr>
              <w:jc w:val="left"/>
            </w:pPr>
            <w:r/>
            <w:r>
              <w:rPr>
                <w:rFonts w:ascii="Microsoft YaHei" w:hAnsi="Microsoft YaHei" w:eastAsia="Microsoft YaHei"/>
                <w:sz w:val="20"/>
              </w:rPr>
              <w:t>免费</w:t>
            </w:r>
          </w:p>
        </w:tc>
      </w:tr>
    </w:tbl>
    <w:p/>
    <w:p>
      <w:pPr>
        <w:pStyle w:val="Heading3"/>
      </w:pPr>
      <w:r>
        <w:rPr>
          <w:rFonts w:ascii="Microsoft YaHei" w:hAnsi="Microsoft YaHei" w:eastAsia="Microsoft YaHei"/>
          <w:color w:val="457B9D"/>
        </w:rPr>
        <w:t>四、VR/AR开发平台</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D9E2F3"/>
          </w:tcPr>
          <w:p>
            <w:pPr>
              <w:jc w:val="left"/>
            </w:pPr>
            <w:r/>
            <w:r>
              <w:rPr>
                <w:rFonts w:ascii="Microsoft YaHei" w:hAnsi="Microsoft YaHei" w:eastAsia="Microsoft YaHei"/>
                <w:b/>
                <w:sz w:val="20"/>
              </w:rPr>
              <w:t>平台名称</w:t>
            </w:r>
          </w:p>
        </w:tc>
        <w:tc>
          <w:tcPr>
            <w:tcW w:type="dxa" w:w="2835"/>
            <w:shd w:val="clear" w:color="auto" w:fill="D9E2F3"/>
          </w:tcPr>
          <w:p>
            <w:pPr>
              <w:jc w:val="left"/>
            </w:pPr>
            <w:r/>
            <w:r>
              <w:rPr>
                <w:rFonts w:ascii="Microsoft YaHei" w:hAnsi="Microsoft YaHei" w:eastAsia="Microsoft YaHei"/>
                <w:b/>
                <w:sz w:val="20"/>
              </w:rPr>
              <w:t>类型</w:t>
            </w:r>
          </w:p>
        </w:tc>
        <w:tc>
          <w:tcPr>
            <w:tcW w:type="dxa" w:w="2835"/>
            <w:shd w:val="clear" w:color="auto" w:fill="D9E2F3"/>
          </w:tcPr>
          <w:p>
            <w:pPr>
              <w:jc w:val="left"/>
            </w:pPr>
            <w:r/>
            <w:r>
              <w:rPr>
                <w:rFonts w:ascii="Microsoft YaHei" w:hAnsi="Microsoft YaHei" w:eastAsia="Microsoft YaHei"/>
                <w:b/>
                <w:sz w:val="20"/>
              </w:rPr>
              <w:t>适用场景</w:t>
            </w:r>
          </w:p>
        </w:tc>
      </w:tr>
      <w:tr>
        <w:tc>
          <w:tcPr>
            <w:tcW w:type="dxa" w:w="2835"/>
          </w:tcPr>
          <w:p>
            <w:pPr>
              <w:jc w:val="left"/>
            </w:pPr>
            <w:r/>
            <w:r>
              <w:rPr>
                <w:rFonts w:ascii="Microsoft YaHei" w:hAnsi="Microsoft YaHei" w:eastAsia="Microsoft YaHei"/>
                <w:sz w:val="20"/>
              </w:rPr>
              <w:t>Unity 3D</w:t>
            </w:r>
          </w:p>
        </w:tc>
        <w:tc>
          <w:tcPr>
            <w:tcW w:type="dxa" w:w="2835"/>
          </w:tcPr>
          <w:p>
            <w:pPr>
              <w:jc w:val="left"/>
            </w:pPr>
            <w:r/>
            <w:r>
              <w:rPr>
                <w:rFonts w:ascii="Microsoft YaHei" w:hAnsi="Microsoft YaHei" w:eastAsia="Microsoft YaHei"/>
                <w:sz w:val="20"/>
              </w:rPr>
              <w:t>游戏引擎</w:t>
            </w:r>
          </w:p>
        </w:tc>
        <w:tc>
          <w:tcPr>
            <w:tcW w:type="dxa" w:w="2835"/>
          </w:tcPr>
          <w:p>
            <w:pPr>
              <w:jc w:val="left"/>
            </w:pPr>
            <w:r/>
            <w:r>
              <w:rPr>
                <w:rFonts w:ascii="Microsoft YaHei" w:hAnsi="Microsoft YaHei" w:eastAsia="Microsoft YaHei"/>
                <w:sz w:val="20"/>
              </w:rPr>
              <w:t>VR/AR/MR开发</w:t>
            </w:r>
          </w:p>
        </w:tc>
      </w:tr>
      <w:tr>
        <w:tc>
          <w:tcPr>
            <w:tcW w:type="dxa" w:w="2835"/>
            <w:shd w:val="clear" w:color="auto" w:fill="F2F2F2"/>
          </w:tcPr>
          <w:p>
            <w:pPr>
              <w:jc w:val="left"/>
            </w:pPr>
            <w:r/>
            <w:r>
              <w:rPr>
                <w:rFonts w:ascii="Microsoft YaHei" w:hAnsi="Microsoft YaHei" w:eastAsia="Microsoft YaHei"/>
                <w:sz w:val="20"/>
              </w:rPr>
              <w:t>Unreal Engine</w:t>
            </w:r>
          </w:p>
        </w:tc>
        <w:tc>
          <w:tcPr>
            <w:tcW w:type="dxa" w:w="2835"/>
            <w:shd w:val="clear" w:color="auto" w:fill="F2F2F2"/>
          </w:tcPr>
          <w:p>
            <w:pPr>
              <w:jc w:val="left"/>
            </w:pPr>
            <w:r/>
            <w:r>
              <w:rPr>
                <w:rFonts w:ascii="Microsoft YaHei" w:hAnsi="Microsoft YaHei" w:eastAsia="Microsoft YaHei"/>
                <w:sz w:val="20"/>
              </w:rPr>
              <w:t>游戏引擎</w:t>
            </w:r>
          </w:p>
        </w:tc>
        <w:tc>
          <w:tcPr>
            <w:tcW w:type="dxa" w:w="2835"/>
            <w:shd w:val="clear" w:color="auto" w:fill="F2F2F2"/>
          </w:tcPr>
          <w:p>
            <w:pPr>
              <w:jc w:val="left"/>
            </w:pPr>
            <w:r/>
            <w:r>
              <w:rPr>
                <w:rFonts w:ascii="Microsoft YaHei" w:hAnsi="Microsoft YaHei" w:eastAsia="Microsoft YaHei"/>
                <w:sz w:val="20"/>
              </w:rPr>
              <w:t>高品质VR开发</w:t>
            </w:r>
          </w:p>
        </w:tc>
      </w:tr>
      <w:tr>
        <w:tc>
          <w:tcPr>
            <w:tcW w:type="dxa" w:w="2835"/>
          </w:tcPr>
          <w:p>
            <w:pPr>
              <w:jc w:val="left"/>
            </w:pPr>
            <w:r/>
            <w:r>
              <w:rPr>
                <w:rFonts w:ascii="Microsoft YaHei" w:hAnsi="Microsoft YaHei" w:eastAsia="Microsoft YaHei"/>
                <w:sz w:val="20"/>
              </w:rPr>
              <w:t>Vuforia</w:t>
            </w:r>
          </w:p>
        </w:tc>
        <w:tc>
          <w:tcPr>
            <w:tcW w:type="dxa" w:w="2835"/>
          </w:tcPr>
          <w:p>
            <w:pPr>
              <w:jc w:val="left"/>
            </w:pPr>
            <w:r/>
            <w:r>
              <w:rPr>
                <w:rFonts w:ascii="Microsoft YaHei" w:hAnsi="Microsoft YaHei" w:eastAsia="Microsoft YaHei"/>
                <w:sz w:val="20"/>
              </w:rPr>
              <w:t>AR SDK</w:t>
            </w:r>
          </w:p>
        </w:tc>
        <w:tc>
          <w:tcPr>
            <w:tcW w:type="dxa" w:w="2835"/>
          </w:tcPr>
          <w:p>
            <w:pPr>
              <w:jc w:val="left"/>
            </w:pPr>
            <w:r/>
            <w:r>
              <w:rPr>
                <w:rFonts w:ascii="Microsoft YaHei" w:hAnsi="Microsoft YaHei" w:eastAsia="Microsoft YaHei"/>
                <w:sz w:val="20"/>
              </w:rPr>
              <w:t>移动AR应用</w:t>
            </w:r>
          </w:p>
        </w:tc>
      </w:tr>
      <w:tr>
        <w:tc>
          <w:tcPr>
            <w:tcW w:type="dxa" w:w="2835"/>
            <w:shd w:val="clear" w:color="auto" w:fill="F2F2F2"/>
          </w:tcPr>
          <w:p>
            <w:pPr>
              <w:jc w:val="left"/>
            </w:pPr>
            <w:r/>
            <w:r>
              <w:rPr>
                <w:rFonts w:ascii="Microsoft YaHei" w:hAnsi="Microsoft YaHei" w:eastAsia="Microsoft YaHei"/>
                <w:sz w:val="20"/>
              </w:rPr>
              <w:t>ARKit/ARCore</w:t>
            </w:r>
          </w:p>
        </w:tc>
        <w:tc>
          <w:tcPr>
            <w:tcW w:type="dxa" w:w="2835"/>
            <w:shd w:val="clear" w:color="auto" w:fill="F2F2F2"/>
          </w:tcPr>
          <w:p>
            <w:pPr>
              <w:jc w:val="left"/>
            </w:pPr>
            <w:r/>
            <w:r>
              <w:rPr>
                <w:rFonts w:ascii="Microsoft YaHei" w:hAnsi="Microsoft YaHei" w:eastAsia="Microsoft YaHei"/>
                <w:sz w:val="20"/>
              </w:rPr>
              <w:t>AR SDK</w:t>
            </w:r>
          </w:p>
        </w:tc>
        <w:tc>
          <w:tcPr>
            <w:tcW w:type="dxa" w:w="2835"/>
            <w:shd w:val="clear" w:color="auto" w:fill="F2F2F2"/>
          </w:tcPr>
          <w:p>
            <w:pPr>
              <w:jc w:val="left"/>
            </w:pPr>
            <w:r/>
            <w:r>
              <w:rPr>
                <w:rFonts w:ascii="Microsoft YaHei" w:hAnsi="Microsoft YaHei" w:eastAsia="Microsoft YaHei"/>
                <w:sz w:val="20"/>
              </w:rPr>
              <w:t>iOS/Android AR</w:t>
            </w:r>
          </w:p>
        </w:tc>
      </w:tr>
      <w:tr>
        <w:tc>
          <w:tcPr>
            <w:tcW w:type="dxa" w:w="2835"/>
          </w:tcPr>
          <w:p>
            <w:pPr>
              <w:jc w:val="left"/>
            </w:pPr>
            <w:r/>
            <w:r>
              <w:rPr>
                <w:rFonts w:ascii="Microsoft YaHei" w:hAnsi="Microsoft YaHei" w:eastAsia="Microsoft YaHei"/>
                <w:sz w:val="20"/>
              </w:rPr>
              <w:t>Three.js</w:t>
            </w:r>
          </w:p>
        </w:tc>
        <w:tc>
          <w:tcPr>
            <w:tcW w:type="dxa" w:w="2835"/>
          </w:tcPr>
          <w:p>
            <w:pPr>
              <w:jc w:val="left"/>
            </w:pPr>
            <w:r/>
            <w:r>
              <w:rPr>
                <w:rFonts w:ascii="Microsoft YaHei" w:hAnsi="Microsoft YaHei" w:eastAsia="Microsoft YaHei"/>
                <w:sz w:val="20"/>
              </w:rPr>
              <w:t>Web3D库</w:t>
            </w:r>
          </w:p>
        </w:tc>
        <w:tc>
          <w:tcPr>
            <w:tcW w:type="dxa" w:w="2835"/>
          </w:tcPr>
          <w:p>
            <w:pPr>
              <w:jc w:val="left"/>
            </w:pPr>
            <w:r/>
            <w:r>
              <w:rPr>
                <w:rFonts w:ascii="Microsoft YaHei" w:hAnsi="Microsoft YaHei" w:eastAsia="Microsoft YaHei"/>
                <w:sz w:val="20"/>
              </w:rPr>
              <w:t>浏览器3D展示</w:t>
            </w:r>
          </w:p>
        </w:tc>
      </w:tr>
    </w:tbl>
    <w:p/>
    <w:p>
      <w:r>
        <w:br w:type="page"/>
      </w:r>
    </w:p>
    <w:p>
      <w:pPr>
        <w:pStyle w:val="Heading2"/>
      </w:pPr>
      <w:r>
        <w:rPr>
          <w:rFonts w:ascii="Microsoft YaHei" w:hAnsi="Microsoft YaHei" w:eastAsia="Microsoft YaHei"/>
          <w:color w:val="264653"/>
        </w:rPr>
        <w:t>附录C 案例库</w:t>
      </w:r>
    </w:p>
    <w:p>
      <w:pPr>
        <w:pStyle w:val="Heading3"/>
      </w:pPr>
      <w:r>
        <w:rPr>
          <w:rFonts w:ascii="Microsoft YaHei" w:hAnsi="Microsoft YaHei" w:eastAsia="Microsoft YaHei"/>
          <w:color w:val="457B9D"/>
        </w:rPr>
        <w:t>一、中国文化遗产数字化案例</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shd w:val="clear" w:color="auto" w:fill="D9E2F3"/>
          </w:tcPr>
          <w:p>
            <w:pPr>
              <w:jc w:val="left"/>
            </w:pPr>
            <w:r/>
            <w:r>
              <w:rPr>
                <w:rFonts w:ascii="Microsoft YaHei" w:hAnsi="Microsoft YaHei" w:eastAsia="Microsoft YaHei"/>
                <w:b/>
                <w:sz w:val="20"/>
              </w:rPr>
              <w:t>序号</w:t>
            </w:r>
          </w:p>
        </w:tc>
        <w:tc>
          <w:tcPr>
            <w:tcW w:type="dxa" w:w="1417"/>
            <w:shd w:val="clear" w:color="auto" w:fill="D9E2F3"/>
          </w:tcPr>
          <w:p>
            <w:pPr>
              <w:jc w:val="left"/>
            </w:pPr>
            <w:r/>
            <w:r>
              <w:rPr>
                <w:rFonts w:ascii="Microsoft YaHei" w:hAnsi="Microsoft YaHei" w:eastAsia="Microsoft YaHei"/>
                <w:b/>
                <w:sz w:val="20"/>
              </w:rPr>
              <w:t>案例名称</w:t>
            </w:r>
          </w:p>
        </w:tc>
        <w:tc>
          <w:tcPr>
            <w:tcW w:type="dxa" w:w="1417"/>
            <w:shd w:val="clear" w:color="auto" w:fill="D9E2F3"/>
          </w:tcPr>
          <w:p>
            <w:pPr>
              <w:jc w:val="left"/>
            </w:pPr>
            <w:r/>
            <w:r>
              <w:rPr>
                <w:rFonts w:ascii="Microsoft YaHei" w:hAnsi="Microsoft YaHei" w:eastAsia="Microsoft YaHei"/>
                <w:b/>
                <w:sz w:val="20"/>
              </w:rPr>
              <w:t>类型</w:t>
            </w:r>
          </w:p>
        </w:tc>
        <w:tc>
          <w:tcPr>
            <w:tcW w:type="dxa" w:w="1417"/>
            <w:shd w:val="clear" w:color="auto" w:fill="D9E2F3"/>
          </w:tcPr>
          <w:p>
            <w:pPr>
              <w:jc w:val="left"/>
            </w:pPr>
            <w:r/>
            <w:r>
              <w:rPr>
                <w:rFonts w:ascii="Microsoft YaHei" w:hAnsi="Microsoft YaHei" w:eastAsia="Microsoft YaHei"/>
                <w:b/>
                <w:sz w:val="20"/>
              </w:rPr>
              <w:t>地点</w:t>
            </w:r>
          </w:p>
        </w:tc>
        <w:tc>
          <w:tcPr>
            <w:tcW w:type="dxa" w:w="1417"/>
            <w:shd w:val="clear" w:color="auto" w:fill="D9E2F3"/>
          </w:tcPr>
          <w:p>
            <w:pPr>
              <w:jc w:val="left"/>
            </w:pPr>
            <w:r/>
            <w:r>
              <w:rPr>
                <w:rFonts w:ascii="Microsoft YaHei" w:hAnsi="Microsoft YaHei" w:eastAsia="Microsoft YaHei"/>
                <w:b/>
                <w:sz w:val="20"/>
              </w:rPr>
              <w:t>技术特征</w:t>
            </w:r>
          </w:p>
        </w:tc>
        <w:tc>
          <w:tcPr>
            <w:tcW w:type="dxa" w:w="1417"/>
            <w:shd w:val="clear" w:color="auto" w:fill="D9E2F3"/>
          </w:tcPr>
          <w:p>
            <w:pPr>
              <w:jc w:val="left"/>
            </w:pPr>
            <w:r/>
            <w:r>
              <w:rPr>
                <w:rFonts w:ascii="Microsoft YaHei" w:hAnsi="Microsoft YaHei" w:eastAsia="Microsoft YaHei"/>
                <w:b/>
                <w:sz w:val="20"/>
              </w:rPr>
              <w:t>状态</w:t>
            </w:r>
          </w:p>
        </w:tc>
      </w:tr>
      <w:tr>
        <w:tc>
          <w:tcPr>
            <w:tcW w:type="dxa" w:w="1417"/>
          </w:tcPr>
          <w:p>
            <w:pPr>
              <w:jc w:val="left"/>
            </w:pPr>
            <w:r/>
            <w:r>
              <w:rPr>
                <w:rFonts w:ascii="Microsoft YaHei" w:hAnsi="Microsoft YaHei" w:eastAsia="Microsoft YaHei"/>
                <w:sz w:val="20"/>
              </w:rPr>
              <w:t>1</w:t>
            </w:r>
          </w:p>
        </w:tc>
        <w:tc>
          <w:tcPr>
            <w:tcW w:type="dxa" w:w="1417"/>
          </w:tcPr>
          <w:p>
            <w:pPr>
              <w:jc w:val="left"/>
            </w:pPr>
            <w:r/>
            <w:r>
              <w:rPr>
                <w:rFonts w:ascii="Microsoft YaHei" w:hAnsi="Microsoft YaHei" w:eastAsia="Microsoft YaHei"/>
                <w:sz w:val="20"/>
              </w:rPr>
              <w:t>数字敦煌</w:t>
            </w:r>
          </w:p>
        </w:tc>
        <w:tc>
          <w:tcPr>
            <w:tcW w:type="dxa" w:w="1417"/>
          </w:tcPr>
          <w:p>
            <w:pPr>
              <w:jc w:val="left"/>
            </w:pPr>
            <w:r/>
            <w:r>
              <w:rPr>
                <w:rFonts w:ascii="Microsoft YaHei" w:hAnsi="Microsoft YaHei" w:eastAsia="Microsoft YaHei"/>
                <w:sz w:val="20"/>
              </w:rPr>
              <w:t>物质/壁画</w:t>
            </w:r>
          </w:p>
        </w:tc>
        <w:tc>
          <w:tcPr>
            <w:tcW w:type="dxa" w:w="1417"/>
          </w:tcPr>
          <w:p>
            <w:pPr>
              <w:jc w:val="left"/>
            </w:pPr>
            <w:r/>
            <w:r>
              <w:rPr>
                <w:rFonts w:ascii="Microsoft YaHei" w:hAnsi="Microsoft YaHei" w:eastAsia="Microsoft YaHei"/>
                <w:sz w:val="20"/>
              </w:rPr>
              <w:t>甘肃敦煌</w:t>
            </w:r>
          </w:p>
        </w:tc>
        <w:tc>
          <w:tcPr>
            <w:tcW w:type="dxa" w:w="1417"/>
          </w:tcPr>
          <w:p>
            <w:pPr>
              <w:jc w:val="left"/>
            </w:pPr>
            <w:r/>
            <w:r>
              <w:rPr>
                <w:rFonts w:ascii="Microsoft YaHei" w:hAnsi="Microsoft YaHei" w:eastAsia="Microsoft YaHei"/>
                <w:sz w:val="20"/>
              </w:rPr>
              <w:t>高分辨率摄影+VR</w:t>
            </w:r>
          </w:p>
        </w:tc>
        <w:tc>
          <w:tcPr>
            <w:tcW w:type="dxa" w:w="1417"/>
          </w:tcPr>
          <w:p>
            <w:pPr>
              <w:jc w:val="left"/>
            </w:pPr>
            <w:r/>
            <w:r>
              <w:rPr>
                <w:rFonts w:ascii="Microsoft YaHei" w:hAnsi="Microsoft YaHei" w:eastAsia="Microsoft YaHei"/>
                <w:sz w:val="20"/>
              </w:rPr>
              <w:t>运营中</w:t>
            </w:r>
          </w:p>
        </w:tc>
      </w:tr>
      <w:tr>
        <w:tc>
          <w:tcPr>
            <w:tcW w:type="dxa" w:w="1417"/>
            <w:shd w:val="clear" w:color="auto" w:fill="F2F2F2"/>
          </w:tcPr>
          <w:p>
            <w:pPr>
              <w:jc w:val="left"/>
            </w:pPr>
            <w:r/>
            <w:r>
              <w:rPr>
                <w:rFonts w:ascii="Microsoft YaHei" w:hAnsi="Microsoft YaHei" w:eastAsia="Microsoft YaHei"/>
                <w:sz w:val="20"/>
              </w:rPr>
              <w:t>2</w:t>
            </w:r>
          </w:p>
        </w:tc>
        <w:tc>
          <w:tcPr>
            <w:tcW w:type="dxa" w:w="1417"/>
            <w:shd w:val="clear" w:color="auto" w:fill="F2F2F2"/>
          </w:tcPr>
          <w:p>
            <w:pPr>
              <w:jc w:val="left"/>
            </w:pPr>
            <w:r/>
            <w:r>
              <w:rPr>
                <w:rFonts w:ascii="Microsoft YaHei" w:hAnsi="Microsoft YaHei" w:eastAsia="Microsoft YaHei"/>
                <w:sz w:val="20"/>
              </w:rPr>
              <w:t>数字故宫</w:t>
            </w:r>
          </w:p>
        </w:tc>
        <w:tc>
          <w:tcPr>
            <w:tcW w:type="dxa" w:w="1417"/>
            <w:shd w:val="clear" w:color="auto" w:fill="F2F2F2"/>
          </w:tcPr>
          <w:p>
            <w:pPr>
              <w:jc w:val="left"/>
            </w:pPr>
            <w:r/>
            <w:r>
              <w:rPr>
                <w:rFonts w:ascii="Microsoft YaHei" w:hAnsi="Microsoft YaHei" w:eastAsia="Microsoft YaHei"/>
                <w:sz w:val="20"/>
              </w:rPr>
              <w:t>物质/古建筑</w:t>
            </w:r>
          </w:p>
        </w:tc>
        <w:tc>
          <w:tcPr>
            <w:tcW w:type="dxa" w:w="1417"/>
            <w:shd w:val="clear" w:color="auto" w:fill="F2F2F2"/>
          </w:tcPr>
          <w:p>
            <w:pPr>
              <w:jc w:val="left"/>
            </w:pPr>
            <w:r/>
            <w:r>
              <w:rPr>
                <w:rFonts w:ascii="Microsoft YaHei" w:hAnsi="Microsoft YaHei" w:eastAsia="Microsoft YaHei"/>
                <w:sz w:val="20"/>
              </w:rPr>
              <w:t>北京</w:t>
            </w:r>
          </w:p>
        </w:tc>
        <w:tc>
          <w:tcPr>
            <w:tcW w:type="dxa" w:w="1417"/>
            <w:shd w:val="clear" w:color="auto" w:fill="F2F2F2"/>
          </w:tcPr>
          <w:p>
            <w:pPr>
              <w:jc w:val="left"/>
            </w:pPr>
            <w:r/>
            <w:r>
              <w:rPr>
                <w:rFonts w:ascii="Microsoft YaHei" w:hAnsi="Microsoft YaHei" w:eastAsia="Microsoft YaHei"/>
                <w:sz w:val="20"/>
              </w:rPr>
              <w:t>三维扫描+WebGL</w:t>
            </w:r>
          </w:p>
        </w:tc>
        <w:tc>
          <w:tcPr>
            <w:tcW w:type="dxa" w:w="1417"/>
            <w:shd w:val="clear" w:color="auto" w:fill="F2F2F2"/>
          </w:tcPr>
          <w:p>
            <w:pPr>
              <w:jc w:val="left"/>
            </w:pPr>
            <w:r/>
            <w:r>
              <w:rPr>
                <w:rFonts w:ascii="Microsoft YaHei" w:hAnsi="Microsoft YaHei" w:eastAsia="Microsoft YaHei"/>
                <w:sz w:val="20"/>
              </w:rPr>
              <w:t>运营中</w:t>
            </w:r>
          </w:p>
        </w:tc>
      </w:tr>
      <w:tr>
        <w:tc>
          <w:tcPr>
            <w:tcW w:type="dxa" w:w="1417"/>
          </w:tcPr>
          <w:p>
            <w:pPr>
              <w:jc w:val="left"/>
            </w:pPr>
            <w:r/>
            <w:r>
              <w:rPr>
                <w:rFonts w:ascii="Microsoft YaHei" w:hAnsi="Microsoft YaHei" w:eastAsia="Microsoft YaHei"/>
                <w:sz w:val="20"/>
              </w:rPr>
              <w:t>3</w:t>
            </w:r>
          </w:p>
        </w:tc>
        <w:tc>
          <w:tcPr>
            <w:tcW w:type="dxa" w:w="1417"/>
          </w:tcPr>
          <w:p>
            <w:pPr>
              <w:jc w:val="left"/>
            </w:pPr>
            <w:r/>
            <w:r>
              <w:rPr>
                <w:rFonts w:ascii="Microsoft YaHei" w:hAnsi="Microsoft YaHei" w:eastAsia="Microsoft YaHei"/>
                <w:sz w:val="20"/>
              </w:rPr>
              <w:t>三星堆数字化展示</w:t>
            </w:r>
          </w:p>
        </w:tc>
        <w:tc>
          <w:tcPr>
            <w:tcW w:type="dxa" w:w="1417"/>
          </w:tcPr>
          <w:p>
            <w:pPr>
              <w:jc w:val="left"/>
            </w:pPr>
            <w:r/>
            <w:r>
              <w:rPr>
                <w:rFonts w:ascii="Microsoft YaHei" w:hAnsi="Microsoft YaHei" w:eastAsia="Microsoft YaHei"/>
                <w:sz w:val="20"/>
              </w:rPr>
              <w:t>物质/文物</w:t>
            </w:r>
          </w:p>
        </w:tc>
        <w:tc>
          <w:tcPr>
            <w:tcW w:type="dxa" w:w="1417"/>
          </w:tcPr>
          <w:p>
            <w:pPr>
              <w:jc w:val="left"/>
            </w:pPr>
            <w:r/>
            <w:r>
              <w:rPr>
                <w:rFonts w:ascii="Microsoft YaHei" w:hAnsi="Microsoft YaHei" w:eastAsia="Microsoft YaHei"/>
                <w:sz w:val="20"/>
              </w:rPr>
              <w:t>四川广汉</w:t>
            </w:r>
          </w:p>
        </w:tc>
        <w:tc>
          <w:tcPr>
            <w:tcW w:type="dxa" w:w="1417"/>
          </w:tcPr>
          <w:p>
            <w:pPr>
              <w:jc w:val="left"/>
            </w:pPr>
            <w:r/>
            <w:r>
              <w:rPr>
                <w:rFonts w:ascii="Microsoft YaHei" w:hAnsi="Microsoft YaHei" w:eastAsia="Microsoft YaHei"/>
                <w:sz w:val="20"/>
              </w:rPr>
              <w:t>科技艺术+沉浸式</w:t>
            </w:r>
          </w:p>
        </w:tc>
        <w:tc>
          <w:tcPr>
            <w:tcW w:type="dxa" w:w="1417"/>
          </w:tcPr>
          <w:p>
            <w:pPr>
              <w:jc w:val="left"/>
            </w:pPr>
            <w:r/>
            <w:r>
              <w:rPr>
                <w:rFonts w:ascii="Microsoft YaHei" w:hAnsi="Microsoft YaHei" w:eastAsia="Microsoft YaHei"/>
                <w:sz w:val="20"/>
              </w:rPr>
              <w:t>运营中</w:t>
            </w:r>
          </w:p>
        </w:tc>
      </w:tr>
      <w:tr>
        <w:tc>
          <w:tcPr>
            <w:tcW w:type="dxa" w:w="1417"/>
            <w:shd w:val="clear" w:color="auto" w:fill="F2F2F2"/>
          </w:tcPr>
          <w:p>
            <w:pPr>
              <w:jc w:val="left"/>
            </w:pPr>
            <w:r/>
            <w:r>
              <w:rPr>
                <w:rFonts w:ascii="Microsoft YaHei" w:hAnsi="Microsoft YaHei" w:eastAsia="Microsoft YaHei"/>
                <w:sz w:val="20"/>
              </w:rPr>
              <w:t>4</w:t>
            </w:r>
          </w:p>
        </w:tc>
        <w:tc>
          <w:tcPr>
            <w:tcW w:type="dxa" w:w="1417"/>
            <w:shd w:val="clear" w:color="auto" w:fill="F2F2F2"/>
          </w:tcPr>
          <w:p>
            <w:pPr>
              <w:jc w:val="left"/>
            </w:pPr>
            <w:r/>
            <w:r>
              <w:rPr>
                <w:rFonts w:ascii="Microsoft YaHei" w:hAnsi="Microsoft YaHei" w:eastAsia="Microsoft YaHei"/>
                <w:sz w:val="20"/>
              </w:rPr>
              <w:t>智化寺京音乐数字化</w:t>
            </w:r>
          </w:p>
        </w:tc>
        <w:tc>
          <w:tcPr>
            <w:tcW w:type="dxa" w:w="1417"/>
            <w:shd w:val="clear" w:color="auto" w:fill="F2F2F2"/>
          </w:tcPr>
          <w:p>
            <w:pPr>
              <w:jc w:val="left"/>
            </w:pPr>
            <w:r/>
            <w:r>
              <w:rPr>
                <w:rFonts w:ascii="Microsoft YaHei" w:hAnsi="Microsoft YaHei" w:eastAsia="Microsoft YaHei"/>
                <w:sz w:val="20"/>
              </w:rPr>
              <w:t>非遗/音乐</w:t>
            </w:r>
          </w:p>
        </w:tc>
        <w:tc>
          <w:tcPr>
            <w:tcW w:type="dxa" w:w="1417"/>
            <w:shd w:val="clear" w:color="auto" w:fill="F2F2F2"/>
          </w:tcPr>
          <w:p>
            <w:pPr>
              <w:jc w:val="left"/>
            </w:pPr>
            <w:r/>
            <w:r>
              <w:rPr>
                <w:rFonts w:ascii="Microsoft YaHei" w:hAnsi="Microsoft YaHei" w:eastAsia="Microsoft YaHei"/>
                <w:sz w:val="20"/>
              </w:rPr>
              <w:t>北京</w:t>
            </w:r>
          </w:p>
        </w:tc>
        <w:tc>
          <w:tcPr>
            <w:tcW w:type="dxa" w:w="1417"/>
            <w:shd w:val="clear" w:color="auto" w:fill="F2F2F2"/>
          </w:tcPr>
          <w:p>
            <w:pPr>
              <w:jc w:val="left"/>
            </w:pPr>
            <w:r/>
            <w:r>
              <w:rPr>
                <w:rFonts w:ascii="Microsoft YaHei" w:hAnsi="Microsoft YaHei" w:eastAsia="Microsoft YaHei"/>
                <w:sz w:val="20"/>
              </w:rPr>
              <w:t>音视频+自媒体</w:t>
            </w:r>
          </w:p>
        </w:tc>
        <w:tc>
          <w:tcPr>
            <w:tcW w:type="dxa" w:w="1417"/>
            <w:shd w:val="clear" w:color="auto" w:fill="F2F2F2"/>
          </w:tcPr>
          <w:p>
            <w:pPr>
              <w:jc w:val="left"/>
            </w:pPr>
            <w:r/>
            <w:r>
              <w:rPr>
                <w:rFonts w:ascii="Microsoft YaHei" w:hAnsi="Microsoft YaHei" w:eastAsia="Microsoft YaHei"/>
                <w:sz w:val="20"/>
              </w:rPr>
              <w:t>运营中</w:t>
            </w:r>
          </w:p>
        </w:tc>
      </w:tr>
      <w:tr>
        <w:tc>
          <w:tcPr>
            <w:tcW w:type="dxa" w:w="1417"/>
          </w:tcPr>
          <w:p>
            <w:pPr>
              <w:jc w:val="left"/>
            </w:pPr>
            <w:r/>
            <w:r>
              <w:rPr>
                <w:rFonts w:ascii="Microsoft YaHei" w:hAnsi="Microsoft YaHei" w:eastAsia="Microsoft YaHei"/>
                <w:sz w:val="20"/>
              </w:rPr>
              <w:t>5</w:t>
            </w:r>
          </w:p>
        </w:tc>
        <w:tc>
          <w:tcPr>
            <w:tcW w:type="dxa" w:w="1417"/>
          </w:tcPr>
          <w:p>
            <w:pPr>
              <w:jc w:val="left"/>
            </w:pPr>
            <w:r/>
            <w:r>
              <w:rPr>
                <w:rFonts w:ascii="Microsoft YaHei" w:hAnsi="Microsoft YaHei" w:eastAsia="Microsoft YaHei"/>
                <w:sz w:val="20"/>
              </w:rPr>
              <w:t>秦淮灯彩数字化</w:t>
            </w:r>
          </w:p>
        </w:tc>
        <w:tc>
          <w:tcPr>
            <w:tcW w:type="dxa" w:w="1417"/>
          </w:tcPr>
          <w:p>
            <w:pPr>
              <w:jc w:val="left"/>
            </w:pPr>
            <w:r/>
            <w:r>
              <w:rPr>
                <w:rFonts w:ascii="Microsoft YaHei" w:hAnsi="Microsoft YaHei" w:eastAsia="Microsoft YaHei"/>
                <w:sz w:val="20"/>
              </w:rPr>
              <w:t>非遗/手工艺</w:t>
            </w:r>
          </w:p>
        </w:tc>
        <w:tc>
          <w:tcPr>
            <w:tcW w:type="dxa" w:w="1417"/>
          </w:tcPr>
          <w:p>
            <w:pPr>
              <w:jc w:val="left"/>
            </w:pPr>
            <w:r/>
            <w:r>
              <w:rPr>
                <w:rFonts w:ascii="Microsoft YaHei" w:hAnsi="Microsoft YaHei" w:eastAsia="Microsoft YaHei"/>
                <w:sz w:val="20"/>
              </w:rPr>
              <w:t>江苏南京</w:t>
            </w:r>
          </w:p>
        </w:tc>
        <w:tc>
          <w:tcPr>
            <w:tcW w:type="dxa" w:w="1417"/>
          </w:tcPr>
          <w:p>
            <w:pPr>
              <w:jc w:val="left"/>
            </w:pPr>
            <w:r/>
            <w:r>
              <w:rPr>
                <w:rFonts w:ascii="Microsoft YaHei" w:hAnsi="Microsoft YaHei" w:eastAsia="Microsoft YaHei"/>
                <w:sz w:val="20"/>
              </w:rPr>
              <w:t>数字动画+APP</w:t>
            </w:r>
          </w:p>
        </w:tc>
        <w:tc>
          <w:tcPr>
            <w:tcW w:type="dxa" w:w="1417"/>
          </w:tcPr>
          <w:p>
            <w:pPr>
              <w:jc w:val="left"/>
            </w:pPr>
            <w:r/>
            <w:r>
              <w:rPr>
                <w:rFonts w:ascii="Microsoft YaHei" w:hAnsi="Microsoft YaHei" w:eastAsia="Microsoft YaHei"/>
                <w:sz w:val="20"/>
              </w:rPr>
              <w:t>完成中</w:t>
            </w:r>
          </w:p>
        </w:tc>
      </w:tr>
      <w:tr>
        <w:tc>
          <w:tcPr>
            <w:tcW w:type="dxa" w:w="1417"/>
            <w:shd w:val="clear" w:color="auto" w:fill="F2F2F2"/>
          </w:tcPr>
          <w:p>
            <w:pPr>
              <w:jc w:val="left"/>
            </w:pPr>
            <w:r/>
            <w:r>
              <w:rPr>
                <w:rFonts w:ascii="Microsoft YaHei" w:hAnsi="Microsoft YaHei" w:eastAsia="Microsoft YaHei"/>
                <w:sz w:val="20"/>
              </w:rPr>
              <w:t>6</w:t>
            </w:r>
          </w:p>
        </w:tc>
        <w:tc>
          <w:tcPr>
            <w:tcW w:type="dxa" w:w="1417"/>
            <w:shd w:val="clear" w:color="auto" w:fill="F2F2F2"/>
          </w:tcPr>
          <w:p>
            <w:pPr>
              <w:jc w:val="left"/>
            </w:pPr>
            <w:r/>
            <w:r>
              <w:rPr>
                <w:rFonts w:ascii="Microsoft YaHei" w:hAnsi="Microsoft YaHei" w:eastAsia="Microsoft YaHei"/>
                <w:sz w:val="20"/>
              </w:rPr>
              <w:t>海派黄杨木雕数据库</w:t>
            </w:r>
          </w:p>
        </w:tc>
        <w:tc>
          <w:tcPr>
            <w:tcW w:type="dxa" w:w="1417"/>
            <w:shd w:val="clear" w:color="auto" w:fill="F2F2F2"/>
          </w:tcPr>
          <w:p>
            <w:pPr>
              <w:jc w:val="left"/>
            </w:pPr>
            <w:r/>
            <w:r>
              <w:rPr>
                <w:rFonts w:ascii="Microsoft YaHei" w:hAnsi="Microsoft YaHei" w:eastAsia="Microsoft YaHei"/>
                <w:sz w:val="20"/>
              </w:rPr>
              <w:t>非遗/手工艺</w:t>
            </w:r>
          </w:p>
        </w:tc>
        <w:tc>
          <w:tcPr>
            <w:tcW w:type="dxa" w:w="1417"/>
            <w:shd w:val="clear" w:color="auto" w:fill="F2F2F2"/>
          </w:tcPr>
          <w:p>
            <w:pPr>
              <w:jc w:val="left"/>
            </w:pPr>
            <w:r/>
            <w:r>
              <w:rPr>
                <w:rFonts w:ascii="Microsoft YaHei" w:hAnsi="Microsoft YaHei" w:eastAsia="Microsoft YaHei"/>
                <w:sz w:val="20"/>
              </w:rPr>
              <w:t>上海</w:t>
            </w:r>
          </w:p>
        </w:tc>
        <w:tc>
          <w:tcPr>
            <w:tcW w:type="dxa" w:w="1417"/>
            <w:shd w:val="clear" w:color="auto" w:fill="F2F2F2"/>
          </w:tcPr>
          <w:p>
            <w:pPr>
              <w:jc w:val="left"/>
            </w:pPr>
            <w:r/>
            <w:r>
              <w:rPr>
                <w:rFonts w:ascii="Microsoft YaHei" w:hAnsi="Microsoft YaHei" w:eastAsia="Microsoft YaHei"/>
                <w:sz w:val="20"/>
              </w:rPr>
              <w:t>数据库建设</w:t>
            </w:r>
          </w:p>
        </w:tc>
        <w:tc>
          <w:tcPr>
            <w:tcW w:type="dxa" w:w="1417"/>
            <w:shd w:val="clear" w:color="auto" w:fill="F2F2F2"/>
          </w:tcPr>
          <w:p>
            <w:pPr>
              <w:jc w:val="left"/>
            </w:pPr>
            <w:r/>
            <w:r>
              <w:rPr>
                <w:rFonts w:ascii="Microsoft YaHei" w:hAnsi="Microsoft YaHei" w:eastAsia="Microsoft YaHei"/>
                <w:sz w:val="20"/>
              </w:rPr>
              <w:t>运营中</w:t>
            </w:r>
          </w:p>
        </w:tc>
      </w:tr>
      <w:tr>
        <w:tc>
          <w:tcPr>
            <w:tcW w:type="dxa" w:w="1417"/>
          </w:tcPr>
          <w:p>
            <w:pPr>
              <w:jc w:val="left"/>
            </w:pPr>
            <w:r/>
            <w:r>
              <w:rPr>
                <w:rFonts w:ascii="Microsoft YaHei" w:hAnsi="Microsoft YaHei" w:eastAsia="Microsoft YaHei"/>
                <w:sz w:val="20"/>
              </w:rPr>
              <w:t>7</w:t>
            </w:r>
          </w:p>
        </w:tc>
        <w:tc>
          <w:tcPr>
            <w:tcW w:type="dxa" w:w="1417"/>
          </w:tcPr>
          <w:p>
            <w:pPr>
              <w:jc w:val="left"/>
            </w:pPr>
            <w:r/>
            <w:r>
              <w:rPr>
                <w:rFonts w:ascii="Microsoft YaHei" w:hAnsi="Microsoft YaHei" w:eastAsia="Microsoft YaHei"/>
                <w:sz w:val="20"/>
              </w:rPr>
              <w:t>武当文化数字博物馆</w:t>
            </w:r>
          </w:p>
        </w:tc>
        <w:tc>
          <w:tcPr>
            <w:tcW w:type="dxa" w:w="1417"/>
          </w:tcPr>
          <w:p>
            <w:pPr>
              <w:jc w:val="left"/>
            </w:pPr>
            <w:r/>
            <w:r>
              <w:rPr>
                <w:rFonts w:ascii="Microsoft YaHei" w:hAnsi="Microsoft YaHei" w:eastAsia="Microsoft YaHei"/>
                <w:sz w:val="20"/>
              </w:rPr>
              <w:t>物质/古建筑</w:t>
            </w:r>
          </w:p>
        </w:tc>
        <w:tc>
          <w:tcPr>
            <w:tcW w:type="dxa" w:w="1417"/>
          </w:tcPr>
          <w:p>
            <w:pPr>
              <w:jc w:val="left"/>
            </w:pPr>
            <w:r/>
            <w:r>
              <w:rPr>
                <w:rFonts w:ascii="Microsoft YaHei" w:hAnsi="Microsoft YaHei" w:eastAsia="Microsoft YaHei"/>
                <w:sz w:val="20"/>
              </w:rPr>
              <w:t>湖北十堰</w:t>
            </w:r>
          </w:p>
        </w:tc>
        <w:tc>
          <w:tcPr>
            <w:tcW w:type="dxa" w:w="1417"/>
          </w:tcPr>
          <w:p>
            <w:pPr>
              <w:jc w:val="left"/>
            </w:pPr>
            <w:r/>
            <w:r>
              <w:rPr>
                <w:rFonts w:ascii="Microsoft YaHei" w:hAnsi="Microsoft YaHei" w:eastAsia="Microsoft YaHei"/>
                <w:sz w:val="20"/>
              </w:rPr>
              <w:t>三维扫描+HTML5</w:t>
            </w:r>
          </w:p>
        </w:tc>
        <w:tc>
          <w:tcPr>
            <w:tcW w:type="dxa" w:w="1417"/>
          </w:tcPr>
          <w:p>
            <w:pPr>
              <w:jc w:val="left"/>
            </w:pPr>
            <w:r/>
            <w:r>
              <w:rPr>
                <w:rFonts w:ascii="Microsoft YaHei" w:hAnsi="Microsoft YaHei" w:eastAsia="Microsoft YaHei"/>
                <w:sz w:val="20"/>
              </w:rPr>
              <w:t>运营中</w:t>
            </w:r>
          </w:p>
        </w:tc>
      </w:tr>
      <w:tr>
        <w:tc>
          <w:tcPr>
            <w:tcW w:type="dxa" w:w="1417"/>
            <w:shd w:val="clear" w:color="auto" w:fill="F2F2F2"/>
          </w:tcPr>
          <w:p>
            <w:pPr>
              <w:jc w:val="left"/>
            </w:pPr>
            <w:r/>
            <w:r>
              <w:rPr>
                <w:rFonts w:ascii="Microsoft YaHei" w:hAnsi="Microsoft YaHei" w:eastAsia="Microsoft YaHei"/>
                <w:sz w:val="20"/>
              </w:rPr>
              <w:t>8</w:t>
            </w:r>
          </w:p>
        </w:tc>
        <w:tc>
          <w:tcPr>
            <w:tcW w:type="dxa" w:w="1417"/>
            <w:shd w:val="clear" w:color="auto" w:fill="F2F2F2"/>
          </w:tcPr>
          <w:p>
            <w:pPr>
              <w:jc w:val="left"/>
            </w:pPr>
            <w:r/>
            <w:r>
              <w:rPr>
                <w:rFonts w:ascii="Microsoft YaHei" w:hAnsi="Microsoft YaHei" w:eastAsia="Microsoft YaHei"/>
                <w:sz w:val="20"/>
              </w:rPr>
              <w:t>圆明园沉浸交互秀</w:t>
            </w:r>
          </w:p>
        </w:tc>
        <w:tc>
          <w:tcPr>
            <w:tcW w:type="dxa" w:w="1417"/>
            <w:shd w:val="clear" w:color="auto" w:fill="F2F2F2"/>
          </w:tcPr>
          <w:p>
            <w:pPr>
              <w:jc w:val="left"/>
            </w:pPr>
            <w:r/>
            <w:r>
              <w:rPr>
                <w:rFonts w:ascii="Microsoft YaHei" w:hAnsi="Microsoft YaHei" w:eastAsia="Microsoft YaHei"/>
                <w:sz w:val="20"/>
              </w:rPr>
              <w:t>物质/遗址</w:t>
            </w:r>
          </w:p>
        </w:tc>
        <w:tc>
          <w:tcPr>
            <w:tcW w:type="dxa" w:w="1417"/>
            <w:shd w:val="clear" w:color="auto" w:fill="F2F2F2"/>
          </w:tcPr>
          <w:p>
            <w:pPr>
              <w:jc w:val="left"/>
            </w:pPr>
            <w:r/>
            <w:r>
              <w:rPr>
                <w:rFonts w:ascii="Microsoft YaHei" w:hAnsi="Microsoft YaHei" w:eastAsia="Microsoft YaHei"/>
                <w:sz w:val="20"/>
              </w:rPr>
              <w:t>北京</w:t>
            </w:r>
          </w:p>
        </w:tc>
        <w:tc>
          <w:tcPr>
            <w:tcW w:type="dxa" w:w="1417"/>
            <w:shd w:val="clear" w:color="auto" w:fill="F2F2F2"/>
          </w:tcPr>
          <w:p>
            <w:pPr>
              <w:jc w:val="left"/>
            </w:pPr>
            <w:r/>
            <w:r>
              <w:rPr>
                <w:rFonts w:ascii="Microsoft YaHei" w:hAnsi="Microsoft YaHei" w:eastAsia="Microsoft YaHei"/>
                <w:sz w:val="20"/>
              </w:rPr>
              <w:t>E-MAX沉浸式</w:t>
            </w:r>
          </w:p>
        </w:tc>
        <w:tc>
          <w:tcPr>
            <w:tcW w:type="dxa" w:w="1417"/>
            <w:shd w:val="clear" w:color="auto" w:fill="F2F2F2"/>
          </w:tcPr>
          <w:p>
            <w:pPr>
              <w:jc w:val="left"/>
            </w:pPr>
            <w:r/>
            <w:r>
              <w:rPr>
                <w:rFonts w:ascii="Microsoft YaHei" w:hAnsi="Microsoft YaHei" w:eastAsia="Microsoft YaHei"/>
                <w:sz w:val="20"/>
              </w:rPr>
              <w:t>展示中</w:t>
            </w:r>
          </w:p>
        </w:tc>
      </w:tr>
      <w:tr>
        <w:tc>
          <w:tcPr>
            <w:tcW w:type="dxa" w:w="1417"/>
          </w:tcPr>
          <w:p>
            <w:pPr>
              <w:jc w:val="left"/>
            </w:pPr>
            <w:r/>
            <w:r>
              <w:rPr>
                <w:rFonts w:ascii="Microsoft YaHei" w:hAnsi="Microsoft YaHei" w:eastAsia="Microsoft YaHei"/>
                <w:sz w:val="20"/>
              </w:rPr>
              <w:t>9</w:t>
            </w:r>
          </w:p>
        </w:tc>
        <w:tc>
          <w:tcPr>
            <w:tcW w:type="dxa" w:w="1417"/>
          </w:tcPr>
          <w:p>
            <w:pPr>
              <w:jc w:val="left"/>
            </w:pPr>
            <w:r/>
            <w:r>
              <w:rPr>
                <w:rFonts w:ascii="Microsoft YaHei" w:hAnsi="Microsoft YaHei" w:eastAsia="Microsoft YaHei"/>
                <w:sz w:val="20"/>
              </w:rPr>
              <w:t>国博三维数字化</w:t>
            </w:r>
          </w:p>
        </w:tc>
        <w:tc>
          <w:tcPr>
            <w:tcW w:type="dxa" w:w="1417"/>
          </w:tcPr>
          <w:p>
            <w:pPr>
              <w:jc w:val="left"/>
            </w:pPr>
            <w:r/>
            <w:r>
              <w:rPr>
                <w:rFonts w:ascii="Microsoft YaHei" w:hAnsi="Microsoft YaHei" w:eastAsia="Microsoft YaHei"/>
                <w:sz w:val="20"/>
              </w:rPr>
              <w:t>物质/文物</w:t>
            </w:r>
          </w:p>
        </w:tc>
        <w:tc>
          <w:tcPr>
            <w:tcW w:type="dxa" w:w="1417"/>
          </w:tcPr>
          <w:p>
            <w:pPr>
              <w:jc w:val="left"/>
            </w:pPr>
            <w:r/>
            <w:r>
              <w:rPr>
                <w:rFonts w:ascii="Microsoft YaHei" w:hAnsi="Microsoft YaHei" w:eastAsia="Microsoft YaHei"/>
                <w:sz w:val="20"/>
              </w:rPr>
              <w:t>北京</w:t>
            </w:r>
          </w:p>
        </w:tc>
        <w:tc>
          <w:tcPr>
            <w:tcW w:type="dxa" w:w="1417"/>
          </w:tcPr>
          <w:p>
            <w:pPr>
              <w:jc w:val="left"/>
            </w:pPr>
            <w:r/>
            <w:r>
              <w:rPr>
                <w:rFonts w:ascii="Microsoft YaHei" w:hAnsi="Microsoft YaHei" w:eastAsia="Microsoft YaHei"/>
                <w:sz w:val="20"/>
              </w:rPr>
              <w:t>三维扫描+色彩管理</w:t>
            </w:r>
          </w:p>
        </w:tc>
        <w:tc>
          <w:tcPr>
            <w:tcW w:type="dxa" w:w="1417"/>
          </w:tcPr>
          <w:p>
            <w:pPr>
              <w:jc w:val="left"/>
            </w:pPr>
            <w:r/>
            <w:r>
              <w:rPr>
                <w:rFonts w:ascii="Microsoft YaHei" w:hAnsi="Microsoft YaHei" w:eastAsia="Microsoft YaHei"/>
                <w:sz w:val="20"/>
              </w:rPr>
              <w:t>运营中</w:t>
            </w:r>
          </w:p>
        </w:tc>
      </w:tr>
      <w:tr>
        <w:tc>
          <w:tcPr>
            <w:tcW w:type="dxa" w:w="1417"/>
            <w:shd w:val="clear" w:color="auto" w:fill="F2F2F2"/>
          </w:tcPr>
          <w:p>
            <w:pPr>
              <w:jc w:val="left"/>
            </w:pPr>
            <w:r/>
            <w:r>
              <w:rPr>
                <w:rFonts w:ascii="Microsoft YaHei" w:hAnsi="Microsoft YaHei" w:eastAsia="Microsoft YaHei"/>
                <w:sz w:val="20"/>
              </w:rPr>
              <w:t>10</w:t>
            </w:r>
          </w:p>
        </w:tc>
        <w:tc>
          <w:tcPr>
            <w:tcW w:type="dxa" w:w="1417"/>
            <w:shd w:val="clear" w:color="auto" w:fill="F2F2F2"/>
          </w:tcPr>
          <w:p>
            <w:pPr>
              <w:jc w:val="left"/>
            </w:pPr>
            <w:r/>
            <w:r>
              <w:rPr>
                <w:rFonts w:ascii="Microsoft YaHei" w:hAnsi="Microsoft YaHei" w:eastAsia="Microsoft YaHei"/>
                <w:sz w:val="20"/>
              </w:rPr>
              <w:t>辽白釉穿带瓶数字化</w:t>
            </w:r>
          </w:p>
        </w:tc>
        <w:tc>
          <w:tcPr>
            <w:tcW w:type="dxa" w:w="1417"/>
            <w:shd w:val="clear" w:color="auto" w:fill="F2F2F2"/>
          </w:tcPr>
          <w:p>
            <w:pPr>
              <w:jc w:val="left"/>
            </w:pPr>
            <w:r/>
            <w:r>
              <w:rPr>
                <w:rFonts w:ascii="Microsoft YaHei" w:hAnsi="Microsoft YaHei" w:eastAsia="Microsoft YaHei"/>
                <w:sz w:val="20"/>
              </w:rPr>
              <w:t>物质/文物</w:t>
            </w:r>
          </w:p>
        </w:tc>
        <w:tc>
          <w:tcPr>
            <w:tcW w:type="dxa" w:w="1417"/>
            <w:shd w:val="clear" w:color="auto" w:fill="F2F2F2"/>
          </w:tcPr>
          <w:p>
            <w:pPr>
              <w:jc w:val="left"/>
            </w:pPr>
            <w:r/>
            <w:r>
              <w:rPr>
                <w:rFonts w:ascii="Microsoft YaHei" w:hAnsi="Microsoft YaHei" w:eastAsia="Microsoft YaHei"/>
                <w:sz w:val="20"/>
              </w:rPr>
              <w:t>北京</w:t>
            </w:r>
          </w:p>
        </w:tc>
        <w:tc>
          <w:tcPr>
            <w:tcW w:type="dxa" w:w="1417"/>
            <w:shd w:val="clear" w:color="auto" w:fill="F2F2F2"/>
          </w:tcPr>
          <w:p>
            <w:pPr>
              <w:jc w:val="left"/>
            </w:pPr>
            <w:r/>
            <w:r>
              <w:rPr>
                <w:rFonts w:ascii="Microsoft YaHei" w:hAnsi="Microsoft YaHei" w:eastAsia="Microsoft YaHei"/>
                <w:sz w:val="20"/>
              </w:rPr>
              <w:t>三维扫描+摄影测量</w:t>
            </w:r>
          </w:p>
        </w:tc>
        <w:tc>
          <w:tcPr>
            <w:tcW w:type="dxa" w:w="1417"/>
            <w:shd w:val="clear" w:color="auto" w:fill="F2F2F2"/>
          </w:tcPr>
          <w:p>
            <w:pPr>
              <w:jc w:val="left"/>
            </w:pPr>
            <w:r/>
            <w:r>
              <w:rPr>
                <w:rFonts w:ascii="Microsoft YaHei" w:hAnsi="Microsoft YaHei" w:eastAsia="Microsoft YaHei"/>
                <w:sz w:val="20"/>
              </w:rPr>
              <w:t>完成</w:t>
            </w:r>
          </w:p>
        </w:tc>
      </w:tr>
      <w:tr>
        <w:tc>
          <w:tcPr>
            <w:tcW w:type="dxa" w:w="1417"/>
          </w:tcPr>
          <w:p>
            <w:pPr>
              <w:jc w:val="left"/>
            </w:pPr>
            <w:r/>
            <w:r>
              <w:rPr>
                <w:rFonts w:ascii="Microsoft YaHei" w:hAnsi="Microsoft YaHei" w:eastAsia="Microsoft YaHei"/>
                <w:sz w:val="20"/>
              </w:rPr>
              <w:t>11</w:t>
            </w:r>
          </w:p>
        </w:tc>
        <w:tc>
          <w:tcPr>
            <w:tcW w:type="dxa" w:w="1417"/>
          </w:tcPr>
          <w:p>
            <w:pPr>
              <w:jc w:val="left"/>
            </w:pPr>
            <w:r/>
            <w:r>
              <w:rPr>
                <w:rFonts w:ascii="Microsoft YaHei" w:hAnsi="Microsoft YaHei" w:eastAsia="Microsoft YaHei"/>
                <w:sz w:val="20"/>
              </w:rPr>
              <w:t>唐崖土司城遗址重建</w:t>
            </w:r>
          </w:p>
        </w:tc>
        <w:tc>
          <w:tcPr>
            <w:tcW w:type="dxa" w:w="1417"/>
          </w:tcPr>
          <w:p>
            <w:pPr>
              <w:jc w:val="left"/>
            </w:pPr>
            <w:r/>
            <w:r>
              <w:rPr>
                <w:rFonts w:ascii="Microsoft YaHei" w:hAnsi="Microsoft YaHei" w:eastAsia="Microsoft YaHei"/>
                <w:sz w:val="20"/>
              </w:rPr>
              <w:t>物质/遗址</w:t>
            </w:r>
          </w:p>
        </w:tc>
        <w:tc>
          <w:tcPr>
            <w:tcW w:type="dxa" w:w="1417"/>
          </w:tcPr>
          <w:p>
            <w:pPr>
              <w:jc w:val="left"/>
            </w:pPr>
            <w:r/>
            <w:r>
              <w:rPr>
                <w:rFonts w:ascii="Microsoft YaHei" w:hAnsi="Microsoft YaHei" w:eastAsia="Microsoft YaHei"/>
                <w:sz w:val="20"/>
              </w:rPr>
              <w:t>湖北恩施</w:t>
            </w:r>
          </w:p>
        </w:tc>
        <w:tc>
          <w:tcPr>
            <w:tcW w:type="dxa" w:w="1417"/>
          </w:tcPr>
          <w:p>
            <w:pPr>
              <w:jc w:val="left"/>
            </w:pPr>
            <w:r/>
            <w:r>
              <w:rPr>
                <w:rFonts w:ascii="Microsoft YaHei" w:hAnsi="Microsoft YaHei" w:eastAsia="Microsoft YaHei"/>
                <w:sz w:val="20"/>
              </w:rPr>
              <w:t>点云+影像融合</w:t>
            </w:r>
          </w:p>
        </w:tc>
        <w:tc>
          <w:tcPr>
            <w:tcW w:type="dxa" w:w="1417"/>
          </w:tcPr>
          <w:p>
            <w:pPr>
              <w:jc w:val="left"/>
            </w:pPr>
            <w:r/>
            <w:r>
              <w:rPr>
                <w:rFonts w:ascii="Microsoft YaHei" w:hAnsi="Microsoft YaHei" w:eastAsia="Microsoft YaHei"/>
                <w:sz w:val="20"/>
              </w:rPr>
              <w:t>完成</w:t>
            </w:r>
          </w:p>
        </w:tc>
      </w:tr>
      <w:tr>
        <w:tc>
          <w:tcPr>
            <w:tcW w:type="dxa" w:w="1417"/>
            <w:shd w:val="clear" w:color="auto" w:fill="F2F2F2"/>
          </w:tcPr>
          <w:p>
            <w:pPr>
              <w:jc w:val="left"/>
            </w:pPr>
            <w:r/>
            <w:r>
              <w:rPr>
                <w:rFonts w:ascii="Microsoft YaHei" w:hAnsi="Microsoft YaHei" w:eastAsia="Microsoft YaHei"/>
                <w:sz w:val="20"/>
              </w:rPr>
              <w:t>12</w:t>
            </w:r>
          </w:p>
        </w:tc>
        <w:tc>
          <w:tcPr>
            <w:tcW w:type="dxa" w:w="1417"/>
            <w:shd w:val="clear" w:color="auto" w:fill="F2F2F2"/>
          </w:tcPr>
          <w:p>
            <w:pPr>
              <w:jc w:val="left"/>
            </w:pPr>
            <w:r/>
            <w:r>
              <w:rPr>
                <w:rFonts w:ascii="Microsoft YaHei" w:hAnsi="Microsoft YaHei" w:eastAsia="Microsoft YaHei"/>
                <w:sz w:val="20"/>
              </w:rPr>
              <w:t>开封古城VR复原</w:t>
            </w:r>
          </w:p>
        </w:tc>
        <w:tc>
          <w:tcPr>
            <w:tcW w:type="dxa" w:w="1417"/>
            <w:shd w:val="clear" w:color="auto" w:fill="F2F2F2"/>
          </w:tcPr>
          <w:p>
            <w:pPr>
              <w:jc w:val="left"/>
            </w:pPr>
            <w:r/>
            <w:r>
              <w:rPr>
                <w:rFonts w:ascii="Microsoft YaHei" w:hAnsi="Microsoft YaHei" w:eastAsia="Microsoft YaHei"/>
                <w:sz w:val="20"/>
              </w:rPr>
              <w:t>物质/古建筑</w:t>
            </w:r>
          </w:p>
        </w:tc>
        <w:tc>
          <w:tcPr>
            <w:tcW w:type="dxa" w:w="1417"/>
            <w:shd w:val="clear" w:color="auto" w:fill="F2F2F2"/>
          </w:tcPr>
          <w:p>
            <w:pPr>
              <w:jc w:val="left"/>
            </w:pPr>
            <w:r/>
            <w:r>
              <w:rPr>
                <w:rFonts w:ascii="Microsoft YaHei" w:hAnsi="Microsoft YaHei" w:eastAsia="Microsoft YaHei"/>
                <w:sz w:val="20"/>
              </w:rPr>
              <w:t>河南开封</w:t>
            </w:r>
          </w:p>
        </w:tc>
        <w:tc>
          <w:tcPr>
            <w:tcW w:type="dxa" w:w="1417"/>
            <w:shd w:val="clear" w:color="auto" w:fill="F2F2F2"/>
          </w:tcPr>
          <w:p>
            <w:pPr>
              <w:jc w:val="left"/>
            </w:pPr>
            <w:r/>
            <w:r>
              <w:rPr>
                <w:rFonts w:ascii="Microsoft YaHei" w:hAnsi="Microsoft YaHei" w:eastAsia="Microsoft YaHei"/>
                <w:sz w:val="20"/>
              </w:rPr>
              <w:t>VR/AR技术</w:t>
            </w:r>
          </w:p>
        </w:tc>
        <w:tc>
          <w:tcPr>
            <w:tcW w:type="dxa" w:w="1417"/>
            <w:shd w:val="clear" w:color="auto" w:fill="F2F2F2"/>
          </w:tcPr>
          <w:p>
            <w:pPr>
              <w:jc w:val="left"/>
            </w:pPr>
            <w:r/>
            <w:r>
              <w:rPr>
                <w:rFonts w:ascii="Microsoft YaHei" w:hAnsi="Microsoft YaHei" w:eastAsia="Microsoft YaHei"/>
                <w:sz w:val="20"/>
              </w:rPr>
              <w:t>研究中</w:t>
            </w:r>
          </w:p>
        </w:tc>
      </w:tr>
      <w:tr>
        <w:tc>
          <w:tcPr>
            <w:tcW w:type="dxa" w:w="1417"/>
          </w:tcPr>
          <w:p>
            <w:pPr>
              <w:jc w:val="left"/>
            </w:pPr>
            <w:r/>
            <w:r>
              <w:rPr>
                <w:rFonts w:ascii="Microsoft YaHei" w:hAnsi="Microsoft YaHei" w:eastAsia="Microsoft YaHei"/>
                <w:sz w:val="20"/>
              </w:rPr>
              <w:t>13</w:t>
            </w:r>
          </w:p>
        </w:tc>
        <w:tc>
          <w:tcPr>
            <w:tcW w:type="dxa" w:w="1417"/>
          </w:tcPr>
          <w:p>
            <w:pPr>
              <w:jc w:val="left"/>
            </w:pPr>
            <w:r/>
            <w:r>
              <w:rPr>
                <w:rFonts w:ascii="Microsoft YaHei" w:hAnsi="Microsoft YaHei" w:eastAsia="Microsoft YaHei"/>
                <w:sz w:val="20"/>
              </w:rPr>
              <w:t>南丰傩文化数字化</w:t>
            </w:r>
          </w:p>
        </w:tc>
        <w:tc>
          <w:tcPr>
            <w:tcW w:type="dxa" w:w="1417"/>
          </w:tcPr>
          <w:p>
            <w:pPr>
              <w:jc w:val="left"/>
            </w:pPr>
            <w:r/>
            <w:r>
              <w:rPr>
                <w:rFonts w:ascii="Microsoft YaHei" w:hAnsi="Microsoft YaHei" w:eastAsia="Microsoft YaHei"/>
                <w:sz w:val="20"/>
              </w:rPr>
              <w:t>非遗/民俗</w:t>
            </w:r>
          </w:p>
        </w:tc>
        <w:tc>
          <w:tcPr>
            <w:tcW w:type="dxa" w:w="1417"/>
          </w:tcPr>
          <w:p>
            <w:pPr>
              <w:jc w:val="left"/>
            </w:pPr>
            <w:r/>
            <w:r>
              <w:rPr>
                <w:rFonts w:ascii="Microsoft YaHei" w:hAnsi="Microsoft YaHei" w:eastAsia="Microsoft YaHei"/>
                <w:sz w:val="20"/>
              </w:rPr>
              <w:t>江西南丰</w:t>
            </w:r>
          </w:p>
        </w:tc>
        <w:tc>
          <w:tcPr>
            <w:tcW w:type="dxa" w:w="1417"/>
          </w:tcPr>
          <w:p>
            <w:pPr>
              <w:jc w:val="left"/>
            </w:pPr>
            <w:r/>
            <w:r>
              <w:rPr>
                <w:rFonts w:ascii="Microsoft YaHei" w:hAnsi="Microsoft YaHei" w:eastAsia="Microsoft YaHei"/>
                <w:sz w:val="20"/>
              </w:rPr>
              <w:t>数字化传播</w:t>
            </w:r>
          </w:p>
        </w:tc>
        <w:tc>
          <w:tcPr>
            <w:tcW w:type="dxa" w:w="1417"/>
          </w:tcPr>
          <w:p>
            <w:pPr>
              <w:jc w:val="left"/>
            </w:pPr>
            <w:r/>
            <w:r>
              <w:rPr>
                <w:rFonts w:ascii="Microsoft YaHei" w:hAnsi="Microsoft YaHei" w:eastAsia="Microsoft YaHei"/>
                <w:sz w:val="20"/>
              </w:rPr>
              <w:t>研究中</w:t>
            </w:r>
          </w:p>
        </w:tc>
      </w:tr>
      <w:tr>
        <w:tc>
          <w:tcPr>
            <w:tcW w:type="dxa" w:w="1417"/>
            <w:shd w:val="clear" w:color="auto" w:fill="F2F2F2"/>
          </w:tcPr>
          <w:p>
            <w:pPr>
              <w:jc w:val="left"/>
            </w:pPr>
            <w:r/>
            <w:r>
              <w:rPr>
                <w:rFonts w:ascii="Microsoft YaHei" w:hAnsi="Microsoft YaHei" w:eastAsia="Microsoft YaHei"/>
                <w:sz w:val="20"/>
              </w:rPr>
              <w:t>14</w:t>
            </w:r>
          </w:p>
        </w:tc>
        <w:tc>
          <w:tcPr>
            <w:tcW w:type="dxa" w:w="1417"/>
            <w:shd w:val="clear" w:color="auto" w:fill="F2F2F2"/>
          </w:tcPr>
          <w:p>
            <w:pPr>
              <w:jc w:val="left"/>
            </w:pPr>
            <w:r/>
            <w:r>
              <w:rPr>
                <w:rFonts w:ascii="Microsoft YaHei" w:hAnsi="Microsoft YaHei" w:eastAsia="Microsoft YaHei"/>
                <w:sz w:val="20"/>
              </w:rPr>
              <w:t>毛猴手工艺数字制作</w:t>
            </w:r>
          </w:p>
        </w:tc>
        <w:tc>
          <w:tcPr>
            <w:tcW w:type="dxa" w:w="1417"/>
            <w:shd w:val="clear" w:color="auto" w:fill="F2F2F2"/>
          </w:tcPr>
          <w:p>
            <w:pPr>
              <w:jc w:val="left"/>
            </w:pPr>
            <w:r/>
            <w:r>
              <w:rPr>
                <w:rFonts w:ascii="Microsoft YaHei" w:hAnsi="Microsoft YaHei" w:eastAsia="Microsoft YaHei"/>
                <w:sz w:val="20"/>
              </w:rPr>
              <w:t>非遗/手工艺</w:t>
            </w:r>
          </w:p>
        </w:tc>
        <w:tc>
          <w:tcPr>
            <w:tcW w:type="dxa" w:w="1417"/>
            <w:shd w:val="clear" w:color="auto" w:fill="F2F2F2"/>
          </w:tcPr>
          <w:p>
            <w:pPr>
              <w:jc w:val="left"/>
            </w:pPr>
            <w:r/>
            <w:r>
              <w:rPr>
                <w:rFonts w:ascii="Microsoft YaHei" w:hAnsi="Microsoft YaHei" w:eastAsia="Microsoft YaHei"/>
                <w:sz w:val="20"/>
              </w:rPr>
              <w:t>北京</w:t>
            </w:r>
          </w:p>
        </w:tc>
        <w:tc>
          <w:tcPr>
            <w:tcW w:type="dxa" w:w="1417"/>
            <w:shd w:val="clear" w:color="auto" w:fill="F2F2F2"/>
          </w:tcPr>
          <w:p>
            <w:pPr>
              <w:jc w:val="left"/>
            </w:pPr>
            <w:r/>
            <w:r>
              <w:rPr>
                <w:rFonts w:ascii="Microsoft YaHei" w:hAnsi="Microsoft YaHei" w:eastAsia="Microsoft YaHei"/>
                <w:sz w:val="20"/>
              </w:rPr>
              <w:t>数字制作技术</w:t>
            </w:r>
          </w:p>
        </w:tc>
        <w:tc>
          <w:tcPr>
            <w:tcW w:type="dxa" w:w="1417"/>
            <w:shd w:val="clear" w:color="auto" w:fill="F2F2F2"/>
          </w:tcPr>
          <w:p>
            <w:pPr>
              <w:jc w:val="left"/>
            </w:pPr>
            <w:r/>
            <w:r>
              <w:rPr>
                <w:rFonts w:ascii="Microsoft YaHei" w:hAnsi="Microsoft YaHei" w:eastAsia="Microsoft YaHei"/>
                <w:sz w:val="20"/>
              </w:rPr>
              <w:t>完成</w:t>
            </w:r>
          </w:p>
        </w:tc>
      </w:tr>
      <w:tr>
        <w:tc>
          <w:tcPr>
            <w:tcW w:type="dxa" w:w="1417"/>
          </w:tcPr>
          <w:p>
            <w:pPr>
              <w:jc w:val="left"/>
            </w:pPr>
            <w:r/>
            <w:r>
              <w:rPr>
                <w:rFonts w:ascii="Microsoft YaHei" w:hAnsi="Microsoft YaHei" w:eastAsia="Microsoft YaHei"/>
                <w:sz w:val="20"/>
              </w:rPr>
              <w:t>15</w:t>
            </w:r>
          </w:p>
        </w:tc>
        <w:tc>
          <w:tcPr>
            <w:tcW w:type="dxa" w:w="1417"/>
          </w:tcPr>
          <w:p>
            <w:pPr>
              <w:jc w:val="left"/>
            </w:pPr>
            <w:r/>
            <w:r>
              <w:rPr>
                <w:rFonts w:ascii="Microsoft YaHei" w:hAnsi="Microsoft YaHei" w:eastAsia="Microsoft YaHei"/>
                <w:sz w:val="20"/>
              </w:rPr>
              <w:t>五女山山城VR创作</w:t>
            </w:r>
          </w:p>
        </w:tc>
        <w:tc>
          <w:tcPr>
            <w:tcW w:type="dxa" w:w="1417"/>
          </w:tcPr>
          <w:p>
            <w:pPr>
              <w:jc w:val="left"/>
            </w:pPr>
            <w:r/>
            <w:r>
              <w:rPr>
                <w:rFonts w:ascii="Microsoft YaHei" w:hAnsi="Microsoft YaHei" w:eastAsia="Microsoft YaHei"/>
                <w:sz w:val="20"/>
              </w:rPr>
              <w:t>物质/遗址</w:t>
            </w:r>
          </w:p>
        </w:tc>
        <w:tc>
          <w:tcPr>
            <w:tcW w:type="dxa" w:w="1417"/>
          </w:tcPr>
          <w:p>
            <w:pPr>
              <w:jc w:val="left"/>
            </w:pPr>
            <w:r/>
            <w:r>
              <w:rPr>
                <w:rFonts w:ascii="Microsoft YaHei" w:hAnsi="Microsoft YaHei" w:eastAsia="Microsoft YaHei"/>
                <w:sz w:val="20"/>
              </w:rPr>
              <w:t>辽宁桓仁</w:t>
            </w:r>
          </w:p>
        </w:tc>
        <w:tc>
          <w:tcPr>
            <w:tcW w:type="dxa" w:w="1417"/>
          </w:tcPr>
          <w:p>
            <w:pPr>
              <w:jc w:val="left"/>
            </w:pPr>
            <w:r/>
            <w:r>
              <w:rPr>
                <w:rFonts w:ascii="Microsoft YaHei" w:hAnsi="Microsoft YaHei" w:eastAsia="Microsoft YaHei"/>
                <w:sz w:val="20"/>
              </w:rPr>
              <w:t>3D建模+VR</w:t>
            </w:r>
          </w:p>
        </w:tc>
        <w:tc>
          <w:tcPr>
            <w:tcW w:type="dxa" w:w="1417"/>
          </w:tcPr>
          <w:p>
            <w:pPr>
              <w:jc w:val="left"/>
            </w:pPr>
            <w:r/>
            <w:r>
              <w:rPr>
                <w:rFonts w:ascii="Microsoft YaHei" w:hAnsi="Microsoft YaHei" w:eastAsia="Microsoft YaHei"/>
                <w:sz w:val="20"/>
              </w:rPr>
              <w:t>完成中</w:t>
            </w:r>
          </w:p>
        </w:tc>
      </w:tr>
    </w:tbl>
    <w:p/>
    <w:p>
      <w:pPr>
        <w:pStyle w:val="Heading3"/>
      </w:pPr>
      <w:r>
        <w:rPr>
          <w:rFonts w:ascii="Microsoft YaHei" w:hAnsi="Microsoft YaHei" w:eastAsia="Microsoft YaHei"/>
          <w:color w:val="457B9D"/>
        </w:rPr>
        <w:t>二、国际文化遗产数字化案例</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F3"/>
          </w:tcPr>
          <w:p>
            <w:pPr>
              <w:jc w:val="left"/>
            </w:pPr>
            <w:r/>
            <w:r>
              <w:rPr>
                <w:rFonts w:ascii="Microsoft YaHei" w:hAnsi="Microsoft YaHei" w:eastAsia="Microsoft YaHei"/>
                <w:b/>
                <w:sz w:val="20"/>
              </w:rPr>
              <w:t>序号</w:t>
            </w:r>
          </w:p>
        </w:tc>
        <w:tc>
          <w:tcPr>
            <w:tcW w:type="dxa" w:w="2126"/>
            <w:shd w:val="clear" w:color="auto" w:fill="D9E2F3"/>
          </w:tcPr>
          <w:p>
            <w:pPr>
              <w:jc w:val="left"/>
            </w:pPr>
            <w:r/>
            <w:r>
              <w:rPr>
                <w:rFonts w:ascii="Microsoft YaHei" w:hAnsi="Microsoft YaHei" w:eastAsia="Microsoft YaHei"/>
                <w:b/>
                <w:sz w:val="20"/>
              </w:rPr>
              <w:t>案例名称</w:t>
            </w:r>
          </w:p>
        </w:tc>
        <w:tc>
          <w:tcPr>
            <w:tcW w:type="dxa" w:w="2126"/>
            <w:shd w:val="clear" w:color="auto" w:fill="D9E2F3"/>
          </w:tcPr>
          <w:p>
            <w:pPr>
              <w:jc w:val="left"/>
            </w:pPr>
            <w:r/>
            <w:r>
              <w:rPr>
                <w:rFonts w:ascii="Microsoft YaHei" w:hAnsi="Microsoft YaHei" w:eastAsia="Microsoft YaHei"/>
                <w:b/>
                <w:sz w:val="20"/>
              </w:rPr>
              <w:t>国家/地区</w:t>
            </w:r>
          </w:p>
        </w:tc>
        <w:tc>
          <w:tcPr>
            <w:tcW w:type="dxa" w:w="2126"/>
            <w:shd w:val="clear" w:color="auto" w:fill="D9E2F3"/>
          </w:tcPr>
          <w:p>
            <w:pPr>
              <w:jc w:val="left"/>
            </w:pPr>
            <w:r/>
            <w:r>
              <w:rPr>
                <w:rFonts w:ascii="Microsoft YaHei" w:hAnsi="Microsoft YaHei" w:eastAsia="Microsoft YaHei"/>
                <w:b/>
                <w:sz w:val="20"/>
              </w:rPr>
              <w:t>技术特征</w:t>
            </w:r>
          </w:p>
        </w:tc>
      </w:tr>
      <w:tr>
        <w:tc>
          <w:tcPr>
            <w:tcW w:type="dxa" w:w="2126"/>
          </w:tcPr>
          <w:p>
            <w:pPr>
              <w:jc w:val="left"/>
            </w:pPr>
            <w:r/>
            <w:r>
              <w:rPr>
                <w:rFonts w:ascii="Microsoft YaHei" w:hAnsi="Microsoft YaHei" w:eastAsia="Microsoft YaHei"/>
                <w:sz w:val="20"/>
              </w:rPr>
              <w:t>16</w:t>
            </w:r>
          </w:p>
        </w:tc>
        <w:tc>
          <w:tcPr>
            <w:tcW w:type="dxa" w:w="2126"/>
          </w:tcPr>
          <w:p>
            <w:pPr>
              <w:jc w:val="left"/>
            </w:pPr>
            <w:r/>
            <w:r>
              <w:rPr>
                <w:rFonts w:ascii="Microsoft YaHei" w:hAnsi="Microsoft YaHei" w:eastAsia="Microsoft YaHei"/>
                <w:sz w:val="20"/>
              </w:rPr>
              <w:t>荷兰国立博物馆Rijksstudio</w:t>
            </w:r>
          </w:p>
        </w:tc>
        <w:tc>
          <w:tcPr>
            <w:tcW w:type="dxa" w:w="2126"/>
          </w:tcPr>
          <w:p>
            <w:pPr>
              <w:jc w:val="left"/>
            </w:pPr>
            <w:r/>
            <w:r>
              <w:rPr>
                <w:rFonts w:ascii="Microsoft YaHei" w:hAnsi="Microsoft YaHei" w:eastAsia="Microsoft YaHei"/>
                <w:sz w:val="20"/>
              </w:rPr>
              <w:t>荷兰</w:t>
            </w:r>
          </w:p>
        </w:tc>
        <w:tc>
          <w:tcPr>
            <w:tcW w:type="dxa" w:w="2126"/>
          </w:tcPr>
          <w:p>
            <w:pPr>
              <w:jc w:val="left"/>
            </w:pPr>
            <w:r/>
            <w:r>
              <w:rPr>
                <w:rFonts w:ascii="Microsoft YaHei" w:hAnsi="Microsoft YaHei" w:eastAsia="Microsoft YaHei"/>
                <w:sz w:val="20"/>
              </w:rPr>
              <w:t>CC0开放获取</w:t>
            </w:r>
          </w:p>
        </w:tc>
      </w:tr>
      <w:tr>
        <w:tc>
          <w:tcPr>
            <w:tcW w:type="dxa" w:w="2126"/>
            <w:shd w:val="clear" w:color="auto" w:fill="F2F2F2"/>
          </w:tcPr>
          <w:p>
            <w:pPr>
              <w:jc w:val="left"/>
            </w:pPr>
            <w:r/>
            <w:r>
              <w:rPr>
                <w:rFonts w:ascii="Microsoft YaHei" w:hAnsi="Microsoft YaHei" w:eastAsia="Microsoft YaHei"/>
                <w:sz w:val="20"/>
              </w:rPr>
              <w:t>17</w:t>
            </w:r>
          </w:p>
        </w:tc>
        <w:tc>
          <w:tcPr>
            <w:tcW w:type="dxa" w:w="2126"/>
            <w:shd w:val="clear" w:color="auto" w:fill="F2F2F2"/>
          </w:tcPr>
          <w:p>
            <w:pPr>
              <w:jc w:val="left"/>
            </w:pPr>
            <w:r/>
            <w:r>
              <w:rPr>
                <w:rFonts w:ascii="Microsoft YaHei" w:hAnsi="Microsoft YaHei" w:eastAsia="Microsoft YaHei"/>
                <w:sz w:val="20"/>
              </w:rPr>
              <w:t>卢浮宫数字博物馆</w:t>
            </w:r>
          </w:p>
        </w:tc>
        <w:tc>
          <w:tcPr>
            <w:tcW w:type="dxa" w:w="2126"/>
            <w:shd w:val="clear" w:color="auto" w:fill="F2F2F2"/>
          </w:tcPr>
          <w:p>
            <w:pPr>
              <w:jc w:val="left"/>
            </w:pPr>
            <w:r/>
            <w:r>
              <w:rPr>
                <w:rFonts w:ascii="Microsoft YaHei" w:hAnsi="Microsoft YaHei" w:eastAsia="Microsoft YaHei"/>
                <w:sz w:val="20"/>
              </w:rPr>
              <w:t>法国</w:t>
            </w:r>
          </w:p>
        </w:tc>
        <w:tc>
          <w:tcPr>
            <w:tcW w:type="dxa" w:w="2126"/>
            <w:shd w:val="clear" w:color="auto" w:fill="F2F2F2"/>
          </w:tcPr>
          <w:p>
            <w:pPr>
              <w:jc w:val="left"/>
            </w:pPr>
            <w:r/>
            <w:r>
              <w:rPr>
                <w:rFonts w:ascii="Microsoft YaHei" w:hAnsi="Microsoft YaHei" w:eastAsia="Microsoft YaHei"/>
                <w:sz w:val="20"/>
              </w:rPr>
              <w:t>虚拟参观+高清图像</w:t>
            </w:r>
          </w:p>
        </w:tc>
      </w:tr>
      <w:tr>
        <w:tc>
          <w:tcPr>
            <w:tcW w:type="dxa" w:w="2126"/>
          </w:tcPr>
          <w:p>
            <w:pPr>
              <w:jc w:val="left"/>
            </w:pPr>
            <w:r/>
            <w:r>
              <w:rPr>
                <w:rFonts w:ascii="Microsoft YaHei" w:hAnsi="Microsoft YaHei" w:eastAsia="Microsoft YaHei"/>
                <w:sz w:val="20"/>
              </w:rPr>
              <w:t>18</w:t>
            </w:r>
          </w:p>
        </w:tc>
        <w:tc>
          <w:tcPr>
            <w:tcW w:type="dxa" w:w="2126"/>
          </w:tcPr>
          <w:p>
            <w:pPr>
              <w:jc w:val="left"/>
            </w:pPr>
            <w:r/>
            <w:r>
              <w:rPr>
                <w:rFonts w:ascii="Microsoft YaHei" w:hAnsi="Microsoft YaHei" w:eastAsia="Microsoft YaHei"/>
                <w:sz w:val="20"/>
              </w:rPr>
              <w:t>Europeana</w:t>
            </w:r>
          </w:p>
        </w:tc>
        <w:tc>
          <w:tcPr>
            <w:tcW w:type="dxa" w:w="2126"/>
          </w:tcPr>
          <w:p>
            <w:pPr>
              <w:jc w:val="left"/>
            </w:pPr>
            <w:r/>
            <w:r>
              <w:rPr>
                <w:rFonts w:ascii="Microsoft YaHei" w:hAnsi="Microsoft YaHei" w:eastAsia="Microsoft YaHei"/>
                <w:sz w:val="20"/>
              </w:rPr>
              <w:t>欧盟</w:t>
            </w:r>
          </w:p>
        </w:tc>
        <w:tc>
          <w:tcPr>
            <w:tcW w:type="dxa" w:w="2126"/>
          </w:tcPr>
          <w:p>
            <w:pPr>
              <w:jc w:val="left"/>
            </w:pPr>
            <w:r/>
            <w:r>
              <w:rPr>
                <w:rFonts w:ascii="Microsoft YaHei" w:hAnsi="Microsoft YaHei" w:eastAsia="Microsoft YaHei"/>
                <w:sz w:val="20"/>
              </w:rPr>
              <w:t>跨国数据整合</w:t>
            </w:r>
          </w:p>
        </w:tc>
      </w:tr>
      <w:tr>
        <w:tc>
          <w:tcPr>
            <w:tcW w:type="dxa" w:w="2126"/>
            <w:shd w:val="clear" w:color="auto" w:fill="F2F2F2"/>
          </w:tcPr>
          <w:p>
            <w:pPr>
              <w:jc w:val="left"/>
            </w:pPr>
            <w:r/>
            <w:r>
              <w:rPr>
                <w:rFonts w:ascii="Microsoft YaHei" w:hAnsi="Microsoft YaHei" w:eastAsia="Microsoft YaHei"/>
                <w:sz w:val="20"/>
              </w:rPr>
              <w:t>19</w:t>
            </w:r>
          </w:p>
        </w:tc>
        <w:tc>
          <w:tcPr>
            <w:tcW w:type="dxa" w:w="2126"/>
            <w:shd w:val="clear" w:color="auto" w:fill="F2F2F2"/>
          </w:tcPr>
          <w:p>
            <w:pPr>
              <w:jc w:val="left"/>
            </w:pPr>
            <w:r/>
            <w:r>
              <w:rPr>
                <w:rFonts w:ascii="Microsoft YaHei" w:hAnsi="Microsoft YaHei" w:eastAsia="Microsoft YaHei"/>
                <w:sz w:val="20"/>
              </w:rPr>
              <w:t>Google Arts &amp; Culture</w:t>
            </w:r>
          </w:p>
        </w:tc>
        <w:tc>
          <w:tcPr>
            <w:tcW w:type="dxa" w:w="2126"/>
            <w:shd w:val="clear" w:color="auto" w:fill="F2F2F2"/>
          </w:tcPr>
          <w:p>
            <w:pPr>
              <w:jc w:val="left"/>
            </w:pPr>
            <w:r/>
            <w:r>
              <w:rPr>
                <w:rFonts w:ascii="Microsoft YaHei" w:hAnsi="Microsoft YaHei" w:eastAsia="Microsoft YaHei"/>
                <w:sz w:val="20"/>
              </w:rPr>
              <w:t>全球</w:t>
            </w:r>
          </w:p>
        </w:tc>
        <w:tc>
          <w:tcPr>
            <w:tcW w:type="dxa" w:w="2126"/>
            <w:shd w:val="clear" w:color="auto" w:fill="F2F2F2"/>
          </w:tcPr>
          <w:p>
            <w:pPr>
              <w:jc w:val="left"/>
            </w:pPr>
            <w:r/>
            <w:r>
              <w:rPr>
                <w:rFonts w:ascii="Microsoft YaHei" w:hAnsi="Microsoft YaHei" w:eastAsia="Microsoft YaHei"/>
                <w:sz w:val="20"/>
              </w:rPr>
              <w:t>千兆像素+VR</w:t>
            </w:r>
          </w:p>
        </w:tc>
      </w:tr>
      <w:tr>
        <w:tc>
          <w:tcPr>
            <w:tcW w:type="dxa" w:w="2126"/>
          </w:tcPr>
          <w:p>
            <w:pPr>
              <w:jc w:val="left"/>
            </w:pPr>
            <w:r/>
            <w:r>
              <w:rPr>
                <w:rFonts w:ascii="Microsoft YaHei" w:hAnsi="Microsoft YaHei" w:eastAsia="Microsoft YaHei"/>
                <w:sz w:val="20"/>
              </w:rPr>
              <w:t>20</w:t>
            </w:r>
          </w:p>
        </w:tc>
        <w:tc>
          <w:tcPr>
            <w:tcW w:type="dxa" w:w="2126"/>
          </w:tcPr>
          <w:p>
            <w:pPr>
              <w:jc w:val="left"/>
            </w:pPr>
            <w:r/>
            <w:r>
              <w:rPr>
                <w:rFonts w:ascii="Microsoft YaHei" w:hAnsi="Microsoft YaHei" w:eastAsia="Microsoft YaHei"/>
                <w:sz w:val="20"/>
              </w:rPr>
              <w:t>#iziTRAVELSicilia</w:t>
            </w:r>
          </w:p>
        </w:tc>
        <w:tc>
          <w:tcPr>
            <w:tcW w:type="dxa" w:w="2126"/>
          </w:tcPr>
          <w:p>
            <w:pPr>
              <w:jc w:val="left"/>
            </w:pPr>
            <w:r/>
            <w:r>
              <w:rPr>
                <w:rFonts w:ascii="Microsoft YaHei" w:hAnsi="Microsoft YaHei" w:eastAsia="Microsoft YaHei"/>
                <w:sz w:val="20"/>
              </w:rPr>
              <w:t>意大利</w:t>
            </w:r>
          </w:p>
        </w:tc>
        <w:tc>
          <w:tcPr>
            <w:tcW w:type="dxa" w:w="2126"/>
          </w:tcPr>
          <w:p>
            <w:pPr>
              <w:jc w:val="left"/>
            </w:pPr>
            <w:r/>
            <w:r>
              <w:rPr>
                <w:rFonts w:ascii="Microsoft YaHei" w:hAnsi="Microsoft YaHei" w:eastAsia="Microsoft YaHei"/>
                <w:sz w:val="20"/>
              </w:rPr>
              <w:t>参与式叙事</w:t>
            </w:r>
          </w:p>
        </w:tc>
      </w:tr>
      <w:tr>
        <w:tc>
          <w:tcPr>
            <w:tcW w:type="dxa" w:w="2126"/>
            <w:shd w:val="clear" w:color="auto" w:fill="F2F2F2"/>
          </w:tcPr>
          <w:p>
            <w:pPr>
              <w:jc w:val="left"/>
            </w:pPr>
            <w:r/>
            <w:r>
              <w:rPr>
                <w:rFonts w:ascii="Microsoft YaHei" w:hAnsi="Microsoft YaHei" w:eastAsia="Microsoft YaHei"/>
                <w:sz w:val="20"/>
              </w:rPr>
              <w:t>21</w:t>
            </w:r>
          </w:p>
        </w:tc>
        <w:tc>
          <w:tcPr>
            <w:tcW w:type="dxa" w:w="2126"/>
            <w:shd w:val="clear" w:color="auto" w:fill="F2F2F2"/>
          </w:tcPr>
          <w:p>
            <w:pPr>
              <w:jc w:val="left"/>
            </w:pPr>
            <w:r/>
            <w:r>
              <w:rPr>
                <w:rFonts w:ascii="Microsoft YaHei" w:hAnsi="Microsoft YaHei" w:eastAsia="Microsoft YaHei"/>
                <w:sz w:val="20"/>
              </w:rPr>
              <w:t>科隆古罗马遗产公共传播</w:t>
            </w:r>
          </w:p>
        </w:tc>
        <w:tc>
          <w:tcPr>
            <w:tcW w:type="dxa" w:w="2126"/>
            <w:shd w:val="clear" w:color="auto" w:fill="F2F2F2"/>
          </w:tcPr>
          <w:p>
            <w:pPr>
              <w:jc w:val="left"/>
            </w:pPr>
            <w:r/>
            <w:r>
              <w:rPr>
                <w:rFonts w:ascii="Microsoft YaHei" w:hAnsi="Microsoft YaHei" w:eastAsia="Microsoft YaHei"/>
                <w:sz w:val="20"/>
              </w:rPr>
              <w:t>德国</w:t>
            </w:r>
          </w:p>
        </w:tc>
        <w:tc>
          <w:tcPr>
            <w:tcW w:type="dxa" w:w="2126"/>
            <w:shd w:val="clear" w:color="auto" w:fill="F2F2F2"/>
          </w:tcPr>
          <w:p>
            <w:pPr>
              <w:jc w:val="left"/>
            </w:pPr>
            <w:r/>
            <w:r>
              <w:rPr>
                <w:rFonts w:ascii="Microsoft YaHei" w:hAnsi="Microsoft YaHei" w:eastAsia="Microsoft YaHei"/>
                <w:sz w:val="20"/>
              </w:rPr>
              <w:t>公共空间数字传播</w:t>
            </w:r>
          </w:p>
        </w:tc>
      </w:tr>
      <w:tr>
        <w:tc>
          <w:tcPr>
            <w:tcW w:type="dxa" w:w="2126"/>
          </w:tcPr>
          <w:p>
            <w:pPr>
              <w:jc w:val="left"/>
            </w:pPr>
            <w:r/>
            <w:r>
              <w:rPr>
                <w:rFonts w:ascii="Microsoft YaHei" w:hAnsi="Microsoft YaHei" w:eastAsia="Microsoft YaHei"/>
                <w:sz w:val="20"/>
              </w:rPr>
              <w:t>22</w:t>
            </w:r>
          </w:p>
        </w:tc>
        <w:tc>
          <w:tcPr>
            <w:tcW w:type="dxa" w:w="2126"/>
          </w:tcPr>
          <w:p>
            <w:pPr>
              <w:jc w:val="left"/>
            </w:pPr>
            <w:r/>
            <w:r>
              <w:rPr>
                <w:rFonts w:ascii="Microsoft YaHei" w:hAnsi="Microsoft YaHei" w:eastAsia="Microsoft YaHei"/>
                <w:sz w:val="20"/>
              </w:rPr>
              <w:t>Borobudur数字保存</w:t>
            </w:r>
          </w:p>
        </w:tc>
        <w:tc>
          <w:tcPr>
            <w:tcW w:type="dxa" w:w="2126"/>
          </w:tcPr>
          <w:p>
            <w:pPr>
              <w:jc w:val="left"/>
            </w:pPr>
            <w:r/>
            <w:r>
              <w:rPr>
                <w:rFonts w:ascii="Microsoft YaHei" w:hAnsi="Microsoft YaHei" w:eastAsia="Microsoft YaHei"/>
                <w:sz w:val="20"/>
              </w:rPr>
              <w:t>印尼</w:t>
            </w:r>
          </w:p>
        </w:tc>
        <w:tc>
          <w:tcPr>
            <w:tcW w:type="dxa" w:w="2126"/>
          </w:tcPr>
          <w:p>
            <w:pPr>
              <w:jc w:val="left"/>
            </w:pPr>
            <w:r/>
            <w:r>
              <w:rPr>
                <w:rFonts w:ascii="Microsoft YaHei" w:hAnsi="Microsoft YaHei" w:eastAsia="Microsoft YaHei"/>
                <w:sz w:val="20"/>
              </w:rPr>
              <w:t>三维数字化</w:t>
            </w:r>
          </w:p>
        </w:tc>
      </w:tr>
      <w:tr>
        <w:tc>
          <w:tcPr>
            <w:tcW w:type="dxa" w:w="2126"/>
            <w:shd w:val="clear" w:color="auto" w:fill="F2F2F2"/>
          </w:tcPr>
          <w:p>
            <w:pPr>
              <w:jc w:val="left"/>
            </w:pPr>
            <w:r/>
            <w:r>
              <w:rPr>
                <w:rFonts w:ascii="Microsoft YaHei" w:hAnsi="Microsoft YaHei" w:eastAsia="Microsoft YaHei"/>
                <w:sz w:val="20"/>
              </w:rPr>
              <w:t>23</w:t>
            </w:r>
          </w:p>
        </w:tc>
        <w:tc>
          <w:tcPr>
            <w:tcW w:type="dxa" w:w="2126"/>
            <w:shd w:val="clear" w:color="auto" w:fill="F2F2F2"/>
          </w:tcPr>
          <w:p>
            <w:pPr>
              <w:jc w:val="left"/>
            </w:pPr>
            <w:r/>
            <w:r>
              <w:rPr>
                <w:rFonts w:ascii="Microsoft YaHei" w:hAnsi="Microsoft YaHei" w:eastAsia="Microsoft YaHei"/>
                <w:sz w:val="20"/>
              </w:rPr>
              <w:t>苏绣数字化MasterSu</w:t>
            </w:r>
          </w:p>
        </w:tc>
        <w:tc>
          <w:tcPr>
            <w:tcW w:type="dxa" w:w="2126"/>
            <w:shd w:val="clear" w:color="auto" w:fill="F2F2F2"/>
          </w:tcPr>
          <w:p>
            <w:pPr>
              <w:jc w:val="left"/>
            </w:pPr>
            <w:r/>
            <w:r>
              <w:rPr>
                <w:rFonts w:ascii="Microsoft YaHei" w:hAnsi="Microsoft YaHei" w:eastAsia="Microsoft YaHei"/>
                <w:sz w:val="20"/>
              </w:rPr>
              <w:t>中国</w:t>
            </w:r>
          </w:p>
        </w:tc>
        <w:tc>
          <w:tcPr>
            <w:tcW w:type="dxa" w:w="2126"/>
            <w:shd w:val="clear" w:color="auto" w:fill="F2F2F2"/>
          </w:tcPr>
          <w:p>
            <w:pPr>
              <w:jc w:val="left"/>
            </w:pPr>
            <w:r/>
            <w:r>
              <w:rPr>
                <w:rFonts w:ascii="Microsoft YaHei" w:hAnsi="Microsoft YaHei" w:eastAsia="Microsoft YaHei"/>
                <w:sz w:val="20"/>
              </w:rPr>
              <w:t>数字技术+可持续发展</w:t>
            </w:r>
          </w:p>
        </w:tc>
      </w:tr>
      <w:tr>
        <w:tc>
          <w:tcPr>
            <w:tcW w:type="dxa" w:w="2126"/>
          </w:tcPr>
          <w:p>
            <w:pPr>
              <w:jc w:val="left"/>
            </w:pPr>
            <w:r/>
            <w:r>
              <w:rPr>
                <w:rFonts w:ascii="Microsoft YaHei" w:hAnsi="Microsoft YaHei" w:eastAsia="Microsoft YaHei"/>
                <w:sz w:val="20"/>
              </w:rPr>
              <w:t>24</w:t>
            </w:r>
          </w:p>
        </w:tc>
        <w:tc>
          <w:tcPr>
            <w:tcW w:type="dxa" w:w="2126"/>
          </w:tcPr>
          <w:p>
            <w:pPr>
              <w:jc w:val="left"/>
            </w:pPr>
            <w:r/>
            <w:r>
              <w:rPr>
                <w:rFonts w:ascii="Microsoft YaHei" w:hAnsi="Microsoft YaHei" w:eastAsia="Microsoft YaHei"/>
                <w:sz w:val="20"/>
              </w:rPr>
              <w:t>视障人士3D打印文物</w:t>
            </w:r>
          </w:p>
        </w:tc>
        <w:tc>
          <w:tcPr>
            <w:tcW w:type="dxa" w:w="2126"/>
          </w:tcPr>
          <w:p>
            <w:pPr>
              <w:jc w:val="left"/>
            </w:pPr>
            <w:r/>
            <w:r>
              <w:rPr>
                <w:rFonts w:ascii="Microsoft YaHei" w:hAnsi="Microsoft YaHei" w:eastAsia="Microsoft YaHei"/>
                <w:sz w:val="20"/>
              </w:rPr>
              <w:t>波兰</w:t>
            </w:r>
          </w:p>
        </w:tc>
        <w:tc>
          <w:tcPr>
            <w:tcW w:type="dxa" w:w="2126"/>
          </w:tcPr>
          <w:p>
            <w:pPr>
              <w:jc w:val="left"/>
            </w:pPr>
            <w:r/>
            <w:r>
              <w:rPr>
                <w:rFonts w:ascii="Microsoft YaHei" w:hAnsi="Microsoft YaHei" w:eastAsia="Microsoft YaHei"/>
                <w:sz w:val="20"/>
              </w:rPr>
              <w:t>触觉认知</w:t>
            </w:r>
          </w:p>
        </w:tc>
      </w:tr>
      <w:tr>
        <w:tc>
          <w:tcPr>
            <w:tcW w:type="dxa" w:w="2126"/>
            <w:shd w:val="clear" w:color="auto" w:fill="F2F2F2"/>
          </w:tcPr>
          <w:p>
            <w:pPr>
              <w:jc w:val="left"/>
            </w:pPr>
            <w:r/>
            <w:r>
              <w:rPr>
                <w:rFonts w:ascii="Microsoft YaHei" w:hAnsi="Microsoft YaHei" w:eastAsia="Microsoft YaHei"/>
                <w:sz w:val="20"/>
              </w:rPr>
              <w:t>25</w:t>
            </w:r>
          </w:p>
        </w:tc>
        <w:tc>
          <w:tcPr>
            <w:tcW w:type="dxa" w:w="2126"/>
            <w:shd w:val="clear" w:color="auto" w:fill="F2F2F2"/>
          </w:tcPr>
          <w:p>
            <w:pPr>
              <w:jc w:val="left"/>
            </w:pPr>
            <w:r/>
            <w:r>
              <w:rPr>
                <w:rFonts w:ascii="Microsoft YaHei" w:hAnsi="Microsoft YaHei" w:eastAsia="Microsoft YaHei"/>
                <w:sz w:val="20"/>
              </w:rPr>
              <w:t>Art Nouveau博物馆数字化</w:t>
            </w:r>
          </w:p>
        </w:tc>
        <w:tc>
          <w:tcPr>
            <w:tcW w:type="dxa" w:w="2126"/>
            <w:shd w:val="clear" w:color="auto" w:fill="F2F2F2"/>
          </w:tcPr>
          <w:p>
            <w:pPr>
              <w:jc w:val="left"/>
            </w:pPr>
            <w:r/>
            <w:r>
              <w:rPr>
                <w:rFonts w:ascii="Microsoft YaHei" w:hAnsi="Microsoft YaHei" w:eastAsia="Microsoft YaHei"/>
                <w:sz w:val="20"/>
              </w:rPr>
              <w:t>罗马尼亚</w:t>
            </w:r>
          </w:p>
        </w:tc>
        <w:tc>
          <w:tcPr>
            <w:tcW w:type="dxa" w:w="2126"/>
            <w:shd w:val="clear" w:color="auto" w:fill="F2F2F2"/>
          </w:tcPr>
          <w:p>
            <w:pPr>
              <w:jc w:val="left"/>
            </w:pPr>
            <w:r/>
            <w:r>
              <w:rPr>
                <w:rFonts w:ascii="Microsoft YaHei" w:hAnsi="Microsoft YaHei" w:eastAsia="Microsoft YaHei"/>
                <w:sz w:val="20"/>
              </w:rPr>
              <w:t>集成化方法论</w:t>
            </w:r>
          </w:p>
        </w:tc>
      </w:tr>
    </w:tbl>
    <w:p/>
    <w:p>
      <w:r>
        <w:br w:type="page"/>
      </w:r>
    </w:p>
    <w:p>
      <w:pPr>
        <w:pStyle w:val="Heading2"/>
      </w:pPr>
      <w:r>
        <w:rPr>
          <w:rFonts w:ascii="Microsoft YaHei" w:hAnsi="Microsoft YaHei" w:eastAsia="Microsoft YaHei"/>
          <w:color w:val="264653"/>
        </w:rPr>
        <w:t>附录D 设计模板与检查清单</w:t>
      </w:r>
    </w:p>
    <w:p>
      <w:pPr>
        <w:pStyle w:val="Heading3"/>
      </w:pPr>
      <w:r>
        <w:rPr>
          <w:rFonts w:ascii="Microsoft YaHei" w:hAnsi="Microsoft YaHei" w:eastAsia="Microsoft YaHei"/>
          <w:color w:val="457B9D"/>
        </w:rPr>
        <w:t>一、文化遗产数字化项目规划模板</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项目名称</w:t>
      </w:r>
      <w:r>
        <w:rPr>
          <w:rFonts w:ascii="Microsoft YaHei" w:hAnsi="Microsoft YaHei" w:eastAsia="Microsoft YaHei"/>
          <w:sz w:val="24"/>
        </w:rPr>
        <w:t>：_______________</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项目类型</w:t>
      </w:r>
      <w:r>
        <w:rPr>
          <w:rFonts w:ascii="Microsoft YaHei" w:hAnsi="Microsoft YaHei" w:eastAsia="Microsoft YaHei"/>
          <w:sz w:val="24"/>
        </w:rPr>
        <w:t>：□ 物质文化遗产 □ 非物质文化遗产 □ 混合</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项目目标</w:t>
      </w:r>
      <w:r>
        <w:rPr>
          <w:rFonts w:ascii="Microsoft YaHei" w:hAnsi="Microsoft YaHei" w:eastAsia="Microsoft YaHei"/>
          <w:sz w:val="24"/>
        </w:rPr>
        <w:t>：_______________</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项目周期</w:t>
      </w:r>
      <w:r>
        <w:rPr>
          <w:rFonts w:ascii="Microsoft YaHei" w:hAnsi="Microsoft YaHei" w:eastAsia="Microsoft YaHei"/>
          <w:sz w:val="24"/>
        </w:rPr>
        <w:t>：____年__月 至 ____年__月</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项目预算</w:t>
      </w:r>
      <w:r>
        <w:rPr>
          <w:rFonts w:ascii="Microsoft YaHei" w:hAnsi="Microsoft YaHei" w:eastAsia="Microsoft YaHei"/>
          <w:sz w:val="24"/>
        </w:rPr>
        <w:t>：_________元</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G维度（数字化采集）</w:t>
      </w:r>
      <w:r>
        <w:rPr>
          <w:rFonts w:ascii="Microsoft YaHei" w:hAnsi="Microsoft YaHei" w:eastAsia="Microsoft YaHei"/>
          <w:sz w:val="24"/>
        </w:rPr>
        <w:t>：</w:t>
      </w:r>
    </w:p>
    <w:p>
      <w:pPr>
        <w:pStyle w:val="ListBullet"/>
        <w:spacing w:line="360" w:lineRule="auto"/>
      </w:pPr>
      <w:r>
        <w:rPr>
          <w:rFonts w:ascii="Microsoft YaHei" w:hAnsi="Microsoft YaHei" w:eastAsia="Microsoft YaHei"/>
          <w:sz w:val="22"/>
        </w:rPr>
        <w:t>采集对象：_______________</w:t>
      </w:r>
    </w:p>
    <w:p>
      <w:pPr>
        <w:pStyle w:val="ListBullet"/>
        <w:spacing w:line="360" w:lineRule="auto"/>
      </w:pPr>
      <w:r>
        <w:rPr>
          <w:rFonts w:ascii="Microsoft YaHei" w:hAnsi="Microsoft YaHei" w:eastAsia="Microsoft YaHei"/>
          <w:sz w:val="22"/>
        </w:rPr>
        <w:t>技术选型：□ 三维扫描 □ 摄影测量 □ 音视频 □ 动作捕捉 □ 多光谱</w:t>
      </w:r>
    </w:p>
    <w:p>
      <w:pPr>
        <w:pStyle w:val="ListBullet"/>
        <w:spacing w:line="360" w:lineRule="auto"/>
      </w:pPr>
      <w:r>
        <w:rPr>
          <w:rFonts w:ascii="Microsoft YaHei" w:hAnsi="Microsoft YaHei" w:eastAsia="Microsoft YaHei"/>
          <w:sz w:val="22"/>
        </w:rPr>
        <w:t>精度要求：_______________</w:t>
      </w:r>
    </w:p>
    <w:p>
      <w:pPr>
        <w:pStyle w:val="ListBullet"/>
        <w:spacing w:line="360" w:lineRule="auto"/>
      </w:pPr>
      <w:r>
        <w:rPr>
          <w:rFonts w:ascii="Microsoft YaHei" w:hAnsi="Microsoft YaHei" w:eastAsia="Microsoft YaHei"/>
          <w:sz w:val="22"/>
        </w:rPr>
        <w:t>预计数据量：_________TB</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A维度（数字典藏）</w:t>
      </w:r>
      <w:r>
        <w:rPr>
          <w:rFonts w:ascii="Microsoft YaHei" w:hAnsi="Microsoft YaHei" w:eastAsia="Microsoft YaHei"/>
          <w:sz w:val="24"/>
        </w:rPr>
        <w:t>：</w:t>
      </w:r>
    </w:p>
    <w:p>
      <w:pPr>
        <w:pStyle w:val="ListBullet"/>
        <w:spacing w:line="360" w:lineRule="auto"/>
      </w:pPr>
      <w:r>
        <w:rPr>
          <w:rFonts w:ascii="Microsoft YaHei" w:hAnsi="Microsoft YaHei" w:eastAsia="Microsoft YaHei"/>
          <w:sz w:val="22"/>
        </w:rPr>
        <w:t>元数据标准：□ Dublin Core □ LIDO □ CIDOC CRM □ 自定义</w:t>
      </w:r>
    </w:p>
    <w:p>
      <w:pPr>
        <w:pStyle w:val="ListBullet"/>
        <w:spacing w:line="360" w:lineRule="auto"/>
      </w:pPr>
      <w:r>
        <w:rPr>
          <w:rFonts w:ascii="Microsoft YaHei" w:hAnsi="Microsoft YaHei" w:eastAsia="Microsoft YaHei"/>
          <w:sz w:val="22"/>
        </w:rPr>
        <w:t>存储方案：□ 本地存储 □ 云存储 □ 混合</w:t>
      </w:r>
    </w:p>
    <w:p>
      <w:pPr>
        <w:pStyle w:val="ListBullet"/>
        <w:spacing w:line="360" w:lineRule="auto"/>
      </w:pPr>
      <w:r>
        <w:rPr>
          <w:rFonts w:ascii="Microsoft YaHei" w:hAnsi="Microsoft YaHei" w:eastAsia="Microsoft YaHei"/>
          <w:sz w:val="22"/>
        </w:rPr>
        <w:t>备份策略：□ 本地备份 □ 异地备份 □ 3-2-1备份</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R维度（数字化呈现）</w:t>
      </w:r>
      <w:r>
        <w:rPr>
          <w:rFonts w:ascii="Microsoft YaHei" w:hAnsi="Microsoft YaHei" w:eastAsia="Microsoft YaHei"/>
          <w:sz w:val="24"/>
        </w:rPr>
        <w:t>：</w:t>
      </w:r>
    </w:p>
    <w:p>
      <w:pPr>
        <w:pStyle w:val="ListBullet"/>
        <w:spacing w:line="360" w:lineRule="auto"/>
      </w:pPr>
      <w:r>
        <w:rPr>
          <w:rFonts w:ascii="Microsoft YaHei" w:hAnsi="Microsoft YaHei" w:eastAsia="Microsoft YaHei"/>
          <w:sz w:val="22"/>
        </w:rPr>
        <w:t>展示平台：□ 网站 □ 移动App □ VR □ AR □ 实体展厅</w:t>
      </w:r>
    </w:p>
    <w:p>
      <w:pPr>
        <w:pStyle w:val="ListBullet"/>
        <w:spacing w:line="360" w:lineRule="auto"/>
      </w:pPr>
      <w:r>
        <w:rPr>
          <w:rFonts w:ascii="Microsoft YaHei" w:hAnsi="Microsoft YaHei" w:eastAsia="Microsoft YaHei"/>
          <w:sz w:val="22"/>
        </w:rPr>
        <w:t>目标用户：□ 研究者 □ 学生 □ 公众 □ 传承人</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U维度（利用与活化）</w:t>
      </w:r>
      <w:r>
        <w:rPr>
          <w:rFonts w:ascii="Microsoft YaHei" w:hAnsi="Microsoft YaHei" w:eastAsia="Microsoft YaHei"/>
          <w:sz w:val="24"/>
        </w:rPr>
        <w:t>：</w:t>
      </w:r>
    </w:p>
    <w:p>
      <w:pPr>
        <w:pStyle w:val="ListBullet"/>
        <w:spacing w:line="360" w:lineRule="auto"/>
      </w:pPr>
      <w:r>
        <w:rPr>
          <w:rFonts w:ascii="Microsoft YaHei" w:hAnsi="Microsoft YaHei" w:eastAsia="Microsoft YaHei"/>
          <w:sz w:val="22"/>
        </w:rPr>
        <w:t>活化形式：□ 虚拟展览 □ 文创产品 □ 教育课程 □ 互动体验</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D维度（数字治理）</w:t>
      </w:r>
      <w:r>
        <w:rPr>
          <w:rFonts w:ascii="Microsoft YaHei" w:hAnsi="Microsoft YaHei" w:eastAsia="Microsoft YaHei"/>
          <w:sz w:val="24"/>
        </w:rPr>
        <w:t>：</w:t>
      </w:r>
    </w:p>
    <w:p>
      <w:pPr>
        <w:pStyle w:val="ListBullet"/>
        <w:spacing w:line="360" w:lineRule="auto"/>
      </w:pPr>
      <w:r>
        <w:rPr>
          <w:rFonts w:ascii="Microsoft YaHei" w:hAnsi="Microsoft YaHei" w:eastAsia="Microsoft YaHei"/>
          <w:sz w:val="22"/>
        </w:rPr>
        <w:t>版权策略：_______________</w:t>
      </w:r>
    </w:p>
    <w:p>
      <w:pPr>
        <w:pStyle w:val="ListBullet"/>
        <w:spacing w:line="360" w:lineRule="auto"/>
      </w:pPr>
      <w:r>
        <w:rPr>
          <w:rFonts w:ascii="Microsoft YaHei" w:hAnsi="Microsoft YaHei" w:eastAsia="Microsoft YaHei"/>
          <w:sz w:val="22"/>
        </w:rPr>
        <w:t>伦理审查：□ 已通过 □ 待审查 □ 不适用</w:t>
      </w:r>
    </w:p>
    <w:p>
      <w:pPr>
        <w:pStyle w:val="ListBullet"/>
        <w:spacing w:line="360" w:lineRule="auto"/>
      </w:pPr>
      <w:r>
        <w:rPr>
          <w:rFonts w:ascii="Microsoft YaHei" w:hAnsi="Microsoft YaHei" w:eastAsia="Microsoft YaHei"/>
          <w:sz w:val="22"/>
        </w:rPr>
        <w:t>社区参与：_______________</w:t>
      </w:r>
    </w:p>
    <w:p>
      <w:pPr>
        <w:pStyle w:val="Heading3"/>
      </w:pPr>
      <w:r>
        <w:rPr>
          <w:rFonts w:ascii="Microsoft YaHei" w:hAnsi="Microsoft YaHei" w:eastAsia="Microsoft YaHei"/>
          <w:color w:val="457B9D"/>
        </w:rPr>
        <w:t>二、数字化采集质量检查清单</w:t>
      </w:r>
    </w:p>
    <w:p>
      <w:pPr>
        <w:pStyle w:val="ListBullet"/>
        <w:spacing w:line="360" w:lineRule="auto"/>
      </w:pPr>
      <w:r>
        <w:rPr>
          <w:rFonts w:ascii="Microsoft YaHei" w:hAnsi="Microsoft YaHei" w:eastAsia="Microsoft YaHei"/>
          <w:sz w:val="22"/>
        </w:rPr>
        <w:t>[ ] 采集覆盖率 ≥ 95%</w:t>
      </w:r>
    </w:p>
    <w:p>
      <w:pPr>
        <w:pStyle w:val="ListBullet"/>
        <w:spacing w:line="360" w:lineRule="auto"/>
      </w:pPr>
      <w:r>
        <w:rPr>
          <w:rFonts w:ascii="Microsoft YaHei" w:hAnsi="Microsoft YaHei" w:eastAsia="Microsoft YaHei"/>
          <w:sz w:val="22"/>
        </w:rPr>
        <w:t>[ ] 配准误差在允许范围内</w:t>
      </w:r>
    </w:p>
    <w:p>
      <w:pPr>
        <w:pStyle w:val="ListBullet"/>
        <w:spacing w:line="360" w:lineRule="auto"/>
      </w:pPr>
      <w:r>
        <w:rPr>
          <w:rFonts w:ascii="Microsoft YaHei" w:hAnsi="Microsoft YaHei" w:eastAsia="Microsoft YaHei"/>
          <w:sz w:val="22"/>
        </w:rPr>
        <w:t>[ ] 色彩校准已执行（ΔE ≤ 3）</w:t>
      </w:r>
    </w:p>
    <w:p>
      <w:pPr>
        <w:pStyle w:val="ListBullet"/>
        <w:spacing w:line="360" w:lineRule="auto"/>
      </w:pPr>
      <w:r>
        <w:rPr>
          <w:rFonts w:ascii="Microsoft YaHei" w:hAnsi="Microsoft YaHei" w:eastAsia="Microsoft YaHei"/>
          <w:sz w:val="22"/>
        </w:rPr>
        <w:t>[ ] 纹理分辨率 ≥ 300dpi</w:t>
      </w:r>
    </w:p>
    <w:p>
      <w:pPr>
        <w:pStyle w:val="ListBullet"/>
        <w:spacing w:line="360" w:lineRule="auto"/>
      </w:pPr>
      <w:r>
        <w:rPr>
          <w:rFonts w:ascii="Microsoft YaHei" w:hAnsi="Microsoft YaHei" w:eastAsia="Microsoft YaHei"/>
          <w:sz w:val="22"/>
        </w:rPr>
        <w:t>[ ] 元数据记录完整</w:t>
      </w:r>
    </w:p>
    <w:p>
      <w:pPr>
        <w:pStyle w:val="ListBullet"/>
        <w:spacing w:line="360" w:lineRule="auto"/>
      </w:pPr>
      <w:r>
        <w:rPr>
          <w:rFonts w:ascii="Microsoft YaHei" w:hAnsi="Microsoft YaHei" w:eastAsia="Microsoft YaHei"/>
          <w:sz w:val="22"/>
        </w:rPr>
        <w:t>[ ] 数据备份已完成且可读</w:t>
      </w:r>
    </w:p>
    <w:p>
      <w:pPr>
        <w:pStyle w:val="ListBullet"/>
        <w:spacing w:line="360" w:lineRule="auto"/>
      </w:pPr>
      <w:r>
        <w:rPr>
          <w:rFonts w:ascii="Microsoft YaHei" w:hAnsi="Microsoft YaHei" w:eastAsia="Microsoft YaHei"/>
          <w:sz w:val="22"/>
        </w:rPr>
        <w:t>[ ] 文件命名规范一致</w:t>
      </w:r>
    </w:p>
    <w:p>
      <w:pPr>
        <w:pStyle w:val="ListBullet"/>
        <w:spacing w:line="360" w:lineRule="auto"/>
      </w:pPr>
      <w:r>
        <w:rPr>
          <w:rFonts w:ascii="Microsoft YaHei" w:hAnsi="Microsoft YaHei" w:eastAsia="Microsoft YaHei"/>
          <w:sz w:val="22"/>
        </w:rPr>
        <w:t>[ ] 处理日志已记录</w:t>
      </w:r>
    </w:p>
    <w:p>
      <w:pPr>
        <w:pStyle w:val="Heading3"/>
      </w:pPr>
      <w:r>
        <w:rPr>
          <w:rFonts w:ascii="Microsoft YaHei" w:hAnsi="Microsoft YaHei" w:eastAsia="Microsoft YaHei"/>
          <w:color w:val="457B9D"/>
        </w:rPr>
        <w:t>三、数字典藏系统评估检查清单</w:t>
      </w:r>
    </w:p>
    <w:p>
      <w:pPr>
        <w:pStyle w:val="ListBullet"/>
        <w:spacing w:line="360" w:lineRule="auto"/>
      </w:pPr>
      <w:r>
        <w:rPr>
          <w:rFonts w:ascii="Microsoft YaHei" w:hAnsi="Microsoft YaHei" w:eastAsia="Microsoft YaHei"/>
          <w:sz w:val="22"/>
        </w:rPr>
        <w:t>[ ] 元数据标准已确定</w:t>
      </w:r>
    </w:p>
    <w:p>
      <w:pPr>
        <w:pStyle w:val="ListBullet"/>
        <w:spacing w:line="360" w:lineRule="auto"/>
      </w:pPr>
      <w:r>
        <w:rPr>
          <w:rFonts w:ascii="Microsoft YaHei" w:hAnsi="Microsoft YaHei" w:eastAsia="Microsoft YaHei"/>
          <w:sz w:val="22"/>
        </w:rPr>
        <w:t>[ ] 数据库架构已设计</w:t>
      </w:r>
    </w:p>
    <w:p>
      <w:pPr>
        <w:pStyle w:val="ListBullet"/>
        <w:spacing w:line="360" w:lineRule="auto"/>
      </w:pPr>
      <w:r>
        <w:rPr>
          <w:rFonts w:ascii="Microsoft YaHei" w:hAnsi="Microsoft YaHei" w:eastAsia="Microsoft YaHei"/>
          <w:sz w:val="22"/>
        </w:rPr>
        <w:t>[ ] 长期保存策略已制定</w:t>
      </w:r>
    </w:p>
    <w:p>
      <w:pPr>
        <w:pStyle w:val="ListBullet"/>
        <w:spacing w:line="360" w:lineRule="auto"/>
      </w:pPr>
      <w:r>
        <w:rPr>
          <w:rFonts w:ascii="Microsoft YaHei" w:hAnsi="Microsoft YaHei" w:eastAsia="Microsoft YaHei"/>
          <w:sz w:val="22"/>
        </w:rPr>
        <w:t>[ ] 访问权限已配置</w:t>
      </w:r>
    </w:p>
    <w:p>
      <w:pPr>
        <w:pStyle w:val="ListBullet"/>
        <w:spacing w:line="360" w:lineRule="auto"/>
      </w:pPr>
      <w:r>
        <w:rPr>
          <w:rFonts w:ascii="Microsoft YaHei" w:hAnsi="Microsoft YaHei" w:eastAsia="Microsoft YaHei"/>
          <w:sz w:val="22"/>
        </w:rPr>
        <w:t>[ ] 数据安全措施已部署</w:t>
      </w:r>
    </w:p>
    <w:p>
      <w:pPr>
        <w:pStyle w:val="ListBullet"/>
        <w:spacing w:line="360" w:lineRule="auto"/>
      </w:pPr>
      <w:r>
        <w:rPr>
          <w:rFonts w:ascii="Microsoft YaHei" w:hAnsi="Microsoft YaHei" w:eastAsia="Microsoft YaHei"/>
          <w:sz w:val="22"/>
        </w:rPr>
        <w:t>[ ] 用户界面已测试</w:t>
      </w:r>
    </w:p>
    <w:p>
      <w:pPr>
        <w:pStyle w:val="ListBullet"/>
        <w:spacing w:line="360" w:lineRule="auto"/>
      </w:pPr>
      <w:r>
        <w:rPr>
          <w:rFonts w:ascii="Microsoft YaHei" w:hAnsi="Microsoft YaHei" w:eastAsia="Microsoft YaHei"/>
          <w:sz w:val="22"/>
        </w:rPr>
        <w:t>[ ] API接口已文档化</w:t>
      </w:r>
    </w:p>
    <w:p>
      <w:pPr>
        <w:pStyle w:val="ListBullet"/>
        <w:spacing w:line="360" w:lineRule="auto"/>
      </w:pPr>
      <w:r>
        <w:rPr>
          <w:rFonts w:ascii="Microsoft YaHei" w:hAnsi="Microsoft YaHei" w:eastAsia="Microsoft YaHei"/>
          <w:sz w:val="22"/>
        </w:rPr>
        <w:t>[ ] 备份恢复流程已验证</w:t>
      </w:r>
    </w:p>
    <w:p>
      <w:r>
        <w:br w:type="page"/>
      </w:r>
    </w:p>
    <w:p>
      <w:pPr>
        <w:pStyle w:val="Heading2"/>
      </w:pPr>
      <w:r>
        <w:rPr>
          <w:rFonts w:ascii="Microsoft YaHei" w:hAnsi="Microsoft YaHei" w:eastAsia="Microsoft YaHei"/>
          <w:color w:val="264653"/>
        </w:rPr>
        <w:t>附录E 教学大纲</w:t>
      </w:r>
    </w:p>
    <w:p>
      <w:pPr>
        <w:pStyle w:val="Heading3"/>
      </w:pPr>
      <w:r>
        <w:rPr>
          <w:rFonts w:ascii="Microsoft YaHei" w:hAnsi="Microsoft YaHei" w:eastAsia="Microsoft YaHei"/>
          <w:color w:val="457B9D"/>
        </w:rPr>
        <w:t>课程信息</w:t>
      </w:r>
    </w:p>
    <w:p>
      <w:pPr>
        <w:pStyle w:val="ListBullet"/>
        <w:spacing w:line="360" w:lineRule="auto"/>
      </w:pPr>
      <w:r>
        <w:rPr>
          <w:rFonts w:ascii="Microsoft YaHei" w:hAnsi="Microsoft YaHei" w:eastAsia="Microsoft YaHei"/>
          <w:sz w:val="22"/>
        </w:rPr>
      </w:r>
      <w:r>
        <w:rPr>
          <w:rFonts w:ascii="Microsoft YaHei" w:hAnsi="Microsoft YaHei" w:eastAsia="Microsoft YaHei"/>
          <w:b/>
          <w:sz w:val="22"/>
        </w:rPr>
        <w:t>课程名称</w:t>
      </w:r>
      <w:r>
        <w:rPr>
          <w:rFonts w:ascii="Microsoft YaHei" w:hAnsi="Microsoft YaHei" w:eastAsia="Microsoft YaHei"/>
          <w:sz w:val="22"/>
        </w:rPr>
        <w:t>：文化遗产保护概论——非遗数字化与文物数字典藏</w:t>
      </w:r>
    </w:p>
    <w:p>
      <w:pPr>
        <w:pStyle w:val="ListBullet"/>
        <w:spacing w:line="360" w:lineRule="auto"/>
      </w:pPr>
      <w:r>
        <w:rPr>
          <w:rFonts w:ascii="Microsoft YaHei" w:hAnsi="Microsoft YaHei" w:eastAsia="Microsoft YaHei"/>
          <w:sz w:val="22"/>
        </w:rPr>
      </w:r>
      <w:r>
        <w:rPr>
          <w:rFonts w:ascii="Microsoft YaHei" w:hAnsi="Microsoft YaHei" w:eastAsia="Microsoft YaHei"/>
          <w:b/>
          <w:sz w:val="22"/>
        </w:rPr>
        <w:t>学时</w:t>
      </w:r>
      <w:r>
        <w:rPr>
          <w:rFonts w:ascii="Microsoft YaHei" w:hAnsi="Microsoft YaHei" w:eastAsia="Microsoft YaHei"/>
          <w:sz w:val="22"/>
        </w:rPr>
        <w:t>：48学时（理论32学时 + 实践16学时）</w:t>
      </w:r>
    </w:p>
    <w:p>
      <w:pPr>
        <w:pStyle w:val="ListBullet"/>
        <w:spacing w:line="360" w:lineRule="auto"/>
      </w:pPr>
      <w:r>
        <w:rPr>
          <w:rFonts w:ascii="Microsoft YaHei" w:hAnsi="Microsoft YaHei" w:eastAsia="Microsoft YaHei"/>
          <w:sz w:val="22"/>
        </w:rPr>
      </w:r>
      <w:r>
        <w:rPr>
          <w:rFonts w:ascii="Microsoft YaHei" w:hAnsi="Microsoft YaHei" w:eastAsia="Microsoft YaHei"/>
          <w:b/>
          <w:sz w:val="22"/>
        </w:rPr>
        <w:t>学分</w:t>
      </w:r>
      <w:r>
        <w:rPr>
          <w:rFonts w:ascii="Microsoft YaHei" w:hAnsi="Microsoft YaHei" w:eastAsia="Microsoft YaHei"/>
          <w:sz w:val="22"/>
        </w:rPr>
        <w:t>：3学分</w:t>
      </w:r>
    </w:p>
    <w:p>
      <w:pPr>
        <w:pStyle w:val="ListBullet"/>
        <w:spacing w:line="360" w:lineRule="auto"/>
      </w:pPr>
      <w:r>
        <w:rPr>
          <w:rFonts w:ascii="Microsoft YaHei" w:hAnsi="Microsoft YaHei" w:eastAsia="Microsoft YaHei"/>
          <w:sz w:val="22"/>
        </w:rPr>
      </w:r>
      <w:r>
        <w:rPr>
          <w:rFonts w:ascii="Microsoft YaHei" w:hAnsi="Microsoft YaHei" w:eastAsia="Microsoft YaHei"/>
          <w:b/>
          <w:sz w:val="22"/>
        </w:rPr>
        <w:t>适用专业</w:t>
      </w:r>
      <w:r>
        <w:rPr>
          <w:rFonts w:ascii="Microsoft YaHei" w:hAnsi="Microsoft YaHei" w:eastAsia="Microsoft YaHei"/>
          <w:sz w:val="22"/>
        </w:rPr>
        <w:t>：数字文旅、文化遗产、博物馆学、档案学等</w:t>
      </w:r>
    </w:p>
    <w:p>
      <w:pPr>
        <w:pStyle w:val="Heading3"/>
      </w:pPr>
      <w:r>
        <w:rPr>
          <w:rFonts w:ascii="Microsoft YaHei" w:hAnsi="Microsoft YaHei" w:eastAsia="Microsoft YaHei"/>
          <w:color w:val="457B9D"/>
        </w:rPr>
        <w:t>学时分配</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D9E2F3"/>
          </w:tcPr>
          <w:p>
            <w:pPr>
              <w:jc w:val="left"/>
            </w:pPr>
            <w:r/>
            <w:r>
              <w:rPr>
                <w:rFonts w:ascii="Microsoft YaHei" w:hAnsi="Microsoft YaHei" w:eastAsia="Microsoft YaHei"/>
                <w:b/>
                <w:sz w:val="20"/>
              </w:rPr>
              <w:t>章节</w:t>
            </w:r>
          </w:p>
        </w:tc>
        <w:tc>
          <w:tcPr>
            <w:tcW w:type="dxa" w:w="2126"/>
            <w:shd w:val="clear" w:color="auto" w:fill="D9E2F3"/>
          </w:tcPr>
          <w:p>
            <w:pPr>
              <w:jc w:val="left"/>
            </w:pPr>
            <w:r/>
            <w:r>
              <w:rPr>
                <w:rFonts w:ascii="Microsoft YaHei" w:hAnsi="Microsoft YaHei" w:eastAsia="Microsoft YaHei"/>
                <w:b/>
                <w:sz w:val="20"/>
              </w:rPr>
              <w:t>内容</w:t>
            </w:r>
          </w:p>
        </w:tc>
        <w:tc>
          <w:tcPr>
            <w:tcW w:type="dxa" w:w="2126"/>
            <w:shd w:val="clear" w:color="auto" w:fill="D9E2F3"/>
          </w:tcPr>
          <w:p>
            <w:pPr>
              <w:jc w:val="left"/>
            </w:pPr>
            <w:r/>
            <w:r>
              <w:rPr>
                <w:rFonts w:ascii="Microsoft YaHei" w:hAnsi="Microsoft YaHei" w:eastAsia="Microsoft YaHei"/>
                <w:b/>
                <w:sz w:val="20"/>
              </w:rPr>
              <w:t>理论学时</w:t>
            </w:r>
          </w:p>
        </w:tc>
        <w:tc>
          <w:tcPr>
            <w:tcW w:type="dxa" w:w="2126"/>
            <w:shd w:val="clear" w:color="auto" w:fill="D9E2F3"/>
          </w:tcPr>
          <w:p>
            <w:pPr>
              <w:jc w:val="left"/>
            </w:pPr>
            <w:r/>
            <w:r>
              <w:rPr>
                <w:rFonts w:ascii="Microsoft YaHei" w:hAnsi="Microsoft YaHei" w:eastAsia="Microsoft YaHei"/>
                <w:b/>
                <w:sz w:val="20"/>
              </w:rPr>
              <w:t>实践学时</w:t>
            </w:r>
          </w:p>
        </w:tc>
      </w:tr>
      <w:tr>
        <w:tc>
          <w:tcPr>
            <w:tcW w:type="dxa" w:w="2126"/>
          </w:tcPr>
          <w:p>
            <w:pPr>
              <w:jc w:val="left"/>
            </w:pPr>
            <w:r/>
            <w:r>
              <w:rPr>
                <w:rFonts w:ascii="Microsoft YaHei" w:hAnsi="Microsoft YaHei" w:eastAsia="Microsoft YaHei"/>
                <w:sz w:val="20"/>
              </w:rPr>
              <w:t>第1章</w:t>
            </w:r>
          </w:p>
        </w:tc>
        <w:tc>
          <w:tcPr>
            <w:tcW w:type="dxa" w:w="2126"/>
          </w:tcPr>
          <w:p>
            <w:pPr>
              <w:jc w:val="left"/>
            </w:pPr>
            <w:r/>
            <w:r>
              <w:rPr>
                <w:rFonts w:ascii="Microsoft YaHei" w:hAnsi="Microsoft YaHei" w:eastAsia="Microsoft YaHei"/>
                <w:sz w:val="20"/>
              </w:rPr>
              <w:t>文化遗产保护概论</w:t>
            </w:r>
          </w:p>
        </w:tc>
        <w:tc>
          <w:tcPr>
            <w:tcW w:type="dxa" w:w="2126"/>
          </w:tcPr>
          <w:p>
            <w:pPr>
              <w:jc w:val="left"/>
            </w:pPr>
            <w:r/>
            <w:r>
              <w:rPr>
                <w:rFonts w:ascii="Microsoft YaHei" w:hAnsi="Microsoft YaHei" w:eastAsia="Microsoft YaHei"/>
                <w:sz w:val="20"/>
              </w:rPr>
              <w:t>3</w:t>
            </w:r>
          </w:p>
        </w:tc>
        <w:tc>
          <w:tcPr>
            <w:tcW w:type="dxa" w:w="2126"/>
          </w:tcPr>
          <w:p>
            <w:pPr>
              <w:jc w:val="left"/>
            </w:pPr>
            <w:r/>
            <w:r>
              <w:rPr>
                <w:rFonts w:ascii="Microsoft YaHei" w:hAnsi="Microsoft YaHei" w:eastAsia="Microsoft YaHei"/>
                <w:sz w:val="20"/>
              </w:rPr>
              <w:t>0</w:t>
            </w:r>
          </w:p>
        </w:tc>
      </w:tr>
      <w:tr>
        <w:tc>
          <w:tcPr>
            <w:tcW w:type="dxa" w:w="2126"/>
            <w:shd w:val="clear" w:color="auto" w:fill="F2F2F2"/>
          </w:tcPr>
          <w:p>
            <w:pPr>
              <w:jc w:val="left"/>
            </w:pPr>
            <w:r/>
            <w:r>
              <w:rPr>
                <w:rFonts w:ascii="Microsoft YaHei" w:hAnsi="Microsoft YaHei" w:eastAsia="Microsoft YaHei"/>
                <w:sz w:val="20"/>
              </w:rPr>
              <w:t>第2章</w:t>
            </w:r>
          </w:p>
        </w:tc>
        <w:tc>
          <w:tcPr>
            <w:tcW w:type="dxa" w:w="2126"/>
            <w:shd w:val="clear" w:color="auto" w:fill="F2F2F2"/>
          </w:tcPr>
          <w:p>
            <w:pPr>
              <w:jc w:val="left"/>
            </w:pPr>
            <w:r/>
            <w:r>
              <w:rPr>
                <w:rFonts w:ascii="Microsoft YaHei" w:hAnsi="Microsoft YaHei" w:eastAsia="Microsoft YaHei"/>
                <w:sz w:val="20"/>
              </w:rPr>
              <w:t>非遗数字化理论</w:t>
            </w:r>
          </w:p>
        </w:tc>
        <w:tc>
          <w:tcPr>
            <w:tcW w:type="dxa" w:w="2126"/>
            <w:shd w:val="clear" w:color="auto" w:fill="F2F2F2"/>
          </w:tcPr>
          <w:p>
            <w:pPr>
              <w:jc w:val="left"/>
            </w:pPr>
            <w:r/>
            <w:r>
              <w:rPr>
                <w:rFonts w:ascii="Microsoft YaHei" w:hAnsi="Microsoft YaHei" w:eastAsia="Microsoft YaHei"/>
                <w:sz w:val="20"/>
              </w:rPr>
              <w:t>3</w:t>
            </w:r>
          </w:p>
        </w:tc>
        <w:tc>
          <w:tcPr>
            <w:tcW w:type="dxa" w:w="2126"/>
            <w:shd w:val="clear" w:color="auto" w:fill="F2F2F2"/>
          </w:tcPr>
          <w:p>
            <w:pPr>
              <w:jc w:val="left"/>
            </w:pPr>
            <w:r/>
            <w:r>
              <w:rPr>
                <w:rFonts w:ascii="Microsoft YaHei" w:hAnsi="Microsoft YaHei" w:eastAsia="Microsoft YaHei"/>
                <w:sz w:val="20"/>
              </w:rPr>
              <w:t>0</w:t>
            </w:r>
          </w:p>
        </w:tc>
      </w:tr>
      <w:tr>
        <w:tc>
          <w:tcPr>
            <w:tcW w:type="dxa" w:w="2126"/>
          </w:tcPr>
          <w:p>
            <w:pPr>
              <w:jc w:val="left"/>
            </w:pPr>
            <w:r/>
            <w:r>
              <w:rPr>
                <w:rFonts w:ascii="Microsoft YaHei" w:hAnsi="Microsoft YaHei" w:eastAsia="Microsoft YaHei"/>
                <w:sz w:val="20"/>
              </w:rPr>
              <w:t>第3章</w:t>
            </w:r>
          </w:p>
        </w:tc>
        <w:tc>
          <w:tcPr>
            <w:tcW w:type="dxa" w:w="2126"/>
          </w:tcPr>
          <w:p>
            <w:pPr>
              <w:jc w:val="left"/>
            </w:pPr>
            <w:r/>
            <w:r>
              <w:rPr>
                <w:rFonts w:ascii="Microsoft YaHei" w:hAnsi="Microsoft YaHei" w:eastAsia="Microsoft YaHei"/>
                <w:sz w:val="20"/>
              </w:rPr>
              <w:t>文物数字典藏基础</w:t>
            </w:r>
          </w:p>
        </w:tc>
        <w:tc>
          <w:tcPr>
            <w:tcW w:type="dxa" w:w="2126"/>
          </w:tcPr>
          <w:p>
            <w:pPr>
              <w:jc w:val="left"/>
            </w:pPr>
            <w:r/>
            <w:r>
              <w:rPr>
                <w:rFonts w:ascii="Microsoft YaHei" w:hAnsi="Microsoft YaHei" w:eastAsia="Microsoft YaHei"/>
                <w:sz w:val="20"/>
              </w:rPr>
              <w:t>3</w:t>
            </w:r>
          </w:p>
        </w:tc>
        <w:tc>
          <w:tcPr>
            <w:tcW w:type="dxa" w:w="2126"/>
          </w:tcPr>
          <w:p>
            <w:pPr>
              <w:jc w:val="left"/>
            </w:pPr>
            <w:r/>
            <w:r>
              <w:rPr>
                <w:rFonts w:ascii="Microsoft YaHei" w:hAnsi="Microsoft YaHei" w:eastAsia="Microsoft YaHei"/>
                <w:sz w:val="20"/>
              </w:rPr>
              <w:t>0</w:t>
            </w:r>
          </w:p>
        </w:tc>
      </w:tr>
      <w:tr>
        <w:tc>
          <w:tcPr>
            <w:tcW w:type="dxa" w:w="2126"/>
            <w:shd w:val="clear" w:color="auto" w:fill="F2F2F2"/>
          </w:tcPr>
          <w:p>
            <w:pPr>
              <w:jc w:val="left"/>
            </w:pPr>
            <w:r/>
            <w:r>
              <w:rPr>
                <w:rFonts w:ascii="Microsoft YaHei" w:hAnsi="Microsoft YaHei" w:eastAsia="Microsoft YaHei"/>
                <w:sz w:val="20"/>
              </w:rPr>
              <w:t>第4章</w:t>
            </w:r>
          </w:p>
        </w:tc>
        <w:tc>
          <w:tcPr>
            <w:tcW w:type="dxa" w:w="2126"/>
            <w:shd w:val="clear" w:color="auto" w:fill="F2F2F2"/>
          </w:tcPr>
          <w:p>
            <w:pPr>
              <w:jc w:val="left"/>
            </w:pPr>
            <w:r/>
            <w:r>
              <w:rPr>
                <w:rFonts w:ascii="Microsoft YaHei" w:hAnsi="Microsoft YaHei" w:eastAsia="Microsoft YaHei"/>
                <w:sz w:val="20"/>
              </w:rPr>
              <w:t>数字化采集技术</w:t>
            </w:r>
          </w:p>
        </w:tc>
        <w:tc>
          <w:tcPr>
            <w:tcW w:type="dxa" w:w="2126"/>
            <w:shd w:val="clear" w:color="auto" w:fill="F2F2F2"/>
          </w:tcPr>
          <w:p>
            <w:pPr>
              <w:jc w:val="left"/>
            </w:pPr>
            <w:r/>
            <w:r>
              <w:rPr>
                <w:rFonts w:ascii="Microsoft YaHei" w:hAnsi="Microsoft YaHei" w:eastAsia="Microsoft YaHei"/>
                <w:sz w:val="20"/>
              </w:rPr>
              <w:t>2</w:t>
            </w:r>
          </w:p>
        </w:tc>
        <w:tc>
          <w:tcPr>
            <w:tcW w:type="dxa" w:w="2126"/>
            <w:shd w:val="clear" w:color="auto" w:fill="F2F2F2"/>
          </w:tcPr>
          <w:p>
            <w:pPr>
              <w:jc w:val="left"/>
            </w:pPr>
            <w:r/>
            <w:r>
              <w:rPr>
                <w:rFonts w:ascii="Microsoft YaHei" w:hAnsi="Microsoft YaHei" w:eastAsia="Microsoft YaHei"/>
                <w:sz w:val="20"/>
              </w:rPr>
              <w:t>3</w:t>
            </w:r>
          </w:p>
        </w:tc>
      </w:tr>
      <w:tr>
        <w:tc>
          <w:tcPr>
            <w:tcW w:type="dxa" w:w="2126"/>
          </w:tcPr>
          <w:p>
            <w:pPr>
              <w:jc w:val="left"/>
            </w:pPr>
            <w:r/>
            <w:r>
              <w:rPr>
                <w:rFonts w:ascii="Microsoft YaHei" w:hAnsi="Microsoft YaHei" w:eastAsia="Microsoft YaHei"/>
                <w:sz w:val="20"/>
              </w:rPr>
              <w:t>第5章</w:t>
            </w:r>
          </w:p>
        </w:tc>
        <w:tc>
          <w:tcPr>
            <w:tcW w:type="dxa" w:w="2126"/>
          </w:tcPr>
          <w:p>
            <w:pPr>
              <w:jc w:val="left"/>
            </w:pPr>
            <w:r/>
            <w:r>
              <w:rPr>
                <w:rFonts w:ascii="Microsoft YaHei" w:hAnsi="Microsoft YaHei" w:eastAsia="Microsoft YaHei"/>
                <w:sz w:val="20"/>
              </w:rPr>
              <w:t>三维重建与典藏</w:t>
            </w:r>
          </w:p>
        </w:tc>
        <w:tc>
          <w:tcPr>
            <w:tcW w:type="dxa" w:w="2126"/>
          </w:tcPr>
          <w:p>
            <w:pPr>
              <w:jc w:val="left"/>
            </w:pPr>
            <w:r/>
            <w:r>
              <w:rPr>
                <w:rFonts w:ascii="Microsoft YaHei" w:hAnsi="Microsoft YaHei" w:eastAsia="Microsoft YaHei"/>
                <w:sz w:val="20"/>
              </w:rPr>
              <w:t>2</w:t>
            </w:r>
          </w:p>
        </w:tc>
        <w:tc>
          <w:tcPr>
            <w:tcW w:type="dxa" w:w="2126"/>
          </w:tcPr>
          <w:p>
            <w:pPr>
              <w:jc w:val="left"/>
            </w:pPr>
            <w:r/>
            <w:r>
              <w:rPr>
                <w:rFonts w:ascii="Microsoft YaHei" w:hAnsi="Microsoft YaHei" w:eastAsia="Microsoft YaHei"/>
                <w:sz w:val="20"/>
              </w:rPr>
              <w:t>3</w:t>
            </w:r>
          </w:p>
        </w:tc>
      </w:tr>
      <w:tr>
        <w:tc>
          <w:tcPr>
            <w:tcW w:type="dxa" w:w="2126"/>
            <w:shd w:val="clear" w:color="auto" w:fill="F2F2F2"/>
          </w:tcPr>
          <w:p>
            <w:pPr>
              <w:jc w:val="left"/>
            </w:pPr>
            <w:r/>
            <w:r>
              <w:rPr>
                <w:rFonts w:ascii="Microsoft YaHei" w:hAnsi="Microsoft YaHei" w:eastAsia="Microsoft YaHei"/>
                <w:sz w:val="20"/>
              </w:rPr>
              <w:t>第6章</w:t>
            </w:r>
          </w:p>
        </w:tc>
        <w:tc>
          <w:tcPr>
            <w:tcW w:type="dxa" w:w="2126"/>
            <w:shd w:val="clear" w:color="auto" w:fill="F2F2F2"/>
          </w:tcPr>
          <w:p>
            <w:pPr>
              <w:jc w:val="left"/>
            </w:pPr>
            <w:r/>
            <w:r>
              <w:rPr>
                <w:rFonts w:ascii="Microsoft YaHei" w:hAnsi="Microsoft YaHei" w:eastAsia="Microsoft YaHei"/>
                <w:sz w:val="20"/>
              </w:rPr>
              <w:t>VR/AR/MR技术</w:t>
            </w:r>
          </w:p>
        </w:tc>
        <w:tc>
          <w:tcPr>
            <w:tcW w:type="dxa" w:w="2126"/>
            <w:shd w:val="clear" w:color="auto" w:fill="F2F2F2"/>
          </w:tcPr>
          <w:p>
            <w:pPr>
              <w:jc w:val="left"/>
            </w:pPr>
            <w:r/>
            <w:r>
              <w:rPr>
                <w:rFonts w:ascii="Microsoft YaHei" w:hAnsi="Microsoft YaHei" w:eastAsia="Microsoft YaHei"/>
                <w:sz w:val="20"/>
              </w:rPr>
              <w:t>2</w:t>
            </w:r>
          </w:p>
        </w:tc>
        <w:tc>
          <w:tcPr>
            <w:tcW w:type="dxa" w:w="2126"/>
            <w:shd w:val="clear" w:color="auto" w:fill="F2F2F2"/>
          </w:tcPr>
          <w:p>
            <w:pPr>
              <w:jc w:val="left"/>
            </w:pPr>
            <w:r/>
            <w:r>
              <w:rPr>
                <w:rFonts w:ascii="Microsoft YaHei" w:hAnsi="Microsoft YaHei" w:eastAsia="Microsoft YaHei"/>
                <w:sz w:val="20"/>
              </w:rPr>
              <w:t>2</w:t>
            </w:r>
          </w:p>
        </w:tc>
      </w:tr>
      <w:tr>
        <w:tc>
          <w:tcPr>
            <w:tcW w:type="dxa" w:w="2126"/>
          </w:tcPr>
          <w:p>
            <w:pPr>
              <w:jc w:val="left"/>
            </w:pPr>
            <w:r/>
            <w:r>
              <w:rPr>
                <w:rFonts w:ascii="Microsoft YaHei" w:hAnsi="Microsoft YaHei" w:eastAsia="Microsoft YaHei"/>
                <w:sz w:val="20"/>
              </w:rPr>
              <w:t>第7章</w:t>
            </w:r>
          </w:p>
        </w:tc>
        <w:tc>
          <w:tcPr>
            <w:tcW w:type="dxa" w:w="2126"/>
          </w:tcPr>
          <w:p>
            <w:pPr>
              <w:jc w:val="left"/>
            </w:pPr>
            <w:r/>
            <w:r>
              <w:rPr>
                <w:rFonts w:ascii="Microsoft YaHei" w:hAnsi="Microsoft YaHei" w:eastAsia="Microsoft YaHei"/>
                <w:sz w:val="20"/>
              </w:rPr>
              <w:t>数字博物馆与展览</w:t>
            </w:r>
          </w:p>
        </w:tc>
        <w:tc>
          <w:tcPr>
            <w:tcW w:type="dxa" w:w="2126"/>
          </w:tcPr>
          <w:p>
            <w:pPr>
              <w:jc w:val="left"/>
            </w:pPr>
            <w:r/>
            <w:r>
              <w:rPr>
                <w:rFonts w:ascii="Microsoft YaHei" w:hAnsi="Microsoft YaHei" w:eastAsia="Microsoft YaHei"/>
                <w:sz w:val="20"/>
              </w:rPr>
              <w:t>2</w:t>
            </w:r>
          </w:p>
        </w:tc>
        <w:tc>
          <w:tcPr>
            <w:tcW w:type="dxa" w:w="2126"/>
          </w:tcPr>
          <w:p>
            <w:pPr>
              <w:jc w:val="left"/>
            </w:pPr>
            <w:r/>
            <w:r>
              <w:rPr>
                <w:rFonts w:ascii="Microsoft YaHei" w:hAnsi="Microsoft YaHei" w:eastAsia="Microsoft YaHei"/>
                <w:sz w:val="20"/>
              </w:rPr>
              <w:t>2</w:t>
            </w:r>
          </w:p>
        </w:tc>
      </w:tr>
      <w:tr>
        <w:tc>
          <w:tcPr>
            <w:tcW w:type="dxa" w:w="2126"/>
            <w:shd w:val="clear" w:color="auto" w:fill="F2F2F2"/>
          </w:tcPr>
          <w:p>
            <w:pPr>
              <w:jc w:val="left"/>
            </w:pPr>
            <w:r/>
            <w:r>
              <w:rPr>
                <w:rFonts w:ascii="Microsoft YaHei" w:hAnsi="Microsoft YaHei" w:eastAsia="Microsoft YaHei"/>
                <w:sz w:val="20"/>
              </w:rPr>
              <w:t>第8章</w:t>
            </w:r>
          </w:p>
        </w:tc>
        <w:tc>
          <w:tcPr>
            <w:tcW w:type="dxa" w:w="2126"/>
            <w:shd w:val="clear" w:color="auto" w:fill="F2F2F2"/>
          </w:tcPr>
          <w:p>
            <w:pPr>
              <w:jc w:val="left"/>
            </w:pPr>
            <w:r/>
            <w:r>
              <w:rPr>
                <w:rFonts w:ascii="Microsoft YaHei" w:hAnsi="Microsoft YaHei" w:eastAsia="Microsoft YaHei"/>
                <w:sz w:val="20"/>
              </w:rPr>
              <w:t>数字化传播与参与</w:t>
            </w:r>
          </w:p>
        </w:tc>
        <w:tc>
          <w:tcPr>
            <w:tcW w:type="dxa" w:w="2126"/>
            <w:shd w:val="clear" w:color="auto" w:fill="F2F2F2"/>
          </w:tcPr>
          <w:p>
            <w:pPr>
              <w:jc w:val="left"/>
            </w:pPr>
            <w:r/>
            <w:r>
              <w:rPr>
                <w:rFonts w:ascii="Microsoft YaHei" w:hAnsi="Microsoft YaHei" w:eastAsia="Microsoft YaHei"/>
                <w:sz w:val="20"/>
              </w:rPr>
              <w:t>2</w:t>
            </w:r>
          </w:p>
        </w:tc>
        <w:tc>
          <w:tcPr>
            <w:tcW w:type="dxa" w:w="2126"/>
            <w:shd w:val="clear" w:color="auto" w:fill="F2F2F2"/>
          </w:tcPr>
          <w:p>
            <w:pPr>
              <w:jc w:val="left"/>
            </w:pPr>
            <w:r/>
            <w:r>
              <w:rPr>
                <w:rFonts w:ascii="Microsoft YaHei" w:hAnsi="Microsoft YaHei" w:eastAsia="Microsoft YaHei"/>
                <w:sz w:val="20"/>
              </w:rPr>
              <w:t>2</w:t>
            </w:r>
          </w:p>
        </w:tc>
      </w:tr>
      <w:tr>
        <w:tc>
          <w:tcPr>
            <w:tcW w:type="dxa" w:w="2126"/>
          </w:tcPr>
          <w:p>
            <w:pPr>
              <w:jc w:val="left"/>
            </w:pPr>
            <w:r/>
            <w:r>
              <w:rPr>
                <w:rFonts w:ascii="Microsoft YaHei" w:hAnsi="Microsoft YaHei" w:eastAsia="Microsoft YaHei"/>
                <w:sz w:val="20"/>
              </w:rPr>
              <w:t>第9章</w:t>
            </w:r>
          </w:p>
        </w:tc>
        <w:tc>
          <w:tcPr>
            <w:tcW w:type="dxa" w:w="2126"/>
          </w:tcPr>
          <w:p>
            <w:pPr>
              <w:jc w:val="left"/>
            </w:pPr>
            <w:r/>
            <w:r>
              <w:rPr>
                <w:rFonts w:ascii="Microsoft YaHei" w:hAnsi="Microsoft YaHei" w:eastAsia="Microsoft YaHei"/>
                <w:sz w:val="20"/>
              </w:rPr>
              <w:t>AI与数字人文</w:t>
            </w:r>
          </w:p>
        </w:tc>
        <w:tc>
          <w:tcPr>
            <w:tcW w:type="dxa" w:w="2126"/>
          </w:tcPr>
          <w:p>
            <w:pPr>
              <w:jc w:val="left"/>
            </w:pPr>
            <w:r/>
            <w:r>
              <w:rPr>
                <w:rFonts w:ascii="Microsoft YaHei" w:hAnsi="Microsoft YaHei" w:eastAsia="Microsoft YaHei"/>
                <w:sz w:val="20"/>
              </w:rPr>
              <w:t>2</w:t>
            </w:r>
          </w:p>
        </w:tc>
        <w:tc>
          <w:tcPr>
            <w:tcW w:type="dxa" w:w="2126"/>
          </w:tcPr>
          <w:p>
            <w:pPr>
              <w:jc w:val="left"/>
            </w:pPr>
            <w:r/>
            <w:r>
              <w:rPr>
                <w:rFonts w:ascii="Microsoft YaHei" w:hAnsi="Microsoft YaHei" w:eastAsia="Microsoft YaHei"/>
                <w:sz w:val="20"/>
              </w:rPr>
              <w:t>2</w:t>
            </w:r>
          </w:p>
        </w:tc>
      </w:tr>
      <w:tr>
        <w:tc>
          <w:tcPr>
            <w:tcW w:type="dxa" w:w="2126"/>
            <w:shd w:val="clear" w:color="auto" w:fill="F2F2F2"/>
          </w:tcPr>
          <w:p>
            <w:pPr>
              <w:jc w:val="left"/>
            </w:pPr>
            <w:r/>
            <w:r>
              <w:rPr>
                <w:rFonts w:ascii="Microsoft YaHei" w:hAnsi="Microsoft YaHei" w:eastAsia="Microsoft YaHei"/>
                <w:sz w:val="20"/>
              </w:rPr>
              <w:t>第10章</w:t>
            </w:r>
          </w:p>
        </w:tc>
        <w:tc>
          <w:tcPr>
            <w:tcW w:type="dxa" w:w="2126"/>
            <w:shd w:val="clear" w:color="auto" w:fill="F2F2F2"/>
          </w:tcPr>
          <w:p>
            <w:pPr>
              <w:jc w:val="left"/>
            </w:pPr>
            <w:r/>
            <w:r>
              <w:rPr>
                <w:rFonts w:ascii="Microsoft YaHei" w:hAnsi="Microsoft YaHei" w:eastAsia="Microsoft YaHei"/>
                <w:sz w:val="20"/>
              </w:rPr>
              <w:t>政策法规与公约</w:t>
            </w:r>
          </w:p>
        </w:tc>
        <w:tc>
          <w:tcPr>
            <w:tcW w:type="dxa" w:w="2126"/>
            <w:shd w:val="clear" w:color="auto" w:fill="F2F2F2"/>
          </w:tcPr>
          <w:p>
            <w:pPr>
              <w:jc w:val="left"/>
            </w:pPr>
            <w:r/>
            <w:r>
              <w:rPr>
                <w:rFonts w:ascii="Microsoft YaHei" w:hAnsi="Microsoft YaHei" w:eastAsia="Microsoft YaHei"/>
                <w:sz w:val="20"/>
              </w:rPr>
              <w:t>3</w:t>
            </w:r>
          </w:p>
        </w:tc>
        <w:tc>
          <w:tcPr>
            <w:tcW w:type="dxa" w:w="2126"/>
            <w:shd w:val="clear" w:color="auto" w:fill="F2F2F2"/>
          </w:tcPr>
          <w:p>
            <w:pPr>
              <w:jc w:val="left"/>
            </w:pPr>
            <w:r/>
            <w:r>
              <w:rPr>
                <w:rFonts w:ascii="Microsoft YaHei" w:hAnsi="Microsoft YaHei" w:eastAsia="Microsoft YaHei"/>
                <w:sz w:val="20"/>
              </w:rPr>
              <w:t>0</w:t>
            </w:r>
          </w:p>
        </w:tc>
      </w:tr>
      <w:tr>
        <w:tc>
          <w:tcPr>
            <w:tcW w:type="dxa" w:w="2126"/>
          </w:tcPr>
          <w:p>
            <w:pPr>
              <w:jc w:val="left"/>
            </w:pPr>
            <w:r/>
            <w:r>
              <w:rPr>
                <w:rFonts w:ascii="Microsoft YaHei" w:hAnsi="Microsoft YaHei" w:eastAsia="Microsoft YaHei"/>
                <w:sz w:val="20"/>
              </w:rPr>
              <w:t>第11章</w:t>
            </w:r>
          </w:p>
        </w:tc>
        <w:tc>
          <w:tcPr>
            <w:tcW w:type="dxa" w:w="2126"/>
          </w:tcPr>
          <w:p>
            <w:pPr>
              <w:jc w:val="left"/>
            </w:pPr>
            <w:r/>
            <w:r>
              <w:rPr>
                <w:rFonts w:ascii="Microsoft YaHei" w:hAnsi="Microsoft YaHei" w:eastAsia="Microsoft YaHei"/>
                <w:sz w:val="20"/>
              </w:rPr>
              <w:t>伦理版权与可持续</w:t>
            </w:r>
          </w:p>
        </w:tc>
        <w:tc>
          <w:tcPr>
            <w:tcW w:type="dxa" w:w="2126"/>
          </w:tcPr>
          <w:p>
            <w:pPr>
              <w:jc w:val="left"/>
            </w:pPr>
            <w:r/>
            <w:r>
              <w:rPr>
                <w:rFonts w:ascii="Microsoft YaHei" w:hAnsi="Microsoft YaHei" w:eastAsia="Microsoft YaHei"/>
                <w:sz w:val="20"/>
              </w:rPr>
              <w:t>3</w:t>
            </w:r>
          </w:p>
        </w:tc>
        <w:tc>
          <w:tcPr>
            <w:tcW w:type="dxa" w:w="2126"/>
          </w:tcPr>
          <w:p>
            <w:pPr>
              <w:jc w:val="left"/>
            </w:pPr>
            <w:r/>
            <w:r>
              <w:rPr>
                <w:rFonts w:ascii="Microsoft YaHei" w:hAnsi="Microsoft YaHei" w:eastAsia="Microsoft YaHei"/>
                <w:sz w:val="20"/>
              </w:rPr>
              <w:t>0</w:t>
            </w:r>
          </w:p>
        </w:tc>
      </w:tr>
      <w:tr>
        <w:tc>
          <w:tcPr>
            <w:tcW w:type="dxa" w:w="2126"/>
            <w:shd w:val="clear" w:color="auto" w:fill="F2F2F2"/>
          </w:tcPr>
          <w:p>
            <w:pPr>
              <w:jc w:val="left"/>
            </w:pPr>
            <w:r/>
            <w:r>
              <w:rPr>
                <w:rFonts w:ascii="Microsoft YaHei" w:hAnsi="Microsoft YaHei" w:eastAsia="Microsoft YaHei"/>
                <w:sz w:val="20"/>
              </w:rPr>
              <w:t>第12章</w:t>
            </w:r>
          </w:p>
        </w:tc>
        <w:tc>
          <w:tcPr>
            <w:tcW w:type="dxa" w:w="2126"/>
            <w:shd w:val="clear" w:color="auto" w:fill="F2F2F2"/>
          </w:tcPr>
          <w:p>
            <w:pPr>
              <w:jc w:val="left"/>
            </w:pPr>
            <w:r/>
            <w:r>
              <w:rPr>
                <w:rFonts w:ascii="Microsoft YaHei" w:hAnsi="Microsoft YaHei" w:eastAsia="Microsoft YaHei"/>
                <w:sz w:val="20"/>
              </w:rPr>
              <w:t>中国实践与展望</w:t>
            </w:r>
          </w:p>
        </w:tc>
        <w:tc>
          <w:tcPr>
            <w:tcW w:type="dxa" w:w="2126"/>
            <w:shd w:val="clear" w:color="auto" w:fill="F2F2F2"/>
          </w:tcPr>
          <w:p>
            <w:pPr>
              <w:jc w:val="left"/>
            </w:pPr>
            <w:r/>
            <w:r>
              <w:rPr>
                <w:rFonts w:ascii="Microsoft YaHei" w:hAnsi="Microsoft YaHei" w:eastAsia="Microsoft YaHei"/>
                <w:sz w:val="20"/>
              </w:rPr>
              <w:t>3</w:t>
            </w:r>
          </w:p>
        </w:tc>
        <w:tc>
          <w:tcPr>
            <w:tcW w:type="dxa" w:w="2126"/>
            <w:shd w:val="clear" w:color="auto" w:fill="F2F2F2"/>
          </w:tcPr>
          <w:p>
            <w:pPr>
              <w:jc w:val="left"/>
            </w:pPr>
            <w:r/>
            <w:r>
              <w:rPr>
                <w:rFonts w:ascii="Microsoft YaHei" w:hAnsi="Microsoft YaHei" w:eastAsia="Microsoft YaHei"/>
                <w:sz w:val="20"/>
              </w:rPr>
              <w:t>0</w:t>
            </w:r>
          </w:p>
        </w:tc>
      </w:tr>
      <w:tr>
        <w:tc>
          <w:tcPr>
            <w:tcW w:type="dxa" w:w="2126"/>
          </w:tcPr>
          <w:p>
            <w:pPr>
              <w:jc w:val="left"/>
            </w:pPr>
            <w:r/>
            <w:r>
              <w:rPr>
                <w:rFonts w:ascii="Microsoft YaHei" w:hAnsi="Microsoft YaHei" w:eastAsia="Microsoft YaHei"/>
                <w:sz w:val="20"/>
              </w:rPr>
              <w:t>合计</w:t>
            </w:r>
          </w:p>
        </w:tc>
        <w:tc>
          <w:tcPr>
            <w:tcW w:type="dxa" w:w="2126"/>
          </w:tcPr>
          <w:p>
            <w:pPr>
              <w:jc w:val="left"/>
            </w:pPr>
            <w:r/>
            <w:r>
              <w:rPr>
                <w:rFonts w:ascii="Microsoft YaHei" w:hAnsi="Microsoft YaHei" w:eastAsia="Microsoft YaHei"/>
                <w:sz w:val="20"/>
              </w:rPr>
            </w:r>
          </w:p>
        </w:tc>
        <w:tc>
          <w:tcPr>
            <w:tcW w:type="dxa" w:w="2126"/>
          </w:tcPr>
          <w:p>
            <w:pPr>
              <w:jc w:val="left"/>
            </w:pPr>
            <w:r/>
            <w:r>
              <w:rPr>
                <w:rFonts w:ascii="Microsoft YaHei" w:hAnsi="Microsoft YaHei" w:eastAsia="Microsoft YaHei"/>
                <w:sz w:val="20"/>
              </w:rPr>
              <w:t>32</w:t>
            </w:r>
          </w:p>
        </w:tc>
        <w:tc>
          <w:tcPr>
            <w:tcW w:type="dxa" w:w="2126"/>
          </w:tcPr>
          <w:p>
            <w:pPr>
              <w:jc w:val="left"/>
            </w:pPr>
            <w:r/>
            <w:r>
              <w:rPr>
                <w:rFonts w:ascii="Microsoft YaHei" w:hAnsi="Microsoft YaHei" w:eastAsia="Microsoft YaHei"/>
                <w:sz w:val="20"/>
              </w:rPr>
              <w:t>16</w:t>
            </w:r>
          </w:p>
        </w:tc>
      </w:tr>
    </w:tbl>
    <w:p/>
    <w:p>
      <w:pPr>
        <w:pStyle w:val="Heading3"/>
      </w:pPr>
      <w:r>
        <w:rPr>
          <w:rFonts w:ascii="Microsoft YaHei" w:hAnsi="Microsoft YaHei" w:eastAsia="Microsoft YaHei"/>
          <w:color w:val="457B9D"/>
        </w:rPr>
        <w:t>考核方式</w:t>
      </w:r>
    </w:p>
    <w:p>
      <w:pPr>
        <w:pStyle w:val="ListBullet"/>
        <w:spacing w:line="360" w:lineRule="auto"/>
      </w:pPr>
      <w:r>
        <w:rPr>
          <w:rFonts w:ascii="Microsoft YaHei" w:hAnsi="Microsoft YaHei" w:eastAsia="Microsoft YaHei"/>
          <w:sz w:val="22"/>
        </w:rPr>
        <w:t>平时成绩（30%）：出勤+课堂讨论+作业</w:t>
      </w:r>
    </w:p>
    <w:p>
      <w:pPr>
        <w:pStyle w:val="ListBullet"/>
        <w:spacing w:line="360" w:lineRule="auto"/>
      </w:pPr>
      <w:r>
        <w:rPr>
          <w:rFonts w:ascii="Microsoft YaHei" w:hAnsi="Microsoft YaHei" w:eastAsia="Microsoft YaHei"/>
          <w:sz w:val="22"/>
        </w:rPr>
        <w:t>实践成绩（30%：实训项目报告</w:t>
      </w:r>
    </w:p>
    <w:p>
      <w:pPr>
        <w:pStyle w:val="ListBullet"/>
        <w:spacing w:line="360" w:lineRule="auto"/>
      </w:pPr>
      <w:r>
        <w:rPr>
          <w:rFonts w:ascii="Microsoft YaHei" w:hAnsi="Microsoft YaHei" w:eastAsia="Microsoft YaHei"/>
          <w:sz w:val="22"/>
        </w:rPr>
        <w:t>期末考试（40%）：闭卷考试/课程论文</w:t>
      </w:r>
    </w:p>
    <w:p>
      <w:pPr>
        <w:pStyle w:val="Heading3"/>
      </w:pPr>
      <w:r>
        <w:rPr>
          <w:rFonts w:ascii="Microsoft YaHei" w:hAnsi="Microsoft YaHei" w:eastAsia="Microsoft YaHei"/>
          <w:color w:val="457B9D"/>
        </w:rPr>
        <w:t>思政融入点</w:t>
      </w:r>
    </w:p>
    <w:p>
      <w:pPr>
        <w:pStyle w:val="ListBullet"/>
        <w:spacing w:line="360" w:lineRule="auto"/>
      </w:pPr>
      <w:r>
        <w:rPr>
          <w:rFonts w:ascii="Microsoft YaHei" w:hAnsi="Microsoft YaHei" w:eastAsia="Microsoft YaHei"/>
          <w:sz w:val="22"/>
        </w:rPr>
        <w:t>第1章：文化自信与文明传承</w:t>
      </w:r>
    </w:p>
    <w:p>
      <w:pPr>
        <w:pStyle w:val="ListBullet"/>
        <w:spacing w:line="360" w:lineRule="auto"/>
      </w:pPr>
      <w:r>
        <w:rPr>
          <w:rFonts w:ascii="Microsoft YaHei" w:hAnsi="Microsoft YaHei" w:eastAsia="Microsoft YaHei"/>
          <w:sz w:val="22"/>
        </w:rPr>
        <w:t>第4章：中国技术创新自信</w:t>
      </w:r>
    </w:p>
    <w:p>
      <w:pPr>
        <w:pStyle w:val="ListBullet"/>
        <w:spacing w:line="360" w:lineRule="auto"/>
      </w:pPr>
      <w:r>
        <w:rPr>
          <w:rFonts w:ascii="Microsoft YaHei" w:hAnsi="Microsoft YaHei" w:eastAsia="Microsoft YaHei"/>
          <w:sz w:val="22"/>
        </w:rPr>
        <w:t>第10章：国际话语权与中国贡献</w:t>
      </w:r>
    </w:p>
    <w:p>
      <w:pPr>
        <w:pStyle w:val="ListBullet"/>
        <w:spacing w:line="360" w:lineRule="auto"/>
      </w:pPr>
      <w:r>
        <w:rPr>
          <w:rFonts w:ascii="Microsoft YaHei" w:hAnsi="Microsoft YaHei" w:eastAsia="Microsoft YaHei"/>
          <w:sz w:val="22"/>
        </w:rPr>
        <w:t>第12章：中国特色社会主义文化发展道路</w:t>
      </w:r>
    </w:p>
    <w:p>
      <w:r>
        <w:br w:type="page"/>
      </w:r>
    </w:p>
    <w:p>
      <w:pPr>
        <w:pStyle w:val="Heading2"/>
      </w:pPr>
      <w:r>
        <w:rPr>
          <w:rFonts w:ascii="Microsoft YaHei" w:hAnsi="Microsoft YaHei" w:eastAsia="Microsoft YaHei"/>
          <w:color w:val="264653"/>
        </w:rPr>
        <w:t>附录F 实训项目</w:t>
      </w:r>
    </w:p>
    <w:p>
      <w:pPr>
        <w:pStyle w:val="Heading3"/>
      </w:pPr>
      <w:r>
        <w:rPr>
          <w:rFonts w:ascii="Microsoft YaHei" w:hAnsi="Microsoft YaHei" w:eastAsia="Microsoft YaHei"/>
          <w:color w:val="457B9D"/>
        </w:rPr>
        <w:t>实训项目一：文物三维数字化采集与处理</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任务描述</w:t>
      </w:r>
      <w:r>
        <w:rPr>
          <w:rFonts w:ascii="Microsoft YaHei" w:hAnsi="Microsoft YaHei" w:eastAsia="Microsoft YaHei"/>
          <w:sz w:val="24"/>
        </w:rPr>
        <w:t>：选择一件实物文物（或文物复制品），使用三维扫描或摄影测量技术完成数字化采集，并进行数据处理和三维模型重建。</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交付物</w:t>
      </w:r>
      <w:r>
        <w:rPr>
          <w:rFonts w:ascii="Microsoft YaHei" w:hAnsi="Microsoft YaHei" w:eastAsia="Microsoft YaHei"/>
          <w:sz w:val="24"/>
        </w:rPr>
        <w:t>：</w:t>
      </w:r>
    </w:p>
    <w:p>
      <w:pPr>
        <w:spacing w:line="360" w:lineRule="auto" w:after="60"/>
        <w:ind w:firstLine="480"/>
      </w:pPr>
      <w:r>
        <w:rPr>
          <w:rFonts w:ascii="Microsoft YaHei" w:hAnsi="Microsoft YaHei" w:eastAsia="Microsoft YaHei"/>
          <w:sz w:val="24"/>
        </w:rPr>
        <w:t>1. 高精度三维模型文件（OBJ/PLY格式）</w:t>
      </w:r>
    </w:p>
    <w:p>
      <w:pPr>
        <w:spacing w:line="360" w:lineRule="auto" w:after="60"/>
        <w:ind w:firstLine="480"/>
      </w:pPr>
      <w:r>
        <w:rPr>
          <w:rFonts w:ascii="Microsoft YaHei" w:hAnsi="Microsoft YaHei" w:eastAsia="Microsoft YaHei"/>
          <w:sz w:val="24"/>
        </w:rPr>
        <w:t>2. 纹理映射后的彩色三维模型</w:t>
      </w:r>
    </w:p>
    <w:p>
      <w:pPr>
        <w:spacing w:line="360" w:lineRule="auto" w:after="60"/>
        <w:ind w:firstLine="480"/>
      </w:pPr>
      <w:r>
        <w:rPr>
          <w:rFonts w:ascii="Microsoft YaHei" w:hAnsi="Microsoft YaHei" w:eastAsia="Microsoft YaHei"/>
          <w:sz w:val="24"/>
        </w:rPr>
        <w:t>3. 元数据记录表</w:t>
      </w:r>
    </w:p>
    <w:p>
      <w:pPr>
        <w:spacing w:line="360" w:lineRule="auto" w:after="60"/>
        <w:ind w:firstLine="480"/>
      </w:pPr>
      <w:r>
        <w:rPr>
          <w:rFonts w:ascii="Microsoft YaHei" w:hAnsi="Microsoft YaHei" w:eastAsia="Microsoft YaHei"/>
          <w:sz w:val="24"/>
        </w:rPr>
        <w:t>4. 实训报告（含技术流程、质量控制、问题分析）</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评分标准</w:t>
      </w:r>
      <w:r>
        <w:rPr>
          <w:rFonts w:ascii="Microsoft YaHei" w:hAnsi="Microsoft YaHei" w:eastAsia="Microsoft YaHei"/>
          <w:sz w:val="24"/>
        </w:rPr>
        <w:t>：模型精度（30%）+ 纹理质量（20%）+ 元数据完整性（20%）+ 报告质量（30%）</w:t>
      </w:r>
    </w:p>
    <w:p>
      <w:pPr>
        <w:pStyle w:val="Heading3"/>
      </w:pPr>
      <w:r>
        <w:rPr>
          <w:rFonts w:ascii="Microsoft YaHei" w:hAnsi="Microsoft YaHei" w:eastAsia="Microsoft YaHei"/>
          <w:color w:val="457B9D"/>
        </w:rPr>
        <w:t>实训项目二：非遗数字博物馆展览设计</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任务描述</w:t>
      </w:r>
      <w:r>
        <w:rPr>
          <w:rFonts w:ascii="Microsoft YaHei" w:hAnsi="Microsoft YaHei" w:eastAsia="Microsoft YaHei"/>
          <w:sz w:val="24"/>
        </w:rPr>
        <w:t>：选择一项地方非物质文化遗产，设计并制作一个在线数字博物馆展览，包含展览大纲、数字内容（文本+图像+音视频）和交互设计。</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交付物</w:t>
      </w:r>
      <w:r>
        <w:rPr>
          <w:rFonts w:ascii="Microsoft YaHei" w:hAnsi="Microsoft YaHei" w:eastAsia="Microsoft YaHei"/>
          <w:sz w:val="24"/>
        </w:rPr>
        <w:t>：</w:t>
      </w:r>
    </w:p>
    <w:p>
      <w:pPr>
        <w:spacing w:line="360" w:lineRule="auto" w:after="60"/>
        <w:ind w:firstLine="480"/>
      </w:pPr>
      <w:r>
        <w:rPr>
          <w:rFonts w:ascii="Microsoft YaHei" w:hAnsi="Microsoft YaHei" w:eastAsia="Microsoft YaHei"/>
          <w:sz w:val="24"/>
        </w:rPr>
        <w:t>1. 展览策划书（主题、叙事结构、展品清单）</w:t>
      </w:r>
    </w:p>
    <w:p>
      <w:pPr>
        <w:spacing w:line="360" w:lineRule="auto" w:after="60"/>
        <w:ind w:firstLine="480"/>
      </w:pPr>
      <w:r>
        <w:rPr>
          <w:rFonts w:ascii="Microsoft YaHei" w:hAnsi="Microsoft YaHei" w:eastAsia="Microsoft YaHei"/>
          <w:sz w:val="24"/>
        </w:rPr>
        <w:t>2. 数字展览原型（网页/小程序/PPT）</w:t>
      </w:r>
    </w:p>
    <w:p>
      <w:pPr>
        <w:spacing w:line="360" w:lineRule="auto" w:after="60"/>
        <w:ind w:firstLine="480"/>
      </w:pPr>
      <w:r>
        <w:rPr>
          <w:rFonts w:ascii="Microsoft YaHei" w:hAnsi="Microsoft YaHei" w:eastAsia="Microsoft YaHei"/>
          <w:sz w:val="24"/>
        </w:rPr>
        <w:t>3. 用户测试报告</w:t>
      </w:r>
    </w:p>
    <w:p>
      <w:pPr>
        <w:spacing w:line="360" w:lineRule="auto" w:after="60"/>
        <w:ind w:firstLine="480"/>
      </w:pPr>
      <w:r>
        <w:rPr>
          <w:rFonts w:ascii="Microsoft YaHei" w:hAnsi="Microsoft YaHei" w:eastAsia="Microsoft YaHei"/>
          <w:sz w:val="24"/>
        </w:rPr>
        <w:t>4. 团队合作报告</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评分标准</w:t>
      </w:r>
      <w:r>
        <w:rPr>
          <w:rFonts w:ascii="Microsoft YaHei" w:hAnsi="Microsoft YaHei" w:eastAsia="Microsoft YaHei"/>
          <w:sz w:val="24"/>
        </w:rPr>
        <w:t>：主题深度（25%）+ 叙事逻辑（25%）+ 技术实现（25%）+ 用户体验（25%）</w:t>
      </w:r>
    </w:p>
    <w:p>
      <w:pPr>
        <w:pStyle w:val="Heading3"/>
      </w:pPr>
      <w:r>
        <w:rPr>
          <w:rFonts w:ascii="Microsoft YaHei" w:hAnsi="Microsoft YaHei" w:eastAsia="Microsoft YaHei"/>
          <w:color w:val="457B9D"/>
        </w:rPr>
        <w:t>实训项目三：文化遗产数字化保护方案设计</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任务描述</w:t>
      </w:r>
      <w:r>
        <w:rPr>
          <w:rFonts w:ascii="Microsoft YaHei" w:hAnsi="Microsoft YaHei" w:eastAsia="Microsoft YaHei"/>
          <w:sz w:val="24"/>
        </w:rPr>
        <w:t>：选择一处本地文化遗产（物质或非物质），基于G.U.A.R.D.框架设计完整的数字化保护方案。</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交付物</w:t>
      </w:r>
      <w:r>
        <w:rPr>
          <w:rFonts w:ascii="Microsoft YaHei" w:hAnsi="Microsoft YaHei" w:eastAsia="Microsoft YaHei"/>
          <w:sz w:val="24"/>
        </w:rPr>
        <w:t>：</w:t>
      </w:r>
    </w:p>
    <w:p>
      <w:pPr>
        <w:spacing w:line="360" w:lineRule="auto" w:after="60"/>
        <w:ind w:firstLine="480"/>
      </w:pPr>
      <w:r>
        <w:rPr>
          <w:rFonts w:ascii="Microsoft YaHei" w:hAnsi="Microsoft YaHei" w:eastAsia="Microsoft YaHei"/>
          <w:sz w:val="24"/>
        </w:rPr>
        <w:t>1. 遗产调研报告（价值评估、现状分析、利益相关者分析）</w:t>
      </w:r>
    </w:p>
    <w:p>
      <w:pPr>
        <w:spacing w:line="360" w:lineRule="auto" w:after="60"/>
        <w:ind w:firstLine="480"/>
      </w:pPr>
      <w:r>
        <w:rPr>
          <w:rFonts w:ascii="Microsoft YaHei" w:hAnsi="Microsoft YaHei" w:eastAsia="Microsoft YaHei"/>
          <w:sz w:val="24"/>
        </w:rPr>
        <w:t>2. G.U.A.R.D.五维度方案设计</w:t>
      </w:r>
    </w:p>
    <w:p>
      <w:pPr>
        <w:spacing w:line="360" w:lineRule="auto" w:after="60"/>
        <w:ind w:firstLine="480"/>
      </w:pPr>
      <w:r>
        <w:rPr>
          <w:rFonts w:ascii="Microsoft YaHei" w:hAnsi="Microsoft YaHei" w:eastAsia="Microsoft YaHei"/>
          <w:sz w:val="24"/>
        </w:rPr>
        <w:t>3. 实施计划与预算</w:t>
      </w:r>
    </w:p>
    <w:p>
      <w:pPr>
        <w:spacing w:line="360" w:lineRule="auto" w:after="60"/>
        <w:ind w:firstLine="480"/>
      </w:pPr>
      <w:r>
        <w:rPr>
          <w:rFonts w:ascii="Microsoft YaHei" w:hAnsi="Microsoft YaHei" w:eastAsia="Microsoft YaHei"/>
          <w:sz w:val="24"/>
        </w:rPr>
        <w:t>4. 伦理与风险评估</w:t>
      </w:r>
    </w:p>
    <w:p>
      <w:pPr>
        <w:spacing w:line="360" w:lineRule="auto" w:after="60"/>
        <w:ind w:firstLine="480"/>
      </w:pPr>
      <w:r>
        <w:rPr>
          <w:rFonts w:ascii="Microsoft YaHei" w:hAnsi="Microsoft YaHei" w:eastAsia="Microsoft YaHei"/>
          <w:sz w:val="24"/>
        </w:rPr>
      </w:r>
      <w:r>
        <w:rPr>
          <w:rFonts w:ascii="Microsoft YaHei" w:hAnsi="Microsoft YaHei" w:eastAsia="Microsoft YaHei"/>
          <w:b/>
          <w:sz w:val="24"/>
        </w:rPr>
        <w:t>评分标准</w:t>
      </w:r>
      <w:r>
        <w:rPr>
          <w:rFonts w:ascii="Microsoft YaHei" w:hAnsi="Microsoft YaHei" w:eastAsia="Microsoft YaHei"/>
          <w:sz w:val="24"/>
        </w:rPr>
        <w:t>：调研深度（20%）+ 方案完整性（30%）+ 技术可行性（20%）+ 创新性（15%）+ 规范性（15%）</w:t>
      </w:r>
    </w:p>
    <w:p>
      <w:r>
        <w:br w:type="page"/>
      </w:r>
    </w:p>
    <w:p>
      <w:pPr>
        <w:pStyle w:val="Heading2"/>
      </w:pPr>
      <w:r>
        <w:rPr>
          <w:rFonts w:ascii="Microsoft YaHei" w:hAnsi="Microsoft YaHei" w:eastAsia="Microsoft YaHei"/>
          <w:color w:val="264653"/>
        </w:rPr>
        <w:t>附录G 大事记</w:t>
      </w:r>
    </w:p>
    <w:tbl>
      <w:tblPr>
        <w:tblStyle w:val="TableGrid"/>
        <w:tblW w:type="auto" w:w="0"/>
        <w:jc w:val="center"/>
        <w:tblLook w:firstColumn="1" w:firstRow="1" w:lastColumn="0" w:lastRow="0" w:noHBand="0" w:noVBand="1" w:val="04A0"/>
      </w:tblPr>
      <w:tblGrid>
        <w:gridCol w:w="4252"/>
        <w:gridCol w:w="4252"/>
      </w:tblGrid>
      <w:tr>
        <w:tc>
          <w:tcPr>
            <w:tcW w:type="dxa" w:w="4252"/>
            <w:shd w:val="clear" w:color="auto" w:fill="D9E2F3"/>
          </w:tcPr>
          <w:p>
            <w:pPr>
              <w:jc w:val="left"/>
            </w:pPr>
            <w:r/>
            <w:r>
              <w:rPr>
                <w:rFonts w:ascii="Microsoft YaHei" w:hAnsi="Microsoft YaHei" w:eastAsia="Microsoft YaHei"/>
                <w:b/>
                <w:sz w:val="20"/>
              </w:rPr>
              <w:t>时间</w:t>
            </w:r>
          </w:p>
        </w:tc>
        <w:tc>
          <w:tcPr>
            <w:tcW w:type="dxa" w:w="4252"/>
            <w:shd w:val="clear" w:color="auto" w:fill="D9E2F3"/>
          </w:tcPr>
          <w:p>
            <w:pPr>
              <w:jc w:val="left"/>
            </w:pPr>
            <w:r/>
            <w:r>
              <w:rPr>
                <w:rFonts w:ascii="Microsoft YaHei" w:hAnsi="Microsoft YaHei" w:eastAsia="Microsoft YaHei"/>
                <w:b/>
                <w:sz w:val="20"/>
              </w:rPr>
              <w:t>事件</w:t>
            </w:r>
          </w:p>
        </w:tc>
      </w:tr>
      <w:tr>
        <w:tc>
          <w:tcPr>
            <w:tcW w:type="dxa" w:w="4252"/>
          </w:tcPr>
          <w:p>
            <w:pPr>
              <w:jc w:val="left"/>
            </w:pPr>
            <w:r/>
            <w:r>
              <w:rPr>
                <w:rFonts w:ascii="Microsoft YaHei" w:hAnsi="Microsoft YaHei" w:eastAsia="Microsoft YaHei"/>
                <w:sz w:val="20"/>
              </w:rPr>
              <w:t>1954年</w:t>
            </w:r>
          </w:p>
        </w:tc>
        <w:tc>
          <w:tcPr>
            <w:tcW w:type="dxa" w:w="4252"/>
          </w:tcPr>
          <w:p>
            <w:pPr>
              <w:jc w:val="left"/>
            </w:pPr>
            <w:r/>
            <w:r>
              <w:rPr>
                <w:rFonts w:ascii="Microsoft YaHei" w:hAnsi="Microsoft YaHei" w:eastAsia="Microsoft YaHei"/>
                <w:sz w:val="20"/>
              </w:rPr>
              <w:t>UNESCO通过《海牙公约》，首次建立武装冲突中保护文化财产的国际法律框架</w:t>
            </w:r>
          </w:p>
        </w:tc>
      </w:tr>
      <w:tr>
        <w:tc>
          <w:tcPr>
            <w:tcW w:type="dxa" w:w="4252"/>
            <w:shd w:val="clear" w:color="auto" w:fill="F2F2F2"/>
          </w:tcPr>
          <w:p>
            <w:pPr>
              <w:jc w:val="left"/>
            </w:pPr>
            <w:r/>
            <w:r>
              <w:rPr>
                <w:rFonts w:ascii="Microsoft YaHei" w:hAnsi="Microsoft YaHei" w:eastAsia="Microsoft YaHei"/>
                <w:sz w:val="20"/>
              </w:rPr>
              <w:t>1972年</w:t>
            </w:r>
          </w:p>
        </w:tc>
        <w:tc>
          <w:tcPr>
            <w:tcW w:type="dxa" w:w="4252"/>
            <w:shd w:val="clear" w:color="auto" w:fill="F2F2F2"/>
          </w:tcPr>
          <w:p>
            <w:pPr>
              <w:jc w:val="left"/>
            </w:pPr>
            <w:r/>
            <w:r>
              <w:rPr>
                <w:rFonts w:ascii="Microsoft YaHei" w:hAnsi="Microsoft YaHei" w:eastAsia="Microsoft YaHei"/>
                <w:sz w:val="20"/>
              </w:rPr>
              <w:t>UNESCO通过《保护世界文化和自然遗产公约》，建立世界遗产名录制度</w:t>
            </w:r>
          </w:p>
        </w:tc>
      </w:tr>
      <w:tr>
        <w:tc>
          <w:tcPr>
            <w:tcW w:type="dxa" w:w="4252"/>
          </w:tcPr>
          <w:p>
            <w:pPr>
              <w:jc w:val="left"/>
            </w:pPr>
            <w:r/>
            <w:r>
              <w:rPr>
                <w:rFonts w:ascii="Microsoft YaHei" w:hAnsi="Microsoft YaHei" w:eastAsia="Microsoft YaHei"/>
                <w:sz w:val="20"/>
              </w:rPr>
              <w:t>1982年</w:t>
            </w:r>
          </w:p>
        </w:tc>
        <w:tc>
          <w:tcPr>
            <w:tcW w:type="dxa" w:w="4252"/>
          </w:tcPr>
          <w:p>
            <w:pPr>
              <w:jc w:val="left"/>
            </w:pPr>
            <w:r/>
            <w:r>
              <w:rPr>
                <w:rFonts w:ascii="Microsoft YaHei" w:hAnsi="Microsoft YaHei" w:eastAsia="Microsoft YaHei"/>
                <w:sz w:val="20"/>
              </w:rPr>
              <w:t>中国颁布《中华人民共和国文物保护法》</w:t>
            </w:r>
          </w:p>
        </w:tc>
      </w:tr>
      <w:tr>
        <w:tc>
          <w:tcPr>
            <w:tcW w:type="dxa" w:w="4252"/>
            <w:shd w:val="clear" w:color="auto" w:fill="F2F2F2"/>
          </w:tcPr>
          <w:p>
            <w:pPr>
              <w:jc w:val="left"/>
            </w:pPr>
            <w:r/>
            <w:r>
              <w:rPr>
                <w:rFonts w:ascii="Microsoft YaHei" w:hAnsi="Microsoft YaHei" w:eastAsia="Microsoft YaHei"/>
                <w:sz w:val="20"/>
              </w:rPr>
              <w:t>1989年</w:t>
            </w:r>
          </w:p>
        </w:tc>
        <w:tc>
          <w:tcPr>
            <w:tcW w:type="dxa" w:w="4252"/>
            <w:shd w:val="clear" w:color="auto" w:fill="F2F2F2"/>
          </w:tcPr>
          <w:p>
            <w:pPr>
              <w:jc w:val="left"/>
            </w:pPr>
            <w:r/>
            <w:r>
              <w:rPr>
                <w:rFonts w:ascii="Microsoft YaHei" w:hAnsi="Microsoft YaHei" w:eastAsia="Microsoft YaHei"/>
                <w:sz w:val="20"/>
              </w:rPr>
              <w:t>敦煌研究院启动壁画数字化保护探索</w:t>
            </w:r>
          </w:p>
        </w:tc>
      </w:tr>
      <w:tr>
        <w:tc>
          <w:tcPr>
            <w:tcW w:type="dxa" w:w="4252"/>
          </w:tcPr>
          <w:p>
            <w:pPr>
              <w:jc w:val="left"/>
            </w:pPr>
            <w:r/>
            <w:r>
              <w:rPr>
                <w:rFonts w:ascii="Microsoft YaHei" w:hAnsi="Microsoft YaHei" w:eastAsia="Microsoft YaHei"/>
                <w:sz w:val="20"/>
              </w:rPr>
              <w:t>1992年</w:t>
            </w:r>
          </w:p>
        </w:tc>
        <w:tc>
          <w:tcPr>
            <w:tcW w:type="dxa" w:w="4252"/>
          </w:tcPr>
          <w:p>
            <w:pPr>
              <w:jc w:val="left"/>
            </w:pPr>
            <w:r/>
            <w:r>
              <w:rPr>
                <w:rFonts w:ascii="Microsoft YaHei" w:hAnsi="Microsoft YaHei" w:eastAsia="Microsoft YaHei"/>
                <w:sz w:val="20"/>
              </w:rPr>
              <w:t>UNESCO启动"世界记忆"计划，将文献遗产纳入保护视野</w:t>
            </w:r>
          </w:p>
        </w:tc>
      </w:tr>
      <w:tr>
        <w:tc>
          <w:tcPr>
            <w:tcW w:type="dxa" w:w="4252"/>
            <w:shd w:val="clear" w:color="auto" w:fill="F2F2F2"/>
          </w:tcPr>
          <w:p>
            <w:pPr>
              <w:jc w:val="left"/>
            </w:pPr>
            <w:r/>
            <w:r>
              <w:rPr>
                <w:rFonts w:ascii="Microsoft YaHei" w:hAnsi="Microsoft YaHei" w:eastAsia="Microsoft YaHei"/>
                <w:sz w:val="20"/>
              </w:rPr>
              <w:t>2001年</w:t>
            </w:r>
          </w:p>
        </w:tc>
        <w:tc>
          <w:tcPr>
            <w:tcW w:type="dxa" w:w="4252"/>
            <w:shd w:val="clear" w:color="auto" w:fill="F2F2F2"/>
          </w:tcPr>
          <w:p>
            <w:pPr>
              <w:jc w:val="left"/>
            </w:pPr>
            <w:r/>
            <w:r>
              <w:rPr>
                <w:rFonts w:ascii="Microsoft YaHei" w:hAnsi="Microsoft YaHei" w:eastAsia="Microsoft YaHei"/>
                <w:sz w:val="20"/>
              </w:rPr>
              <w:t>昆曲首批入选UNESCO"人类口头和非物质遗产代表作"</w:t>
            </w:r>
          </w:p>
        </w:tc>
      </w:tr>
      <w:tr>
        <w:tc>
          <w:tcPr>
            <w:tcW w:type="dxa" w:w="4252"/>
          </w:tcPr>
          <w:p>
            <w:pPr>
              <w:jc w:val="left"/>
            </w:pPr>
            <w:r/>
            <w:r>
              <w:rPr>
                <w:rFonts w:ascii="Microsoft YaHei" w:hAnsi="Microsoft YaHei" w:eastAsia="Microsoft YaHei"/>
                <w:sz w:val="20"/>
              </w:rPr>
              <w:t>2003年</w:t>
            </w:r>
          </w:p>
        </w:tc>
        <w:tc>
          <w:tcPr>
            <w:tcW w:type="dxa" w:w="4252"/>
          </w:tcPr>
          <w:p>
            <w:pPr>
              <w:jc w:val="left"/>
            </w:pPr>
            <w:r/>
            <w:r>
              <w:rPr>
                <w:rFonts w:ascii="Microsoft YaHei" w:hAnsi="Microsoft YaHei" w:eastAsia="Microsoft YaHei"/>
                <w:sz w:val="20"/>
              </w:rPr>
              <w:t>UNESCO通过《保护非物质文化遗产公约》</w:t>
            </w:r>
          </w:p>
        </w:tc>
      </w:tr>
      <w:tr>
        <w:tc>
          <w:tcPr>
            <w:tcW w:type="dxa" w:w="4252"/>
            <w:shd w:val="clear" w:color="auto" w:fill="F2F2F2"/>
          </w:tcPr>
          <w:p>
            <w:pPr>
              <w:jc w:val="left"/>
            </w:pPr>
            <w:r/>
            <w:r>
              <w:rPr>
                <w:rFonts w:ascii="Microsoft YaHei" w:hAnsi="Microsoft YaHei" w:eastAsia="Microsoft YaHei"/>
                <w:sz w:val="20"/>
              </w:rPr>
              <w:t>2004年</w:t>
            </w:r>
          </w:p>
        </w:tc>
        <w:tc>
          <w:tcPr>
            <w:tcW w:type="dxa" w:w="4252"/>
            <w:shd w:val="clear" w:color="auto" w:fill="F2F2F2"/>
          </w:tcPr>
          <w:p>
            <w:pPr>
              <w:jc w:val="left"/>
            </w:pPr>
            <w:r/>
            <w:r>
              <w:rPr>
                <w:rFonts w:ascii="Microsoft YaHei" w:hAnsi="Microsoft YaHei" w:eastAsia="Microsoft YaHei"/>
                <w:sz w:val="20"/>
              </w:rPr>
              <w:t>中国加入《保护非物质文化遗产公约》（世界第6个缔约国）</w:t>
            </w:r>
          </w:p>
        </w:tc>
      </w:tr>
      <w:tr>
        <w:tc>
          <w:tcPr>
            <w:tcW w:type="dxa" w:w="4252"/>
          </w:tcPr>
          <w:p>
            <w:pPr>
              <w:jc w:val="left"/>
            </w:pPr>
            <w:r/>
            <w:r>
              <w:rPr>
                <w:rFonts w:ascii="Microsoft YaHei" w:hAnsi="Microsoft YaHei" w:eastAsia="Microsoft YaHei"/>
                <w:sz w:val="20"/>
              </w:rPr>
              <w:t>2009年</w:t>
            </w:r>
          </w:p>
        </w:tc>
        <w:tc>
          <w:tcPr>
            <w:tcW w:type="dxa" w:w="4252"/>
          </w:tcPr>
          <w:p>
            <w:pPr>
              <w:jc w:val="left"/>
            </w:pPr>
            <w:r/>
            <w:r>
              <w:rPr>
                <w:rFonts w:ascii="Microsoft YaHei" w:hAnsi="Microsoft YaHei" w:eastAsia="Microsoft YaHei"/>
                <w:sz w:val="20"/>
              </w:rPr>
              <w:t>Google推出"艺术计划"（后更名为Arts &amp; Culture）</w:t>
            </w:r>
          </w:p>
        </w:tc>
      </w:tr>
      <w:tr>
        <w:tc>
          <w:tcPr>
            <w:tcW w:type="dxa" w:w="4252"/>
            <w:shd w:val="clear" w:color="auto" w:fill="F2F2F2"/>
          </w:tcPr>
          <w:p>
            <w:pPr>
              <w:jc w:val="left"/>
            </w:pPr>
            <w:r/>
            <w:r>
              <w:rPr>
                <w:rFonts w:ascii="Microsoft YaHei" w:hAnsi="Microsoft YaHei" w:eastAsia="Microsoft YaHei"/>
                <w:sz w:val="20"/>
              </w:rPr>
              <w:t>2010年</w:t>
            </w:r>
          </w:p>
        </w:tc>
        <w:tc>
          <w:tcPr>
            <w:tcW w:type="dxa" w:w="4252"/>
            <w:shd w:val="clear" w:color="auto" w:fill="F2F2F2"/>
          </w:tcPr>
          <w:p>
            <w:pPr>
              <w:jc w:val="left"/>
            </w:pPr>
            <w:r/>
            <w:r>
              <w:rPr>
                <w:rFonts w:ascii="Microsoft YaHei" w:hAnsi="Microsoft YaHei" w:eastAsia="Microsoft YaHei"/>
                <w:sz w:val="20"/>
              </w:rPr>
              <w:t>故宫博物院启动"数字故宫"工程</w:t>
            </w:r>
          </w:p>
        </w:tc>
      </w:tr>
      <w:tr>
        <w:tc>
          <w:tcPr>
            <w:tcW w:type="dxa" w:w="4252"/>
          </w:tcPr>
          <w:p>
            <w:pPr>
              <w:jc w:val="left"/>
            </w:pPr>
            <w:r/>
            <w:r>
              <w:rPr>
                <w:rFonts w:ascii="Microsoft YaHei" w:hAnsi="Microsoft YaHei" w:eastAsia="Microsoft YaHei"/>
                <w:sz w:val="20"/>
              </w:rPr>
              <w:t>2011年</w:t>
            </w:r>
          </w:p>
        </w:tc>
        <w:tc>
          <w:tcPr>
            <w:tcW w:type="dxa" w:w="4252"/>
          </w:tcPr>
          <w:p>
            <w:pPr>
              <w:jc w:val="left"/>
            </w:pPr>
            <w:r/>
            <w:r>
              <w:rPr>
                <w:rFonts w:ascii="Microsoft YaHei" w:hAnsi="Microsoft YaHei" w:eastAsia="Microsoft YaHei"/>
                <w:sz w:val="20"/>
              </w:rPr>
              <w:t>中国颁布《中华人民共和国非物质文化遗产法》</w:t>
            </w:r>
          </w:p>
        </w:tc>
      </w:tr>
      <w:tr>
        <w:tc>
          <w:tcPr>
            <w:tcW w:type="dxa" w:w="4252"/>
            <w:shd w:val="clear" w:color="auto" w:fill="F2F2F2"/>
          </w:tcPr>
          <w:p>
            <w:pPr>
              <w:jc w:val="left"/>
            </w:pPr>
            <w:r/>
            <w:r>
              <w:rPr>
                <w:rFonts w:ascii="Microsoft YaHei" w:hAnsi="Microsoft YaHei" w:eastAsia="Microsoft YaHei"/>
                <w:sz w:val="20"/>
              </w:rPr>
              <w:t>2014年</w:t>
            </w:r>
          </w:p>
        </w:tc>
        <w:tc>
          <w:tcPr>
            <w:tcW w:type="dxa" w:w="4252"/>
            <w:shd w:val="clear" w:color="auto" w:fill="F2F2F2"/>
          </w:tcPr>
          <w:p>
            <w:pPr>
              <w:jc w:val="left"/>
            </w:pPr>
            <w:r/>
            <w:r>
              <w:rPr>
                <w:rFonts w:ascii="Microsoft YaHei" w:hAnsi="Microsoft YaHei" w:eastAsia="Microsoft YaHei"/>
                <w:sz w:val="20"/>
              </w:rPr>
              <w:t>"数字敦煌"资源库一期上线</w:t>
            </w:r>
          </w:p>
        </w:tc>
      </w:tr>
      <w:tr>
        <w:tc>
          <w:tcPr>
            <w:tcW w:type="dxa" w:w="4252"/>
          </w:tcPr>
          <w:p>
            <w:pPr>
              <w:jc w:val="left"/>
            </w:pPr>
            <w:r/>
            <w:r>
              <w:rPr>
                <w:rFonts w:ascii="Microsoft YaHei" w:hAnsi="Microsoft YaHei" w:eastAsia="Microsoft YaHei"/>
                <w:sz w:val="20"/>
              </w:rPr>
              <w:t>2016年</w:t>
            </w:r>
          </w:p>
        </w:tc>
        <w:tc>
          <w:tcPr>
            <w:tcW w:type="dxa" w:w="4252"/>
          </w:tcPr>
          <w:p>
            <w:pPr>
              <w:jc w:val="left"/>
            </w:pPr>
            <w:r/>
            <w:r>
              <w:rPr>
                <w:rFonts w:ascii="Microsoft YaHei" w:hAnsi="Microsoft YaHei" w:eastAsia="Microsoft YaHei"/>
                <w:sz w:val="20"/>
              </w:rPr>
              <w:t>"数字敦煌"资源库正式向全球免费开放</w:t>
            </w:r>
          </w:p>
        </w:tc>
      </w:tr>
      <w:tr>
        <w:tc>
          <w:tcPr>
            <w:tcW w:type="dxa" w:w="4252"/>
            <w:shd w:val="clear" w:color="auto" w:fill="F2F2F2"/>
          </w:tcPr>
          <w:p>
            <w:pPr>
              <w:jc w:val="left"/>
            </w:pPr>
            <w:r/>
            <w:r>
              <w:rPr>
                <w:rFonts w:ascii="Microsoft YaHei" w:hAnsi="Microsoft YaHei" w:eastAsia="Microsoft YaHei"/>
                <w:sz w:val="20"/>
              </w:rPr>
              <w:t>2018年</w:t>
            </w:r>
          </w:p>
        </w:tc>
        <w:tc>
          <w:tcPr>
            <w:tcW w:type="dxa" w:w="4252"/>
            <w:shd w:val="clear" w:color="auto" w:fill="F2F2F2"/>
          </w:tcPr>
          <w:p>
            <w:pPr>
              <w:jc w:val="left"/>
            </w:pPr>
            <w:r/>
            <w:r>
              <w:rPr>
                <w:rFonts w:ascii="Microsoft YaHei" w:hAnsi="Microsoft YaHei" w:eastAsia="Microsoft YaHei"/>
                <w:sz w:val="20"/>
              </w:rPr>
              <w:t>Europeana平台完成品牌升级，收录资源超5000万件</w:t>
            </w:r>
          </w:p>
        </w:tc>
      </w:tr>
      <w:tr>
        <w:tc>
          <w:tcPr>
            <w:tcW w:type="dxa" w:w="4252"/>
          </w:tcPr>
          <w:p>
            <w:pPr>
              <w:jc w:val="left"/>
            </w:pPr>
            <w:r/>
            <w:r>
              <w:rPr>
                <w:rFonts w:ascii="Microsoft YaHei" w:hAnsi="Microsoft YaHei" w:eastAsia="Microsoft YaHei"/>
                <w:sz w:val="20"/>
              </w:rPr>
              <w:t>2019年</w:t>
            </w:r>
          </w:p>
        </w:tc>
        <w:tc>
          <w:tcPr>
            <w:tcW w:type="dxa" w:w="4252"/>
          </w:tcPr>
          <w:p>
            <w:pPr>
              <w:jc w:val="left"/>
            </w:pPr>
            <w:r/>
            <w:r>
              <w:rPr>
                <w:rFonts w:ascii="Microsoft YaHei" w:hAnsi="Microsoft YaHei" w:eastAsia="Microsoft YaHei"/>
                <w:sz w:val="20"/>
              </w:rPr>
              <w:t>圆明园"重返·西洋楼"沉浸交互秀首演</w:t>
            </w:r>
          </w:p>
        </w:tc>
      </w:tr>
      <w:tr>
        <w:tc>
          <w:tcPr>
            <w:tcW w:type="dxa" w:w="4252"/>
            <w:shd w:val="clear" w:color="auto" w:fill="F2F2F2"/>
          </w:tcPr>
          <w:p>
            <w:pPr>
              <w:jc w:val="left"/>
            </w:pPr>
            <w:r/>
            <w:r>
              <w:rPr>
                <w:rFonts w:ascii="Microsoft YaHei" w:hAnsi="Microsoft YaHei" w:eastAsia="Microsoft YaHei"/>
                <w:sz w:val="20"/>
              </w:rPr>
              <w:t>2020年</w:t>
            </w:r>
          </w:p>
        </w:tc>
        <w:tc>
          <w:tcPr>
            <w:tcW w:type="dxa" w:w="4252"/>
            <w:shd w:val="clear" w:color="auto" w:fill="F2F2F2"/>
          </w:tcPr>
          <w:p>
            <w:pPr>
              <w:jc w:val="left"/>
            </w:pPr>
            <w:r/>
            <w:r>
              <w:rPr>
                <w:rFonts w:ascii="Microsoft YaHei" w:hAnsi="Microsoft YaHei" w:eastAsia="Microsoft YaHei"/>
                <w:sz w:val="20"/>
              </w:rPr>
              <w:t>中国国家博物馆完成大规模馆藏文物三维数字化</w:t>
            </w:r>
          </w:p>
        </w:tc>
      </w:tr>
      <w:tr>
        <w:tc>
          <w:tcPr>
            <w:tcW w:type="dxa" w:w="4252"/>
          </w:tcPr>
          <w:p>
            <w:pPr>
              <w:jc w:val="left"/>
            </w:pPr>
            <w:r/>
            <w:r>
              <w:rPr>
                <w:rFonts w:ascii="Microsoft YaHei" w:hAnsi="Microsoft YaHei" w:eastAsia="Microsoft YaHei"/>
                <w:sz w:val="20"/>
              </w:rPr>
              <w:t>2022年</w:t>
            </w:r>
          </w:p>
        </w:tc>
        <w:tc>
          <w:tcPr>
            <w:tcW w:type="dxa" w:w="4252"/>
          </w:tcPr>
          <w:p>
            <w:pPr>
              <w:jc w:val="left"/>
            </w:pPr>
            <w:r/>
            <w:r>
              <w:rPr>
                <w:rFonts w:ascii="Microsoft YaHei" w:hAnsi="Microsoft YaHei" w:eastAsia="Microsoft YaHei"/>
                <w:sz w:val="20"/>
              </w:rPr>
              <w:t>ChatGPT发布，生成式AI开始影响文化遗产领域</w:t>
            </w:r>
          </w:p>
        </w:tc>
      </w:tr>
      <w:tr>
        <w:tc>
          <w:tcPr>
            <w:tcW w:type="dxa" w:w="4252"/>
            <w:shd w:val="clear" w:color="auto" w:fill="F2F2F2"/>
          </w:tcPr>
          <w:p>
            <w:pPr>
              <w:jc w:val="left"/>
            </w:pPr>
            <w:r/>
            <w:r>
              <w:rPr>
                <w:rFonts w:ascii="Microsoft YaHei" w:hAnsi="Microsoft YaHei" w:eastAsia="Microsoft YaHei"/>
                <w:sz w:val="20"/>
              </w:rPr>
              <w:t>2022年</w:t>
            </w:r>
          </w:p>
        </w:tc>
        <w:tc>
          <w:tcPr>
            <w:tcW w:type="dxa" w:w="4252"/>
            <w:shd w:val="clear" w:color="auto" w:fill="F2F2F2"/>
          </w:tcPr>
          <w:p>
            <w:pPr>
              <w:jc w:val="left"/>
            </w:pPr>
            <w:r/>
            <w:r>
              <w:rPr>
                <w:rFonts w:ascii="Microsoft YaHei" w:hAnsi="Microsoft YaHei" w:eastAsia="Microsoft YaHei"/>
                <w:sz w:val="20"/>
              </w:rPr>
              <w:t>中国印发《关于推进实施国家文化数字化战略的意见》</w:t>
            </w:r>
          </w:p>
        </w:tc>
      </w:tr>
      <w:tr>
        <w:tc>
          <w:tcPr>
            <w:tcW w:type="dxa" w:w="4252"/>
          </w:tcPr>
          <w:p>
            <w:pPr>
              <w:jc w:val="left"/>
            </w:pPr>
            <w:r/>
            <w:r>
              <w:rPr>
                <w:rFonts w:ascii="Microsoft YaHei" w:hAnsi="Microsoft YaHei" w:eastAsia="Microsoft YaHei"/>
                <w:sz w:val="20"/>
              </w:rPr>
              <w:t>2023年</w:t>
            </w:r>
          </w:p>
        </w:tc>
        <w:tc>
          <w:tcPr>
            <w:tcW w:type="dxa" w:w="4252"/>
          </w:tcPr>
          <w:p>
            <w:pPr>
              <w:jc w:val="left"/>
            </w:pPr>
            <w:r/>
            <w:r>
              <w:rPr>
                <w:rFonts w:ascii="Microsoft YaHei" w:hAnsi="Microsoft YaHei" w:eastAsia="Microsoft YaHei"/>
                <w:sz w:val="20"/>
              </w:rPr>
              <w:t>UNESCO非遗公约缔约国达180个</w:t>
            </w:r>
          </w:p>
        </w:tc>
      </w:tr>
      <w:tr>
        <w:tc>
          <w:tcPr>
            <w:tcW w:type="dxa" w:w="4252"/>
            <w:shd w:val="clear" w:color="auto" w:fill="F2F2F2"/>
          </w:tcPr>
          <w:p>
            <w:pPr>
              <w:jc w:val="left"/>
            </w:pPr>
            <w:r/>
            <w:r>
              <w:rPr>
                <w:rFonts w:ascii="Microsoft YaHei" w:hAnsi="Microsoft YaHei" w:eastAsia="Microsoft YaHei"/>
                <w:sz w:val="20"/>
              </w:rPr>
              <w:t>2024年</w:t>
            </w:r>
          </w:p>
        </w:tc>
        <w:tc>
          <w:tcPr>
            <w:tcW w:type="dxa" w:w="4252"/>
            <w:shd w:val="clear" w:color="auto" w:fill="F2F2F2"/>
          </w:tcPr>
          <w:p>
            <w:pPr>
              <w:jc w:val="left"/>
            </w:pPr>
            <w:r/>
            <w:r>
              <w:rPr>
                <w:rFonts w:ascii="Microsoft YaHei" w:hAnsi="Microsoft YaHei" w:eastAsia="Microsoft YaHei"/>
                <w:sz w:val="20"/>
              </w:rPr>
              <w:t>数字敦煌完成290个洞窟数字化采集，累计数据量超300TB</w:t>
            </w:r>
          </w:p>
        </w:tc>
      </w:tr>
      <w:tr>
        <w:tc>
          <w:tcPr>
            <w:tcW w:type="dxa" w:w="4252"/>
          </w:tcPr>
          <w:p>
            <w:pPr>
              <w:jc w:val="left"/>
            </w:pPr>
            <w:r/>
            <w:r>
              <w:rPr>
                <w:rFonts w:ascii="Microsoft YaHei" w:hAnsi="Microsoft YaHei" w:eastAsia="Microsoft YaHei"/>
                <w:sz w:val="20"/>
              </w:rPr>
              <w:t>2025年</w:t>
            </w:r>
          </w:p>
        </w:tc>
        <w:tc>
          <w:tcPr>
            <w:tcW w:type="dxa" w:w="4252"/>
          </w:tcPr>
          <w:p>
            <w:pPr>
              <w:jc w:val="left"/>
            </w:pPr>
            <w:r/>
            <w:r>
              <w:rPr>
                <w:rFonts w:ascii="Microsoft YaHei" w:hAnsi="Microsoft YaHei" w:eastAsia="Microsoft YaHei"/>
                <w:sz w:val="20"/>
              </w:rPr>
              <w:t>AI驱动的文化遗产数字孪生技术进入实验阶段</w:t>
            </w:r>
          </w:p>
        </w:tc>
      </w:tr>
    </w:tbl>
    <w:p/>
    <w:p>
      <w:r>
        <w:br w:type="page"/>
      </w:r>
    </w:p>
    <w:sectPr w:rsidR="00FC693F" w:rsidRPr="0006063C" w:rsidSect="00034616">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