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Times New Roman" w:hAnsi="Times New Roman" w:eastAsia="黑体"/>
          <w:b/>
          <w:color w:val="1F4E79"/>
          <w:sz w:val="52"/>
        </w:rPr>
        <w:t>AI文旅场景化下的智能体设计运营管理</w:t>
      </w:r>
    </w:p>
    <w:p>
      <w:pPr>
        <w:jc w:val="center"/>
      </w:pPr>
      <w:r>
        <w:rPr>
          <w:rFonts w:ascii="Times New Roman" w:hAnsi="Times New Roman" w:eastAsia="楷体"/>
          <w:color w:val="5A5A5A"/>
          <w:sz w:val="30"/>
        </w:rPr>
        <w:t>面向游客、运营管理者、政府与第三方主体的全生命周期智能体体系</w:t>
      </w:r>
    </w:p>
    <w:p/>
    <w:p/>
    <w:p/>
    <w:p/>
    <w:p/>
    <w:p/>
    <w:p/>
    <w:p/>
    <w:p/>
    <w:p/>
    <w:p>
      <w:pPr>
        <w:jc w:val="center"/>
      </w:pPr>
      <w:r>
        <w:rPr>
          <w:rFonts w:ascii="Times New Roman" w:hAnsi="Times New Roman" w:eastAsia="宋体"/>
          <w:sz w:val="24"/>
        </w:rPr>
        <w:t>祝刚  安顺学院旅游管理学院</w:t>
      </w:r>
    </w:p>
    <w:p>
      <w:pPr>
        <w:jc w:val="center"/>
      </w:pPr>
      <w:r>
        <w:rPr>
          <w:rFonts w:ascii="Times New Roman" w:hAnsi="Times New Roman" w:eastAsia="宋体"/>
          <w:sz w:val="24"/>
        </w:rPr>
        <w:t>2026年7月</w:t>
      </w:r>
    </w:p>
    <w:p>
      <w:pPr>
        <w:sectPr>
          <w:headerReference w:type="default" r:id="rId9"/>
          <w:footerReference w:type="default" r:id="rId10"/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AI文旅场景化下的智能体设计运营管理</w:t>
      </w:r>
    </w:p>
    <w:p>
      <w:pPr>
        <w:jc w:val="center"/>
      </w:pPr>
      <w:r>
        <w:rPr>
          <w:rFonts w:ascii="Times New Roman" w:hAnsi="Times New Roman" w:eastAsia="楷体"/>
          <w:color w:val="5A5A5A"/>
          <w:sz w:val="24"/>
        </w:rPr>
        <w:t>面向游客、运营管理者、政府与第三方主体的全生命周期智能体体系</w:t>
      </w:r>
    </w:p>
    <w:p>
      <w:r>
        <w:rPr>
          <w:rFonts w:ascii="Times New Roman" w:hAnsi="Times New Roman" w:eastAsia="宋体"/>
        </w:rPr>
        <w:t>作者：祝刚  安顺学院旅游管理学院</w:t>
      </w:r>
    </w:p>
    <w:p>
      <w:pPr>
        <w:pStyle w:val="Heading2"/>
      </w:pPr>
      <w:r>
        <w:t>项目卡</w:t>
      </w:r>
    </w:p>
    <w:p>
      <w:pPr>
        <w:pStyle w:val="ListBullet"/>
      </w:pPr>
      <w:r>
        <w:rPr>
          <w:rFonts w:ascii="Times New Roman" w:hAnsi="Times New Roman" w:eastAsia="宋体"/>
        </w:rPr>
        <w:t>文稿类型：专著初稿 / 可继续扩展为教材、案例集或出版申报稿。</w:t>
      </w:r>
    </w:p>
    <w:p>
      <w:pPr>
        <w:pStyle w:val="ListBullet"/>
      </w:pPr>
      <w:r>
        <w:rPr>
          <w:rFonts w:ascii="Times New Roman" w:hAnsi="Times New Roman" w:eastAsia="宋体"/>
        </w:rPr>
        <w:t>核心对象：以AI个性化推荐智能体为主线，统筹AI客服、AI导览、AI数字人、AI行程规划、AI叙事策划师、AI助手等协同智能体。</w:t>
      </w:r>
    </w:p>
    <w:p>
      <w:pPr>
        <w:pStyle w:val="ListBullet"/>
      </w:pPr>
      <w:r>
        <w:rPr>
          <w:rFonts w:ascii="Times New Roman" w:hAnsi="Times New Roman" w:eastAsia="宋体"/>
        </w:rPr>
        <w:t>读者对象：文旅管理研究者、景区与目的地运营管理者、政府文旅部门、数字文旅专业师生、文旅科技企业。</w:t>
      </w:r>
    </w:p>
    <w:p>
      <w:pPr>
        <w:pStyle w:val="ListBullet"/>
      </w:pPr>
      <w:r>
        <w:rPr>
          <w:rFonts w:ascii="Times New Roman" w:hAnsi="Times New Roman" w:eastAsia="宋体"/>
        </w:rPr>
        <w:t>核心贡献：提出AI个性化推荐智能体的全生命周期管理框架、四主体推荐场景矩阵、推荐系统运营架构与风险治理体系。</w:t>
      </w:r>
    </w:p>
    <w:p>
      <w:pPr>
        <w:pStyle w:val="ListBullet"/>
      </w:pPr>
      <w:r>
        <w:rPr>
          <w:rFonts w:ascii="Times New Roman" w:hAnsi="Times New Roman" w:eastAsia="宋体"/>
        </w:rPr>
        <w:t>证据边界：本文为结构化专著初稿，地方案例用于机制说明；涉及具体政策、数据、平台成效和授权材料，正式出版前需逐条核验。</w:t>
      </w:r>
    </w:p>
    <w:p>
      <w:pPr>
        <w:pStyle w:val="Heading2"/>
      </w:pPr>
      <w:r>
        <w:t>总论：本书的基本判断</w:t>
      </w:r>
    </w:p>
    <w:p>
      <w:r>
        <w:rPr>
          <w:rFonts w:ascii="Times New Roman" w:hAnsi="Times New Roman" w:eastAsia="宋体"/>
        </w:rPr>
        <w:t>AI进入文旅行业后，最容易出现的误区是把智能体等同于聊天窗口、数字人形象或一次性营销内容。本书的判断是：AI个性化推荐智能体最能体现文旅智能体的管理价值。因为推荐不是简单告诉游客“去哪里”，而是在游客偏好、时间预算、空间距离、文化兴趣、实时客流、商业转化和公共治理之间进行动态匹配。</w:t>
      </w:r>
    </w:p>
    <w:p>
      <w:r>
        <w:rPr>
          <w:rFonts w:ascii="Times New Roman" w:hAnsi="Times New Roman" w:eastAsia="宋体"/>
        </w:rPr>
        <w:t>对游客而言，推荐智能体应降低选择成本，提供可信、可解释、可替代的方案。对运营管理者而言，它应提升资源利用率、二次消费转化、错峰分流和会员复购。对政府而言，它应服务公共资源均衡、拥堵治理、文明旅游和应急引导。对第三方而言，它应成为渠道分发、产品组合和内容协同的智能接口。AI客服、AI导览、AI数字人、AI行程规划、AI叙事策划师和AI助手，都可以理解为推荐智能体的协同模块：客服提供问题反馈，导览提供在场语境，数字人提供人格化入口，行程规划提供组合方案，叙事策划提供内容素材，AI助手提供内部运营支撑。</w:t>
      </w:r>
    </w:p>
    <w:p>
      <w:pPr>
        <w:pStyle w:val="Heading2"/>
      </w:pPr>
      <w:r>
        <w:t>AI个性化推荐智能体专题框架</w:t>
      </w:r>
    </w:p>
    <w:p>
      <w:r>
        <w:rPr>
          <w:rFonts w:ascii="Times New Roman" w:hAnsi="Times New Roman" w:eastAsia="宋体"/>
        </w:rPr>
        <w:t>AI个性化推荐智能体的设计重点，是把“人、货、场、时、险、责”六个变量统一起来。人是游客及其同行结构，货是文旅资源与服务产品，场是行前、行中、行后的具体触点，时是季节、天气、节庆、拥堵和开放状态，险是安全、隐私、偏见和过度商业化风险，责是游客、企业、政府和第三方之间的责任边界。</w:t>
      </w:r>
    </w:p>
    <w:p>
      <w:pPr>
        <w:pStyle w:val="Heading3"/>
      </w:pPr>
      <w:r>
        <w:t>推荐智能体全生命周期</w:t>
      </w:r>
    </w:p>
    <w:p>
      <w:pPr>
        <w:pStyle w:val="Heading3"/>
      </w:pPr>
      <w:r>
        <w:t>四主体推荐场景矩阵</w:t>
      </w:r>
    </w:p>
    <w:p>
      <w:pPr>
        <w:pStyle w:val="Heading3"/>
      </w:pPr>
      <w:r>
        <w:t>推荐智能体运营架构</w:t>
      </w:r>
    </w:p>
    <w:p>
      <w:pPr>
        <w:pStyle w:val="Heading3"/>
      </w:pPr>
      <w:r>
        <w:t>推荐智能体的设计运营规范</w:t>
      </w:r>
    </w:p>
    <w:p>
      <w:pPr>
        <w:pStyle w:val="ListNumber"/>
      </w:pPr>
      <w:r>
        <w:rPr>
          <w:rFonts w:ascii="Times New Roman" w:hAnsi="Times New Roman" w:eastAsia="宋体"/>
        </w:rPr>
        <w:t>游客画像规范。文旅推荐不能把游客简化为年龄、性别和消费能力。更有管理价值的画像应包括出游动机、同行结构、时间预算、交通方式、体力水平、文化兴趣、消费边界、风险敏感度、无障碍需求和对拥挤的容忍度。画像采集应遵循最小必要原则，优先通过游客主动选择、即时问答和匿名行为信号形成临时画像，避免在游客不知情的情况下长期追踪。</w:t>
      </w:r>
    </w:p>
    <w:p>
      <w:pPr>
        <w:pStyle w:val="ListNumber"/>
      </w:pPr>
      <w:r>
        <w:rPr>
          <w:rFonts w:ascii="Times New Roman" w:hAnsi="Times New Roman" w:eastAsia="宋体"/>
        </w:rPr>
        <w:t>资源标签规范。推荐对象应覆盖景点、线路、演艺、餐饮、住宿、文创、研学、节事、公共服务和安全设施。每个资源至少需要六类标签：主题标签、文化标签、空间标签、时间标签、容量标签和风险标签。主题标签解决游客喜不喜欢，文化标签解决地方性和解释深度，空间标签解决能不能到达，时间标签解决何时适合，容量标签解决能不能承载，风险标签解决是否适宜推荐。</w:t>
      </w:r>
    </w:p>
    <w:p>
      <w:pPr>
        <w:pStyle w:val="ListNumber"/>
      </w:pPr>
      <w:r>
        <w:rPr>
          <w:rFonts w:ascii="Times New Roman" w:hAnsi="Times New Roman" w:eastAsia="宋体"/>
        </w:rPr>
        <w:t>场景触发规范。推荐智能体应区分行前、行中、行后。行前重点推荐目的地组合、交通住宿和预算方案；行中重点推荐即时路线、排队替代、餐饮休息、安全提醒和二次消费；行后重点推荐评价、分享、会员复购和下一次旅行灵感。推荐触发不应过密，否则会变成打扰；也不能过少，否则错失服务窗口。</w:t>
      </w:r>
    </w:p>
    <w:p>
      <w:pPr>
        <w:pStyle w:val="ListNumber"/>
      </w:pPr>
      <w:r>
        <w:rPr>
          <w:rFonts w:ascii="Times New Roman" w:hAnsi="Times New Roman" w:eastAsia="宋体"/>
        </w:rPr>
        <w:t>候选召回规范。召回阶段要形成足够多样的候选池，不能只召回头部景点和高佣金产品。可设置热门召回、兴趣召回、位置召回、天气召回、文化主题召回、长尾扶持召回和公共服务召回。这样做的原因是文旅目的地不是单纯电商货架，推荐系统还承担资源分流、区域均衡和文化传播功能。</w:t>
      </w:r>
    </w:p>
    <w:p>
      <w:pPr>
        <w:pStyle w:val="ListNumber"/>
      </w:pPr>
      <w:r>
        <w:rPr>
          <w:rFonts w:ascii="Times New Roman" w:hAnsi="Times New Roman" w:eastAsia="宋体"/>
        </w:rPr>
        <w:t>排序与重排规范。排序阶段可以综合偏好匹配、空间距离、预计等待时间、价格预算、库存容量、评价质量、文化价值和运营目标。重排阶段要加入硬约束，例如闭园、极端天气、道路中断、老人儿童不适宜、高拥挤、未授权内容等。对用户的影响是推荐结果更稳健，不会为了转化率牺牲安全和体验。</w:t>
      </w:r>
    </w:p>
    <w:p>
      <w:pPr>
        <w:pStyle w:val="ListNumber"/>
      </w:pPr>
      <w:r>
        <w:rPr>
          <w:rFonts w:ascii="Times New Roman" w:hAnsi="Times New Roman" w:eastAsia="宋体"/>
        </w:rPr>
        <w:t>解释规范。推荐智能体必须说明推荐理由。较好的解释不是“猜你喜欢”，而是“因为你带儿童同行、停留时间约3小时、当前黄果树核心区排队较长，所以先推荐龙宫轻量路线，并保留傍晚夜游替代方案”。解释应包括适配原因、关键约束、替代选项、商业合作标识和风险提醒。</w:t>
      </w:r>
    </w:p>
    <w:p>
      <w:pPr>
        <w:pStyle w:val="ListNumber"/>
      </w:pPr>
      <w:r>
        <w:rPr>
          <w:rFonts w:ascii="Times New Roman" w:hAnsi="Times New Roman" w:eastAsia="宋体"/>
        </w:rPr>
        <w:t>转化规范。推荐结果要能连接行动：购票、预约、导航、收藏、分享、客服、人工咨询、投诉、应急求助。不能执行的推荐会停留在信息展示层，无法转化为运营价值。工具调用失败时，应给出清晰兜底，例如转人工、稍后提醒、电话咨询或线下服务点。</w:t>
      </w:r>
    </w:p>
    <w:p>
      <w:pPr>
        <w:pStyle w:val="ListNumber"/>
      </w:pPr>
      <w:r>
        <w:rPr>
          <w:rFonts w:ascii="Times New Roman" w:hAnsi="Times New Roman" w:eastAsia="宋体"/>
        </w:rPr>
        <w:t>反馈规范。推荐智能体需要区分显性反馈和隐性反馈。显性反馈包括评分、收藏、投诉和“不感兴趣”；隐性反馈包括点击、停留、导航、购买和到访。反馈不能机械等同于偏好，例如游客点击某个项目可能只是查看价格，不代表想购买。运营团队应定期复盘推荐失败样本，形成知识库和规则更新。</w:t>
      </w:r>
    </w:p>
    <w:p>
      <w:pPr>
        <w:pStyle w:val="ListNumber"/>
      </w:pPr>
      <w:r>
        <w:rPr>
          <w:rFonts w:ascii="Times New Roman" w:hAnsi="Times New Roman" w:eastAsia="宋体"/>
        </w:rPr>
        <w:t>公平与合规规范。推荐系统容易产生商业偏置、热门偏置、价格歧视、地域刻板印象和隐私风险。治理上应建立推荐审计机制，定期检查不同客群是否获得合理服务，商业合作内容是否标注，未成年人和老年游客是否得到适当保护，公共服务资源是否被商业推荐挤压。</w:t>
      </w:r>
    </w:p>
    <w:p>
      <w:pPr>
        <w:pStyle w:val="ListNumber"/>
      </w:pPr>
      <w:r>
        <w:rPr>
          <w:rFonts w:ascii="Times New Roman" w:hAnsi="Times New Roman" w:eastAsia="宋体"/>
        </w:rPr>
        <w:t>组织岗位规范。推荐智能体不是技术部门单独负责。至少需要业务负责人、知识库管理员、数据治理负责人、算法或模型负责人、内容审核负责人、客服兜底负责人、合规负责人和场景运营负责人。岗位清晰的原因是推荐错误常常不是模型单点错误，而是知识过期、库存不同步、规则冲突、审核缺位和责任边界不清共同造成的。</w:t>
      </w:r>
    </w:p>
    <w:p>
      <w:pPr>
        <w:pStyle w:val="Heading2"/>
      </w:pPr>
      <w:r>
        <w:t>全生命周期框架</w:t>
      </w:r>
    </w:p>
    <w:p>
      <w:pPr>
        <w:pStyle w:val="Heading2"/>
      </w:pPr>
      <w:r>
        <w:t>多主体价值矩阵</w:t>
      </w:r>
    </w:p>
    <w:p>
      <w:pPr>
        <w:pStyle w:val="Heading2"/>
      </w:pPr>
      <w:r>
        <w:t>场景矩阵：智能体类型 × 主体方</w:t>
      </w:r>
    </w:p>
    <w:p>
      <w:pPr>
        <w:pStyle w:val="Heading2"/>
      </w:pPr>
      <w:r>
        <w:t>智能体设计卡</w:t>
      </w:r>
    </w:p>
    <w:p>
      <w:pPr>
        <w:pStyle w:val="Heading3"/>
      </w:pPr>
      <w:r>
        <w:t>AI客服</w:t>
      </w:r>
    </w:p>
    <w:p>
      <w:r>
        <w:rPr>
          <w:rFonts w:ascii="Times New Roman" w:hAnsi="Times New Roman" w:eastAsia="宋体"/>
        </w:rPr>
        <w:t>定位：面向高频、标准化、可追踪的服务问题，承担第一响应、工单分流和知识解释。</w:t>
      </w:r>
    </w:p>
    <w:p>
      <w:r>
        <w:rPr>
          <w:rFonts w:ascii="Times New Roman" w:hAnsi="Times New Roman" w:eastAsia="宋体"/>
        </w:rPr>
        <w:t>典型场景：</w:t>
      </w:r>
    </w:p>
    <w:p>
      <w:pPr>
        <w:pStyle w:val="ListBullet"/>
      </w:pPr>
      <w:r>
        <w:rPr>
          <w:rFonts w:ascii="Times New Roman" w:hAnsi="Times New Roman" w:eastAsia="宋体"/>
        </w:rPr>
        <w:t>景区开放时间、票务政策、退改规则</w:t>
      </w:r>
    </w:p>
    <w:p>
      <w:pPr>
        <w:pStyle w:val="ListBullet"/>
      </w:pPr>
      <w:r>
        <w:rPr>
          <w:rFonts w:ascii="Times New Roman" w:hAnsi="Times New Roman" w:eastAsia="宋体"/>
        </w:rPr>
        <w:t>交通接驳、停车、寄存、无障碍服务</w:t>
      </w:r>
    </w:p>
    <w:p>
      <w:pPr>
        <w:pStyle w:val="ListBullet"/>
      </w:pPr>
      <w:r>
        <w:rPr>
          <w:rFonts w:ascii="Times New Roman" w:hAnsi="Times New Roman" w:eastAsia="宋体"/>
        </w:rPr>
        <w:t>投诉建议、遗失物、发票和售后</w:t>
      </w:r>
    </w:p>
    <w:p>
      <w:r>
        <w:rPr>
          <w:rFonts w:ascii="Times New Roman" w:hAnsi="Times New Roman" w:eastAsia="宋体"/>
        </w:rPr>
        <w:t>数据与知识底座：</w:t>
      </w:r>
    </w:p>
    <w:p>
      <w:pPr>
        <w:pStyle w:val="ListBullet"/>
      </w:pPr>
      <w:r>
        <w:rPr>
          <w:rFonts w:ascii="Times New Roman" w:hAnsi="Times New Roman" w:eastAsia="宋体"/>
        </w:rPr>
        <w:t>官方服务知识库</w:t>
      </w:r>
    </w:p>
    <w:p>
      <w:pPr>
        <w:pStyle w:val="ListBullet"/>
      </w:pPr>
      <w:r>
        <w:rPr>
          <w:rFonts w:ascii="Times New Roman" w:hAnsi="Times New Roman" w:eastAsia="宋体"/>
        </w:rPr>
        <w:t>票务订单状态</w:t>
      </w:r>
    </w:p>
    <w:p>
      <w:pPr>
        <w:pStyle w:val="ListBullet"/>
      </w:pPr>
      <w:r>
        <w:rPr>
          <w:rFonts w:ascii="Times New Roman" w:hAnsi="Times New Roman" w:eastAsia="宋体"/>
        </w:rPr>
        <w:t>投诉工单系统</w:t>
      </w:r>
    </w:p>
    <w:p>
      <w:pPr>
        <w:pStyle w:val="ListBullet"/>
      </w:pPr>
      <w:r>
        <w:rPr>
          <w:rFonts w:ascii="Times New Roman" w:hAnsi="Times New Roman" w:eastAsia="宋体"/>
        </w:rPr>
        <w:t>客服质检记录</w:t>
      </w:r>
    </w:p>
    <w:p>
      <w:r>
        <w:rPr>
          <w:rFonts w:ascii="Times New Roman" w:hAnsi="Times New Roman" w:eastAsia="宋体"/>
        </w:rPr>
        <w:t>运营指标：</w:t>
      </w:r>
    </w:p>
    <w:p>
      <w:pPr>
        <w:pStyle w:val="ListBullet"/>
      </w:pPr>
      <w:r>
        <w:rPr>
          <w:rFonts w:ascii="Times New Roman" w:hAnsi="Times New Roman" w:eastAsia="宋体"/>
        </w:rPr>
        <w:t>首次响应时间</w:t>
      </w:r>
    </w:p>
    <w:p>
      <w:pPr>
        <w:pStyle w:val="ListBullet"/>
      </w:pPr>
      <w:r>
        <w:rPr>
          <w:rFonts w:ascii="Times New Roman" w:hAnsi="Times New Roman" w:eastAsia="宋体"/>
        </w:rPr>
        <w:t>一次解决率</w:t>
      </w:r>
    </w:p>
    <w:p>
      <w:pPr>
        <w:pStyle w:val="ListBullet"/>
      </w:pPr>
      <w:r>
        <w:rPr>
          <w:rFonts w:ascii="Times New Roman" w:hAnsi="Times New Roman" w:eastAsia="宋体"/>
        </w:rPr>
        <w:t>转人工准确率</w:t>
      </w:r>
    </w:p>
    <w:p>
      <w:pPr>
        <w:pStyle w:val="ListBullet"/>
      </w:pPr>
      <w:r>
        <w:rPr>
          <w:rFonts w:ascii="Times New Roman" w:hAnsi="Times New Roman" w:eastAsia="宋体"/>
        </w:rPr>
        <w:t>游客满意度</w:t>
      </w:r>
    </w:p>
    <w:p>
      <w:pPr>
        <w:pStyle w:val="ListBullet"/>
      </w:pPr>
      <w:r>
        <w:rPr>
          <w:rFonts w:ascii="Times New Roman" w:hAnsi="Times New Roman" w:eastAsia="宋体"/>
        </w:rPr>
        <w:t>知识命中率</w:t>
      </w:r>
    </w:p>
    <w:p>
      <w:r>
        <w:rPr>
          <w:rFonts w:ascii="Times New Roman" w:hAnsi="Times New Roman" w:eastAsia="宋体"/>
        </w:rPr>
        <w:t>主要风险：</w:t>
      </w:r>
    </w:p>
    <w:p>
      <w:pPr>
        <w:pStyle w:val="ListBullet"/>
      </w:pPr>
      <w:r>
        <w:rPr>
          <w:rFonts w:ascii="Times New Roman" w:hAnsi="Times New Roman" w:eastAsia="宋体"/>
        </w:rPr>
        <w:t>政策口径过期</w:t>
      </w:r>
    </w:p>
    <w:p>
      <w:pPr>
        <w:pStyle w:val="ListBullet"/>
      </w:pPr>
      <w:r>
        <w:rPr>
          <w:rFonts w:ascii="Times New Roman" w:hAnsi="Times New Roman" w:eastAsia="宋体"/>
        </w:rPr>
        <w:t>复杂投诉误判</w:t>
      </w:r>
    </w:p>
    <w:p>
      <w:pPr>
        <w:pStyle w:val="ListBullet"/>
      </w:pPr>
      <w:r>
        <w:rPr>
          <w:rFonts w:ascii="Times New Roman" w:hAnsi="Times New Roman" w:eastAsia="宋体"/>
        </w:rPr>
        <w:t>过度承诺赔付</w:t>
      </w:r>
    </w:p>
    <w:p>
      <w:pPr>
        <w:pStyle w:val="ListBullet"/>
      </w:pPr>
      <w:r>
        <w:rPr>
          <w:rFonts w:ascii="Times New Roman" w:hAnsi="Times New Roman" w:eastAsia="宋体"/>
        </w:rPr>
        <w:t>隐私信息处理不当</w:t>
      </w:r>
    </w:p>
    <w:p>
      <w:pPr>
        <w:pStyle w:val="Heading3"/>
      </w:pPr>
      <w:r>
        <w:t>AI导览</w:t>
      </w:r>
    </w:p>
    <w:p>
      <w:r>
        <w:rPr>
          <w:rFonts w:ascii="Times New Roman" w:hAnsi="Times New Roman" w:eastAsia="宋体"/>
        </w:rPr>
        <w:t>定位：把空间导航、文化讲解和即时陪伴结合起来，服务游客在场体验。</w:t>
      </w:r>
    </w:p>
    <w:p>
      <w:r>
        <w:rPr>
          <w:rFonts w:ascii="Times New Roman" w:hAnsi="Times New Roman" w:eastAsia="宋体"/>
        </w:rPr>
        <w:t>典型场景：</w:t>
      </w:r>
    </w:p>
    <w:p>
      <w:pPr>
        <w:pStyle w:val="ListBullet"/>
      </w:pPr>
      <w:r>
        <w:rPr>
          <w:rFonts w:ascii="Times New Roman" w:hAnsi="Times New Roman" w:eastAsia="宋体"/>
        </w:rPr>
        <w:t>入园路线推荐</w:t>
      </w:r>
    </w:p>
    <w:p>
      <w:pPr>
        <w:pStyle w:val="ListBullet"/>
      </w:pPr>
      <w:r>
        <w:rPr>
          <w:rFonts w:ascii="Times New Roman" w:hAnsi="Times New Roman" w:eastAsia="宋体"/>
        </w:rPr>
        <w:t>景点讲解</w:t>
      </w:r>
    </w:p>
    <w:p>
      <w:pPr>
        <w:pStyle w:val="ListBullet"/>
      </w:pPr>
      <w:r>
        <w:rPr>
          <w:rFonts w:ascii="Times New Roman" w:hAnsi="Times New Roman" w:eastAsia="宋体"/>
        </w:rPr>
        <w:t>研学问答</w:t>
      </w:r>
    </w:p>
    <w:p>
      <w:pPr>
        <w:pStyle w:val="ListBullet"/>
      </w:pPr>
      <w:r>
        <w:rPr>
          <w:rFonts w:ascii="Times New Roman" w:hAnsi="Times New Roman" w:eastAsia="宋体"/>
        </w:rPr>
        <w:t>多语言导览</w:t>
      </w:r>
    </w:p>
    <w:p>
      <w:pPr>
        <w:pStyle w:val="ListBullet"/>
      </w:pPr>
      <w:r>
        <w:rPr>
          <w:rFonts w:ascii="Times New Roman" w:hAnsi="Times New Roman" w:eastAsia="宋体"/>
        </w:rPr>
        <w:t>AR互动</w:t>
      </w:r>
    </w:p>
    <w:p>
      <w:r>
        <w:rPr>
          <w:rFonts w:ascii="Times New Roman" w:hAnsi="Times New Roman" w:eastAsia="宋体"/>
        </w:rPr>
        <w:t>数据与知识底座：</w:t>
      </w:r>
    </w:p>
    <w:p>
      <w:pPr>
        <w:pStyle w:val="ListBullet"/>
      </w:pPr>
      <w:r>
        <w:rPr>
          <w:rFonts w:ascii="Times New Roman" w:hAnsi="Times New Roman" w:eastAsia="宋体"/>
        </w:rPr>
        <w:t>景点知识库</w:t>
      </w:r>
    </w:p>
    <w:p>
      <w:pPr>
        <w:pStyle w:val="ListBullet"/>
      </w:pPr>
      <w:r>
        <w:rPr>
          <w:rFonts w:ascii="Times New Roman" w:hAnsi="Times New Roman" w:eastAsia="宋体"/>
        </w:rPr>
        <w:t>地图与定位数据</w:t>
      </w:r>
    </w:p>
    <w:p>
      <w:pPr>
        <w:pStyle w:val="ListBullet"/>
      </w:pPr>
      <w:r>
        <w:rPr>
          <w:rFonts w:ascii="Times New Roman" w:hAnsi="Times New Roman" w:eastAsia="宋体"/>
        </w:rPr>
        <w:t>客流热力</w:t>
      </w:r>
    </w:p>
    <w:p>
      <w:pPr>
        <w:pStyle w:val="ListBullet"/>
      </w:pPr>
      <w:r>
        <w:rPr>
          <w:rFonts w:ascii="Times New Roman" w:hAnsi="Times New Roman" w:eastAsia="宋体"/>
        </w:rPr>
        <w:t>文化授权材料</w:t>
      </w:r>
    </w:p>
    <w:p>
      <w:r>
        <w:rPr>
          <w:rFonts w:ascii="Times New Roman" w:hAnsi="Times New Roman" w:eastAsia="宋体"/>
        </w:rPr>
        <w:t>运营指标：</w:t>
      </w:r>
    </w:p>
    <w:p>
      <w:pPr>
        <w:pStyle w:val="ListBullet"/>
      </w:pPr>
      <w:r>
        <w:rPr>
          <w:rFonts w:ascii="Times New Roman" w:hAnsi="Times New Roman" w:eastAsia="宋体"/>
        </w:rPr>
        <w:t>导览完成率</w:t>
      </w:r>
    </w:p>
    <w:p>
      <w:pPr>
        <w:pStyle w:val="ListBullet"/>
      </w:pPr>
      <w:r>
        <w:rPr>
          <w:rFonts w:ascii="Times New Roman" w:hAnsi="Times New Roman" w:eastAsia="宋体"/>
        </w:rPr>
        <w:t>停留时长</w:t>
      </w:r>
    </w:p>
    <w:p>
      <w:pPr>
        <w:pStyle w:val="ListBullet"/>
      </w:pPr>
      <w:r>
        <w:rPr>
          <w:rFonts w:ascii="Times New Roman" w:hAnsi="Times New Roman" w:eastAsia="宋体"/>
        </w:rPr>
        <w:t>讲解评分</w:t>
      </w:r>
    </w:p>
    <w:p>
      <w:pPr>
        <w:pStyle w:val="ListBullet"/>
      </w:pPr>
      <w:r>
        <w:rPr>
          <w:rFonts w:ascii="Times New Roman" w:hAnsi="Times New Roman" w:eastAsia="宋体"/>
        </w:rPr>
        <w:t>错路率</w:t>
      </w:r>
    </w:p>
    <w:p>
      <w:pPr>
        <w:pStyle w:val="ListBullet"/>
      </w:pPr>
      <w:r>
        <w:rPr>
          <w:rFonts w:ascii="Times New Roman" w:hAnsi="Times New Roman" w:eastAsia="宋体"/>
        </w:rPr>
        <w:t>二次内容分享率</w:t>
      </w:r>
    </w:p>
    <w:p>
      <w:r>
        <w:rPr>
          <w:rFonts w:ascii="Times New Roman" w:hAnsi="Times New Roman" w:eastAsia="宋体"/>
        </w:rPr>
        <w:t>主要风险：</w:t>
      </w:r>
    </w:p>
    <w:p>
      <w:pPr>
        <w:pStyle w:val="ListBullet"/>
      </w:pPr>
      <w:r>
        <w:rPr>
          <w:rFonts w:ascii="Times New Roman" w:hAnsi="Times New Roman" w:eastAsia="宋体"/>
        </w:rPr>
        <w:t>文化解释失真</w:t>
      </w:r>
    </w:p>
    <w:p>
      <w:pPr>
        <w:pStyle w:val="ListBullet"/>
      </w:pPr>
      <w:r>
        <w:rPr>
          <w:rFonts w:ascii="Times New Roman" w:hAnsi="Times New Roman" w:eastAsia="宋体"/>
        </w:rPr>
        <w:t>定位不准</w:t>
      </w:r>
    </w:p>
    <w:p>
      <w:pPr>
        <w:pStyle w:val="ListBullet"/>
      </w:pPr>
      <w:r>
        <w:rPr>
          <w:rFonts w:ascii="Times New Roman" w:hAnsi="Times New Roman" w:eastAsia="宋体"/>
        </w:rPr>
        <w:t>儿童内容不适宜</w:t>
      </w:r>
    </w:p>
    <w:p>
      <w:pPr>
        <w:pStyle w:val="ListBullet"/>
      </w:pPr>
      <w:r>
        <w:rPr>
          <w:rFonts w:ascii="Times New Roman" w:hAnsi="Times New Roman" w:eastAsia="宋体"/>
        </w:rPr>
        <w:t>低网环境体验差</w:t>
      </w:r>
    </w:p>
    <w:p>
      <w:pPr>
        <w:pStyle w:val="Heading3"/>
      </w:pPr>
      <w:r>
        <w:t>AI数字人</w:t>
      </w:r>
    </w:p>
    <w:p>
      <w:r>
        <w:rPr>
          <w:rFonts w:ascii="Times New Roman" w:hAnsi="Times New Roman" w:eastAsia="宋体"/>
        </w:rPr>
        <w:t>定位：作为目的地人格化入口，承担迎宾、直播、讲解、活动主持和品牌传播。</w:t>
      </w:r>
    </w:p>
    <w:p>
      <w:r>
        <w:rPr>
          <w:rFonts w:ascii="Times New Roman" w:hAnsi="Times New Roman" w:eastAsia="宋体"/>
        </w:rPr>
        <w:t>典型场景：</w:t>
      </w:r>
    </w:p>
    <w:p>
      <w:pPr>
        <w:pStyle w:val="ListBullet"/>
      </w:pPr>
      <w:r>
        <w:rPr>
          <w:rFonts w:ascii="Times New Roman" w:hAnsi="Times New Roman" w:eastAsia="宋体"/>
        </w:rPr>
        <w:t>游客中心迎宾</w:t>
      </w:r>
    </w:p>
    <w:p>
      <w:pPr>
        <w:pStyle w:val="ListBullet"/>
      </w:pPr>
      <w:r>
        <w:rPr>
          <w:rFonts w:ascii="Times New Roman" w:hAnsi="Times New Roman" w:eastAsia="宋体"/>
        </w:rPr>
        <w:t>直播带游</w:t>
      </w:r>
    </w:p>
    <w:p>
      <w:pPr>
        <w:pStyle w:val="ListBullet"/>
      </w:pPr>
      <w:r>
        <w:rPr>
          <w:rFonts w:ascii="Times New Roman" w:hAnsi="Times New Roman" w:eastAsia="宋体"/>
        </w:rPr>
        <w:t>节事活动主持</w:t>
      </w:r>
    </w:p>
    <w:p>
      <w:pPr>
        <w:pStyle w:val="ListBullet"/>
      </w:pPr>
      <w:r>
        <w:rPr>
          <w:rFonts w:ascii="Times New Roman" w:hAnsi="Times New Roman" w:eastAsia="宋体"/>
        </w:rPr>
        <w:t>虚拟代言</w:t>
      </w:r>
    </w:p>
    <w:p>
      <w:pPr>
        <w:pStyle w:val="ListBullet"/>
      </w:pPr>
      <w:r>
        <w:rPr>
          <w:rFonts w:ascii="Times New Roman" w:hAnsi="Times New Roman" w:eastAsia="宋体"/>
        </w:rPr>
        <w:t>文化角色演绎</w:t>
      </w:r>
    </w:p>
    <w:p>
      <w:r>
        <w:rPr>
          <w:rFonts w:ascii="Times New Roman" w:hAnsi="Times New Roman" w:eastAsia="宋体"/>
        </w:rPr>
        <w:t>数据与知识底座：</w:t>
      </w:r>
    </w:p>
    <w:p>
      <w:pPr>
        <w:pStyle w:val="ListBullet"/>
      </w:pPr>
      <w:r>
        <w:rPr>
          <w:rFonts w:ascii="Times New Roman" w:hAnsi="Times New Roman" w:eastAsia="宋体"/>
        </w:rPr>
        <w:t>品牌话术</w:t>
      </w:r>
    </w:p>
    <w:p>
      <w:pPr>
        <w:pStyle w:val="ListBullet"/>
      </w:pPr>
      <w:r>
        <w:rPr>
          <w:rFonts w:ascii="Times New Roman" w:hAnsi="Times New Roman" w:eastAsia="宋体"/>
        </w:rPr>
        <w:t>活动脚本</w:t>
      </w:r>
    </w:p>
    <w:p>
      <w:pPr>
        <w:pStyle w:val="ListBullet"/>
      </w:pPr>
      <w:r>
        <w:rPr>
          <w:rFonts w:ascii="Times New Roman" w:hAnsi="Times New Roman" w:eastAsia="宋体"/>
        </w:rPr>
        <w:t>角色设定</w:t>
      </w:r>
    </w:p>
    <w:p>
      <w:pPr>
        <w:pStyle w:val="ListBullet"/>
      </w:pPr>
      <w:r>
        <w:rPr>
          <w:rFonts w:ascii="Times New Roman" w:hAnsi="Times New Roman" w:eastAsia="宋体"/>
        </w:rPr>
        <w:t>视频素材库</w:t>
      </w:r>
    </w:p>
    <w:p>
      <w:pPr>
        <w:pStyle w:val="ListBullet"/>
      </w:pPr>
      <w:r>
        <w:rPr>
          <w:rFonts w:ascii="Times New Roman" w:hAnsi="Times New Roman" w:eastAsia="宋体"/>
        </w:rPr>
        <w:t>直播互动数据</w:t>
      </w:r>
    </w:p>
    <w:p>
      <w:r>
        <w:rPr>
          <w:rFonts w:ascii="Times New Roman" w:hAnsi="Times New Roman" w:eastAsia="宋体"/>
        </w:rPr>
        <w:t>运营指标：</w:t>
      </w:r>
    </w:p>
    <w:p>
      <w:pPr>
        <w:pStyle w:val="ListBullet"/>
      </w:pPr>
      <w:r>
        <w:rPr>
          <w:rFonts w:ascii="Times New Roman" w:hAnsi="Times New Roman" w:eastAsia="宋体"/>
        </w:rPr>
        <w:t>互动率</w:t>
      </w:r>
    </w:p>
    <w:p>
      <w:pPr>
        <w:pStyle w:val="ListBullet"/>
      </w:pPr>
      <w:r>
        <w:rPr>
          <w:rFonts w:ascii="Times New Roman" w:hAnsi="Times New Roman" w:eastAsia="宋体"/>
        </w:rPr>
        <w:t>观看时长</w:t>
      </w:r>
    </w:p>
    <w:p>
      <w:pPr>
        <w:pStyle w:val="ListBullet"/>
      </w:pPr>
      <w:r>
        <w:rPr>
          <w:rFonts w:ascii="Times New Roman" w:hAnsi="Times New Roman" w:eastAsia="宋体"/>
        </w:rPr>
        <w:t>转化率</w:t>
      </w:r>
    </w:p>
    <w:p>
      <w:pPr>
        <w:pStyle w:val="ListBullet"/>
      </w:pPr>
      <w:r>
        <w:rPr>
          <w:rFonts w:ascii="Times New Roman" w:hAnsi="Times New Roman" w:eastAsia="宋体"/>
        </w:rPr>
        <w:t>品牌记忆度</w:t>
      </w:r>
    </w:p>
    <w:p>
      <w:pPr>
        <w:pStyle w:val="ListBullet"/>
      </w:pPr>
      <w:r>
        <w:rPr>
          <w:rFonts w:ascii="Times New Roman" w:hAnsi="Times New Roman" w:eastAsia="宋体"/>
        </w:rPr>
        <w:t>负面反馈率</w:t>
      </w:r>
    </w:p>
    <w:p>
      <w:r>
        <w:rPr>
          <w:rFonts w:ascii="Times New Roman" w:hAnsi="Times New Roman" w:eastAsia="宋体"/>
        </w:rPr>
        <w:t>主要风险：</w:t>
      </w:r>
    </w:p>
    <w:p>
      <w:pPr>
        <w:pStyle w:val="ListBullet"/>
      </w:pPr>
      <w:r>
        <w:rPr>
          <w:rFonts w:ascii="Times New Roman" w:hAnsi="Times New Roman" w:eastAsia="宋体"/>
        </w:rPr>
        <w:t>形象同质化</w:t>
      </w:r>
    </w:p>
    <w:p>
      <w:pPr>
        <w:pStyle w:val="ListBullet"/>
      </w:pPr>
      <w:r>
        <w:rPr>
          <w:rFonts w:ascii="Times New Roman" w:hAnsi="Times New Roman" w:eastAsia="宋体"/>
        </w:rPr>
        <w:t>不当言论</w:t>
      </w:r>
    </w:p>
    <w:p>
      <w:pPr>
        <w:pStyle w:val="ListBullet"/>
      </w:pPr>
      <w:r>
        <w:rPr>
          <w:rFonts w:ascii="Times New Roman" w:hAnsi="Times New Roman" w:eastAsia="宋体"/>
        </w:rPr>
        <w:t>版权争议</w:t>
      </w:r>
    </w:p>
    <w:p>
      <w:pPr>
        <w:pStyle w:val="ListBullet"/>
      </w:pPr>
      <w:r>
        <w:rPr>
          <w:rFonts w:ascii="Times New Roman" w:hAnsi="Times New Roman" w:eastAsia="宋体"/>
        </w:rPr>
        <w:t>过度娱乐化削弱文化严肃性</w:t>
      </w:r>
    </w:p>
    <w:p>
      <w:pPr>
        <w:pStyle w:val="Heading3"/>
      </w:pPr>
      <w:r>
        <w:t>AI行程规划</w:t>
      </w:r>
    </w:p>
    <w:p>
      <w:r>
        <w:rPr>
          <w:rFonts w:ascii="Times New Roman" w:hAnsi="Times New Roman" w:eastAsia="宋体"/>
        </w:rPr>
        <w:t>定位：从单点推荐升级为跨景区、交通、住宿、餐饮和预算的动态组合规划。</w:t>
      </w:r>
    </w:p>
    <w:p>
      <w:r>
        <w:rPr>
          <w:rFonts w:ascii="Times New Roman" w:hAnsi="Times New Roman" w:eastAsia="宋体"/>
        </w:rPr>
        <w:t>典型场景：</w:t>
      </w:r>
    </w:p>
    <w:p>
      <w:pPr>
        <w:pStyle w:val="ListBullet"/>
      </w:pPr>
      <w:r>
        <w:rPr>
          <w:rFonts w:ascii="Times New Roman" w:hAnsi="Times New Roman" w:eastAsia="宋体"/>
        </w:rPr>
        <w:t>家庭游</w:t>
      </w:r>
    </w:p>
    <w:p>
      <w:pPr>
        <w:pStyle w:val="ListBullet"/>
      </w:pPr>
      <w:r>
        <w:rPr>
          <w:rFonts w:ascii="Times New Roman" w:hAnsi="Times New Roman" w:eastAsia="宋体"/>
        </w:rPr>
        <w:t>研学游</w:t>
      </w:r>
    </w:p>
    <w:p>
      <w:pPr>
        <w:pStyle w:val="ListBullet"/>
      </w:pPr>
      <w:r>
        <w:rPr>
          <w:rFonts w:ascii="Times New Roman" w:hAnsi="Times New Roman" w:eastAsia="宋体"/>
        </w:rPr>
        <w:t>银发游</w:t>
      </w:r>
    </w:p>
    <w:p>
      <w:pPr>
        <w:pStyle w:val="ListBullet"/>
      </w:pPr>
      <w:r>
        <w:rPr>
          <w:rFonts w:ascii="Times New Roman" w:hAnsi="Times New Roman" w:eastAsia="宋体"/>
        </w:rPr>
        <w:t>避暑游</w:t>
      </w:r>
    </w:p>
    <w:p>
      <w:pPr>
        <w:pStyle w:val="ListBullet"/>
      </w:pPr>
      <w:r>
        <w:rPr>
          <w:rFonts w:ascii="Times New Roman" w:hAnsi="Times New Roman" w:eastAsia="宋体"/>
        </w:rPr>
        <w:t>周末短途游</w:t>
      </w:r>
    </w:p>
    <w:p>
      <w:pPr>
        <w:pStyle w:val="ListBullet"/>
      </w:pPr>
      <w:r>
        <w:rPr>
          <w:rFonts w:ascii="Times New Roman" w:hAnsi="Times New Roman" w:eastAsia="宋体"/>
        </w:rPr>
        <w:t>雨天替代路线</w:t>
      </w:r>
    </w:p>
    <w:p>
      <w:r>
        <w:rPr>
          <w:rFonts w:ascii="Times New Roman" w:hAnsi="Times New Roman" w:eastAsia="宋体"/>
        </w:rPr>
        <w:t>数据与知识底座：</w:t>
      </w:r>
    </w:p>
    <w:p>
      <w:pPr>
        <w:pStyle w:val="ListBullet"/>
      </w:pPr>
      <w:r>
        <w:rPr>
          <w:rFonts w:ascii="Times New Roman" w:hAnsi="Times New Roman" w:eastAsia="宋体"/>
        </w:rPr>
        <w:t>POI库</w:t>
      </w:r>
    </w:p>
    <w:p>
      <w:pPr>
        <w:pStyle w:val="ListBullet"/>
      </w:pPr>
      <w:r>
        <w:rPr>
          <w:rFonts w:ascii="Times New Roman" w:hAnsi="Times New Roman" w:eastAsia="宋体"/>
        </w:rPr>
        <w:t>交通时刻</w:t>
      </w:r>
    </w:p>
    <w:p>
      <w:pPr>
        <w:pStyle w:val="ListBullet"/>
      </w:pPr>
      <w:r>
        <w:rPr>
          <w:rFonts w:ascii="Times New Roman" w:hAnsi="Times New Roman" w:eastAsia="宋体"/>
        </w:rPr>
        <w:t>酒店餐饮库存</w:t>
      </w:r>
    </w:p>
    <w:p>
      <w:pPr>
        <w:pStyle w:val="ListBullet"/>
      </w:pPr>
      <w:r>
        <w:rPr>
          <w:rFonts w:ascii="Times New Roman" w:hAnsi="Times New Roman" w:eastAsia="宋体"/>
        </w:rPr>
        <w:t>天气</w:t>
      </w:r>
    </w:p>
    <w:p>
      <w:pPr>
        <w:pStyle w:val="ListBullet"/>
      </w:pPr>
      <w:r>
        <w:rPr>
          <w:rFonts w:ascii="Times New Roman" w:hAnsi="Times New Roman" w:eastAsia="宋体"/>
        </w:rPr>
        <w:t>客流预测</w:t>
      </w:r>
    </w:p>
    <w:p>
      <w:pPr>
        <w:pStyle w:val="ListBullet"/>
      </w:pPr>
      <w:r>
        <w:rPr>
          <w:rFonts w:ascii="Times New Roman" w:hAnsi="Times New Roman" w:eastAsia="宋体"/>
        </w:rPr>
        <w:t>用户偏好</w:t>
      </w:r>
    </w:p>
    <w:p>
      <w:r>
        <w:rPr>
          <w:rFonts w:ascii="Times New Roman" w:hAnsi="Times New Roman" w:eastAsia="宋体"/>
        </w:rPr>
        <w:t>运营指标：</w:t>
      </w:r>
    </w:p>
    <w:p>
      <w:pPr>
        <w:pStyle w:val="ListBullet"/>
      </w:pPr>
      <w:r>
        <w:rPr>
          <w:rFonts w:ascii="Times New Roman" w:hAnsi="Times New Roman" w:eastAsia="宋体"/>
        </w:rPr>
        <w:t>方案采纳率</w:t>
      </w:r>
    </w:p>
    <w:p>
      <w:pPr>
        <w:pStyle w:val="ListBullet"/>
      </w:pPr>
      <w:r>
        <w:rPr>
          <w:rFonts w:ascii="Times New Roman" w:hAnsi="Times New Roman" w:eastAsia="宋体"/>
        </w:rPr>
        <w:t>履约率</w:t>
      </w:r>
    </w:p>
    <w:p>
      <w:pPr>
        <w:pStyle w:val="ListBullet"/>
      </w:pPr>
      <w:r>
        <w:rPr>
          <w:rFonts w:ascii="Times New Roman" w:hAnsi="Times New Roman" w:eastAsia="宋体"/>
        </w:rPr>
        <w:t>预算匹配度</w:t>
      </w:r>
    </w:p>
    <w:p>
      <w:pPr>
        <w:pStyle w:val="ListBullet"/>
      </w:pPr>
      <w:r>
        <w:rPr>
          <w:rFonts w:ascii="Times New Roman" w:hAnsi="Times New Roman" w:eastAsia="宋体"/>
        </w:rPr>
        <w:t>拥堵避让效果</w:t>
      </w:r>
    </w:p>
    <w:p>
      <w:pPr>
        <w:pStyle w:val="ListBullet"/>
      </w:pPr>
      <w:r>
        <w:rPr>
          <w:rFonts w:ascii="Times New Roman" w:hAnsi="Times New Roman" w:eastAsia="宋体"/>
        </w:rPr>
        <w:t>订单转化率</w:t>
      </w:r>
    </w:p>
    <w:p>
      <w:r>
        <w:rPr>
          <w:rFonts w:ascii="Times New Roman" w:hAnsi="Times New Roman" w:eastAsia="宋体"/>
        </w:rPr>
        <w:t>主要风险：</w:t>
      </w:r>
    </w:p>
    <w:p>
      <w:pPr>
        <w:pStyle w:val="ListBullet"/>
      </w:pPr>
      <w:r>
        <w:rPr>
          <w:rFonts w:ascii="Times New Roman" w:hAnsi="Times New Roman" w:eastAsia="宋体"/>
        </w:rPr>
        <w:t>推荐偏向付费资源</w:t>
      </w:r>
    </w:p>
    <w:p>
      <w:pPr>
        <w:pStyle w:val="ListBullet"/>
      </w:pPr>
      <w:r>
        <w:rPr>
          <w:rFonts w:ascii="Times New Roman" w:hAnsi="Times New Roman" w:eastAsia="宋体"/>
        </w:rPr>
        <w:t>忽视安全和体力差异</w:t>
      </w:r>
    </w:p>
    <w:p>
      <w:pPr>
        <w:pStyle w:val="ListBullet"/>
      </w:pPr>
      <w:r>
        <w:rPr>
          <w:rFonts w:ascii="Times New Roman" w:hAnsi="Times New Roman" w:eastAsia="宋体"/>
        </w:rPr>
        <w:t>交通衔接不真实</w:t>
      </w:r>
    </w:p>
    <w:p>
      <w:pPr>
        <w:pStyle w:val="ListBullet"/>
      </w:pPr>
      <w:r>
        <w:rPr>
          <w:rFonts w:ascii="Times New Roman" w:hAnsi="Times New Roman" w:eastAsia="宋体"/>
        </w:rPr>
        <w:t>临时闭园未同步</w:t>
      </w:r>
    </w:p>
    <w:p>
      <w:pPr>
        <w:pStyle w:val="Heading3"/>
      </w:pPr>
      <w:r>
        <w:t>AI叙事策划师</w:t>
      </w:r>
    </w:p>
    <w:p>
      <w:r>
        <w:rPr>
          <w:rFonts w:ascii="Times New Roman" w:hAnsi="Times New Roman" w:eastAsia="宋体"/>
        </w:rPr>
        <w:t>定位：把地方文化、景观资源和活动目标转译为可体验、可传播、可运营的故事线。</w:t>
      </w:r>
    </w:p>
    <w:p>
      <w:r>
        <w:rPr>
          <w:rFonts w:ascii="Times New Roman" w:hAnsi="Times New Roman" w:eastAsia="宋体"/>
        </w:rPr>
        <w:t>典型场景：</w:t>
      </w:r>
    </w:p>
    <w:p>
      <w:pPr>
        <w:pStyle w:val="ListBullet"/>
      </w:pPr>
      <w:r>
        <w:rPr>
          <w:rFonts w:ascii="Times New Roman" w:hAnsi="Times New Roman" w:eastAsia="宋体"/>
        </w:rPr>
        <w:t>沉浸式夜游</w:t>
      </w:r>
    </w:p>
    <w:p>
      <w:pPr>
        <w:pStyle w:val="ListBullet"/>
      </w:pPr>
      <w:r>
        <w:rPr>
          <w:rFonts w:ascii="Times New Roman" w:hAnsi="Times New Roman" w:eastAsia="宋体"/>
        </w:rPr>
        <w:t>非遗体验</w:t>
      </w:r>
    </w:p>
    <w:p>
      <w:pPr>
        <w:pStyle w:val="ListBullet"/>
      </w:pPr>
      <w:r>
        <w:rPr>
          <w:rFonts w:ascii="Times New Roman" w:hAnsi="Times New Roman" w:eastAsia="宋体"/>
        </w:rPr>
        <w:t>城市漫游</w:t>
      </w:r>
    </w:p>
    <w:p>
      <w:pPr>
        <w:pStyle w:val="ListBullet"/>
      </w:pPr>
      <w:r>
        <w:rPr>
          <w:rFonts w:ascii="Times New Roman" w:hAnsi="Times New Roman" w:eastAsia="宋体"/>
        </w:rPr>
        <w:t>短视频脚本</w:t>
      </w:r>
    </w:p>
    <w:p>
      <w:pPr>
        <w:pStyle w:val="ListBullet"/>
      </w:pPr>
      <w:r>
        <w:rPr>
          <w:rFonts w:ascii="Times New Roman" w:hAnsi="Times New Roman" w:eastAsia="宋体"/>
        </w:rPr>
        <w:t>主题节事</w:t>
      </w:r>
    </w:p>
    <w:p>
      <w:pPr>
        <w:pStyle w:val="ListBullet"/>
      </w:pPr>
      <w:r>
        <w:rPr>
          <w:rFonts w:ascii="Times New Roman" w:hAnsi="Times New Roman" w:eastAsia="宋体"/>
        </w:rPr>
        <w:t>研学任务</w:t>
      </w:r>
    </w:p>
    <w:p>
      <w:r>
        <w:rPr>
          <w:rFonts w:ascii="Times New Roman" w:hAnsi="Times New Roman" w:eastAsia="宋体"/>
        </w:rPr>
        <w:t>数据与知识底座：</w:t>
      </w:r>
    </w:p>
    <w:p>
      <w:pPr>
        <w:pStyle w:val="ListBullet"/>
      </w:pPr>
      <w:r>
        <w:rPr>
          <w:rFonts w:ascii="Times New Roman" w:hAnsi="Times New Roman" w:eastAsia="宋体"/>
        </w:rPr>
        <w:t>地方志与文化资料</w:t>
      </w:r>
    </w:p>
    <w:p>
      <w:pPr>
        <w:pStyle w:val="ListBullet"/>
      </w:pPr>
      <w:r>
        <w:rPr>
          <w:rFonts w:ascii="Times New Roman" w:hAnsi="Times New Roman" w:eastAsia="宋体"/>
        </w:rPr>
        <w:t>授权影像</w:t>
      </w:r>
    </w:p>
    <w:p>
      <w:pPr>
        <w:pStyle w:val="ListBullet"/>
      </w:pPr>
      <w:r>
        <w:rPr>
          <w:rFonts w:ascii="Times New Roman" w:hAnsi="Times New Roman" w:eastAsia="宋体"/>
        </w:rPr>
        <w:t>用户画像</w:t>
      </w:r>
    </w:p>
    <w:p>
      <w:pPr>
        <w:pStyle w:val="ListBullet"/>
      </w:pPr>
      <w:r>
        <w:rPr>
          <w:rFonts w:ascii="Times New Roman" w:hAnsi="Times New Roman" w:eastAsia="宋体"/>
        </w:rPr>
        <w:t>社媒热点</w:t>
      </w:r>
    </w:p>
    <w:p>
      <w:pPr>
        <w:pStyle w:val="ListBullet"/>
      </w:pPr>
      <w:r>
        <w:rPr>
          <w:rFonts w:ascii="Times New Roman" w:hAnsi="Times New Roman" w:eastAsia="宋体"/>
        </w:rPr>
        <w:t>活动运营数据</w:t>
      </w:r>
    </w:p>
    <w:p>
      <w:r>
        <w:rPr>
          <w:rFonts w:ascii="Times New Roman" w:hAnsi="Times New Roman" w:eastAsia="宋体"/>
        </w:rPr>
        <w:t>运营指标：</w:t>
      </w:r>
    </w:p>
    <w:p>
      <w:pPr>
        <w:pStyle w:val="ListBullet"/>
      </w:pPr>
      <w:r>
        <w:rPr>
          <w:rFonts w:ascii="Times New Roman" w:hAnsi="Times New Roman" w:eastAsia="宋体"/>
        </w:rPr>
        <w:t>内容生产效率</w:t>
      </w:r>
    </w:p>
    <w:p>
      <w:pPr>
        <w:pStyle w:val="ListBullet"/>
      </w:pPr>
      <w:r>
        <w:rPr>
          <w:rFonts w:ascii="Times New Roman" w:hAnsi="Times New Roman" w:eastAsia="宋体"/>
        </w:rPr>
        <w:t>游客参与率</w:t>
      </w:r>
    </w:p>
    <w:p>
      <w:pPr>
        <w:pStyle w:val="ListBullet"/>
      </w:pPr>
      <w:r>
        <w:rPr>
          <w:rFonts w:ascii="Times New Roman" w:hAnsi="Times New Roman" w:eastAsia="宋体"/>
        </w:rPr>
        <w:t>UGC数量</w:t>
      </w:r>
    </w:p>
    <w:p>
      <w:pPr>
        <w:pStyle w:val="ListBullet"/>
      </w:pPr>
      <w:r>
        <w:rPr>
          <w:rFonts w:ascii="Times New Roman" w:hAnsi="Times New Roman" w:eastAsia="宋体"/>
        </w:rPr>
        <w:t>文化准确性审核通过率</w:t>
      </w:r>
    </w:p>
    <w:p>
      <w:pPr>
        <w:pStyle w:val="ListBullet"/>
      </w:pPr>
      <w:r>
        <w:rPr>
          <w:rFonts w:ascii="Times New Roman" w:hAnsi="Times New Roman" w:eastAsia="宋体"/>
        </w:rPr>
        <w:t>活动复购率</w:t>
      </w:r>
    </w:p>
    <w:p>
      <w:r>
        <w:rPr>
          <w:rFonts w:ascii="Times New Roman" w:hAnsi="Times New Roman" w:eastAsia="宋体"/>
        </w:rPr>
        <w:t>主要风险：</w:t>
      </w:r>
    </w:p>
    <w:p>
      <w:pPr>
        <w:pStyle w:val="ListBullet"/>
      </w:pPr>
      <w:r>
        <w:rPr>
          <w:rFonts w:ascii="Times New Roman" w:hAnsi="Times New Roman" w:eastAsia="宋体"/>
        </w:rPr>
        <w:t>文化挪用</w:t>
      </w:r>
    </w:p>
    <w:p>
      <w:pPr>
        <w:pStyle w:val="ListBullet"/>
      </w:pPr>
      <w:r>
        <w:rPr>
          <w:rFonts w:ascii="Times New Roman" w:hAnsi="Times New Roman" w:eastAsia="宋体"/>
        </w:rPr>
        <w:t>历史戏说过度</w:t>
      </w:r>
    </w:p>
    <w:p>
      <w:pPr>
        <w:pStyle w:val="ListBullet"/>
      </w:pPr>
      <w:r>
        <w:rPr>
          <w:rFonts w:ascii="Times New Roman" w:hAnsi="Times New Roman" w:eastAsia="宋体"/>
        </w:rPr>
        <w:t>生成内容雷同</w:t>
      </w:r>
    </w:p>
    <w:p>
      <w:pPr>
        <w:pStyle w:val="ListBullet"/>
      </w:pPr>
      <w:r>
        <w:rPr>
          <w:rFonts w:ascii="Times New Roman" w:hAnsi="Times New Roman" w:eastAsia="宋体"/>
        </w:rPr>
        <w:t>版权来源不清</w:t>
      </w:r>
    </w:p>
    <w:p>
      <w:pPr>
        <w:pStyle w:val="Heading3"/>
      </w:pPr>
      <w:r>
        <w:t>AI助手</w:t>
      </w:r>
    </w:p>
    <w:p>
      <w:r>
        <w:rPr>
          <w:rFonts w:ascii="Times New Roman" w:hAnsi="Times New Roman" w:eastAsia="宋体"/>
        </w:rPr>
        <w:t>定位：服务内部管理者，将分散的信息处理、报表、排班、培训和现场协同纳入工作流。</w:t>
      </w:r>
    </w:p>
    <w:p>
      <w:r>
        <w:rPr>
          <w:rFonts w:ascii="Times New Roman" w:hAnsi="Times New Roman" w:eastAsia="宋体"/>
        </w:rPr>
        <w:t>典型场景：</w:t>
      </w:r>
    </w:p>
    <w:p>
      <w:pPr>
        <w:pStyle w:val="ListBullet"/>
      </w:pPr>
      <w:r>
        <w:rPr>
          <w:rFonts w:ascii="Times New Roman" w:hAnsi="Times New Roman" w:eastAsia="宋体"/>
        </w:rPr>
        <w:t>晨会简报</w:t>
      </w:r>
    </w:p>
    <w:p>
      <w:pPr>
        <w:pStyle w:val="ListBullet"/>
      </w:pPr>
      <w:r>
        <w:rPr>
          <w:rFonts w:ascii="Times New Roman" w:hAnsi="Times New Roman" w:eastAsia="宋体"/>
        </w:rPr>
        <w:t>值班交接</w:t>
      </w:r>
    </w:p>
    <w:p>
      <w:pPr>
        <w:pStyle w:val="ListBullet"/>
      </w:pPr>
      <w:r>
        <w:rPr>
          <w:rFonts w:ascii="Times New Roman" w:hAnsi="Times New Roman" w:eastAsia="宋体"/>
        </w:rPr>
        <w:t>排班</w:t>
      </w:r>
    </w:p>
    <w:p>
      <w:pPr>
        <w:pStyle w:val="ListBullet"/>
      </w:pPr>
      <w:r>
        <w:rPr>
          <w:rFonts w:ascii="Times New Roman" w:hAnsi="Times New Roman" w:eastAsia="宋体"/>
        </w:rPr>
        <w:t>采购</w:t>
      </w:r>
    </w:p>
    <w:p>
      <w:pPr>
        <w:pStyle w:val="ListBullet"/>
      </w:pPr>
      <w:r>
        <w:rPr>
          <w:rFonts w:ascii="Times New Roman" w:hAnsi="Times New Roman" w:eastAsia="宋体"/>
        </w:rPr>
        <w:t>合同材料</w:t>
      </w:r>
    </w:p>
    <w:p>
      <w:pPr>
        <w:pStyle w:val="ListBullet"/>
      </w:pPr>
      <w:r>
        <w:rPr>
          <w:rFonts w:ascii="Times New Roman" w:hAnsi="Times New Roman" w:eastAsia="宋体"/>
        </w:rPr>
        <w:t>培训问答</w:t>
      </w:r>
    </w:p>
    <w:p>
      <w:pPr>
        <w:pStyle w:val="ListBullet"/>
      </w:pPr>
      <w:r>
        <w:rPr>
          <w:rFonts w:ascii="Times New Roman" w:hAnsi="Times New Roman" w:eastAsia="宋体"/>
        </w:rPr>
        <w:t>经营日报</w:t>
      </w:r>
    </w:p>
    <w:p>
      <w:r>
        <w:rPr>
          <w:rFonts w:ascii="Times New Roman" w:hAnsi="Times New Roman" w:eastAsia="宋体"/>
        </w:rPr>
        <w:t>数据与知识底座：</w:t>
      </w:r>
    </w:p>
    <w:p>
      <w:pPr>
        <w:pStyle w:val="ListBullet"/>
      </w:pPr>
      <w:r>
        <w:rPr>
          <w:rFonts w:ascii="Times New Roman" w:hAnsi="Times New Roman" w:eastAsia="宋体"/>
        </w:rPr>
        <w:t>OA系统</w:t>
      </w:r>
    </w:p>
    <w:p>
      <w:pPr>
        <w:pStyle w:val="ListBullet"/>
      </w:pPr>
      <w:r>
        <w:rPr>
          <w:rFonts w:ascii="Times New Roman" w:hAnsi="Times New Roman" w:eastAsia="宋体"/>
        </w:rPr>
        <w:t>HR排班</w:t>
      </w:r>
    </w:p>
    <w:p>
      <w:pPr>
        <w:pStyle w:val="ListBullet"/>
      </w:pPr>
      <w:r>
        <w:rPr>
          <w:rFonts w:ascii="Times New Roman" w:hAnsi="Times New Roman" w:eastAsia="宋体"/>
        </w:rPr>
        <w:t>经营数据</w:t>
      </w:r>
    </w:p>
    <w:p>
      <w:pPr>
        <w:pStyle w:val="ListBullet"/>
      </w:pPr>
      <w:r>
        <w:rPr>
          <w:rFonts w:ascii="Times New Roman" w:hAnsi="Times New Roman" w:eastAsia="宋体"/>
        </w:rPr>
        <w:t>设备台账</w:t>
      </w:r>
    </w:p>
    <w:p>
      <w:pPr>
        <w:pStyle w:val="ListBullet"/>
      </w:pPr>
      <w:r>
        <w:rPr>
          <w:rFonts w:ascii="Times New Roman" w:hAnsi="Times New Roman" w:eastAsia="宋体"/>
        </w:rPr>
        <w:t>制度文件</w:t>
      </w:r>
    </w:p>
    <w:p>
      <w:pPr>
        <w:pStyle w:val="ListBullet"/>
      </w:pPr>
      <w:r>
        <w:rPr>
          <w:rFonts w:ascii="Times New Roman" w:hAnsi="Times New Roman" w:eastAsia="宋体"/>
        </w:rPr>
        <w:t>会议纪要</w:t>
      </w:r>
    </w:p>
    <w:p>
      <w:r>
        <w:rPr>
          <w:rFonts w:ascii="Times New Roman" w:hAnsi="Times New Roman" w:eastAsia="宋体"/>
        </w:rPr>
        <w:t>运营指标：</w:t>
      </w:r>
    </w:p>
    <w:p>
      <w:pPr>
        <w:pStyle w:val="ListBullet"/>
      </w:pPr>
      <w:r>
        <w:rPr>
          <w:rFonts w:ascii="Times New Roman" w:hAnsi="Times New Roman" w:eastAsia="宋体"/>
        </w:rPr>
        <w:t>材料生成时长</w:t>
      </w:r>
    </w:p>
    <w:p>
      <w:pPr>
        <w:pStyle w:val="ListBullet"/>
      </w:pPr>
      <w:r>
        <w:rPr>
          <w:rFonts w:ascii="Times New Roman" w:hAnsi="Times New Roman" w:eastAsia="宋体"/>
        </w:rPr>
        <w:t>事项闭环率</w:t>
      </w:r>
    </w:p>
    <w:p>
      <w:pPr>
        <w:pStyle w:val="ListBullet"/>
      </w:pPr>
      <w:r>
        <w:rPr>
          <w:rFonts w:ascii="Times New Roman" w:hAnsi="Times New Roman" w:eastAsia="宋体"/>
        </w:rPr>
        <w:t>错误率</w:t>
      </w:r>
    </w:p>
    <w:p>
      <w:pPr>
        <w:pStyle w:val="ListBullet"/>
      </w:pPr>
      <w:r>
        <w:rPr>
          <w:rFonts w:ascii="Times New Roman" w:hAnsi="Times New Roman" w:eastAsia="宋体"/>
        </w:rPr>
        <w:t>员工采纳率</w:t>
      </w:r>
    </w:p>
    <w:p>
      <w:pPr>
        <w:pStyle w:val="ListBullet"/>
      </w:pPr>
      <w:r>
        <w:rPr>
          <w:rFonts w:ascii="Times New Roman" w:hAnsi="Times New Roman" w:eastAsia="宋体"/>
        </w:rPr>
        <w:t>跨部门协同效率</w:t>
      </w:r>
    </w:p>
    <w:p>
      <w:r>
        <w:rPr>
          <w:rFonts w:ascii="Times New Roman" w:hAnsi="Times New Roman" w:eastAsia="宋体"/>
        </w:rPr>
        <w:t>主要风险：</w:t>
      </w:r>
    </w:p>
    <w:p>
      <w:pPr>
        <w:pStyle w:val="ListBullet"/>
      </w:pPr>
      <w:r>
        <w:rPr>
          <w:rFonts w:ascii="Times New Roman" w:hAnsi="Times New Roman" w:eastAsia="宋体"/>
        </w:rPr>
        <w:t>内部数据泄露</w:t>
      </w:r>
    </w:p>
    <w:p>
      <w:pPr>
        <w:pStyle w:val="ListBullet"/>
      </w:pPr>
      <w:r>
        <w:rPr>
          <w:rFonts w:ascii="Times New Roman" w:hAnsi="Times New Roman" w:eastAsia="宋体"/>
        </w:rPr>
        <w:t>责任边界不清</w:t>
      </w:r>
    </w:p>
    <w:p>
      <w:pPr>
        <w:pStyle w:val="ListBullet"/>
      </w:pPr>
      <w:r>
        <w:rPr>
          <w:rFonts w:ascii="Times New Roman" w:hAnsi="Times New Roman" w:eastAsia="宋体"/>
        </w:rPr>
        <w:t>员工依赖</w:t>
      </w:r>
    </w:p>
    <w:p>
      <w:pPr>
        <w:pStyle w:val="ListBullet"/>
      </w:pPr>
      <w:r>
        <w:rPr>
          <w:rFonts w:ascii="Times New Roman" w:hAnsi="Times New Roman" w:eastAsia="宋体"/>
        </w:rPr>
        <w:t>流程不规范被放大</w:t>
      </w:r>
    </w:p>
    <w:p>
      <w:pPr>
        <w:pStyle w:val="Heading3"/>
      </w:pPr>
      <w:r>
        <w:t>AI推荐师</w:t>
      </w:r>
    </w:p>
    <w:p>
      <w:r>
        <w:rPr>
          <w:rFonts w:ascii="Times New Roman" w:hAnsi="Times New Roman" w:eastAsia="宋体"/>
        </w:rPr>
        <w:t>定位：根据游客意图、场景约束和目的地资源供给，提供透明、可解释的个性化推荐。</w:t>
      </w:r>
    </w:p>
    <w:p>
      <w:r>
        <w:rPr>
          <w:rFonts w:ascii="Times New Roman" w:hAnsi="Times New Roman" w:eastAsia="宋体"/>
        </w:rPr>
        <w:t>典型场景：</w:t>
      </w:r>
    </w:p>
    <w:p>
      <w:pPr>
        <w:pStyle w:val="ListBullet"/>
      </w:pPr>
      <w:r>
        <w:rPr>
          <w:rFonts w:ascii="Times New Roman" w:hAnsi="Times New Roman" w:eastAsia="宋体"/>
        </w:rPr>
        <w:t>景点推荐</w:t>
      </w:r>
    </w:p>
    <w:p>
      <w:pPr>
        <w:pStyle w:val="ListBullet"/>
      </w:pPr>
      <w:r>
        <w:rPr>
          <w:rFonts w:ascii="Times New Roman" w:hAnsi="Times New Roman" w:eastAsia="宋体"/>
        </w:rPr>
        <w:t>文创推荐</w:t>
      </w:r>
    </w:p>
    <w:p>
      <w:pPr>
        <w:pStyle w:val="ListBullet"/>
      </w:pPr>
      <w:r>
        <w:rPr>
          <w:rFonts w:ascii="Times New Roman" w:hAnsi="Times New Roman" w:eastAsia="宋体"/>
        </w:rPr>
        <w:t>演艺推荐</w:t>
      </w:r>
    </w:p>
    <w:p>
      <w:pPr>
        <w:pStyle w:val="ListBullet"/>
      </w:pPr>
      <w:r>
        <w:rPr>
          <w:rFonts w:ascii="Times New Roman" w:hAnsi="Times New Roman" w:eastAsia="宋体"/>
        </w:rPr>
        <w:t>餐饮住宿推荐</w:t>
      </w:r>
    </w:p>
    <w:p>
      <w:pPr>
        <w:pStyle w:val="ListBullet"/>
      </w:pPr>
      <w:r>
        <w:rPr>
          <w:rFonts w:ascii="Times New Roman" w:hAnsi="Times New Roman" w:eastAsia="宋体"/>
        </w:rPr>
        <w:t>淡季产品推荐</w:t>
      </w:r>
    </w:p>
    <w:p>
      <w:r>
        <w:rPr>
          <w:rFonts w:ascii="Times New Roman" w:hAnsi="Times New Roman" w:eastAsia="宋体"/>
        </w:rPr>
        <w:t>数据与知识底座：</w:t>
      </w:r>
    </w:p>
    <w:p>
      <w:pPr>
        <w:pStyle w:val="ListBullet"/>
      </w:pPr>
      <w:r>
        <w:rPr>
          <w:rFonts w:ascii="Times New Roman" w:hAnsi="Times New Roman" w:eastAsia="宋体"/>
        </w:rPr>
        <w:t>用户画像</w:t>
      </w:r>
    </w:p>
    <w:p>
      <w:pPr>
        <w:pStyle w:val="ListBullet"/>
      </w:pPr>
      <w:r>
        <w:rPr>
          <w:rFonts w:ascii="Times New Roman" w:hAnsi="Times New Roman" w:eastAsia="宋体"/>
        </w:rPr>
        <w:t>消费记录</w:t>
      </w:r>
    </w:p>
    <w:p>
      <w:pPr>
        <w:pStyle w:val="ListBullet"/>
      </w:pPr>
      <w:r>
        <w:rPr>
          <w:rFonts w:ascii="Times New Roman" w:hAnsi="Times New Roman" w:eastAsia="宋体"/>
        </w:rPr>
        <w:t>资源库存</w:t>
      </w:r>
    </w:p>
    <w:p>
      <w:pPr>
        <w:pStyle w:val="ListBullet"/>
      </w:pPr>
      <w:r>
        <w:rPr>
          <w:rFonts w:ascii="Times New Roman" w:hAnsi="Times New Roman" w:eastAsia="宋体"/>
        </w:rPr>
        <w:t>评价文本</w:t>
      </w:r>
    </w:p>
    <w:p>
      <w:pPr>
        <w:pStyle w:val="ListBullet"/>
      </w:pPr>
      <w:r>
        <w:rPr>
          <w:rFonts w:ascii="Times New Roman" w:hAnsi="Times New Roman" w:eastAsia="宋体"/>
        </w:rPr>
        <w:t>会员权益</w:t>
      </w:r>
    </w:p>
    <w:p>
      <w:pPr>
        <w:pStyle w:val="ListBullet"/>
      </w:pPr>
      <w:r>
        <w:rPr>
          <w:rFonts w:ascii="Times New Roman" w:hAnsi="Times New Roman" w:eastAsia="宋体"/>
        </w:rPr>
        <w:t>实时客流</w:t>
      </w:r>
    </w:p>
    <w:p>
      <w:r>
        <w:rPr>
          <w:rFonts w:ascii="Times New Roman" w:hAnsi="Times New Roman" w:eastAsia="宋体"/>
        </w:rPr>
        <w:t>运营指标：</w:t>
      </w:r>
    </w:p>
    <w:p>
      <w:pPr>
        <w:pStyle w:val="ListBullet"/>
      </w:pPr>
      <w:r>
        <w:rPr>
          <w:rFonts w:ascii="Times New Roman" w:hAnsi="Times New Roman" w:eastAsia="宋体"/>
        </w:rPr>
        <w:t>点击率</w:t>
      </w:r>
    </w:p>
    <w:p>
      <w:pPr>
        <w:pStyle w:val="ListBullet"/>
      </w:pPr>
      <w:r>
        <w:rPr>
          <w:rFonts w:ascii="Times New Roman" w:hAnsi="Times New Roman" w:eastAsia="宋体"/>
        </w:rPr>
        <w:t>转化率</w:t>
      </w:r>
    </w:p>
    <w:p>
      <w:pPr>
        <w:pStyle w:val="ListBullet"/>
      </w:pPr>
      <w:r>
        <w:rPr>
          <w:rFonts w:ascii="Times New Roman" w:hAnsi="Times New Roman" w:eastAsia="宋体"/>
        </w:rPr>
        <w:t>客单价</w:t>
      </w:r>
    </w:p>
    <w:p>
      <w:pPr>
        <w:pStyle w:val="ListBullet"/>
      </w:pPr>
      <w:r>
        <w:rPr>
          <w:rFonts w:ascii="Times New Roman" w:hAnsi="Times New Roman" w:eastAsia="宋体"/>
        </w:rPr>
        <w:t>复购率</w:t>
      </w:r>
    </w:p>
    <w:p>
      <w:pPr>
        <w:pStyle w:val="ListBullet"/>
      </w:pPr>
      <w:r>
        <w:rPr>
          <w:rFonts w:ascii="Times New Roman" w:hAnsi="Times New Roman" w:eastAsia="宋体"/>
        </w:rPr>
        <w:t>推荐满意度</w:t>
      </w:r>
    </w:p>
    <w:p>
      <w:pPr>
        <w:pStyle w:val="ListBullet"/>
      </w:pPr>
      <w:r>
        <w:rPr>
          <w:rFonts w:ascii="Times New Roman" w:hAnsi="Times New Roman" w:eastAsia="宋体"/>
        </w:rPr>
        <w:t>长尾资源曝光</w:t>
      </w:r>
    </w:p>
    <w:p>
      <w:r>
        <w:rPr>
          <w:rFonts w:ascii="Times New Roman" w:hAnsi="Times New Roman" w:eastAsia="宋体"/>
        </w:rPr>
        <w:t>主要风险：</w:t>
      </w:r>
    </w:p>
    <w:p>
      <w:pPr>
        <w:pStyle w:val="ListBullet"/>
      </w:pPr>
      <w:r>
        <w:rPr>
          <w:rFonts w:ascii="Times New Roman" w:hAnsi="Times New Roman" w:eastAsia="宋体"/>
        </w:rPr>
        <w:t>过滤气泡</w:t>
      </w:r>
    </w:p>
    <w:p>
      <w:pPr>
        <w:pStyle w:val="ListBullet"/>
      </w:pPr>
      <w:r>
        <w:rPr>
          <w:rFonts w:ascii="Times New Roman" w:hAnsi="Times New Roman" w:eastAsia="宋体"/>
        </w:rPr>
        <w:t>商业偏置</w:t>
      </w:r>
    </w:p>
    <w:p>
      <w:pPr>
        <w:pStyle w:val="ListBullet"/>
      </w:pPr>
      <w:r>
        <w:rPr>
          <w:rFonts w:ascii="Times New Roman" w:hAnsi="Times New Roman" w:eastAsia="宋体"/>
        </w:rPr>
        <w:t>价格歧视争议</w:t>
      </w:r>
    </w:p>
    <w:p>
      <w:pPr>
        <w:pStyle w:val="ListBullet"/>
      </w:pPr>
      <w:r>
        <w:rPr>
          <w:rFonts w:ascii="Times New Roman" w:hAnsi="Times New Roman" w:eastAsia="宋体"/>
        </w:rPr>
        <w:t>弱势群体服务不足</w:t>
      </w:r>
    </w:p>
    <w:p>
      <w:pPr>
        <w:pStyle w:val="Heading2"/>
      </w:pPr>
      <w:r>
        <w:t>章节目录</w:t>
      </w:r>
    </w:p>
    <w:p>
      <w:pPr>
        <w:pStyle w:val="ListNumber"/>
      </w:pPr>
      <w:r>
        <w:rPr>
          <w:rFonts w:ascii="Times New Roman" w:hAnsi="Times New Roman" w:eastAsia="宋体"/>
        </w:rPr>
        <w:t>导论：AI文旅场景化与智能体管理命题：为什么文旅行业不能只把AI当成问答工具，而要把智能体作为服务、运营和治理的新型组织能力？</w:t>
      </w:r>
    </w:p>
    <w:p>
      <w:pPr>
        <w:pStyle w:val="ListNumber"/>
      </w:pPr>
      <w:r>
        <w:rPr>
          <w:rFonts w:ascii="Times New Roman" w:hAnsi="Times New Roman" w:eastAsia="宋体"/>
        </w:rPr>
        <w:t>文旅智能体的概念体系与能力结构：一个文旅智能体应由哪些能力模块构成，怎样避免把智能体误解为一个会说话的界面？</w:t>
      </w:r>
    </w:p>
    <w:p>
      <w:pPr>
        <w:pStyle w:val="ListNumber"/>
      </w:pPr>
      <w:r>
        <w:rPr>
          <w:rFonts w:ascii="Times New Roman" w:hAnsi="Times New Roman" w:eastAsia="宋体"/>
        </w:rPr>
        <w:t>全生命周期设计：从需求识别到退役替换：如何把智能体建设从一次性项目变成可持续运营的生命周期管理？</w:t>
      </w:r>
    </w:p>
    <w:p>
      <w:pPr>
        <w:pStyle w:val="ListNumber"/>
      </w:pPr>
      <w:r>
        <w:rPr>
          <w:rFonts w:ascii="Times New Roman" w:hAnsi="Times New Roman" w:eastAsia="宋体"/>
        </w:rPr>
        <w:t>多主体矩阵：游客、运营管理者、政府与第三方：同一个智能体系统如何同时服务游客体验、企业运营、政府治理和生态协同？</w:t>
      </w:r>
    </w:p>
    <w:p>
      <w:pPr>
        <w:pStyle w:val="ListNumber"/>
      </w:pPr>
      <w:r>
        <w:rPr>
          <w:rFonts w:ascii="Times New Roman" w:hAnsi="Times New Roman" w:eastAsia="宋体"/>
        </w:rPr>
        <w:t>AI客服：从问答窗口到服务闭环：AI客服如何从简单答疑升级为文旅服务质量管理工具？</w:t>
      </w:r>
    </w:p>
    <w:p>
      <w:pPr>
        <w:pStyle w:val="ListNumber"/>
      </w:pPr>
      <w:r>
        <w:rPr>
          <w:rFonts w:ascii="Times New Roman" w:hAnsi="Times New Roman" w:eastAsia="宋体"/>
        </w:rPr>
        <w:t>AI导览与AI数字人：在场体验、文化解释与品牌人格：AI导览和AI数字人怎样提升游客体验，同时避免文化表达失真和过度娱乐化？</w:t>
      </w:r>
    </w:p>
    <w:p>
      <w:pPr>
        <w:pStyle w:val="ListNumber"/>
      </w:pPr>
      <w:r>
        <w:rPr>
          <w:rFonts w:ascii="Times New Roman" w:hAnsi="Times New Roman" w:eastAsia="宋体"/>
        </w:rPr>
        <w:t>AI个性化推荐智能体：游客画像、场景匹配与价值转化：如何让AI个性化推荐智能体既理解游客，又服务目的地运营、公共治理和生态协同？</w:t>
      </w:r>
    </w:p>
    <w:p>
      <w:pPr>
        <w:pStyle w:val="ListNumber"/>
      </w:pPr>
      <w:r>
        <w:rPr>
          <w:rFonts w:ascii="Times New Roman" w:hAnsi="Times New Roman" w:eastAsia="宋体"/>
        </w:rPr>
        <w:t>AI叙事策划师：从内容生产到体验编排：AI叙事策划师如何把文化资源转化为可参与、可传播、可复购的文旅体验？</w:t>
      </w:r>
    </w:p>
    <w:p>
      <w:pPr>
        <w:pStyle w:val="ListNumber"/>
      </w:pPr>
      <w:r>
        <w:rPr>
          <w:rFonts w:ascii="Times New Roman" w:hAnsi="Times New Roman" w:eastAsia="宋体"/>
        </w:rPr>
        <w:t>AI助手与运营智能体：组织流程、人效提升与管理驾驶舱：智能体如何进入文旅企业内部管理，而不是停留在游客前台服务？</w:t>
      </w:r>
    </w:p>
    <w:p>
      <w:pPr>
        <w:pStyle w:val="ListNumber"/>
      </w:pPr>
      <w:r>
        <w:rPr>
          <w:rFonts w:ascii="Times New Roman" w:hAnsi="Times New Roman" w:eastAsia="宋体"/>
        </w:rPr>
        <w:t>数据、知识库与工具链：智能体运营的底座工程：为什么智能体效果常常不是模型问题，而是知识、数据和工具链问题？</w:t>
      </w:r>
    </w:p>
    <w:p>
      <w:pPr>
        <w:pStyle w:val="ListNumber"/>
      </w:pPr>
      <w:r>
        <w:rPr>
          <w:rFonts w:ascii="Times New Roman" w:hAnsi="Times New Roman" w:eastAsia="宋体"/>
        </w:rPr>
        <w:t>安全、伦理与治理：从幻觉控制到责任体系：文旅智能体如何在开放交互中守住安全、合规和文化边界？</w:t>
      </w:r>
    </w:p>
    <w:p>
      <w:pPr>
        <w:pStyle w:val="ListNumber"/>
      </w:pPr>
      <w:r>
        <w:rPr>
          <w:rFonts w:ascii="Times New Roman" w:hAnsi="Times New Roman" w:eastAsia="宋体"/>
        </w:rPr>
        <w:t>推荐智能体评价、迭代与商业模式：从点击转化到目的地价值：如何判断AI个性化推荐智能体是否真正创造文旅价值，而不是只提高点击率？</w:t>
      </w:r>
    </w:p>
    <w:p>
      <w:pPr>
        <w:pStyle w:val="Heading1"/>
      </w:pPr>
      <w:r>
        <w:t>第1章 导论：AI文旅场景化与智能体管理命题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为什么文旅行业不能只把AI当成问答工具，而要把智能体作为服务、运营和治理的新型组织能力？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文旅服务具有强体验性、强时空性、强情绪性和强协同性。游客的一个问题，往往同时牵连信息查询、交通衔接、票务库存、文化解释、风险提示和消费决策。智能体的价值不在于替代一个网页入口，而在于把意图理解、知识调用、工具执行和反馈学习连接为可管理的服务流程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AI文旅的本质是把游客旅程、运营流程和公共治理流程重新组织为人机协同过程。</w:t>
      </w:r>
    </w:p>
    <w:p>
      <w:r>
        <w:rPr>
          <w:rFonts w:ascii="Times New Roman" w:hAnsi="Times New Roman" w:eastAsia="宋体"/>
        </w:rPr>
        <w:t>场景化要求从具体问题出发：游客迷路、排队拥堵、讲解不足、投诉积压、活动策划低效、淡旺季资源错配。</w:t>
      </w:r>
    </w:p>
    <w:p>
      <w:r>
        <w:rPr>
          <w:rFonts w:ascii="Times New Roman" w:hAnsi="Times New Roman" w:eastAsia="宋体"/>
        </w:rPr>
        <w:t>智能体不同于普通模型，它需要角色、任务、工具、记忆、权限、评价和退出机制。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以黄果树、屯堡文化村寨、安顺古城和贵州山地旅游线路为背景，可以看到文旅智能体既要解释地方文化，又要处理交通、天气、客流和消费决策等现实约束。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为什么文旅行业不能只把AI当成问答工具，而要把智能体作为服务、运营和治理的新型组织能力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第2章 文旅智能体的概念体系与能力结构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一个文旅智能体应由哪些能力模块构成，怎样避免把智能体误解为一个会说话的界面？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文旅智能体至少包括意图识别、场景判断、知识检索、工具调用、内容生成、风险控制、人工升级和运营反馈八类能力。其管理重点不是模型参数本身，而是能力组合能否稳定服务业务目标。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意图识别决定智能体能否区分咨询、投诉、购买、求助、学习和娱乐。</w:t>
      </w:r>
    </w:p>
    <w:p>
      <w:r>
        <w:rPr>
          <w:rFonts w:ascii="Times New Roman" w:hAnsi="Times New Roman" w:eastAsia="宋体"/>
        </w:rPr>
        <w:t>知识检索决定回答是否有依据，工具调用决定服务是否能真正完成。</w:t>
      </w:r>
    </w:p>
    <w:p>
      <w:r>
        <w:rPr>
          <w:rFonts w:ascii="Times New Roman" w:hAnsi="Times New Roman" w:eastAsia="宋体"/>
        </w:rPr>
        <w:t>风险控制决定智能体在不确定、不合规或超权限情境下是否知道停止和转交。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AI客服面对游客退票咨询时，不能只生成解释文本，还应识别订单状态、核对政策、判断是否需要人工审批，并保留工单痕迹。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一个文旅智能体应由哪些能力模块构成，怎样避免把智能体误解为一个会说话的界面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第3章 全生命周期设计：从需求识别到退役替换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如何把智能体建设从一次性项目变成可持续运营的生命周期管理？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智能体上线只是生命周期中的一个节点。真正影响成败的是需求选择、知识治理、工具接入、测试验收、试点运营、绩效评估、迭代优化和退出替换的闭环。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生命周期的第一步不是选模型，而是明确要改善的管理问题和目标指标。</w:t>
      </w:r>
    </w:p>
    <w:p>
      <w:r>
        <w:rPr>
          <w:rFonts w:ascii="Times New Roman" w:hAnsi="Times New Roman" w:eastAsia="宋体"/>
        </w:rPr>
        <w:t>上线前需要测试幻觉、越权、歧视、错误推荐、文化误读和隐私泄露。</w:t>
      </w:r>
    </w:p>
    <w:p>
      <w:r>
        <w:rPr>
          <w:rFonts w:ascii="Times New Roman" w:hAnsi="Times New Roman" w:eastAsia="宋体"/>
        </w:rPr>
        <w:t>上线后需要持续监控知识命中、服务质量、异常升级、用户反馈和成本收益。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景区AI导览若在旺季上线，应先在游客中心、核心景点和低风险路线试点，再逐步扩展到夜游、研学和多语言场景。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如何把智能体建设从一次性项目变成可持续运营的生命周期管理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第4章 多主体矩阵：游客、运营管理者、政府与第三方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同一个智能体系统如何同时服务游客体验、企业运营、政府治理和生态协同？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文旅智能体不是单一主体的工具。游客关心体验，运营者关心效率和收益，政府关心公共服务与监管，第三方关心接口、渠道和商业协同。多主体矩阵能帮助设计者提前发现目标冲突和责任边界。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游客侧强调低门槛、可信任、可解释和情绪支持。</w:t>
      </w:r>
    </w:p>
    <w:p>
      <w:r>
        <w:rPr>
          <w:rFonts w:ascii="Times New Roman" w:hAnsi="Times New Roman" w:eastAsia="宋体"/>
        </w:rPr>
        <w:t>运营侧强调流程嵌入、指标改善、岗位协同和异常闭环。</w:t>
      </w:r>
    </w:p>
    <w:p>
      <w:r>
        <w:rPr>
          <w:rFonts w:ascii="Times New Roman" w:hAnsi="Times New Roman" w:eastAsia="宋体"/>
        </w:rPr>
        <w:t>政府侧强调公平、合规、公共安全、市场秩序和数据边界。</w:t>
      </w:r>
    </w:p>
    <w:p>
      <w:r>
        <w:rPr>
          <w:rFonts w:ascii="Times New Roman" w:hAnsi="Times New Roman" w:eastAsia="宋体"/>
        </w:rPr>
        <w:t>第三方侧强调接口规范、授权清晰、收益分配和品牌一致性。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AI行程规划若只追求商业转化，可能忽视公共资源分流和游客体力差异；若纳入政府和运营目标，则可兼顾拥堵缓解、淡季产品推广和长尾资源曝光。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同一个智能体系统如何同时服务游客体验、企业运营、政府治理和生态协同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第5章 AI客服：从问答窗口到服务闭环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AI客服如何从简单答疑升级为文旅服务质量管理工具？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AI客服的核心不是自动回复，而是把游客问题转化为可分类、可追踪、可复盘的服务事项。它应连接知识库、订单、工单、人工客服和质检体系。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高频问题适合自动化，复杂投诉和情绪冲突必须保留人工兜底。</w:t>
      </w:r>
    </w:p>
    <w:p>
      <w:r>
        <w:rPr>
          <w:rFonts w:ascii="Times New Roman" w:hAnsi="Times New Roman" w:eastAsia="宋体"/>
        </w:rPr>
        <w:t>客服知识库要按服务事项维护，而不是按部门文件堆放。</w:t>
      </w:r>
    </w:p>
    <w:p>
      <w:r>
        <w:rPr>
          <w:rFonts w:ascii="Times New Roman" w:hAnsi="Times New Roman" w:eastAsia="宋体"/>
        </w:rPr>
        <w:t>客服日志可以反向发现服务短板，如标识不清、交通信息不足、退改规则理解困难。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在节假日客流高峰，AI客服可承担开放时间、停车、入园、退改等高频咨询，并把异常投诉自动推送给值班经理。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AI客服如何从简单答疑升级为文旅服务质量管理工具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第6章 AI导览与AI数字人：在场体验、文化解释与品牌人格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AI导览和AI数字人怎样提升游客体验，同时避免文化表达失真和过度娱乐化？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AI导览偏向在场服务，AI数字人偏向人格化传播。二者都需要文化授权、内容审核和场景适配。真正有效的系统应让游客在移动、观看、提问、拍摄、分享之间获得连贯体验。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AI导览应围绕路线、空间、停留、讲解和安全提示组织内容。</w:t>
      </w:r>
    </w:p>
    <w:p>
      <w:r>
        <w:rPr>
          <w:rFonts w:ascii="Times New Roman" w:hAnsi="Times New Roman" w:eastAsia="宋体"/>
        </w:rPr>
        <w:t>AI数字人应围绕品牌角色、互动话术、直播节奏和文化边界设计。</w:t>
      </w:r>
    </w:p>
    <w:p>
      <w:r>
        <w:rPr>
          <w:rFonts w:ascii="Times New Roman" w:hAnsi="Times New Roman" w:eastAsia="宋体"/>
        </w:rPr>
        <w:t>文化类智能体必须建立专家审核、社区授权和版本更新机制。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屯堡文化数字人可以承担迎宾和故事引导，但历史叙事、服饰符号、方言表达和仪式内容需要地方专家与社区代表审核。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AI导览和AI数字人怎样提升游客体验，同时避免文化表达失真和过度娱乐化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第7章 AI个性化推荐智能体：游客画像、场景匹配与价值转化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如何让AI个性化推荐智能体既理解游客，又服务目的地运营、公共治理和生态协同？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AI个性化推荐智能体是本书的核心智能体。它连接游客偏好、资源供给、实时场景、运营目标和治理边界。行程规划可以看作推荐智能体在时间和空间维度上的组合输出，AI客服、AI导览、AI数字人和AI叙事策划师则为推荐提供意图、语境、内容和反馈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游客画像不应只记录年龄和消费，而要识别同行结构、时间预算、体力水平、文化兴趣、风险偏好、消费边界和无障碍需求。</w:t>
      </w:r>
    </w:p>
    <w:p>
      <w:r>
        <w:rPr>
          <w:rFonts w:ascii="Times New Roman" w:hAnsi="Times New Roman" w:eastAsia="宋体"/>
        </w:rPr>
        <w:t>推荐对象不只是景点，还包括线路、演艺、餐饮、住宿、文创、研学任务、夜游项目、公共服务和安全提示。</w:t>
      </w:r>
    </w:p>
    <w:p>
      <w:r>
        <w:rPr>
          <w:rFonts w:ascii="Times New Roman" w:hAnsi="Times New Roman" w:eastAsia="宋体"/>
        </w:rPr>
        <w:t>推荐逻辑应同时处理相关性、可达性、可承载性、商业价值和公共价值，不能只按点击率或佣金排序。</w:t>
      </w:r>
    </w:p>
    <w:p>
      <w:r>
        <w:rPr>
          <w:rFonts w:ascii="Times New Roman" w:hAnsi="Times New Roman" w:eastAsia="宋体"/>
        </w:rPr>
        <w:t>推荐结果必须可解释：为什么推荐、适合什么人、有什么替代方案、是否商业合作、有哪些风险提醒。</w:t>
      </w:r>
    </w:p>
    <w:p>
      <w:r>
        <w:rPr>
          <w:rFonts w:ascii="Times New Roman" w:hAnsi="Times New Roman" w:eastAsia="宋体"/>
        </w:rPr>
        <w:t>运营者可通过推荐智能体引导游客错峰、分流、延长停留、增加本地消费，并让长尾资源获得合理曝光。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安顺两日游智能推荐可把黄果树、龙宫、屯堡村寨、地方餐饮、住宿、夜游和文创消费联动起来，根据天气、客流、体力、预算和文化兴趣生成主方案与替代方案。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如何让AI个性化推荐智能体既理解游客，又服务目的地运营、公共治理和生态协同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第8章 AI叙事策划师：从内容生产到体验编排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AI叙事策划师如何把文化资源转化为可参与、可传播、可复购的文旅体验？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文旅内容不是单篇文案，而是由主题、人物、场景、任务、互动、消费和传播构成的体验编排。AI叙事策划师可以提高策划效率，但必须受文化真实性、版权和社区利益约束。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叙事策划应从目的地核心价值出发，而不是从平台热点出发。</w:t>
      </w:r>
    </w:p>
    <w:p>
      <w:r>
        <w:rPr>
          <w:rFonts w:ascii="Times New Roman" w:hAnsi="Times New Roman" w:eastAsia="宋体"/>
        </w:rPr>
        <w:t>生成式内容要经过文化准确性、审美一致性和商业适配性审核。</w:t>
      </w:r>
    </w:p>
    <w:p>
      <w:r>
        <w:rPr>
          <w:rFonts w:ascii="Times New Roman" w:hAnsi="Times New Roman" w:eastAsia="宋体"/>
        </w:rPr>
        <w:t>好的叙事智能体应能输出活动主题、故事线、脚本、互动任务、传播素材和风险提示。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围绕黄果树夜游，可设计水、光、山地、民族文化和生态保护的多线叙事，形成导览、演艺、短视频和文创的一体化内容体系。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AI叙事策划师如何把文化资源转化为可参与、可传播、可复购的文旅体验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第9章 AI助手与运营智能体：组织流程、人效提升与管理驾驶舱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智能体如何进入文旅企业内部管理，而不是停留在游客前台服务？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内部AI助手的价值在于把制度、数据、流程和经验转化为员工可调用的工作能力。它可以辅助排班、培训、报表、采购、设备巡检、经营分析和现场调度。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运营智能体应嵌入已有岗位职责，不能绕开组织责任链。</w:t>
      </w:r>
    </w:p>
    <w:p>
      <w:r>
        <w:rPr>
          <w:rFonts w:ascii="Times New Roman" w:hAnsi="Times New Roman" w:eastAsia="宋体"/>
        </w:rPr>
        <w:t>管理驾驶舱应显示可行动信息，而不是堆叠图表。</w:t>
      </w:r>
    </w:p>
    <w:p>
      <w:r>
        <w:rPr>
          <w:rFonts w:ascii="Times New Roman" w:hAnsi="Times New Roman" w:eastAsia="宋体"/>
        </w:rPr>
        <w:t>内部智能体尤其需要权限分级、日志留痕和责任确认。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景区值班经理助手可在每日开园前汇总天气、预约量、客流预测、设备状态、投诉遗留问题和人员排班，形成晨会简报。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智能体如何进入文旅企业内部管理，而不是停留在游客前台服务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第10章 数据、知识库与工具链：智能体运营的底座工程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为什么智能体效果常常不是模型问题，而是知识、数据和工具链问题？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文旅智能体依赖稳定的知识源、可用的数据接口和明确的工具权限。没有底座工程，智能体容易出现口径不一、答非所问、无法执行和责任不清。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知识库要区分政策制度、服务问答、文化内容、产品库存和应急预案。</w:t>
      </w:r>
    </w:p>
    <w:p>
      <w:r>
        <w:rPr>
          <w:rFonts w:ascii="Times New Roman" w:hAnsi="Times New Roman" w:eastAsia="宋体"/>
        </w:rPr>
        <w:t>数据治理要明确来源、更新频率、质量责任、访问权限和脱敏规则。</w:t>
      </w:r>
    </w:p>
    <w:p>
      <w:r>
        <w:rPr>
          <w:rFonts w:ascii="Times New Roman" w:hAnsi="Times New Roman" w:eastAsia="宋体"/>
        </w:rPr>
        <w:t>工具链要有失败兜底，例如支付失败、接口超时、库存不一致和人工接管。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AI客服、AI导览和AI行程规划可共享官方知识库，但订单数据、会员画像和应急数据应按权限分层调用。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为什么智能体效果常常不是模型问题，而是知识、数据和工具链问题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第11章 安全、伦理与治理：从幻觉控制到责任体系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文旅智能体如何在开放交互中守住安全、合规和文化边界？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文旅智能体直接面对公众，风险不仅包括错误答案，还包括错误路线、错误消费建议、文化误读、隐私泄露、未成年人保护不足和公共安全延误。治理体系必须覆盖技术、组织和制度三层。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高风险场景必须明确禁止智能体独立决策，例如医疗、救援、赔偿认定和执法判断。</w:t>
      </w:r>
    </w:p>
    <w:p>
      <w:r>
        <w:rPr>
          <w:rFonts w:ascii="Times New Roman" w:hAnsi="Times New Roman" w:eastAsia="宋体"/>
        </w:rPr>
        <w:t>文化内容应建立授权、审核、溯源和纠错机制。</w:t>
      </w:r>
    </w:p>
    <w:p>
      <w:r>
        <w:rPr>
          <w:rFonts w:ascii="Times New Roman" w:hAnsi="Times New Roman" w:eastAsia="宋体"/>
        </w:rPr>
        <w:t>游客个人信息、位置轨迹和消费记录必须最小化使用并可追踪。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当游客在山地景区询问危险路线时，AI导览不应迎合冒险需求，而应提供安全替代路线、风险提示和人工救援联系方式。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文旅智能体如何在开放交互中守住安全、合规和文化边界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第12章 推荐智能体评价、迭代与商业模式：从点击转化到目的地价值</w:t>
      </w:r>
    </w:p>
    <w:p>
      <w:pPr>
        <w:pStyle w:val="Heading2"/>
      </w:pPr>
      <w:r>
        <w:t>本章问题</w:t>
      </w:r>
    </w:p>
    <w:p>
      <w:r>
        <w:rPr>
          <w:rFonts w:ascii="Times New Roman" w:hAnsi="Times New Roman" w:eastAsia="宋体"/>
        </w:rPr>
        <w:t>如何判断AI个性化推荐智能体是否真正创造文旅价值，而不是只提高点击率？</w:t>
      </w:r>
    </w:p>
    <w:p>
      <w:pPr>
        <w:pStyle w:val="Heading2"/>
      </w:pPr>
      <w:r>
        <w:t>核心论点</w:t>
      </w:r>
    </w:p>
    <w:p>
      <w:r>
        <w:rPr>
          <w:rFonts w:ascii="Times New Roman" w:hAnsi="Times New Roman" w:eastAsia="宋体"/>
        </w:rPr>
        <w:t>推荐智能体不能只用点击率、曝光量和订单转化评价。应从游客体验、资源分流、收益转化、公共服务、公平透明、文化传播和长期复游七个维度评估。商业模式也应从一次性交付转向推荐运营服务、数据治理服务、内容协同服务和生态分成服务。</w:t>
      </w:r>
    </w:p>
    <w:p>
      <w:pPr>
        <w:pStyle w:val="Heading2"/>
      </w:pPr>
      <w:r>
        <w:t>机制展开</w:t>
      </w:r>
    </w:p>
    <w:p>
      <w:r>
        <w:rPr>
          <w:rFonts w:ascii="Times New Roman" w:hAnsi="Times New Roman" w:eastAsia="宋体"/>
        </w:rPr>
        <w:t>推荐评价应区分短期转化和长期信任：高点击不等于高满意，高交易不等于高质量体验。</w:t>
      </w:r>
    </w:p>
    <w:p>
      <w:r>
        <w:rPr>
          <w:rFonts w:ascii="Times New Roman" w:hAnsi="Times New Roman" w:eastAsia="宋体"/>
        </w:rPr>
        <w:t>推荐智能体需要持续吸收点击、收藏、购买、到访、停留、评价、投诉和人工修正，但必须控制隐私和商业偏置。</w:t>
      </w:r>
    </w:p>
    <w:p>
      <w:r>
        <w:rPr>
          <w:rFonts w:ascii="Times New Roman" w:hAnsi="Times New Roman" w:eastAsia="宋体"/>
        </w:rPr>
        <w:t>推荐商业模式需要明确谁提供数据、谁获得收益、谁承担误导推荐责任、谁维护知识和模型。</w:t>
      </w:r>
    </w:p>
    <w:p>
      <w:r>
        <w:rPr>
          <w:rFonts w:ascii="Times New Roman" w:hAnsi="Times New Roman" w:eastAsia="宋体"/>
        </w:rPr>
        <w:t>目的地级推荐应关注区域均衡和长尾资源激活，避免平台只把流量推向少数热门点位。</w:t>
      </w:r>
    </w:p>
    <w:p>
      <w:pPr>
        <w:pStyle w:val="Heading2"/>
      </w:pPr>
      <w:r>
        <w:t>场景化说明</w:t>
      </w:r>
    </w:p>
    <w:p>
      <w:r>
        <w:rPr>
          <w:rFonts w:ascii="Times New Roman" w:hAnsi="Times New Roman" w:eastAsia="宋体"/>
        </w:rPr>
        <w:t>一个目的地级推荐智能体平台可采用政府公共服务、景区运营订阅、企业渠道分成和内容IP授权相结合的模式，但需防止公共数据被不当商业化、商业推荐伪装成公共建议。</w:t>
      </w:r>
    </w:p>
    <w:p>
      <w:pPr>
        <w:pStyle w:val="Heading2"/>
      </w:pPr>
      <w:r>
        <w:t>管理启示</w:t>
      </w:r>
    </w:p>
    <w:p>
      <w:r>
        <w:rPr>
          <w:rFonts w:ascii="Times New Roman" w:hAnsi="Times New Roman" w:eastAsia="宋体"/>
        </w:rPr>
        <w:t>第一，智能体设计必须从管理问题出发，而不是从模型能力出发。只有当智能体能嵌入游客旅程、运营流程或治理流程时，AI才真正转化为文旅管理能力。</w:t>
      </w:r>
    </w:p>
    <w:p>
      <w:r>
        <w:rPr>
          <w:rFonts w:ascii="Times New Roman" w:hAnsi="Times New Roman" w:eastAsia="宋体"/>
        </w:rPr>
        <w:t>第二，智能体运营必须建立角色边界、知识边界、权限边界和责任边界。文旅场景面对真实游客、真实消费和真实风险，不能用演示效果替代运营可靠性。</w:t>
      </w:r>
    </w:p>
    <w:p>
      <w:r>
        <w:rPr>
          <w:rFonts w:ascii="Times New Roman" w:hAnsi="Times New Roman" w:eastAsia="宋体"/>
        </w:rPr>
        <w:t>第三，多主体协同决定智能体能否持续运行。游客体验、企业收益、政府治理和第三方生态之间存在张力，设计阶段就应通过矩阵化方法明确目标、指标和责任。</w:t>
      </w:r>
    </w:p>
    <w:p>
      <w:pPr>
        <w:pStyle w:val="Heading2"/>
      </w:pPr>
      <w:r>
        <w:t>本章小结</w:t>
      </w:r>
    </w:p>
    <w:p>
      <w:r>
        <w:rPr>
          <w:rFonts w:ascii="Times New Roman" w:hAnsi="Times New Roman" w:eastAsia="宋体"/>
        </w:rPr>
        <w:t>本章围绕“如何判断AI个性化推荐智能体是否真正创造文旅价值，而不是只提高点击率？”展开，强调AI文旅智能体应在具体场景中形成可设计、可运营、可评价、可治理的能力闭环。后续扩写时，可继续补充案例数据、访谈材料、平台截图、流程图和参考文献。</w:t>
      </w:r>
    </w:p>
    <w:p>
      <w:pPr>
        <w:pStyle w:val="Heading1"/>
      </w:pPr>
      <w:r>
        <w:t>结语：从智能体建设走向智能体运营管理</w:t>
      </w:r>
    </w:p>
    <w:p>
      <w:r>
        <w:rPr>
          <w:rFonts w:ascii="Times New Roman" w:hAnsi="Times New Roman" w:eastAsia="宋体"/>
        </w:rPr>
        <w:t>AI文旅智能体的竞争不只是模型竞争，而是场景理解、知识治理、流程重构、内容表达、风险控制和组织学习能力的综合竞争。对于地方文旅目的地而言，真正有价值的不是复制一个通用助手，而是围绕本地资源、本地游客、本地企业和本地治理问题，形成可持续迭代的智能体组合。</w:t>
      </w:r>
    </w:p>
    <w:p>
      <w:r>
        <w:rPr>
          <w:rFonts w:ascii="Times New Roman" w:hAnsi="Times New Roman" w:eastAsia="宋体"/>
        </w:rPr>
        <w:t>本书提出的全生命周期框架、多主体矩阵和智能体设计卡，可以作为景区、目的地、政府部门、文旅企业和高校课程建设的共同工具。下一步正式出版前，应继续完成三项工作：一是补充经过核验的政策、文献和案例来源；二是将各章地方案例扩展为可引用的教学案例或研究案例；三是绘制架构图、流程图、评价表和操作模板，使专著从理论阐释进一步走向可执行的管理方法体系。</w:t>
      </w:r>
    </w:p>
    <w:p>
      <w:pPr>
        <w:pStyle w:val="Heading1"/>
      </w:pPr>
      <w:r>
        <w:t>待核验清单</w:t>
      </w:r>
    </w:p>
    <w:p>
      <w:pPr>
        <w:pStyle w:val="ListBullet"/>
      </w:pPr>
      <w:r>
        <w:rPr>
          <w:rFonts w:ascii="Times New Roman" w:hAnsi="Times New Roman" w:eastAsia="宋体"/>
        </w:rPr>
        <w:t>政策文本：国家和贵州省关于智慧旅游、数据要素、人工智能治理、文化数字化的现行政策表述。</w:t>
      </w:r>
    </w:p>
    <w:p>
      <w:pPr>
        <w:pStyle w:val="ListBullet"/>
      </w:pPr>
      <w:r>
        <w:rPr>
          <w:rFonts w:ascii="Times New Roman" w:hAnsi="Times New Roman" w:eastAsia="宋体"/>
        </w:rPr>
        <w:t>地方案例：黄果树、屯堡文化、安顺古城、贵州智慧旅游平台等案例中的事实、数据、项目名称和授权边界。</w:t>
      </w:r>
    </w:p>
    <w:p>
      <w:pPr>
        <w:pStyle w:val="ListBullet"/>
      </w:pPr>
      <w:r>
        <w:rPr>
          <w:rFonts w:ascii="Times New Roman" w:hAnsi="Times New Roman" w:eastAsia="宋体"/>
        </w:rPr>
        <w:t>平台能力：票务、地图、CRM、投诉工单、应急调度、知识库等系统接口和真实可用性。</w:t>
      </w:r>
    </w:p>
    <w:p>
      <w:pPr>
        <w:pStyle w:val="ListBullet"/>
      </w:pPr>
      <w:r>
        <w:rPr>
          <w:rFonts w:ascii="Times New Roman" w:hAnsi="Times New Roman" w:eastAsia="宋体"/>
        </w:rPr>
        <w:t>法律合规：个人信息保护、数据安全、著作权、肖像权、未成年人保护、广告与价格推荐合规。</w:t>
      </w:r>
    </w:p>
    <w:p>
      <w:pPr>
        <w:pStyle w:val="ListBullet"/>
      </w:pPr>
      <w:r>
        <w:rPr>
          <w:rFonts w:ascii="Times New Roman" w:hAnsi="Times New Roman" w:eastAsia="宋体"/>
        </w:rPr>
        <w:t>参考文献：正式出版前需补充并核验AI智能体、智慧旅游、服务管理、目的地治理、推荐系统和文化数字化等文献。</w:t>
      </w:r>
    </w:p>
    <w:p>
      <w:pPr>
        <w:sectPr>
          <w:pgSz w:w="11906" w:h="16838"/>
          <w:pgMar w:top="1417" w:right="1361" w:bottom="1304" w:left="1474" w:header="680" w:footer="680" w:gutter="0"/>
          <w:cols w:space="720"/>
          <w:docGrid w:linePitch="360"/>
        </w:sectPr>
      </w:pPr>
    </w:p>
    <w:p>
      <w:pPr>
        <w:pStyle w:val="Heading1"/>
      </w:pPr>
      <w:r>
        <w:t>附录A 全生命周期框架表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阶段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核心问题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关键产出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主要风险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1. 战略定位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为什么需要智能体，解决哪类文旅管理问题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智能体组合蓝图、价值目标、边界清单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为追热点而建设，缺少业务目标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2. 场景识别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哪些触点适合由智能体介入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游客旅程图、运营流程图、多主体需求矩阵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把人工流程简单搬到聊天界面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3. 数据与知识治理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智能体依据什么回答、推荐、规划和解释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知识库、数据目录、权限规则、更新机制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知识过期、口径冲突、隐私越界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4. 角色与能力设计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智能体扮演什么角色，能做与不能做什么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Persona、能力边界、工具清单、升级转人工规则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人格化过度、承诺超出能力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5. 流程与工具编排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智能体如何调用票务、地图、CRM、预警等系统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工具调用链、异常处理、日志规范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系统割裂、接口失败无法兜底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6. 内容与交互设计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怎样让游客愿意用、听得懂、信得过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提示词规范、多模态内容、话术模板、可解释输出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语言空泛、文化表达失真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7. 测试与安全评估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上线前如何发现幻觉、偏见、误导与泄露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红队测试集、风险分级、验收报告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只测功能，不测风险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8. 试点运营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如何在小范围真实场景中验证价值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试点方案、运营日志、问题闭环表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试点没有指标，无法判断成效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9. 日常运营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谁维护知识、监控质量、处理异常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运营SOP、值班机制、监控看板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上线即结束，缺少持续运营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10. 绩效评估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智能体是否改善体验、效率、收益和治理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KPI/OKR、成本收益、用户反馈、治理报告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只看调用量，不看管理价值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11. 迭代优化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怎样根据真实数据持续改进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版本计划、训练样本、知识更新、A/B测试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频繁改动造成口径不稳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12. 退出与替换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何时停用、合并或更换智能体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退役标准、迁移方案、档案留存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低效智能体长期占用资源</w:t>
            </w:r>
          </w:p>
        </w:tc>
      </w:tr>
    </w:tbl>
    <w:p/>
    <w:p>
      <w:pPr>
        <w:pStyle w:val="Heading1"/>
      </w:pPr>
      <w:r>
        <w:t>附录B 多主体价值矩阵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主体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主要目标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最需要的智能体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评价指标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治理关注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游客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省心、省时、省钱、获得独特体验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AI客服、AI导览、AI行程规划、AI推荐师、AI数字人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响应速度、推荐匹配度、投诉减少、满意度、复游意愿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隐私保护、信息真实、未成年人保护、消费透明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运营管理者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提升服务效率、转化率、复购率和现场调度能力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AI助手、运营分析智能体、AI客服、AI叙事策划师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人效提升、问题闭环率、销售转化、排队时长、内容产出效率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人工兜底、岗位协同、数据质量、绩效归因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政府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公共服务、市场监管、应急管理、目的地形象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政策问答智能体、监管巡检智能体、舆情治理智能体、应急调度智能体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投诉办理时效、风险预警准确率、市场秩序、公共服务覆盖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公平性、合规性、公共数据边界、算法责任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第三方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平台分发、技术供给、内容共创和生态协同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API协作智能体、渠道运营智能体、内容共创智能体、数据协同智能体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接口稳定性、订单转化、内容质量、合作收益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数据授权、商业边界、品牌一致性、责任分担</w:t>
            </w:r>
          </w:p>
        </w:tc>
      </w:tr>
    </w:tbl>
    <w:p/>
    <w:p>
      <w:pPr>
        <w:pStyle w:val="Heading1"/>
      </w:pPr>
      <w:r>
        <w:t>附录C 场景矩阵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智能体类型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游客侧场景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运营管理侧场景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政府侧场景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黑体"/>
                <w:b/>
                <w:sz w:val="16"/>
              </w:rPr>
              <w:t>第三方侧场景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AI客服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咨询、退改、投诉、遗失物、无障碍服务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工单分流、知识库维护、服务质检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公共服务问答、投诉协同办理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平台售后协同、跨渠道服务口径统一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AI导览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路线讲解、文化解释、AR导览、儿童/研学讲解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讲解内容排班、讲解质量监控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公共文化传播、文明旅游引导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导览内容授权、地图与语音服务接入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AI数字人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形象迎宾、直播互动、文化角色演绎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品牌活动主持、培训演示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城市形象传播、政策宣讲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IP共创、虚拟主播运营、媒介投放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AI行程规划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多日路线、预算、交通、餐饮住宿联动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产品组合、客流分散、二销设计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区域线路协同、淡旺季调控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OTA套餐、交通平台、酒店渠道联动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AI叙事策划师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主题故事线、打卡任务、沉浸剧情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节事活动策划、内容日历、IP资产管理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地方文化阐释、非遗传播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短视频脚本、活动招商、品牌联名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AI助手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个人旅游备忘、翻译、安全提醒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排班、采购、培训、报表、现场指挥辅助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会议纪要、政策材料、统计分析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项目协同、合同材料、交付文档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AI推荐师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个性化景点、餐饮、文创、演艺、线路推荐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会员运营、交叉销售、动态定价辅助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公共资源分流、消费促进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广告推荐、渠道投放、达人合作匹配</w:t>
            </w:r>
          </w:p>
        </w:tc>
      </w:tr>
      <w:tr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AI应急调度员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天气、拥堵、迷路、突发事件提示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人车物调度、风险处置、值班辅助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应急联动、舆情响应、部门协同</w:t>
            </w:r>
          </w:p>
        </w:tc>
        <w:tc>
          <w:tcPr>
            <w:tcW w:type="dxa" w:w="1814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宋体"/>
                <w:sz w:val="16"/>
              </w:rPr>
              <w:t>保险、通信、交通、救援服务接入</w:t>
            </w:r>
          </w:p>
        </w:tc>
      </w:tr>
    </w:tbl>
    <w:p/>
    <w:sectPr w:rsidR="00FC693F" w:rsidRPr="0006063C" w:rsidSect="00034616">
      <w:pgSz w:w="11906" w:h="16838"/>
      <w:pgMar w:top="1417" w:right="1361" w:bottom="1304" w:left="1474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第 </w:t>
      <w:fldChar w:fldCharType="begin"/>
      <w:instrText xml:space="preserve">PAGE</w:instrText>
      <w:fldChar w:fldCharType="end"/>
    </w:r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color w:val="646464"/>
        <w:sz w:val="18"/>
      </w:rPr>
      <w:t>AI文旅场景化下的智能体设计运营管理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60"/>
      <w:ind w:firstLine="420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color w:val="1F4E7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color w:val="2F559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楷体"/>
      <w:b/>
      <w:bCs/>
      <w:color w:val="4040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160"/>
      <w:contextualSpacing/>
    </w:pPr>
    <w:rPr>
      <w:rFonts w:asciiTheme="majorHAnsi" w:eastAsiaTheme="majorEastAsia" w:hAnsiTheme="majorHAnsi" w:cstheme="majorBidi" w:ascii="Times New Roman" w:hAnsi="Times New Roman" w:eastAsia="黑体"/>
      <w:b/>
      <w:color w:val="1F4E7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